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0"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1"/>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Angaben zu Zulassung, Rechtslage und Dopingstatus geben den Stand Oktober/November 2026 wieder. Sie können sich jederzeit ändern – bitte vor jeder Entscheidung aktuell prüfen. Die Quellen zu jeder Aussage stehen in den Fußnoten und im Studienverzeichnis.</w:t>
      </w:r>
    </w:p>
    <w:p>
      <w:pPr>
        <w:pStyle w:val="BodyText"/>
      </w:pPr>
      <w:r>
        <w:t xml:space="preserve">Kein Teil dieses Werkes darf ohne schriftliche Genehmigung des Autors vervielfältigt oder verbreitet werden.</w:t>
      </w:r>
    </w:p>
    <w:bookmarkEnd w:id="20"/>
    <w:bookmarkStart w:id="27" w:name="wichtiger-hinweis"/>
    <w:p>
      <w:pPr>
        <w:pStyle w:val="Heading1"/>
      </w:pPr>
      <w:r>
        <w:t xml:space="preserve">Wichtiger Hinweis</w:t>
      </w:r>
    </w:p>
    <w:bookmarkStart w:id="21"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Sie Entscheidungen über Ihre Gesundheit treffen, ein Arzneimittel beginnen, absetzen oder verändern, sprechen Sie bitte mit einer Ärztin, einem Arzt oder einer Apothekerin beziehungsweise einem Apotheker. Bei akuten Beschwerden wenden Sie sich an den ärztlichen Notdienst oder rufen Sie den Notruf.</w:t>
      </w:r>
    </w:p>
    <w:bookmarkEnd w:id="21"/>
    <w:bookmarkStart w:id="22"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Ihre persönliche Situation übertragen. Für zugelassene Arzneimittel sind die Fachinformation, die Gebrauchsinformation und die ärztliche Begleitung maßgeblich.</w:t>
      </w:r>
    </w:p>
    <w:bookmarkEnd w:id="22"/>
    <w:bookmarkStart w:id="23"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3"/>
    <w:bookmarkStart w:id="24"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4"/>
    <w:bookmarkStart w:id="25"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5"/>
    <w:bookmarkStart w:id="26" w:name="X6e153905c09f8eca556282a3361945d81fb6db5"/>
    <w:p>
      <w:pPr>
        <w:pStyle w:val="Heading3"/>
      </w:pPr>
      <w:r>
        <w:t xml:space="preserve">Transparenz: Wie dieses Buch entstanden ist</w:t>
      </w:r>
    </w:p>
    <w:p>
      <w:pPr>
        <w:pStyle w:val="FirstParagraph"/>
      </w:pPr>
      <w:r>
        <w:t xml:space="preserve">Dieses Buch wurde mit Unterstützung von Künstlicher Intelligenz (KI) recherchiert und verfasst und anschließend vom Autor überarbeitet. Die KI wurde eingesetzt, um Studien in den Datenbanken PubMed und ClinicalTrials.gov zu suchen, Zusammenfassungen von Studien auszuwerten und Textentwürfe zu erstellen.</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Sie können damit jede Quelle selbst nachschlagen und die Angaben überprüfen. Wie das geht, steht im folgenden Abschnitt; Einzelheiten zur Recherche finden Sie im Anhang „Methodik“.</w:t>
      </w:r>
    </w:p>
    <w:bookmarkEnd w:id="26"/>
    <w:bookmarkEnd w:id="27"/>
    <w:bookmarkStart w:id="36" w:name="über-dieses-buch"/>
    <w:p>
      <w:pPr>
        <w:pStyle w:val="Heading1"/>
      </w:pPr>
      <w:r>
        <w:t xml:space="preserve">Über dieses Buch</w:t>
      </w:r>
    </w:p>
    <w:bookmarkStart w:id="28"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Ihnen helfen, Behauptungen kritisch zu prüfen und informierte Gespräche mit Ärztinnen, Ärzten und Apotheken zu führen.</w:t>
      </w:r>
    </w:p>
    <w:bookmarkEnd w:id="28"/>
    <w:bookmarkStart w:id="29" w:name="für-wen-dieses-buch-geschrieben-ist"/>
    <w:p>
      <w:pPr>
        <w:pStyle w:val="Heading3"/>
      </w:pPr>
      <w:r>
        <w:t xml:space="preserve">Für wen dieses Buch geschrieben ist</w:t>
      </w:r>
    </w:p>
    <w:p>
      <w:pPr>
        <w:numPr>
          <w:ilvl w:val="0"/>
          <w:numId w:val="1002"/>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2"/>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2"/>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2"/>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29"/>
    <w:bookmarkStart w:id="30"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können Sie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finden Sie das Glossar, die Methodik der Recherche und das Verzeichnis der ausgewerteten Studien.</w:t>
      </w:r>
    </w:p>
    <w:bookmarkEnd w:id="30"/>
    <w:bookmarkStart w:id="31"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1"/>
    <w:bookmarkStart w:id="32" w:name="wie-quellen-angegeben-sind"/>
    <w:p>
      <w:pPr>
        <w:pStyle w:val="Heading3"/>
      </w:pPr>
      <w:r>
        <w:t xml:space="preserve">Wie Quellen angegeben sind</w:t>
      </w:r>
    </w:p>
    <w:p>
      <w:pPr>
        <w:pStyle w:val="FirstParagraph"/>
      </w:pPr>
      <w:r>
        <w:t xml:space="preserve">Damit der Text gut lesbar bleibt, stehen die Quellen in Fußnoten. Im E-Book erscheint an der betreffenden Stelle eine kleine hochgestellte Ziffer; ein Tippen darauf zeigt die Quelle. Jede Fußnote nennt Erstautorin oder Erstautor, Erscheinungsjahr und PubMed-Nummer, zum Beispiel: Wilding 2021, PMID 33567185.</w:t>
      </w:r>
    </w:p>
    <w:p>
      <w:pPr>
        <w:pStyle w:val="BodyText"/>
      </w:pPr>
      <w:r>
        <w:t xml:space="preserve">Registrierte Studien, insbesondere laufende, sind mit ihrer Nummer im US-amerikanischen Studienregister ClinicalTrials.gov angegeben, zum Beispiel NCT03548935. In Tabellen stehen die Quellen direkt in der ersten Spalte.</w:t>
      </w:r>
    </w:p>
    <w:p>
      <w:pPr>
        <w:pStyle w:val="BodyText"/>
      </w:pPr>
      <w:r>
        <w:t xml:space="preserve">Die Fußnoten stehen jeweils am Ende des Kapitels; das vollständige Studienverzeichnis steht im Anhang.</w:t>
      </w:r>
    </w:p>
    <w:bookmarkEnd w:id="32"/>
    <w:bookmarkStart w:id="33" w:name="so-schlagen-sie-eine-quelle-nach"/>
    <w:p>
      <w:pPr>
        <w:pStyle w:val="Heading3"/>
      </w:pPr>
      <w:r>
        <w:t xml:space="preserve">So schlagen Sie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3"/>
        </w:numPr>
        <w:pStyle w:val="Compact"/>
      </w:pPr>
      <w:r>
        <w:t xml:space="preserve">Öffnen Sie in Ihrem Browser die Seite pubmed.ncbi.nlm.nih.gov.</w:t>
      </w:r>
    </w:p>
    <w:p>
      <w:pPr>
        <w:numPr>
          <w:ilvl w:val="0"/>
          <w:numId w:val="1003"/>
        </w:numPr>
        <w:pStyle w:val="Compact"/>
      </w:pPr>
      <w:r>
        <w:t xml:space="preserve">Geben Sie die Nummer in das Suchfeld ein, zum Beispiel 33567185, und starten Sie die Suche.</w:t>
      </w:r>
    </w:p>
    <w:p>
      <w:pPr>
        <w:numPr>
          <w:ilvl w:val="0"/>
          <w:numId w:val="1003"/>
        </w:numPr>
        <w:pStyle w:val="Compact"/>
      </w:pPr>
      <w:r>
        <w:t xml:space="preserve">Sie gelangen direkt zum Eintrag mit Titel, Autorinnen und Autoren, Fachzeitschrift und meist einer Zusammenfassung (Abstract).</w:t>
      </w:r>
    </w:p>
    <w:p>
      <w:pPr>
        <w:pStyle w:val="FirstParagraph"/>
      </w:pPr>
      <w:r>
        <w:t xml:space="preserve">Alternativ können Sie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finden Sie auf der Seite clinicaltrials.gov, indem Sie die Nummer in das Suchfeld eingeben oder an die Adresse clinicaltrials.gov/study/ anhängen, zum Beispiel clinicaltrials.gov/study/NCT03548935. Dort sehen Sie Studiendesign, Teilnehmerzahl, Endpunkte und den aktuellen Status.</w:t>
      </w:r>
    </w:p>
    <w:bookmarkEnd w:id="33"/>
    <w:bookmarkStart w:id="34" w:name="was-dieses-buch-bewusst-nicht-enthält"/>
    <w:p>
      <w:pPr>
        <w:pStyle w:val="Heading3"/>
      </w:pPr>
      <w:r>
        <w:t xml:space="preserve">Was dieses Buch bewusst nicht enthält</w:t>
      </w:r>
    </w:p>
    <w:p>
      <w:pPr>
        <w:numPr>
          <w:ilvl w:val="0"/>
          <w:numId w:val="1004"/>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4"/>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4"/>
        </w:numPr>
        <w:pStyle w:val="Compact"/>
      </w:pPr>
      <w:r>
        <w:rPr>
          <w:bCs/>
          <w:b/>
        </w:rPr>
        <w:t xml:space="preserve">Keine Heilversprechen.</w:t>
      </w:r>
      <w:r>
        <w:t xml:space="preserve"> </w:t>
      </w:r>
      <w:r>
        <w:t xml:space="preserve">Das Buch berichtet, was in Studien beobachtet wurde – nicht, was ein Stoff bei Ihnen bewirken wird.</w:t>
      </w:r>
    </w:p>
    <w:p>
      <w:pPr>
        <w:numPr>
          <w:ilvl w:val="0"/>
          <w:numId w:val="1004"/>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4"/>
    <w:bookmarkStart w:id="35" w:name="ein-wort-zum-schluss"/>
    <w:p>
      <w:pPr>
        <w:pStyle w:val="Heading3"/>
      </w:pPr>
      <w:r>
        <w:t xml:space="preserve">Ein Wort zum Schluss</w:t>
      </w:r>
    </w:p>
    <w:p>
      <w:pPr>
        <w:pStyle w:val="FirstParagraph"/>
      </w:pPr>
      <w:r>
        <w:t xml:space="preserve">Dieses Buch ist ein Werkzeug zum Nachdenken, kein Ratgeber zur Selbstbehandlung. Wenn Sie nach der Lektüre mehr Fragen haben als vorher, ist das kein schlechtes Zeichen: Oft ist die ehrlichste Antwort auf die Frage „Wirkt dieses Peptid?“ ein „Das weiß noch niemand“.</w:t>
      </w:r>
    </w:p>
    <w:bookmarkEnd w:id="35"/>
    <w:bookmarkEnd w:id="36"/>
    <w:bookmarkStart w:id="230" w:name="teil-i-grundlagen"/>
    <w:p>
      <w:pPr>
        <w:pStyle w:val="Heading1"/>
      </w:pPr>
      <w:r>
        <w:t xml:space="preserve">Teil I – Grundlagen</w:t>
      </w:r>
    </w:p>
    <w:p>
      <w:pPr>
        <w:pStyle w:val="FirstParagraph"/>
      </w:pPr>
      <w:r>
        <w:t xml:space="preserve">Bevor es in Teil II um einzelne Wirkstoffe geht, legt dieser Teil das Fundament. Sie erfahren,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62"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7"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finden Sie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7"/>
    <w:bookmarkStart w:id="38"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8"/>
    <w:bookmarkStart w:id="41"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w:t>
      </w:r>
      <w:r>
        <w:rPr>
          <w:rStyle w:val="FootnoteReference"/>
        </w:rPr>
        <w:footnoteReference w:id="39"/>
      </w:r>
      <w:r>
        <w:t xml:space="preserve">.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w:t>
      </w:r>
      <w:r>
        <w:rPr>
          <w:rStyle w:val="FootnoteReference"/>
        </w:rPr>
        <w:footnoteReference w:id="40"/>
      </w:r>
      <w:r>
        <w:t xml:space="preserve">;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41"/>
    <w:bookmarkStart w:id="43"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w:t>
      </w:r>
      <w:r>
        <w:rPr>
          <w:rStyle w:val="FootnoteReference"/>
        </w:rPr>
        <w:footnoteReference w:id="42"/>
      </w:r>
      <w:r>
        <w:t xml:space="preserve"> </w:t>
      </w:r>
      <w:r>
        <w:t xml:space="preserve">–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3"/>
    <w:bookmarkStart w:id="47"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w:t>
      </w:r>
      <w:r>
        <w:rPr>
          <w:rStyle w:val="FootnoteReference"/>
        </w:rPr>
        <w:footnoteReference w:id="44"/>
      </w:r>
      <w:r>
        <w:t xml:space="preserve">;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w:t>
      </w:r>
      <w:r>
        <w:rPr>
          <w:rStyle w:val="FootnoteReference"/>
        </w:rPr>
        <w:footnoteReference w:id="45"/>
      </w:r>
      <w:r>
        <w:t xml:space="preserve">. So entsteht ein Depot, aus dem der Wirkstoff langsam freigesetzt wird. Die Halbwertszeit beim Menschen liegt bei etwa einer Woche</w:t>
      </w:r>
      <w:r>
        <w:rPr>
          <w:rStyle w:val="FootnoteReference"/>
        </w:rPr>
        <w:footnoteReference w:id="46"/>
      </w:r>
      <w:r>
        <w:t xml:space="preserve"> </w:t>
      </w:r>
      <w:r>
        <w:t xml:space="preserve">–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7"/>
    <w:bookmarkStart w:id="51"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w:t>
      </w:r>
      <w:r>
        <w:rPr>
          <w:rStyle w:val="FootnoteReference"/>
        </w:rPr>
        <w:footnoteReference w:id="48"/>
      </w:r>
      <w:r>
        <w:t xml:space="preserve">,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w:t>
      </w:r>
      <w:r>
        <w:rPr>
          <w:rStyle w:val="FootnoteReference"/>
        </w:rPr>
        <w:footnoteReference w:id="49"/>
      </w:r>
      <w:r>
        <w:t xml:space="preserve">.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w:t>
      </w:r>
      <w:r>
        <w:rPr>
          <w:rStyle w:val="FootnoteReference"/>
        </w:rPr>
        <w:footnoteReference w:id="50"/>
      </w:r>
      <w:r>
        <w:t xml:space="preserve">.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51"/>
    <w:bookmarkStart w:id="54"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w:t>
      </w:r>
      <w:r>
        <w:rPr>
          <w:rStyle w:val="FootnoteReference"/>
        </w:rPr>
        <w:footnoteReference w:id="52"/>
      </w:r>
      <w:r>
        <w:t xml:space="preserve">. Eine andere Auswertung zählte über 150 Peptide in aktiver klinischer Entwicklung</w:t>
      </w:r>
      <w:r>
        <w:rPr>
          <w:rStyle w:val="FootnoteReference"/>
        </w:rPr>
        <w:footnoteReference w:id="53"/>
      </w:r>
      <w:r>
        <w:t xml:space="preserve">. Die Zahlen unterscheiden sich je nach Zählweise, zeigen aber dieselbe Richtung: Peptide sind ein fester und wachsender Teil der Medizin.</w:t>
      </w:r>
    </w:p>
    <w:p>
      <w:pPr>
        <w:pStyle w:val="BodyText"/>
      </w:pPr>
      <w:r>
        <w:t xml:space="preserve">Viele Arzneimittel-Peptide kennen Sie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54"/>
    <w:bookmarkStart w:id="56"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w:t>
      </w:r>
      <w:r>
        <w:rPr>
          <w:rStyle w:val="FootnoteReference"/>
        </w:rPr>
        <w:footnoteReference w:id="55"/>
      </w:r>
      <w:r>
        <w:t xml:space="preserve">,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56"/>
    <w:bookmarkStart w:id="57"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57"/>
    <w:bookmarkStart w:id="60"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w:t>
      </w:r>
      <w:r>
        <w:rPr>
          <w:rStyle w:val="FootnoteReference"/>
        </w:rPr>
        <w:footnoteReference w:id="58"/>
      </w:r>
      <w:r>
        <w:t xml:space="preserve">.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w:t>
      </w:r>
      <w:r>
        <w:rPr>
          <w:rStyle w:val="FootnoteReference"/>
        </w:rPr>
        <w:footnoteReference w:id="59"/>
      </w:r>
      <w:r>
        <w:t xml:space="preserve">.</w:t>
      </w:r>
    </w:p>
    <w:p>
      <w:pPr>
        <w:pStyle w:val="BodyText"/>
      </w:pPr>
      <w:r>
        <w:t xml:space="preserve">Dieses Buch will hier einen nüchternen Gegenpol bieten: Für jedes Peptid wird geprüft, was am Menschen tatsächlich untersucht wurde – und was nicht.</w:t>
      </w:r>
    </w:p>
    <w:bookmarkEnd w:id="60"/>
    <w:bookmarkStart w:id="61"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61"/>
    <w:bookmarkEnd w:id="62"/>
    <w:bookmarkStart w:id="99"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Ihnen helfen, die heutige Aufregung um Peptide einzuordnen: Vieles, was als revolutionär verkauft wird, steht auf den Schultern von hundert Jahren mühsamer Forschung.</w:t>
      </w:r>
    </w:p>
    <w:bookmarkStart w:id="63"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63"/>
    <w:bookmarkStart w:id="67"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w:t>
      </w:r>
      <w:r>
        <w:rPr>
          <w:rStyle w:val="FootnoteReference"/>
        </w:rPr>
        <w:footnoteReference w:id="64"/>
      </w:r>
      <w:r>
        <w:t xml:space="preserve">.</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w:t>
      </w:r>
      <w:r>
        <w:rPr>
          <w:rStyle w:val="FootnoteReference"/>
        </w:rPr>
        <w:footnoteReference w:id="65"/>
      </w:r>
      <w:r>
        <w:t xml:space="preserve">.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w:t>
      </w:r>
      <w:r>
        <w:rPr>
          <w:rStyle w:val="FootnoteReference"/>
        </w:rPr>
        <w:footnoteReference w:id="66"/>
      </w:r>
      <w:r>
        <w:t xml:space="preserve">. Genau diese Themen – Herstellung, Reinheit, Wirkdauer, Verabreichung – begleiten die Peptidmedizin bis heute.</w:t>
      </w:r>
    </w:p>
    <w:bookmarkEnd w:id="67"/>
    <w:bookmarkStart w:id="70"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w:t>
      </w:r>
      <w:r>
        <w:rPr>
          <w:rStyle w:val="FootnoteReference"/>
        </w:rPr>
        <w:footnoteReference w:id="68"/>
      </w:r>
      <w:r>
        <w:t xml:space="preserve">.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w:t>
      </w:r>
      <w:r>
        <w:rPr>
          <w:rStyle w:val="FootnoteReference"/>
        </w:rPr>
        <w:footnoteReference w:id="69"/>
      </w:r>
      <w:r>
        <w:t xml:space="preserve">.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70"/>
    <w:bookmarkStart w:id="72"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w:t>
      </w:r>
      <w:r>
        <w:rPr>
          <w:rStyle w:val="FootnoteReference"/>
        </w:rPr>
        <w:footnoteReference w:id="71"/>
      </w:r>
      <w:r>
        <w:t xml:space="preserve">.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72"/>
    <w:bookmarkStart w:id="76"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w:t>
      </w:r>
      <w:r>
        <w:rPr>
          <w:rStyle w:val="FootnoteReference"/>
        </w:rPr>
        <w:footnoteReference w:id="73"/>
      </w:r>
      <w:r>
        <w:t xml:space="preserve">.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w:t>
      </w:r>
      <w:r>
        <w:rPr>
          <w:rStyle w:val="FootnoteReference"/>
        </w:rPr>
        <w:footnoteReference w:id="74"/>
      </w:r>
      <w:r>
        <w:t xml:space="preserve">.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w:t>
      </w:r>
      <w:r>
        <w:rPr>
          <w:rStyle w:val="FootnoteReference"/>
        </w:rPr>
        <w:footnoteReference w:id="75"/>
      </w:r>
      <w:r>
        <w:t xml:space="preserve">. Solche Studien mit „harten“ Endpunkten wie Knochenbrüchen setzten den Maßstab, an dem sich auch neue Peptide messen lassen müssen.</w:t>
      </w:r>
    </w:p>
    <w:bookmarkEnd w:id="76"/>
    <w:bookmarkStart w:id="79"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w:t>
      </w:r>
      <w:r>
        <w:rPr>
          <w:rStyle w:val="FootnoteReference"/>
        </w:rPr>
        <w:footnoteReference w:id="77"/>
      </w:r>
      <w:r>
        <w:t xml:space="preserve">.</w:t>
      </w:r>
    </w:p>
    <w:p>
      <w:pPr>
        <w:pStyle w:val="BodyText"/>
      </w:pPr>
      <w:r>
        <w:t xml:space="preserve">Das Problem: Natürliches GLP-1 wird im Blut innerhalb von Minuten durch das Enzym DPP-4 abgebaut</w:t>
      </w:r>
      <w:r>
        <w:rPr>
          <w:rStyle w:val="FootnoteReference"/>
        </w:rPr>
        <w:footnoteReference w:id="78"/>
      </w:r>
      <w:r>
        <w:t xml:space="preserve">. Als Medikament war es so kaum zu gebrauchen. Zwei Lösungswege wurden verfolgt: Hemmstoffe des Abbauenzyms (die sogenannten Gliptine, die als Tabletten zugelassen sind und keine Peptide sind) und stabile Nachbildungen des GLP-1 selbst.</w:t>
      </w:r>
    </w:p>
    <w:bookmarkEnd w:id="79"/>
    <w:bookmarkStart w:id="82"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w:t>
      </w:r>
      <w:r>
        <w:rPr>
          <w:rStyle w:val="FootnoteReference"/>
        </w:rPr>
        <w:footnoteReference w:id="80"/>
      </w:r>
      <w:r>
        <w:t xml:space="preserve">.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w:t>
      </w:r>
      <w:r>
        <w:rPr>
          <w:rStyle w:val="FootnoteReference"/>
        </w:rPr>
        <w:footnoteReference w:id="81"/>
      </w:r>
      <w:r>
        <w:t xml:space="preserve">.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82"/>
    <w:bookmarkStart w:id="87"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w:t>
      </w:r>
      <w:r>
        <w:rPr>
          <w:rStyle w:val="FootnoteReference"/>
        </w:rPr>
        <w:footnoteReference w:id="83"/>
      </w:r>
      <w:r>
        <w:t xml:space="preserve">.</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w:t>
      </w:r>
      <w:r>
        <w:rPr>
          <w:rStyle w:val="FootnoteReference"/>
        </w:rPr>
        <w:footnoteReference w:id="84"/>
      </w:r>
      <w:r>
        <w:t xml:space="preserve">.</w:t>
      </w:r>
    </w:p>
    <w:p>
      <w:pPr>
        <w:pStyle w:val="BodyText"/>
      </w:pPr>
      <w:r>
        <w:t xml:space="preserve">Den nächsten Schritt markierte Semaglutid: ein noch stärker an Albumin gebundenes Molekül, das nur einmal pro Woche gespritzt werden muss</w:t>
      </w:r>
      <w:r>
        <w:rPr>
          <w:rStyle w:val="FootnoteReference"/>
        </w:rPr>
        <w:footnoteReference w:id="85"/>
      </w:r>
      <w:r>
        <w:t xml:space="preserve">. In der Zulassungsstudie STEP 1 mit 1.961 Erwachsenen mit Übergewicht oder Adipositas sank das Körpergewicht über 68 Wochen im Mittel um 14,9 %, unter Placebo um 2,4 %</w:t>
      </w:r>
      <w:r>
        <w:rPr>
          <w:rStyle w:val="FootnoteReference"/>
        </w:rPr>
        <w:footnoteReference w:id="86"/>
      </w:r>
      <w:r>
        <w:t xml:space="preserve">. Diese Größenordnung lag deutlich über allem, was frühere Abnehmmedikamente erreicht hatten.</w:t>
      </w:r>
    </w:p>
    <w:bookmarkEnd w:id="87"/>
    <w:bookmarkStart w:id="91"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w:t>
      </w:r>
      <w:r>
        <w:rPr>
          <w:rStyle w:val="FootnoteReference"/>
        </w:rPr>
        <w:footnoteReference w:id="88"/>
      </w:r>
      <w:r>
        <w:t xml:space="preserve">. In der Studie SUSTAIN-6 mit 3.297 Teilnehmenden waren es unter Semaglutid 6,6 %, unter Placebo 8,9 %; allerdings traten unter Semaglutid häufiger Komplikationen an der Netzhaut auf</w:t>
      </w:r>
      <w:r>
        <w:rPr>
          <w:rStyle w:val="FootnoteReference"/>
        </w:rPr>
        <w:footnoteReference w:id="89"/>
      </w:r>
      <w:r>
        <w:t xml:space="preserve">.</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w:t>
      </w:r>
      <w:r>
        <w:rPr>
          <w:rStyle w:val="FootnoteReference"/>
        </w:rPr>
        <w:footnoteReference w:id="90"/>
      </w:r>
      <w:r>
        <w:t xml:space="preserve">.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91"/>
    <w:bookmarkStart w:id="95"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w:t>
      </w:r>
      <w:r>
        <w:rPr>
          <w:rStyle w:val="FootnoteReference"/>
        </w:rPr>
        <w:footnoteReference w:id="92"/>
      </w:r>
      <w:r>
        <w:t xml:space="preserve">.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w:t>
      </w:r>
      <w:r>
        <w:rPr>
          <w:rStyle w:val="FootnoteReference"/>
        </w:rPr>
        <w:footnoteReference w:id="93"/>
      </w:r>
      <w:r>
        <w:t xml:space="preserve">.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w:t>
      </w:r>
      <w:r>
        <w:rPr>
          <w:rStyle w:val="FootnoteReference"/>
        </w:rPr>
        <w:footnoteReference w:id="94"/>
      </w:r>
      <w:r>
        <w:t xml:space="preserve">, in Kombination wieder eine Rolle spielt. Die Forschung verläuft selten geradlinig.</w:t>
      </w:r>
    </w:p>
    <w:bookmarkEnd w:id="95"/>
    <w:bookmarkStart w:id="96"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96"/>
    <w:bookmarkStart w:id="97"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97"/>
    <w:bookmarkStart w:id="98"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98"/>
    <w:bookmarkEnd w:id="99"/>
    <w:bookmarkStart w:id="134" w:name="Xb960cb453f746deee6def8cad91e4d644b41640"/>
    <w:p>
      <w:pPr>
        <w:pStyle w:val="Heading2"/>
      </w:pPr>
      <w:r>
        <w:t xml:space="preserve">Wie Peptide in den Körper kommen – und warum das schwierig ist</w:t>
      </w:r>
    </w:p>
    <w:p>
      <w:pPr>
        <w:pStyle w:val="FirstParagraph"/>
      </w:pPr>
      <w:r>
        <w:t xml:space="preserve">Fast jedes Peptid-Arzneimittel, das Sie kennen,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101"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w:t>
      </w:r>
      <w:r>
        <w:rPr>
          <w:rStyle w:val="FootnoteReference"/>
        </w:rPr>
        <w:footnoteReference w:id="100"/>
      </w:r>
      <w:r>
        <w:t xml:space="preserve">.</w:t>
      </w:r>
    </w:p>
    <w:bookmarkEnd w:id="101"/>
    <w:bookmarkStart w:id="105"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w:t>
      </w:r>
      <w:r>
        <w:rPr>
          <w:rStyle w:val="FootnoteReference"/>
        </w:rPr>
        <w:footnoteReference w:id="102"/>
      </w:r>
      <w:r>
        <w:t xml:space="preserve">. Bei Semaglutid ergibt sich so eine Halbwertszeit von etwa einer Woche</w:t>
      </w:r>
      <w:r>
        <w:rPr>
          <w:rStyle w:val="FootnoteReference"/>
        </w:rPr>
        <w:footnoteReference w:id="103"/>
      </w:r>
      <w:r>
        <w:t xml:space="preserve">.</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w:t>
      </w:r>
      <w:r>
        <w:rPr>
          <w:rStyle w:val="FootnoteReference"/>
        </w:rPr>
        <w:footnoteReference w:id="104"/>
      </w:r>
      <w:r>
        <w:t xml:space="preserve">. Mehr dazu im Kapitel über den Graumarkt.</w:t>
      </w:r>
    </w:p>
    <w:bookmarkEnd w:id="105"/>
    <w:bookmarkStart w:id="107"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w:t>
      </w:r>
      <w:r>
        <w:rPr>
          <w:rStyle w:val="FootnoteReference"/>
        </w:rPr>
        <w:footnoteReference w:id="106"/>
      </w:r>
      <w:r>
        <w:t xml:space="preserve">. Der Durchbruch für einen breit eingesetzten Wirkstoff gelang aber erst mit der Semaglutid-Tablette.</w:t>
      </w:r>
    </w:p>
    <w:bookmarkEnd w:id="107"/>
    <w:bookmarkStart w:id="117"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w:t>
      </w:r>
      <w:r>
        <w:rPr>
          <w:rStyle w:val="FootnoteReference"/>
        </w:rPr>
        <w:footnoteReference w:id="108"/>
      </w:r>
      <w:r>
        <w:t xml:space="preserve">:</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w:t>
      </w:r>
      <w:r>
        <w:rPr>
          <w:rStyle w:val="FootnoteReference"/>
        </w:rPr>
        <w:footnoteReference w:id="109"/>
      </w:r>
      <w:r>
        <w:t xml:space="preserve">.</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w:t>
      </w:r>
      <w:r>
        <w:rPr>
          <w:rStyle w:val="FootnoteReference"/>
        </w:rPr>
        <w:footnoteReference w:id="110"/>
      </w:r>
      <w:r>
        <w:t xml:space="preserve">.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w:t>
      </w:r>
      <w:r>
        <w:rPr>
          <w:rStyle w:val="FootnoteReference"/>
        </w:rPr>
        <w:footnoteReference w:id="111"/>
      </w:r>
      <w:r>
        <w:t xml:space="preserve">. In der Tablettenstudie PIONEER 1 wurden dagegen täglich 3, 7 oder 14 mg untersucht</w:t>
      </w:r>
      <w:r>
        <w:rPr>
          <w:rStyle w:val="FootnoteReference"/>
        </w:rPr>
        <w:footnoteReference w:id="112"/>
      </w:r>
      <w:r>
        <w:t xml:space="preserve">. Dass die Langzeitwirkung trotzdem gleichmäßig ist, liegt an der langen Halbwertszeit: Schwankungen der Aufnahme von Tag zu Tag gleichen sich über die Woche weitgehend aus</w:t>
      </w:r>
      <w:r>
        <w:rPr>
          <w:rStyle w:val="FootnoteReference"/>
        </w:rPr>
        <w:footnoteReference w:id="113"/>
      </w:r>
      <w:r>
        <w:t xml:space="preserve">.</w:t>
      </w:r>
    </w:p>
    <w:p>
      <w:pPr>
        <w:pStyle w:val="BodyText"/>
      </w:pPr>
      <w:r>
        <w:t xml:space="preserve">Die Tablette wirkt, das zeigen die Studien. In PIONEER 1 mit 703 Menschen mit Typ-2-Diabetes sank der HbA1c-Wert nach 26 Wochen in der höchsten Dosis um 1,1 Prozentpunkte stärker als unter Placebo</w:t>
      </w:r>
      <w:r>
        <w:rPr>
          <w:rStyle w:val="FootnoteReference"/>
        </w:rPr>
        <w:footnoteReference w:id="114"/>
      </w:r>
      <w:r>
        <w:t xml:space="preserve">. In der Studie OASIS 1 wurde eine höhere Dosis von 50 mg täglich bei 667 Erwachsenen mit Übergewicht oder Adipositas ohne Diabetes geprüft. Nach 68 Wochen lag der mittlere Gewichtsverlust bei 15,1 %, unter Placebo bei 2,4 %</w:t>
      </w:r>
      <w:r>
        <w:rPr>
          <w:rStyle w:val="FootnoteReference"/>
        </w:rPr>
        <w:footnoteReference w:id="115"/>
      </w:r>
      <w:r>
        <w:t xml:space="preserve">.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w:t>
      </w:r>
      <w:r>
        <w:rPr>
          <w:rStyle w:val="FootnoteReference"/>
        </w:rPr>
        <w:footnoteReference w:id="116"/>
      </w:r>
      <w:r>
        <w:t xml:space="preserve">.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117"/>
    <w:bookmarkStart w:id="119"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w:t>
      </w:r>
      <w:r>
        <w:rPr>
          <w:rStyle w:val="FootnoteReference"/>
        </w:rPr>
        <w:footnoteReference w:id="118"/>
      </w:r>
      <w:r>
        <w:t xml:space="preserve">.</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119"/>
    <w:bookmarkStart w:id="121"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w:t>
      </w:r>
      <w:r>
        <w:rPr>
          <w:rStyle w:val="FootnoteReference"/>
        </w:rPr>
        <w:footnoteReference w:id="120"/>
      </w:r>
      <w:r>
        <w:t xml:space="preserve">.</w:t>
      </w:r>
    </w:p>
    <w:bookmarkEnd w:id="121"/>
    <w:bookmarkStart w:id="123"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w:t>
      </w:r>
      <w:r>
        <w:rPr>
          <w:rStyle w:val="FootnoteReference"/>
        </w:rPr>
        <w:footnoteReference w:id="122"/>
      </w:r>
      <w:r>
        <w:t xml:space="preserve">. Die Autoren mahnen zu Skepsis gegenüber Studien mit Verhaltenseffekten und fordern vorab registrierte Studien. Das ist für alle Peptide relevant, die als „Nasenspray fürs Gehirn“ beworben werden, etwa Semax oder Selank, die in Teil II behandelt werden.</w:t>
      </w:r>
    </w:p>
    <w:bookmarkEnd w:id="123"/>
    <w:bookmarkStart w:id="125"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w:t>
      </w:r>
      <w:r>
        <w:rPr>
          <w:rStyle w:val="FootnoteReference"/>
        </w:rPr>
        <w:footnoteReference w:id="124"/>
      </w:r>
      <w:r>
        <w:t xml:space="preserve">. Später wurde in den USA ein anderes inhalierbares Insulin zugelassen. Für die meisten anderen Peptide spielt die Inhalation bisher keine Rolle.</w:t>
      </w:r>
    </w:p>
    <w:bookmarkEnd w:id="125"/>
    <w:bookmarkStart w:id="127"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w:t>
      </w:r>
      <w:r>
        <w:rPr>
          <w:rStyle w:val="FootnoteReference"/>
        </w:rPr>
        <w:footnoteReference w:id="126"/>
      </w:r>
      <w:r>
        <w:t xml:space="preserve">.</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sollten Sie mit großer Skepsis betrachten.</w:t>
      </w:r>
    </w:p>
    <w:bookmarkEnd w:id="127"/>
    <w:bookmarkStart w:id="129"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w:t>
      </w:r>
      <w:r>
        <w:rPr>
          <w:rStyle w:val="FootnoteReference"/>
        </w:rPr>
        <w:footnoteReference w:id="128"/>
      </w:r>
      <w:r>
        <w:t xml:space="preserve">.</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129"/>
    <w:bookmarkStart w:id="131"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w:t>
      </w:r>
      <w:r>
        <w:rPr>
          <w:rStyle w:val="FootnoteReference"/>
        </w:rPr>
        <w:footnoteReference w:id="130"/>
      </w:r>
      <w:r>
        <w:t xml:space="preserve">. Teil IV behandelt Immunreaktionen ausführlich.</w:t>
      </w:r>
    </w:p>
    <w:bookmarkEnd w:id="131"/>
    <w:bookmarkStart w:id="132"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132"/>
    <w:bookmarkStart w:id="133"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133"/>
    <w:bookmarkEnd w:id="134"/>
    <w:bookmarkStart w:id="166"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Sie selbst prüfen können, was hinter einer Behauptung steckt.</w:t>
      </w:r>
    </w:p>
    <w:bookmarkStart w:id="135"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135"/>
    <w:bookmarkStart w:id="136"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136"/>
    <w:bookmarkStart w:id="138"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w:t>
      </w:r>
      <w:r>
        <w:rPr>
          <w:rStyle w:val="FootnoteReference"/>
        </w:rPr>
        <w:footnoteReference w:id="137"/>
      </w:r>
      <w:r>
        <w:t xml:space="preserve">.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138"/>
    <w:bookmarkStart w:id="139"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werden Sie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139"/>
    <w:bookmarkStart w:id="140"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140"/>
    <w:bookmarkStart w:id="143"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w:t>
      </w:r>
      <w:r>
        <w:rPr>
          <w:rStyle w:val="FootnoteReference"/>
        </w:rPr>
        <w:footnoteReference w:id="141"/>
      </w:r>
      <w:r>
        <w:t xml:space="preserve">.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w:t>
      </w:r>
      <w:r>
        <w:rPr>
          <w:rStyle w:val="FootnoteReference"/>
        </w:rPr>
        <w:footnoteReference w:id="142"/>
      </w:r>
      <w:r>
        <w:t xml:space="preserve">. Erfahrungsberichte aus Foren sind deshalb kein Ersatz für kontrollierte Studien.</w:t>
      </w:r>
    </w:p>
    <w:bookmarkEnd w:id="143"/>
    <w:bookmarkStart w:id="144"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144"/>
    <w:bookmarkStart w:id="146"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w:t>
      </w:r>
      <w:r>
        <w:rPr>
          <w:rStyle w:val="FootnoteReference"/>
        </w:rPr>
        <w:footnoteReference w:id="145"/>
      </w:r>
      <w:r>
        <w:t xml:space="preserve">.</w:t>
      </w:r>
    </w:p>
    <w:p>
      <w:pPr>
        <w:pStyle w:val="BodyText"/>
      </w:pPr>
      <w:r>
        <w:t xml:space="preserve">Bei Peptiden begegnen Ihnen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146"/>
    <w:bookmarkStart w:id="149"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w:t>
      </w:r>
      <w:r>
        <w:rPr>
          <w:rStyle w:val="FootnoteReference"/>
        </w:rPr>
        <w:footnoteReference w:id="147"/>
      </w:r>
      <w:r>
        <w:t xml:space="preserve">.</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Achten Sie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w:t>
      </w:r>
      <w:r>
        <w:rPr>
          <w:rStyle w:val="FootnoteReference"/>
        </w:rPr>
        <w:footnoteReference w:id="148"/>
      </w:r>
      <w:r>
        <w:t xml:space="preserve">. Relativ ist das eine Verdopplung, absolut ein Unterschied von 8,4 Prozentpunkten.</w:t>
      </w:r>
    </w:p>
    <w:bookmarkEnd w:id="149"/>
    <w:bookmarkStart w:id="151"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w:t>
      </w:r>
      <w:r>
        <w:rPr>
          <w:rStyle w:val="FootnoteReference"/>
        </w:rPr>
        <w:footnoteReference w:id="150"/>
      </w:r>
      <w:r>
        <w:t xml:space="preserve">. Ein so enges Intervall zeigt eine präzise Schätzung. Bei kleinen Studien sind die Intervalle oft sehr breit – ein Zeichen, dass der wahre Effekt groß, klein oder sogar null sein könnte.</w:t>
      </w:r>
    </w:p>
    <w:bookmarkEnd w:id="151"/>
    <w:bookmarkStart w:id="153"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w:t>
      </w:r>
      <w:r>
        <w:rPr>
          <w:rStyle w:val="FootnoteReference"/>
        </w:rPr>
        <w:footnoteReference w:id="152"/>
      </w:r>
      <w:r>
        <w:t xml:space="preserve">. Beide Zahlen sind korrekt, beantworten aber unterschiedliche Fragen. Die erste ist meist realistischer für den Alltag.</w:t>
      </w:r>
    </w:p>
    <w:bookmarkEnd w:id="153"/>
    <w:bookmarkStart w:id="155"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w:t>
      </w:r>
      <w:r>
        <w:rPr>
          <w:rStyle w:val="FootnoteReference"/>
        </w:rPr>
        <w:footnoteReference w:id="154"/>
      </w:r>
      <w:r>
        <w:t xml:space="preserve">. Viele dieser Merkmale treffen auf die Forschung zu wenig untersuchten Peptiden zu.</w:t>
      </w:r>
    </w:p>
    <w:bookmarkEnd w:id="155"/>
    <w:bookmarkStart w:id="157"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w:t>
      </w:r>
      <w:r>
        <w:rPr>
          <w:rStyle w:val="FootnoteReference"/>
        </w:rPr>
        <w:footnoteReference w:id="156"/>
      </w:r>
      <w:r>
        <w:t xml:space="preserve">.</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157"/>
    <w:bookmarkStart w:id="159"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w:t>
      </w:r>
      <w:r>
        <w:rPr>
          <w:rStyle w:val="FootnoteReference"/>
        </w:rPr>
        <w:footnoteReference w:id="158"/>
      </w:r>
      <w:r>
        <w:t xml:space="preserve">. Wer nur die Fachzeitschriften liest, bekommt ein zu rosiges Bild.</w:t>
      </w:r>
    </w:p>
    <w:bookmarkEnd w:id="159"/>
    <w:bookmarkStart w:id="161"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w:t>
      </w:r>
      <w:r>
        <w:rPr>
          <w:rStyle w:val="FootnoteReference"/>
        </w:rPr>
        <w:footnoteReference w:id="160"/>
      </w:r>
      <w:r>
        <w:t xml:space="preserve">.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161"/>
    <w:bookmarkStart w:id="162"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162"/>
    <w:bookmarkStart w:id="163"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163"/>
    <w:bookmarkStart w:id="164"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164"/>
    <w:bookmarkStart w:id="165"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Fragen Sie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165"/>
    <w:bookmarkEnd w:id="166"/>
    <w:bookmarkStart w:id="211"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Ihnen helfen, die Risiken realistisch einzuschätzen. Bezugsquellen werden in diesem Buch grundsätzlich nicht genannt.</w:t>
      </w:r>
    </w:p>
    <w:bookmarkStart w:id="169"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w:t>
      </w:r>
      <w:r>
        <w:rPr>
          <w:rStyle w:val="FootnoteReference"/>
        </w:rPr>
        <w:footnoteReference w:id="167"/>
      </w:r>
      <w:r>
        <w:t xml:space="preserve">.</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w:t>
      </w:r>
      <w:r>
        <w:rPr>
          <w:rStyle w:val="FootnoteReference"/>
        </w:rPr>
        <w:footnoteReference w:id="168"/>
      </w:r>
      <w:r>
        <w:t xml:space="preserve">.</w:t>
      </w:r>
    </w:p>
    <w:bookmarkEnd w:id="169"/>
    <w:bookmarkStart w:id="184"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171"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w:t>
      </w:r>
      <w:r>
        <w:rPr>
          <w:rStyle w:val="FootnoteReference"/>
        </w:rPr>
        <w:footnoteReference w:id="170"/>
      </w:r>
      <w:r>
        <w:t xml:space="preserve">.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171"/>
    <w:bookmarkStart w:id="173"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w:t>
      </w:r>
      <w:r>
        <w:rPr>
          <w:rStyle w:val="FootnoteReference"/>
        </w:rPr>
        <w:footnoteReference w:id="172"/>
      </w:r>
      <w:r>
        <w:t xml:space="preserve">.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173"/>
    <w:bookmarkStart w:id="175" w:name="melanotan-ii-aus-online-shops"/>
    <w:p>
      <w:pPr>
        <w:pStyle w:val="Heading4"/>
      </w:pPr>
      <w:r>
        <w:t xml:space="preserve">Melanotan II aus Online-Shops</w:t>
      </w:r>
    </w:p>
    <w:p>
      <w:pPr>
        <w:pStyle w:val="FirstParagraph"/>
      </w:pPr>
      <w:r>
        <w:t xml:space="preserve">Für das Bräunungspeptid Melanotan II untersuchte eine Forschungsgruppe Fläschchen aus drei Online-Shops. Alle Shops gaben 10 mg pro Fläschchen an; tatsächlich enthielten die Fläschchen zwischen 4,32 und 8,84 mg. In Produkten von zwei Shops fanden sich unbekannte Verunreinigungen von 4,1 bis 5,9 %</w:t>
      </w:r>
      <w:r>
        <w:rPr>
          <w:rStyle w:val="FootnoteReference"/>
        </w:rPr>
        <w:footnoteReference w:id="174"/>
      </w:r>
      <w:r>
        <w:t xml:space="preserve">.</w:t>
      </w:r>
    </w:p>
    <w:bookmarkEnd w:id="175"/>
    <w:bookmarkStart w:id="183"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w:t>
      </w:r>
      <w:r>
        <w:rPr>
          <w:rStyle w:val="FootnoteReference"/>
        </w:rPr>
        <w:footnoteReference w:id="176"/>
      </w:r>
      <w:r>
        <w:t xml:space="preserve">. In Tabletten, die als frei verkäufliches Nahrungsergänzungsmittel angeboten wurden, wurden etwa 50 Mikrogramm GHRP-2 pro Tablette gemessen</w:t>
      </w:r>
      <w:r>
        <w:rPr>
          <w:rStyle w:val="FootnoteReference"/>
        </w:rPr>
        <w:footnoteReference w:id="177"/>
      </w:r>
      <w:r>
        <w:t xml:space="preserve"> </w:t>
      </w:r>
      <w:r>
        <w:t xml:space="preserve">–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w:t>
      </w:r>
      <w:r>
        <w:rPr>
          <w:rStyle w:val="FootnoteReference"/>
        </w:rPr>
        <w:footnoteReference w:id="178"/>
      </w:r>
      <w:r>
        <w:t xml:space="preserve">. In Norwegen enthielten 28 % der zwischen 2011 und 2014 beschlagnahmten und analysierten Produkte peptid- oder eiweißbasierte Dopingmittel</w:t>
      </w:r>
      <w:r>
        <w:rPr>
          <w:rStyle w:val="FootnoteReference"/>
        </w:rPr>
        <w:footnoteReference w:id="179"/>
      </w:r>
      <w:r>
        <w:t xml:space="preserve">.</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w:t>
      </w:r>
      <w:r>
        <w:rPr>
          <w:rStyle w:val="FootnoteReference"/>
        </w:rPr>
        <w:footnoteReference w:id="180"/>
      </w:r>
      <w:r>
        <w:t xml:space="preserve">. Solche Abwandlungen sind möglicherweise Versuche, Dopingtests zu umgehen; ihre Wirkung und Sicherheit beim Menschen sind unbekannt.</w:t>
      </w:r>
    </w:p>
    <w:p>
      <w:pPr>
        <w:pStyle w:val="BodyText"/>
      </w:pPr>
      <w:r>
        <w:t xml:space="preserve">Auch BPC-157 wurde in beschlagnahmten Fläschchen identifiziert. Eine Forschungsgruppe entwickelte daraufhin ein Nachweisverfahren für Urinproben</w:t>
      </w:r>
      <w:r>
        <w:rPr>
          <w:rStyle w:val="FootnoteReference"/>
        </w:rPr>
        <w:footnoteReference w:id="181"/>
      </w:r>
      <w:r>
        <w:t xml:space="preserve">.</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w:t>
      </w:r>
      <w:r>
        <w:rPr>
          <w:rStyle w:val="FootnoteReference"/>
        </w:rPr>
        <w:footnoteReference w:id="182"/>
      </w:r>
      <w:r>
        <w:t xml:space="preserve">.</w:t>
      </w:r>
    </w:p>
    <w:bookmarkEnd w:id="183"/>
    <w:bookmarkEnd w:id="184"/>
    <w:bookmarkStart w:id="185"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85"/>
    <w:bookmarkStart w:id="187"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w:t>
      </w:r>
      <w:r>
        <w:rPr>
          <w:rStyle w:val="FootnoteReference"/>
        </w:rPr>
        <w:footnoteReference w:id="186"/>
      </w:r>
      <w:r>
        <w:t xml:space="preserve">.</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87"/>
    <w:bookmarkStart w:id="189"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w:t>
      </w:r>
      <w:r>
        <w:rPr>
          <w:rStyle w:val="FootnoteReference"/>
        </w:rPr>
        <w:footnoteReference w:id="188"/>
      </w:r>
      <w:r>
        <w:t xml:space="preserve">. Auch das Auflösen mit unsterilem Wasser, die mehrfache Entnahme aus demselben Fläschchen oder die Wiederverwendung von Nadeln können Keime einbringen.</w:t>
      </w:r>
    </w:p>
    <w:bookmarkEnd w:id="189"/>
    <w:bookmarkStart w:id="191"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w:t>
      </w:r>
      <w:r>
        <w:rPr>
          <w:rStyle w:val="FootnoteReference"/>
        </w:rPr>
        <w:footnoteReference w:id="190"/>
      </w:r>
      <w:r>
        <w:t xml:space="preserve">. Die Autorinnen und Autoren betonen, dass Fläschchen anders als Fertigpens keine Sicherheitsmechanismen gegen solche Fehler bieten.</w:t>
      </w:r>
    </w:p>
    <w:bookmarkEnd w:id="191"/>
    <w:bookmarkStart w:id="196"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w:t>
      </w:r>
      <w:r>
        <w:rPr>
          <w:rStyle w:val="FootnoteReference"/>
        </w:rPr>
        <w:footnoteReference w:id="192"/>
      </w:r>
      <w:r>
        <w:t xml:space="preserve">.</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w:t>
      </w:r>
      <w:r>
        <w:rPr>
          <w:rStyle w:val="FootnoteReference"/>
        </w:rPr>
        <w:footnoteReference w:id="193"/>
      </w:r>
      <w:r>
        <w:t xml:space="preserve">.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w:t>
      </w:r>
      <w:r>
        <w:rPr>
          <w:rStyle w:val="FootnoteReference"/>
        </w:rPr>
        <w:footnoteReference w:id="194"/>
      </w:r>
      <w:r>
        <w:t xml:space="preserve">.</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w:t>
      </w:r>
      <w:r>
        <w:rPr>
          <w:rStyle w:val="FootnoteReference"/>
        </w:rPr>
        <w:footnoteReference w:id="195"/>
      </w:r>
      <w:r>
        <w:t xml:space="preserve">. Wie bei allen Meldedaten gilt: Sie zeigen Signale, keine Häufigkeiten.</w:t>
      </w:r>
    </w:p>
    <w:bookmarkEnd w:id="196"/>
    <w:bookmarkStart w:id="199"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w:t>
      </w:r>
      <w:r>
        <w:rPr>
          <w:rStyle w:val="FootnoteReference"/>
        </w:rPr>
        <w:footnoteReference w:id="197"/>
      </w:r>
      <w:r>
        <w:t xml:space="preserve">.</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w:t>
      </w:r>
      <w:r>
        <w:rPr>
          <w:rStyle w:val="FootnoteReference"/>
        </w:rPr>
        <w:footnoteReference w:id="198"/>
      </w:r>
      <w:r>
        <w:t xml:space="preserve">. Der Fall zeigt ein weiteres Problem: Wer Peptide nicht als Arzneimittel wahrnimmt, erwähnt sie auch nicht gegenüber Ärztinnen und Ärzten.</w:t>
      </w:r>
    </w:p>
    <w:bookmarkEnd w:id="199"/>
    <w:bookmarkStart w:id="203"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w:t>
      </w:r>
      <w:r>
        <w:rPr>
          <w:rStyle w:val="FootnoteReference"/>
        </w:rPr>
        <w:footnoteReference w:id="200"/>
      </w:r>
      <w:r>
        <w:t xml:space="preserve">.</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w:t>
      </w:r>
      <w:r>
        <w:rPr>
          <w:rStyle w:val="FootnoteReference"/>
        </w:rPr>
        <w:footnoteReference w:id="201"/>
      </w:r>
      <w:r>
        <w:t xml:space="preserve">.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w:t>
      </w:r>
      <w:r>
        <w:rPr>
          <w:rStyle w:val="FootnoteReference"/>
        </w:rPr>
        <w:footnoteReference w:id="202"/>
      </w:r>
      <w:r>
        <w:t xml:space="preserve">.</w:t>
      </w:r>
    </w:p>
    <w:bookmarkEnd w:id="203"/>
    <w:bookmarkStart w:id="206"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w:t>
      </w:r>
      <w:r>
        <w:rPr>
          <w:rStyle w:val="FootnoteReference"/>
        </w:rPr>
        <w:footnoteReference w:id="204"/>
      </w:r>
      <w:r>
        <w:t xml:space="preserve">.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w:t>
      </w:r>
      <w:r>
        <w:rPr>
          <w:rStyle w:val="FootnoteReference"/>
        </w:rPr>
        <w:footnoteReference w:id="205"/>
      </w:r>
      <w:r>
        <w:t xml:space="preserve">.</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206"/>
    <w:bookmarkStart w:id="208"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w:t>
      </w:r>
      <w:r>
        <w:rPr>
          <w:rStyle w:val="FootnoteReference"/>
        </w:rPr>
        <w:footnoteReference w:id="207"/>
      </w:r>
      <w:r>
        <w:t xml:space="preserve">.</w:t>
      </w:r>
    </w:p>
    <w:p>
      <w:pPr>
        <w:pStyle w:val="BodyText"/>
      </w:pPr>
      <w:r>
        <w:t xml:space="preserve">Diese Motive sind nachvollziehbar. Die Analysen in diesem Kapitel zeigen aber, dass Käuferinnen und Käufer auf dem Graumarkt nicht wissen können, was sie tatsächlich erhalten.</w:t>
      </w:r>
    </w:p>
    <w:bookmarkEnd w:id="208"/>
    <w:bookmarkStart w:id="209" w:name="Xbeaec0ec992599e10436317df2f8472a29ed285"/>
    <w:p>
      <w:pPr>
        <w:pStyle w:val="Heading3"/>
      </w:pPr>
      <w:r>
        <w:t xml:space="preserve">Wenn Sie bereits Graumarkt-Peptide verwendet haben</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Informieren Sie Ihre Ärztin oder Ihren Arzt über alle Spritzen, Peptide und „Forschungschemikalien“, die Sie verwenden – auch wenn Sie sie nicht als Medikament betrachten.</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209"/>
    <w:bookmarkStart w:id="210"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210"/>
    <w:bookmarkEnd w:id="211"/>
    <w:bookmarkStart w:id="229"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prüfen Sie im Einzelfall die aktuelle Rechtslage und wenden Sie sich bei konkreten Fragen an eine Rechtsanwältin, einen Rechtsanwalt oder die zuständige Behörde.</w:t>
      </w:r>
    </w:p>
    <w:bookmarkStart w:id="212"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212"/>
    <w:bookmarkStart w:id="213"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213"/>
    <w:bookmarkStart w:id="214"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214"/>
    <w:bookmarkStart w:id="216"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einem Anti-Doping-Labor: In als frei verkäufliches Nahrungsergänzungsmittel angebotenen Tabletten wurde das Wachstumshormon-freisetzende Peptid GHRP-2 nachgewiesen</w:t>
      </w:r>
      <w:r>
        <w:rPr>
          <w:rStyle w:val="FootnoteReference"/>
        </w:rPr>
        <w:footnoteReference w:id="215"/>
      </w:r>
      <w:r>
        <w:t xml:space="preserve">.</w:t>
      </w:r>
    </w:p>
    <w:bookmarkEnd w:id="216"/>
    <w:bookmarkStart w:id="217"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217"/>
    <w:bookmarkStart w:id="218"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218"/>
    <w:bookmarkStart w:id="219"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219"/>
    <w:bookmarkStart w:id="220"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220"/>
    <w:bookmarkStart w:id="223"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w:t>
      </w:r>
      <w:r>
        <w:rPr>
          <w:rStyle w:val="FootnoteReference"/>
        </w:rPr>
        <w:footnoteReference w:id="221"/>
      </w:r>
      <w:r>
        <w:t xml:space="preserve">.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prüfen Sie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w:t>
      </w:r>
      <w:r>
        <w:rPr>
          <w:rStyle w:val="FootnoteReference"/>
        </w:rPr>
        <w:footnoteReference w:id="222"/>
      </w:r>
      <w:r>
        <w:t xml:space="preserve">.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223"/>
    <w:bookmarkStart w:id="225"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w:t>
      </w:r>
      <w:r>
        <w:rPr>
          <w:rStyle w:val="FootnoteReference"/>
        </w:rPr>
        <w:footnoteReference w:id="224"/>
      </w:r>
      <w:r>
        <w:t xml:space="preserve">.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225"/>
    <w:bookmarkStart w:id="226"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226"/>
    <w:bookmarkStart w:id="227"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227"/>
    <w:bookmarkStart w:id="228"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228"/>
    <w:bookmarkEnd w:id="229"/>
    <w:bookmarkEnd w:id="230"/>
    <w:bookmarkStart w:id="891"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231"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sollten Sie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231"/>
    <w:bookmarkStart w:id="232"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prüfen Sie den aktuellen Stand, denn gerade in dieser Gruppe ändern sich Zulassungen schnell.</w:t>
      </w:r>
    </w:p>
    <w:bookmarkEnd w:id="232"/>
    <w:bookmarkStart w:id="233"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finden Sie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233"/>
    <w:bookmarkStart w:id="288" w:name="exenatid"/>
    <w:p>
      <w:pPr>
        <w:pStyle w:val="Heading2"/>
      </w:pPr>
      <w:r>
        <w:t xml:space="preserve">Exenatid</w:t>
      </w:r>
    </w:p>
    <w:bookmarkStart w:id="235"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w:t>
      </w:r>
      <w:r>
        <w:rPr>
          <w:rStyle w:val="FootnoteReference"/>
        </w:rPr>
        <w:footnoteReference w:id="234"/>
      </w:r>
      <w:r>
        <w:t xml:space="preserve">.</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235"/>
    <w:bookmarkStart w:id="236"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236"/>
    <w:bookmarkStart w:id="264"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238"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w:t>
      </w:r>
      <w:r>
        <w:rPr>
          <w:rStyle w:val="FootnoteReference"/>
        </w:rPr>
        <w:footnoteReference w:id="237"/>
      </w:r>
      <w:r>
        <w:t xml:space="preserve"> </w:t>
      </w:r>
      <w:r>
        <w:t xml:space="preserve">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238"/>
    <w:bookmarkStart w:id="242"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w:t>
      </w:r>
      <w:r>
        <w:rPr>
          <w:rStyle w:val="FootnoteReference"/>
        </w:rPr>
        <w:footnoteReference w:id="239"/>
      </w:r>
      <w:r>
        <w:t xml:space="preserve">: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w:t>
      </w:r>
      <w:r>
        <w:rPr>
          <w:rStyle w:val="FootnoteReference"/>
        </w:rPr>
        <w:footnoteReference w:id="240"/>
      </w:r>
      <w:r>
        <w:t xml:space="preserve"> </w:t>
      </w:r>
      <w:r>
        <w:t xml:space="preserve">war die Wochenform zwei damals gängigen Tabletten überlegen: Der Unterschied zu Sitagliptin betrug 0,6 Prozentpunkte, zu Pioglitazon 0,3 Prozentpunkte. Beim Gewicht lag der Unterschied zu Pioglitazon, das eher zu Gewichtszunahme führt, bei 5,1 kg. In DURATION-3</w:t>
      </w:r>
      <w:r>
        <w:rPr>
          <w:rStyle w:val="FootnoteReference"/>
        </w:rPr>
        <w:footnoteReference w:id="241"/>
      </w:r>
      <w:r>
        <w:t xml:space="preserve"> </w:t>
      </w:r>
      <w:r>
        <w:t xml:space="preserve">war Exenatid wöchentlich dem Basalinsulin glargin leicht überlegen (Differenz −0,16 Prozentpunkte), allerdings brachen mehr Personen die Behandlung wegen Nebenwirkungen ab.</w:t>
      </w:r>
    </w:p>
    <w:bookmarkEnd w:id="242"/>
    <w:bookmarkStart w:id="245"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rPr>
          <w:rStyle w:val="FootnoteReference"/>
        </w:rPr>
        <w:footnoteReference w:id="243"/>
      </w:r>
      <w:r>
        <w:t xml:space="preserve"> </w:t>
      </w:r>
      <w:r>
        <w:t xml:space="preserve">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rPr>
          <w:rStyle w:val="FootnoteReference"/>
        </w:rPr>
        <w:footnoteReference w:id="244"/>
      </w:r>
      <w:r>
        <w:t xml:space="preserve"> </w:t>
      </w:r>
      <w:r>
        <w:t xml:space="preserve">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Der Vergleich mit Dulaglutid und Liraglutid zweimal täglich (die AWARD-1- und LEAD-6-Studien) wird in den jeweiligen Kapiteln besprochen.</w:t>
      </w:r>
    </w:p>
    <w:p>
      <w:pPr>
        <w:pStyle w:val="BodyText"/>
      </w:pPr>
      <w:r>
        <w:t xml:space="preserve">Zusammengefasst ordnet sich Exenatid innerhalb der Klasse im unteren Mittelfeld ein: stärker als die DPP-4-Hemmer (Gliptine), schwächer als Liraglutid, Dulaglutid und vor allem Semaglutid.</w:t>
      </w:r>
    </w:p>
    <w:bookmarkEnd w:id="245"/>
    <w:bookmarkStart w:id="249"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w:t>
      </w:r>
      <w:r>
        <w:rPr>
          <w:rStyle w:val="FootnoteReference"/>
        </w:rPr>
        <w:footnoteReference w:id="246"/>
      </w:r>
      <w:r>
        <w:t xml:space="preserve"> </w:t>
      </w:r>
      <w:r>
        <w:t xml:space="preserve">–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w:t>
      </w:r>
      <w:r>
        <w:rPr>
          <w:rStyle w:val="FootnoteReference"/>
        </w:rPr>
        <w:footnoteReference w:id="247"/>
      </w:r>
      <w:r>
        <w:t xml:space="preserve"> </w:t>
      </w:r>
      <w:r>
        <w:t xml:space="preserve">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w:t>
      </w:r>
      <w:r>
        <w:rPr>
          <w:rStyle w:val="FootnoteReference"/>
        </w:rPr>
        <w:footnoteReference w:id="248"/>
      </w:r>
      <w:r>
        <w:t xml:space="preserve"> </w:t>
      </w:r>
      <w:r>
        <w:t xml:space="preserve">nur die großzügige Sicherheitsgrenze aus dem Jahr 2008. Der Punktschätzer lag ungünstig über 1, Nebenwirkungen waren häufiger als unter Placebo (72 % vs. 63,9 %). Eine Zulassung erhielt das System nicht.</w:t>
      </w:r>
    </w:p>
    <w:bookmarkEnd w:id="249"/>
    <w:bookmarkStart w:id="253"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w:t>
      </w:r>
      <w:r>
        <w:rPr>
          <w:rStyle w:val="FootnoteReference"/>
        </w:rPr>
        <w:footnoteReference w:id="250"/>
      </w:r>
      <w:r>
        <w:t xml:space="preserve">. Eine Meta-Analyse von sechs kleinen Studien mit 362 Teilnehmenden fand einen mittleren Mehrverlust von 4,47 kg gegenüber Kontrollen</w:t>
      </w:r>
      <w:r>
        <w:rPr>
          <w:rStyle w:val="FootnoteReference"/>
        </w:rPr>
        <w:footnoteReference w:id="251"/>
      </w:r>
      <w:r>
        <w:t xml:space="preserve">.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w:t>
      </w:r>
      <w:r>
        <w:rPr>
          <w:rStyle w:val="FootnoteReference"/>
        </w:rPr>
        <w:footnoteReference w:id="252"/>
      </w:r>
      <w:r>
        <w:t xml:space="preserve">. Ein Gewichtsunterschied von −1,22 kg war statistisch nicht gesichert. Diese Studie bildete die Grundlage für die Ausweitung der Zulassung auf Jugendliche.</w:t>
      </w:r>
    </w:p>
    <w:bookmarkEnd w:id="253"/>
    <w:bookmarkStart w:id="258"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w:t>
      </w:r>
      <w:r>
        <w:rPr>
          <w:rStyle w:val="FootnoteReference"/>
        </w:rPr>
        <w:footnoteReference w:id="254"/>
      </w:r>
      <w:r>
        <w:t xml:space="preserve"> </w:t>
      </w:r>
      <w:r>
        <w:t xml:space="preserve">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w:t>
      </w:r>
      <w:r>
        <w:rPr>
          <w:rStyle w:val="FootnoteReference"/>
        </w:rPr>
        <w:footnoteReference w:id="255"/>
      </w:r>
      <w:r>
        <w:t xml:space="preserve"> </w:t>
      </w:r>
      <w:r>
        <w:t xml:space="preserve">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w:t>
      </w:r>
      <w:r>
        <w:rPr>
          <w:rStyle w:val="FootnoteReference"/>
        </w:rPr>
        <w:footnoteReference w:id="256"/>
      </w:r>
      <w:r>
        <w:t xml:space="preserve">.</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w:t>
      </w:r>
      <w:r>
        <w:rPr>
          <w:rStyle w:val="FootnoteReference"/>
        </w:rPr>
        <w:footnoteReference w:id="257"/>
      </w:r>
      <w:r>
        <w:t xml:space="preserve">. Die Autorinnen und Autoren halten selbst einen Placebo- oder Beobachtereffekt für möglich.</w:t>
      </w:r>
    </w:p>
    <w:bookmarkEnd w:id="258"/>
    <w:bookmarkStart w:id="263"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w:t>
      </w:r>
      <w:r>
        <w:rPr>
          <w:rStyle w:val="FootnoteReference"/>
        </w:rPr>
        <w:footnoteReference w:id="259"/>
      </w:r>
      <w:r>
        <w:t xml:space="preserve">. Eine Studie über 32 Wochen bei leichter kognitiver Störung zeigte ebenfalls keinen Nutzen</w:t>
      </w:r>
      <w:r>
        <w:rPr>
          <w:rStyle w:val="FootnoteReference"/>
        </w:rPr>
        <w:footnoteReference w:id="260"/>
      </w:r>
      <w:r>
        <w:t xml:space="preserve">.</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w:t>
      </w:r>
      <w:r>
        <w:rPr>
          <w:rStyle w:val="FootnoteReference"/>
        </w:rPr>
        <w:footnoteReference w:id="261"/>
      </w:r>
      <w:r>
        <w:t xml:space="preserve">.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w:t>
      </w:r>
      <w:r>
        <w:rPr>
          <w:rStyle w:val="FootnoteReference"/>
        </w:rPr>
        <w:footnoteReference w:id="262"/>
      </w:r>
      <w:r>
        <w:t xml:space="preserve">. Die Studie ist sehr klein; eine größere Studie steht aus.</w:t>
      </w:r>
    </w:p>
    <w:bookmarkEnd w:id="263"/>
    <w:bookmarkEnd w:id="264"/>
    <w:bookmarkStart w:id="268"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w:t>
      </w:r>
      <w:r>
        <w:rPr>
          <w:rStyle w:val="FootnoteReference"/>
        </w:rPr>
        <w:footnoteReference w:id="265"/>
      </w:r>
      <w:r>
        <w:t xml:space="preserve">.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w:t>
      </w:r>
      <w:r>
        <w:rPr>
          <w:rStyle w:val="FootnoteReference"/>
        </w:rPr>
        <w:footnoteReference w:id="266"/>
      </w:r>
      <w:r>
        <w:t xml:space="preserve">.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w:t>
      </w:r>
      <w:r>
        <w:rPr>
          <w:rStyle w:val="FootnoteReference"/>
        </w:rPr>
        <w:footnoteReference w:id="267"/>
      </w:r>
      <w:r>
        <w:t xml:space="preserve">. Mehr dazu im Kapitel Liraglutid und in Teil IV.</w:t>
      </w:r>
    </w:p>
    <w:bookmarkEnd w:id="268"/>
    <w:bookmarkStart w:id="278"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w:t>
      </w:r>
      <w:r>
        <w:rPr>
          <w:rStyle w:val="FootnoteReference"/>
        </w:rPr>
        <w:footnoteReference w:id="269"/>
      </w:r>
      <w:r>
        <w:t xml:space="preserve">. Die Wochenform verursacht weniger Übelkeit; in DURATION-6 waren es 9 %</w:t>
      </w:r>
      <w:r>
        <w:rPr>
          <w:rStyle w:val="FootnoteReference"/>
        </w:rPr>
        <w:footnoteReference w:id="270"/>
      </w:r>
      <w:r>
        <w:t xml:space="preserve">.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w:t>
      </w:r>
      <w:r>
        <w:rPr>
          <w:rStyle w:val="FootnoteReference"/>
        </w:rPr>
        <w:footnoteReference w:id="271"/>
      </w:r>
      <w:r>
        <w:t xml:space="preserve">.</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w:t>
      </w:r>
      <w:r>
        <w:rPr>
          <w:rStyle w:val="FootnoteReference"/>
        </w:rPr>
        <w:footnoteReference w:id="272"/>
      </w:r>
      <w:r>
        <w:t xml:space="preserve">.</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w:t>
      </w:r>
      <w:r>
        <w:rPr>
          <w:rStyle w:val="FootnoteReference"/>
        </w:rPr>
        <w:footnoteReference w:id="273"/>
      </w:r>
      <w:r>
        <w:t xml:space="preserve">. In EXSCEL trat Pankreatitis nicht häufiger auf als unter Placebo</w:t>
      </w:r>
      <w:r>
        <w:rPr>
          <w:rStyle w:val="FootnoteReference"/>
        </w:rPr>
        <w:footnoteReference w:id="274"/>
      </w:r>
      <w:r>
        <w:t xml:space="preserve">.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w:t>
      </w:r>
      <w:r>
        <w:rPr>
          <w:rStyle w:val="FootnoteReference"/>
        </w:rPr>
        <w:footnoteReference w:id="275"/>
      </w:r>
      <w:r>
        <w:t xml:space="preserve">. Eine Meta-Analyse von 50 randomisierten Studien zur ganzen GLP-1-Klasse fand insgesamt kein erhöhtes Krebsrisiko, aber ein Signal für Schilddrüsenkrebs (Odds Ratio 1,55), das weiter untersucht werden muss</w:t>
      </w:r>
      <w:r>
        <w:rPr>
          <w:rStyle w:val="FootnoteReference"/>
        </w:rPr>
        <w:footnoteReference w:id="276"/>
      </w:r>
      <w:r>
        <w:t xml:space="preserve">. Eine europäische Sicherheitsstudie zum Bauchspeicheldrüsenkrebs unter Exenatid läuft</w:t>
      </w:r>
      <w:r>
        <w:rPr>
          <w:rStyle w:val="FootnoteReference"/>
        </w:rPr>
        <w:footnoteReference w:id="277"/>
      </w:r>
      <w:r>
        <w:t xml:space="preserve">.</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278"/>
    <w:bookmarkStart w:id="279"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279"/>
    <w:bookmarkStart w:id="286"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w:t>
      </w:r>
      <w:r>
        <w:rPr>
          <w:rStyle w:val="FootnoteReference"/>
        </w:rPr>
        <w:footnoteReference w:id="280"/>
      </w:r>
      <w:r>
        <w:t xml:space="preserve">. Ein weiterer Kandidat, JY09 – Exendin-4 gekoppelt an einen Antikörperbaustein (Fc-Fusionsprotein), das in den Studien alle zwei Wochen gespritzt wird –, wird in Phase-3-Studien gegen Placebo und gegen Dulaglutid geprüft</w:t>
      </w:r>
      <w:r>
        <w:rPr>
          <w:rStyle w:val="FootnoteReference"/>
        </w:rPr>
        <w:footnoteReference w:id="281"/>
      </w:r>
      <w:r>
        <w:t xml:space="preserve">.</w:t>
      </w:r>
    </w:p>
    <w:p>
      <w:pPr>
        <w:numPr>
          <w:ilvl w:val="0"/>
          <w:numId w:val="1042"/>
        </w:numPr>
        <w:pStyle w:val="Compact"/>
      </w:pPr>
      <w:r>
        <w:t xml:space="preserve">Neurologie: Die pegylierte Variante NLY01 wird bei Multipler Sklerose in einer Phase-2-Studie mit 120 Teilnehmenden untersucht</w:t>
      </w:r>
      <w:r>
        <w:rPr>
          <w:rStyle w:val="FootnoteReference"/>
        </w:rPr>
        <w:footnoteReference w:id="282"/>
      </w:r>
      <w:r>
        <w:t xml:space="preserve">.</w:t>
      </w:r>
    </w:p>
    <w:p>
      <w:pPr>
        <w:numPr>
          <w:ilvl w:val="0"/>
          <w:numId w:val="1042"/>
        </w:numPr>
        <w:pStyle w:val="Compact"/>
      </w:pPr>
      <w:r>
        <w:t xml:space="preserve">Sicherheit: Neben der europäischen Studie zum Bauchspeicheldrüsenkrebs</w:t>
      </w:r>
      <w:r>
        <w:rPr>
          <w:rStyle w:val="FootnoteReference"/>
        </w:rPr>
        <w:footnoteReference w:id="283"/>
      </w:r>
      <w:r>
        <w:t xml:space="preserve"> </w:t>
      </w:r>
      <w:r>
        <w:t xml:space="preserve">läuft ein Langzeit-Überwachungsprogramm für medulläre Schilddrüsenkarzinome unter GLP-1-Rezeptor-Agonisten</w:t>
      </w:r>
      <w:r>
        <w:rPr>
          <w:rStyle w:val="FootnoteReference"/>
        </w:rPr>
        <w:footnoteReference w:id="284"/>
      </w:r>
      <w:r>
        <w:t xml:space="preserve">.</w:t>
      </w:r>
    </w:p>
    <w:p>
      <w:pPr>
        <w:numPr>
          <w:ilvl w:val="0"/>
          <w:numId w:val="1042"/>
        </w:numPr>
        <w:pStyle w:val="Compact"/>
      </w:pPr>
      <w:r>
        <w:t xml:space="preserve">Diagnostik: Radioaktiv markiertes Exendin-4 wird als Spürsubstanz in der PET-Bildgebung von Insulinomen (seltenen insulinbildenden Tumoren) eingesetzt</w:t>
      </w:r>
      <w:r>
        <w:rPr>
          <w:rStyle w:val="FootnoteReference"/>
        </w:rPr>
        <w:footnoteReference w:id="285"/>
      </w:r>
      <w:r>
        <w:t xml:space="preserve">.</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286"/>
    <w:bookmarkStart w:id="287"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287"/>
    <w:bookmarkEnd w:id="288"/>
    <w:bookmarkStart w:id="341" w:name="liraglutid"/>
    <w:p>
      <w:pPr>
        <w:pStyle w:val="Heading2"/>
      </w:pPr>
      <w:r>
        <w:t xml:space="preserve">Liraglutid</w:t>
      </w:r>
    </w:p>
    <w:bookmarkStart w:id="290"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w:t>
      </w:r>
      <w:r>
        <w:rPr>
          <w:rStyle w:val="FootnoteReference"/>
        </w:rPr>
        <w:footnoteReference w:id="289"/>
      </w:r>
      <w:r>
        <w:t xml:space="preserve">,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290"/>
    <w:bookmarkStart w:id="293"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w:t>
      </w:r>
      <w:r>
        <w:rPr>
          <w:rStyle w:val="FootnoteReference"/>
        </w:rPr>
        <w:footnoteReference w:id="291"/>
      </w:r>
      <w:r>
        <w:t xml:space="preserve">.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w:t>
      </w:r>
      <w:r>
        <w:rPr>
          <w:rStyle w:val="FootnoteReference"/>
        </w:rPr>
        <w:footnoteReference w:id="292"/>
      </w:r>
      <w:r>
        <w:t xml:space="preserve">.</w:t>
      </w:r>
    </w:p>
    <w:bookmarkEnd w:id="293"/>
    <w:bookmarkStart w:id="319"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296"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w:t>
      </w:r>
      <w:r>
        <w:rPr>
          <w:rStyle w:val="FootnoteReference"/>
        </w:rPr>
        <w:footnoteReference w:id="294"/>
      </w:r>
      <w:r>
        <w:t xml:space="preserve"> </w:t>
      </w:r>
      <w:r>
        <w:t xml:space="preserve">war Liraglutid als erstes Diabetesmittel dem Sulfonylharnstoff Glimepirid überlegen, der den Blutzucker unabhängig von Mahlzeiten senkt und häufiger zu Unterzuckerungen führt. Gegen Sitagliptin</w:t>
      </w:r>
      <w:r>
        <w:rPr>
          <w:rStyle w:val="FootnoteReference"/>
        </w:rPr>
        <w:footnoteReference w:id="295"/>
      </w:r>
      <w:r>
        <w:t xml:space="preserve"> </w:t>
      </w:r>
      <w:r>
        <w:t xml:space="preserve">betrug der Vorteil 0,6 Prozentpunkte, allerdings mit deutlich mehr Übelkeit.</w:t>
      </w:r>
    </w:p>
    <w:bookmarkEnd w:id="296"/>
    <w:bookmarkStart w:id="301"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w:t>
      </w:r>
      <w:r>
        <w:rPr>
          <w:rStyle w:val="FootnoteReference"/>
        </w:rPr>
        <w:footnoteReference w:id="297"/>
      </w:r>
      <w:r>
        <w:t xml:space="preserve"> </w:t>
      </w:r>
      <w:r>
        <w:t xml:space="preserve">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w:t>
      </w:r>
      <w:r>
        <w:rPr>
          <w:rStyle w:val="FootnoteReference"/>
        </w:rPr>
        <w:footnoteReference w:id="298"/>
      </w:r>
      <w:r>
        <w:t xml:space="preserve"> </w:t>
      </w:r>
      <w:r>
        <w:t xml:space="preserve">gleichwertig, bei ähnlicher Verträglichkeit; Übelkeit trat bei 18 % gegenüber 20 % auf.</w:t>
      </w:r>
    </w:p>
    <w:p>
      <w:pPr>
        <w:pStyle w:val="BodyText"/>
      </w:pPr>
      <w:r>
        <w:t xml:space="preserve">Gegen Semaglutid verlor Liraglutid in allen Vergleichen. Am deutlichsten war das in STEP 8</w:t>
      </w:r>
      <w:r>
        <w:rPr>
          <w:rStyle w:val="FootnoteReference"/>
        </w:rPr>
        <w:footnoteReference w:id="299"/>
      </w:r>
      <w:r>
        <w:t xml:space="preserve"> </w:t>
      </w:r>
      <w:r>
        <w:t xml:space="preserve">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w:t>
      </w:r>
      <w:r>
        <w:rPr>
          <w:rStyle w:val="FootnoteReference"/>
        </w:rPr>
        <w:footnoteReference w:id="300"/>
      </w:r>
      <w:r>
        <w:t xml:space="preserve"> </w:t>
      </w:r>
      <w:r>
        <w:t xml:space="preserve">kleiner aus: Beim HbA1c war die Tablette nach dem Hauptauswertungsverfahren nicht schlechter, beim Gewicht um 1,2 kg überlegen. Einzelheiten zu diesen Studien stehen im Kapitel Semaglutid.</w:t>
      </w:r>
    </w:p>
    <w:bookmarkEnd w:id="301"/>
    <w:bookmarkStart w:id="305"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w:t>
      </w:r>
      <w:r>
        <w:rPr>
          <w:rStyle w:val="FootnoteReference"/>
        </w:rPr>
        <w:footnoteReference w:id="302"/>
      </w:r>
      <w:r>
        <w:t xml:space="preserve">.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w:t>
      </w:r>
      <w:r>
        <w:rPr>
          <w:rStyle w:val="FootnoteReference"/>
        </w:rPr>
        <w:footnoteReference w:id="303"/>
      </w:r>
      <w:r>
        <w:t xml:space="preserve"> </w:t>
      </w:r>
      <w:r>
        <w:t xml:space="preserve">zeigte weniger Fälle einer neu auftretenden starken Eiweißausscheidung im Urin (Makroalbuminurie). Harte Nierenendpunkte wie Dialysepflicht waren selten und unterschieden sich nicht deutlich. Akutes Nierenversagen trat ähnlich häufig auf wie unter Placebo.</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w:t>
      </w:r>
      <w:r>
        <w:rPr>
          <w:rStyle w:val="FootnoteReference"/>
        </w:rPr>
        <w:footnoteReference w:id="304"/>
      </w:r>
      <w:r>
        <w:t xml:space="preserve">. Es gab sogar etwas mehr erneute Krankenhausaufnahmen wegen Herzschwäche (41 % vs. 34 %), ohne dass der Unterschied statistisch gesichert war. Die Autorinnen und Autoren sahen keine Grundlage für den Einsatz in dieser Situation.</w:t>
      </w:r>
    </w:p>
    <w:bookmarkEnd w:id="305"/>
    <w:bookmarkStart w:id="310"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w:t>
      </w:r>
      <w:r>
        <w:rPr>
          <w:rStyle w:val="FootnoteReference"/>
        </w:rPr>
        <w:footnoteReference w:id="306"/>
      </w:r>
      <w:r>
        <w:t xml:space="preserve"> </w:t>
      </w:r>
      <w:r>
        <w:t xml:space="preserve">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w:t>
      </w:r>
      <w:r>
        <w:rPr>
          <w:rStyle w:val="FootnoteReference"/>
        </w:rPr>
        <w:footnoteReference w:id="307"/>
      </w:r>
      <w:r>
        <w:t xml:space="preserve">.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w:t>
      </w:r>
      <w:r>
        <w:rPr>
          <w:rStyle w:val="FootnoteReference"/>
        </w:rPr>
        <w:footnoteReference w:id="308"/>
      </w:r>
      <w:r>
        <w:t xml:space="preserve"> </w:t>
      </w:r>
      <w:r>
        <w:t xml:space="preserve">– ein Muster, das sich bei allen GLP-1-Medikamenten wiederholt. In SCALE Maintenance</w:t>
      </w:r>
      <w:r>
        <w:rPr>
          <w:rStyle w:val="FootnoteReference"/>
        </w:rPr>
        <w:footnoteReference w:id="309"/>
      </w:r>
      <w:r>
        <w:t xml:space="preserve"> </w:t>
      </w:r>
      <w:r>
        <w:t xml:space="preserve">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310"/>
    <w:bookmarkStart w:id="314"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w:t>
      </w:r>
      <w:r>
        <w:rPr>
          <w:rStyle w:val="FootnoteReference"/>
        </w:rPr>
        <w:footnoteReference w:id="311"/>
      </w:r>
      <w:r>
        <w:t xml:space="preserve"> </w:t>
      </w:r>
      <w:r>
        <w:t xml:space="preserve">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w:t>
      </w:r>
      <w:r>
        <w:rPr>
          <w:rStyle w:val="FootnoteReference"/>
        </w:rPr>
        <w:footnoteReference w:id="312"/>
      </w:r>
      <w:r>
        <w:t xml:space="preserve"> </w:t>
      </w:r>
      <w:r>
        <w:t xml:space="preserve">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w:t>
      </w:r>
      <w:r>
        <w:rPr>
          <w:rStyle w:val="FootnoteReference"/>
        </w:rPr>
        <w:footnoteReference w:id="313"/>
      </w:r>
      <w:r>
        <w:t xml:space="preserve">.</w:t>
      </w:r>
    </w:p>
    <w:bookmarkEnd w:id="314"/>
    <w:bookmarkStart w:id="318"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w:t>
      </w:r>
      <w:r>
        <w:rPr>
          <w:rStyle w:val="FootnoteReference"/>
        </w:rPr>
        <w:footnoteReference w:id="315"/>
      </w:r>
      <w:r>
        <w:t xml:space="preserve">.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w:t>
      </w:r>
      <w:r>
        <w:rPr>
          <w:rStyle w:val="FootnoteReference"/>
        </w:rPr>
        <w:footnoteReference w:id="316"/>
      </w:r>
      <w:r>
        <w:t xml:space="preserve">.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w:t>
      </w:r>
      <w:r>
        <w:rPr>
          <w:rStyle w:val="FootnoteReference"/>
        </w:rPr>
        <w:footnoteReference w:id="317"/>
      </w:r>
      <w:r>
        <w:t xml:space="preserve">. Beobachtungsdaten dieser Art zeigen Zusammenhänge, keine Ursache-Wirkungs-Beziehung.</w:t>
      </w:r>
    </w:p>
    <w:bookmarkEnd w:id="318"/>
    <w:bookmarkEnd w:id="319"/>
    <w:bookmarkStart w:id="322"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w:t>
      </w:r>
      <w:r>
        <w:rPr>
          <w:rStyle w:val="FootnoteReference"/>
        </w:rPr>
        <w:footnoteReference w:id="320"/>
      </w:r>
      <w:r>
        <w:t xml:space="preserve">.</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w:t>
      </w:r>
      <w:r>
        <w:rPr>
          <w:rStyle w:val="FootnoteReference"/>
        </w:rPr>
        <w:footnoteReference w:id="321"/>
      </w:r>
      <w:r>
        <w:t xml:space="preserve">.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322"/>
    <w:bookmarkStart w:id="332"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w:t>
      </w:r>
      <w:r>
        <w:rPr>
          <w:rStyle w:val="FootnoteReference"/>
        </w:rPr>
        <w:footnoteReference w:id="323"/>
      </w:r>
      <w:r>
        <w:t xml:space="preserve">. Sie treten vor allem zu Beginn und nach Dosissteigerungen auf. Bei der höheren Adipositas-Dosis sind sie häufiger als bei der Diabetesdosis</w:t>
      </w:r>
      <w:r>
        <w:rPr>
          <w:rStyle w:val="FootnoteReference"/>
        </w:rPr>
        <w:footnoteReference w:id="324"/>
      </w:r>
      <w:r>
        <w:t xml:space="preserve">.</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w:t>
      </w:r>
      <w:r>
        <w:rPr>
          <w:rStyle w:val="FootnoteReference"/>
        </w:rPr>
        <w:footnoteReference w:id="325"/>
      </w:r>
      <w:r>
        <w:t xml:space="preserve">.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w:t>
      </w:r>
      <w:r>
        <w:rPr>
          <w:rStyle w:val="FootnoteReference"/>
        </w:rPr>
        <w:footnoteReference w:id="326"/>
      </w:r>
      <w:r>
        <w:t xml:space="preserve">. Eine ältere Meta-Analyse fand ebenfalls kein erhöhtes Risiko</w:t>
      </w:r>
      <w:r>
        <w:rPr>
          <w:rStyle w:val="FootnoteReference"/>
        </w:rPr>
        <w:footnoteReference w:id="327"/>
      </w:r>
      <w:r>
        <w:t xml:space="preserve">.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w:t>
      </w:r>
      <w:r>
        <w:rPr>
          <w:rStyle w:val="FootnoteReference"/>
        </w:rPr>
        <w:footnoteReference w:id="328"/>
      </w:r>
      <w:r>
        <w:t xml:space="preserve">. Eine Meta-Analyse von 50 randomisierten Studien zeigte ebenfalls ein Signal (Odds Ratio 1,55)</w:t>
      </w:r>
      <w:r>
        <w:rPr>
          <w:rStyle w:val="FootnoteReference"/>
        </w:rPr>
        <w:footnoteReference w:id="329"/>
      </w:r>
      <w:r>
        <w:t xml:space="preserve">.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In einer skandinavischen Kohortenstudie mit 124.517 Personen unter GLP-1-Rezeptor-Agonisten war das Suizidrisiko gegenüber SGLT2-Hemmern nicht erhöht (HR 1,25; Konfidenzintervall 0,83–1,88)</w:t>
      </w:r>
      <w:r>
        <w:rPr>
          <w:rStyle w:val="FootnoteReference"/>
        </w:rPr>
        <w:footnoteReference w:id="330"/>
      </w:r>
      <w:r>
        <w:t xml:space="preserve">. Eine Meta-Analyse aus dem Jahr 2026 fand in randomisierten Studien ebenfalls keinen Zusammenhang</w:t>
      </w:r>
      <w:r>
        <w:rPr>
          <w:rStyle w:val="FootnoteReference"/>
        </w:rPr>
        <w:footnoteReference w:id="331"/>
      </w:r>
      <w:r>
        <w:t xml:space="preserve">.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332"/>
    <w:bookmarkStart w:id="333"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333"/>
    <w:bookmarkStart w:id="339"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w:t>
      </w:r>
      <w:r>
        <w:rPr>
          <w:rStyle w:val="FootnoteReference"/>
        </w:rPr>
        <w:footnoteReference w:id="334"/>
      </w:r>
      <w:r>
        <w:t xml:space="preserve">.</w:t>
      </w:r>
    </w:p>
    <w:p>
      <w:pPr>
        <w:numPr>
          <w:ilvl w:val="0"/>
          <w:numId w:val="1048"/>
        </w:numPr>
        <w:pStyle w:val="Compact"/>
      </w:pPr>
      <w:r>
        <w:t xml:space="preserve">Eine Phase-3-Studie mit 260 älteren Menschen mit Diabetes untersucht, ob Liraglutid ein Delir nach Herzoperationen verhindern kann</w:t>
      </w:r>
      <w:r>
        <w:rPr>
          <w:rStyle w:val="FootnoteReference"/>
        </w:rPr>
        <w:footnoteReference w:id="335"/>
      </w:r>
      <w:r>
        <w:t xml:space="preserve">.</w:t>
      </w:r>
    </w:p>
    <w:p>
      <w:pPr>
        <w:numPr>
          <w:ilvl w:val="0"/>
          <w:numId w:val="1048"/>
        </w:numPr>
        <w:pStyle w:val="Compact"/>
      </w:pPr>
      <w:r>
        <w:t xml:space="preserve">Bei einer erblichen Diabetesform (MODY) wird Liraglutid in einer Phase-2-Studie untersucht</w:t>
      </w:r>
      <w:r>
        <w:rPr>
          <w:rStyle w:val="FootnoteReference"/>
        </w:rPr>
        <w:footnoteReference w:id="336"/>
      </w:r>
      <w:r>
        <w:t xml:space="preserve">.</w:t>
      </w:r>
    </w:p>
    <w:p>
      <w:pPr>
        <w:numPr>
          <w:ilvl w:val="0"/>
          <w:numId w:val="1048"/>
        </w:numPr>
        <w:pStyle w:val="Compact"/>
      </w:pPr>
      <w:r>
        <w:t xml:space="preserve">Eine große pragmatische Studie mit 6.000 Teilnehmenden vergleicht Behandlungsstrategien zur Vorbeugung von Herz- und Nierenerkrankungen bei Typ-2-Diabetes</w:t>
      </w:r>
      <w:r>
        <w:rPr>
          <w:rStyle w:val="FootnoteReference"/>
        </w:rPr>
        <w:footnoteReference w:id="337"/>
      </w:r>
      <w:r>
        <w:t xml:space="preserve">.</w:t>
      </w:r>
    </w:p>
    <w:p>
      <w:pPr>
        <w:numPr>
          <w:ilvl w:val="0"/>
          <w:numId w:val="1048"/>
        </w:numPr>
        <w:pStyle w:val="Compact"/>
      </w:pPr>
      <w:r>
        <w:t xml:space="preserve">Die Langzeitbeobachtung der SCALE-Kids-Teilnehmenden läuft weiter</w:t>
      </w:r>
      <w:r>
        <w:rPr>
          <w:rStyle w:val="FootnoteReference"/>
        </w:rPr>
        <w:footnoteReference w:id="338"/>
      </w:r>
      <w:r>
        <w:t xml:space="preserve">.</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339"/>
    <w:bookmarkStart w:id="340"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340"/>
    <w:bookmarkEnd w:id="341"/>
    <w:bookmarkStart w:id="401" w:name="dulaglutid"/>
    <w:p>
      <w:pPr>
        <w:pStyle w:val="Heading2"/>
      </w:pPr>
      <w:r>
        <w:t xml:space="preserve">Dulaglutid</w:t>
      </w:r>
    </w:p>
    <w:bookmarkStart w:id="343"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w:t>
      </w:r>
      <w:r>
        <w:rPr>
          <w:rStyle w:val="FootnoteReference"/>
        </w:rPr>
        <w:footnoteReference w:id="342"/>
      </w:r>
      <w:r>
        <w:t xml:space="preserve">.</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343"/>
    <w:bookmarkStart w:id="346"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w:t>
      </w:r>
      <w:r>
        <w:rPr>
          <w:rStyle w:val="FootnoteReference"/>
        </w:rPr>
        <w:footnoteReference w:id="344"/>
      </w:r>
      <w:r>
        <w:t xml:space="preserve">.</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w:t>
      </w:r>
      <w:r>
        <w:rPr>
          <w:rStyle w:val="FootnoteReference"/>
        </w:rPr>
        <w:footnoteReference w:id="345"/>
      </w:r>
      <w:r>
        <w:t xml:space="preserve"> </w:t>
      </w:r>
      <w:r>
        <w:t xml:space="preserve">–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346"/>
    <w:bookmarkStart w:id="378"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351"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w:t>
      </w:r>
      <w:r>
        <w:rPr>
          <w:rStyle w:val="FootnoteReference"/>
        </w:rPr>
        <w:footnoteReference w:id="347"/>
      </w:r>
      <w:r>
        <w:t xml:space="preserve">.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w:t>
      </w:r>
      <w:r>
        <w:rPr>
          <w:rStyle w:val="FootnoteReference"/>
        </w:rPr>
        <w:footnoteReference w:id="348"/>
      </w:r>
      <w:r>
        <w:t xml:space="preserve">.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w:t>
      </w:r>
      <w:r>
        <w:rPr>
          <w:rStyle w:val="FootnoteReference"/>
        </w:rPr>
        <w:footnoteReference w:id="349"/>
      </w:r>
      <w:r>
        <w:t xml:space="preserve">.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w:t>
      </w:r>
      <w:r>
        <w:rPr>
          <w:rStyle w:val="FootnoteReference"/>
        </w:rPr>
        <w:footnoteReference w:id="350"/>
      </w:r>
      <w:r>
        <w:t xml:space="preserve">. Übelkeit nahm leicht zu (16,4 % vs. 13,4 %), Erbrechen ebenfalls (9,3 % vs. 5,6 %). Der Zugewinn ist messbar, aber begrenzt.</w:t>
      </w:r>
    </w:p>
    <w:bookmarkEnd w:id="351"/>
    <w:bookmarkStart w:id="355"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w:t>
      </w:r>
      <w:r>
        <w:rPr>
          <w:rStyle w:val="FootnoteReference"/>
        </w:rPr>
        <w:footnoteReference w:id="352"/>
      </w:r>
      <w:r>
        <w:t xml:space="preserve"> </w:t>
      </w:r>
      <w:r>
        <w:t xml:space="preserve">und Liraglutid ebenbürtig</w:t>
      </w:r>
      <w:r>
        <w:rPr>
          <w:rStyle w:val="FootnoteReference"/>
        </w:rPr>
        <w:footnoteReference w:id="353"/>
      </w:r>
      <w:r>
        <w:t xml:space="preserve">.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w:t>
      </w:r>
      <w:r>
        <w:rPr>
          <w:rStyle w:val="FootnoteReference"/>
        </w:rPr>
        <w:footnoteReference w:id="354"/>
      </w:r>
      <w:r>
        <w:t xml:space="preserve"> </w:t>
      </w:r>
      <w:r>
        <w:t xml:space="preserve">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355"/>
    <w:bookmarkStart w:id="360"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w:t>
      </w:r>
      <w:r>
        <w:rPr>
          <w:rStyle w:val="FootnoteReference"/>
        </w:rPr>
        <w:footnoteReference w:id="356"/>
      </w:r>
      <w:r>
        <w:t xml:space="preserve">. Das entspricht einer relativen Senkung um 12 %. Die Gesamtsterblichkeit unterschied sich nicht signifikant (10,8 % vs. 12,0 %; HR 0,90). Magen-Darm-Nebenwirkungen meldeten 47,4 % gegenüber 34,1 %.</w:t>
      </w:r>
    </w:p>
    <w:p>
      <w:pPr>
        <w:pStyle w:val="BodyText"/>
      </w:pPr>
      <w:r>
        <w:t xml:space="preserve">In der Nierenauswertung</w:t>
      </w:r>
      <w:r>
        <w:rPr>
          <w:rStyle w:val="FootnoteReference"/>
        </w:rPr>
        <w:footnoteReference w:id="357"/>
      </w:r>
      <w:r>
        <w:t xml:space="preserve"> </w:t>
      </w:r>
      <w:r>
        <w:t xml:space="preserve">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w:t>
      </w:r>
      <w:r>
        <w:rPr>
          <w:rStyle w:val="FootnoteReference"/>
        </w:rPr>
        <w:footnoteReference w:id="358"/>
      </w:r>
      <w:r>
        <w:t xml:space="preserve"> </w:t>
      </w:r>
      <w:r>
        <w:t xml:space="preserve">wird gelegentlich als Beleg für einen Demenzschutz zitiert. Das geht zu weit: Der vorab festgelegte Vergleich war nicht signifikant. Erst nach einer nachträglichen statistischen Anpassung ergab sich ein um 14 % geringeres relatives Risiko für eine deutliche Verschlechterung der geistigen Leistungsfähigkeit (Hazard Ratio 0,86).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w:t>
      </w:r>
      <w:r>
        <w:rPr>
          <w:rStyle w:val="FootnoteReference"/>
        </w:rPr>
        <w:footnoteReference w:id="359"/>
      </w:r>
      <w:r>
        <w:t xml:space="preserve">.</w:t>
      </w:r>
    </w:p>
    <w:bookmarkEnd w:id="360"/>
    <w:bookmarkStart w:id="365"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w:t>
      </w:r>
      <w:r>
        <w:rPr>
          <w:rStyle w:val="FootnoteReference"/>
        </w:rPr>
        <w:footnoteReference w:id="361"/>
      </w:r>
      <w:r>
        <w:t xml:space="preserve">.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w:t>
      </w:r>
      <w:r>
        <w:rPr>
          <w:rStyle w:val="FootnoteReference"/>
        </w:rPr>
        <w:footnoteReference w:id="362"/>
      </w:r>
      <w:r>
        <w:t xml:space="preserve"> </w:t>
      </w:r>
      <w:r>
        <w:t xml:space="preserve">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w:t>
      </w:r>
      <w:r>
        <w:rPr>
          <w:rStyle w:val="FootnoteReference"/>
        </w:rPr>
        <w:footnoteReference w:id="363"/>
      </w:r>
      <w:r>
        <w:t xml:space="preserve"> </w:t>
      </w:r>
      <w:r>
        <w:t xml:space="preserve">und vor neu auftretendem Vorhofflimmern</w:t>
      </w:r>
      <w:r>
        <w:rPr>
          <w:rStyle w:val="FootnoteReference"/>
        </w:rPr>
        <w:footnoteReference w:id="364"/>
      </w:r>
      <w:r>
        <w:t xml:space="preserve">.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365"/>
    <w:bookmarkStart w:id="368"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 (Hauptendpunkt 32)</w:t>
            </w:r>
          </w:p>
        </w:tc>
        <w:tc>
          <w:tcPr/>
          <w:p>
            <w:pPr>
              <w:pStyle w:val="Compact"/>
              <w:jc w:val="left"/>
            </w:pPr>
            <w:r>
              <w:t xml:space="preserve">HbA1c −1,89 bis −1,91 vs. −1,65</w:t>
            </w:r>
          </w:p>
        </w:tc>
      </w:tr>
    </w:tbl>
    <w:p>
      <w:pPr>
        <w:pStyle w:val="BodyText"/>
      </w:pPr>
      <w:r>
        <w:t xml:space="preserve">Besonders aufschlussreich ist SURPASS-CVOT</w:t>
      </w:r>
      <w:r>
        <w:rPr>
          <w:rStyle w:val="FootnoteReference"/>
        </w:rPr>
        <w:footnoteReference w:id="366"/>
      </w:r>
      <w:r>
        <w:t xml:space="preserve">,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w:t>
      </w:r>
      <w:r>
        <w:rPr>
          <w:rStyle w:val="FootnoteReference"/>
        </w:rPr>
        <w:footnoteReference w:id="367"/>
      </w:r>
      <w:r>
        <w:t xml:space="preserve">. Nachträgliche Auswertungen sind jedoch weniger belastbar als der vorab festgelegte Hauptendpunkt.</w:t>
      </w:r>
    </w:p>
    <w:bookmarkEnd w:id="368"/>
    <w:bookmarkStart w:id="371"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w:t>
      </w:r>
      <w:r>
        <w:rPr>
          <w:rStyle w:val="FootnoteReference"/>
        </w:rPr>
        <w:footnoteReference w:id="369"/>
      </w:r>
      <w:r>
        <w:t xml:space="preserve">. In einer vom Hersteller finanzierten Vergleichsstudie mit 310 Teilnehmenden bevorzugten 84,2 % den Dulaglutid-Pen gegenüber dem damaligen Semaglutid-Pen</w:t>
      </w:r>
      <w:r>
        <w:rPr>
          <w:rStyle w:val="FootnoteReference"/>
        </w:rPr>
        <w:footnoteReference w:id="370"/>
      </w:r>
      <w:r>
        <w:t xml:space="preserve">. Solche Präferenzstudien sagen nichts über die Wirksamkeit aus, können aber erklären, warum Dulaglutid gerade bei älteren Menschen verbreitet ist.</w:t>
      </w:r>
    </w:p>
    <w:bookmarkEnd w:id="371"/>
    <w:bookmarkStart w:id="373"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w:t>
      </w:r>
      <w:r>
        <w:rPr>
          <w:rStyle w:val="FootnoteReference"/>
        </w:rPr>
        <w:footnoteReference w:id="372"/>
      </w:r>
      <w:r>
        <w:t xml:space="preserve">. Einen HbA1c unter 7 % erreichten 51 % gegenüber 14 %. Auf den Body-Mass-Index hatte Dulaglutid in dieser Altersgruppe keinen Einfluss. Diese Studie war die Grundlage für die Zulassung ab 10 Jahren.</w:t>
      </w:r>
    </w:p>
    <w:bookmarkEnd w:id="373"/>
    <w:bookmarkStart w:id="377"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w:t>
      </w:r>
      <w:r>
        <w:rPr>
          <w:rStyle w:val="FootnoteReference"/>
        </w:rPr>
        <w:footnoteReference w:id="374"/>
      </w:r>
      <w:r>
        <w:t xml:space="preserve">.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w:t>
      </w:r>
      <w:r>
        <w:rPr>
          <w:rStyle w:val="FootnoteReference"/>
        </w:rPr>
        <w:footnoteReference w:id="375"/>
      </w:r>
      <w:r>
        <w:t xml:space="preserve">.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w:t>
      </w:r>
      <w:r>
        <w:rPr>
          <w:rStyle w:val="FootnoteReference"/>
        </w:rPr>
        <w:footnoteReference w:id="376"/>
      </w:r>
      <w:r>
        <w:t xml:space="preserve">. Ein Hinweis darauf, dass GLP-1 auch das Durstempfinden beeinflusst.</w:t>
      </w:r>
    </w:p>
    <w:bookmarkEnd w:id="377"/>
    <w:bookmarkEnd w:id="378"/>
    <w:bookmarkStart w:id="381"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w:t>
      </w:r>
      <w:r>
        <w:rPr>
          <w:rStyle w:val="FootnoteReference"/>
        </w:rPr>
        <w:footnoteReference w:id="379"/>
      </w:r>
      <w:r>
        <w:t xml:space="preserve">.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w:t>
      </w:r>
      <w:r>
        <w:rPr>
          <w:rStyle w:val="FootnoteReference"/>
        </w:rPr>
        <w:footnoteReference w:id="380"/>
      </w:r>
      <w:r>
        <w:t xml:space="preserve">.</w:t>
      </w:r>
    </w:p>
    <w:bookmarkEnd w:id="381"/>
    <w:bookmarkStart w:id="391"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w:t>
      </w:r>
      <w:r>
        <w:rPr>
          <w:rStyle w:val="FootnoteReference"/>
        </w:rPr>
        <w:footnoteReference w:id="382"/>
      </w:r>
      <w:r>
        <w:t xml:space="preserve">. Mit höheren Dosen nehmen sie zu</w:t>
      </w:r>
      <w:r>
        <w:rPr>
          <w:rStyle w:val="FootnoteReference"/>
        </w:rPr>
        <w:footnoteReference w:id="383"/>
      </w:r>
      <w:r>
        <w:t xml:space="preserve">.</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w:t>
      </w:r>
      <w:r>
        <w:rPr>
          <w:rStyle w:val="FootnoteReference"/>
        </w:rPr>
        <w:footnoteReference w:id="384"/>
      </w:r>
      <w:r>
        <w:t xml:space="preserve">.</w:t>
      </w:r>
    </w:p>
    <w:p>
      <w:pPr>
        <w:numPr>
          <w:ilvl w:val="0"/>
          <w:numId w:val="1051"/>
        </w:numPr>
        <w:pStyle w:val="Compact"/>
      </w:pPr>
      <w:r>
        <w:rPr>
          <w:bCs/>
          <w:b/>
        </w:rPr>
        <w:t xml:space="preserve">Bauchspeicheldrüsenenzyme:</w:t>
      </w:r>
      <w:r>
        <w:t xml:space="preserve"> </w:t>
      </w:r>
      <w:r>
        <w:t xml:space="preserve">In AWARD-2 stiegen die Enzyme der Bauchspeicheldrüse unter Dulaglutid an</w:t>
      </w:r>
      <w:r>
        <w:rPr>
          <w:rStyle w:val="FootnoteReference"/>
        </w:rPr>
        <w:footnoteReference w:id="385"/>
      </w:r>
      <w:r>
        <w:t xml:space="preserve">.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w:t>
      </w:r>
      <w:r>
        <w:rPr>
          <w:rStyle w:val="FootnoteReference"/>
        </w:rPr>
        <w:footnoteReference w:id="386"/>
      </w:r>
      <w:r>
        <w:t xml:space="preserve">.</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w:t>
      </w:r>
      <w:r>
        <w:rPr>
          <w:rStyle w:val="FootnoteReference"/>
        </w:rPr>
        <w:footnoteReference w:id="387"/>
      </w:r>
      <w:r>
        <w:t xml:space="preserve">;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w:t>
      </w:r>
      <w:r>
        <w:rPr>
          <w:rStyle w:val="FootnoteReference"/>
        </w:rPr>
        <w:footnoteReference w:id="388"/>
      </w:r>
      <w:r>
        <w:t xml:space="preserve">.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w:t>
      </w:r>
      <w:r>
        <w:rPr>
          <w:rStyle w:val="FootnoteReference"/>
        </w:rPr>
        <w:footnoteReference w:id="389"/>
      </w:r>
      <w:r>
        <w:t xml:space="preserve">,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w:t>
      </w:r>
      <w:r>
        <w:rPr>
          <w:rStyle w:val="FootnoteReference"/>
        </w:rPr>
        <w:footnoteReference w:id="390"/>
      </w:r>
      <w:r>
        <w:t xml:space="preserve">. Maßgeblich sind die Fachinformation und die ärztliche Begleitung.</w:t>
      </w:r>
    </w:p>
    <w:bookmarkEnd w:id="391"/>
    <w:bookmarkStart w:id="392"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392"/>
    <w:bookmarkStart w:id="399"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w:t>
      </w:r>
      <w:r>
        <w:rPr>
          <w:rStyle w:val="FootnoteReference"/>
        </w:rPr>
        <w:footnoteReference w:id="393"/>
      </w:r>
      <w:r>
        <w:t xml:space="preserve"> </w:t>
      </w:r>
      <w:r>
        <w:t xml:space="preserve">und vergleicht die Tablette Orforglipron mit Dulaglutid in dieser Altersgruppe</w:t>
      </w:r>
      <w:r>
        <w:rPr>
          <w:rStyle w:val="FootnoteReference"/>
        </w:rPr>
        <w:footnoteReference w:id="394"/>
      </w:r>
      <w:r>
        <w:t xml:space="preserve">.</w:t>
      </w:r>
    </w:p>
    <w:p>
      <w:pPr>
        <w:numPr>
          <w:ilvl w:val="0"/>
          <w:numId w:val="1054"/>
        </w:numPr>
        <w:pStyle w:val="Compact"/>
      </w:pPr>
      <w:r>
        <w:rPr>
          <w:bCs/>
          <w:b/>
        </w:rPr>
        <w:t xml:space="preserve">Gefäße und Operationen:</w:t>
      </w:r>
      <w:r>
        <w:t xml:space="preserve"> </w:t>
      </w:r>
      <w:r>
        <w:t xml:space="preserve">Eine Studie untersucht Dulaglutid bei schwerer Verengung der Hirngefäße</w:t>
      </w:r>
      <w:r>
        <w:rPr>
          <w:rStyle w:val="FootnoteReference"/>
        </w:rPr>
        <w:footnoteReference w:id="395"/>
      </w:r>
      <w:r>
        <w:t xml:space="preserve">, eine weitere, ob es Herzmuskelschäden nach nicht-herzchirurgischen Operationen verringert</w:t>
      </w:r>
      <w:r>
        <w:rPr>
          <w:rStyle w:val="FootnoteReference"/>
        </w:rPr>
        <w:footnoteReference w:id="396"/>
      </w:r>
      <w:r>
        <w:t xml:space="preserve">.</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w:t>
      </w:r>
      <w:r>
        <w:rPr>
          <w:rStyle w:val="FootnoteReference"/>
        </w:rPr>
        <w:footnoteReference w:id="397"/>
      </w:r>
      <w:r>
        <w:t xml:space="preserve">.</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w:t>
      </w:r>
      <w:r>
        <w:rPr>
          <w:rStyle w:val="FootnoteReference"/>
        </w:rPr>
        <w:footnoteReference w:id="398"/>
      </w:r>
      <w:r>
        <w:t xml:space="preserve">.</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399"/>
    <w:bookmarkStart w:id="400"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400"/>
    <w:bookmarkEnd w:id="401"/>
    <w:bookmarkStart w:id="476" w:name="semaglutid"/>
    <w:p>
      <w:pPr>
        <w:pStyle w:val="Heading2"/>
      </w:pPr>
      <w:r>
        <w:t xml:space="preserve">Semaglutid</w:t>
      </w:r>
    </w:p>
    <w:bookmarkStart w:id="403"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w:t>
      </w:r>
      <w:r>
        <w:rPr>
          <w:rStyle w:val="FootnoteReference"/>
        </w:rPr>
        <w:footnoteReference w:id="402"/>
      </w:r>
      <w:r>
        <w:t xml:space="preserve">.</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w:t>
      </w:r>
    </w:p>
    <w:p>
      <w:pPr>
        <w:numPr>
          <w:ilvl w:val="0"/>
          <w:numId w:val="1055"/>
        </w:numPr>
        <w:pStyle w:val="Compact"/>
      </w:pPr>
      <w:r>
        <w:rPr>
          <w:bCs/>
          <w:b/>
        </w:rPr>
        <w:t xml:space="preserve">WADA:</w:t>
      </w:r>
      <w:r>
        <w:t xml:space="preserve"> </w:t>
      </w:r>
      <w:r>
        <w:t xml:space="preserve">nicht gelistet.</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403"/>
    <w:bookmarkStart w:id="406"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w:t>
      </w:r>
      <w:r>
        <w:rPr>
          <w:rStyle w:val="FootnoteReference"/>
        </w:rPr>
        <w:footnoteReference w:id="404"/>
      </w:r>
      <w:r>
        <w:t xml:space="preserve">: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w:t>
      </w:r>
      <w:r>
        <w:rPr>
          <w:rStyle w:val="FootnoteReference"/>
        </w:rPr>
        <w:footnoteReference w:id="405"/>
      </w:r>
      <w:r>
        <w:t xml:space="preserve">. Trotzdem gelangt nur ein sehr kleiner Bruchteil des Wirkstoffs ins Blut. Die Tablette enthält deshalb ein Vielfaches der Spritzendosis und muss nüchtern mit wenig Wasser eingenommen werden; die Fachinformation regelt die Einzelheiten.</w:t>
      </w:r>
    </w:p>
    <w:bookmarkEnd w:id="406"/>
    <w:bookmarkStart w:id="447"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410"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w:t>
      </w:r>
      <w:r>
        <w:rPr>
          <w:rStyle w:val="FootnoteReference"/>
        </w:rPr>
        <w:footnoteReference w:id="407"/>
      </w:r>
      <w:r>
        <w:t xml:space="preserve"> </w:t>
      </w:r>
      <w:r>
        <w:t xml:space="preserve">zeigte, dass Semaglutid den Langzeitzucker HbA1c um rund 1,5 Prozentpunkte senkt. In späteren Studien mit Teilnehmenden, die höhere Ausgangswerte hatten, fiel die Senkung größer aus; mit der Dosis von 2,0 mg erreichte sie in SUSTAIN FORTE 2,2 Prozentpunkte</w:t>
      </w:r>
      <w:r>
        <w:rPr>
          <w:rStyle w:val="FootnoteReference"/>
        </w:rPr>
        <w:footnoteReference w:id="408"/>
      </w:r>
      <w:r>
        <w:t xml:space="preserve">.</w:t>
      </w:r>
    </w:p>
    <w:p>
      <w:pPr>
        <w:pStyle w:val="BodyText"/>
      </w:pPr>
      <w:r>
        <w:rPr>
          <w:bCs/>
          <w:b/>
        </w:rPr>
        <w:t xml:space="preserve">SUSTAIN 6</w:t>
      </w:r>
      <w:r>
        <w:rPr>
          <w:rStyle w:val="FootnoteReference"/>
        </w:rPr>
        <w:footnoteReference w:id="409"/>
      </w:r>
      <w:r>
        <w:t xml:space="preserve"> </w:t>
      </w:r>
      <w:r>
        <w:t xml:space="preserve">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410"/>
    <w:bookmarkStart w:id="416"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 (Hauptauswertung nach 26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0,1 und 0,7 Prozentpunkten zugunsten von Semaglutid, beim Gewicht zwischen 1,2 und rund 4 kg bei Diabetes. Am deutlichsten war der Abstand bei Adipositas: In STEP 8</w:t>
      </w:r>
      <w:r>
        <w:rPr>
          <w:rStyle w:val="FootnoteReference"/>
        </w:rPr>
        <w:footnoteReference w:id="411"/>
      </w:r>
      <w:r>
        <w:t xml:space="preserve"> </w:t>
      </w:r>
      <w:r>
        <w:t xml:space="preserve">verloren 38,5 % unter Semaglutid mindestens 20 % ihres Gewichts, unter Liraglutid 6,0 %. Der Preis ist bei einigen Vergleichen eine etwas höhere Rate an Magen-Darm-Beschwerden: In SUSTAIN 10 brachen 11,4 % gegenüber 6,6 % die Behandlung wegen Nebenwirkungen ab</w:t>
      </w:r>
      <w:r>
        <w:rPr>
          <w:rStyle w:val="FootnoteReference"/>
        </w:rPr>
        <w:footnoteReference w:id="412"/>
      </w:r>
      <w:r>
        <w:t xml:space="preserve">. In SUSTAIN 3 dagegen traten Reaktionen an der Einstichstelle unter Exenatid weit häufiger auf (22,0 % vs. 1,2 %)</w:t>
      </w:r>
      <w:r>
        <w:rPr>
          <w:rStyle w:val="FootnoteReference"/>
        </w:rPr>
        <w:footnoteReference w:id="413"/>
      </w:r>
      <w:r>
        <w:t xml:space="preserve">.</w:t>
      </w:r>
    </w:p>
    <w:p>
      <w:pPr>
        <w:pStyle w:val="BodyText"/>
      </w:pPr>
      <w:r>
        <w:t xml:space="preserve">PIONEER 4</w:t>
      </w:r>
      <w:r>
        <w:rPr>
          <w:rStyle w:val="FootnoteReference"/>
        </w:rPr>
        <w:footnoteReference w:id="414"/>
      </w:r>
      <w:r>
        <w:t xml:space="preserve"> </w:t>
      </w:r>
      <w:r>
        <w:t xml:space="preserve">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w:t>
      </w:r>
      <w:r>
        <w:rPr>
          <w:rStyle w:val="FootnoteReference"/>
        </w:rPr>
        <w:footnoteReference w:id="415"/>
      </w:r>
      <w:r>
        <w:t xml:space="preserve">. Einzelheiten stehen im Kapitel Tirzepatid.</w:t>
      </w:r>
    </w:p>
    <w:bookmarkEnd w:id="416"/>
    <w:bookmarkStart w:id="420"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 gegenüber Placebo</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w:t>
      </w:r>
      <w:r>
        <w:rPr>
          <w:rStyle w:val="FootnoteReference"/>
        </w:rPr>
        <w:footnoteReference w:id="417"/>
      </w:r>
      <w:r>
        <w:t xml:space="preserve"> </w:t>
      </w:r>
      <w:r>
        <w:t xml:space="preserve">zeigte, dass höhere Tablettendosen den Abstand verringern. PIONEER 6</w:t>
      </w:r>
      <w:r>
        <w:rPr>
          <w:rStyle w:val="FootnoteReference"/>
        </w:rPr>
        <w:footnoteReference w:id="418"/>
      </w:r>
      <w:r>
        <w:t xml:space="preserve"> </w:t>
      </w:r>
      <w:r>
        <w:t xml:space="preserve">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rPr>
          <w:rStyle w:val="FootnoteReference"/>
        </w:rPr>
        <w:footnoteReference w:id="419"/>
      </w:r>
      <w:r>
        <w:t xml:space="preserve">: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420"/>
    <w:bookmarkStart w:id="426"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rPr>
          <w:rStyle w:val="FootnoteReference"/>
        </w:rPr>
        <w:footnoteReference w:id="421"/>
      </w:r>
      <w:r>
        <w:t xml:space="preserve"> </w:t>
      </w:r>
      <w:r>
        <w:t xml:space="preserve">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rPr>
          <w:rStyle w:val="FootnoteReference"/>
        </w:rPr>
        <w:footnoteReference w:id="422"/>
      </w:r>
      <w:r>
        <w:t xml:space="preserve"> </w:t>
      </w:r>
      <w:r>
        <w:t xml:space="preserve">blieb der Effekt über zwei Jahre stabil.</w:t>
      </w:r>
    </w:p>
    <w:p>
      <w:pPr>
        <w:pStyle w:val="BodyText"/>
      </w:pPr>
      <w:r>
        <w:rPr>
          <w:bCs/>
          <w:b/>
        </w:rPr>
        <w:t xml:space="preserve">Was passiert nach dem Absetzen?</w:t>
      </w:r>
      <w:r>
        <w:t xml:space="preserve"> </w:t>
      </w:r>
      <w:r>
        <w:t xml:space="preserve">Diese Frage ist für die Praxis zentral. In STEP 4</w:t>
      </w:r>
      <w:r>
        <w:rPr>
          <w:rStyle w:val="FootnoteReference"/>
        </w:rPr>
        <w:footnoteReference w:id="423"/>
      </w:r>
      <w:r>
        <w:t xml:space="preserve"> </w:t>
      </w:r>
      <w:r>
        <w:t xml:space="preserve">erhielten alle Teilnehmenden zunächst 20 Wochen Semaglutid und hatten dabei im Mittel 10,6 % abgenommen. Wer danach auf Placebo wechselte, nahm in den folgenden 48 Wochen wieder 6,9 % zu; wer weiter behandelt wurde, nahm weitere 7,9 % ab. In der Verlängerung von STEP 1</w:t>
      </w:r>
      <w:r>
        <w:rPr>
          <w:rStyle w:val="FootnoteReference"/>
        </w:rPr>
        <w:footnoteReference w:id="424"/>
      </w:r>
      <w:r>
        <w:t xml:space="preserve"> </w:t>
      </w:r>
      <w:r>
        <w:t xml:space="preserve">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w:t>
      </w:r>
      <w:r>
        <w:rPr>
          <w:rStyle w:val="FootnoteReference"/>
        </w:rPr>
        <w:footnoteReference w:id="425"/>
      </w:r>
      <w:r>
        <w:t xml:space="preserve"> </w:t>
      </w:r>
      <w:r>
        <w:t xml:space="preserve">führte die dreifache Dosis von 7,2 mg zu 18,7 % Gewichtsverlust. Magen-Darm-Beschwerden waren häufiger (70,8 % vs. 61,2 % unter 2,4 mg), und 22,9 % berichteten über Missempfindungen der Haut (Dysästhesie), gegenüber 6,0 % unter 2,4 mg.</w:t>
      </w:r>
    </w:p>
    <w:bookmarkEnd w:id="426"/>
    <w:bookmarkStart w:id="428"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w:t>
      </w:r>
      <w:r>
        <w:rPr>
          <w:rStyle w:val="FootnoteReference"/>
        </w:rPr>
        <w:footnoteReference w:id="427"/>
      </w:r>
      <w:r>
        <w:t xml:space="preserve">. Magen-Darm-Beschwerden traten bei 74 % bis 80 % auf. Die 25-mg-Tablette aus OASIS 4 ist die Grundlage der in den USA zugelassenen Wegovy-Tablette. Ein direkter Vergleich mit der Spritze in einer großen Studie fehlt bisher.</w:t>
      </w:r>
    </w:p>
    <w:bookmarkEnd w:id="428"/>
    <w:bookmarkStart w:id="431"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w:t>
      </w:r>
      <w:r>
        <w:rPr>
          <w:rStyle w:val="FootnoteReference"/>
        </w:rPr>
        <w:footnoteReference w:id="429"/>
      </w:r>
      <w:r>
        <w:t xml:space="preserve">. 73 % verloren mindestens 5 % ihres Gewichts, gegenüber 18 % unter Placebo. Fünf Jugendliche (4 %) unter Semaglutid entwickelten Gallensteine, keiner unter Placebo. Eine Studie mit Kindern ab 6 Jahren läuft</w:t>
      </w:r>
      <w:r>
        <w:rPr>
          <w:rStyle w:val="FootnoteReference"/>
        </w:rPr>
        <w:footnoteReference w:id="430"/>
      </w:r>
      <w:r>
        <w:t xml:space="preserve">.</w:t>
      </w:r>
    </w:p>
    <w:bookmarkEnd w:id="431"/>
    <w:bookmarkStart w:id="433"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w:t>
      </w:r>
      <w:r>
        <w:rPr>
          <w:rStyle w:val="FootnoteReference"/>
        </w:rPr>
        <w:footnoteReference w:id="432"/>
      </w:r>
      <w:r>
        <w:t xml:space="preserve">.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433"/>
    <w:bookmarkStart w:id="435"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w:t>
      </w:r>
      <w:r>
        <w:rPr>
          <w:rStyle w:val="FootnoteReference"/>
        </w:rPr>
        <w:footnoteReference w:id="434"/>
      </w:r>
      <w:r>
        <w:t xml:space="preserve"> </w:t>
      </w:r>
      <w:r>
        <w:t xml:space="preserve">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435"/>
    <w:bookmarkStart w:id="441"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w:t>
      </w:r>
      <w:r>
        <w:rPr>
          <w:rStyle w:val="FootnoteReference"/>
        </w:rPr>
        <w:footnoteReference w:id="436"/>
      </w:r>
      <w:r>
        <w:t xml:space="preserve"> </w:t>
      </w:r>
      <w:r>
        <w:t xml:space="preserve">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w:t>
      </w:r>
      <w:r>
        <w:rPr>
          <w:rStyle w:val="FootnoteReference"/>
        </w:rPr>
        <w:footnoteReference w:id="437"/>
      </w:r>
      <w:r>
        <w:t xml:space="preserve">.</w:t>
      </w:r>
    </w:p>
    <w:p>
      <w:pPr>
        <w:pStyle w:val="BodyText"/>
      </w:pPr>
      <w:r>
        <w:rPr>
          <w:bCs/>
          <w:b/>
        </w:rPr>
        <w:t xml:space="preserve">Herzschwäche:</w:t>
      </w:r>
      <w:r>
        <w:t xml:space="preserve"> </w:t>
      </w:r>
      <w:r>
        <w:t xml:space="preserve">Bei Herzschwäche mit erhaltener Pumpfunktion und Adipositas verbesserten sich Beschwerden und Belastbarkeit deutlich</w:t>
      </w:r>
      <w:r>
        <w:rPr>
          <w:rStyle w:val="FootnoteReference"/>
        </w:rPr>
        <w:footnoteReference w:id="438"/>
      </w:r>
      <w:r>
        <w:t xml:space="preserve">.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maximale Gehstrecke</w:t>
      </w:r>
      <w:r>
        <w:rPr>
          <w:rStyle w:val="FootnoteReference"/>
        </w:rPr>
        <w:footnoteReference w:id="439"/>
      </w:r>
      <w:r>
        <w:t xml:space="preserve">.</w:t>
      </w:r>
    </w:p>
    <w:p>
      <w:pPr>
        <w:pStyle w:val="BodyText"/>
      </w:pPr>
      <w:r>
        <w:rPr>
          <w:bCs/>
          <w:b/>
        </w:rPr>
        <w:t xml:space="preserve">Kniearthrose:</w:t>
      </w:r>
      <w:r>
        <w:t xml:space="preserve"> </w:t>
      </w:r>
      <w:r>
        <w:t xml:space="preserve">In STEP 9</w:t>
      </w:r>
      <w:r>
        <w:rPr>
          <w:rStyle w:val="FootnoteReference"/>
        </w:rPr>
        <w:footnoteReference w:id="440"/>
      </w:r>
      <w:r>
        <w:t xml:space="preserve"> </w:t>
      </w:r>
      <w:r>
        <w:t xml:space="preserve">nahmen Knieschmerzen stärker ab als unter Placebo. Ob das allein an der Gewichtsabnahme liegt, lässt die Studie offen.</w:t>
      </w:r>
    </w:p>
    <w:bookmarkEnd w:id="441"/>
    <w:bookmarkStart w:id="446"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w:t>
      </w:r>
      <w:r>
        <w:rPr>
          <w:rStyle w:val="FootnoteReference"/>
        </w:rPr>
        <w:footnoteReference w:id="442"/>
      </w:r>
      <w:r>
        <w:t xml:space="preserve">.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w:t>
      </w:r>
      <w:r>
        <w:rPr>
          <w:rStyle w:val="FootnoteReference"/>
        </w:rPr>
        <w:footnoteReference w:id="443"/>
      </w:r>
      <w:r>
        <w:t xml:space="preserve">.</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w:t>
      </w:r>
      <w:r>
        <w:rPr>
          <w:rStyle w:val="FootnoteReference"/>
        </w:rPr>
        <w:footnoteReference w:id="444"/>
      </w:r>
      <w:r>
        <w:t xml:space="preserve">. In einer schwedischen Registerstudie war Semaglutid mit einem um 36 % geringeren Risiko für alkoholbedingte Krankenhausaufnahmen verbunden</w:t>
      </w:r>
      <w:r>
        <w:rPr>
          <w:rStyle w:val="FootnoteReference"/>
        </w:rPr>
        <w:footnoteReference w:id="445"/>
      </w:r>
      <w:r>
        <w:t xml:space="preserve">. Größere randomisierte Studien laufen.</w:t>
      </w:r>
    </w:p>
    <w:bookmarkEnd w:id="446"/>
    <w:bookmarkEnd w:id="447"/>
    <w:bookmarkStart w:id="451"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w:t>
      </w:r>
      <w:r>
        <w:rPr>
          <w:rStyle w:val="FootnoteReference"/>
        </w:rPr>
        <w:footnoteReference w:id="448"/>
      </w:r>
      <w:r>
        <w:t xml:space="preserve">. Die Halbwertszeit wurde zunächst an Minischweinen bestimmt. Die Aufnahme der Tablette über die Magenschleimhaut wurde an Hunden und am Menschen untersucht</w:t>
      </w:r>
      <w:r>
        <w:rPr>
          <w:rStyle w:val="FootnoteReference"/>
        </w:rPr>
        <w:footnoteReference w:id="449"/>
      </w:r>
      <w:r>
        <w:t xml:space="preserve">.</w:t>
      </w:r>
    </w:p>
    <w:p>
      <w:pPr>
        <w:pStyle w:val="BodyText"/>
      </w:pPr>
      <w:r>
        <w:t xml:space="preserve">Wie bei Liraglutid führten Langzeitversuche an Nagetieren zu C-Zell-Tumoren der Schilddrüse; die Übertragbarkeit auf den Menschen gilt wegen der geringen Rezeptordichte in menschlichen C-Zellen als fraglich</w:t>
      </w:r>
      <w:r>
        <w:rPr>
          <w:rStyle w:val="FootnoteReference"/>
        </w:rPr>
        <w:footnoteReference w:id="450"/>
      </w:r>
      <w:r>
        <w:t xml:space="preserve">. Tierversuche zu Nervenschutz, Sucht und Entzündung bildeten die Grundlage für die oben beschriebenen Studien an Menschen – mit gemischtem Ergebnis, wie das Scheitern von evoke zeigt.</w:t>
      </w:r>
    </w:p>
    <w:bookmarkEnd w:id="451"/>
    <w:bookmarkStart w:id="463"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w:t>
      </w:r>
      <w:r>
        <w:rPr>
          <w:rStyle w:val="FootnoteReference"/>
        </w:rPr>
        <w:footnoteReference w:id="452"/>
      </w:r>
      <w:r>
        <w:t xml:space="preserve">.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w:t>
      </w:r>
      <w:r>
        <w:rPr>
          <w:rStyle w:val="FootnoteReference"/>
        </w:rPr>
        <w:footnoteReference w:id="453"/>
      </w:r>
      <w:r>
        <w:t xml:space="preserve">; in STEP TEENS bei 4 % der Jugendlichen</w:t>
      </w:r>
      <w:r>
        <w:rPr>
          <w:rStyle w:val="FootnoteReference"/>
        </w:rPr>
        <w:footnoteReference w:id="454"/>
      </w:r>
      <w:r>
        <w:t xml:space="preserve">.</w:t>
      </w:r>
    </w:p>
    <w:p>
      <w:pPr>
        <w:numPr>
          <w:ilvl w:val="0"/>
          <w:numId w:val="1056"/>
        </w:numPr>
        <w:pStyle w:val="Compact"/>
      </w:pPr>
      <w:r>
        <w:rPr>
          <w:bCs/>
          <w:b/>
        </w:rPr>
        <w:t xml:space="preserve">Verschlechterung einer diabetischen Netzhauterkrankung:</w:t>
      </w:r>
      <w:r>
        <w:t xml:space="preserve"> </w:t>
      </w:r>
      <w:r>
        <w:t xml:space="preserve">In SUSTAIN 6 häufiger (HR 1,76)</w:t>
      </w:r>
      <w:r>
        <w:rPr>
          <w:rStyle w:val="FootnoteReference"/>
        </w:rPr>
        <w:footnoteReference w:id="455"/>
      </w:r>
      <w:r>
        <w:t xml:space="preserve">. Vermutet wird, dass eine sehr rasche Blutzuckersenkung bei schon vorhandener Retinopathie vorübergehend schadet – ein Effekt, der auch von Insulin bekannt ist. Eine eigene Studie mit 1.500 Teilnehmenden zu dieser Frage läuft</w:t>
      </w:r>
      <w:r>
        <w:rPr>
          <w:rStyle w:val="FootnoteReference"/>
        </w:rPr>
        <w:footnoteReference w:id="456"/>
      </w:r>
      <w:r>
        <w:t xml:space="preserve">.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w:t>
      </w:r>
      <w:r>
        <w:rPr>
          <w:rStyle w:val="FootnoteReference"/>
        </w:rPr>
        <w:footnoteReference w:id="457"/>
      </w:r>
      <w:r>
        <w:t xml:space="preserve">.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w:t>
      </w:r>
      <w:r>
        <w:rPr>
          <w:rStyle w:val="FootnoteReference"/>
        </w:rPr>
        <w:footnoteReference w:id="458"/>
      </w:r>
      <w:r>
        <w:t xml:space="preserve">. Eine Meta-Analyse von 2026 fand das Signal nur in Beobachtungsstudien bei Diabetes (HR 1,85), nicht in randomisierten Studien und nicht bei Adipositas</w:t>
      </w:r>
      <w:r>
        <w:rPr>
          <w:rStyle w:val="FootnoteReference"/>
        </w:rPr>
        <w:footnoteReference w:id="459"/>
      </w:r>
      <w:r>
        <w:t xml:space="preserve">. Die Europäische Arzneimittel-Agentur hat NAION 2025 als sehr seltene Nebenwirkung in die Fachinformation aufgenommen.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w:t>
      </w:r>
      <w:r>
        <w:rPr>
          <w:rStyle w:val="FootnoteReference"/>
        </w:rPr>
        <w:footnoteReference w:id="460"/>
      </w:r>
      <w:r>
        <w:t xml:space="preserve">.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w:t>
      </w:r>
      <w:r>
        <w:rPr>
          <w:rStyle w:val="FootnoteReference"/>
        </w:rPr>
        <w:footnoteReference w:id="461"/>
      </w:r>
      <w:r>
        <w:t xml:space="preserve">;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w:t>
      </w:r>
      <w:r>
        <w:rPr>
          <w:rStyle w:val="FootnoteReference"/>
        </w:rPr>
        <w:footnoteReference w:id="462"/>
      </w:r>
      <w:r>
        <w:t xml:space="preserve">.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463"/>
    <w:bookmarkStart w:id="467"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Eine Fallserie eines Giftinformationszentrums beschrieb zehnfache Überdosierungen, weil Patientinnen und Patienten mit Spritzen und Fläschchen statt mit Fertigpens hantierten und Milliliter, Einheiten und Milligramm verwechselten</w:t>
      </w:r>
      <w:r>
        <w:rPr>
          <w:rStyle w:val="FootnoteReference"/>
        </w:rPr>
        <w:footnoteReference w:id="464"/>
      </w:r>
      <w:r>
        <w:t xml:space="preserve">. In einer Auswertung der US-Nebenwirkungsdatenbank waren bei zubereiteten Produkten Meldungen zu Herstellungsfehlern, Verunreinigung und Krankenhausaufnahmen überproportional häufig</w:t>
      </w:r>
      <w:r>
        <w:rPr>
          <w:rStyle w:val="FootnoteReference"/>
        </w:rPr>
        <w:footnoteReference w:id="465"/>
      </w:r>
      <w:r>
        <w:t xml:space="preserve">.</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w:t>
      </w:r>
      <w:r>
        <w:rPr>
          <w:rStyle w:val="FootnoteReference"/>
        </w:rPr>
        <w:footnoteReference w:id="466"/>
      </w:r>
      <w:r>
        <w:t xml:space="preserve">.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finden Sie in Teil I und Teil IV. Sicher ist nur der reguläre Weg: ärztliche Verordnung und Abgabe in der Apotheke.</w:t>
      </w:r>
    </w:p>
    <w:bookmarkEnd w:id="467"/>
    <w:bookmarkStart w:id="468"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468"/>
    <w:bookmarkStart w:id="474"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w:t>
      </w:r>
      <w:r>
        <w:rPr>
          <w:rStyle w:val="FootnoteReference"/>
        </w:rPr>
        <w:footnoteReference w:id="469"/>
      </w:r>
      <w:r>
        <w:t xml:space="preserve">.</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w:t>
      </w:r>
      <w:r>
        <w:rPr>
          <w:rStyle w:val="FootnoteReference"/>
        </w:rPr>
        <w:footnoteReference w:id="470"/>
      </w:r>
      <w:r>
        <w:t xml:space="preserve">.</w:t>
      </w:r>
    </w:p>
    <w:p>
      <w:pPr>
        <w:numPr>
          <w:ilvl w:val="0"/>
          <w:numId w:val="1059"/>
        </w:numPr>
        <w:pStyle w:val="Compact"/>
      </w:pPr>
      <w:r>
        <w:rPr>
          <w:bCs/>
          <w:b/>
        </w:rPr>
        <w:t xml:space="preserve">Kinder:</w:t>
      </w:r>
      <w:r>
        <w:t xml:space="preserve"> </w:t>
      </w:r>
      <w:r>
        <w:t xml:space="preserve">Eine Studie mit 212 Kindern und Jugendlichen läuft</w:t>
      </w:r>
      <w:r>
        <w:rPr>
          <w:rStyle w:val="FootnoteReference"/>
        </w:rPr>
        <w:footnoteReference w:id="471"/>
      </w:r>
      <w:r>
        <w:t xml:space="preserve">.</w:t>
      </w:r>
    </w:p>
    <w:p>
      <w:pPr>
        <w:numPr>
          <w:ilvl w:val="0"/>
          <w:numId w:val="1059"/>
        </w:numPr>
        <w:pStyle w:val="Compact"/>
      </w:pPr>
      <w:r>
        <w:rPr>
          <w:bCs/>
          <w:b/>
        </w:rPr>
        <w:t xml:space="preserve">Tablette:</w:t>
      </w:r>
      <w:r>
        <w:t xml:space="preserve"> </w:t>
      </w:r>
      <w:r>
        <w:t xml:space="preserve">Weitere Phase-3-Studien zur Tablette bei Adipositas sind gestartet</w:t>
      </w:r>
      <w:r>
        <w:rPr>
          <w:rStyle w:val="FootnoteReference"/>
        </w:rPr>
        <w:footnoteReference w:id="472"/>
      </w:r>
      <w:r>
        <w:t xml:space="preserve">.</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w:t>
      </w:r>
      <w:r>
        <w:rPr>
          <w:rStyle w:val="FootnoteReference"/>
        </w:rPr>
        <w:footnoteReference w:id="473"/>
      </w:r>
      <w:r>
        <w:t xml:space="preserve">;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474"/>
    <w:bookmarkStart w:id="475"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475"/>
    <w:bookmarkEnd w:id="476"/>
    <w:bookmarkStart w:id="536" w:name="tirzepatid"/>
    <w:p>
      <w:pPr>
        <w:pStyle w:val="Heading2"/>
      </w:pPr>
      <w:r>
        <w:t xml:space="preserve">Tirzepatid</w:t>
      </w:r>
    </w:p>
    <w:bookmarkStart w:id="477"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477"/>
    <w:bookmarkStart w:id="481"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w:t>
      </w:r>
      <w:r>
        <w:rPr>
          <w:rStyle w:val="FootnoteReference"/>
        </w:rPr>
        <w:footnoteReference w:id="478"/>
      </w:r>
      <w:r>
        <w:t xml:space="preserve">: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w:t>
      </w:r>
      <w:r>
        <w:rPr>
          <w:rStyle w:val="FootnoteReference"/>
        </w:rPr>
        <w:footnoteReference w:id="479"/>
      </w:r>
      <w:r>
        <w:t xml:space="preserve">.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w:t>
      </w:r>
      <w:r>
        <w:rPr>
          <w:rStyle w:val="FootnoteReference"/>
        </w:rPr>
        <w:footnoteReference w:id="480"/>
      </w:r>
      <w:r>
        <w:t xml:space="preserve">.</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481"/>
    <w:bookmarkStart w:id="514"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484"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w:t>
      </w:r>
      <w:r>
        <w:rPr>
          <w:rStyle w:val="FootnoteReference"/>
        </w:rPr>
        <w:footnoteReference w:id="482"/>
      </w:r>
      <w:r>
        <w:t xml:space="preserve">.</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w:t>
      </w:r>
      <w:r>
        <w:rPr>
          <w:rStyle w:val="FootnoteReference"/>
        </w:rPr>
        <w:footnoteReference w:id="483"/>
      </w:r>
      <w:r>
        <w:t xml:space="preserve">. Diese Größenordnung des Gewichtsverlusts – bei einer Diabetesstudie – war der Anlass für das große Adipositasprogramm.</w:t>
      </w:r>
    </w:p>
    <w:bookmarkEnd w:id="484"/>
    <w:bookmarkStart w:id="490"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w:t>
      </w:r>
      <w:r>
        <w:rPr>
          <w:rStyle w:val="FootnoteReference"/>
        </w:rPr>
        <w:footnoteReference w:id="485"/>
      </w:r>
      <w:r>
        <w:t xml:space="preserve">.</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w:t>
      </w:r>
      <w:r>
        <w:rPr>
          <w:rStyle w:val="FootnoteReference"/>
        </w:rPr>
        <w:footnoteReference w:id="486"/>
      </w:r>
      <w:r>
        <w:t xml:space="preserve">.</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w:t>
      </w:r>
      <w:r>
        <w:rPr>
          <w:rStyle w:val="FootnoteReference"/>
        </w:rPr>
        <w:footnoteReference w:id="487"/>
      </w:r>
      <w:r>
        <w:t xml:space="preserve">.</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w:t>
      </w:r>
      <w:r>
        <w:rPr>
          <w:rStyle w:val="FootnoteReference"/>
        </w:rPr>
        <w:footnoteReference w:id="488"/>
      </w:r>
      <w:r>
        <w:t xml:space="preserve">.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w:t>
      </w:r>
      <w:r>
        <w:rPr>
          <w:rStyle w:val="FootnoteReference"/>
        </w:rPr>
        <w:footnoteReference w:id="489"/>
      </w:r>
      <w:r>
        <w:t xml:space="preserve">. Das ist eine Sicherheits-, keine Nutzenaussage – dafür war die Endpunktstudie SURPASS-CVOT nötig.</w:t>
      </w:r>
    </w:p>
    <w:bookmarkEnd w:id="490"/>
    <w:bookmarkStart w:id="494"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w:t>
      </w:r>
      <w:r>
        <w:rPr>
          <w:rStyle w:val="FootnoteReference"/>
        </w:rPr>
        <w:footnoteReference w:id="491"/>
      </w:r>
      <w:r>
        <w:t xml:space="preserve">.</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w:t>
      </w:r>
      <w:r>
        <w:rPr>
          <w:rStyle w:val="FootnoteReference"/>
        </w:rPr>
        <w:footnoteReference w:id="492"/>
      </w:r>
      <w:r>
        <w:t xml:space="preserve">.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w:t>
      </w:r>
      <w:r>
        <w:rPr>
          <w:rStyle w:val="FootnoteReference"/>
        </w:rPr>
        <w:footnoteReference w:id="493"/>
      </w:r>
      <w:r>
        <w:t xml:space="preserve">. Solche Modellrechnungen beruhen auf Annahmen und ersetzen keinen echten Placebovergleich.</w:t>
      </w:r>
    </w:p>
    <w:bookmarkEnd w:id="494"/>
    <w:bookmarkStart w:id="500"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w:t>
      </w:r>
      <w:r>
        <w:rPr>
          <w:rStyle w:val="FootnoteReference"/>
        </w:rPr>
        <w:footnoteReference w:id="495"/>
      </w:r>
      <w:r>
        <w:t xml:space="preserve">.</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w:t>
      </w:r>
      <w:r>
        <w:rPr>
          <w:rStyle w:val="FootnoteReference"/>
        </w:rPr>
        <w:footnoteReference w:id="496"/>
      </w:r>
      <w:r>
        <w:t xml:space="preserve">.</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w:t>
      </w:r>
      <w:r>
        <w:rPr>
          <w:rStyle w:val="FootnoteReference"/>
        </w:rPr>
        <w:footnoteReference w:id="497"/>
      </w:r>
      <w:r>
        <w:t xml:space="preserve">.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w:t>
      </w:r>
      <w:r>
        <w:rPr>
          <w:rStyle w:val="FootnoteReference"/>
        </w:rPr>
        <w:footnoteReference w:id="498"/>
      </w:r>
      <w:r>
        <w:t xml:space="preserve">.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w:t>
      </w:r>
      <w:r>
        <w:rPr>
          <w:rStyle w:val="FootnoteReference"/>
        </w:rPr>
        <w:footnoteReference w:id="499"/>
      </w:r>
      <w:r>
        <w:t xml:space="preserve">.</w:t>
      </w:r>
    </w:p>
    <w:bookmarkEnd w:id="500"/>
    <w:bookmarkStart w:id="503"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w:t>
      </w:r>
      <w:r>
        <w:rPr>
          <w:rStyle w:val="FootnoteReference"/>
        </w:rPr>
        <w:footnoteReference w:id="501"/>
      </w:r>
      <w:r>
        <w:t xml:space="preserve">.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w:t>
      </w:r>
      <w:r>
        <w:rPr>
          <w:rStyle w:val="FootnoteReference"/>
        </w:rPr>
        <w:footnoteReference w:id="502"/>
      </w:r>
      <w:r>
        <w:t xml:space="preserve">.</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finden Sie in Teil III.</w:t>
      </w:r>
    </w:p>
    <w:bookmarkEnd w:id="503"/>
    <w:bookmarkStart w:id="506"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w:t>
      </w:r>
      <w:r>
        <w:rPr>
          <w:rStyle w:val="FootnoteReference"/>
        </w:rPr>
        <w:footnoteReference w:id="504"/>
      </w:r>
      <w:r>
        <w:t xml:space="preserve">.</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w:t>
      </w:r>
      <w:r>
        <w:rPr>
          <w:rStyle w:val="FootnoteReference"/>
        </w:rPr>
        <w:footnoteReference w:id="505"/>
      </w:r>
      <w:r>
        <w:t xml:space="preserve">. Mit 731 Personen und 92 Endpunktereignissen ist SUMMIT eine vergleichsweise kleine Endpunktstudie; die Ergebnisse sind ermutigend, aber nicht so belastbar wie Daten aus Studien mit Tausenden Teilnehmenden.</w:t>
      </w:r>
    </w:p>
    <w:bookmarkEnd w:id="506"/>
    <w:bookmarkStart w:id="508"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w:t>
      </w:r>
      <w:r>
        <w:rPr>
          <w:rStyle w:val="FootnoteReference"/>
        </w:rPr>
        <w:footnoteReference w:id="507"/>
      </w:r>
      <w:r>
        <w:t xml:space="preserve">:</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508"/>
    <w:bookmarkStart w:id="510"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w:t>
      </w:r>
      <w:r>
        <w:rPr>
          <w:rStyle w:val="FootnoteReference"/>
        </w:rPr>
        <w:footnoteReference w:id="509"/>
      </w:r>
      <w:r>
        <w:t xml:space="preserve">. Eine Phase-3-Studie läuft (siehe Ausblick).</w:t>
      </w:r>
    </w:p>
    <w:bookmarkEnd w:id="510"/>
    <w:bookmarkStart w:id="513"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w:t>
      </w:r>
      <w:r>
        <w:rPr>
          <w:rStyle w:val="FootnoteReference"/>
        </w:rPr>
        <w:footnoteReference w:id="511"/>
      </w:r>
      <w:r>
        <w:t xml:space="preserve">.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w:t>
      </w:r>
      <w:r>
        <w:rPr>
          <w:rStyle w:val="FootnoteReference"/>
        </w:rPr>
        <w:footnoteReference w:id="512"/>
      </w:r>
      <w:r>
        <w:t xml:space="preserve">. Die Sorge um Muskelverlust ist also berechtigt, aber kein Tirzepatid-spezifischer Effekt, sondern typisch für jede deutliche Gewichtsabnahme.</w:t>
      </w:r>
    </w:p>
    <w:bookmarkEnd w:id="513"/>
    <w:bookmarkEnd w:id="514"/>
    <w:bookmarkStart w:id="518"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w:t>
      </w:r>
      <w:r>
        <w:rPr>
          <w:rStyle w:val="FootnoteReference"/>
        </w:rPr>
        <w:footnoteReference w:id="515"/>
      </w:r>
      <w:r>
        <w:t xml:space="preserve">. Studien an Mäusen ohne funktionierenden GLP-1-Rezeptor zeigten, dass der GIP-Anteil die Insulinempfindlichkeit im Fettgewebe verbessert</w:t>
      </w:r>
      <w:r>
        <w:rPr>
          <w:rStyle w:val="FootnoteReference"/>
        </w:rPr>
        <w:footnoteReference w:id="516"/>
      </w:r>
      <w:r>
        <w:t xml:space="preserve">.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w:t>
      </w:r>
      <w:r>
        <w:rPr>
          <w:rStyle w:val="FootnoteReference"/>
        </w:rPr>
        <w:footnoteReference w:id="517"/>
      </w:r>
      <w:r>
        <w:t xml:space="preserve">.</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518"/>
    <w:bookmarkStart w:id="527"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w:t>
      </w:r>
      <w:r>
        <w:rPr>
          <w:rStyle w:val="FootnoteReference"/>
        </w:rPr>
        <w:footnoteReference w:id="519"/>
      </w:r>
      <w:r>
        <w:t xml:space="preserve">.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w:t>
      </w:r>
      <w:r>
        <w:rPr>
          <w:rStyle w:val="FootnoteReference"/>
        </w:rPr>
        <w:footnoteReference w:id="520"/>
      </w:r>
      <w:r>
        <w:t xml:space="preserve">.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w:t>
      </w:r>
      <w:r>
        <w:rPr>
          <w:rStyle w:val="FootnoteReference"/>
        </w:rPr>
        <w:footnoteReference w:id="521"/>
      </w:r>
      <w:r>
        <w:t xml:space="preserve">.</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w:t>
      </w:r>
      <w:r>
        <w:rPr>
          <w:rStyle w:val="FootnoteReference"/>
        </w:rPr>
        <w:footnoteReference w:id="522"/>
      </w:r>
      <w:r>
        <w:t xml:space="preserve">.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w:t>
      </w:r>
      <w:r>
        <w:rPr>
          <w:rStyle w:val="FootnoteReference"/>
        </w:rPr>
        <w:footnoteReference w:id="523"/>
      </w:r>
      <w:r>
        <w:t xml:space="preserve">.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w:t>
      </w:r>
      <w:r>
        <w:rPr>
          <w:rStyle w:val="FootnoteReference"/>
        </w:rPr>
        <w:footnoteReference w:id="524"/>
      </w:r>
      <w:r>
        <w:t xml:space="preserve">.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w:t>
      </w:r>
      <w:r>
        <w:rPr>
          <w:rStyle w:val="FootnoteReference"/>
        </w:rPr>
        <w:footnoteReference w:id="525"/>
      </w:r>
      <w:r>
        <w:t xml:space="preserve">.</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w:t>
      </w:r>
      <w:r>
        <w:rPr>
          <w:rStyle w:val="FootnoteReference"/>
        </w:rPr>
        <w:footnoteReference w:id="526"/>
      </w:r>
      <w:r>
        <w:t xml:space="preserve">. Für „Research“-Ware ohne Arzneimittelzulassung gilt das in noch höherem Maß (siehe Teil I und Teil IV).</w:t>
      </w:r>
    </w:p>
    <w:bookmarkEnd w:id="527"/>
    <w:bookmarkStart w:id="528"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528"/>
    <w:bookmarkStart w:id="534"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rPr>
          <w:rStyle w:val="FootnoteReference"/>
        </w:rPr>
        <w:footnoteReference w:id="529"/>
      </w:r>
      <w:r>
        <w:t xml:space="preserve">: Endpunktstudie mit rund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die Primär- als auch die Sekundärprävention von Herz-Kreislauf-Erkrankungen untersucht</w:t>
      </w:r>
      <w:r>
        <w:rPr>
          <w:rStyle w:val="FootnoteReference"/>
        </w:rPr>
        <w:footnoteReference w:id="530"/>
      </w:r>
      <w:r>
        <w:t xml:space="preserve">.</w:t>
      </w:r>
    </w:p>
    <w:p>
      <w:pPr>
        <w:numPr>
          <w:ilvl w:val="0"/>
          <w:numId w:val="1067"/>
        </w:numPr>
        <w:pStyle w:val="Compact"/>
      </w:pPr>
      <w:r>
        <w:rPr>
          <w:bCs/>
          <w:b/>
        </w:rPr>
        <w:t xml:space="preserve">SYNERGY-Outcomes</w:t>
      </w:r>
      <w:r>
        <w:rPr>
          <w:rStyle w:val="FootnoteReference"/>
        </w:rPr>
        <w:footnoteReference w:id="531"/>
      </w:r>
      <w:r>
        <w:t xml:space="preserve">: Phase-3-Masterprotokoll zur Fettlebererkrankung mit geplant 4.500 Teilnehmenden.</w:t>
      </w:r>
    </w:p>
    <w:p>
      <w:pPr>
        <w:numPr>
          <w:ilvl w:val="0"/>
          <w:numId w:val="1067"/>
        </w:numPr>
        <w:pStyle w:val="Compact"/>
      </w:pPr>
      <w:r>
        <w:rPr>
          <w:bCs/>
          <w:b/>
        </w:rPr>
        <w:t xml:space="preserve">Typ-1-Diabetes mit Adipositas</w:t>
      </w:r>
      <w:r>
        <w:rPr>
          <w:rStyle w:val="FootnoteReference"/>
        </w:rPr>
        <w:footnoteReference w:id="532"/>
      </w:r>
      <w:r>
        <w:t xml:space="preserve">: zwei Phase-3-Studien.</w:t>
      </w:r>
    </w:p>
    <w:p>
      <w:pPr>
        <w:numPr>
          <w:ilvl w:val="0"/>
          <w:numId w:val="1067"/>
        </w:numPr>
        <w:pStyle w:val="Compact"/>
      </w:pPr>
      <w:r>
        <w:rPr>
          <w:bCs/>
          <w:b/>
        </w:rPr>
        <w:t xml:space="preserve">Jugendliche mit Adipositas</w:t>
      </w:r>
      <w:r>
        <w:t xml:space="preserve"> </w:t>
      </w:r>
      <w:r>
        <w:t xml:space="preserve">(NCT06439277, SURMOUNT-ADOLESCENTS-2) und Kinder</w:t>
      </w:r>
      <w:r>
        <w:rPr>
          <w:rStyle w:val="FootnoteReference"/>
        </w:rPr>
        <w:footnoteReference w:id="533"/>
      </w:r>
      <w:r>
        <w:t xml:space="preserve">.</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534"/>
    <w:bookmarkStart w:id="535"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535"/>
    <w:bookmarkEnd w:id="536"/>
    <w:bookmarkStart w:id="576" w:name="retatrutid"/>
    <w:p>
      <w:pPr>
        <w:pStyle w:val="Heading2"/>
      </w:pPr>
      <w:r>
        <w:t xml:space="preserve">Retatrutid</w:t>
      </w:r>
    </w:p>
    <w:bookmarkStart w:id="537"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537"/>
    <w:bookmarkStart w:id="541"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w:t>
      </w:r>
      <w:r>
        <w:rPr>
          <w:rStyle w:val="FootnoteReference"/>
        </w:rPr>
        <w:footnoteReference w:id="538"/>
      </w:r>
      <w:r>
        <w:t xml:space="preserve">. Ob der Energieverbrauch auch beim Menschen nennenswert steigt, ist noch nicht ausreichend untersucht; eine entsprechende Phase-1-Studie ist registriert</w:t>
      </w:r>
      <w:r>
        <w:rPr>
          <w:rStyle w:val="FootnoteReference"/>
        </w:rPr>
        <w:footnoteReference w:id="539"/>
      </w:r>
      <w:r>
        <w:t xml:space="preserve">.</w:t>
      </w:r>
    </w:p>
    <w:p>
      <w:pPr>
        <w:pStyle w:val="BodyText"/>
      </w:pPr>
      <w:r>
        <w:t xml:space="preserve">Beim Menschen berichteten Teilnehmende einer Phase-2-Studie unter höheren Dosen weniger Hunger und weniger Neigung zu „Kontrollverlust“ beim Essen; diese Veränderungen hingen mit dem Gewichtsverlust zusammen</w:t>
      </w:r>
      <w:r>
        <w:rPr>
          <w:rStyle w:val="FootnoteReference"/>
        </w:rPr>
        <w:footnoteReference w:id="540"/>
      </w:r>
      <w:r>
        <w:t xml:space="preserve">.</w:t>
      </w:r>
    </w:p>
    <w:bookmarkEnd w:id="541"/>
    <w:bookmarkStart w:id="556"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544"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w:t>
      </w:r>
      <w:r>
        <w:rPr>
          <w:rStyle w:val="FootnoteReference"/>
        </w:rPr>
        <w:footnoteReference w:id="542"/>
      </w:r>
      <w:r>
        <w:t xml:space="preserve">, folgte eine zwölfwöchige Phase-1b-Studie mit 72 Menschen mit Typ-2-Diabetes. Die Halbwertszeit betrug etwa sechs Tage, was die wöchentliche Gabe erlaubt. In der höchsten Dosisgruppe lag die Gewichtsabnahme gegenüber Placebo bei bis zu knapp 9 kg</w:t>
      </w:r>
      <w:r>
        <w:rPr>
          <w:rStyle w:val="FootnoteReference"/>
        </w:rPr>
        <w:footnoteReference w:id="543"/>
      </w:r>
      <w:r>
        <w:t xml:space="preserve">.</w:t>
      </w:r>
    </w:p>
    <w:bookmarkEnd w:id="544"/>
    <w:bookmarkStart w:id="550" w:name="phase-2-adipositas-und-typ-2-diabetes"/>
    <w:p>
      <w:pPr>
        <w:pStyle w:val="Heading4"/>
      </w:pPr>
      <w:r>
        <w:t xml:space="preserve">Phase 2: Adipositas und Typ-2-Diabetes</w:t>
      </w:r>
    </w:p>
    <w:p>
      <w:pPr>
        <w:pStyle w:val="FirstParagraph"/>
      </w:pPr>
      <w:r>
        <w:t xml:space="preserve">Die Phase-2-Studie bei Adipositas sorgte 2023 für Schlagzeilen</w:t>
      </w:r>
      <w:r>
        <w:rPr>
          <w:rStyle w:val="FootnoteReference"/>
        </w:rPr>
        <w:footnoteReference w:id="545"/>
      </w:r>
      <w:r>
        <w:t xml:space="preserve">.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w:t>
      </w:r>
      <w:r>
        <w:rPr>
          <w:rStyle w:val="FootnoteReference"/>
        </w:rPr>
        <w:footnoteReference w:id="546"/>
      </w:r>
      <w:r>
        <w:t xml:space="preserve">. In einer Unterstudie mit Körperzusammensetzungsmessung (DXA) sank die Fettmasse unter den höheren Dosen um 23–26 %</w:t>
      </w:r>
      <w:r>
        <w:rPr>
          <w:rStyle w:val="FootnoteReference"/>
        </w:rPr>
        <w:footnoteReference w:id="547"/>
      </w:r>
      <w:r>
        <w:t xml:space="preserve">.</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w:t>
      </w:r>
      <w:r>
        <w:rPr>
          <w:rStyle w:val="FootnoteReference"/>
        </w:rPr>
        <w:footnoteReference w:id="548"/>
      </w:r>
      <w:r>
        <w:t xml:space="preserve">.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w:t>
      </w:r>
      <w:r>
        <w:rPr>
          <w:rStyle w:val="FootnoteReference"/>
        </w:rPr>
        <w:footnoteReference w:id="549"/>
      </w:r>
      <w:r>
        <w:t xml:space="preserve">. Auch das sind Laborwerte, keine harten Endpunkte.</w:t>
      </w:r>
    </w:p>
    <w:bookmarkEnd w:id="550"/>
    <w:bookmarkStart w:id="555"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w:t>
      </w:r>
      <w:r>
        <w:rPr>
          <w:rStyle w:val="FootnoteReference"/>
        </w:rPr>
        <w:footnoteReference w:id="55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rPr>
          <w:rStyle w:val="FootnoteReference"/>
        </w:rPr>
        <w:footnoteReference w:id="552"/>
      </w:r>
      <w:r>
        <w:t xml:space="preserve"> </w:t>
      </w:r>
      <w:r>
        <w:t xml:space="preserve">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rPr>
          <w:rStyle w:val="FootnoteReference"/>
        </w:rPr>
        <w:footnoteReference w:id="553"/>
      </w:r>
      <w:r>
        <w:t xml:space="preserve"> </w:t>
      </w:r>
      <w:r>
        <w:t xml:space="preserve">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rPr>
          <w:rStyle w:val="FootnoteReference"/>
        </w:rPr>
        <w:footnoteReference w:id="554"/>
      </w:r>
      <w:r>
        <w:t xml:space="preserve"> </w:t>
      </w:r>
      <w:r>
        <w:t xml:space="preserve">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555"/>
    <w:bookmarkEnd w:id="556"/>
    <w:bookmarkStart w:id="560"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w:t>
      </w:r>
      <w:r>
        <w:rPr>
          <w:rStyle w:val="FootnoteReference"/>
        </w:rPr>
        <w:footnoteReference w:id="557"/>
      </w:r>
      <w:r>
        <w:t xml:space="preserve">. Eine Arbeit an übergewichtigen Mäusen beschreibt, dass transplantierte Bauchspeicheldrüsen- und Lungentumoren unter Retatrutid seltener anwuchsen und langsamer wuchsen</w:t>
      </w:r>
      <w:r>
        <w:rPr>
          <w:rStyle w:val="FootnoteReference"/>
        </w:rPr>
        <w:footnoteReference w:id="558"/>
      </w:r>
      <w:r>
        <w:t xml:space="preserve"> </w:t>
      </w:r>
      <w:r>
        <w:t xml:space="preserve">–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w:t>
      </w:r>
      <w:r>
        <w:rPr>
          <w:rStyle w:val="FootnoteReference"/>
        </w:rPr>
        <w:footnoteReference w:id="559"/>
      </w:r>
      <w:r>
        <w:t xml:space="preserve">. Die Autorinnen und Autoren verweisen auf Berichte über den Gebrauch unter Freizeitsportlern.</w:t>
      </w:r>
    </w:p>
    <w:bookmarkEnd w:id="560"/>
    <w:bookmarkStart w:id="564"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w:t>
      </w:r>
      <w:r>
        <w:rPr>
          <w:rStyle w:val="FootnoteReference"/>
        </w:rPr>
        <w:footnoteReference w:id="561"/>
      </w:r>
      <w:r>
        <w:t xml:space="preserve">.</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w:t>
      </w:r>
      <w:r>
        <w:rPr>
          <w:rStyle w:val="FootnoteReference"/>
        </w:rPr>
        <w:footnoteReference w:id="562"/>
      </w:r>
      <w:r>
        <w:t xml:space="preserve">.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w:t>
      </w:r>
      <w:r>
        <w:rPr>
          <w:rStyle w:val="FootnoteReference"/>
        </w:rPr>
        <w:footnoteReference w:id="563"/>
      </w:r>
      <w:r>
        <w:t xml:space="preserve">.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564"/>
    <w:bookmarkStart w:id="566"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w:t>
      </w:r>
      <w:r>
        <w:rPr>
          <w:rStyle w:val="FootnoteReference"/>
        </w:rPr>
        <w:footnoteReference w:id="565"/>
      </w:r>
      <w:r>
        <w:t xml:space="preserve">.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566"/>
    <w:bookmarkStart w:id="574"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rPr>
          <w:rStyle w:val="FootnoteReference"/>
        </w:rPr>
        <w:footnoteReference w:id="567"/>
      </w:r>
      <w:r>
        <w:t xml:space="preserve">: Endpunktstudie zu Herz-Kreislauf- und Nierenereignissen mit rund 10.000 Teilnehmenden mit Adipositas, geplantes Ende 2029.</w:t>
      </w:r>
    </w:p>
    <w:p>
      <w:pPr>
        <w:numPr>
          <w:ilvl w:val="0"/>
          <w:numId w:val="1072"/>
        </w:numPr>
        <w:pStyle w:val="Compact"/>
      </w:pPr>
      <w:r>
        <w:rPr>
          <w:bCs/>
          <w:b/>
        </w:rPr>
        <w:t xml:space="preserve">Retatrutid gegen Tirzepatid</w:t>
      </w:r>
      <w:r>
        <w:rPr>
          <w:rStyle w:val="FootnoteReference"/>
        </w:rPr>
        <w:footnoteReference w:id="568"/>
      </w:r>
      <w:r>
        <w:t xml:space="preserve">: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w:t>
      </w:r>
      <w:r>
        <w:rPr>
          <w:rStyle w:val="FootnoteReference"/>
        </w:rPr>
        <w:footnoteReference w:id="569"/>
      </w:r>
      <w:r>
        <w:t xml:space="preserve">.</w:t>
      </w:r>
    </w:p>
    <w:p>
      <w:pPr>
        <w:numPr>
          <w:ilvl w:val="0"/>
          <w:numId w:val="1072"/>
        </w:numPr>
        <w:pStyle w:val="Compact"/>
      </w:pPr>
      <w:r>
        <w:rPr>
          <w:bCs/>
          <w:b/>
        </w:rPr>
        <w:t xml:space="preserve">Gewichtserhalt</w:t>
      </w:r>
      <w:r>
        <w:t xml:space="preserve"> </w:t>
      </w:r>
      <w:r>
        <w:t xml:space="preserve">nach Abnahme</w:t>
      </w:r>
      <w:r>
        <w:rPr>
          <w:rStyle w:val="FootnoteReference"/>
        </w:rPr>
        <w:footnoteReference w:id="570"/>
      </w:r>
      <w:r>
        <w:t xml:space="preserve">,</w:t>
      </w:r>
      <w:r>
        <w:t xml:space="preserve"> </w:t>
      </w:r>
      <w:r>
        <w:rPr>
          <w:bCs/>
          <w:b/>
        </w:rPr>
        <w:t xml:space="preserve">Nierenfunktion</w:t>
      </w:r>
      <w:r>
        <w:t xml:space="preserve"> </w:t>
      </w:r>
      <w:r>
        <w:t xml:space="preserve">bei Typ-2-Diabetes mit Niereninsuffizienz</w:t>
      </w:r>
      <w:r>
        <w:rPr>
          <w:rStyle w:val="FootnoteReference"/>
        </w:rPr>
        <w:footnoteReference w:id="571"/>
      </w:r>
      <w:r>
        <w:t xml:space="preserve">,</w:t>
      </w:r>
      <w:r>
        <w:t xml:space="preserve"> </w:t>
      </w:r>
      <w:r>
        <w:rPr>
          <w:bCs/>
          <w:b/>
        </w:rPr>
        <w:t xml:space="preserve">chronische Rückenschmerzen</w:t>
      </w:r>
      <w:r>
        <w:t xml:space="preserve"> </w:t>
      </w:r>
      <w:r>
        <w:t xml:space="preserve">bei Adipositas</w:t>
      </w:r>
      <w:r>
        <w:rPr>
          <w:rStyle w:val="FootnoteReference"/>
        </w:rPr>
        <w:footnoteReference w:id="572"/>
      </w:r>
      <w:r>
        <w:t xml:space="preserve">.</w:t>
      </w:r>
    </w:p>
    <w:p>
      <w:pPr>
        <w:numPr>
          <w:ilvl w:val="0"/>
          <w:numId w:val="1072"/>
        </w:numPr>
        <w:pStyle w:val="Compact"/>
      </w:pPr>
      <w:r>
        <w:t xml:space="preserve">Retatrutid ist außerdem Teil eines Phase-3-Masterprotokolls zur Fettlebererkrankung</w:t>
      </w:r>
      <w:r>
        <w:rPr>
          <w:rStyle w:val="FootnoteReference"/>
        </w:rPr>
        <w:footnoteReference w:id="573"/>
      </w:r>
      <w:r>
        <w:t xml:space="preserve">.</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574"/>
    <w:bookmarkStart w:id="575"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575"/>
    <w:bookmarkEnd w:id="576"/>
    <w:bookmarkStart w:id="612" w:name="survodutid"/>
    <w:p>
      <w:pPr>
        <w:pStyle w:val="Heading2"/>
      </w:pPr>
      <w:r>
        <w:t xml:space="preserve">Survodutid</w:t>
      </w:r>
    </w:p>
    <w:bookmarkStart w:id="577"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577"/>
    <w:bookmarkStart w:id="581"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w:t>
      </w:r>
      <w:r>
        <w:rPr>
          <w:rStyle w:val="FootnoteReference"/>
        </w:rPr>
        <w:footnoteReference w:id="578"/>
      </w:r>
      <w:r>
        <w:t xml:space="preserve">. Untersuchungen an Mäusen deuten darauf hin, dass die appetitsenkende Wirkung im Gehirn vor allem über den GLP-1-Rezeptor läuft; der Glukagon-Anteil wirkt eher im Körper, etwa in der Leber</w:t>
      </w:r>
      <w:r>
        <w:rPr>
          <w:rStyle w:val="FootnoteReference"/>
        </w:rPr>
        <w:footnoteReference w:id="579"/>
      </w:r>
      <w:r>
        <w:t xml:space="preserve">. Das sind Tierbefunde; beim Menschen wird die Wirkung auf den Energieverbrauch derzeit in einer eigenen Studie gemessen</w:t>
      </w:r>
      <w:r>
        <w:rPr>
          <w:rStyle w:val="FootnoteReference"/>
        </w:rPr>
        <w:footnoteReference w:id="580"/>
      </w:r>
      <w:r>
        <w:t xml:space="preserve">.</w:t>
      </w:r>
    </w:p>
    <w:bookmarkEnd w:id="581"/>
    <w:bookmarkStart w:id="591"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586" w:name="adipositas-und-typ-2-diabetes"/>
    <w:p>
      <w:pPr>
        <w:pStyle w:val="Heading4"/>
      </w:pPr>
      <w:r>
        <w:t xml:space="preserve">Adipositas und Typ-2-Diabetes</w:t>
      </w:r>
    </w:p>
    <w:p>
      <w:pPr>
        <w:pStyle w:val="FirstParagraph"/>
      </w:pPr>
      <w:r>
        <w:t xml:space="preserve">Die Phase-2-Studie bei Adipositas</w:t>
      </w:r>
      <w:r>
        <w:rPr>
          <w:rStyle w:val="FootnoteReference"/>
        </w:rPr>
        <w:footnoteReference w:id="582"/>
      </w:r>
      <w:r>
        <w:t xml:space="preserve"> </w:t>
      </w:r>
      <w:r>
        <w:t xml:space="preserve">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rPr>
          <w:rStyle w:val="FootnoteReference"/>
        </w:rPr>
        <w:footnoteReference w:id="583"/>
      </w:r>
      <w:r>
        <w:t xml:space="preserve"> </w:t>
      </w:r>
      <w:r>
        <w:t xml:space="preserve">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rPr>
          <w:rStyle w:val="FootnoteReference"/>
        </w:rPr>
        <w:footnoteReference w:id="584"/>
      </w:r>
      <w:r>
        <w:t xml:space="preserve"> </w:t>
      </w:r>
      <w:r>
        <w:t xml:space="preserve">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niedriger Dosis ähnlich stark wie Semaglutid 1 mg (je etwa −1,46 bzw. −1,47 Punkte); die höheren Dosen führten zu mehr Gewichtsverlust als Semaglutid</w:t>
      </w:r>
      <w:r>
        <w:rPr>
          <w:rStyle w:val="FootnoteReference"/>
        </w:rPr>
        <w:footnoteReference w:id="585"/>
      </w:r>
      <w:r>
        <w:t xml:space="preserve">. Der Semaglutid-Arm war allerdings offen und die Studie kurz.</w:t>
      </w:r>
    </w:p>
    <w:bookmarkEnd w:id="586"/>
    <w:bookmarkStart w:id="590"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w:t>
      </w:r>
      <w:r>
        <w:rPr>
          <w:rStyle w:val="FootnoteReference"/>
        </w:rPr>
        <w:footnoteReference w:id="587"/>
      </w:r>
      <w:r>
        <w:t xml:space="preserve"> </w:t>
      </w:r>
      <w:r>
        <w:t xml:space="preserve">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rPr>
          <w:rStyle w:val="FootnoteReference"/>
        </w:rPr>
        <w:footnoteReference w:id="588"/>
      </w:r>
      <w:r>
        <w:t xml:space="preserve"> </w:t>
      </w:r>
      <w:r>
        <w:t xml:space="preserve">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w:t>
      </w:r>
      <w:r>
        <w:rPr>
          <w:rStyle w:val="FootnoteReference"/>
        </w:rPr>
        <w:footnoteReference w:id="589"/>
      </w:r>
      <w:r>
        <w:t xml:space="preserve">. Diese Studie war klein und nicht kontrolliert.</w:t>
      </w:r>
    </w:p>
    <w:bookmarkEnd w:id="590"/>
    <w:bookmarkEnd w:id="591"/>
    <w:bookmarkStart w:id="594"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w:t>
      </w:r>
      <w:r>
        <w:rPr>
          <w:rStyle w:val="FootnoteReference"/>
        </w:rPr>
        <w:footnoteReference w:id="592"/>
      </w:r>
      <w:r>
        <w:t xml:space="preserve">. Zum Wirkort im Gehirn liegen Untersuchungen an Mäusen und an menschlichem Gewebe vor</w:t>
      </w:r>
      <w:r>
        <w:rPr>
          <w:rStyle w:val="FootnoteReference"/>
        </w:rPr>
        <w:footnoteReference w:id="593"/>
      </w:r>
      <w:r>
        <w:t xml:space="preserve">. Unabhängige Tierstudien sind selten.</w:t>
      </w:r>
    </w:p>
    <w:bookmarkEnd w:id="594"/>
    <w:bookmarkStart w:id="598"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w:t>
      </w:r>
      <w:r>
        <w:rPr>
          <w:rStyle w:val="FootnoteReference"/>
        </w:rPr>
        <w:footnoteReference w:id="595"/>
      </w:r>
      <w:r>
        <w:t xml:space="preserve">. In SYNCHRONIZE-1 berichteten bis zu 89,7 % über Magen-Darm-Beschwerden</w:t>
      </w:r>
      <w:r>
        <w:rPr>
          <w:rStyle w:val="FootnoteReference"/>
        </w:rPr>
        <w:footnoteReference w:id="596"/>
      </w:r>
      <w:r>
        <w:t xml:space="preserve">.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w:t>
      </w:r>
      <w:r>
        <w:rPr>
          <w:rStyle w:val="FootnoteReference"/>
        </w:rPr>
        <w:footnoteReference w:id="597"/>
      </w:r>
      <w:r>
        <w:t xml:space="preserve">.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598"/>
    <w:bookmarkStart w:id="599"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599"/>
    <w:bookmarkStart w:id="610"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rPr>
          <w:rStyle w:val="FootnoteReference"/>
        </w:rPr>
        <w:footnoteReference w:id="600"/>
      </w:r>
      <w:r>
        <w:t xml:space="preserve">: Herz-Kreislauf-Sicherheitsstudie mit 5.531 Teilnehmenden, laut Register abgeschlossen; Design beschrieben bei Kosiborod 2024</w:t>
      </w:r>
      <w:r>
        <w:rPr>
          <w:rStyle w:val="FootnoteReference"/>
        </w:rPr>
        <w:footnoteReference w:id="601"/>
      </w:r>
      <w:r>
        <w:t xml:space="preserve">.</w:t>
      </w:r>
    </w:p>
    <w:p>
      <w:pPr>
        <w:numPr>
          <w:ilvl w:val="0"/>
          <w:numId w:val="1076"/>
        </w:numPr>
        <w:pStyle w:val="Compact"/>
      </w:pPr>
      <w:r>
        <w:rPr>
          <w:bCs/>
          <w:b/>
        </w:rPr>
        <w:t xml:space="preserve">LIVERAGE</w:t>
      </w:r>
      <w:r>
        <w:rPr>
          <w:rStyle w:val="FootnoteReference"/>
        </w:rPr>
        <w:footnoteReference w:id="602"/>
      </w:r>
      <w:r>
        <w:t xml:space="preserve"> </w:t>
      </w:r>
      <w:r>
        <w:t xml:space="preserve">mit 1.800 Teilnehmenden mit MASH und Fibrose sowie</w:t>
      </w:r>
      <w:r>
        <w:t xml:space="preserve"> </w:t>
      </w:r>
      <w:r>
        <w:rPr>
          <w:bCs/>
          <w:b/>
        </w:rPr>
        <w:t xml:space="preserve">LIVERAGE-Cirrhosis</w:t>
      </w:r>
      <w:r>
        <w:rPr>
          <w:rStyle w:val="FootnoteReference"/>
        </w:rPr>
        <w:footnoteReference w:id="603"/>
      </w:r>
      <w:r>
        <w:t xml:space="preserve"> </w:t>
      </w:r>
      <w:r>
        <w:t xml:space="preserve">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w:t>
      </w:r>
      <w:r>
        <w:rPr>
          <w:rStyle w:val="FootnoteReference"/>
        </w:rPr>
        <w:footnoteReference w:id="604"/>
      </w:r>
      <w:r>
        <w:t xml:space="preserve">, Frauen mit Adipositas</w:t>
      </w:r>
      <w:r>
        <w:rPr>
          <w:rStyle w:val="FootnoteReference"/>
        </w:rPr>
        <w:footnoteReference w:id="605"/>
      </w:r>
      <w:r>
        <w:t xml:space="preserve">, Herzstruktur bei Adipositas</w:t>
      </w:r>
      <w:r>
        <w:rPr>
          <w:rStyle w:val="FootnoteReference"/>
        </w:rPr>
        <w:footnoteReference w:id="606"/>
      </w:r>
      <w:r>
        <w:t xml:space="preserve">, Personen ohne vorherige Behandlung</w:t>
      </w:r>
      <w:r>
        <w:rPr>
          <w:rStyle w:val="FootnoteReference"/>
        </w:rPr>
        <w:footnoteReference w:id="607"/>
      </w:r>
      <w:r>
        <w:t xml:space="preserve">.</w:t>
      </w:r>
    </w:p>
    <w:p>
      <w:pPr>
        <w:numPr>
          <w:ilvl w:val="0"/>
          <w:numId w:val="1076"/>
        </w:numPr>
        <w:pStyle w:val="Compact"/>
      </w:pPr>
      <w:r>
        <w:t xml:space="preserve">Phase-3-Studien in China</w:t>
      </w:r>
      <w:r>
        <w:rPr>
          <w:rStyle w:val="FootnoteReference"/>
        </w:rPr>
        <w:footnoteReference w:id="608"/>
      </w:r>
      <w:r>
        <w:t xml:space="preserve"> </w:t>
      </w:r>
      <w:r>
        <w:t xml:space="preserve">und Japan</w:t>
      </w:r>
      <w:r>
        <w:rPr>
          <w:rStyle w:val="FootnoteReference"/>
        </w:rPr>
        <w:footnoteReference w:id="609"/>
      </w:r>
      <w:r>
        <w:t xml:space="preserve"> </w:t>
      </w:r>
      <w:r>
        <w:t xml:space="preserve">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610"/>
    <w:bookmarkStart w:id="611"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611"/>
    <w:bookmarkEnd w:id="612"/>
    <w:bookmarkStart w:id="650" w:name="mazdutid"/>
    <w:p>
      <w:pPr>
        <w:pStyle w:val="Heading2"/>
      </w:pPr>
      <w:r>
        <w:t xml:space="preserve">Mazdutid</w:t>
      </w:r>
    </w:p>
    <w:bookmarkStart w:id="613"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613"/>
    <w:bookmarkStart w:id="614"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614"/>
    <w:bookmarkStart w:id="629"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617" w:name="adipositas-glory-1-und-glory-2"/>
    <w:p>
      <w:pPr>
        <w:pStyle w:val="Heading4"/>
      </w:pPr>
      <w:r>
        <w:t xml:space="preserve">Adipositas: GLORY-1 und GLORY-2</w:t>
      </w:r>
    </w:p>
    <w:p>
      <w:pPr>
        <w:pStyle w:val="FirstParagraph"/>
      </w:pPr>
      <w:r>
        <w:rPr>
          <w:bCs/>
          <w:b/>
        </w:rPr>
        <w:t xml:space="preserve">GLORY-1</w:t>
      </w:r>
      <w:r>
        <w:rPr>
          <w:rStyle w:val="FootnoteReference"/>
        </w:rPr>
        <w:footnoteReference w:id="615"/>
      </w:r>
      <w:r>
        <w:t xml:space="preserve"> </w:t>
      </w:r>
      <w:r>
        <w:t xml:space="preserve">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rPr>
          <w:rStyle w:val="FootnoteReference"/>
        </w:rPr>
        <w:footnoteReference w:id="616"/>
      </w:r>
      <w:r>
        <w:t xml:space="preserve"> </w:t>
      </w:r>
      <w:r>
        <w:t xml:space="preserve">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617"/>
    <w:bookmarkStart w:id="622"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rPr>
          <w:rStyle w:val="FootnoteReference"/>
        </w:rPr>
        <w:footnoteReference w:id="618"/>
      </w:r>
      <w:r>
        <w:t xml:space="preserve"> </w:t>
      </w:r>
      <w:r>
        <w:t xml:space="preserve">erhielten Menschen mit Typ-2-Diabetes, der mit Ernährung und Bewegung allein nicht ausreichend eingestellt war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rPr>
          <w:rStyle w:val="FootnoteReference"/>
        </w:rPr>
        <w:footnoteReference w:id="619"/>
      </w:r>
      <w:r>
        <w:t xml:space="preserve"> </w:t>
      </w:r>
      <w:r>
        <w:t xml:space="preserve">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w:t>
      </w:r>
      <w:r>
        <w:rPr>
          <w:rStyle w:val="FootnoteReference"/>
        </w:rPr>
        <w:footnoteReference w:id="620"/>
      </w:r>
      <w:r>
        <w:t xml:space="preserve">; ihr Design und die Ausgangsdaten der 349 Teilnehmenden sind veröffentlicht</w:t>
      </w:r>
      <w:r>
        <w:rPr>
          <w:rStyle w:val="FootnoteReference"/>
        </w:rPr>
        <w:footnoteReference w:id="621"/>
      </w:r>
      <w:r>
        <w:t xml:space="preserve">, die Ergebnisse noch nicht.</w:t>
      </w:r>
    </w:p>
    <w:bookmarkEnd w:id="622"/>
    <w:bookmarkStart w:id="625"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w:t>
      </w:r>
      <w:r>
        <w:rPr>
          <w:rStyle w:val="FootnoteReference"/>
        </w:rPr>
        <w:footnoteReference w:id="623"/>
      </w:r>
      <w:r>
        <w:t xml:space="preserve">.</w:t>
      </w:r>
    </w:p>
    <w:p>
      <w:pPr>
        <w:pStyle w:val="BodyText"/>
      </w:pPr>
      <w:r>
        <w:t xml:space="preserve">In der US-amerikanischen Phase-2-Studie mit 179 Teilnehmenden</w:t>
      </w:r>
      <w:r>
        <w:rPr>
          <w:rStyle w:val="FootnoteReference"/>
        </w:rPr>
        <w:footnoteReference w:id="624"/>
      </w:r>
      <w:r>
        <w:t xml:space="preserve"> </w:t>
      </w:r>
      <w:r>
        <w:t xml:space="preserve">betrug der Gewichtsverlust nach 32 Wochen bis zu 18,1 % in der höchsten Dosis. Allerdings brachen dort in der höchsten Dosis 20 % die Behandlung wegen Nebenwirkungen ab, überwiegend wegen Magen-Darm-Beschwerden. Die Hauptanalyse verwendete zudem den „Wirksamkeits-Schätzer“, der Personen nach einem Abbruch nicht mehr berücksichtigt und den Effekt daher eher günstiger darstellt.</w:t>
      </w:r>
    </w:p>
    <w:bookmarkEnd w:id="625"/>
    <w:bookmarkStart w:id="628"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w:t>
      </w:r>
      <w:r>
        <w:rPr>
          <w:rStyle w:val="FootnoteReference"/>
        </w:rPr>
        <w:footnoteReference w:id="626"/>
      </w:r>
      <w:r>
        <w:t xml:space="preserve">. Ein Einzelfall erlaubt keine Aussage über Wirksamkeit oder Sicherheit bei Jugendlichen; eine Studie dazu läuft</w:t>
      </w:r>
      <w:r>
        <w:rPr>
          <w:rStyle w:val="FootnoteReference"/>
        </w:rPr>
        <w:footnoteReference w:id="627"/>
      </w:r>
      <w:r>
        <w:t xml:space="preserve">.</w:t>
      </w:r>
    </w:p>
    <w:bookmarkEnd w:id="628"/>
    <w:bookmarkEnd w:id="629"/>
    <w:bookmarkStart w:id="633"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w:t>
      </w:r>
      <w:r>
        <w:rPr>
          <w:rStyle w:val="FootnoteReference"/>
        </w:rPr>
        <w:footnoteReference w:id="630"/>
      </w:r>
      <w:r>
        <w:t xml:space="preserve">. Bei Mäusen mit ernährungsbedingter Fettleber und in Leberzellkulturen verringerte Mazdutid Fetteinlagerung und Entzündungszeichen</w:t>
      </w:r>
      <w:r>
        <w:rPr>
          <w:rStyle w:val="FootnoteReference"/>
        </w:rPr>
        <w:footnoteReference w:id="631"/>
      </w:r>
      <w:r>
        <w:t xml:space="preserve">. Ob sich daraus Vorteile für Menschen ergeben, ist offen; eine Studie zu Typ-2-Diabetes mit beginnender kognitiver Beeinträchtigung ist in China registriert</w:t>
      </w:r>
      <w:r>
        <w:rPr>
          <w:rStyle w:val="FootnoteReference"/>
        </w:rPr>
        <w:footnoteReference w:id="632"/>
      </w:r>
      <w:r>
        <w:t xml:space="preserve">.</w:t>
      </w:r>
    </w:p>
    <w:bookmarkEnd w:id="633"/>
    <w:bookmarkStart w:id="638"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w:t>
      </w:r>
      <w:r>
        <w:rPr>
          <w:rStyle w:val="FootnoteReference"/>
        </w:rPr>
        <w:footnoteReference w:id="634"/>
      </w:r>
      <w:r>
        <w:t xml:space="preserve">. In GLORY-2 erbrach mehr als die Hälfte der Teilnehmenden mindestens einmal</w:t>
      </w:r>
      <w:r>
        <w:rPr>
          <w:rStyle w:val="FootnoteReference"/>
        </w:rPr>
        <w:footnoteReference w:id="635"/>
      </w:r>
      <w:r>
        <w:t xml:space="preserve">.</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w:t>
      </w:r>
      <w:r>
        <w:rPr>
          <w:rStyle w:val="FootnoteReference"/>
        </w:rPr>
        <w:footnoteReference w:id="636"/>
      </w:r>
      <w:r>
        <w:t xml:space="preserve">.</w:t>
      </w:r>
    </w:p>
    <w:p>
      <w:pPr>
        <w:numPr>
          <w:ilvl w:val="0"/>
          <w:numId w:val="1078"/>
        </w:numPr>
        <w:pStyle w:val="Compact"/>
      </w:pPr>
      <w:r>
        <w:rPr>
          <w:bCs/>
          <w:b/>
        </w:rPr>
        <w:t xml:space="preserve">Abbrüche bei hohen Dosen:</w:t>
      </w:r>
      <w:r>
        <w:t xml:space="preserve"> </w:t>
      </w:r>
      <w:r>
        <w:t xml:space="preserve">bis zu 20 % in der US-Phase-2-Studie</w:t>
      </w:r>
      <w:r>
        <w:rPr>
          <w:rStyle w:val="FootnoteReference"/>
        </w:rPr>
        <w:footnoteReference w:id="637"/>
      </w:r>
      <w:r>
        <w:t xml:space="preserve">.</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638"/>
    <w:bookmarkStart w:id="640"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w:t>
      </w:r>
      <w:r>
        <w:rPr>
          <w:rStyle w:val="FootnoteReference"/>
        </w:rPr>
        <w:footnoteReference w:id="639"/>
      </w:r>
      <w:r>
        <w:t xml:space="preserve">.</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640"/>
    <w:bookmarkStart w:id="648"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w:t>
      </w:r>
      <w:r>
        <w:rPr>
          <w:rStyle w:val="FootnoteReference"/>
        </w:rPr>
        <w:footnoteReference w:id="641"/>
      </w:r>
      <w:r>
        <w:t xml:space="preserve"> </w:t>
      </w:r>
      <w:r>
        <w:t xml:space="preserve">und bei frühem Typ-2-Diabetes (NCT06184568, abgeschlossen).</w:t>
      </w:r>
    </w:p>
    <w:p>
      <w:pPr>
        <w:numPr>
          <w:ilvl w:val="0"/>
          <w:numId w:val="1080"/>
        </w:numPr>
        <w:pStyle w:val="Compact"/>
      </w:pPr>
      <w:r>
        <w:t xml:space="preserve">Schlafapnoe</w:t>
      </w:r>
      <w:r>
        <w:rPr>
          <w:rStyle w:val="FootnoteReference"/>
        </w:rPr>
        <w:footnoteReference w:id="642"/>
      </w:r>
      <w:r>
        <w:t xml:space="preserve">, Bluthochdruck mit Adipositas</w:t>
      </w:r>
      <w:r>
        <w:rPr>
          <w:rStyle w:val="FootnoteReference"/>
        </w:rPr>
        <w:footnoteReference w:id="643"/>
      </w:r>
      <w:r>
        <w:t xml:space="preserve">, Jugendliche</w:t>
      </w:r>
      <w:r>
        <w:rPr>
          <w:rStyle w:val="FootnoteReference"/>
        </w:rPr>
        <w:footnoteReference w:id="644"/>
      </w:r>
      <w:r>
        <w:t xml:space="preserve">.</w:t>
      </w:r>
    </w:p>
    <w:p>
      <w:pPr>
        <w:numPr>
          <w:ilvl w:val="0"/>
          <w:numId w:val="1080"/>
        </w:numPr>
        <w:pStyle w:val="Compact"/>
      </w:pPr>
      <w:r>
        <w:t xml:space="preserve">Phase-2-Studien zu MASH</w:t>
      </w:r>
      <w:r>
        <w:rPr>
          <w:rStyle w:val="FootnoteReference"/>
        </w:rPr>
        <w:footnoteReference w:id="645"/>
      </w:r>
      <w:r>
        <w:t xml:space="preserve">, Herzinsuffizienz mit Adipositas</w:t>
      </w:r>
      <w:r>
        <w:rPr>
          <w:rStyle w:val="FootnoteReference"/>
        </w:rPr>
        <w:footnoteReference w:id="646"/>
      </w:r>
      <w:r>
        <w:t xml:space="preserve"> </w:t>
      </w:r>
      <w:r>
        <w:t xml:space="preserve">und Alkoholkonsumstörung (NCT06817356, abgeschlossen, Sponsor Lilly).</w:t>
      </w:r>
    </w:p>
    <w:p>
      <w:pPr>
        <w:numPr>
          <w:ilvl w:val="0"/>
          <w:numId w:val="1080"/>
        </w:numPr>
        <w:pStyle w:val="Compact"/>
      </w:pPr>
      <w:r>
        <w:t xml:space="preserve">Lilly prüft Mazdutid außerdem in einem Phase-2-Masterprotokoll</w:t>
      </w:r>
      <w:r>
        <w:rPr>
          <w:rStyle w:val="FootnoteReference"/>
        </w:rPr>
        <w:footnoteReference w:id="647"/>
      </w:r>
      <w:r>
        <w:t xml:space="preserve">.</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648"/>
    <w:bookmarkStart w:id="649"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649"/>
    <w:bookmarkEnd w:id="650"/>
    <w:bookmarkStart w:id="698" w:name="cagrilintid-und-cagrisema"/>
    <w:p>
      <w:pPr>
        <w:pStyle w:val="Heading2"/>
      </w:pPr>
      <w:r>
        <w:t xml:space="preserve">Cagrilintid und CagriSema</w:t>
      </w:r>
    </w:p>
    <w:bookmarkStart w:id="651"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651"/>
    <w:bookmarkStart w:id="656"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w:t>
      </w:r>
      <w:r>
        <w:rPr>
          <w:rStyle w:val="FootnoteReference"/>
        </w:rPr>
        <w:footnoteReference w:id="652"/>
      </w:r>
      <w:r>
        <w:t xml:space="preserve">. In Phase-1-Daten lag die Halbwertszeit bei 159 bis 195 Stunden, also rund einer Woche</w:t>
      </w:r>
      <w:r>
        <w:rPr>
          <w:rStyle w:val="FootnoteReference"/>
        </w:rPr>
        <w:footnoteReference w:id="653"/>
      </w:r>
      <w:r>
        <w:t xml:space="preserve">.</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w:t>
      </w:r>
      <w:r>
        <w:rPr>
          <w:rStyle w:val="FootnoteReference"/>
        </w:rPr>
        <w:footnoteReference w:id="654"/>
      </w:r>
      <w:r>
        <w:t xml:space="preserve">. Bei Ratten senkte CagriSema vor allem die Energieaufnahme, während der Energieverbrauch weitgehend erhalten blieb</w:t>
      </w:r>
      <w:r>
        <w:rPr>
          <w:rStyle w:val="FootnoteReference"/>
        </w:rPr>
        <w:footnoteReference w:id="655"/>
      </w:r>
      <w:r>
        <w:t xml:space="preserve">.</w:t>
      </w:r>
    </w:p>
    <w:bookmarkEnd w:id="656"/>
    <w:bookmarkStart w:id="671"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659" w:name="cagrilintid-allein"/>
    <w:p>
      <w:pPr>
        <w:pStyle w:val="Heading4"/>
      </w:pPr>
      <w:r>
        <w:t xml:space="preserve">Cagrilintid allein</w:t>
      </w:r>
    </w:p>
    <w:p>
      <w:pPr>
        <w:pStyle w:val="FirstParagraph"/>
      </w:pPr>
      <w:r>
        <w:t xml:space="preserve">In der Phase-2-Dosisfindungsstudie</w:t>
      </w:r>
      <w:r>
        <w:rPr>
          <w:rStyle w:val="FootnoteReference"/>
        </w:rPr>
        <w:footnoteReference w:id="657"/>
      </w:r>
      <w:r>
        <w:t xml:space="preserve"> </w:t>
      </w:r>
      <w:r>
        <w:t xml:space="preserve">erhielten 706 Erwachsene mit Übergewicht oder Adipositas 26 Wochen lang Cagrilintid in fünf Dosen, 99 Liraglutid und 101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w:t>
      </w:r>
      <w:r>
        <w:rPr>
          <w:rStyle w:val="FootnoteReference"/>
        </w:rPr>
        <w:footnoteReference w:id="658"/>
      </w:r>
      <w:r>
        <w:t xml:space="preserve">.</w:t>
      </w:r>
    </w:p>
    <w:bookmarkEnd w:id="659"/>
    <w:bookmarkStart w:id="662"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w:t>
      </w:r>
      <w:r>
        <w:rPr>
          <w:rStyle w:val="FootnoteReference"/>
        </w:rPr>
        <w:footnoteReference w:id="660"/>
      </w:r>
      <w:r>
        <w:t xml:space="preserve">. Cagrilintid veränderte die Blutspiegel von Semaglutid nicht.</w:t>
      </w:r>
    </w:p>
    <w:p>
      <w:pPr>
        <w:pStyle w:val="BodyText"/>
      </w:pPr>
      <w:r>
        <w:t xml:space="preserve">Eine kleine Phase-2-Studie bei 92 Menschen mit Typ-2-Diabetes verglich CagriSema direkt mit beiden Einzelsubstanzen</w:t>
      </w:r>
      <w:r>
        <w:rPr>
          <w:rStyle w:val="FootnoteReference"/>
        </w:rPr>
        <w:footnoteReference w:id="661"/>
      </w:r>
      <w:r>
        <w:t xml:space="preserve">. Nach 32 Wochen betrug die Gewichtsabnahme 15,6 % mit CagriSema, 5,1 % mit Semaglutid und 8,1 % mit Cagrilintid. Beim HbA1c war CagriSema mit −2,2 Prozentpunkten Semaglutid (−1,8) nicht statistisch überlegen.</w:t>
      </w:r>
    </w:p>
    <w:bookmarkEnd w:id="662"/>
    <w:bookmarkStart w:id="670"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rPr>
          <w:rStyle w:val="FootnoteReference"/>
        </w:rPr>
        <w:footnoteReference w:id="663"/>
      </w:r>
      <w:r>
        <w:t xml:space="preserve"> </w:t>
      </w:r>
      <w:r>
        <w:t xml:space="preserve">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w:t>
      </w:r>
      <w:r>
        <w:rPr>
          <w:rStyle w:val="FootnoteReference"/>
        </w:rPr>
        <w:footnoteReference w:id="664"/>
      </w:r>
      <w:r>
        <w:t xml:space="preserve">. Der systolische Blutdruck sank unter CagriSema um 10,9 mmHg (Placebo −2,8)</w:t>
      </w:r>
      <w:r>
        <w:rPr>
          <w:rStyle w:val="FootnoteReference"/>
        </w:rPr>
        <w:footnoteReference w:id="665"/>
      </w:r>
      <w:r>
        <w:t xml:space="preserve">.</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rPr>
          <w:rStyle w:val="FootnoteReference"/>
        </w:rPr>
        <w:footnoteReference w:id="666"/>
      </w:r>
      <w:r>
        <w:t xml:space="preserve"> </w:t>
      </w:r>
      <w:r>
        <w:t xml:space="preserve">bestätigte das Muster bei Menschen mit Typ-2-Diabetes: −13,7 % gegenüber −3,4 %. 73,5 % erreichten einen HbA1c-Wert von höchstens 6,5 % (Placebo 15,9 %).</w:t>
      </w:r>
    </w:p>
    <w:p>
      <w:pPr>
        <w:pStyle w:val="BodyText"/>
      </w:pPr>
      <w:r>
        <w:rPr>
          <w:bCs/>
          <w:b/>
        </w:rPr>
        <w:t xml:space="preserve">REDEFINE 5</w:t>
      </w:r>
      <w:r>
        <w:rPr>
          <w:rStyle w:val="FootnoteReference"/>
        </w:rPr>
        <w:footnoteReference w:id="667"/>
      </w:r>
      <w:r>
        <w:t xml:space="preserve"> </w:t>
      </w:r>
      <w:r>
        <w:t xml:space="preserve">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rPr>
          <w:rStyle w:val="FootnoteReference"/>
        </w:rPr>
        <w:footnoteReference w:id="668"/>
      </w:r>
      <w:r>
        <w:t xml:space="preserve"> </w:t>
      </w:r>
      <w:r>
        <w:t xml:space="preserve">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w:t>
      </w:r>
      <w:r>
        <w:rPr>
          <w:rStyle w:val="FootnoteReference"/>
        </w:rPr>
        <w:footnoteReference w:id="669"/>
      </w:r>
      <w:r>
        <w:t xml:space="preserve"> </w:t>
      </w:r>
      <w:r>
        <w:t xml:space="preserve">sind laut Register abgeschlossen; begutachtete Veröffentlichungen lagen bei der Recherche noch nicht vor.</w:t>
      </w:r>
    </w:p>
    <w:bookmarkEnd w:id="670"/>
    <w:bookmarkEnd w:id="671"/>
    <w:bookmarkStart w:id="676" w:name="tier--und-laborstudien-8"/>
    <w:p>
      <w:pPr>
        <w:pStyle w:val="Heading3"/>
      </w:pPr>
      <w:r>
        <w:t xml:space="preserve">Tier- und Laborstudien</w:t>
      </w:r>
    </w:p>
    <w:p>
      <w:pPr>
        <w:pStyle w:val="FirstParagraph"/>
      </w:pPr>
      <w:r>
        <w:t xml:space="preserve">Strukturbiologische Untersuchungen zeigen, wie Cagrilintid an Amylin- und Calcitonin-Rezeptoren bindet</w:t>
      </w:r>
      <w:r>
        <w:rPr>
          <w:rStyle w:val="FootnoteReference"/>
        </w:rPr>
        <w:footnoteReference w:id="672"/>
      </w:r>
      <w:r>
        <w:t xml:space="preserve">. Bei Mäusen ohne die Amylin-Rezeptor-Untertypen 1 und 3 war die Wirkung stark abgeschwächt</w:t>
      </w:r>
      <w:r>
        <w:rPr>
          <w:rStyle w:val="FootnoteReference"/>
        </w:rPr>
        <w:footnoteReference w:id="673"/>
      </w:r>
      <w:r>
        <w:t xml:space="preserve">. Bei Ratten senkte CagriSema die Nahrungsaufnahme um 39 %; nach Berechnung der Autorinnen und Autoren ging etwa ein Drittel des Gewichtsverlusts darauf zurück, dass der Energieverbrauch nicht im üblichen Maß absank</w:t>
      </w:r>
      <w:r>
        <w:rPr>
          <w:rStyle w:val="FootnoteReference"/>
        </w:rPr>
        <w:footnoteReference w:id="674"/>
      </w:r>
      <w:r>
        <w:t xml:space="preserve">. In einer weiteren Rattenstudie verstärkte die Kombination von Cagrilintid mit Retatrutid den Gewichtsverlust</w:t>
      </w:r>
      <w:r>
        <w:rPr>
          <w:rStyle w:val="FootnoteReference"/>
        </w:rPr>
        <w:footnoteReference w:id="675"/>
      </w:r>
      <w:r>
        <w:t xml:space="preserve"> </w:t>
      </w:r>
      <w:r>
        <w:t xml:space="preserve">– ein Hinweis, dass Amylin-Wirkstoffe künftig auch mit anderen Inkretin-Medikamenten kombiniert werden könnten. Alle diese Ergebnisse stammen aus Tierversuchen.</w:t>
      </w:r>
    </w:p>
    <w:bookmarkEnd w:id="676"/>
    <w:bookmarkStart w:id="684"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w:t>
      </w:r>
      <w:r>
        <w:rPr>
          <w:rStyle w:val="FootnoteReference"/>
        </w:rPr>
        <w:footnoteReference w:id="677"/>
      </w:r>
      <w:r>
        <w:t xml:space="preserve">. In REDEFINE 2 waren es 72,5 % gegenüber 34,4 %</w:t>
      </w:r>
      <w:r>
        <w:rPr>
          <w:rStyle w:val="FootnoteReference"/>
        </w:rPr>
        <w:footnoteReference w:id="678"/>
      </w:r>
      <w:r>
        <w:t xml:space="preserve">.</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w:t>
      </w:r>
      <w:r>
        <w:rPr>
          <w:rStyle w:val="FootnoteReference"/>
        </w:rPr>
        <w:footnoteReference w:id="679"/>
      </w:r>
      <w:r>
        <w:t xml:space="preserve">.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w:t>
      </w:r>
      <w:r>
        <w:rPr>
          <w:rStyle w:val="FootnoteReference"/>
        </w:rPr>
        <w:footnoteReference w:id="680"/>
      </w:r>
      <w:r>
        <w:t xml:space="preserve">.</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w:t>
      </w:r>
      <w:r>
        <w:rPr>
          <w:rStyle w:val="FootnoteReference"/>
        </w:rPr>
        <w:footnoteReference w:id="681"/>
      </w:r>
      <w:r>
        <w:t xml:space="preserve">.</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w:t>
      </w:r>
      <w:r>
        <w:rPr>
          <w:rStyle w:val="FootnoteReference"/>
        </w:rPr>
        <w:footnoteReference w:id="682"/>
      </w:r>
      <w:r>
        <w:t xml:space="preserve">. Ebenso ungeklärt ist, ob die Kombination den Verlust von Muskelmasse beeinflusst</w:t>
      </w:r>
      <w:r>
        <w:rPr>
          <w:rStyle w:val="FootnoteReference"/>
        </w:rPr>
        <w:footnoteReference w:id="683"/>
      </w:r>
      <w:r>
        <w:t xml:space="preserve">. Zu den Klassenrisiken von Semaglutid (Gallenblase, Bauchspeicheldrüse, Schilddrüsen-C-Zellen im Tierversuch) siehe das Kapitel Semaglutid.</w:t>
      </w:r>
    </w:p>
    <w:bookmarkEnd w:id="684"/>
    <w:bookmarkStart w:id="685"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685"/>
    <w:bookmarkStart w:id="696"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rPr>
          <w:rStyle w:val="FootnoteReference"/>
        </w:rPr>
        <w:footnoteReference w:id="686"/>
      </w:r>
      <w:r>
        <w:t xml:space="preserve">: Herz-Kreislauf-Endpunktstudie mit 7.076 randomisierten Menschen mit bestehender Herz-Kreislauf-Erkrankung und Übergewicht; geplantes Ende 2027. Design und Ausgangsdaten sind veröffentlicht</w:t>
      </w:r>
      <w:r>
        <w:rPr>
          <w:rStyle w:val="FootnoteReference"/>
        </w:rPr>
        <w:footnoteReference w:id="687"/>
      </w:r>
      <w:r>
        <w:t xml:space="preserve">.</w:t>
      </w:r>
    </w:p>
    <w:p>
      <w:pPr>
        <w:numPr>
          <w:ilvl w:val="0"/>
          <w:numId w:val="1084"/>
        </w:numPr>
        <w:pStyle w:val="Compact"/>
      </w:pPr>
      <w:r>
        <w:rPr>
          <w:bCs/>
          <w:b/>
        </w:rPr>
        <w:t xml:space="preserve">Vergleiche gegen Tirzepatid</w:t>
      </w:r>
      <w:r>
        <w:rPr>
          <w:rStyle w:val="FootnoteReference"/>
        </w:rPr>
        <w:footnoteReference w:id="688"/>
      </w:r>
      <w:r>
        <w:t xml:space="preserve">: abgeschlossen, Veröffentlichung ausstehend.</w:t>
      </w:r>
    </w:p>
    <w:p>
      <w:pPr>
        <w:numPr>
          <w:ilvl w:val="0"/>
          <w:numId w:val="1084"/>
        </w:numPr>
        <w:pStyle w:val="Compact"/>
      </w:pPr>
      <w:r>
        <w:rPr>
          <w:bCs/>
          <w:b/>
        </w:rPr>
        <w:t xml:space="preserve">Höhere CagriSema-Dosen</w:t>
      </w:r>
      <w:r>
        <w:t xml:space="preserve"> </w:t>
      </w:r>
      <w:r>
        <w:t xml:space="preserve">gegen Semaglutid</w:t>
      </w:r>
      <w:r>
        <w:rPr>
          <w:rStyle w:val="FootnoteReference"/>
        </w:rPr>
        <w:footnoteReference w:id="689"/>
      </w:r>
      <w:r>
        <w:t xml:space="preserve"> </w:t>
      </w:r>
      <w:r>
        <w:t xml:space="preserve">und Langzeitstudie zum Gewichtserhalt</w:t>
      </w:r>
      <w:r>
        <w:rPr>
          <w:rStyle w:val="FootnoteReference"/>
        </w:rPr>
        <w:footnoteReference w:id="690"/>
      </w:r>
      <w:r>
        <w:t xml:space="preserve">.</w:t>
      </w:r>
    </w:p>
    <w:p>
      <w:pPr>
        <w:numPr>
          <w:ilvl w:val="0"/>
          <w:numId w:val="1084"/>
        </w:numPr>
        <w:pStyle w:val="Compact"/>
      </w:pPr>
      <w:r>
        <w:rPr>
          <w:bCs/>
          <w:b/>
        </w:rPr>
        <w:t xml:space="preserve">Kinder und Jugendliche</w:t>
      </w:r>
      <w:r>
        <w:rPr>
          <w:rStyle w:val="FootnoteReference"/>
        </w:rPr>
        <w:footnoteReference w:id="691"/>
      </w:r>
      <w:r>
        <w:t xml:space="preserve"> </w:t>
      </w:r>
      <w:r>
        <w:t xml:space="preserve">sowie Cagrilintid allein</w:t>
      </w:r>
      <w:r>
        <w:rPr>
          <w:rStyle w:val="FootnoteReference"/>
        </w:rPr>
        <w:footnoteReference w:id="692"/>
      </w:r>
      <w:r>
        <w:t xml:space="preserve">.</w:t>
      </w:r>
    </w:p>
    <w:p>
      <w:pPr>
        <w:numPr>
          <w:ilvl w:val="0"/>
          <w:numId w:val="1084"/>
        </w:numPr>
        <w:pStyle w:val="Compact"/>
      </w:pPr>
      <w:r>
        <w:t xml:space="preserve">Kleinere Studien zu Knochen</w:t>
      </w:r>
      <w:r>
        <w:rPr>
          <w:rStyle w:val="FootnoteReference"/>
        </w:rPr>
        <w:footnoteReference w:id="693"/>
      </w:r>
      <w:r>
        <w:t xml:space="preserve">, Muskeln</w:t>
      </w:r>
      <w:r>
        <w:rPr>
          <w:rStyle w:val="FootnoteReference"/>
        </w:rPr>
        <w:footnoteReference w:id="694"/>
      </w:r>
      <w:r>
        <w:t xml:space="preserve"> </w:t>
      </w:r>
      <w:r>
        <w:t xml:space="preserve">und zu Menschen, die GLP-1-Medikamente nicht vertragen</w:t>
      </w:r>
      <w:r>
        <w:rPr>
          <w:rStyle w:val="FootnoteReference"/>
        </w:rPr>
        <w:footnoteReference w:id="695"/>
      </w:r>
      <w:r>
        <w:t xml:space="preserve">.</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696"/>
    <w:bookmarkStart w:id="697"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697"/>
    <w:bookmarkEnd w:id="698"/>
    <w:bookmarkStart w:id="727" w:name="amycretin-zenagamtid"/>
    <w:p>
      <w:pPr>
        <w:pStyle w:val="Heading2"/>
      </w:pPr>
      <w:r>
        <w:t xml:space="preserve">Amycretin (Zenagamtid)</w:t>
      </w:r>
    </w:p>
    <w:bookmarkStart w:id="699"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699"/>
    <w:bookmarkStart w:id="701"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w:t>
      </w:r>
      <w:r>
        <w:rPr>
          <w:rStyle w:val="FootnoteReference"/>
        </w:rPr>
        <w:footnoteReference w:id="700"/>
      </w:r>
      <w:r>
        <w:t xml:space="preserve">. Das sind Tierdaten.</w:t>
      </w:r>
    </w:p>
    <w:bookmarkEnd w:id="701"/>
    <w:bookmarkStart w:id="709"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703" w:name="tablettenform-erste-studie-am-menschen"/>
    <w:p>
      <w:pPr>
        <w:pStyle w:val="Heading4"/>
      </w:pPr>
      <w:r>
        <w:t xml:space="preserve">Tablettenform: erste Studie am Menschen</w:t>
      </w:r>
    </w:p>
    <w:p>
      <w:pPr>
        <w:pStyle w:val="FirstParagraph"/>
      </w:pPr>
      <w:r>
        <w:t xml:space="preserve">Die erste Studie am Menschen prüfte Amycretin als Tablette</w:t>
      </w:r>
      <w:r>
        <w:rPr>
          <w:rStyle w:val="FootnoteReference"/>
        </w:rPr>
        <w:footnoteReference w:id="702"/>
      </w:r>
      <w:r>
        <w:t xml:space="preserve">.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703"/>
    <w:bookmarkStart w:id="705" w:name="spritzenform-phase-1b2a"/>
    <w:p>
      <w:pPr>
        <w:pStyle w:val="Heading4"/>
      </w:pPr>
      <w:r>
        <w:t xml:space="preserve">Spritzenform: Phase 1b/2a</w:t>
      </w:r>
    </w:p>
    <w:p>
      <w:pPr>
        <w:pStyle w:val="FirstParagraph"/>
      </w:pPr>
      <w:r>
        <w:t xml:space="preserve">In der Studie mit der wöchentlichen Spritze</w:t>
      </w:r>
      <w:r>
        <w:rPr>
          <w:rStyle w:val="FootnoteReference"/>
        </w:rPr>
        <w:footnoteReference w:id="704"/>
      </w:r>
      <w:r>
        <w:t xml:space="preserve"> </w:t>
      </w:r>
      <w:r>
        <w:t xml:space="preserve">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705"/>
    <w:bookmarkStart w:id="708"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rPr>
          <w:rStyle w:val="FootnoteReference"/>
        </w:rPr>
        <w:footnoteReference w:id="706"/>
      </w:r>
      <w:r>
        <w:t xml:space="preserve">: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rPr>
          <w:rStyle w:val="FootnoteReference"/>
        </w:rPr>
        <w:footnoteReference w:id="707"/>
      </w:r>
      <w:r>
        <w:t xml:space="preserve">: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708"/>
    <w:bookmarkEnd w:id="709"/>
    <w:bookmarkStart w:id="711" w:name="tier--und-laborstudien-9"/>
    <w:p>
      <w:pPr>
        <w:pStyle w:val="Heading3"/>
      </w:pPr>
      <w:r>
        <w:t xml:space="preserve">Tier- und Laborstudien</w:t>
      </w:r>
    </w:p>
    <w:p>
      <w:pPr>
        <w:pStyle w:val="FirstParagraph"/>
      </w:pPr>
      <w:r>
        <w:t xml:space="preserve">Die vorklinischen Daten stammen vom Hersteller</w:t>
      </w:r>
      <w:r>
        <w:rPr>
          <w:rStyle w:val="FootnoteReference"/>
        </w:rPr>
        <w:footnoteReference w:id="710"/>
      </w:r>
      <w:r>
        <w:t xml:space="preserve">: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711"/>
    <w:bookmarkStart w:id="716"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w:t>
      </w:r>
      <w:r>
        <w:rPr>
          <w:rStyle w:val="FootnoteReference"/>
        </w:rPr>
        <w:footnoteReference w:id="712"/>
      </w:r>
      <w:r>
        <w:t xml:space="preserve">.</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w:t>
      </w:r>
      <w:r>
        <w:rPr>
          <w:rStyle w:val="FootnoteReference"/>
        </w:rPr>
        <w:footnoteReference w:id="713"/>
      </w:r>
      <w:r>
        <w:t xml:space="preserve">.</w:t>
      </w:r>
    </w:p>
    <w:p>
      <w:pPr>
        <w:numPr>
          <w:ilvl w:val="0"/>
          <w:numId w:val="1088"/>
        </w:numPr>
        <w:pStyle w:val="Compact"/>
      </w:pPr>
      <w:r>
        <w:rPr>
          <w:bCs/>
          <w:b/>
        </w:rPr>
        <w:t xml:space="preserve">Nierenfunktion:</w:t>
      </w:r>
      <w:r>
        <w:t xml:space="preserve"> </w:t>
      </w:r>
      <w:r>
        <w:t xml:space="preserve">Bei eingeschränkter Nierenfunktion bis hin zum terminalen Nierenversagen veränderten sich die Blutspiegel nach einer Einzeldosis nicht klinisch relevant</w:t>
      </w:r>
      <w:r>
        <w:rPr>
          <w:rStyle w:val="FootnoteReference"/>
        </w:rPr>
        <w:footnoteReference w:id="714"/>
      </w:r>
      <w:r>
        <w:t xml:space="preserve">.</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w:t>
      </w:r>
      <w:r>
        <w:rPr>
          <w:rStyle w:val="FootnoteReference"/>
        </w:rPr>
        <w:footnoteReference w:id="715"/>
      </w:r>
      <w:r>
        <w:t xml:space="preserve">. Wer solche Produkte verwendet, kennt weder Inhalt noch Reinheit noch eine erprobte Dosierung (siehe Teil I und Teil IV).</w:t>
      </w:r>
    </w:p>
    <w:bookmarkEnd w:id="716"/>
    <w:bookmarkStart w:id="717"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717"/>
    <w:bookmarkStart w:id="725"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rPr>
          <w:rStyle w:val="FootnoteReference"/>
        </w:rPr>
        <w:footnoteReference w:id="718"/>
      </w:r>
      <w:r>
        <w:t xml:space="preserve">: Phase 3 mit 1.150 Erwachsenen mit Übergewicht/Adipositas, Spritzenform.</w:t>
      </w:r>
    </w:p>
    <w:p>
      <w:pPr>
        <w:numPr>
          <w:ilvl w:val="0"/>
          <w:numId w:val="1090"/>
        </w:numPr>
        <w:pStyle w:val="Compact"/>
      </w:pPr>
      <w:r>
        <w:rPr>
          <w:bCs/>
          <w:b/>
        </w:rPr>
        <w:t xml:space="preserve">AMAZE 2</w:t>
      </w:r>
      <w:r>
        <w:rPr>
          <w:rStyle w:val="FootnoteReference"/>
        </w:rPr>
        <w:footnoteReference w:id="719"/>
      </w:r>
      <w:r>
        <w:t xml:space="preserve">: Übergewicht mit Typ-2-Diabetes.</w:t>
      </w:r>
    </w:p>
    <w:p>
      <w:pPr>
        <w:numPr>
          <w:ilvl w:val="0"/>
          <w:numId w:val="1090"/>
        </w:numPr>
        <w:pStyle w:val="Compact"/>
      </w:pPr>
      <w:r>
        <w:rPr>
          <w:bCs/>
          <w:b/>
        </w:rPr>
        <w:t xml:space="preserve">AMAZE 3 und 4</w:t>
      </w:r>
      <w:r>
        <w:rPr>
          <w:rStyle w:val="FootnoteReference"/>
        </w:rPr>
        <w:footnoteReference w:id="720"/>
      </w:r>
      <w:r>
        <w:t xml:space="preserve">: Schlafapnoe ohne bzw. mit Atemmaskentherapie.</w:t>
      </w:r>
    </w:p>
    <w:p>
      <w:pPr>
        <w:numPr>
          <w:ilvl w:val="0"/>
          <w:numId w:val="1090"/>
        </w:numPr>
        <w:pStyle w:val="Compact"/>
      </w:pPr>
      <w:r>
        <w:rPr>
          <w:bCs/>
          <w:b/>
        </w:rPr>
        <w:t xml:space="preserve">AMAZE 6</w:t>
      </w:r>
      <w:r>
        <w:rPr>
          <w:rStyle w:val="FootnoteReference"/>
        </w:rPr>
        <w:footnoteReference w:id="721"/>
      </w:r>
      <w:r>
        <w:t xml:space="preserve"> </w:t>
      </w:r>
      <w:r>
        <w:t xml:space="preserve">und eine weitere Studie</w:t>
      </w:r>
      <w:r>
        <w:rPr>
          <w:rStyle w:val="FootnoteReference"/>
        </w:rPr>
        <w:footnoteReference w:id="722"/>
      </w:r>
      <w:r>
        <w:t xml:space="preserve">: Kniearthrose.</w:t>
      </w:r>
    </w:p>
    <w:p>
      <w:pPr>
        <w:numPr>
          <w:ilvl w:val="0"/>
          <w:numId w:val="1090"/>
        </w:numPr>
        <w:pStyle w:val="Compact"/>
      </w:pPr>
      <w:r>
        <w:rPr>
          <w:bCs/>
          <w:b/>
        </w:rPr>
        <w:t xml:space="preserve">AMAZE 9</w:t>
      </w:r>
      <w:r>
        <w:rPr>
          <w:rStyle w:val="FootnoteReference"/>
        </w:rPr>
        <w:footnoteReference w:id="723"/>
      </w:r>
      <w:r>
        <w:t xml:space="preserve">: Tablettenform bei Übergewicht.</w:t>
      </w:r>
    </w:p>
    <w:p>
      <w:pPr>
        <w:numPr>
          <w:ilvl w:val="0"/>
          <w:numId w:val="1090"/>
        </w:numPr>
        <w:pStyle w:val="Compact"/>
      </w:pPr>
      <w:r>
        <w:rPr>
          <w:bCs/>
          <w:b/>
        </w:rPr>
        <w:t xml:space="preserve">AMAZE 12</w:t>
      </w:r>
      <w:r>
        <w:rPr>
          <w:rStyle w:val="FootnoteReference"/>
        </w:rPr>
        <w:footnoteReference w:id="724"/>
      </w:r>
      <w:r>
        <w:t xml:space="preserve">: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725"/>
    <w:bookmarkStart w:id="726"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726"/>
    <w:bookmarkEnd w:id="727"/>
    <w:bookmarkStart w:id="759" w:name="maridebart-cafraglutid-maritide"/>
    <w:p>
      <w:pPr>
        <w:pStyle w:val="Heading2"/>
      </w:pPr>
      <w:r>
        <w:t xml:space="preserve">Maridebart Cafraglutid (MariTide)</w:t>
      </w:r>
    </w:p>
    <w:bookmarkStart w:id="728"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728"/>
    <w:bookmarkStart w:id="732"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w:t>
      </w:r>
      <w:r>
        <w:rPr>
          <w:rStyle w:val="FootnoteReference"/>
        </w:rPr>
        <w:footnoteReference w:id="729"/>
      </w:r>
      <w:r>
        <w:t xml:space="preserve">.</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w:t>
      </w:r>
      <w:r>
        <w:rPr>
          <w:rStyle w:val="FootnoteReference"/>
        </w:rPr>
        <w:footnoteReference w:id="730"/>
      </w:r>
      <w:r>
        <w:t xml:space="preserve">. Die chemische Entwicklung bis zum fertigen Molekül ist 2026 beschrieben worden</w:t>
      </w:r>
      <w:r>
        <w:rPr>
          <w:rStyle w:val="FootnoteReference"/>
        </w:rPr>
        <w:footnoteReference w:id="731"/>
      </w:r>
      <w:r>
        <w:t xml:space="preserve">.</w:t>
      </w:r>
    </w:p>
    <w:bookmarkEnd w:id="732"/>
    <w:bookmarkStart w:id="737"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734" w:name="phase-1"/>
    <w:p>
      <w:pPr>
        <w:pStyle w:val="Heading4"/>
      </w:pPr>
      <w:r>
        <w:t xml:space="preserve">Phase 1</w:t>
      </w:r>
    </w:p>
    <w:p>
      <w:pPr>
        <w:pStyle w:val="FirstParagraph"/>
      </w:pPr>
      <w:r>
        <w:t xml:space="preserve">In der ersten Studie am Menschen</w:t>
      </w:r>
      <w:r>
        <w:rPr>
          <w:rStyle w:val="FootnoteReference"/>
        </w:rPr>
        <w:footnoteReference w:id="733"/>
      </w:r>
      <w:r>
        <w:t xml:space="preserve"> </w:t>
      </w:r>
      <w:r>
        <w:t xml:space="preserve">zeigte AMG 133 einen dosisabhängigen Gewichtsverlust bei akzeptabler Verträglichkeit. Auffällig war die lange Wirkdauer: In den Gruppen mit Mehrfachgabe hielt der Gewichtsverlust bis zu 150 Tage nach der letzten Dosis an.</w:t>
      </w:r>
    </w:p>
    <w:bookmarkEnd w:id="734"/>
    <w:bookmarkStart w:id="736" w:name="phase-2"/>
    <w:p>
      <w:pPr>
        <w:pStyle w:val="Heading4"/>
      </w:pPr>
      <w:r>
        <w:t xml:space="preserve">Phase 2</w:t>
      </w:r>
    </w:p>
    <w:p>
      <w:pPr>
        <w:pStyle w:val="FirstParagraph"/>
      </w:pPr>
      <w:r>
        <w:t xml:space="preserve">Die Phase-2-Studie</w:t>
      </w:r>
      <w:r>
        <w:rPr>
          <w:rStyle w:val="FootnoteReference"/>
        </w:rPr>
        <w:footnoteReference w:id="735"/>
      </w:r>
      <w:r>
        <w:t xml:space="preserve"> </w:t>
      </w:r>
      <w:r>
        <w:t xml:space="preserve">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736"/>
    <w:bookmarkEnd w:id="737"/>
    <w:bookmarkStart w:id="740"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w:t>
      </w:r>
      <w:r>
        <w:rPr>
          <w:rStyle w:val="FootnoteReference"/>
        </w:rPr>
        <w:footnoteReference w:id="738"/>
      </w:r>
      <w:r>
        <w:t xml:space="preserve">. Vergleichende Mausstudien zur GIP-Blockade gegenüber GIP-Aktivierung zeigen unterschiedliche Effekte auf Insulinempfindlichkeit und Fettgewebe</w:t>
      </w:r>
      <w:r>
        <w:rPr>
          <w:rStyle w:val="FootnoteReference"/>
        </w:rPr>
        <w:footnoteReference w:id="739"/>
      </w:r>
      <w:r>
        <w:t xml:space="preserve">. Alle diese Befunde stammen aus Tierversuchen.</w:t>
      </w:r>
    </w:p>
    <w:bookmarkEnd w:id="740"/>
    <w:bookmarkStart w:id="744"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w:t>
      </w:r>
      <w:r>
        <w:rPr>
          <w:rStyle w:val="FootnoteReference"/>
        </w:rPr>
        <w:footnoteReference w:id="741"/>
      </w:r>
      <w:r>
        <w:t xml:space="preserve">.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w:t>
      </w:r>
      <w:r>
        <w:rPr>
          <w:rStyle w:val="FootnoteReference"/>
        </w:rPr>
        <w:footnoteReference w:id="742"/>
      </w:r>
      <w:r>
        <w:t xml:space="preserve">.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w:t>
      </w:r>
      <w:r>
        <w:rPr>
          <w:rStyle w:val="FootnoteReference"/>
        </w:rPr>
        <w:footnoteReference w:id="743"/>
      </w:r>
      <w:r>
        <w:t xml:space="preserve">.</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744"/>
    <w:bookmarkStart w:id="745"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745"/>
    <w:bookmarkStart w:id="757"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rPr>
          <w:rStyle w:val="FootnoteReference"/>
        </w:rPr>
        <w:footnoteReference w:id="746"/>
      </w:r>
      <w:r>
        <w:t xml:space="preserve">: Phase 3 mit 3.853 Teilnehmenden, geplantes Ende 2027.</w:t>
      </w:r>
    </w:p>
    <w:p>
      <w:pPr>
        <w:numPr>
          <w:ilvl w:val="0"/>
          <w:numId w:val="1096"/>
        </w:numPr>
        <w:pStyle w:val="Compact"/>
      </w:pPr>
      <w:r>
        <w:rPr>
          <w:bCs/>
          <w:b/>
        </w:rPr>
        <w:t xml:space="preserve">Gewichtsmanagement mit Typ-2-Diabetes</w:t>
      </w:r>
      <w:r>
        <w:rPr>
          <w:rStyle w:val="FootnoteReference"/>
        </w:rPr>
        <w:footnoteReference w:id="747"/>
      </w:r>
      <w:r>
        <w:t xml:space="preserve">: Phase 3 mit 1.105 Teilnehmenden.</w:t>
      </w:r>
    </w:p>
    <w:p>
      <w:pPr>
        <w:numPr>
          <w:ilvl w:val="0"/>
          <w:numId w:val="1096"/>
        </w:numPr>
        <w:pStyle w:val="Compact"/>
      </w:pPr>
      <w:r>
        <w:rPr>
          <w:bCs/>
          <w:b/>
        </w:rPr>
        <w:t xml:space="preserve">Herz-Kreislauf-Endpunktstudie</w:t>
      </w:r>
      <w:r>
        <w:rPr>
          <w:rStyle w:val="FootnoteReference"/>
        </w:rPr>
        <w:footnoteReference w:id="748"/>
      </w:r>
      <w:r>
        <w:t xml:space="preserve"> </w:t>
      </w:r>
      <w:r>
        <w:t xml:space="preserve">mit 12.800 Teilnehmenden und</w:t>
      </w:r>
      <w:r>
        <w:t xml:space="preserve"> </w:t>
      </w:r>
      <w:r>
        <w:rPr>
          <w:bCs/>
          <w:b/>
        </w:rPr>
        <w:t xml:space="preserve">Herzinsuffizienz-Studie</w:t>
      </w:r>
      <w:r>
        <w:rPr>
          <w:rStyle w:val="FootnoteReference"/>
        </w:rPr>
        <w:footnoteReference w:id="749"/>
      </w:r>
      <w:r>
        <w:t xml:space="preserve"> </w:t>
      </w:r>
      <w:r>
        <w:t xml:space="preserve">mit 5.056 Teilnehmenden, jeweils bis 2030.</w:t>
      </w:r>
    </w:p>
    <w:p>
      <w:pPr>
        <w:numPr>
          <w:ilvl w:val="0"/>
          <w:numId w:val="1096"/>
        </w:numPr>
        <w:pStyle w:val="Compact"/>
      </w:pPr>
      <w:r>
        <w:rPr>
          <w:bCs/>
          <w:b/>
        </w:rPr>
        <w:t xml:space="preserve">Schlafapnoe</w:t>
      </w:r>
      <w:r>
        <w:t xml:space="preserve"> </w:t>
      </w:r>
      <w:r>
        <w:t xml:space="preserve">ohne und mit Atemmaske</w:t>
      </w:r>
      <w:r>
        <w:rPr>
          <w:rStyle w:val="FootnoteReference"/>
        </w:rPr>
        <w:footnoteReference w:id="750"/>
      </w:r>
      <w:r>
        <w:t xml:space="preserve">.</w:t>
      </w:r>
    </w:p>
    <w:p>
      <w:pPr>
        <w:numPr>
          <w:ilvl w:val="0"/>
          <w:numId w:val="1096"/>
        </w:numPr>
        <w:pStyle w:val="Compact"/>
      </w:pPr>
      <w:r>
        <w:rPr>
          <w:bCs/>
          <w:b/>
        </w:rPr>
        <w:t xml:space="preserve">Vergleich mit Semaglutid</w:t>
      </w:r>
      <w:r>
        <w:t xml:space="preserve"> </w:t>
      </w:r>
      <w:r>
        <w:t xml:space="preserve">bei Typ-2-Diabetes</w:t>
      </w:r>
      <w:r>
        <w:rPr>
          <w:rStyle w:val="FootnoteReference"/>
        </w:rPr>
        <w:footnoteReference w:id="751"/>
      </w:r>
      <w:r>
        <w:t xml:space="preserve">, Umstieg von anderen GLP-1-Medikamenten</w:t>
      </w:r>
      <w:r>
        <w:rPr>
          <w:rStyle w:val="FootnoteReference"/>
        </w:rPr>
        <w:footnoteReference w:id="752"/>
      </w:r>
      <w:r>
        <w:t xml:space="preserve">, Japan</w:t>
      </w:r>
      <w:r>
        <w:rPr>
          <w:rStyle w:val="FootnoteReference"/>
        </w:rPr>
        <w:footnoteReference w:id="753"/>
      </w:r>
      <w:r>
        <w:t xml:space="preserve">, Fettleber (NCT07441252, Phase 2).</w:t>
      </w:r>
    </w:p>
    <w:p>
      <w:pPr>
        <w:numPr>
          <w:ilvl w:val="0"/>
          <w:numId w:val="1096"/>
        </w:numPr>
        <w:pStyle w:val="Compact"/>
      </w:pPr>
      <w:r>
        <w:t xml:space="preserve">Phase-1-Studien zu Magenentleerung</w:t>
      </w:r>
      <w:r>
        <w:rPr>
          <w:rStyle w:val="FootnoteReference"/>
        </w:rPr>
        <w:footnoteReference w:id="754"/>
      </w:r>
      <w:r>
        <w:t xml:space="preserve">, Herzrhythmus</w:t>
      </w:r>
      <w:r>
        <w:rPr>
          <w:rStyle w:val="FootnoteReference"/>
        </w:rPr>
        <w:footnoteReference w:id="755"/>
      </w:r>
      <w:r>
        <w:t xml:space="preserve"> </w:t>
      </w:r>
      <w:r>
        <w:t xml:space="preserve">und Wechselwirkungen mit der Pille</w:t>
      </w:r>
      <w:r>
        <w:rPr>
          <w:rStyle w:val="FootnoteReference"/>
        </w:rPr>
        <w:footnoteReference w:id="756"/>
      </w:r>
      <w:r>
        <w:t xml:space="preserve">.</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757"/>
    <w:bookmarkStart w:id="758"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758"/>
    <w:bookmarkEnd w:id="759"/>
    <w:bookmarkStart w:id="791" w:name="pramlintid"/>
    <w:p>
      <w:pPr>
        <w:pStyle w:val="Heading2"/>
      </w:pPr>
      <w:r>
        <w:t xml:space="preserve">Pramlintid</w:t>
      </w:r>
    </w:p>
    <w:bookmarkStart w:id="760"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760"/>
    <w:bookmarkStart w:id="762"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w:t>
      </w:r>
      <w:r>
        <w:rPr>
          <w:rStyle w:val="FootnoteReference"/>
        </w:rPr>
        <w:footnoteReference w:id="761"/>
      </w:r>
      <w:r>
        <w:t xml:space="preserve">.</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762"/>
    <w:bookmarkStart w:id="777"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764"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w:t>
      </w:r>
      <w:r>
        <w:rPr>
          <w:rStyle w:val="FootnoteReference"/>
        </w:rPr>
        <w:footnoteReference w:id="763"/>
      </w:r>
      <w:r>
        <w:t xml:space="preserve">.</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764"/>
    <w:bookmarkStart w:id="768"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w:t>
      </w:r>
      <w:r>
        <w:rPr>
          <w:rStyle w:val="FootnoteReference"/>
        </w:rPr>
        <w:footnoteReference w:id="765"/>
      </w:r>
      <w:r>
        <w:t xml:space="preserve">. Als Zusatz zu Basalinsulin war es in einer offenen Studie mit 113 Teilnehmenden ähnlich wirksam wie ein schnell wirkendes Mahlzeiteninsulin, führte aber nicht zu Gewichtszunahme (0,0 kg vs. +4,7 kg) und zu weniger leichten bis mittelschweren Unterzuckerungen; dafür klagten 21 % über Übelkeit</w:t>
      </w:r>
      <w:r>
        <w:rPr>
          <w:rStyle w:val="FootnoteReference"/>
        </w:rPr>
        <w:footnoteReference w:id="766"/>
      </w:r>
      <w:r>
        <w:t xml:space="preserve">.</w:t>
      </w:r>
    </w:p>
    <w:p>
      <w:pPr>
        <w:pStyle w:val="BodyText"/>
      </w:pPr>
      <w:r>
        <w:t xml:space="preserve">Eine Meta-Analyse von acht randomisierten Studien ergab bei Typ-2-Diabetes eine HbA1c-Senkung um 0,33 Prozentpunkte und einen Gewichtsverlust von 2,57 kg gegenüber Kontrolle; Übelkeit trat 1,8-mal häufiger auf</w:t>
      </w:r>
      <w:r>
        <w:rPr>
          <w:rStyle w:val="FootnoteReference"/>
        </w:rPr>
        <w:footnoteReference w:id="767"/>
      </w:r>
      <w:r>
        <w:t xml:space="preserve">.</w:t>
      </w:r>
    </w:p>
    <w:bookmarkEnd w:id="768"/>
    <w:bookmarkStart w:id="772"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w:t>
      </w:r>
      <w:r>
        <w:rPr>
          <w:rStyle w:val="FootnoteReference"/>
        </w:rPr>
        <w:footnoteReference w:id="769"/>
      </w:r>
      <w:r>
        <w:t xml:space="preserve">. Kombiniert mit einem Lebensstilprogramm hielten fast alle Dosisgruppen ihren Gewichtsverlust über zwölf Monate; placebobereinigt waren es bis zu 7,2 kg bzw. 6,8 %</w:t>
      </w:r>
      <w:r>
        <w:rPr>
          <w:rStyle w:val="FootnoteReference"/>
        </w:rPr>
        <w:footnoteReference w:id="770"/>
      </w:r>
      <w:r>
        <w:t xml:space="preserve">. Eine Kombination mit Metreleptin (einem Leptin-Analogon) erreichte nach 20 Wochen 12,7 % Gewichtsverlust gegenüber 8,4 % mit Pramlintid allein</w:t>
      </w:r>
      <w:r>
        <w:rPr>
          <w:rStyle w:val="FootnoteReference"/>
        </w:rPr>
        <w:footnoteReference w:id="771"/>
      </w:r>
      <w:r>
        <w:t xml:space="preserve">. Diese Entwicklung wurde nicht bis zur Zulassung fortgeführt.</w:t>
      </w:r>
    </w:p>
    <w:bookmarkEnd w:id="772"/>
    <w:bookmarkStart w:id="776"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w:t>
      </w:r>
      <w:r>
        <w:rPr>
          <w:rStyle w:val="FootnoteReference"/>
        </w:rPr>
        <w:footnoteReference w:id="773"/>
      </w:r>
      <w:r>
        <w:t xml:space="preserve">. Eine kleine Pilotstudie untersuchte, ob ein solches System das Kohlenhydratzählen überflüssig machen kann; die Unterschiede zur Standardbehandlung waren nicht statistisch signifikant</w:t>
      </w:r>
      <w:r>
        <w:rPr>
          <w:rStyle w:val="FootnoteReference"/>
        </w:rPr>
        <w:footnoteReference w:id="774"/>
      </w:r>
      <w:r>
        <w:t xml:space="preserve">. Eine feste Mischung aus Pramlintid und einem Insulin (ADO09) führte in einer 16-wöchigen Studie mit 80 Menschen mit Typ-1-Diabetes zu 2,1 kg mehr Gewichtsverlust als Insulin lispro, bei unverändertem HbA1c</w:t>
      </w:r>
      <w:r>
        <w:rPr>
          <w:rStyle w:val="FootnoteReference"/>
        </w:rPr>
        <w:footnoteReference w:id="775"/>
      </w:r>
      <w:r>
        <w:t xml:space="preserve">.</w:t>
      </w:r>
    </w:p>
    <w:bookmarkEnd w:id="776"/>
    <w:bookmarkEnd w:id="777"/>
    <w:bookmarkStart w:id="779"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w:t>
      </w:r>
      <w:r>
        <w:rPr>
          <w:rStyle w:val="FootnoteReference"/>
        </w:rPr>
        <w:footnoteReference w:id="778"/>
      </w:r>
      <w:r>
        <w:t xml:space="preserve">.</w:t>
      </w:r>
    </w:p>
    <w:bookmarkEnd w:id="779"/>
    <w:bookmarkStart w:id="783"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w:t>
      </w:r>
      <w:r>
        <w:rPr>
          <w:rStyle w:val="FootnoteReference"/>
        </w:rPr>
        <w:footnoteReference w:id="780"/>
      </w:r>
      <w:r>
        <w:t xml:space="preserve">.</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w:t>
      </w:r>
      <w:r>
        <w:rPr>
          <w:rStyle w:val="FootnoteReference"/>
        </w:rPr>
        <w:footnoteReference w:id="781"/>
      </w:r>
      <w:r>
        <w:t xml:space="preserve">.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w:t>
      </w:r>
      <w:r>
        <w:rPr>
          <w:rStyle w:val="FootnoteReference"/>
        </w:rPr>
        <w:footnoteReference w:id="782"/>
      </w:r>
      <w:r>
        <w:t xml:space="preserve">.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783"/>
    <w:bookmarkStart w:id="784"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784"/>
    <w:bookmarkStart w:id="789"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w:t>
      </w:r>
      <w:r>
        <w:rPr>
          <w:rStyle w:val="FootnoteReference"/>
        </w:rPr>
        <w:footnoteReference w:id="785"/>
      </w:r>
      <w:r>
        <w:t xml:space="preserve">, bei Kopfschmerzen nach Kopfverletzungen</w:t>
      </w:r>
      <w:r>
        <w:rPr>
          <w:rStyle w:val="FootnoteReference"/>
        </w:rPr>
        <w:footnoteReference w:id="786"/>
      </w:r>
      <w:r>
        <w:t xml:space="preserve"> </w:t>
      </w:r>
      <w:r>
        <w:t xml:space="preserve">und zur Sättigung</w:t>
      </w:r>
      <w:r>
        <w:rPr>
          <w:rStyle w:val="FootnoteReference"/>
        </w:rPr>
        <w:footnoteReference w:id="787"/>
      </w:r>
      <w:r>
        <w:t xml:space="preserve">. Die Autorinnen und Autoren der Pilotstudie zur Pramlintid-Insulinpumpe kündigen eine größere Studie an</w:t>
      </w:r>
      <w:r>
        <w:rPr>
          <w:rStyle w:val="FootnoteReference"/>
        </w:rPr>
        <w:footnoteReference w:id="788"/>
      </w:r>
      <w:r>
        <w:t xml:space="preserve">.</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789"/>
    <w:bookmarkStart w:id="790"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790"/>
    <w:bookmarkEnd w:id="791"/>
    <w:bookmarkStart w:id="828" w:name="setmelanotid"/>
    <w:p>
      <w:pPr>
        <w:pStyle w:val="Heading2"/>
      </w:pPr>
      <w:r>
        <w:t xml:space="preserve">Setmelanotid</w:t>
      </w:r>
    </w:p>
    <w:bookmarkStart w:id="793"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w:t>
      </w:r>
      <w:r>
        <w:rPr>
          <w:rStyle w:val="FootnoteReference"/>
        </w:rPr>
        <w:footnoteReference w:id="792"/>
      </w:r>
      <w:r>
        <w:t xml:space="preserve">.</w:t>
      </w:r>
    </w:p>
    <w:p>
      <w:pPr>
        <w:numPr>
          <w:ilvl w:val="0"/>
          <w:numId w:val="1100"/>
        </w:numPr>
        <w:pStyle w:val="Compact"/>
      </w:pPr>
      <w:r>
        <w:rPr>
          <w:bCs/>
          <w:b/>
        </w:rPr>
        <w:t xml:space="preserve">WADA:</w:t>
      </w:r>
      <w:r>
        <w:t xml:space="preserve"> </w:t>
      </w:r>
      <w:r>
        <w:t xml:space="preserve">nicht namentlich gelistet; als zugelassenes Arzneimittel nicht unter S0.</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793"/>
    <w:bookmarkStart w:id="794"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794"/>
    <w:bookmarkStart w:id="810"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798"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w:t>
      </w:r>
      <w:r>
        <w:rPr>
          <w:rStyle w:val="FootnoteReference"/>
        </w:rPr>
        <w:footnoteReference w:id="795"/>
      </w:r>
      <w:r>
        <w:t xml:space="preserve">. Ähnliches wurde für drei Personen mit Leptinrezeptor-Mangel beschrieben</w:t>
      </w:r>
      <w:r>
        <w:rPr>
          <w:rStyle w:val="FootnoteReference"/>
        </w:rPr>
        <w:footnoteReference w:id="796"/>
      </w:r>
      <w:r>
        <w:t xml:space="preserve">.</w:t>
      </w:r>
    </w:p>
    <w:p>
      <w:pPr>
        <w:pStyle w:val="BodyText"/>
      </w:pPr>
      <w:r>
        <w:t xml:space="preserve">Die Zulassungsstudien</w:t>
      </w:r>
      <w:r>
        <w:rPr>
          <w:rStyle w:val="FootnoteReference"/>
        </w:rPr>
        <w:footnoteReference w:id="797"/>
      </w:r>
      <w:r>
        <w:t xml:space="preserve"> </w:t>
      </w:r>
      <w:r>
        <w:t xml:space="preserve">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798"/>
    <w:bookmarkStart w:id="801"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w:t>
      </w:r>
      <w:r>
        <w:rPr>
          <w:rStyle w:val="FootnoteReference"/>
        </w:rPr>
        <w:footnoteReference w:id="799"/>
      </w:r>
      <w:r>
        <w:t xml:space="preserve"> </w:t>
      </w:r>
      <w:r>
        <w:t xml:space="preserve">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w:t>
      </w:r>
      <w:r>
        <w:rPr>
          <w:rStyle w:val="FootnoteReference"/>
        </w:rPr>
        <w:footnoteReference w:id="800"/>
      </w:r>
      <w:r>
        <w:t xml:space="preserve"> </w:t>
      </w:r>
      <w:r>
        <w:t xml:space="preserve">– eine indirekte, aber hilfreiche Einordnung.</w:t>
      </w:r>
    </w:p>
    <w:bookmarkEnd w:id="801"/>
    <w:bookmarkStart w:id="803"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w:t>
      </w:r>
      <w:r>
        <w:rPr>
          <w:rStyle w:val="FootnoteReference"/>
        </w:rPr>
        <w:footnoteReference w:id="802"/>
      </w:r>
      <w:r>
        <w:t xml:space="preserve">.</w:t>
      </w:r>
    </w:p>
    <w:bookmarkEnd w:id="803"/>
    <w:bookmarkStart w:id="806"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w:t>
      </w:r>
      <w:r>
        <w:rPr>
          <w:rStyle w:val="FootnoteReference"/>
        </w:rPr>
        <w:footnoteReference w:id="804"/>
      </w:r>
      <w:r>
        <w:t xml:space="preserve">, folgte die randomisierte Phase-3-Studie TRANSCEND</w:t>
      </w:r>
      <w:r>
        <w:rPr>
          <w:rStyle w:val="FootnoteReference"/>
        </w:rPr>
        <w:footnoteReference w:id="805"/>
      </w:r>
      <w:r>
        <w:t xml:space="preserve">:</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806"/>
    <w:bookmarkStart w:id="809"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w:t>
      </w:r>
      <w:r>
        <w:rPr>
          <w:rStyle w:val="FootnoteReference"/>
        </w:rPr>
        <w:footnoteReference w:id="807"/>
      </w:r>
      <w:r>
        <w:t xml:space="preserve">. Die größere Phase-3-Studie EMANATE zu verschiedenen Varianten im MC4R-Signalweg ist laut Register abgeschlossen</w:t>
      </w:r>
      <w:r>
        <w:rPr>
          <w:rStyle w:val="FootnoteReference"/>
        </w:rPr>
        <w:footnoteReference w:id="808"/>
      </w:r>
      <w:r>
        <w:t xml:space="preserve">; eine begutachtete Veröffentlichung lag bei der Recherche noch nicht vor.</w:t>
      </w:r>
    </w:p>
    <w:bookmarkEnd w:id="809"/>
    <w:bookmarkEnd w:id="810"/>
    <w:bookmarkStart w:id="812"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w:t>
      </w:r>
      <w:r>
        <w:rPr>
          <w:rStyle w:val="FootnoteReference"/>
        </w:rPr>
        <w:footnoteReference w:id="811"/>
      </w:r>
      <w:r>
        <w:t xml:space="preserve">. Das bestätigt, dass die Wirkung tatsächlich über diesen Rezeptor läuft.</w:t>
      </w:r>
    </w:p>
    <w:bookmarkEnd w:id="812"/>
    <w:bookmarkStart w:id="818"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w:t>
      </w:r>
      <w:r>
        <w:rPr>
          <w:rStyle w:val="FootnoteReference"/>
        </w:rPr>
        <w:footnoteReference w:id="813"/>
      </w:r>
      <w:r>
        <w:t xml:space="preserve">.</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w:t>
      </w:r>
      <w:r>
        <w:rPr>
          <w:rStyle w:val="FootnoteReference"/>
        </w:rPr>
        <w:footnoteReference w:id="814"/>
      </w:r>
      <w:r>
        <w:t xml:space="preserve">.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w:t>
      </w:r>
      <w:r>
        <w:rPr>
          <w:rStyle w:val="FootnoteReference"/>
        </w:rPr>
        <w:footnoteReference w:id="815"/>
      </w:r>
      <w:r>
        <w:t xml:space="preserve">.</w:t>
      </w:r>
    </w:p>
    <w:p>
      <w:pPr>
        <w:numPr>
          <w:ilvl w:val="0"/>
          <w:numId w:val="1102"/>
        </w:numPr>
        <w:pStyle w:val="Compact"/>
      </w:pPr>
      <w:r>
        <w:rPr>
          <w:bCs/>
          <w:b/>
        </w:rPr>
        <w:t xml:space="preserve">Schwere unerwünschte Ereignisse:</w:t>
      </w:r>
      <w:r>
        <w:t xml:space="preserve"> </w:t>
      </w:r>
      <w:r>
        <w:t xml:space="preserve">In TRANSCEND häufiger unter Setmelanotid (28 % vs. 8 %)</w:t>
      </w:r>
      <w:r>
        <w:rPr>
          <w:rStyle w:val="FootnoteReference"/>
        </w:rPr>
        <w:footnoteReference w:id="816"/>
      </w:r>
      <w:r>
        <w:t xml:space="preserve">;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w:t>
      </w:r>
      <w:r>
        <w:rPr>
          <w:rStyle w:val="FootnoteReference"/>
        </w:rPr>
        <w:footnoteReference w:id="817"/>
      </w:r>
      <w:r>
        <w:t xml:space="preserve">.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818"/>
    <w:bookmarkStart w:id="819"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w:t>
      </w:r>
    </w:p>
    <w:p>
      <w:pPr>
        <w:numPr>
          <w:ilvl w:val="0"/>
          <w:numId w:val="1103"/>
        </w:numPr>
        <w:pStyle w:val="Compact"/>
      </w:pPr>
      <w:r>
        <w:rPr>
          <w:bCs/>
          <w:b/>
        </w:rPr>
        <w:t xml:space="preserve">Sport:</w:t>
      </w:r>
      <w:r>
        <w:t xml:space="preserve"> </w:t>
      </w:r>
      <w:r>
        <w:t xml:space="preserve">nicht auf der WADA-Liste genannt (Stand 2026, bitte aktuell prüfen).</w:t>
      </w:r>
    </w:p>
    <w:bookmarkEnd w:id="819"/>
    <w:bookmarkStart w:id="826"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rPr>
          <w:rStyle w:val="FootnoteReference"/>
        </w:rPr>
        <w:footnoteReference w:id="820"/>
      </w:r>
      <w:r>
        <w:t xml:space="preserve"> </w:t>
      </w:r>
      <w:r>
        <w:t xml:space="preserve">läuft in einer Verlängerung weiter; eine Teilstudie untersucht angeborene hypothalamische Adipositas</w:t>
      </w:r>
      <w:r>
        <w:rPr>
          <w:rStyle w:val="FootnoteReference"/>
        </w:rPr>
        <w:footnoteReference w:id="821"/>
      </w:r>
      <w:r>
        <w:t xml:space="preserve">.</w:t>
      </w:r>
    </w:p>
    <w:p>
      <w:pPr>
        <w:numPr>
          <w:ilvl w:val="0"/>
          <w:numId w:val="1104"/>
        </w:numPr>
        <w:pStyle w:val="Compact"/>
      </w:pPr>
      <w:r>
        <w:rPr>
          <w:bCs/>
          <w:b/>
        </w:rPr>
        <w:t xml:space="preserve">Prader-Willi-Syndrom</w:t>
      </w:r>
      <w:r>
        <w:rPr>
          <w:rStyle w:val="FootnoteReference"/>
        </w:rPr>
        <w:footnoteReference w:id="822"/>
      </w:r>
      <w:r>
        <w:t xml:space="preserve">: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w:t>
      </w:r>
      <w:r>
        <w:rPr>
          <w:rStyle w:val="FootnoteReference"/>
        </w:rPr>
        <w:footnoteReference w:id="823"/>
      </w:r>
      <w:r>
        <w:t xml:space="preserve">.</w:t>
      </w:r>
    </w:p>
    <w:p>
      <w:pPr>
        <w:numPr>
          <w:ilvl w:val="0"/>
          <w:numId w:val="1104"/>
        </w:numPr>
        <w:pStyle w:val="Compact"/>
      </w:pPr>
      <w:r>
        <w:rPr>
          <w:bCs/>
          <w:b/>
        </w:rPr>
        <w:t xml:space="preserve">EMANATE</w:t>
      </w:r>
      <w:r>
        <w:rPr>
          <w:rStyle w:val="FootnoteReference"/>
        </w:rPr>
        <w:footnoteReference w:id="824"/>
      </w:r>
      <w:r>
        <w:t xml:space="preserve"> </w:t>
      </w:r>
      <w:r>
        <w:t xml:space="preserve">und</w:t>
      </w:r>
      <w:r>
        <w:t xml:space="preserve"> </w:t>
      </w:r>
      <w:r>
        <w:rPr>
          <w:bCs/>
          <w:b/>
        </w:rPr>
        <w:t xml:space="preserve">DAYBREAK</w:t>
      </w:r>
      <w:r>
        <w:rPr>
          <w:rStyle w:val="FootnoteReference"/>
        </w:rPr>
        <w:footnoteReference w:id="825"/>
      </w:r>
      <w:r>
        <w:t xml:space="preserve"> </w:t>
      </w:r>
      <w:r>
        <w:t xml:space="preserve">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826"/>
    <w:bookmarkStart w:id="827"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827"/>
    <w:bookmarkEnd w:id="828"/>
    <w:bookmarkStart w:id="853" w:name="aod-9604"/>
    <w:p>
      <w:pPr>
        <w:pStyle w:val="Heading2"/>
      </w:pPr>
      <w:r>
        <w:t xml:space="preserve">AOD-9604</w:t>
      </w:r>
    </w:p>
    <w:bookmarkStart w:id="830"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w:t>
      </w:r>
      <w:r>
        <w:rPr>
          <w:rStyle w:val="FootnoteReference"/>
        </w:rPr>
        <w:footnoteReference w:id="829"/>
      </w:r>
      <w:r>
        <w:t xml:space="preserve">.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830"/>
    <w:bookmarkStart w:id="834"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w:t>
      </w:r>
      <w:r>
        <w:rPr>
          <w:rStyle w:val="FootnoteReference"/>
        </w:rPr>
        <w:footnoteReference w:id="831"/>
      </w:r>
      <w:r>
        <w:t xml:space="preserve"> </w:t>
      </w:r>
      <w:r>
        <w:t xml:space="preserve">–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w:t>
      </w:r>
      <w:r>
        <w:rPr>
          <w:rStyle w:val="FootnoteReference"/>
        </w:rPr>
        <w:footnoteReference w:id="832"/>
      </w:r>
      <w:r>
        <w:t xml:space="preserve">.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w:t>
      </w:r>
      <w:r>
        <w:rPr>
          <w:rStyle w:val="FootnoteReference"/>
        </w:rPr>
        <w:footnoteReference w:id="833"/>
      </w:r>
      <w:r>
        <w:t xml:space="preserve">.</w:t>
      </w:r>
    </w:p>
    <w:bookmarkEnd w:id="834"/>
    <w:bookmarkStart w:id="836"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w:t>
      </w:r>
      <w:r>
        <w:rPr>
          <w:rStyle w:val="FootnoteReference"/>
        </w:rPr>
        <w:footnoteReference w:id="835"/>
      </w:r>
      <w:r>
        <w:t xml:space="preserve">.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836"/>
    <w:bookmarkStart w:id="841"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w:t>
      </w:r>
      <w:r>
        <w:rPr>
          <w:rStyle w:val="FootnoteReference"/>
        </w:rPr>
        <w:footnoteReference w:id="837"/>
      </w:r>
      <w:r>
        <w:t xml:space="preserve">.</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w:t>
      </w:r>
      <w:r>
        <w:rPr>
          <w:rStyle w:val="FootnoteReference"/>
        </w:rPr>
        <w:footnoteReference w:id="838"/>
      </w:r>
      <w:r>
        <w:t xml:space="preserve">.</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w:t>
      </w:r>
      <w:r>
        <w:rPr>
          <w:rStyle w:val="FootnoteReference"/>
        </w:rPr>
        <w:footnoteReference w:id="839"/>
      </w:r>
      <w:r>
        <w:t xml:space="preserve">.</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w:t>
      </w:r>
      <w:r>
        <w:rPr>
          <w:rStyle w:val="FootnoteReference"/>
        </w:rPr>
        <w:footnoteReference w:id="840"/>
      </w:r>
      <w:r>
        <w:t xml:space="preserve">.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841"/>
    <w:bookmarkStart w:id="847"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w:t>
      </w:r>
      <w:r>
        <w:rPr>
          <w:rStyle w:val="FootnoteReference"/>
        </w:rPr>
        <w:footnoteReference w:id="842"/>
      </w:r>
      <w:r>
        <w:t xml:space="preserve"> </w:t>
      </w:r>
      <w:r>
        <w:t xml:space="preserve">und in Belgien, wo Behörden unbekannte Peptidpräparate untersuchten</w:t>
      </w:r>
      <w:r>
        <w:rPr>
          <w:rStyle w:val="FootnoteReference"/>
        </w:rPr>
        <w:footnoteReference w:id="843"/>
      </w:r>
      <w:r>
        <w:t xml:space="preserve">.</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w:t>
      </w:r>
      <w:r>
        <w:rPr>
          <w:rStyle w:val="FootnoteReference"/>
        </w:rPr>
        <w:footnoteReference w:id="844"/>
      </w:r>
      <w:r>
        <w:t xml:space="preserve">. Eine weitere Übersicht weist auf falsch deklarierte oder verunreinigte Produkte im unregulierten Handel hin</w:t>
      </w:r>
      <w:r>
        <w:rPr>
          <w:rStyle w:val="FootnoteReference"/>
        </w:rPr>
        <w:footnoteReference w:id="845"/>
      </w:r>
      <w:r>
        <w:t xml:space="preserve">.</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w:t>
      </w:r>
      <w:r>
        <w:rPr>
          <w:rStyle w:val="FootnoteReference"/>
        </w:rPr>
        <w:footnoteReference w:id="846"/>
      </w:r>
      <w:r>
        <w:t xml:space="preserve">.</w:t>
      </w:r>
    </w:p>
    <w:bookmarkEnd w:id="847"/>
    <w:bookmarkStart w:id="850"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w:t>
      </w:r>
      <w:r>
        <w:rPr>
          <w:rStyle w:val="FootnoteReference"/>
        </w:rPr>
        <w:footnoteReference w:id="848"/>
      </w:r>
      <w:r>
        <w:t xml:space="preserve">. Der übliche Wachstumshormon-Test wird durch AOD-9604 nicht beeinflusst</w:t>
      </w:r>
      <w:r>
        <w:rPr>
          <w:rStyle w:val="FootnoteReference"/>
        </w:rPr>
        <w:footnoteReference w:id="849"/>
      </w:r>
      <w:r>
        <w:t xml:space="preserve"> </w:t>
      </w:r>
      <w:r>
        <w:t xml:space="preserve">– das Fragment muss also gezielt gesucht werden. Stand 2026, bitte aktuell prüfen.</w:t>
      </w:r>
    </w:p>
    <w:bookmarkEnd w:id="850"/>
    <w:bookmarkStart w:id="851"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851"/>
    <w:bookmarkStart w:id="852"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852"/>
    <w:bookmarkEnd w:id="853"/>
    <w:bookmarkStart w:id="890" w:name="orforglipron-zum-vergleich"/>
    <w:p>
      <w:pPr>
        <w:pStyle w:val="Heading2"/>
      </w:pPr>
      <w:r>
        <w:t xml:space="preserve">Orforglipron (zum Vergleich)</w:t>
      </w:r>
    </w:p>
    <w:bookmarkStart w:id="854"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854"/>
    <w:bookmarkStart w:id="856"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w:t>
      </w:r>
      <w:r>
        <w:rPr>
          <w:rStyle w:val="FootnoteReference"/>
        </w:rPr>
        <w:footnoteReference w:id="855"/>
      </w:r>
      <w:r>
        <w:t xml:space="preserve">. Orforglipron ist damit der wichtigste Vergleichsfall für die Frage, ob die Zukunft der Abnehmmedikamente überhaupt bei Peptiden liegt (siehe Teil V).</w:t>
      </w:r>
    </w:p>
    <w:bookmarkEnd w:id="856"/>
    <w:bookmarkStart w:id="858"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w:t>
      </w:r>
      <w:r>
        <w:rPr>
          <w:rStyle w:val="FootnoteReference"/>
        </w:rPr>
        <w:footnoteReference w:id="857"/>
      </w:r>
      <w:r>
        <w:t xml:space="preserve">.</w:t>
      </w:r>
    </w:p>
    <w:bookmarkEnd w:id="858"/>
    <w:bookmarkStart w:id="869"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863" w:name="adipositas-attain"/>
    <w:p>
      <w:pPr>
        <w:pStyle w:val="Heading4"/>
      </w:pPr>
      <w:r>
        <w:t xml:space="preserve">Adipositas: ATTAIN</w:t>
      </w:r>
    </w:p>
    <w:p>
      <w:pPr>
        <w:pStyle w:val="FirstParagraph"/>
      </w:pPr>
      <w:r>
        <w:rPr>
          <w:bCs/>
          <w:b/>
        </w:rPr>
        <w:t xml:space="preserve">ATTAIN-1</w:t>
      </w:r>
      <w:r>
        <w:rPr>
          <w:rStyle w:val="FootnoteReference"/>
        </w:rPr>
        <w:footnoteReference w:id="859"/>
      </w:r>
      <w:r>
        <w:t xml:space="preserve"> </w:t>
      </w:r>
      <w:r>
        <w:t xml:space="preserve">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w:t>
      </w:r>
      <w:r>
        <w:rPr>
          <w:rStyle w:val="FootnoteReference"/>
        </w:rPr>
        <w:footnoteReference w:id="860"/>
      </w:r>
      <w:r>
        <w:t xml:space="preserve">. Quervergleiche zwischen Studien sind allerdings nur eine grobe Orientierung.</w:t>
      </w:r>
    </w:p>
    <w:p>
      <w:pPr>
        <w:pStyle w:val="BodyText"/>
      </w:pPr>
      <w:r>
        <w:rPr>
          <w:bCs/>
          <w:b/>
        </w:rPr>
        <w:t xml:space="preserve">ATTAIN-2</w:t>
      </w:r>
      <w:r>
        <w:rPr>
          <w:rStyle w:val="FootnoteReference"/>
        </w:rPr>
        <w:footnoteReference w:id="861"/>
      </w:r>
      <w:r>
        <w:t xml:space="preserve"> </w:t>
      </w:r>
      <w:r>
        <w:t xml:space="preserve">zeigte bei Menschen mit Typ-2-Diabetes einen Gewichtsverlust von bis zu 9,6 % gegenüber 2,5 % unter Placebo.</w:t>
      </w:r>
    </w:p>
    <w:p>
      <w:pPr>
        <w:pStyle w:val="BodyText"/>
      </w:pPr>
      <w:r>
        <w:rPr>
          <w:bCs/>
          <w:b/>
        </w:rPr>
        <w:t xml:space="preserve">ATTAIN-MAINTAIN</w:t>
      </w:r>
      <w:r>
        <w:rPr>
          <w:rStyle w:val="FootnoteReference"/>
        </w:rPr>
        <w:footnoteReference w:id="862"/>
      </w:r>
      <w:r>
        <w:t xml:space="preserve"> </w:t>
      </w:r>
      <w:r>
        <w:t xml:space="preserve">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863"/>
    <w:bookmarkStart w:id="868" w:name="typ-2-diabetes-achieve"/>
    <w:p>
      <w:pPr>
        <w:pStyle w:val="Heading4"/>
      </w:pPr>
      <w:r>
        <w:t xml:space="preserve">Typ-2-Diabetes: ACHIEVE</w:t>
      </w:r>
    </w:p>
    <w:p>
      <w:pPr>
        <w:numPr>
          <w:ilvl w:val="0"/>
          <w:numId w:val="1110"/>
        </w:numPr>
        <w:pStyle w:val="Compact"/>
      </w:pPr>
      <w:r>
        <w:rPr>
          <w:bCs/>
          <w:b/>
        </w:rPr>
        <w:t xml:space="preserve">ACHIEVE-1</w:t>
      </w:r>
      <w:r>
        <w:rPr>
          <w:rStyle w:val="FootnoteReference"/>
        </w:rPr>
        <w:footnoteReference w:id="864"/>
      </w:r>
      <w:r>
        <w:t xml:space="preserve">: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rPr>
          <w:rStyle w:val="FootnoteReference"/>
        </w:rPr>
        <w:footnoteReference w:id="865"/>
      </w:r>
      <w:r>
        <w:t xml:space="preserve">: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rPr>
          <w:rStyle w:val="FootnoteReference"/>
        </w:rPr>
        <w:footnoteReference w:id="866"/>
      </w:r>
      <w:r>
        <w:t xml:space="preserve">: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rPr>
          <w:rStyle w:val="FootnoteReference"/>
        </w:rPr>
        <w:footnoteReference w:id="867"/>
      </w:r>
      <w:r>
        <w:t xml:space="preserve">: die Herz-Kreislauf-Sicherheitsstudie (siehe unten).</w:t>
      </w:r>
    </w:p>
    <w:bookmarkEnd w:id="868"/>
    <w:bookmarkEnd w:id="869"/>
    <w:bookmarkStart w:id="871"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w:t>
      </w:r>
      <w:r>
        <w:rPr>
          <w:rStyle w:val="FootnoteReference"/>
        </w:rPr>
        <w:footnoteReference w:id="870"/>
      </w:r>
      <w:r>
        <w:t xml:space="preserve">. Peptid-Agonisten werden dagegen wie Eiweiße abgebaut und haben kaum solche Wechselwirkungen.</w:t>
      </w:r>
    </w:p>
    <w:bookmarkEnd w:id="871"/>
    <w:bookmarkStart w:id="879"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w:t>
      </w:r>
      <w:r>
        <w:rPr>
          <w:rStyle w:val="FootnoteReference"/>
        </w:rPr>
        <w:footnoteReference w:id="872"/>
      </w:r>
      <w:r>
        <w:t xml:space="preserve">.</w:t>
      </w:r>
    </w:p>
    <w:p>
      <w:pPr>
        <w:numPr>
          <w:ilvl w:val="0"/>
          <w:numId w:val="1111"/>
        </w:numPr>
        <w:pStyle w:val="Compact"/>
      </w:pPr>
      <w:r>
        <w:rPr>
          <w:bCs/>
          <w:b/>
        </w:rPr>
        <w:t xml:space="preserve">Abbrüche wegen Nebenwirkungen:</w:t>
      </w:r>
      <w:r>
        <w:t xml:space="preserve"> </w:t>
      </w:r>
      <w:r>
        <w:t xml:space="preserve">in ATTAIN-1 bis 10,3 %</w:t>
      </w:r>
      <w:r>
        <w:rPr>
          <w:rStyle w:val="FootnoteReference"/>
        </w:rPr>
        <w:footnoteReference w:id="873"/>
      </w:r>
      <w:r>
        <w:t xml:space="preserve">, im Vergleich zur Semaglutid-Tablette etwa doppelt so häufig</w:t>
      </w:r>
      <w:r>
        <w:rPr>
          <w:rStyle w:val="FootnoteReference"/>
        </w:rPr>
        <w:footnoteReference w:id="874"/>
      </w:r>
      <w:r>
        <w:t xml:space="preserve">.</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w:t>
      </w:r>
      <w:r>
        <w:rPr>
          <w:rStyle w:val="FootnoteReference"/>
        </w:rPr>
        <w:footnoteReference w:id="875"/>
      </w:r>
      <w:r>
        <w:t xml:space="preserve">.</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w:t>
      </w:r>
      <w:r>
        <w:rPr>
          <w:rStyle w:val="FootnoteReference"/>
        </w:rPr>
        <w:footnoteReference w:id="876"/>
      </w:r>
      <w:r>
        <w:t xml:space="preserve">. Ob Orforglipron wie einige Peptid-Agonisten Herz-Kreislauf-Ereignisse</w:t>
      </w:r>
      <w:r>
        <w:t xml:space="preserve"> </w:t>
      </w:r>
      <w:r>
        <w:rPr>
          <w:iCs/>
          <w:i/>
        </w:rPr>
        <w:t xml:space="preserve">verringert</w:t>
      </w:r>
      <w:r>
        <w:t xml:space="preserve">, soll eine eigene Endpunktstudie zeigen</w:t>
      </w:r>
      <w:r>
        <w:rPr>
          <w:rStyle w:val="FootnoteReference"/>
        </w:rPr>
        <w:footnoteReference w:id="877"/>
      </w:r>
      <w:r>
        <w:t xml:space="preserve">.</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w:t>
      </w:r>
      <w:r>
        <w:rPr>
          <w:rStyle w:val="FootnoteReference"/>
        </w:rPr>
        <w:footnoteReference w:id="878"/>
      </w:r>
      <w:r>
        <w:t xml:space="preserve">.</w:t>
      </w:r>
    </w:p>
    <w:bookmarkEnd w:id="879"/>
    <w:bookmarkStart w:id="880"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880"/>
    <w:bookmarkStart w:id="888"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rPr>
          <w:rStyle w:val="FootnoteReference"/>
        </w:rPr>
        <w:footnoteReference w:id="881"/>
      </w:r>
      <w:r>
        <w:t xml:space="preserve">,</w:t>
      </w:r>
      <w:r>
        <w:t xml:space="preserve"> </w:t>
      </w:r>
      <w:r>
        <w:rPr>
          <w:bCs/>
          <w:b/>
        </w:rPr>
        <w:t xml:space="preserve">Bluthochdruck</w:t>
      </w:r>
      <w:r>
        <w:rPr>
          <w:rStyle w:val="FootnoteReference"/>
        </w:rPr>
        <w:footnoteReference w:id="882"/>
      </w:r>
      <w:r>
        <w:t xml:space="preserve">,</w:t>
      </w:r>
      <w:r>
        <w:t xml:space="preserve"> </w:t>
      </w:r>
      <w:r>
        <w:rPr>
          <w:bCs/>
          <w:b/>
        </w:rPr>
        <w:t xml:space="preserve">Kniearthrose</w:t>
      </w:r>
      <w:r>
        <w:rPr>
          <w:rStyle w:val="FootnoteReference"/>
        </w:rPr>
        <w:footnoteReference w:id="883"/>
      </w:r>
      <w:r>
        <w:t xml:space="preserve">,</w:t>
      </w:r>
      <w:r>
        <w:t xml:space="preserve"> </w:t>
      </w:r>
      <w:r>
        <w:rPr>
          <w:bCs/>
          <w:b/>
        </w:rPr>
        <w:t xml:space="preserve">Belastungsinkontinenz</w:t>
      </w:r>
      <w:r>
        <w:t xml:space="preserve"> </w:t>
      </w:r>
      <w:r>
        <w:t xml:space="preserve">bei Frauen mit Adipositas</w:t>
      </w:r>
      <w:r>
        <w:rPr>
          <w:rStyle w:val="FootnoteReference"/>
        </w:rPr>
        <w:footnoteReference w:id="884"/>
      </w:r>
      <w:r>
        <w:t xml:space="preserve">.</w:t>
      </w:r>
    </w:p>
    <w:p>
      <w:pPr>
        <w:numPr>
          <w:ilvl w:val="0"/>
          <w:numId w:val="1113"/>
        </w:numPr>
        <w:pStyle w:val="Compact"/>
      </w:pPr>
      <w:r>
        <w:rPr>
          <w:bCs/>
          <w:b/>
        </w:rPr>
        <w:t xml:space="preserve">Jugendliche</w:t>
      </w:r>
      <w:r>
        <w:rPr>
          <w:rStyle w:val="FootnoteReference"/>
        </w:rPr>
        <w:footnoteReference w:id="885"/>
      </w:r>
      <w:r>
        <w:t xml:space="preserve"> </w:t>
      </w:r>
      <w:r>
        <w:t xml:space="preserve">und</w:t>
      </w:r>
      <w:r>
        <w:t xml:space="preserve"> </w:t>
      </w:r>
      <w:r>
        <w:rPr>
          <w:bCs/>
          <w:b/>
        </w:rPr>
        <w:t xml:space="preserve">Kinder mit Typ-2-Diabetes</w:t>
      </w:r>
      <w:r>
        <w:t xml:space="preserve"> </w:t>
      </w:r>
      <w:r>
        <w:t xml:space="preserve">im Vergleich zu Dulaglutid</w:t>
      </w:r>
      <w:r>
        <w:rPr>
          <w:rStyle w:val="FootnoteReference"/>
        </w:rPr>
        <w:footnoteReference w:id="886"/>
      </w:r>
      <w:r>
        <w:t xml:space="preserve">.</w:t>
      </w:r>
    </w:p>
    <w:p>
      <w:pPr>
        <w:numPr>
          <w:ilvl w:val="0"/>
          <w:numId w:val="1113"/>
        </w:numPr>
        <w:pStyle w:val="Compact"/>
      </w:pPr>
      <w:r>
        <w:t xml:space="preserve">Studie zur</w:t>
      </w:r>
      <w:r>
        <w:t xml:space="preserve"> </w:t>
      </w:r>
      <w:r>
        <w:rPr>
          <w:bCs/>
          <w:b/>
        </w:rPr>
        <w:t xml:space="preserve">Schlafapnoe</w:t>
      </w:r>
      <w:r>
        <w:rPr>
          <w:rStyle w:val="FootnoteReference"/>
        </w:rPr>
        <w:footnoteReference w:id="887"/>
      </w:r>
      <w:r>
        <w:t xml:space="preserve"> </w:t>
      </w:r>
      <w:r>
        <w:t xml:space="preserve">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888"/>
    <w:bookmarkStart w:id="889"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889"/>
    <w:bookmarkEnd w:id="890"/>
    <w:bookmarkEnd w:id="891"/>
    <w:bookmarkStart w:id="1221"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892"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892"/>
    <w:bookmarkStart w:id="893"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893"/>
    <w:bookmarkStart w:id="894" w:name="lesehinweis-1"/>
    <w:p>
      <w:pPr>
        <w:pStyle w:val="Heading3"/>
      </w:pPr>
      <w:r>
        <w:t xml:space="preserve">Lesehinweis</w:t>
      </w:r>
    </w:p>
    <w:p>
      <w:pPr>
        <w:pStyle w:val="FirstParagraph"/>
      </w:pPr>
      <w:r>
        <w:t xml:space="preserve">Die Kapitel folgen dem einheitlichen Aufbau dieses Buches. Achten Sie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sollten Sie vor jeder Anwendung Ihre nationale Anti-Doping-Agentur fragen.</w:t>
      </w:r>
    </w:p>
    <w:bookmarkEnd w:id="894"/>
    <w:bookmarkStart w:id="952"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896"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w:t>
      </w:r>
      <w:r>
        <w:rPr>
          <w:rStyle w:val="FootnoteReference"/>
        </w:rPr>
        <w:footnoteReference w:id="895"/>
      </w:r>
      <w:r>
        <w:t xml:space="preserve">.</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896"/>
    <w:bookmarkStart w:id="903"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w:t>
      </w:r>
      <w:r>
        <w:rPr>
          <w:rStyle w:val="FootnoteReference"/>
        </w:rPr>
        <w:footnoteReference w:id="897"/>
      </w:r>
      <w:r>
        <w:t xml:space="preserve">. Eine Arbeit aus China beschrieb 2026 in Zellversuchen einen weiteren Weg über die Proteine FBXO22 und BACH1</w:t>
      </w:r>
      <w:r>
        <w:rPr>
          <w:rStyle w:val="FootnoteReference"/>
        </w:rPr>
        <w:footnoteReference w:id="898"/>
      </w:r>
      <w:r>
        <w:t xml:space="preserve">.</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w:t>
      </w:r>
      <w:r>
        <w:rPr>
          <w:rStyle w:val="FootnoteReference"/>
        </w:rPr>
        <w:footnoteReference w:id="899"/>
      </w:r>
      <w:r>
        <w:t xml:space="preserve">.</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w:t>
      </w:r>
      <w:r>
        <w:rPr>
          <w:rStyle w:val="FootnoteReference"/>
        </w:rPr>
        <w:footnoteReference w:id="900"/>
      </w:r>
      <w:r>
        <w:t xml:space="preserve">.</w:t>
      </w:r>
    </w:p>
    <w:p>
      <w:pPr>
        <w:pStyle w:val="FirstParagraph"/>
      </w:pPr>
      <w:r>
        <w:t xml:space="preserve">Hinzu kommt eine Vielzahl weiterer Effekte auf Stickstoffmonoxid, Blutgerinnung und Nervenbotenstoffe, die vor allem in Übersichtsarbeiten der Zagreber Gruppe beschrieben werden</w:t>
      </w:r>
      <w:r>
        <w:rPr>
          <w:rStyle w:val="FootnoteReference"/>
        </w:rPr>
        <w:footnoteReference w:id="901"/>
      </w:r>
      <w:r>
        <w:t xml:space="preserve">.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w:t>
      </w:r>
      <w:r>
        <w:rPr>
          <w:rStyle w:val="FootnoteReference"/>
        </w:rPr>
        <w:footnoteReference w:id="902"/>
      </w:r>
      <w:r>
        <w:t xml:space="preserve">. Wie das zusammenpasst, ist ungeklärt.</w:t>
      </w:r>
    </w:p>
    <w:bookmarkEnd w:id="903"/>
    <w:bookmarkStart w:id="916"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demselben Erstautor aus einer Privatpraxis in Florida und erschienen in einer Zeitschrift für Alternativmedizin. Eine im Jahr 2026 veröffentlichte systematische Übersichtsarbeit hat genau diese drei Arbeiten mit zusammen 30 Personen gefunden</w:t>
      </w:r>
      <w:r>
        <w:rPr>
          <w:rStyle w:val="FootnoteReference"/>
        </w:rPr>
        <w:footnoteReference w:id="90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Injektionen in die Blasenwand bei einer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911"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w:t>
      </w:r>
      <w:r>
        <w:rPr>
          <w:rStyle w:val="FootnoteReference"/>
        </w:rPr>
        <w:footnoteReference w:id="905"/>
      </w:r>
      <w:r>
        <w:t xml:space="preserve">.</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w:t>
      </w:r>
      <w:r>
        <w:rPr>
          <w:rStyle w:val="FootnoteReference"/>
        </w:rPr>
        <w:footnoteReference w:id="906"/>
      </w:r>
      <w:r>
        <w:t xml:space="preserve">.</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w:t>
      </w:r>
      <w:r>
        <w:rPr>
          <w:rStyle w:val="FootnoteReference"/>
        </w:rPr>
        <w:footnoteReference w:id="907"/>
      </w:r>
      <w:r>
        <w:t xml:space="preserve">.</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w:t>
      </w:r>
      <w:r>
        <w:rPr>
          <w:rStyle w:val="FootnoteReference"/>
        </w:rPr>
        <w:footnoteReference w:id="908"/>
      </w:r>
      <w:r>
        <w:t xml:space="preserve">. Eine weitere systematische Übersicht aus der Sportorthopädie, die bis Juni 2024 suchte, fand unter 36 eingeschlossenen Arbeiten nur eine einzige klinische Studie</w:t>
      </w:r>
      <w:r>
        <w:rPr>
          <w:rStyle w:val="FootnoteReference"/>
        </w:rPr>
        <w:footnoteReference w:id="909"/>
      </w:r>
      <w:r>
        <w:t xml:space="preserve">. Mehrere aktuelle Übersichten aus Orthopädie und Sportmedizin kommen zum selben Schluss: Ein routinemäßiger Einsatz lässt sich derzeit nicht empfehlen</w:t>
      </w:r>
      <w:r>
        <w:rPr>
          <w:rStyle w:val="FootnoteReference"/>
        </w:rPr>
        <w:footnoteReference w:id="910"/>
      </w:r>
      <w:r>
        <w:t xml:space="preserve">.</w:t>
      </w:r>
    </w:p>
    <w:bookmarkEnd w:id="911"/>
    <w:bookmarkStart w:id="915"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w:t>
      </w:r>
      <w:r>
        <w:rPr>
          <w:rStyle w:val="FootnoteReference"/>
        </w:rPr>
        <w:footnoteReference w:id="912"/>
      </w:r>
      <w:r>
        <w:t xml:space="preserve">. Eine Übersichtsarbeit der Zagreber Gruppe erwähnt Studien bei Colitis ulcerosa und Multipler Sklerose</w:t>
      </w:r>
      <w:r>
        <w:rPr>
          <w:rStyle w:val="FootnoteReference"/>
        </w:rPr>
        <w:footnoteReference w:id="913"/>
      </w:r>
      <w:r>
        <w:t xml:space="preserve">. Vollständige Ergebnisse dieser Studien sind in PubMed nicht als Originalarbeit auffindbar. 2015 wurde zudem eine Phase-1-Studie mit Tabletten („Bepecin“, PCO-02) an 42 gesunden Freiwilligen registriert</w:t>
      </w:r>
      <w:r>
        <w:rPr>
          <w:rStyle w:val="FootnoteReference"/>
        </w:rPr>
        <w:footnoteReference w:id="914"/>
      </w:r>
      <w:r>
        <w:t xml:space="preserve">;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915"/>
    <w:bookmarkEnd w:id="916"/>
    <w:bookmarkStart w:id="925"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920"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w:t>
      </w:r>
      <w:r>
        <w:rPr>
          <w:rStyle w:val="FootnoteReference"/>
        </w:rPr>
        <w:footnoteReference w:id="917"/>
      </w:r>
      <w:r>
        <w:t xml:space="preserve">.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w:t>
      </w:r>
      <w:r>
        <w:rPr>
          <w:rStyle w:val="FootnoteReference"/>
        </w:rPr>
        <w:footnoteReference w:id="918"/>
      </w:r>
      <w:r>
        <w:t xml:space="preserve">. Eine kurze Stellungnahme in der Zeitschrift Inflammopharmacology setzte sich 2025 eigens mit einer langen Übersichtsarbeit dieser Gruppe auseinander</w:t>
      </w:r>
      <w:r>
        <w:rPr>
          <w:rStyle w:val="FootnoteReference"/>
        </w:rPr>
        <w:footnoteReference w:id="919"/>
      </w:r>
      <w:r>
        <w:t xml:space="preserve">.</w:t>
      </w:r>
    </w:p>
    <w:p>
      <w:pPr>
        <w:pStyle w:val="BodyText"/>
      </w:pPr>
      <w:r>
        <w:t xml:space="preserve">Unabhängige Arbeiten gibt es durchaus – vor allem aus Taiwan (Sehnenzellen, Gefäße), Südkorea und China –, sie sind aber deutlich seltener und überwiegend Labor- oder Zellversuche.</w:t>
      </w:r>
    </w:p>
    <w:bookmarkEnd w:id="920"/>
    <w:bookmarkStart w:id="921"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921"/>
    <w:bookmarkStart w:id="924"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w:t>
      </w:r>
      <w:r>
        <w:rPr>
          <w:rStyle w:val="FootnoteReference"/>
        </w:rPr>
        <w:footnoteReference w:id="922"/>
      </w:r>
      <w:r>
        <w:t xml:space="preserve">. In Toxizitätsprüfungen an Mäusen, Ratten, Kaninchen und Hunden fanden dieselben Forschenden keine schweren Schäden, keine Erbgutschädigung und keine Schädigung von Embryonen; bei Hunden sank unter der höchsten Dosis der Kreatininwert vorübergehend</w:t>
      </w:r>
      <w:r>
        <w:rPr>
          <w:rStyle w:val="FootnoteReference"/>
        </w:rPr>
        <w:footnoteReference w:id="923"/>
      </w:r>
      <w:r>
        <w:t xml:space="preserve">. Solche Tierdaten sind eine Voraussetzung für Studien am Menschen, ersetzen sie aber nicht.</w:t>
      </w:r>
    </w:p>
    <w:bookmarkEnd w:id="924"/>
    <w:bookmarkEnd w:id="925"/>
    <w:bookmarkStart w:id="938" w:name="risiken-und-nebenwirkungen-15"/>
    <w:p>
      <w:pPr>
        <w:pStyle w:val="Heading3"/>
      </w:pPr>
      <w:r>
        <w:t xml:space="preserve">Risiken und Nebenwirkungen</w:t>
      </w:r>
    </w:p>
    <w:bookmarkStart w:id="927"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w:t>
      </w:r>
      <w:r>
        <w:rPr>
          <w:rStyle w:val="FootnoteReference"/>
        </w:rPr>
        <w:footnoteReference w:id="926"/>
      </w:r>
      <w:r>
        <w:t xml:space="preserve">. Mit 30 Personen lassen sich nur häufige, unmittelbar auftretende Probleme erkennen. Eine Nebenwirkung, die eine von tausend Personen betrifft, bliebe unsichtbar.</w:t>
      </w:r>
    </w:p>
    <w:bookmarkEnd w:id="927"/>
    <w:bookmarkStart w:id="931"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w:t>
      </w:r>
      <w:r>
        <w:rPr>
          <w:rStyle w:val="FootnoteReference"/>
        </w:rPr>
        <w:footnoteReference w:id="928"/>
      </w:r>
      <w:r>
        <w:t xml:space="preserve">, verdient hier Vorsicht. Mehrere Übersichten nennen krankhafte Gefäßneubildung und mögliche Krebsförderung ausdrücklich als ungeklärtes Risiko</w:t>
      </w:r>
      <w:r>
        <w:rPr>
          <w:rStyle w:val="FootnoteReference"/>
        </w:rPr>
        <w:footnoteReference w:id="929"/>
      </w:r>
      <w:r>
        <w:t xml:space="preserve">.</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w:t>
      </w:r>
      <w:r>
        <w:rPr>
          <w:rStyle w:val="FootnoteReference"/>
        </w:rPr>
        <w:footnoteReference w:id="930"/>
      </w:r>
      <w:r>
        <w:t xml:space="preserve">.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931"/>
    <w:bookmarkStart w:id="934"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w:t>
      </w:r>
      <w:r>
        <w:rPr>
          <w:rStyle w:val="FootnoteReference"/>
        </w:rPr>
        <w:footnoteReference w:id="932"/>
      </w:r>
      <w:r>
        <w:t xml:space="preserve">. Schon 2017 beschrieb ein Anti-Doping-Labor BPC-157 aus beschlagnahmten Fläschchen</w:t>
      </w:r>
      <w:r>
        <w:rPr>
          <w:rStyle w:val="FootnoteReference"/>
        </w:rPr>
        <w:footnoteReference w:id="933"/>
      </w:r>
      <w:r>
        <w:t xml:space="preserve">. Bei Injektionen kommen Infektionsrisiken durch unsterile Lösungen hinzu. Kapitel I.5 und Teil IV behandeln Laboranalysen von Graumarkt-Peptiden ausführlich.</w:t>
      </w:r>
    </w:p>
    <w:bookmarkEnd w:id="934"/>
    <w:bookmarkStart w:id="937"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w:t>
      </w:r>
      <w:r>
        <w:rPr>
          <w:rStyle w:val="FootnoteReference"/>
        </w:rPr>
        <w:footnoteReference w:id="935"/>
      </w:r>
      <w:r>
        <w:t xml:space="preserve">.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w:t>
      </w:r>
      <w:r>
        <w:rPr>
          <w:rStyle w:val="FootnoteReference"/>
        </w:rPr>
        <w:footnoteReference w:id="936"/>
      </w:r>
      <w:r>
        <w:t xml:space="preserve">. Persönliche Erfolgsberichte sind daher kein Wirksamkeitsnachweis.</w:t>
      </w:r>
    </w:p>
    <w:bookmarkEnd w:id="937"/>
    <w:bookmarkEnd w:id="938"/>
    <w:bookmarkStart w:id="942"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w:t>
      </w:r>
      <w:r>
        <w:rPr>
          <w:rStyle w:val="FootnoteReference"/>
        </w:rPr>
        <w:footnoteReference w:id="939"/>
      </w:r>
      <w:r>
        <w:t xml:space="preserve">;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w:t>
      </w:r>
      <w:r>
        <w:rPr>
          <w:rStyle w:val="FootnoteReference"/>
        </w:rPr>
        <w:footnoteReference w:id="940"/>
      </w:r>
      <w:r>
        <w:t xml:space="preserve"> </w:t>
      </w:r>
      <w:r>
        <w:t xml:space="preserve">– nach Kenntnis des Autors trifft das für die aktuelle Liste nicht zu. Anti-Doping-Labore haben Nachweisverfahren im Urin entwickelt</w:t>
      </w:r>
      <w:r>
        <w:rPr>
          <w:rStyle w:val="FootnoteReference"/>
        </w:rPr>
        <w:footnoteReference w:id="941"/>
      </w:r>
      <w:r>
        <w:t xml:space="preserve">.</w:t>
      </w:r>
    </w:p>
    <w:bookmarkEnd w:id="942"/>
    <w:bookmarkStart w:id="948"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w:t>
      </w:r>
      <w:r>
        <w:rPr>
          <w:rStyle w:val="FootnoteReference"/>
        </w:rPr>
        <w:footnoteReference w:id="943"/>
      </w:r>
      <w:r>
        <w:t xml:space="preserve"> </w:t>
      </w:r>
      <w:r>
        <w:t xml:space="preserve">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w:t>
      </w:r>
      <w:r>
        <w:rPr>
          <w:rStyle w:val="FootnoteReference"/>
        </w:rPr>
        <w:footnoteReference w:id="944"/>
      </w:r>
      <w:r>
        <w:t xml:space="preserve">,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w:t>
      </w:r>
      <w:r>
        <w:rPr>
          <w:rStyle w:val="FootnoteReference"/>
        </w:rPr>
        <w:footnoteReference w:id="945"/>
      </w:r>
      <w:r>
        <w:t xml:space="preserve"> </w:t>
      </w:r>
      <w:r>
        <w:t xml:space="preserve">ist randomisiert und verblindet, aber klein und hat noch nicht begonnen. Die Fruchtgummi-Studie eines Herstellers</w:t>
      </w:r>
      <w:r>
        <w:rPr>
          <w:rStyle w:val="FootnoteReference"/>
        </w:rPr>
        <w:footnoteReference w:id="946"/>
      </w:r>
      <w:r>
        <w:t xml:space="preserve"> </w:t>
      </w:r>
      <w:r>
        <w:t xml:space="preserve">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w:t>
      </w:r>
      <w:r>
        <w:rPr>
          <w:rStyle w:val="FootnoteReference"/>
        </w:rPr>
        <w:footnoteReference w:id="947"/>
      </w:r>
      <w:r>
        <w:t xml:space="preserve"> </w:t>
      </w:r>
      <w:r>
        <w:t xml:space="preserve">– auch das muss vor einer Zulassung gelöst werden.</w:t>
      </w:r>
    </w:p>
    <w:bookmarkEnd w:id="948"/>
    <w:bookmarkStart w:id="951"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w:t>
      </w:r>
      <w:r>
        <w:rPr>
          <w:rStyle w:val="FootnoteReference"/>
        </w:rPr>
        <w:footnoteReference w:id="949"/>
      </w:r>
      <w:r>
        <w:t xml:space="preserve">. Langzeitsicherheit, insbesondere die theoretische Frage nach einer Förderung von Tumorwachstum über Gefäßneubildung, ist nicht untersucht, und Graumarkt-Produkte bringen eigene Risiken mit. Randomisierte Studien sind erst registriert oder geplant</w:t>
      </w:r>
      <w:r>
        <w:rPr>
          <w:rStyle w:val="FootnoteReference"/>
        </w:rPr>
        <w:footnoteReference w:id="950"/>
      </w:r>
      <w:r>
        <w:t xml:space="preserve">; bis belastbare Ergebnisse vorliegen, bleibt BPC-157 ein Versuchsstoff, dessen Nutzen am Menschen nicht belegt ist. Für Sportlerinnen und Sportler ist es nach WADA-Regeln verboten.</w:t>
      </w:r>
    </w:p>
    <w:bookmarkEnd w:id="951"/>
    <w:bookmarkEnd w:id="952"/>
    <w:bookmarkStart w:id="1002"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954"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w:t>
      </w:r>
      <w:r>
        <w:rPr>
          <w:rStyle w:val="FootnoteReference"/>
        </w:rPr>
        <w:footnoteReference w:id="953"/>
      </w:r>
      <w:r>
        <w:t xml:space="preserve">.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954"/>
    <w:bookmarkStart w:id="959"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w:t>
      </w:r>
      <w:r>
        <w:rPr>
          <w:rStyle w:val="FootnoteReference"/>
        </w:rPr>
        <w:footnoteReference w:id="955"/>
      </w:r>
      <w:r>
        <w:t xml:space="preserve">. In Zellversuchen zeigte das sieben Aminosäuren lange Aktin-Bindungsmotiv dieselbe Wirkung auf die Wanderung von Gefäßzellen wie das ganze Molekül</w:t>
      </w:r>
      <w:r>
        <w:rPr>
          <w:rStyle w:val="FootnoteReference"/>
        </w:rPr>
        <w:footnoteReference w:id="956"/>
      </w:r>
      <w:r>
        <w:t xml:space="preserve">.</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w:t>
      </w:r>
      <w:r>
        <w:rPr>
          <w:rStyle w:val="FootnoteReference"/>
        </w:rPr>
        <w:footnoteReference w:id="957"/>
      </w:r>
      <w:r>
        <w:t xml:space="preserve">. Dass TB-500 im Körper dasselbe leistet wie Tβ4, ist damit nicht gezeigt. Eine orthopädische Übersicht aus dem Jahr 2026 betont, dass TB-500 häufig mit Tβ4 gleichgesetzt wird, obwohl keine biologische oder klinische Gleichwertigkeit belegt ist</w:t>
      </w:r>
      <w:r>
        <w:rPr>
          <w:rStyle w:val="FootnoteReference"/>
        </w:rPr>
        <w:footnoteReference w:id="958"/>
      </w:r>
      <w:r>
        <w:t xml:space="preserve">.</w:t>
      </w:r>
    </w:p>
    <w:bookmarkEnd w:id="959"/>
    <w:bookmarkStart w:id="974"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965"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w:t>
      </w:r>
      <w:r>
        <w:rPr>
          <w:rStyle w:val="FootnoteReference"/>
        </w:rPr>
        <w:footnoteReference w:id="960"/>
      </w:r>
      <w:r>
        <w:t xml:space="preserve">. Schon die Studie mit 72 Personen verfehlte aber beide vorab festgelegten Hauptzielgrößen; die Autoren betonten stattdessen Verbesserungen bei Nebenzielgrößen</w:t>
      </w:r>
      <w:r>
        <w:rPr>
          <w:rStyle w:val="FootnoteReference"/>
        </w:rPr>
        <w:footnoteReference w:id="961"/>
      </w:r>
      <w:r>
        <w:t xml:space="preserve">. In den beiden großen Phase-3-Studien ARISE-2 und ARISE-3 mit zusammen rund 1.300 Teilnehmenden lagen die Werte der Hauptzielgrößen laut den im Register veröffentlichten Ergebnissen in der Tβ4- und der Placebogruppe nahezu gleichauf</w:t>
      </w:r>
      <w:r>
        <w:rPr>
          <w:rStyle w:val="FootnoteReference"/>
        </w:rPr>
        <w:footnoteReference w:id="962"/>
      </w:r>
      <w:r>
        <w:t xml:space="preserve">.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umfasste nur 18 Personen</w:t>
      </w:r>
      <w:r>
        <w:rPr>
          <w:rStyle w:val="FootnoteReference"/>
        </w:rPr>
        <w:footnoteReference w:id="963"/>
      </w:r>
      <w:r>
        <w:t xml:space="preserve">. Eine Cochrane-Übersicht von 2025 wertete die Studie mit „niedriger Vertrauenswürdigkeit“ und fand keinen gesicherten Unterschied</w:t>
      </w:r>
      <w:r>
        <w:rPr>
          <w:rStyle w:val="FootnoteReference"/>
        </w:rPr>
        <w:footnoteReference w:id="964"/>
      </w:r>
      <w:r>
        <w:t xml:space="preserve">. Eine größere Nachfolgestudie (SEER-2) läuft.</w:t>
      </w:r>
    </w:p>
    <w:bookmarkEnd w:id="965"/>
    <w:bookmarkStart w:id="967"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w:t>
      </w:r>
      <w:r>
        <w:rPr>
          <w:rStyle w:val="FootnoteReference"/>
        </w:rPr>
        <w:footnoteReference w:id="966"/>
      </w:r>
      <w:r>
        <w:t xml:space="preserve">. Untergruppen-Ergebnisse gelten als Hinweis, nicht als Beweis. Die Autoren fordern selbst weitere randomisierte Studien.</w:t>
      </w:r>
    </w:p>
    <w:bookmarkEnd w:id="967"/>
    <w:bookmarkStart w:id="970"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die Konzentration von 0,03 % beschreiben</w:t>
      </w:r>
      <w:r>
        <w:rPr>
          <w:rStyle w:val="FootnoteReference"/>
        </w:rPr>
        <w:footnoteReference w:id="968"/>
      </w:r>
      <w:r>
        <w:t xml:space="preserve">. Die Studie zur Epidermolysis bullosa wurde vorzeitig beendet</w:t>
      </w:r>
      <w:r>
        <w:rPr>
          <w:rStyle w:val="FootnoteReference"/>
        </w:rPr>
        <w:footnoteReference w:id="969"/>
      </w:r>
      <w:r>
        <w:t xml:space="preserve">. Keine dieser Studien führte zu einer Zulassung.</w:t>
      </w:r>
    </w:p>
    <w:bookmarkEnd w:id="970"/>
    <w:bookmarkStart w:id="973"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w:t>
      </w:r>
      <w:r>
        <w:rPr>
          <w:rStyle w:val="FootnoteReference"/>
        </w:rPr>
        <w:footnoteReference w:id="971"/>
      </w:r>
      <w:r>
        <w:t xml:space="preserve"> </w:t>
      </w:r>
      <w:r>
        <w:t xml:space="preserve">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w:t>
      </w:r>
      <w:r>
        <w:rPr>
          <w:rStyle w:val="FootnoteReference"/>
        </w:rPr>
        <w:footnoteReference w:id="972"/>
      </w:r>
      <w:r>
        <w:t xml:space="preserve"> </w:t>
      </w:r>
      <w:r>
        <w:t xml:space="preserve">– zu wenig für irgendeine Aussage.</w:t>
      </w:r>
    </w:p>
    <w:bookmarkEnd w:id="973"/>
    <w:bookmarkEnd w:id="974"/>
    <w:bookmarkStart w:id="982"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w:t>
      </w:r>
      <w:r>
        <w:rPr>
          <w:rStyle w:val="FootnoteReference"/>
        </w:rPr>
        <w:footnoteReference w:id="975"/>
      </w:r>
      <w:r>
        <w:t xml:space="preserve">. Eine Folgearbeit zeigte bei Mäusen, dass Tβ4 Vorläuferzellen der Herzaußenhaut aktiviert und die Bildung neuer Gefäße anregt</w:t>
      </w:r>
      <w:r>
        <w:rPr>
          <w:rStyle w:val="FootnoteReference"/>
        </w:rPr>
        <w:footnoteReference w:id="976"/>
      </w:r>
      <w:r>
        <w:t xml:space="preserve">. Eine unabhängige Gruppe konnte allerdings nicht bestätigen, dass Tβ4 nach einem Infarkt aus diesen Zellen neue Herzmuskelzellen entstehen lässt</w:t>
      </w:r>
      <w:r>
        <w:rPr>
          <w:rStyle w:val="FootnoteReference"/>
        </w:rPr>
        <w:footnoteReference w:id="977"/>
      </w:r>
      <w:r>
        <w:t xml:space="preserve"> </w:t>
      </w:r>
      <w:r>
        <w:t xml:space="preserve">– ein Beispiel dafür, wie wichtig unabhängige Wiederholungen sind.</w:t>
      </w:r>
    </w:p>
    <w:p>
      <w:pPr>
        <w:pStyle w:val="BodyText"/>
      </w:pPr>
      <w:r>
        <w:t xml:space="preserve">Weitere Tier- und Laborbefunde betreffen Haut, Hornhaut, Gehirn, Niere und Leber. Bei Ratten verbesserte Tβ4 die Haltbarkeit von Hautlappen</w:t>
      </w:r>
      <w:r>
        <w:rPr>
          <w:rStyle w:val="FootnoteReference"/>
        </w:rPr>
        <w:footnoteReference w:id="978"/>
      </w:r>
      <w:r>
        <w:t xml:space="preserve">, bei Mäusen die Knochenbruchheilung</w:t>
      </w:r>
      <w:r>
        <w:rPr>
          <w:rStyle w:val="FootnoteReference"/>
        </w:rPr>
        <w:footnoteReference w:id="979"/>
      </w:r>
      <w:r>
        <w:t xml:space="preserve">. Für Sehnen, Bänder und Muskeln – also genau die Einsatzgebiete, für die TB-500 im Internet beworben wird – gibt es nur Zell- und Nagetierdaten</w:t>
      </w:r>
      <w:r>
        <w:rPr>
          <w:rStyle w:val="FootnoteReference"/>
        </w:rPr>
        <w:footnoteReference w:id="980"/>
      </w:r>
      <w:r>
        <w:t xml:space="preserve">. Eine Rattenstudie von 2026 fand nach Durchtrennung der Achillessehne bei 32 Tieren eine höhere Reißfestigkeit und bessere Gewebestruktur in der TB-500-Gruppe als in der Kontrollgruppe</w:t>
      </w:r>
      <w:r>
        <w:rPr>
          <w:rStyle w:val="FootnoteReference"/>
        </w:rPr>
        <w:footnoteReference w:id="981"/>
      </w:r>
      <w:r>
        <w:t xml:space="preserve">. Das ist eine der wenigen Tierstudien mit dem tatsächlich verkauften Fragment.</w:t>
      </w:r>
    </w:p>
    <w:bookmarkEnd w:id="982"/>
    <w:bookmarkStart w:id="992" w:name="risiken-und-nebenwirkungen-16"/>
    <w:p>
      <w:pPr>
        <w:pStyle w:val="Heading3"/>
      </w:pPr>
      <w:r>
        <w:t xml:space="preserve">Risiken und Nebenwirkungen</w:t>
      </w:r>
    </w:p>
    <w:bookmarkStart w:id="985"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w:t>
      </w:r>
      <w:r>
        <w:rPr>
          <w:rStyle w:val="FootnoteReference"/>
        </w:rPr>
        <w:footnoteReference w:id="983"/>
      </w:r>
      <w:r>
        <w:t xml:space="preserve">. In der chinesischen Phase-1-Studie waren die Nebenwirkungen leicht bis mittel</w:t>
      </w:r>
      <w:r>
        <w:rPr>
          <w:rStyle w:val="FootnoteReference"/>
        </w:rPr>
        <w:footnoteReference w:id="984"/>
      </w:r>
      <w:r>
        <w:t xml:space="preserve">. Diese Studien sind allerdings kurz, und sie betreffen das ganze Eiweiß in Arzneimittelqualität – nicht Graumarkt-Produkte.</w:t>
      </w:r>
    </w:p>
    <w:bookmarkEnd w:id="985"/>
    <w:bookmarkStart w:id="988"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w:t>
      </w:r>
      <w:r>
        <w:rPr>
          <w:rStyle w:val="FootnoteReference"/>
        </w:rPr>
        <w:footnoteReference w:id="986"/>
      </w:r>
      <w:r>
        <w:t xml:space="preserve">. In Kulturen von Brustkrebszellen erhöhte zugesetztes Tβ4 die Zellzahl</w:t>
      </w:r>
      <w:r>
        <w:rPr>
          <w:rStyle w:val="FootnoteReference"/>
        </w:rPr>
        <w:footnoteReference w:id="987"/>
      </w:r>
      <w:r>
        <w:t xml:space="preserve">.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988"/>
    <w:bookmarkStart w:id="991"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w:t>
      </w:r>
      <w:r>
        <w:rPr>
          <w:rStyle w:val="FootnoteReference"/>
        </w:rPr>
        <w:footnoteReference w:id="989"/>
      </w:r>
      <w:r>
        <w:t xml:space="preserve">. Manche Produkte enthalten das Fragment, andere womöglich das ganze Tβ4, wieder andere Verunreinigungen. Dazu kommen die bekannten Risiken unsteriler Injektionen. Dass Pferdedoping-Labore schon 2012 Nachweisverfahren für TB-500 entwickelten</w:t>
      </w:r>
      <w:r>
        <w:rPr>
          <w:rStyle w:val="FootnoteReference"/>
        </w:rPr>
        <w:footnoteReference w:id="990"/>
      </w:r>
      <w:r>
        <w:t xml:space="preserve">, zeigt, aus welcher Ecke das Produkt stammt: aus dem Tierbereich, nicht aus der Humanmedizin.</w:t>
      </w:r>
    </w:p>
    <w:bookmarkEnd w:id="991"/>
    <w:bookmarkEnd w:id="992"/>
    <w:bookmarkStart w:id="995"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w:t>
      </w:r>
      <w:r>
        <w:rPr>
          <w:rStyle w:val="FootnoteReference"/>
        </w:rPr>
        <w:footnoteReference w:id="993"/>
      </w:r>
      <w:r>
        <w:t xml:space="preserve">.</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w:t>
      </w:r>
      <w:r>
        <w:rPr>
          <w:rStyle w:val="FootnoteReference"/>
        </w:rPr>
        <w:footnoteReference w:id="994"/>
      </w:r>
      <w:r>
        <w:t xml:space="preserve">.</w:t>
      </w:r>
    </w:p>
    <w:bookmarkEnd w:id="995"/>
    <w:bookmarkStart w:id="999"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w:t>
      </w:r>
      <w:r>
        <w:rPr>
          <w:rStyle w:val="FootnoteReference"/>
        </w:rPr>
        <w:footnoteReference w:id="996"/>
      </w:r>
      <w:r>
        <w:rPr>
          <w:bCs/>
          <w:b/>
        </w:rPr>
        <w:t xml:space="preserve">:</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w:t>
      </w:r>
      <w:r>
        <w:rPr>
          <w:rStyle w:val="FootnoteReference"/>
        </w:rPr>
        <w:footnoteReference w:id="997"/>
      </w:r>
      <w:r>
        <w:rPr>
          <w:bCs/>
          <w:b/>
        </w:rPr>
        <w:t xml:space="preserve">:</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w:t>
      </w:r>
      <w:r>
        <w:rPr>
          <w:rStyle w:val="FootnoteReference"/>
        </w:rPr>
        <w:footnoteReference w:id="998"/>
      </w:r>
      <w:r>
        <w:t xml:space="preserve">.</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999"/>
    <w:bookmarkStart w:id="1001"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w:t>
      </w:r>
      <w:r>
        <w:rPr>
          <w:rStyle w:val="FootnoteReference"/>
        </w:rPr>
        <w:footnoteReference w:id="1000"/>
      </w:r>
      <w:r>
        <w:t xml:space="preserve">.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1001"/>
    <w:bookmarkEnd w:id="1002"/>
    <w:bookmarkStart w:id="1062"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1005"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w:t>
      </w:r>
      <w:r>
        <w:rPr>
          <w:rStyle w:val="FootnoteReference"/>
        </w:rPr>
        <w:footnoteReference w:id="1003"/>
      </w:r>
      <w:r>
        <w:t xml:space="preserve">;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w:t>
      </w:r>
      <w:r>
        <w:rPr>
          <w:rStyle w:val="FootnoteReference"/>
        </w:rPr>
        <w:footnoteReference w:id="1004"/>
      </w:r>
      <w:r>
        <w:t xml:space="preserve">.</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1005"/>
    <w:bookmarkStart w:id="1008"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w:t>
      </w:r>
      <w:r>
        <w:rPr>
          <w:rStyle w:val="FootnoteReference"/>
        </w:rPr>
        <w:footnoteReference w:id="1006"/>
      </w:r>
      <w:r>
        <w:t xml:space="preserve">.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w:t>
      </w:r>
      <w:r>
        <w:rPr>
          <w:rStyle w:val="FootnoteReference"/>
        </w:rPr>
        <w:footnoteReference w:id="1007"/>
      </w:r>
      <w:r>
        <w:t xml:space="preserve">.</w:t>
      </w:r>
    </w:p>
    <w:bookmarkEnd w:id="1008"/>
    <w:bookmarkStart w:id="1038"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w:t>
      </w:r>
      <w:r>
        <w:rPr>
          <w:rStyle w:val="FootnoteReference"/>
        </w:rPr>
        <w:footnoteReference w:id="1009"/>
      </w:r>
      <w:r>
        <w:t xml:space="preserve"> </w:t>
      </w:r>
      <w:r>
        <w:t xml:space="preserve">– sie ist deshalb nicht als neutrale Bewertung zu lesen.</w:t>
      </w:r>
    </w:p>
    <w:bookmarkStart w:id="1010"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1010"/>
    <w:bookmarkStart w:id="1018"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mit 98 Personen fand 18 Monate nach Beginn ein vollständiges virologisches Ansprechen bei 40,6 Prozent nach sechsmonatiger Behandlung gegenüber 9,4 Prozent in der unbehandelten Kontrollgruppe</w:t>
      </w:r>
      <w:r>
        <w:rPr>
          <w:rStyle w:val="FootnoteReference"/>
        </w:rPr>
        <w:footnoteReference w:id="1011"/>
      </w:r>
      <w:r>
        <w:t xml:space="preserve">. Die doppelblinde, placebokontrollierte Phase-3-Studie konnte das nicht bestätigen: 14 Prozent vs. 4 Prozent, statistisch nicht signifikant; die Autoren schreiben selbst, die Ergebnisse bestätigten frühere Beobachtungen nicht</w:t>
      </w:r>
      <w:r>
        <w:rPr>
          <w:rStyle w:val="FootnoteReference"/>
        </w:rPr>
        <w:footnoteReference w:id="1012"/>
      </w:r>
      <w:r>
        <w:t xml:space="preserve">.</w:t>
      </w:r>
    </w:p>
    <w:p>
      <w:pPr>
        <w:pStyle w:val="BodyText"/>
      </w:pPr>
      <w:r>
        <w:t xml:space="preserve">Eine Meta-Analyse von vier kleinen Studien mit 199 Personen fand, dass Thymosin Alpha-1 am Behandlungsende schlechter, sechs Monate danach aber besser abschnitt als Interferon alpha</w:t>
      </w:r>
      <w:r>
        <w:rPr>
          <w:rStyle w:val="FootnoteReference"/>
        </w:rPr>
        <w:footnoteReference w:id="1013"/>
      </w:r>
      <w:r>
        <w:t xml:space="preserve">.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w:t>
      </w:r>
      <w:r>
        <w:rPr>
          <w:rStyle w:val="FootnoteReference"/>
        </w:rPr>
        <w:footnoteReference w:id="1014"/>
      </w:r>
      <w:r>
        <w:t xml:space="preserve">. Eine Meta-Analyse chinesischer Studien zur selben Kombination fand zwar bessere Ansprechraten nach 24 Wochen, nach 48 bis 52 Wochen aber keinen Unterschied mehr</w:t>
      </w:r>
      <w:r>
        <w:rPr>
          <w:rStyle w:val="FootnoteReference"/>
        </w:rPr>
        <w:footnoteReference w:id="1015"/>
      </w:r>
      <w:r>
        <w:t xml:space="preserve">.</w:t>
      </w:r>
    </w:p>
    <w:p>
      <w:pPr>
        <w:pStyle w:val="BodyText"/>
      </w:pPr>
      <w:r>
        <w:t xml:space="preserve">Bei einer besonders schweren Verlaufsform – dem akut-auf-chronischen Leberversagen bei Hepatitis B – lag das transplantationsfreie 90-Tage-Überleben in einer offenen Studie mit 120 Personen unter Thymosin Alpha-1 bei 75,0 Prozent gegenüber 53,4 Prozent; neue Infektionen waren seltener</w:t>
      </w:r>
      <w:r>
        <w:rPr>
          <w:rStyle w:val="FootnoteReference"/>
        </w:rPr>
        <w:footnoteReference w:id="1016"/>
      </w:r>
      <w:r>
        <w:t xml:space="preserve">.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w:t>
      </w:r>
      <w:r>
        <w:rPr>
          <w:rStyle w:val="FootnoteReference"/>
        </w:rPr>
        <w:footnoteReference w:id="1017"/>
      </w:r>
      <w:r>
        <w:t xml:space="preserve">, das dauerhafte Ansprechen unterschied sich aber nicht wesentlich. Seit es direkt wirkende Tabletten gibt, die Hepatitis C in den allermeisten Fällen beseitigen, spielt Thymosin Alpha-1 hier keine Rolle mehr.</w:t>
      </w:r>
    </w:p>
    <w:bookmarkEnd w:id="1018"/>
    <w:bookmarkStart w:id="1023"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w:t>
      </w:r>
      <w:r>
        <w:rPr>
          <w:rStyle w:val="FootnoteReference"/>
        </w:rPr>
        <w:footnoteReference w:id="1019"/>
      </w:r>
      <w:r>
        <w:t xml:space="preserve">.</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w:t>
      </w:r>
      <w:r>
        <w:rPr>
          <w:rStyle w:val="FootnoteReference"/>
        </w:rPr>
        <w:footnoteReference w:id="1020"/>
      </w:r>
      <w:r>
        <w:t xml:space="preserve">.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w:t>
      </w:r>
      <w:r>
        <w:rPr>
          <w:rStyle w:val="FootnoteReference"/>
        </w:rPr>
        <w:footnoteReference w:id="1021"/>
      </w:r>
      <w:r>
        <w:t xml:space="preserve">. Viele chinesische Studien kombinieren Thymosin Alpha-1 zudem mit Ulinastatin, einem weiteren in China verwendeten Mittel; Netzwerk-Meta-Analysen bewerten die Vertrauenswürdigkeit dieser Ergebnisse als überwiegend niedrig</w:t>
      </w:r>
      <w:r>
        <w:rPr>
          <w:rStyle w:val="FootnoteReference"/>
        </w:rPr>
        <w:footnoteReference w:id="1022"/>
      </w:r>
      <w:r>
        <w:t xml:space="preserve">.</w:t>
      </w:r>
    </w:p>
    <w:bookmarkEnd w:id="1023"/>
    <w:bookmarkStart w:id="1029"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w:t>
      </w:r>
      <w:r>
        <w:rPr>
          <w:rStyle w:val="FootnoteReference"/>
        </w:rPr>
        <w:footnoteReference w:id="1024"/>
      </w:r>
      <w:r>
        <w:t xml:space="preserve">. Eine größere rückblickende Studie in fünf Kliniken mit über 2.200 Personen fand das Gegenteil: Nach Berücksichtigung von Störfaktoren war die Behandlung mit einer höheren Rate an Nicht-Genesung verbunden</w:t>
      </w:r>
      <w:r>
        <w:rPr>
          <w:rStyle w:val="FootnoteReference"/>
        </w:rPr>
        <w:footnoteReference w:id="1025"/>
      </w:r>
      <w:r>
        <w:t xml:space="preserve">. Eine kleine randomisierte Pilotstudie mit 49 Personen fand schnellere Anstiege der T-Helferzellen, aber keinen signifikanten Unterschied bei der Genesung</w:t>
      </w:r>
      <w:r>
        <w:rPr>
          <w:rStyle w:val="FootnoteReference"/>
        </w:rPr>
        <w:footnoteReference w:id="1026"/>
      </w:r>
      <w:r>
        <w:t xml:space="preserve">.</w:t>
      </w:r>
    </w:p>
    <w:p>
      <w:pPr>
        <w:pStyle w:val="BodyText"/>
      </w:pPr>
      <w:r>
        <w:t xml:space="preserve">Zwei Meta-Analysen kamen zu gegensätzlichen Schlüssen: Eine mit 9 Studien und 5.352 Personen fand keinen Effekt auf die Sterblichkeit und rät vom Einsatz bei hospitalisierten Erwachsenen ab</w:t>
      </w:r>
      <w:r>
        <w:rPr>
          <w:rStyle w:val="FootnoteReference"/>
        </w:rPr>
        <w:footnoteReference w:id="1027"/>
      </w:r>
      <w:r>
        <w:t xml:space="preserve">; eine andere mit 8 Studien fand eine geringere Sterblichkeit, bei allerdings sehr starker Uneinheitlichkeit der Studien</w:t>
      </w:r>
      <w:r>
        <w:rPr>
          <w:rStyle w:val="FootnoteReference"/>
        </w:rPr>
        <w:footnoteReference w:id="1028"/>
      </w:r>
      <w:r>
        <w:t xml:space="preserve">. Fast alle Daten stammen aus nicht randomisierten Beobachtungsstudien. Ein Nutzen bei COVID-19 ist damit nicht belegt.</w:t>
      </w:r>
    </w:p>
    <w:bookmarkEnd w:id="1029"/>
    <w:bookmarkStart w:id="1033"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w:t>
      </w:r>
      <w:r>
        <w:rPr>
          <w:rStyle w:val="FootnoteReference"/>
        </w:rPr>
        <w:footnoteReference w:id="1030"/>
      </w:r>
      <w:r>
        <w:t xml:space="preserve">.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Evidenz aber als mittel bis sehr gering, und Daten zum Langzeitüberleben fehlen weitgehend. Eine Übersicht zu Krebsstudien von 2016 bis 2026 fand überwiegend rückblickende Beobachtungsstudien und Fallberichte aus China und eine uneinheitliche Erfassung von Nebenwirkungen</w:t>
      </w:r>
      <w:r>
        <w:rPr>
          <w:rStyle w:val="FootnoteReference"/>
        </w:rPr>
        <w:footnoteReference w:id="1031"/>
      </w:r>
      <w:r>
        <w:t xml:space="preserve">. Neuere Phase-2-Studien kombinieren Thymosin Alpha-1 mit Immun-Checkpoint-Hemmern, etwa vor der Operation von Magenkrebs mit 30 Personen</w:t>
      </w:r>
      <w:r>
        <w:rPr>
          <w:rStyle w:val="FootnoteReference"/>
        </w:rPr>
        <w:footnoteReference w:id="1032"/>
      </w:r>
      <w:r>
        <w:t xml:space="preserve">; ohne Kontrollgruppe lässt sich der Beitrag von Thymosin Alpha-1 daraus nicht ablesen.</w:t>
      </w:r>
    </w:p>
    <w:bookmarkEnd w:id="1033"/>
    <w:bookmarkStart w:id="1037"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w:t>
      </w:r>
      <w:r>
        <w:rPr>
          <w:rStyle w:val="FootnoteReference"/>
        </w:rPr>
        <w:footnoteReference w:id="1034"/>
      </w:r>
      <w:r>
        <w:t xml:space="preserve">. Diese Idee wird heute wieder aufgegriffen, etwa bei Dialysepatientinnen und -patienten im Zusammenhang mit COVID-19</w:t>
      </w:r>
      <w:r>
        <w:rPr>
          <w:rStyle w:val="FootnoteReference"/>
        </w:rPr>
        <w:footnoteReference w:id="1035"/>
      </w:r>
      <w:r>
        <w:t xml:space="preserve"> </w:t>
      </w:r>
      <w:r>
        <w:t xml:space="preserve">und in einer laufenden Studie zur Auffrischimpfung bei älteren Menschen</w:t>
      </w:r>
      <w:r>
        <w:rPr>
          <w:rStyle w:val="FootnoteReference"/>
        </w:rPr>
        <w:footnoteReference w:id="1036"/>
      </w:r>
      <w:r>
        <w:t xml:space="preserve">. Belastbare Endpunktdaten – also weniger Erkrankungen oder Todesfälle – fehlen.</w:t>
      </w:r>
    </w:p>
    <w:bookmarkEnd w:id="1037"/>
    <w:bookmarkEnd w:id="1038"/>
    <w:bookmarkStart w:id="1040"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w:t>
      </w:r>
      <w:r>
        <w:rPr>
          <w:rStyle w:val="FootnoteReference"/>
        </w:rPr>
        <w:footnoteReference w:id="1039"/>
      </w:r>
      <w:r>
        <w:t xml:space="preserve">. Diese Befunde ließen sich am Menschen bisher nicht überzeugend wiederholen.</w:t>
      </w:r>
    </w:p>
    <w:bookmarkEnd w:id="1040"/>
    <w:bookmarkStart w:id="1049" w:name="risiken-und-nebenwirkungen-17"/>
    <w:p>
      <w:pPr>
        <w:pStyle w:val="Heading3"/>
      </w:pPr>
      <w:r>
        <w:t xml:space="preserve">Risiken und Nebenwirkungen</w:t>
      </w:r>
    </w:p>
    <w:bookmarkStart w:id="1044"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w:t>
      </w:r>
      <w:r>
        <w:rPr>
          <w:rStyle w:val="FootnoteReference"/>
        </w:rPr>
        <w:footnoteReference w:id="1041"/>
      </w:r>
      <w:r>
        <w:t xml:space="preserve">. In der großen Sepsisstudie TESTS unterschieden sich die Sicherheitsendpunkte nicht von Placebo</w:t>
      </w:r>
      <w:r>
        <w:rPr>
          <w:rStyle w:val="FootnoteReference"/>
        </w:rPr>
        <w:footnoteReference w:id="1042"/>
      </w:r>
      <w:r>
        <w:t xml:space="preserve">. Bei Hepatitis B kam es teils zu Schwankungen der Leberwerte, die als Ausdruck der Immunreaktion gedeutet wurden</w:t>
      </w:r>
      <w:r>
        <w:rPr>
          <w:rStyle w:val="FootnoteReference"/>
        </w:rPr>
        <w:footnoteReference w:id="1043"/>
      </w:r>
      <w:r>
        <w:t xml:space="preserve">.</w:t>
      </w:r>
    </w:p>
    <w:bookmarkEnd w:id="1044"/>
    <w:bookmarkStart w:id="1048"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w:t>
      </w:r>
      <w:r>
        <w:rPr>
          <w:rStyle w:val="FootnoteReference"/>
        </w:rPr>
        <w:footnoteReference w:id="1045"/>
      </w:r>
      <w:r>
        <w:t xml:space="preserve">; bei COVID-19 war die Behandlung in einer großen Beobachtungsstudie mit schlechterem Verlauf verbunden</w:t>
      </w:r>
      <w:r>
        <w:rPr>
          <w:rStyle w:val="FootnoteReference"/>
        </w:rPr>
        <w:footnoteReference w:id="1046"/>
      </w:r>
      <w:r>
        <w:t xml:space="preserve">.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Eine Übersichtsarbeit verweist auf einen Fallbericht, in dem unter einer Kombinationsbehandlung eine schwere Immunreaktion an mehreren Organen auftrat, ohne dass Thymosin Alpha-1 sicher als Ursache feststand</w:t>
      </w:r>
      <w:r>
        <w:rPr>
          <w:rStyle w:val="FootnoteReference"/>
        </w:rPr>
        <w:footnoteReference w:id="1047"/>
      </w:r>
      <w:r>
        <w:t xml:space="preserve">.</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1048"/>
    <w:bookmarkEnd w:id="1049"/>
    <w:bookmarkStart w:id="1052"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w:t>
      </w:r>
      <w:r>
        <w:rPr>
          <w:rStyle w:val="FootnoteReference"/>
        </w:rPr>
        <w:footnoteReference w:id="1050"/>
      </w:r>
      <w:r>
        <w:t xml:space="preserve">. Die Einstufung von Peptiden wird im Beratungsgremium der FDA weiter diskutiert</w:t>
      </w:r>
      <w:r>
        <w:rPr>
          <w:rStyle w:val="FootnoteReference"/>
        </w:rPr>
        <w:footnoteReference w:id="1051"/>
      </w:r>
      <w:r>
        <w:t xml:space="preserve">.</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1052"/>
    <w:bookmarkStart w:id="1057"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w:t>
      </w:r>
      <w:r>
        <w:rPr>
          <w:rStyle w:val="FootnoteReference"/>
        </w:rPr>
        <w:footnoteReference w:id="1053"/>
      </w:r>
      <w:r>
        <w:rPr>
          <w:bCs/>
          <w:b/>
        </w:rPr>
        <w:t xml:space="preserve">:</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w:t>
      </w:r>
      <w:r>
        <w:rPr>
          <w:rStyle w:val="FootnoteReference"/>
        </w:rPr>
        <w:footnoteReference w:id="1054"/>
      </w:r>
      <w:r>
        <w:t xml:space="preserve">.</w:t>
      </w:r>
    </w:p>
    <w:p>
      <w:pPr>
        <w:numPr>
          <w:ilvl w:val="0"/>
          <w:numId w:val="1127"/>
        </w:numPr>
        <w:pStyle w:val="Compact"/>
      </w:pPr>
      <w:r>
        <w:rPr>
          <w:bCs/>
          <w:b/>
        </w:rPr>
        <w:t xml:space="preserve">Sepsis:</w:t>
      </w:r>
      <w:r>
        <w:t xml:space="preserve"> </w:t>
      </w:r>
      <w:r>
        <w:t xml:space="preserve">eine kleinere Studie zur Erholung der Immunfunktion bei 60 Personen</w:t>
      </w:r>
      <w:r>
        <w:rPr>
          <w:rStyle w:val="FootnoteReference"/>
        </w:rPr>
        <w:footnoteReference w:id="1055"/>
      </w:r>
      <w:r>
        <w:t xml:space="preserve">.</w:t>
      </w:r>
    </w:p>
    <w:p>
      <w:pPr>
        <w:numPr>
          <w:ilvl w:val="0"/>
          <w:numId w:val="1127"/>
        </w:numPr>
        <w:pStyle w:val="Compact"/>
      </w:pPr>
      <w:r>
        <w:rPr>
          <w:bCs/>
          <w:b/>
        </w:rPr>
        <w:t xml:space="preserve">Impfantwort bei Älteren</w:t>
      </w:r>
      <w:r>
        <w:rPr>
          <w:rStyle w:val="FootnoteReference"/>
        </w:rPr>
        <w:footnoteReference w:id="1056"/>
      </w:r>
      <w:r>
        <w:rPr>
          <w:bCs/>
          <w:b/>
        </w:rPr>
        <w:t xml:space="preserve">:</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1057"/>
    <w:bookmarkStart w:id="1061"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w:t>
      </w:r>
      <w:r>
        <w:rPr>
          <w:rStyle w:val="FootnoteReference"/>
        </w:rPr>
        <w:footnoteReference w:id="1058"/>
      </w:r>
      <w:r>
        <w:t xml:space="preserve">, schwerer Bauchspeicheldrüsenentzündung</w:t>
      </w:r>
      <w:r>
        <w:rPr>
          <w:rStyle w:val="FootnoteReference"/>
        </w:rPr>
        <w:footnoteReference w:id="1059"/>
      </w:r>
      <w:r>
        <w:t xml:space="preserve"> </w:t>
      </w:r>
      <w:r>
        <w:t xml:space="preserve">und Hepatitis-B-Zirrhose</w:t>
      </w:r>
      <w:r>
        <w:rPr>
          <w:rStyle w:val="FootnoteReference"/>
        </w:rPr>
        <w:footnoteReference w:id="1060"/>
      </w:r>
      <w:r>
        <w:t xml:space="preserve"> </w:t>
      </w:r>
      <w:r>
        <w:t xml:space="preserve">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1061"/>
    <w:bookmarkEnd w:id="1062"/>
    <w:bookmarkStart w:id="1085"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1064"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w:t>
      </w:r>
      <w:r>
        <w:rPr>
          <w:rStyle w:val="FootnoteReference"/>
        </w:rPr>
        <w:footnoteReference w:id="1063"/>
      </w:r>
      <w:r>
        <w:t xml:space="preserve">.</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w:t>
      </w:r>
    </w:p>
    <w:p>
      <w:pPr>
        <w:numPr>
          <w:ilvl w:val="0"/>
          <w:numId w:val="1128"/>
        </w:numPr>
        <w:pStyle w:val="Compact"/>
      </w:pPr>
      <w:r>
        <w:rPr>
          <w:bCs/>
          <w:b/>
        </w:rPr>
        <w:t xml:space="preserve">Evidenzstufe: D</w:t>
      </w:r>
      <w:r>
        <w:t xml:space="preserve"> </w:t>
      </w:r>
      <w:r>
        <w:t xml:space="preserve">– keine veröffentlichte Studie am Menschen.</w:t>
      </w:r>
    </w:p>
    <w:bookmarkEnd w:id="1064"/>
    <w:bookmarkStart w:id="1069"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w:t>
      </w:r>
      <w:r>
        <w:rPr>
          <w:rStyle w:val="FootnoteReference"/>
        </w:rPr>
        <w:footnoteReference w:id="1065"/>
      </w:r>
      <w:r>
        <w:t xml:space="preserve">.</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w:t>
      </w:r>
      <w:r>
        <w:rPr>
          <w:rStyle w:val="FootnoteReference"/>
        </w:rPr>
        <w:footnoteReference w:id="1066"/>
      </w:r>
      <w:r>
        <w:t xml:space="preserve">.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w:t>
      </w:r>
      <w:r>
        <w:rPr>
          <w:rStyle w:val="FootnoteReference"/>
        </w:rPr>
        <w:footnoteReference w:id="1067"/>
      </w:r>
      <w:r>
        <w:t xml:space="preserve">. Daraus entstand die Idee, KPV als Tablette gegen Darmentzündungen einzusetzen.</w:t>
      </w:r>
    </w:p>
    <w:p>
      <w:pPr>
        <w:pStyle w:val="BodyText"/>
      </w:pPr>
      <w:r>
        <w:t xml:space="preserve">Zusätzlich hemmten Alpha-MSH und KPV im Labor das Wachstum des Bakteriums Staphylococcus aureus und des Hefepilzes Candida albicans</w:t>
      </w:r>
      <w:r>
        <w:rPr>
          <w:rStyle w:val="FootnoteReference"/>
        </w:rPr>
        <w:footnoteReference w:id="1068"/>
      </w:r>
      <w:r>
        <w:t xml:space="preserve">.</w:t>
      </w:r>
    </w:p>
    <w:bookmarkEnd w:id="1069"/>
    <w:bookmarkStart w:id="1074"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w:t>
      </w:r>
      <w:r>
        <w:rPr>
          <w:rStyle w:val="FootnoteReference"/>
        </w:rPr>
        <w:footnoteReference w:id="1070"/>
      </w:r>
      <w:r>
        <w:t xml:space="preserve">,</w:t>
      </w:r>
    </w:p>
    <w:p>
      <w:pPr>
        <w:numPr>
          <w:ilvl w:val="0"/>
          <w:numId w:val="1129"/>
        </w:numPr>
        <w:pStyle w:val="Compact"/>
      </w:pPr>
      <w:r>
        <w:t xml:space="preserve">menschliche Hautzelllinien</w:t>
      </w:r>
      <w:r>
        <w:rPr>
          <w:rStyle w:val="FootnoteReference"/>
        </w:rPr>
        <w:footnoteReference w:id="1071"/>
      </w:r>
      <w:r>
        <w:t xml:space="preserve">,</w:t>
      </w:r>
    </w:p>
    <w:p>
      <w:pPr>
        <w:numPr>
          <w:ilvl w:val="0"/>
          <w:numId w:val="1129"/>
        </w:numPr>
        <w:pStyle w:val="Compact"/>
      </w:pPr>
      <w:r>
        <w:t xml:space="preserve">gespendete menschliche Haut, an der getestet wurde, ob KPV mit Mikronadeln und schwachem Strom durch die Haut gelangt – ohne Hilfsmittel drang es nicht messbar ein</w:t>
      </w:r>
      <w:r>
        <w:rPr>
          <w:rStyle w:val="FootnoteReference"/>
        </w:rPr>
        <w:footnoteReference w:id="1072"/>
      </w:r>
      <w:r>
        <w:t xml:space="preserve">.</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w:t>
      </w:r>
      <w:r>
        <w:rPr>
          <w:rStyle w:val="FootnoteReference"/>
        </w:rPr>
        <w:footnoteReference w:id="1073"/>
      </w:r>
      <w:r>
        <w:t xml:space="preserve">. Ergebnisse dieser Studien sind in PubMed nicht veröffentlicht. (CKPV)2 ist zudem ein anderer Stoff als das im Internet verkaufte KPV.</w:t>
      </w:r>
    </w:p>
    <w:bookmarkEnd w:id="1074"/>
    <w:bookmarkStart w:id="1075"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1075"/>
    <w:bookmarkStart w:id="1080" w:name="risiken-und-nebenwirkungen-18"/>
    <w:p>
      <w:pPr>
        <w:pStyle w:val="Heading3"/>
      </w:pPr>
      <w:r>
        <w:t xml:space="preserve">Risiken und Nebenwirkungen</w:t>
      </w:r>
    </w:p>
    <w:bookmarkStart w:id="1076"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1076"/>
    <w:bookmarkStart w:id="1079"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w:t>
      </w:r>
      <w:r>
        <w:rPr>
          <w:rStyle w:val="FootnoteReference"/>
        </w:rPr>
        <w:footnoteReference w:id="1077"/>
      </w:r>
      <w:r>
        <w:t xml:space="preserve">,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w:t>
      </w:r>
      <w:r>
        <w:rPr>
          <w:rStyle w:val="FootnoteReference"/>
        </w:rPr>
        <w:footnoteReference w:id="1078"/>
      </w:r>
      <w:r>
        <w:t xml:space="preserve">.</w:t>
      </w:r>
    </w:p>
    <w:bookmarkEnd w:id="1079"/>
    <w:bookmarkEnd w:id="1080"/>
    <w:bookmarkStart w:id="1081"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1081"/>
    <w:bookmarkStart w:id="1082"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1082"/>
    <w:bookmarkStart w:id="1084"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w:t>
      </w:r>
      <w:r>
        <w:rPr>
          <w:rStyle w:val="FootnoteReference"/>
        </w:rPr>
        <w:footnoteReference w:id="1083"/>
      </w:r>
      <w:r>
        <w:t xml:space="preserve">.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1084"/>
    <w:bookmarkEnd w:id="1085"/>
    <w:bookmarkStart w:id="1120"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1087"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w:t>
      </w:r>
      <w:r>
        <w:rPr>
          <w:rStyle w:val="FootnoteReference"/>
        </w:rPr>
        <w:footnoteReference w:id="1086"/>
      </w:r>
      <w:r>
        <w:t xml:space="preserve">.</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1087"/>
    <w:bookmarkStart w:id="1092"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w:t>
      </w:r>
      <w:r>
        <w:rPr>
          <w:rStyle w:val="FootnoteReference"/>
        </w:rPr>
        <w:footnoteReference w:id="1088"/>
      </w:r>
      <w:r>
        <w:t xml:space="preserve">.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w:t>
      </w:r>
      <w:r>
        <w:rPr>
          <w:rStyle w:val="FootnoteReference"/>
        </w:rPr>
        <w:footnoteReference w:id="1089"/>
      </w:r>
      <w:r>
        <w:t xml:space="preserve">. Bei zwei Dritteln der untersuchten Menschen mit mittelschwerer bis schwerer Psoriasis fanden sich T-Zellen, die gegen LL-37 selbst gerichtet waren</w:t>
      </w:r>
      <w:r>
        <w:rPr>
          <w:rStyle w:val="FootnoteReference"/>
        </w:rPr>
        <w:footnoteReference w:id="1090"/>
      </w:r>
      <w:r>
        <w:t xml:space="preserve">. Bei Rosazea bilden Betroffene ungewöhnlich viel LL-37 in der Gesichtshaut, und bei Mäusen löste das Einspritzen dieser Peptide Hautentzündungen aus</w:t>
      </w:r>
      <w:r>
        <w:rPr>
          <w:rStyle w:val="FootnoteReference"/>
        </w:rPr>
        <w:footnoteReference w:id="1091"/>
      </w:r>
      <w:r>
        <w:t xml:space="preserve">.</w:t>
      </w:r>
    </w:p>
    <w:bookmarkEnd w:id="1092"/>
    <w:bookmarkStart w:id="1104"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1097"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w:t>
      </w:r>
      <w:r>
        <w:rPr>
          <w:rStyle w:val="FootnoteReference"/>
        </w:rPr>
        <w:footnoteReference w:id="1093"/>
      </w:r>
      <w:r>
        <w:t xml:space="preserve">.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w:t>
      </w:r>
      <w:r>
        <w:rPr>
          <w:rStyle w:val="FootnoteReference"/>
        </w:rPr>
        <w:footnoteReference w:id="1094"/>
      </w:r>
      <w:r>
        <w:t xml:space="preserve">.</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w:t>
      </w:r>
      <w:r>
        <w:rPr>
          <w:rStyle w:val="FootnoteReference"/>
        </w:rPr>
        <w:footnoteReference w:id="1095"/>
      </w:r>
      <w:r>
        <w:t xml:space="preserve">.</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w:t>
      </w:r>
      <w:r>
        <w:rPr>
          <w:rStyle w:val="FootnoteReference"/>
        </w:rPr>
        <w:footnoteReference w:id="1096"/>
      </w:r>
      <w:r>
        <w:t xml:space="preserve">.</w:t>
      </w:r>
    </w:p>
    <w:bookmarkEnd w:id="1097"/>
    <w:bookmarkStart w:id="1101"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w:t>
      </w:r>
      <w:r>
        <w:rPr>
          <w:rStyle w:val="FootnoteReference"/>
        </w:rPr>
        <w:footnoteReference w:id="1098"/>
      </w:r>
      <w:r>
        <w:t xml:space="preserve">.</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w:t>
      </w:r>
      <w:r>
        <w:rPr>
          <w:rStyle w:val="FootnoteReference"/>
        </w:rPr>
        <w:footnoteReference w:id="1099"/>
      </w:r>
      <w:r>
        <w:t xml:space="preserve">.</w:t>
      </w:r>
    </w:p>
    <w:p>
      <w:pPr>
        <w:numPr>
          <w:ilvl w:val="0"/>
          <w:numId w:val="1133"/>
        </w:numPr>
        <w:pStyle w:val="Compact"/>
      </w:pPr>
      <w:r>
        <w:t xml:space="preserve">Bei 30 Intensivpatientinnen und -patienten mit Sepsis stiegen die LL-37-Spiegel nach hochdosiertem Vitamin D an</w:t>
      </w:r>
      <w:r>
        <w:rPr>
          <w:rStyle w:val="FootnoteReference"/>
        </w:rPr>
        <w:footnoteReference w:id="1100"/>
      </w:r>
      <w:r>
        <w:t xml:space="preserve">.</w:t>
      </w:r>
    </w:p>
    <w:bookmarkEnd w:id="1101"/>
    <w:bookmarkStart w:id="1103"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w:t>
      </w:r>
      <w:r>
        <w:rPr>
          <w:rStyle w:val="FootnoteReference"/>
        </w:rPr>
        <w:footnoteReference w:id="1102"/>
      </w:r>
      <w:r>
        <w:t xml:space="preserve">. Das ist eine Aussage über diese Kombination, nicht über LL-37 als Peptid. Vitamin D selbst ist kein Peptid und wird in diesem Buch nicht eigens behandelt.</w:t>
      </w:r>
    </w:p>
    <w:bookmarkEnd w:id="1103"/>
    <w:bookmarkEnd w:id="1104"/>
    <w:bookmarkStart w:id="1107"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rPr>
          <w:rStyle w:val="FootnoteReference"/>
        </w:rPr>
        <w:footnoteReference w:id="1105"/>
      </w:r>
      <w:r>
        <w:t xml:space="preserve">. Dieselbe Substanz kann also je nach Gewebe gegensätzlich wirken.</w:t>
      </w:r>
    </w:p>
    <w:p>
      <w:pPr>
        <w:pStyle w:val="BodyText"/>
      </w:pPr>
      <w:r>
        <w:t xml:space="preserve">Für die Übertragbarkeit ist wichtig: Mäuse besitzen ein eigenes Cathelicidin, das dem menschlichen LL-37 nur ähnelt, und regulieren es anders</w:t>
      </w:r>
      <w:r>
        <w:rPr>
          <w:rStyle w:val="FootnoteReference"/>
        </w:rPr>
        <w:footnoteReference w:id="1106"/>
      </w:r>
      <w:r>
        <w:t xml:space="preserve">. Mausbefunde zu LL-37 sind deshalb noch vorsichtiger zu bewerten als bei anderen Peptiden.</w:t>
      </w:r>
    </w:p>
    <w:bookmarkEnd w:id="1107"/>
    <w:bookmarkStart w:id="1115" w:name="risiken-und-nebenwirkungen-19"/>
    <w:p>
      <w:pPr>
        <w:pStyle w:val="Heading3"/>
      </w:pPr>
      <w:r>
        <w:t xml:space="preserve">Risiken und Nebenwirkungen</w:t>
      </w:r>
    </w:p>
    <w:bookmarkStart w:id="1110"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w:t>
      </w:r>
      <w:r>
        <w:rPr>
          <w:rStyle w:val="FootnoteReference"/>
        </w:rPr>
        <w:footnoteReference w:id="1108"/>
      </w:r>
      <w:r>
        <w:t xml:space="preserve">.</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w:t>
      </w:r>
      <w:r>
        <w:rPr>
          <w:rStyle w:val="FootnoteReference"/>
        </w:rPr>
        <w:footnoteReference w:id="1109"/>
      </w:r>
      <w:r>
        <w:t xml:space="preserve">.</w:t>
      </w:r>
    </w:p>
    <w:bookmarkEnd w:id="1110"/>
    <w:bookmarkStart w:id="1114"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w:t>
      </w:r>
      <w:r>
        <w:rPr>
          <w:rStyle w:val="FootnoteReference"/>
        </w:rPr>
        <w:footnoteReference w:id="1111"/>
      </w:r>
      <w:r>
        <w:t xml:space="preserve"> </w:t>
      </w:r>
      <w:r>
        <w:t xml:space="preserve">und bei Rosazea an der Hautentzündung beteiligt</w:t>
      </w:r>
      <w:r>
        <w:rPr>
          <w:rStyle w:val="FootnoteReference"/>
        </w:rPr>
        <w:footnoteReference w:id="1112"/>
      </w:r>
      <w:r>
        <w:t xml:space="preserve">.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w:t>
      </w:r>
      <w:r>
        <w:rPr>
          <w:rStyle w:val="FootnoteReference"/>
        </w:rPr>
        <w:footnoteReference w:id="1113"/>
      </w:r>
      <w:r>
        <w:t xml:space="preserve">,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1114"/>
    <w:bookmarkEnd w:id="1115"/>
    <w:bookmarkStart w:id="1116"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1116"/>
    <w:bookmarkStart w:id="1117"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1117"/>
    <w:bookmarkStart w:id="1119"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w:t>
      </w:r>
      <w:r>
        <w:rPr>
          <w:rStyle w:val="FootnoteReference"/>
        </w:rPr>
        <w:footnoteReference w:id="1118"/>
      </w:r>
      <w:r>
        <w:t xml:space="preserve">.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1119"/>
    <w:bookmarkEnd w:id="1120"/>
    <w:bookmarkStart w:id="1153"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1123"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w:t>
      </w:r>
      <w:r>
        <w:rPr>
          <w:rStyle w:val="FootnoteReference"/>
        </w:rPr>
        <w:footnoteReference w:id="1121"/>
      </w:r>
      <w:r>
        <w:t xml:space="preserve">;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w:t>
      </w:r>
      <w:r>
        <w:rPr>
          <w:rStyle w:val="FootnoteReference"/>
        </w:rPr>
        <w:footnoteReference w:id="1122"/>
      </w:r>
      <w:r>
        <w:t xml:space="preserve">.</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1123"/>
    <w:bookmarkStart w:id="1126"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w:t>
      </w:r>
      <w:r>
        <w:rPr>
          <w:rStyle w:val="FootnoteReference"/>
        </w:rPr>
        <w:footnoteReference w:id="1124"/>
      </w:r>
      <w:r>
        <w:t xml:space="preserve">.</w:t>
      </w:r>
    </w:p>
    <w:p>
      <w:pPr>
        <w:pStyle w:val="BodyText"/>
      </w:pPr>
      <w:r>
        <w:t xml:space="preserve">ARA-290 wird im Blut rasch abgebaut; ein Anti-Doping-Labor beschrieb einen ausgeprägten Abbau durch Enzyme mit einem Hauptabbauprodukt</w:t>
      </w:r>
      <w:r>
        <w:rPr>
          <w:rStyle w:val="FootnoteReference"/>
        </w:rPr>
        <w:footnoteReference w:id="1125"/>
      </w:r>
      <w:r>
        <w:t xml:space="preserve">.</w:t>
      </w:r>
    </w:p>
    <w:bookmarkEnd w:id="1126"/>
    <w:bookmarkStart w:id="1135"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placebokontrollierte Studie</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1130"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w:t>
      </w:r>
      <w:r>
        <w:rPr>
          <w:rStyle w:val="FootnoteReference"/>
        </w:rPr>
        <w:footnoteReference w:id="1127"/>
      </w:r>
      <w:r>
        <w:t xml:space="preserve">.</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w:t>
      </w:r>
      <w:r>
        <w:rPr>
          <w:rStyle w:val="FootnoteReference"/>
        </w:rPr>
        <w:footnoteReference w:id="1128"/>
      </w:r>
      <w:r>
        <w:t xml:space="preserve">.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w:t>
      </w:r>
      <w:r>
        <w:rPr>
          <w:rStyle w:val="FootnoteReference"/>
        </w:rPr>
        <w:footnoteReference w:id="1129"/>
      </w:r>
      <w:r>
        <w:t xml:space="preserve">. Dabei ist zu beachten, dass ein großer Teil der Studien von der Entwicklerfirma und eng mit ihr verbundenen Forschenden stammt.</w:t>
      </w:r>
    </w:p>
    <w:bookmarkEnd w:id="1130"/>
    <w:bookmarkStart w:id="1134"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w:t>
      </w:r>
      <w:r>
        <w:rPr>
          <w:rStyle w:val="FootnoteReference"/>
        </w:rPr>
        <w:footnoteReference w:id="1131"/>
      </w:r>
      <w:r>
        <w:t xml:space="preserve">. Die Teilnehmerzahl ist im Abstract nicht angegeben; die Studie war kurz. Eine separat registrierte schwedische Studie zur Blutzuckerwirkung bei Prädiabetes mit geplant 24 Personen hat einen unbekannten Status</w:t>
      </w:r>
      <w:r>
        <w:rPr>
          <w:rStyle w:val="FootnoteReference"/>
        </w:rPr>
        <w:footnoteReference w:id="1132"/>
      </w:r>
      <w:r>
        <w:t xml:space="preserve">. Bei neun Personen mit diabetischem Makulaödem – einer Schwellung der Netzhautmitte – verbesserten sich Sehschärfe und Netzhautdicke nicht</w:t>
      </w:r>
      <w:r>
        <w:rPr>
          <w:rStyle w:val="FootnoteReference"/>
        </w:rPr>
        <w:footnoteReference w:id="1133"/>
      </w:r>
      <w:r>
        <w:t xml:space="preserve">.</w:t>
      </w:r>
    </w:p>
    <w:bookmarkEnd w:id="1134"/>
    <w:bookmarkEnd w:id="1135"/>
    <w:bookmarkStart w:id="1141"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w:t>
      </w:r>
      <w:r>
        <w:rPr>
          <w:rStyle w:val="FootnoteReference"/>
        </w:rPr>
        <w:footnoteReference w:id="1136"/>
      </w:r>
      <w:r>
        <w:t xml:space="preserve">, Nierenschäden nach Durchblutungsstörung bei Schweinen</w:t>
      </w:r>
      <w:r>
        <w:rPr>
          <w:rStyle w:val="FootnoteReference"/>
        </w:rPr>
        <w:footnoteReference w:id="1137"/>
      </w:r>
      <w:r>
        <w:t xml:space="preserve">, Diabetes bei Ratten</w:t>
      </w:r>
      <w:r>
        <w:rPr>
          <w:rStyle w:val="FootnoteReference"/>
        </w:rPr>
        <w:footnoteReference w:id="1138"/>
      </w:r>
      <w:r>
        <w:t xml:space="preserve"> </w:t>
      </w:r>
      <w:r>
        <w:t xml:space="preserve">und Alzheimer-ähnlichen Veränderungen</w:t>
      </w:r>
      <w:r>
        <w:rPr>
          <w:rStyle w:val="FootnoteReference"/>
        </w:rPr>
        <w:footnoteReference w:id="1139"/>
      </w:r>
      <w:r>
        <w:t xml:space="preserve"> </w:t>
      </w:r>
      <w:r>
        <w:t xml:space="preserve">beschrieben. In einer Langzeitstudie an alternden Ratten über 15 Monate verringerte ARA-290 Entzündungszeichen im Herzen und milderte altersbedingte Verschlechterungen der Herzfunktion</w:t>
      </w:r>
      <w:r>
        <w:rPr>
          <w:rStyle w:val="FootnoteReference"/>
        </w:rPr>
        <w:footnoteReference w:id="1140"/>
      </w:r>
      <w:r>
        <w:t xml:space="preserve"> </w:t>
      </w:r>
      <w:r>
        <w:t xml:space="preserve">– auf diese Arbeit stützt sich die Vermarktung als „Anti-Aging-Peptid“. Alle diese Ergebnisse stammen aus Tierversuchen.</w:t>
      </w:r>
    </w:p>
    <w:bookmarkEnd w:id="1141"/>
    <w:bookmarkStart w:id="1146" w:name="risiken-und-nebenwirkungen-20"/>
    <w:p>
      <w:pPr>
        <w:pStyle w:val="Heading3"/>
      </w:pPr>
      <w:r>
        <w:t xml:space="preserve">Risiken und Nebenwirkungen</w:t>
      </w:r>
    </w:p>
    <w:bookmarkStart w:id="1144" w:name="belegt-4"/>
    <w:p>
      <w:pPr>
        <w:pStyle w:val="Heading4"/>
      </w:pPr>
      <w:r>
        <w:t xml:space="preserve">Belegt</w:t>
      </w:r>
    </w:p>
    <w:p>
      <w:pPr>
        <w:pStyle w:val="FirstParagraph"/>
      </w:pPr>
      <w:r>
        <w:t xml:space="preserve">In allen veröffentlichten Studien wurden keine Sicherheitsprobleme berichtet</w:t>
      </w:r>
      <w:r>
        <w:rPr>
          <w:rStyle w:val="FootnoteReference"/>
        </w:rPr>
        <w:footnoteReference w:id="1142"/>
      </w:r>
      <w:r>
        <w:t xml:space="preserve">. In der Makulaödem-Studie über zwölf Wochen traten keine schweren Nebenwirkungen und keine Antikörper gegen ARA-290 auf</w:t>
      </w:r>
      <w:r>
        <w:rPr>
          <w:rStyle w:val="FootnoteReference"/>
        </w:rPr>
        <w:footnoteReference w:id="1143"/>
      </w:r>
      <w:r>
        <w:t xml:space="preserve">. Die Datenbasis ist mit insgesamt deutlich weniger als 200 behandelten Personen und Behandlungszeiten von höchstens zwölf Wochen aber klein.</w:t>
      </w:r>
    </w:p>
    <w:bookmarkEnd w:id="1144"/>
    <w:bookmarkStart w:id="1145"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1145"/>
    <w:bookmarkEnd w:id="1146"/>
    <w:bookmarkStart w:id="1147"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1147"/>
    <w:bookmarkStart w:id="1150"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w:t>
      </w:r>
      <w:r>
        <w:rPr>
          <w:rStyle w:val="FootnoteReference"/>
        </w:rPr>
        <w:footnoteReference w:id="1148"/>
      </w:r>
      <w:r>
        <w:t xml:space="preserve"> </w:t>
      </w:r>
      <w:r>
        <w:t xml:space="preserve">wurde 2015 abgeschlossen; seither ist keine Phase-3-Studie begonnen worden. Die Studie zum Makulaödem wurde mit neun Personen beendet</w:t>
      </w:r>
      <w:r>
        <w:rPr>
          <w:rStyle w:val="FootnoteReference"/>
        </w:rPr>
        <w:footnoteReference w:id="1149"/>
      </w:r>
      <w:r>
        <w:t xml:space="preserve">.</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1150"/>
    <w:bookmarkStart w:id="1152"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w:t>
      </w:r>
      <w:r>
        <w:rPr>
          <w:rStyle w:val="FootnoteReference"/>
        </w:rPr>
        <w:footnoteReference w:id="1151"/>
      </w:r>
      <w:r>
        <w:t xml:space="preserve">. Die Verträglichkeit war in den kurzen Studien gut, Langzeitdaten fehlen. Seit 2015 gibt es keine neuen registrierten Studien; im Sport ist ARA-290 verboten.</w:t>
      </w:r>
    </w:p>
    <w:bookmarkEnd w:id="1152"/>
    <w:bookmarkEnd w:id="1153"/>
    <w:bookmarkStart w:id="1191"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1155"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w:t>
      </w:r>
      <w:r>
        <w:rPr>
          <w:rStyle w:val="FootnoteReference"/>
        </w:rPr>
        <w:footnoteReference w:id="1154"/>
      </w:r>
      <w:r>
        <w:t xml:space="preserve">,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1155"/>
    <w:bookmarkStart w:id="1158"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w:t>
      </w:r>
      <w:r>
        <w:rPr>
          <w:rStyle w:val="FootnoteReference"/>
        </w:rPr>
        <w:footnoteReference w:id="1156"/>
      </w:r>
      <w:r>
        <w:t xml:space="preserve">. Neuere Arbeiten vermuten zusätzlich eine Hemmung des Enzyms Myosin-Leichtketten-Kinase, das die Zellverbindungen unter Spannung setzt</w:t>
      </w:r>
      <w:r>
        <w:rPr>
          <w:rStyle w:val="FootnoteReference"/>
        </w:rPr>
        <w:footnoteReference w:id="1157"/>
      </w:r>
      <w:r>
        <w:t xml:space="preserve">.</w:t>
      </w:r>
    </w:p>
    <w:p>
      <w:pPr>
        <w:pStyle w:val="BodyText"/>
      </w:pPr>
      <w:r>
        <w:t xml:space="preserve">Larazotid war nie als Ersatz für die glutenfreie Ernährung gedacht. Ziel war ein Zusatzmittel für Betroffene, die trotz Diät Beschwerden haben – etwa durch unbemerkte Spuren von Gluten.</w:t>
      </w:r>
    </w:p>
    <w:bookmarkEnd w:id="1158"/>
    <w:bookmarkStart w:id="1174"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w:t>
      </w:r>
      <w:r>
        <w:rPr>
          <w:rStyle w:val="FootnoteReference"/>
        </w:rPr>
        <w:footnoteReference w:id="115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1164"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w:t>
      </w:r>
      <w:r>
        <w:rPr>
          <w:rStyle w:val="FootnoteReference"/>
        </w:rPr>
        <w:footnoteReference w:id="1160"/>
      </w:r>
      <w:r>
        <w:t xml:space="preserve">.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w:t>
      </w:r>
      <w:r>
        <w:rPr>
          <w:rStyle w:val="FootnoteReference"/>
        </w:rPr>
        <w:footnoteReference w:id="1161"/>
      </w:r>
      <w:r>
        <w:t xml:space="preserve">.</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w:t>
      </w:r>
      <w:r>
        <w:rPr>
          <w:rStyle w:val="FootnoteReference"/>
        </w:rPr>
        <w:footnoteReference w:id="1162"/>
      </w:r>
      <w:r>
        <w:t xml:space="preserve">.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w:t>
      </w:r>
      <w:r>
        <w:rPr>
          <w:rStyle w:val="FootnoteReference"/>
        </w:rPr>
        <w:footnoteReference w:id="1163"/>
      </w:r>
      <w:r>
        <w:t xml:space="preserve">.</w:t>
      </w:r>
    </w:p>
    <w:bookmarkEnd w:id="1164"/>
    <w:bookmarkStart w:id="1168"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w:t>
      </w:r>
      <w:r>
        <w:rPr>
          <w:rStyle w:val="FootnoteReference"/>
        </w:rPr>
        <w:footnoteReference w:id="1165"/>
      </w:r>
      <w:r>
        <w:t xml:space="preserve">.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w:t>
      </w:r>
      <w:r>
        <w:rPr>
          <w:rStyle w:val="FootnoteReference"/>
        </w:rPr>
        <w:footnoteReference w:id="1166"/>
      </w:r>
      <w:r>
        <w:t xml:space="preserve"> </w:t>
      </w:r>
      <w:r>
        <w:t xml:space="preserve">und keine Behandlung als wirksame Alternative zur glutenfreien Ernährung belegt ist</w:t>
      </w:r>
      <w:r>
        <w:rPr>
          <w:rStyle w:val="FootnoteReference"/>
        </w:rPr>
        <w:footnoteReference w:id="1167"/>
      </w:r>
      <w:r>
        <w:t xml:space="preserve">.</w:t>
      </w:r>
    </w:p>
    <w:bookmarkEnd w:id="1168"/>
    <w:bookmarkStart w:id="1173" w:name="X0f7fd7312fc083d9900445ba1f4f4ccf9445b6c"/>
    <w:p>
      <w:pPr>
        <w:pStyle w:val="Heading4"/>
      </w:pPr>
      <w:r>
        <w:t xml:space="preserve">Neue Anwendung: Entzündungssyndrom nach COVID-19</w:t>
      </w:r>
    </w:p>
    <w:p>
      <w:pPr>
        <w:pStyle w:val="FirstParagraph"/>
      </w:pPr>
      <w:r>
        <w:t xml:space="preserve">Eine Forschungsgruppe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w:t>
      </w:r>
      <w:r>
        <w:rPr>
          <w:rStyle w:val="FootnoteReference"/>
        </w:rPr>
        <w:footnoteReference w:id="1169"/>
      </w:r>
      <w:r>
        <w:t xml:space="preserve">. Eine randomisierte Phase-2a-Studie mit nur 12 Kindern bestätigte schnellere Besserungen der Beschwerden; Nebenwirkungen durch Larazotid wurden nicht beobachtet</w:t>
      </w:r>
      <w:r>
        <w:rPr>
          <w:rStyle w:val="FootnoteReference"/>
        </w:rPr>
        <w:footnoteReference w:id="1170"/>
      </w:r>
      <w:r>
        <w:t xml:space="preserve">. Die Studie wurde wegen sinkender Fallzahlen abgebrochen</w:t>
      </w:r>
      <w:r>
        <w:rPr>
          <w:rStyle w:val="FootnoteReference"/>
        </w:rPr>
        <w:footnoteReference w:id="1171"/>
      </w:r>
      <w:r>
        <w:t xml:space="preserve">. Eine Studie bei Long COVID mit 107 Kindern und Erwachsenen ist laut Register seit Juni 2026 abgeschlossen</w:t>
      </w:r>
      <w:r>
        <w:rPr>
          <w:rStyle w:val="FootnoteReference"/>
        </w:rPr>
        <w:footnoteReference w:id="1172"/>
      </w:r>
      <w:r>
        <w:t xml:space="preserve">; Ergebnisse waren im Oktober 2026 nicht veröffentlicht.</w:t>
      </w:r>
    </w:p>
    <w:bookmarkEnd w:id="1173"/>
    <w:bookmarkEnd w:id="1174"/>
    <w:bookmarkStart w:id="1178"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w:t>
      </w:r>
      <w:r>
        <w:rPr>
          <w:rStyle w:val="FootnoteReference"/>
        </w:rPr>
        <w:footnoteReference w:id="1175"/>
      </w:r>
      <w:r>
        <w:t xml:space="preserve">. Bei Schweinen förderte es die Erholung von Dünndarmgewebe nach einer Durchblutungsstörung</w:t>
      </w:r>
      <w:r>
        <w:rPr>
          <w:rStyle w:val="FootnoteReference"/>
        </w:rPr>
        <w:footnoteReference w:id="1176"/>
      </w:r>
      <w:r>
        <w:t xml:space="preserve">. Bei Ratten wurden Effekte bei akuter Bauchspeicheldrüsenentzündung und akutem Leberversagen beschrieben</w:t>
      </w:r>
      <w:r>
        <w:rPr>
          <w:rStyle w:val="FootnoteReference"/>
        </w:rPr>
        <w:footnoteReference w:id="1177"/>
      </w:r>
      <w:r>
        <w:t xml:space="preserve">. Das sind Tierversuche; Aussagen über Rheuma, Bauchspeicheldrüse oder Leber beim Menschen lassen sich daraus nicht ableiten.</w:t>
      </w:r>
    </w:p>
    <w:bookmarkEnd w:id="1178"/>
    <w:bookmarkStart w:id="1184" w:name="risiken-und-nebenwirkungen-21"/>
    <w:p>
      <w:pPr>
        <w:pStyle w:val="Heading3"/>
      </w:pPr>
      <w:r>
        <w:t xml:space="preserve">Risiken und Nebenwirkungen</w:t>
      </w:r>
    </w:p>
    <w:bookmarkStart w:id="1182"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w:t>
      </w:r>
      <w:r>
        <w:rPr>
          <w:rStyle w:val="FootnoteReference"/>
        </w:rPr>
        <w:footnoteReference w:id="1179"/>
      </w:r>
      <w:r>
        <w:t xml:space="preserve">. In der größten Phase-2-Studie war die Sicherheit mit Placebo vergleichbar</w:t>
      </w:r>
      <w:r>
        <w:rPr>
          <w:rStyle w:val="FootnoteReference"/>
        </w:rPr>
        <w:footnoteReference w:id="1180"/>
      </w:r>
      <w:r>
        <w:t xml:space="preserve">. Die Meta-Analyse fand insgesamt keine Häufung von Nebenwirkungen gegenüber Placebo</w:t>
      </w:r>
      <w:r>
        <w:rPr>
          <w:rStyle w:val="FootnoteReference"/>
        </w:rPr>
        <w:footnoteReference w:id="1181"/>
      </w:r>
      <w:r>
        <w:t xml:space="preserve">. Weil Larazotid kaum ins Blut gelangt, ist ein günstiges Sicherheitsprofil plausibel.</w:t>
      </w:r>
    </w:p>
    <w:bookmarkEnd w:id="1182"/>
    <w:bookmarkStart w:id="1183"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1183"/>
    <w:bookmarkEnd w:id="1184"/>
    <w:bookmarkStart w:id="1185"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1185"/>
    <w:bookmarkStart w:id="1188"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w:t>
      </w:r>
      <w:r>
        <w:rPr>
          <w:rStyle w:val="FootnoteReference"/>
        </w:rPr>
        <w:footnoteReference w:id="1186"/>
      </w:r>
      <w:r>
        <w:t xml:space="preserve"> </w:t>
      </w:r>
      <w:r>
        <w:t xml:space="preserve">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w:t>
      </w:r>
      <w:r>
        <w:rPr>
          <w:rStyle w:val="FootnoteReference"/>
        </w:rPr>
        <w:footnoteReference w:id="1187"/>
      </w:r>
      <w:r>
        <w:t xml:space="preserve">. Bei MIS-C und Long COVID hängt die weitere Entwicklung von den noch unveröffentlichten Ergebnissen ab.</w:t>
      </w:r>
    </w:p>
    <w:bookmarkEnd w:id="1188"/>
    <w:bookmarkStart w:id="1190"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w:t>
      </w:r>
      <w:r>
        <w:rPr>
          <w:rStyle w:val="FootnoteReference"/>
        </w:rPr>
        <w:footnoteReference w:id="1189"/>
      </w:r>
      <w:r>
        <w:t xml:space="preserve">. Die Phase-3-Studie CeDLara wurde 2022 abgebrochen, Ergebnisse wurden nicht veröffentlicht. Larazotid ist gut verträglich, aber weder zugelassen noch als wirksam belegt – und kein Ersatz für die glutenfreie Ernährung.</w:t>
      </w:r>
    </w:p>
    <w:bookmarkEnd w:id="1190"/>
    <w:bookmarkEnd w:id="1191"/>
    <w:bookmarkStart w:id="1220"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1195"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w:t>
      </w:r>
      <w:r>
        <w:rPr>
          <w:rStyle w:val="FootnoteReference"/>
        </w:rPr>
        <w:footnoteReference w:id="1192"/>
      </w:r>
      <w:r>
        <w:t xml:space="preserve">; keine einheitlich definierte Substanz. Als wichtigste Wirkbestandteile werden die Dipeptide Lys-Glu (KE) und Glu-Trp (EW) genannt</w:t>
      </w:r>
      <w:r>
        <w:rPr>
          <w:rStyle w:val="FootnoteReference"/>
        </w:rPr>
        <w:footnoteReference w:id="1193"/>
      </w:r>
      <w:r>
        <w:t xml:space="preserve">.</w:t>
      </w:r>
    </w:p>
    <w:p>
      <w:pPr>
        <w:numPr>
          <w:ilvl w:val="0"/>
          <w:numId w:val="1142"/>
        </w:numPr>
        <w:pStyle w:val="Compact"/>
      </w:pPr>
      <w:r>
        <w:rPr>
          <w:bCs/>
          <w:b/>
        </w:rPr>
        <w:t xml:space="preserve">Thymogen:</w:t>
      </w:r>
      <w:r>
        <w:t xml:space="preserve"> </w:t>
      </w:r>
      <w:r>
        <w:t xml:space="preserve">synthetisch hergestelltes Dipeptid L-Glu-L-Trp, das aus Thymalin isoliert wurde</w:t>
      </w:r>
      <w:r>
        <w:rPr>
          <w:rStyle w:val="FootnoteReference"/>
        </w:rPr>
        <w:footnoteReference w:id="1194"/>
      </w:r>
      <w:r>
        <w:t xml:space="preserve">;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1195"/>
    <w:bookmarkStart w:id="1199"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Forschenden das Dipeptid Glu-Trp und brachten es synthetisch als Thymogen auf den Markt. Es soll die Differenzierung von T-Zellen und die Erkennung von Antigenen fördern sowie Fresszellen aktivieren</w:t>
      </w:r>
      <w:r>
        <w:rPr>
          <w:rStyle w:val="FootnoteReference"/>
        </w:rPr>
        <w:footnoteReference w:id="1196"/>
      </w:r>
      <w:r>
        <w:t xml:space="preserve">.</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w:t>
      </w:r>
      <w:r>
        <w:rPr>
          <w:rStyle w:val="FootnoteReference"/>
        </w:rPr>
        <w:footnoteReference w:id="1197"/>
      </w:r>
      <w:r>
        <w:t xml:space="preserve">.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w:t>
      </w:r>
      <w:r>
        <w:rPr>
          <w:rStyle w:val="FootnoteReference"/>
        </w:rPr>
        <w:footnoteReference w:id="1198"/>
      </w:r>
      <w:r>
        <w:t xml:space="preserve">.</w:t>
      </w:r>
    </w:p>
    <w:bookmarkEnd w:id="1199"/>
    <w:bookmarkStart w:id="1208"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1201"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w:t>
      </w:r>
      <w:r>
        <w:rPr>
          <w:rStyle w:val="FootnoteReference"/>
        </w:rPr>
        <w:footnoteReference w:id="1200"/>
      </w:r>
      <w:r>
        <w:t xml:space="preserve">.</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1201"/>
    <w:bookmarkStart w:id="1204"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w:t>
      </w:r>
      <w:r>
        <w:rPr>
          <w:rStyle w:val="FootnoteReference"/>
        </w:rPr>
        <w:footnoteReference w:id="1202"/>
      </w:r>
      <w:r>
        <w:t xml:space="preserve">. Wie die Personen den Gruppen zugeteilt wurden und wie groß die Gruppen waren, geht aus dem Abstract nicht hervor. Eine weitere Arbeit berichtet über schnellere Abnahmen von Entzündungs- und Gerinnungswerten</w:t>
      </w:r>
      <w:r>
        <w:rPr>
          <w:rStyle w:val="FootnoteReference"/>
        </w:rPr>
        <w:footnoteReference w:id="1203"/>
      </w:r>
      <w:r>
        <w:t xml:space="preserve">. Nach den Erfahrungen mit Thymosin Alpha-1, bei dem frühe günstige Beobachtungsdaten sich in größeren Studien nicht bestätigten (siehe dort), sind diese Zahlen ohne randomisierte Bestätigung nicht belastbar.</w:t>
      </w:r>
    </w:p>
    <w:bookmarkEnd w:id="1204"/>
    <w:bookmarkStart w:id="1206"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w:t>
      </w:r>
      <w:r>
        <w:rPr>
          <w:rStyle w:val="FootnoteReference"/>
        </w:rPr>
        <w:footnoteReference w:id="1205"/>
      </w:r>
      <w:r>
        <w:t xml:space="preserve">. Teilnehmerzahl und Effektgrößen nennt der russische Abstract nicht.</w:t>
      </w:r>
    </w:p>
    <w:bookmarkEnd w:id="1206"/>
    <w:bookmarkStart w:id="1207"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1207"/>
    <w:bookmarkEnd w:id="1208"/>
    <w:bookmarkStart w:id="1211"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w:t>
      </w:r>
      <w:r>
        <w:rPr>
          <w:rStyle w:val="FootnoteReference"/>
        </w:rPr>
        <w:footnoteReference w:id="1209"/>
      </w:r>
      <w:r>
        <w:t xml:space="preserve">. In Zellkulturen menschlicher Blutstammzellen beeinflusste Thymalin deren Differenzierung</w:t>
      </w:r>
      <w:r>
        <w:rPr>
          <w:rStyle w:val="FootnoteReference"/>
        </w:rPr>
        <w:footnoteReference w:id="1210"/>
      </w:r>
      <w:r>
        <w:t xml:space="preserve">. Weitere Arbeiten beschreiben Effekte auf Blutgerinnung, Krebsentstehung nach Bestrahlung oder Chemikalien und Infektionen bei Nagetieren.</w:t>
      </w:r>
    </w:p>
    <w:bookmarkEnd w:id="1211"/>
    <w:bookmarkStart w:id="1212"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1212"/>
    <w:bookmarkStart w:id="1215" w:name="risiken-und-nebenwirkungen-22"/>
    <w:p>
      <w:pPr>
        <w:pStyle w:val="Heading3"/>
      </w:pPr>
      <w:r>
        <w:t xml:space="preserve">Risiken und Nebenwirkungen</w:t>
      </w:r>
    </w:p>
    <w:bookmarkStart w:id="1213"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1213"/>
    <w:bookmarkStart w:id="1214"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1214"/>
    <w:bookmarkEnd w:id="1215"/>
    <w:bookmarkStart w:id="1216"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1216"/>
    <w:bookmarkStart w:id="1217"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1217"/>
    <w:bookmarkStart w:id="1219"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w:t>
      </w:r>
      <w:r>
        <w:rPr>
          <w:rStyle w:val="FootnoteReference"/>
        </w:rPr>
        <w:footnoteReference w:id="1218"/>
      </w:r>
      <w:r>
        <w:t xml:space="preserve"> </w:t>
      </w:r>
      <w:r>
        <w:t xml:space="preserve">beruht auf einer Studie, deren Design im Abstract nicht nachvollziehbar beschrieben ist. Ein Nutzen ist nach heutigen Maßstäben nicht belegt, und die Qualität frei verkaufter Produkte ist unbekannt.</w:t>
      </w:r>
    </w:p>
    <w:bookmarkEnd w:id="1219"/>
    <w:bookmarkEnd w:id="1220"/>
    <w:bookmarkEnd w:id="1221"/>
    <w:bookmarkStart w:id="1601"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1223"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w:t>
      </w:r>
      <w:r>
        <w:rPr>
          <w:rStyle w:val="FootnoteReference"/>
        </w:rPr>
        <w:footnoteReference w:id="1222"/>
      </w:r>
      <w:r>
        <w:t xml:space="preserve">.</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1223"/>
    <w:bookmarkStart w:id="1226"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w:t>
      </w:r>
      <w:r>
        <w:rPr>
          <w:rStyle w:val="FootnoteReference"/>
        </w:rPr>
        <w:footnoteReference w:id="1224"/>
      </w:r>
      <w:r>
        <w:t xml:space="preserve">. Bei gesunden älteren Menschen sank die Fettmasse um 2,1 kg und die Magermasse stieg um 2,1 kg; zugleich traten häufiger Gewebeschwellungen, Gelenkschmerzen, Karpaltunnelsyndrom und Brustvergrößerung bei Männern auf</w:t>
      </w:r>
      <w:r>
        <w:rPr>
          <w:rStyle w:val="FootnoteReference"/>
        </w:rPr>
        <w:footnoteReference w:id="1225"/>
      </w:r>
      <w:r>
        <w:t xml:space="preserve">.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1226"/>
    <w:bookmarkStart w:id="1233"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w:t>
      </w:r>
      <w:r>
        <w:rPr>
          <w:rStyle w:val="FootnoteReference"/>
        </w:rPr>
        <w:footnoteReference w:id="1227"/>
      </w:r>
      <w:r>
        <w:t xml:space="preserve">. Genetische Analysen mit Hunderttausenden Teilnehmenden sprechen dafür, dass der Zusammenhang bei Brust- und Darmkrebs ursächlich sein könnte</w:t>
      </w:r>
      <w:r>
        <w:rPr>
          <w:rStyle w:val="FootnoteReference"/>
        </w:rPr>
        <w:footnoteReference w:id="1228"/>
      </w:r>
      <w:r>
        <w:t xml:space="preserve">.</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w:t>
      </w:r>
      <w:r>
        <w:rPr>
          <w:rStyle w:val="FootnoteReference"/>
        </w:rPr>
        <w:footnoteReference w:id="1229"/>
      </w:r>
      <w:r>
        <w:t xml:space="preserve">.</w:t>
      </w:r>
    </w:p>
    <w:p>
      <w:pPr>
        <w:numPr>
          <w:ilvl w:val="0"/>
          <w:numId w:val="1147"/>
        </w:numPr>
        <w:pStyle w:val="Compact"/>
      </w:pPr>
      <w:r>
        <w:rPr>
          <w:bCs/>
          <w:b/>
        </w:rPr>
        <w:t xml:space="preserve">Lebenslanger IGF-1-Mangel (Laron-Syndrom):</w:t>
      </w:r>
      <w:r>
        <w:t xml:space="preserve"> </w:t>
      </w:r>
      <w:r>
        <w:t xml:space="preserve">Krebs trat auffällig selten auf</w:t>
      </w:r>
      <w:r>
        <w:rPr>
          <w:rStyle w:val="FootnoteReference"/>
        </w:rPr>
        <w:footnoteReference w:id="1230"/>
      </w:r>
      <w:r>
        <w:t xml:space="preserve">.</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w:t>
      </w:r>
      <w:r>
        <w:rPr>
          <w:rStyle w:val="FootnoteReference"/>
        </w:rPr>
        <w:footnoteReference w:id="1231"/>
      </w:r>
      <w:r>
        <w:t xml:space="preserve">. Bei 8.418 behandelten Erwachsenen mit Hypophysenunterfunktion war das Krebsrisiko nicht erhöht</w:t>
      </w:r>
      <w:r>
        <w:rPr>
          <w:rStyle w:val="FootnoteReference"/>
        </w:rPr>
        <w:footnoteReference w:id="1232"/>
      </w:r>
      <w:r>
        <w:t xml:space="preserve">.</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1233"/>
    <w:bookmarkStart w:id="1234"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1234"/>
    <w:bookmarkStart w:id="1235"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w:t>
      </w:r>
    </w:p>
    <w:bookmarkEnd w:id="1235"/>
    <w:bookmarkStart w:id="1272"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1237"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w:t>
      </w:r>
      <w:r>
        <w:rPr>
          <w:rStyle w:val="FootnoteReference"/>
        </w:rPr>
        <w:footnoteReference w:id="1236"/>
      </w:r>
      <w:r>
        <w:t xml:space="preserve">.</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1237"/>
    <w:bookmarkStart w:id="1239"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w:t>
      </w:r>
      <w:r>
        <w:rPr>
          <w:rStyle w:val="FootnoteReference"/>
        </w:rPr>
        <w:footnoteReference w:id="1238"/>
      </w:r>
      <w:r>
        <w:t xml:space="preserve">. Wirksam ist es daher vor allem bei Störungen, die im Zwischenhirn liegen, nicht in der Hypophyse selbst.</w:t>
      </w:r>
    </w:p>
    <w:bookmarkEnd w:id="1239"/>
    <w:bookmarkStart w:id="1256"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1245"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w:t>
      </w:r>
      <w:r>
        <w:rPr>
          <w:rStyle w:val="FootnoteReference"/>
        </w:rPr>
        <w:footnoteReference w:id="1240"/>
      </w:r>
      <w:r>
        <w:t xml:space="preserve">.</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w:t>
      </w:r>
      <w:r>
        <w:rPr>
          <w:rStyle w:val="FootnoteReference"/>
        </w:rPr>
        <w:footnoteReference w:id="1241"/>
      </w:r>
      <w:r>
        <w:t xml:space="preserve">. In einer randomisierten Studie mit 43 Kindern wuchsen die Kinder unter niedrig dosiertem Sermorelin am langsamsten; nur unter Wachstumshormon besserte sich die Körpergröße im Verhältnis zum Knochenalter</w:t>
      </w:r>
      <w:r>
        <w:rPr>
          <w:rStyle w:val="FootnoteReference"/>
        </w:rPr>
        <w:footnoteReference w:id="1242"/>
      </w:r>
      <w:r>
        <w:t xml:space="preserve">. Eine Übersicht hielt fest, dass Sermorelin bei einem Teil der Kinder wirksam ist, aber schwächer als Wachstumshormon, und dass Daten zur Endgröße fehlen</w:t>
      </w:r>
      <w:r>
        <w:rPr>
          <w:rStyle w:val="FootnoteReference"/>
        </w:rPr>
        <w:footnoteReference w:id="1243"/>
      </w:r>
      <w:r>
        <w:t xml:space="preserve">.</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w:t>
      </w:r>
      <w:r>
        <w:rPr>
          <w:rStyle w:val="FootnoteReference"/>
        </w:rPr>
        <w:footnoteReference w:id="1244"/>
      </w:r>
      <w:r>
        <w:t xml:space="preserve">.</w:t>
      </w:r>
    </w:p>
    <w:bookmarkEnd w:id="1245"/>
    <w:bookmarkStart w:id="1250"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w:t>
      </w:r>
      <w:r>
        <w:rPr>
          <w:rStyle w:val="FootnoteReference"/>
        </w:rPr>
        <w:footnoteReference w:id="1246"/>
      </w:r>
      <w:r>
        <w:t xml:space="preserve">. Dieselbe Gruppe beschrieb Veränderungen von Immunzellen</w:t>
      </w:r>
      <w:r>
        <w:rPr>
          <w:rStyle w:val="FootnoteReference"/>
        </w:rPr>
        <w:footnoteReference w:id="1247"/>
      </w:r>
      <w:r>
        <w:t xml:space="preserve">.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w:t>
      </w:r>
      <w:r>
        <w:rPr>
          <w:rStyle w:val="FootnoteReference"/>
        </w:rPr>
        <w:footnoteReference w:id="1248"/>
      </w:r>
      <w:r>
        <w:t xml:space="preserve">.</w:t>
      </w:r>
    </w:p>
    <w:p>
      <w:pPr>
        <w:pStyle w:val="FirstParagraph"/>
      </w:pPr>
      <w:r>
        <w:t xml:space="preserve">Zwei spätere Studien zu GHRH bei älteren Menschen wurden nach 5 bzw. 13 Teilnehmenden abgebrochen</w:t>
      </w:r>
      <w:r>
        <w:rPr>
          <w:rStyle w:val="FootnoteReference"/>
        </w:rPr>
        <w:footnoteReference w:id="1249"/>
      </w:r>
      <w:r>
        <w:t xml:space="preserve">.</w:t>
      </w:r>
    </w:p>
    <w:bookmarkEnd w:id="1250"/>
    <w:bookmarkStart w:id="1253"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w:t>
      </w:r>
      <w:r>
        <w:rPr>
          <w:rStyle w:val="FootnoteReference"/>
        </w:rPr>
        <w:footnoteReference w:id="1251"/>
      </w:r>
      <w:r>
        <w:t xml:space="preserve">. Nachdem das Diagnostikum in den USA nicht mehr verfügbar war, musste eine laufende Studie zu einem neuen Test (Macimorelin) ihr Design ändern</w:t>
      </w:r>
      <w:r>
        <w:rPr>
          <w:rStyle w:val="FootnoteReference"/>
        </w:rPr>
        <w:footnoteReference w:id="1252"/>
      </w:r>
      <w:r>
        <w:t xml:space="preserve">.</w:t>
      </w:r>
    </w:p>
    <w:bookmarkEnd w:id="1253"/>
    <w:bookmarkStart w:id="1255"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w:t>
      </w:r>
      <w:r>
        <w:rPr>
          <w:rStyle w:val="FootnoteReference"/>
        </w:rPr>
        <w:footnoteReference w:id="1254"/>
      </w:r>
      <w:r>
        <w:t xml:space="preserve">.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1255"/>
    <w:bookmarkEnd w:id="1256"/>
    <w:bookmarkStart w:id="1259"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w:t>
      </w:r>
      <w:r>
        <w:rPr>
          <w:rStyle w:val="FootnoteReference"/>
        </w:rPr>
        <w:footnoteReference w:id="1257"/>
      </w:r>
      <w:r>
        <w:t xml:space="preserve">. Eine rein rechnerische Arbeit, die Genaktivitätsdaten von Gliom-Patienten mit einer Arzneimitteldatenbank abglich, nannte Sermorelin als möglichen Kandidaten gegen wiederkehrende Hirntumoren</w:t>
      </w:r>
      <w:r>
        <w:rPr>
          <w:rStyle w:val="FootnoteReference"/>
        </w:rPr>
        <w:footnoteReference w:id="1258"/>
      </w:r>
      <w:r>
        <w:t xml:space="preserve">. Das ist eine Computer-Hypothese ohne Labor- oder Patientenbestätigung – und steht im auffälligen Gegensatz zur Sorge, dass eine Anregung der Wachstumsachse Tumoren eher fördern könnte.</w:t>
      </w:r>
    </w:p>
    <w:bookmarkEnd w:id="1259"/>
    <w:bookmarkStart w:id="1265"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w:t>
      </w:r>
      <w:r>
        <w:rPr>
          <w:rStyle w:val="FootnoteReference"/>
        </w:rPr>
        <w:footnoteReference w:id="1260"/>
      </w:r>
      <w:r>
        <w:t xml:space="preserve">. Antikörper gegen Sermorelin traten bei Kindern häufig auf, ohne erkennbare Folgen</w:t>
      </w:r>
      <w:r>
        <w:rPr>
          <w:rStyle w:val="FootnoteReference"/>
        </w:rPr>
        <w:footnoteReference w:id="1261"/>
      </w:r>
      <w:r>
        <w:t xml:space="preserve">. In einzelnen Studien stiegen Blutzucker, Insulin oder Blutfette vorübergehend an</w:t>
      </w:r>
      <w:r>
        <w:rPr>
          <w:rStyle w:val="FootnoteReference"/>
        </w:rPr>
        <w:footnoteReference w:id="1262"/>
      </w:r>
      <w:r>
        <w:t xml:space="preserve">.</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w:t>
      </w:r>
      <w:r>
        <w:rPr>
          <w:rStyle w:val="FootnoteReference"/>
        </w:rPr>
        <w:footnoteReference w:id="1263"/>
      </w:r>
      <w:r>
        <w:t xml:space="preserve">.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w:t>
      </w:r>
      <w:r>
        <w:rPr>
          <w:rStyle w:val="FootnoteReference"/>
        </w:rPr>
        <w:footnoteReference w:id="1264"/>
      </w:r>
      <w:r>
        <w:t xml:space="preserve">.</w:t>
      </w:r>
    </w:p>
    <w:bookmarkEnd w:id="1265"/>
    <w:bookmarkStart w:id="1269"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w:t>
      </w:r>
      <w:r>
        <w:rPr>
          <w:rStyle w:val="FootnoteReference"/>
        </w:rPr>
        <w:footnoteReference w:id="1266"/>
      </w:r>
      <w:r>
        <w:t xml:space="preserve">.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w:t>
      </w:r>
      <w:r>
        <w:rPr>
          <w:rStyle w:val="FootnoteReference"/>
        </w:rPr>
        <w:footnoteReference w:id="1267"/>
      </w:r>
      <w:r>
        <w:t xml:space="preserve">.</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w:t>
      </w:r>
      <w:r>
        <w:rPr>
          <w:rStyle w:val="FootnoteReference"/>
        </w:rPr>
        <w:footnoteReference w:id="1268"/>
      </w:r>
      <w:r>
        <w:t xml:space="preserve">.</w:t>
      </w:r>
    </w:p>
    <w:bookmarkEnd w:id="1269"/>
    <w:bookmarkStart w:id="1270"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1270"/>
    <w:bookmarkStart w:id="1271"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1271"/>
    <w:bookmarkEnd w:id="1272"/>
    <w:bookmarkStart w:id="1312"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1275"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w:t>
      </w:r>
      <w:r>
        <w:rPr>
          <w:rStyle w:val="FootnoteReference"/>
        </w:rPr>
        <w:footnoteReference w:id="1273"/>
      </w:r>
      <w:r>
        <w:t xml:space="preserve">,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w:t>
      </w:r>
      <w:r>
        <w:rPr>
          <w:rStyle w:val="FootnoteReference"/>
        </w:rPr>
        <w:footnoteReference w:id="1274"/>
      </w:r>
      <w:r>
        <w:t xml:space="preserve">.</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1275"/>
    <w:bookmarkStart w:id="1276"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1276"/>
    <w:bookmarkStart w:id="1294"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1282"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w:t>
      </w:r>
      <w:r>
        <w:rPr>
          <w:rStyle w:val="FootnoteReference"/>
        </w:rPr>
        <w:footnoteReference w:id="1277"/>
      </w:r>
      <w:r>
        <w:t xml:space="preserve">. Über 52 Wochen blieb die Abnahme des Bauchfetts bei durchgehender Behandlung bei etwa −18 %; nach dem Absetzen kehrte das Fett zurück</w:t>
      </w:r>
      <w:r>
        <w:rPr>
          <w:rStyle w:val="FootnoteReference"/>
        </w:rPr>
        <w:footnoteReference w:id="1278"/>
      </w:r>
      <w:r>
        <w:t xml:space="preserve">.</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w:t>
      </w:r>
      <w:r>
        <w:rPr>
          <w:rStyle w:val="FootnoteReference"/>
        </w:rPr>
        <w:footnoteReference w:id="1279"/>
      </w:r>
      <w:r>
        <w:t xml:space="preserve">.</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w:t>
      </w:r>
      <w:r>
        <w:rPr>
          <w:rStyle w:val="FootnoteReference"/>
        </w:rPr>
        <w:footnoteReference w:id="1280"/>
      </w:r>
      <w:r>
        <w:t xml:space="preserve">. Nicht alle profitieren gleichermaßen: Eine Folgeauswertung definierte vorab eine Abnahme des Bauchfetts um mindestens 8 % als „Ansprechen“. Bei diesen Respondern sanken die Triglyzeride deutlich stärker, und Blutzucker und HbA1c blieben weitgehend stabil; bei Nicht-Respondern stiegen Nüchternzucker und HbA1c leicht an (nachträgliche Auswertung)</w:t>
      </w:r>
      <w:r>
        <w:rPr>
          <w:rStyle w:val="FootnoteReference"/>
        </w:rPr>
        <w:footnoteReference w:id="1281"/>
      </w:r>
      <w:r>
        <w:t xml:space="preserve">.</w:t>
      </w:r>
    </w:p>
    <w:bookmarkEnd w:id="1282"/>
    <w:bookmarkStart w:id="1285"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w:t>
      </w:r>
      <w:r>
        <w:rPr>
          <w:rStyle w:val="FootnoteReference"/>
        </w:rPr>
        <w:footnoteReference w:id="1283"/>
      </w:r>
      <w:r>
        <w:t xml:space="preserve">.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w:t>
      </w:r>
      <w:r>
        <w:rPr>
          <w:rStyle w:val="FootnoteReference"/>
        </w:rPr>
        <w:footnoteReference w:id="1284"/>
      </w:r>
      <w:r>
        <w:t xml:space="preserve">. Ob das langfristig Leberzirrhose oder Leberkrebs verhindert, ist nicht untersucht.</w:t>
      </w:r>
    </w:p>
    <w:bookmarkEnd w:id="1285"/>
    <w:bookmarkStart w:id="1290"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w:t>
      </w:r>
      <w:r>
        <w:rPr>
          <w:rStyle w:val="FootnoteReference"/>
        </w:rPr>
        <w:footnoteReference w:id="1286"/>
      </w:r>
      <w:r>
        <w:t xml:space="preserve">.</w:t>
      </w:r>
    </w:p>
    <w:p>
      <w:pPr>
        <w:numPr>
          <w:ilvl w:val="0"/>
          <w:numId w:val="1152"/>
        </w:numPr>
        <w:pStyle w:val="Compact"/>
      </w:pPr>
      <w:r>
        <w:t xml:space="preserve">Bei 53 Menschen mit Typ-2-Diabetes veränderten sich über zwölf Wochen weder Insulinantwort noch HbA1c gegenüber Placebo</w:t>
      </w:r>
      <w:r>
        <w:rPr>
          <w:rStyle w:val="FootnoteReference"/>
        </w:rPr>
        <w:footnoteReference w:id="1287"/>
      </w:r>
      <w:r>
        <w:t xml:space="preserve">.</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w:t>
      </w:r>
      <w:r>
        <w:rPr>
          <w:rStyle w:val="FootnoteReference"/>
        </w:rPr>
        <w:footnoteReference w:id="1288"/>
      </w:r>
      <w:r>
        <w:t xml:space="preserve">.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w:t>
      </w:r>
      <w:r>
        <w:rPr>
          <w:rStyle w:val="FootnoteReference"/>
        </w:rPr>
        <w:footnoteReference w:id="1289"/>
      </w:r>
      <w:r>
        <w:t xml:space="preserve">.</w:t>
      </w:r>
    </w:p>
    <w:bookmarkEnd w:id="1290"/>
    <w:bookmarkStart w:id="1293"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w:t>
      </w:r>
      <w:r>
        <w:rPr>
          <w:rStyle w:val="FootnoteReference"/>
        </w:rPr>
        <w:footnoteReference w:id="1291"/>
      </w:r>
      <w:r>
        <w:t xml:space="preserve">. Die andere (fünf Studien) bestätigte die Abnahme des Leberfetts um 4,28 Prozentpunkte und nannte Gelenk- und Muskelschmerzen, Missempfindungen und Hautreaktionen an der Einstichstelle als typische Nebenwirkungen</w:t>
      </w:r>
      <w:r>
        <w:rPr>
          <w:rStyle w:val="FootnoteReference"/>
        </w:rPr>
        <w:footnoteReference w:id="129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1293"/>
    <w:bookmarkEnd w:id="1294"/>
    <w:bookmarkStart w:id="1298"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w:t>
      </w:r>
      <w:r>
        <w:rPr>
          <w:rStyle w:val="FootnoteReference"/>
        </w:rPr>
        <w:footnoteReference w:id="1295"/>
      </w:r>
      <w:r>
        <w:t xml:space="preserve">. Eine kleine Phase-2-Studie dazu am Menschen ist registriert</w:t>
      </w:r>
      <w:r>
        <w:rPr>
          <w:rStyle w:val="FootnoteReference"/>
        </w:rPr>
        <w:footnoteReference w:id="1296"/>
      </w:r>
      <w:r>
        <w:t xml:space="preserve">.</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w:t>
      </w:r>
      <w:r>
        <w:rPr>
          <w:rStyle w:val="FootnoteReference"/>
        </w:rPr>
        <w:footnoteReference w:id="1297"/>
      </w:r>
      <w:r>
        <w:t xml:space="preserve">. Das sind Befunde aus Gewebeproben von Menschen, aber keine klinischen Endpunkte.</w:t>
      </w:r>
    </w:p>
    <w:bookmarkEnd w:id="1298"/>
    <w:bookmarkStart w:id="1307"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w:t>
      </w:r>
      <w:r>
        <w:rPr>
          <w:rStyle w:val="FootnoteReference"/>
        </w:rPr>
        <w:footnoteReference w:id="1299"/>
      </w:r>
      <w:r>
        <w:t xml:space="preserve">.</w:t>
      </w:r>
    </w:p>
    <w:p>
      <w:pPr>
        <w:numPr>
          <w:ilvl w:val="0"/>
          <w:numId w:val="1153"/>
        </w:numPr>
        <w:pStyle w:val="Compact"/>
      </w:pPr>
      <w:r>
        <w:t xml:space="preserve">Typische Wachstumshormon-Effekte wie Gelenk- und Muskelschmerzen sowie Missempfindungen</w:t>
      </w:r>
      <w:r>
        <w:rPr>
          <w:rStyle w:val="FootnoteReference"/>
        </w:rPr>
        <w:footnoteReference w:id="1300"/>
      </w:r>
      <w:r>
        <w:t xml:space="preserve">.</w:t>
      </w:r>
    </w:p>
    <w:p>
      <w:pPr>
        <w:numPr>
          <w:ilvl w:val="0"/>
          <w:numId w:val="1153"/>
        </w:numPr>
        <w:pStyle w:val="Compact"/>
      </w:pPr>
      <w:r>
        <w:t xml:space="preserve">Blutzucker: In den großen Studien keine klinisch relevante Verschlechterung im Mittel, aber ein vorübergehender Anstieg des Nüchternzuckers in den ersten Wochen</w:t>
      </w:r>
      <w:r>
        <w:rPr>
          <w:rStyle w:val="FootnoteReference"/>
        </w:rPr>
        <w:footnoteReference w:id="1301"/>
      </w:r>
      <w:r>
        <w:t xml:space="preserve"> </w:t>
      </w:r>
      <w:r>
        <w:t xml:space="preserve">und ein leichter Anstieg bei Menschen, deren Bauchfett nicht ansprach</w:t>
      </w:r>
      <w:r>
        <w:rPr>
          <w:rStyle w:val="FootnoteReference"/>
        </w:rPr>
        <w:footnoteReference w:id="1302"/>
      </w:r>
      <w:r>
        <w:t xml:space="preserve">. Menschen mit Diabetes sollten ärztlich überwacht werden.</w:t>
      </w:r>
    </w:p>
    <w:p>
      <w:pPr>
        <w:numPr>
          <w:ilvl w:val="0"/>
          <w:numId w:val="1153"/>
        </w:numPr>
        <w:pStyle w:val="Compact"/>
      </w:pPr>
      <w:r>
        <w:t xml:space="preserve">Mehr Therapieabbrüche wegen Nebenwirkungen als unter Placebo</w:t>
      </w:r>
      <w:r>
        <w:rPr>
          <w:rStyle w:val="FootnoteReference"/>
        </w:rPr>
        <w:footnoteReference w:id="1303"/>
      </w:r>
      <w:r>
        <w:t xml:space="preserve">.</w:t>
      </w:r>
    </w:p>
    <w:p>
      <w:pPr>
        <w:numPr>
          <w:ilvl w:val="0"/>
          <w:numId w:val="1153"/>
        </w:numPr>
        <w:pStyle w:val="Compact"/>
      </w:pPr>
      <w:r>
        <w:t xml:space="preserve">Der Effekt ist nicht dauerhaft: Nach dem Absetzen kehrt das Bauchfett zurück</w:t>
      </w:r>
      <w:r>
        <w:rPr>
          <w:rStyle w:val="FootnoteReference"/>
        </w:rPr>
        <w:footnoteReference w:id="1304"/>
      </w:r>
      <w:r>
        <w:t xml:space="preserve">.</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w:t>
      </w:r>
      <w:r>
        <w:rPr>
          <w:rStyle w:val="FootnoteReference"/>
        </w:rPr>
        <w:footnoteReference w:id="1305"/>
      </w:r>
      <w:r>
        <w:t xml:space="preserve"> </w:t>
      </w:r>
      <w:r>
        <w:t xml:space="preserve">und eine Studie zur diabetischen Netzhauterkrankung</w:t>
      </w:r>
      <w:r>
        <w:rPr>
          <w:rStyle w:val="FootnoteReference"/>
        </w:rPr>
        <w:footnoteReference w:id="1306"/>
      </w:r>
      <w:r>
        <w:t xml:space="preserve"> </w:t>
      </w:r>
      <w:r>
        <w:t xml:space="preserve">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1307"/>
    <w:bookmarkStart w:id="1309"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w:t>
      </w:r>
      <w:r>
        <w:rPr>
          <w:rStyle w:val="FootnoteReference"/>
        </w:rPr>
        <w:footnoteReference w:id="1308"/>
      </w:r>
      <w:r>
        <w:t xml:space="preserve">.</w:t>
      </w:r>
    </w:p>
    <w:bookmarkEnd w:id="1309"/>
    <w:bookmarkStart w:id="1310"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1310"/>
    <w:bookmarkStart w:id="1311"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1311"/>
    <w:bookmarkEnd w:id="1312"/>
    <w:bookmarkStart w:id="1337"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1314"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w:t>
      </w:r>
      <w:r>
        <w:rPr>
          <w:rStyle w:val="FootnoteReference"/>
        </w:rPr>
        <w:footnoteReference w:id="1313"/>
      </w:r>
      <w:r>
        <w:t xml:space="preserve">.</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1314"/>
    <w:bookmarkStart w:id="1316"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w:t>
      </w:r>
      <w:r>
        <w:rPr>
          <w:rStyle w:val="FootnoteReference"/>
        </w:rPr>
        <w:footnoteReference w:id="1315"/>
      </w:r>
      <w:r>
        <w:t xml:space="preserve">.</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1316"/>
    <w:bookmarkStart w:id="1322"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w:t>
      </w:r>
      <w:r>
        <w:rPr>
          <w:rStyle w:val="FootnoteReference"/>
        </w:rPr>
        <w:footnoteReference w:id="1317"/>
      </w:r>
      <w:r>
        <w:t xml:space="preserve">.</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w:t>
      </w:r>
      <w:r>
        <w:rPr>
          <w:rStyle w:val="FootnoteReference"/>
        </w:rPr>
        <w:footnoteReference w:id="1318"/>
      </w:r>
      <w:r>
        <w:t xml:space="preserve">.</w:t>
      </w:r>
    </w:p>
    <w:p>
      <w:pPr>
        <w:pStyle w:val="BodyText"/>
      </w:pPr>
      <w:r>
        <w:rPr>
          <w:bCs/>
          <w:b/>
        </w:rPr>
        <w:t xml:space="preserve">Blutproteine:</w:t>
      </w:r>
      <w:r>
        <w:t xml:space="preserve"> </w:t>
      </w:r>
      <w:r>
        <w:t xml:space="preserve">Eine Auswertung von Serumproben von 11 jungen Männern vor und eine Woche nach der Injektion suchte nach neuen Markern für die Wirkung von Wachstumshormon und fand Veränderungen einzelner Bluteiweiße</w:t>
      </w:r>
      <w:r>
        <w:rPr>
          <w:rStyle w:val="FootnoteReference"/>
        </w:rPr>
        <w:footnoteReference w:id="1319"/>
      </w:r>
      <w:r>
        <w:t xml:space="preserve">.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1321"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w:t>
      </w:r>
      <w:r>
        <w:rPr>
          <w:rStyle w:val="FootnoteReference"/>
        </w:rPr>
        <w:footnoteReference w:id="1320"/>
      </w:r>
      <w:r>
        <w:t xml:space="preserve">.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1321"/>
    <w:bookmarkEnd w:id="1322"/>
    <w:bookmarkStart w:id="1325"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w:t>
      </w:r>
      <w:r>
        <w:rPr>
          <w:rStyle w:val="FootnoteReference"/>
        </w:rPr>
        <w:footnoteReference w:id="1323"/>
      </w:r>
      <w:r>
        <w:t xml:space="preserve">.</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w:t>
      </w:r>
      <w:r>
        <w:rPr>
          <w:rStyle w:val="FootnoteReference"/>
        </w:rPr>
        <w:footnoteReference w:id="1324"/>
      </w:r>
      <w:r>
        <w:t xml:space="preserve">. Eine Vermehrung von Hypophysenzellen ist erwünscht, wenn ein Mangel ausgeglichen werden soll – bei Gesunden ist ihre Langzeitbedeutung unbekannt.</w:t>
      </w:r>
    </w:p>
    <w:bookmarkEnd w:id="1325"/>
    <w:bookmarkStart w:id="1330"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w:t>
      </w:r>
      <w:r>
        <w:rPr>
          <w:rStyle w:val="FootnoteReference"/>
        </w:rPr>
        <w:footnoteReference w:id="1326"/>
      </w:r>
      <w:r>
        <w:t xml:space="preserve">.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w:t>
      </w:r>
      <w:r>
        <w:rPr>
          <w:rStyle w:val="FootnoteReference"/>
        </w:rPr>
        <w:footnoteReference w:id="1327"/>
      </w:r>
      <w:r>
        <w:t xml:space="preserve">. Dänische Zollproben enthielten „modifiziertes GRF 1-29“ und Ghrelin-Mimetika mit einer zusätzlichen, nicht deklarierten Aminosäure Glycin</w:t>
      </w:r>
      <w:r>
        <w:rPr>
          <w:rStyle w:val="FootnoteReference"/>
        </w:rPr>
        <w:footnoteReference w:id="1328"/>
      </w:r>
      <w:r>
        <w:t xml:space="preserve">.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w:t>
      </w:r>
      <w:r>
        <w:rPr>
          <w:rStyle w:val="FootnoteReference"/>
        </w:rPr>
        <w:footnoteReference w:id="1329"/>
      </w:r>
      <w:r>
        <w:t xml:space="preserve">.</w:t>
      </w:r>
    </w:p>
    <w:bookmarkEnd w:id="1330"/>
    <w:bookmarkStart w:id="1334"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w:t>
      </w:r>
      <w:r>
        <w:rPr>
          <w:rStyle w:val="FootnoteReference"/>
        </w:rPr>
        <w:footnoteReference w:id="1331"/>
      </w:r>
      <w:r>
        <w:t xml:space="preserve">;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w:t>
      </w:r>
      <w:r>
        <w:rPr>
          <w:rStyle w:val="FootnoteReference"/>
        </w:rPr>
        <w:footnoteReference w:id="1332"/>
      </w:r>
      <w:r>
        <w:t xml:space="preserve">; auch im Pferdesport wird danach gesucht</w:t>
      </w:r>
      <w:r>
        <w:rPr>
          <w:rStyle w:val="FootnoteReference"/>
        </w:rPr>
        <w:footnoteReference w:id="1333"/>
      </w:r>
      <w:r>
        <w:t xml:space="preserve">.</w:t>
      </w:r>
    </w:p>
    <w:bookmarkEnd w:id="1334"/>
    <w:bookmarkStart w:id="1335"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1335"/>
    <w:bookmarkStart w:id="1336"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1336"/>
    <w:bookmarkEnd w:id="1337"/>
    <w:bookmarkStart w:id="1360"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1339"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w:t>
      </w:r>
      <w:r>
        <w:rPr>
          <w:rStyle w:val="FootnoteReference"/>
        </w:rPr>
        <w:footnoteReference w:id="1338"/>
      </w:r>
      <w:r>
        <w:t xml:space="preserve">.</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1339"/>
    <w:bookmarkStart w:id="1342"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w:t>
      </w:r>
      <w:r>
        <w:rPr>
          <w:rStyle w:val="FootnoteReference"/>
        </w:rPr>
        <w:footnoteReference w:id="1340"/>
      </w:r>
      <w:r>
        <w:t xml:space="preserve">.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w:t>
      </w:r>
      <w:r>
        <w:rPr>
          <w:rStyle w:val="FootnoteReference"/>
        </w:rPr>
        <w:footnoteReference w:id="1341"/>
      </w:r>
      <w:r>
        <w:t xml:space="preserve">.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1342"/>
    <w:bookmarkStart w:id="1347"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w:t>
      </w:r>
      <w:r>
        <w:rPr>
          <w:rStyle w:val="FootnoteReference"/>
        </w:rPr>
        <w:footnoteReference w:id="1343"/>
      </w:r>
      <w:r>
        <w:t xml:space="preserve"> </w:t>
      </w:r>
      <w:r>
        <w:t xml:space="preserve">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w:t>
      </w:r>
      <w:r>
        <w:rPr>
          <w:rStyle w:val="FootnoteReference"/>
        </w:rPr>
        <w:footnoteReference w:id="1344"/>
      </w:r>
      <w:r>
        <w:t xml:space="preserve">.</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w:t>
      </w:r>
      <w:r>
        <w:rPr>
          <w:rStyle w:val="FootnoteReference"/>
        </w:rPr>
        <w:footnoteReference w:id="1345"/>
      </w:r>
      <w:r>
        <w:t xml:space="preserve">.</w:t>
      </w:r>
    </w:p>
    <w:p>
      <w:pPr>
        <w:pStyle w:val="BodyText"/>
      </w:pPr>
      <w:r>
        <w:rPr>
          <w:bCs/>
          <w:b/>
        </w:rPr>
        <w:t xml:space="preserve">Zweite Phase-2-Studie:</w:t>
      </w:r>
      <w:r>
        <w:t xml:space="preserve"> </w:t>
      </w:r>
      <w:r>
        <w:t xml:space="preserve">Eine größere Folgestudie mit 320 Teilnehmenden zur Erholung der Magen-Darm-Funktion wurde 2014 abgeschlossen</w:t>
      </w:r>
      <w:r>
        <w:rPr>
          <w:rStyle w:val="FootnoteReference"/>
        </w:rPr>
        <w:footnoteReference w:id="1346"/>
      </w:r>
      <w:r>
        <w:t xml:space="preserve">.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1347"/>
    <w:bookmarkStart w:id="1351"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w:t>
      </w:r>
      <w:r>
        <w:rPr>
          <w:rStyle w:val="FootnoteReference"/>
        </w:rPr>
        <w:footnoteReference w:id="1348"/>
      </w:r>
      <w:r>
        <w:t xml:space="preserve">.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w:t>
      </w:r>
      <w:r>
        <w:rPr>
          <w:rStyle w:val="FootnoteReference"/>
        </w:rPr>
        <w:footnoteReference w:id="1349"/>
      </w:r>
      <w:r>
        <w:t xml:space="preserve">.</w:t>
      </w:r>
    </w:p>
    <w:p>
      <w:pPr>
        <w:numPr>
          <w:ilvl w:val="0"/>
          <w:numId w:val="1160"/>
        </w:numPr>
        <w:pStyle w:val="Compact"/>
      </w:pPr>
      <w:r>
        <w:rPr>
          <w:bCs/>
          <w:b/>
        </w:rPr>
        <w:t xml:space="preserve">Selektivität (Schweine, Rattenzellen):</w:t>
      </w:r>
      <w:r>
        <w:t xml:space="preserve"> </w:t>
      </w:r>
      <w:r>
        <w:t xml:space="preserve">siehe oben</w:t>
      </w:r>
      <w:r>
        <w:rPr>
          <w:rStyle w:val="FootnoteReference"/>
        </w:rPr>
        <w:footnoteReference w:id="1350"/>
      </w:r>
      <w:r>
        <w:t xml:space="preserve">.</w:t>
      </w:r>
    </w:p>
    <w:bookmarkEnd w:id="1351"/>
    <w:bookmarkStart w:id="1354"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w:t>
      </w:r>
      <w:r>
        <w:rPr>
          <w:rStyle w:val="FootnoteReference"/>
        </w:rPr>
        <w:footnoteReference w:id="1352"/>
      </w:r>
      <w:r>
        <w:t xml:space="preserve">.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w:t>
      </w:r>
      <w:r>
        <w:rPr>
          <w:rStyle w:val="FootnoteReference"/>
        </w:rPr>
        <w:footnoteReference w:id="1353"/>
      </w:r>
      <w:r>
        <w:t xml:space="preserve">. Wie sich solche Abwandlungen im Körper verhalten, ist unbekannt.</w:t>
      </w:r>
    </w:p>
    <w:bookmarkEnd w:id="1354"/>
    <w:bookmarkStart w:id="1357"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w:t>
      </w:r>
      <w:r>
        <w:rPr>
          <w:rStyle w:val="FootnoteReference"/>
        </w:rPr>
        <w:footnoteReference w:id="1355"/>
      </w:r>
      <w:r>
        <w:t xml:space="preserve">.</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w:t>
      </w:r>
      <w:r>
        <w:rPr>
          <w:rStyle w:val="FootnoteReference"/>
        </w:rPr>
        <w:footnoteReference w:id="1356"/>
      </w:r>
      <w:r>
        <w:t xml:space="preserve">.</w:t>
      </w:r>
    </w:p>
    <w:bookmarkEnd w:id="1357"/>
    <w:bookmarkStart w:id="1358"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1358"/>
    <w:bookmarkStart w:id="1359"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1359"/>
    <w:bookmarkEnd w:id="1360"/>
    <w:bookmarkStart w:id="1393"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1363"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w:t>
      </w:r>
      <w:r>
        <w:rPr>
          <w:rStyle w:val="FootnoteReference"/>
        </w:rPr>
        <w:footnoteReference w:id="1361"/>
      </w:r>
      <w:r>
        <w:t xml:space="preserve">.</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w:t>
      </w:r>
      <w:r>
        <w:rPr>
          <w:rStyle w:val="FootnoteReference"/>
        </w:rPr>
        <w:footnoteReference w:id="1362"/>
      </w:r>
      <w:r>
        <w:t xml:space="preserve">.</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1363"/>
    <w:bookmarkStart w:id="1366" w:name="wie-es-wirken-soll-27"/>
    <w:p>
      <w:pPr>
        <w:pStyle w:val="Heading3"/>
      </w:pPr>
      <w:r>
        <w:t xml:space="preserve">Wie es wirken soll</w:t>
      </w:r>
    </w:p>
    <w:p>
      <w:pPr>
        <w:pStyle w:val="FirstParagraph"/>
      </w:pPr>
      <w:r>
        <w:t xml:space="preserve">GHRP-2 ahmt Ghrelin nach, das Hungerhormon aus dem Magen, das zugleich die Wachstumshormon-Ausschüttung steuert</w:t>
      </w:r>
      <w:r>
        <w:rPr>
          <w:rStyle w:val="FootnoteReference"/>
        </w:rPr>
        <w:footnoteReference w:id="1364"/>
      </w:r>
      <w:r>
        <w:t xml:space="preserve">.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w:t>
      </w:r>
      <w:r>
        <w:rPr>
          <w:rStyle w:val="FootnoteReference"/>
        </w:rPr>
        <w:footnoteReference w:id="1365"/>
      </w:r>
      <w:r>
        <w:t xml:space="preserve">. Gibt man GHRP-2 und GHRH zusammen, ist die Ausschüttung deutlich größer als die Summe der Einzelwirkungen.</w:t>
      </w:r>
    </w:p>
    <w:bookmarkEnd w:id="1366"/>
    <w:bookmarkStart w:id="1380"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1371" w:name="diagnostik-des-wachstumshormon-mangels"/>
    <w:p>
      <w:pPr>
        <w:pStyle w:val="Heading4"/>
      </w:pPr>
      <w:r>
        <w:t xml:space="preserve">Diagnostik des Wachstumshormon-Mangels</w:t>
      </w:r>
    </w:p>
    <w:p>
      <w:pPr>
        <w:pStyle w:val="FirstParagraph"/>
      </w:pPr>
      <w:r>
        <w:t xml:space="preserve">Die wichtigste Anwendung ist der GHRP-2-Test. In einer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w:t>
      </w:r>
      <w:r>
        <w:rPr>
          <w:rStyle w:val="FootnoteReference"/>
        </w:rPr>
        <w:footnoteReference w:id="1367"/>
      </w:r>
      <w:r>
        <w:t xml:space="preserve">. In einem Vergleich bei 71 Menschen mit Hypophysentumoren erreichte der GHRP-2-Test gegenüber dem Insulintest eine Sensitivität von 81,3 % und eine Spezifität von 94,5 %</w:t>
      </w:r>
      <w:r>
        <w:rPr>
          <w:rStyle w:val="FootnoteReference"/>
        </w:rPr>
        <w:footnoteReference w:id="1368"/>
      </w:r>
      <w:r>
        <w:t xml:space="preserve">.</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w:t>
      </w:r>
      <w:r>
        <w:rPr>
          <w:rStyle w:val="FootnoteReference"/>
        </w:rPr>
        <w:footnoteReference w:id="1369"/>
      </w:r>
      <w:r>
        <w:t xml:space="preserve">; in einer größeren Auswertung von 254 Personen war er insgesamt nicht ausreichend zuverlässig (Sensitivität 64 %, Spezifität 79 %), nur bei Männern ohne hormonaktiven Tumor schnitt er gut ab</w:t>
      </w:r>
      <w:r>
        <w:rPr>
          <w:rStyle w:val="FootnoteReference"/>
        </w:rPr>
        <w:footnoteReference w:id="1370"/>
      </w:r>
      <w:r>
        <w:t xml:space="preserve">.</w:t>
      </w:r>
    </w:p>
    <w:bookmarkEnd w:id="1371"/>
    <w:bookmarkStart w:id="1376"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w:t>
      </w:r>
      <w:r>
        <w:rPr>
          <w:rStyle w:val="FootnoteReference"/>
        </w:rPr>
        <w:footnoteReference w:id="1372"/>
      </w:r>
      <w:r>
        <w:t xml:space="preserve">. Als Nasenspray erhöhte GHRP-2 bei 15 Kindern die Wachstumsgeschwindigkeit von 3,7 auf 6,1 cm pro Jahr, wiederum ohne Anstieg von IGF-1</w:t>
      </w:r>
      <w:r>
        <w:rPr>
          <w:rStyle w:val="FootnoteReference"/>
        </w:rPr>
        <w:footnoteReference w:id="1373"/>
      </w:r>
      <w:r>
        <w:t xml:space="preserve">. Bei zehn Kindern, die GHRP-2 zwölf Monate als Tablette erhielten, berichteten sieben über deutlich mehr Appetit in den ersten Monaten</w:t>
      </w:r>
      <w:r>
        <w:rPr>
          <w:rStyle w:val="FootnoteReference"/>
        </w:rPr>
        <w:footnoteReference w:id="1374"/>
      </w:r>
      <w:r>
        <w:t xml:space="preserve">. Eine Weiterentwicklung zur Therapie wurde in den USA eingestellt</w:t>
      </w:r>
      <w:r>
        <w:rPr>
          <w:rStyle w:val="FootnoteReference"/>
        </w:rPr>
        <w:footnoteReference w:id="1375"/>
      </w:r>
      <w:r>
        <w:t xml:space="preserve">.</w:t>
      </w:r>
    </w:p>
    <w:bookmarkEnd w:id="1376"/>
    <w:bookmarkStart w:id="1379"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w:t>
      </w:r>
      <w:r>
        <w:rPr>
          <w:rStyle w:val="FootnoteReference"/>
        </w:rPr>
        <w:footnoteReference w:id="1377"/>
      </w:r>
      <w:r>
        <w:t xml:space="preserve">. Bei 14 Langzeit-Intensivpatientinnen und -patienten reaktivierte eine fünftägige Infusion von GHRP-2 zusammen mit dem Schilddrüsen-Freisetzungshormon TRH die unterdrückte GH- und Schilddrüsenachse und verschob Stoffwechselmarker in Richtung Aufbau</w:t>
      </w:r>
      <w:r>
        <w:rPr>
          <w:rStyle w:val="FootnoteReference"/>
        </w:rPr>
        <w:footnoteReference w:id="1378"/>
      </w:r>
      <w:r>
        <w:t xml:space="preserve">.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1379"/>
    <w:bookmarkEnd w:id="1380"/>
    <w:bookmarkStart w:id="1383"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w:t>
      </w:r>
      <w:r>
        <w:rPr>
          <w:rStyle w:val="FootnoteReference"/>
        </w:rPr>
        <w:footnoteReference w:id="1381"/>
      </w:r>
      <w:r>
        <w:t xml:space="preserve">. Bei Schweinen war GHRP-2 in einer Vergleichsstudie besonders potent, setzte aber anders als Ipamorelin auch ACTH und Cortisol frei</w:t>
      </w:r>
      <w:r>
        <w:rPr>
          <w:rStyle w:val="FootnoteReference"/>
        </w:rPr>
        <w:footnoteReference w:id="1382"/>
      </w:r>
      <w:r>
        <w:t xml:space="preserve">.</w:t>
      </w:r>
    </w:p>
    <w:bookmarkEnd w:id="1383"/>
    <w:bookmarkStart w:id="1388"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w:t>
      </w:r>
      <w:r>
        <w:rPr>
          <w:rStyle w:val="FootnoteReference"/>
        </w:rPr>
        <w:footnoteReference w:id="1384"/>
      </w:r>
      <w:r>
        <w:t xml:space="preserve"> </w:t>
      </w:r>
      <w:r>
        <w:t xml:space="preserve">sowie die Freisetzung von ACTH und Cortisol</w:t>
      </w:r>
      <w:r>
        <w:rPr>
          <w:rStyle w:val="FootnoteReference"/>
        </w:rPr>
        <w:footnoteReference w:id="1385"/>
      </w:r>
      <w:r>
        <w:t xml:space="preserve">. Eine Übersicht über GH-Freisetzer nennt außerdem einen möglichen Anstieg des Blutzuckers durch verminderte Insulinempfindlichkeit und fordert Langzeitdaten zu Krebs und Sterblichkeit</w:t>
      </w:r>
      <w:r>
        <w:rPr>
          <w:rStyle w:val="FootnoteReference"/>
        </w:rPr>
        <w:footnoteReference w:id="1386"/>
      </w:r>
      <w:r>
        <w:t xml:space="preserve">.</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w:t>
      </w:r>
      <w:r>
        <w:rPr>
          <w:rStyle w:val="FootnoteReference"/>
        </w:rPr>
        <w:footnoteReference w:id="1387"/>
      </w:r>
      <w:r>
        <w:t xml:space="preserve">.</w:t>
      </w:r>
    </w:p>
    <w:bookmarkEnd w:id="1388"/>
    <w:bookmarkStart w:id="1390"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w:t>
      </w:r>
      <w:r>
        <w:rPr>
          <w:rStyle w:val="FootnoteReference"/>
        </w:rPr>
        <w:footnoteReference w:id="1389"/>
      </w:r>
      <w:r>
        <w:t xml:space="preserve">.</w:t>
      </w:r>
    </w:p>
    <w:bookmarkEnd w:id="1390"/>
    <w:bookmarkStart w:id="1391"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1391"/>
    <w:bookmarkStart w:id="1392"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1392"/>
    <w:bookmarkEnd w:id="1393"/>
    <w:bookmarkStart w:id="1423"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1395"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w:t>
      </w:r>
      <w:r>
        <w:rPr>
          <w:rStyle w:val="FootnoteReference"/>
        </w:rPr>
        <w:footnoteReference w:id="1394"/>
      </w:r>
      <w:r>
        <w:t xml:space="preserve">.</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1395"/>
    <w:bookmarkStart w:id="1398"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w:t>
      </w:r>
      <w:r>
        <w:rPr>
          <w:rStyle w:val="FootnoteReference"/>
        </w:rPr>
        <w:footnoteReference w:id="1396"/>
      </w:r>
      <w:r>
        <w:t xml:space="preserve">. Später stellte sich heraus, dass GHRP-6 am selben Rezeptor wirkt wie das Magenhormon Ghrelin</w:t>
      </w:r>
      <w:r>
        <w:rPr>
          <w:rStyle w:val="FootnoteReference"/>
        </w:rPr>
        <w:footnoteReference w:id="1397"/>
      </w:r>
      <w:r>
        <w:t xml:space="preserve">.</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1398"/>
    <w:bookmarkStart w:id="1409"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1403"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w:t>
      </w:r>
      <w:r>
        <w:rPr>
          <w:rStyle w:val="FootnoteReference"/>
        </w:rPr>
        <w:footnoteReference w:id="1399"/>
      </w:r>
      <w:r>
        <w:t xml:space="preserve">. In einer kleineren Studie mit 20 Personen erkannte der Test alle Fälle eines Wachstumshormon-Mangels richtig; als einzige Nebenwirkung wurde ein Hitzegefühl (Flush) beobachtet</w:t>
      </w:r>
      <w:r>
        <w:rPr>
          <w:rStyle w:val="FootnoteReference"/>
        </w:rPr>
        <w:footnoteReference w:id="1400"/>
      </w:r>
      <w:r>
        <w:t xml:space="preserve">. Bei 21 Erwachsenen, bei denen zuvor mit herkömmlichen Tests ein Mangel festgestellt worden war, reagierten etwa 40 % auf die Kombination doch noch deutlich</w:t>
      </w:r>
      <w:r>
        <w:rPr>
          <w:rStyle w:val="FootnoteReference"/>
        </w:rPr>
        <w:footnoteReference w:id="1401"/>
      </w:r>
      <w:r>
        <w:t xml:space="preserve"> </w:t>
      </w:r>
      <w:r>
        <w:t xml:space="preserve">–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w:t>
      </w:r>
      <w:r>
        <w:rPr>
          <w:rStyle w:val="FootnoteReference"/>
        </w:rPr>
        <w:footnoteReference w:id="1402"/>
      </w:r>
      <w:r>
        <w:t xml:space="preserve">.</w:t>
      </w:r>
    </w:p>
    <w:bookmarkEnd w:id="1403"/>
    <w:bookmarkStart w:id="1408"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w:t>
      </w:r>
      <w:r>
        <w:rPr>
          <w:rStyle w:val="FootnoteReference"/>
        </w:rPr>
        <w:footnoteReference w:id="1404"/>
      </w:r>
      <w:r>
        <w:t xml:space="preserve">.</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w:t>
      </w:r>
      <w:r>
        <w:rPr>
          <w:rStyle w:val="FootnoteReference"/>
        </w:rPr>
        <w:footnoteReference w:id="1405"/>
      </w:r>
      <w:r>
        <w:t xml:space="preserve">.</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w:t>
      </w:r>
      <w:r>
        <w:rPr>
          <w:rStyle w:val="FootnoteReference"/>
        </w:rPr>
        <w:footnoteReference w:id="1406"/>
      </w:r>
      <w:r>
        <w:t xml:space="preserve">.</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w:t>
      </w:r>
      <w:r>
        <w:rPr>
          <w:rStyle w:val="FootnoteReference"/>
        </w:rPr>
        <w:footnoteReference w:id="140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Vergleich mit Placebo</w:t>
            </w:r>
          </w:p>
        </w:tc>
        <w:tc>
          <w:tcPr/>
          <w:p>
            <w:pPr>
              <w:pStyle w:val="Compact"/>
              <w:jc w:val="left"/>
            </w:pPr>
            <w:r>
              <w:t xml:space="preserve">1 Nacht</w:t>
            </w:r>
          </w:p>
        </w:tc>
        <w:tc>
          <w:tcPr/>
          <w:p>
            <w:pPr>
              <w:pStyle w:val="Compact"/>
              <w:jc w:val="left"/>
            </w:pPr>
            <w:r>
              <w:t xml:space="preserve">GH, ACTH, Cortisol ↑; Tiefschlaf unverändert</w:t>
            </w:r>
          </w:p>
        </w:tc>
      </w:tr>
    </w:tbl>
    <w:bookmarkEnd w:id="1408"/>
    <w:bookmarkEnd w:id="1409"/>
    <w:bookmarkStart w:id="1413"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w:t>
      </w:r>
      <w:r>
        <w:rPr>
          <w:rStyle w:val="FootnoteReference"/>
        </w:rPr>
        <w:footnoteReference w:id="1410"/>
      </w:r>
      <w:r>
        <w:t xml:space="preserve">.</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w:t>
      </w:r>
      <w:r>
        <w:rPr>
          <w:rStyle w:val="FootnoteReference"/>
        </w:rPr>
        <w:footnoteReference w:id="1411"/>
      </w:r>
      <w:r>
        <w:t xml:space="preserve">.</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w:t>
      </w:r>
      <w:r>
        <w:rPr>
          <w:rStyle w:val="FootnoteReference"/>
        </w:rPr>
        <w:footnoteReference w:id="1412"/>
      </w:r>
      <w:r>
        <w:t xml:space="preserve">.</w:t>
      </w:r>
    </w:p>
    <w:p>
      <w:pPr>
        <w:pStyle w:val="FirstParagraph"/>
      </w:pPr>
      <w:r>
        <w:t xml:space="preserve">Keiner dieser Ansätze hat bisher zu einer veröffentlichten kontrollierten Studie am Menschen geführt.</w:t>
      </w:r>
    </w:p>
    <w:bookmarkEnd w:id="1413"/>
    <w:bookmarkStart w:id="1418"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w:t>
      </w:r>
      <w:r>
        <w:rPr>
          <w:rStyle w:val="FootnoteReference"/>
        </w:rPr>
        <w:footnoteReference w:id="1414"/>
      </w:r>
      <w:r>
        <w:t xml:space="preserve">; Anstieg von ACTH, Cortisol und Prolaktin</w:t>
      </w:r>
      <w:r>
        <w:rPr>
          <w:rStyle w:val="FootnoteReference"/>
        </w:rPr>
        <w:footnoteReference w:id="1415"/>
      </w:r>
      <w:r>
        <w:t xml:space="preserve">;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w:t>
      </w:r>
      <w:r>
        <w:rPr>
          <w:rStyle w:val="FootnoteReference"/>
        </w:rPr>
        <w:footnoteReference w:id="1416"/>
      </w:r>
      <w:r>
        <w:t xml:space="preserve">.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w:t>
      </w:r>
      <w:r>
        <w:rPr>
          <w:rStyle w:val="FootnoteReference"/>
        </w:rPr>
        <w:footnoteReference w:id="1417"/>
      </w:r>
      <w:r>
        <w:t xml:space="preserve">.</w:t>
      </w:r>
    </w:p>
    <w:bookmarkEnd w:id="1418"/>
    <w:bookmarkStart w:id="1420"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w:t>
      </w:r>
      <w:r>
        <w:rPr>
          <w:rStyle w:val="FootnoteReference"/>
        </w:rPr>
        <w:footnoteReference w:id="1419"/>
      </w:r>
      <w:r>
        <w:t xml:space="preserve">.</w:t>
      </w:r>
    </w:p>
    <w:bookmarkEnd w:id="1420"/>
    <w:bookmarkStart w:id="1421"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1421"/>
    <w:bookmarkStart w:id="1422"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1422"/>
    <w:bookmarkEnd w:id="1423"/>
    <w:bookmarkStart w:id="1456"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1426"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w:t>
      </w:r>
      <w:r>
        <w:rPr>
          <w:rStyle w:val="FootnoteReference"/>
        </w:rPr>
        <w:footnoteReference w:id="1424"/>
      </w:r>
      <w:r>
        <w:t xml:space="preserve">.</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w:t>
      </w:r>
      <w:r>
        <w:rPr>
          <w:rStyle w:val="FootnoteReference"/>
        </w:rPr>
        <w:footnoteReference w:id="1425"/>
      </w:r>
      <w:r>
        <w:t xml:space="preserve">.</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1426"/>
    <w:bookmarkStart w:id="1428"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und Erwachsenen, bei denen diese Verbindung anatomisch unterbrochen war, blieb die GH-Antwort aus oder war stark abgeschwächt, bei idiopathischem Mangel war sie dagegen kräftig</w:t>
      </w:r>
      <w:r>
        <w:rPr>
          <w:rStyle w:val="FootnoteReference"/>
        </w:rPr>
        <w:footnoteReference w:id="1427"/>
      </w:r>
      <w:r>
        <w:t xml:space="preserve">.</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1428"/>
    <w:bookmarkStart w:id="1442"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1432"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w:t>
      </w:r>
      <w:r>
        <w:rPr>
          <w:rStyle w:val="FootnoteReference"/>
        </w:rPr>
        <w:footnoteReference w:id="1429"/>
      </w:r>
      <w:r>
        <w:t xml:space="preserve">. Hexarelin setzte dabei auch Prolaktin und Cortisol dosisabhängig frei; kombiniert mit GHRH genügte eine niedrige Hexarelin-Dosis für eine massive GH-Ausschüttung ohne Cortisol-Anstieg</w:t>
      </w:r>
      <w:r>
        <w:rPr>
          <w:rStyle w:val="FootnoteReference"/>
        </w:rPr>
        <w:footnoteReference w:id="1430"/>
      </w:r>
      <w:r>
        <w:t xml:space="preserve">. Die Aktivierung der Stresshormon-Achse läuft offenbar über das Zwischenhirn; in einer Studie mit 15 jungen Männern steigerte Hexarelin auch kurzfristig den Appetit</w:t>
      </w:r>
      <w:r>
        <w:rPr>
          <w:rStyle w:val="FootnoteReference"/>
        </w:rPr>
        <w:footnoteReference w:id="1431"/>
      </w:r>
      <w:r>
        <w:t xml:space="preserve">.</w:t>
      </w:r>
    </w:p>
    <w:bookmarkEnd w:id="1432"/>
    <w:bookmarkStart w:id="1437"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w:t>
      </w:r>
      <w:r>
        <w:rPr>
          <w:rStyle w:val="FootnoteReference"/>
        </w:rPr>
        <w:footnoteReference w:id="1433"/>
      </w:r>
      <w:r>
        <w:t xml:space="preserve">. Die Cortisol-Antwort schwächte sich in derselben Studie ebenfalls vorübergehend ab</w:t>
      </w:r>
      <w:r>
        <w:rPr>
          <w:rStyle w:val="FootnoteReference"/>
        </w:rPr>
        <w:footnoteReference w:id="1434"/>
      </w:r>
      <w:r>
        <w:t xml:space="preserve">.</w:t>
      </w:r>
    </w:p>
    <w:p>
      <w:pPr>
        <w:pStyle w:val="BodyText"/>
      </w:pPr>
      <w:r>
        <w:t xml:space="preserve">Bei kleinwüchsigen Kindern war das Bild etwas günstiger: Unter Nasenspray stieg die Wachstumsgeschwindigkeit bei acht Kindern von 5,3 auf 8,3 cm pro Jahr, IGF-1 nahm zu</w:t>
      </w:r>
      <w:r>
        <w:rPr>
          <w:rStyle w:val="FootnoteReference"/>
        </w:rPr>
        <w:footnoteReference w:id="1435"/>
      </w:r>
      <w:r>
        <w:t xml:space="preserve">. Eine Folgestudie mit sieben Kindern zeigte, dass die GH-Antwort der Hirnanhangdrüse bereits nach sieben Tagen etwa halbiert war, das schnellere Wachstum aber dennoch anhielt</w:t>
      </w:r>
      <w:r>
        <w:rPr>
          <w:rStyle w:val="FootnoteReference"/>
        </w:rPr>
        <w:footnoteReference w:id="1436"/>
      </w:r>
      <w:r>
        <w:t xml:space="preserve">.</w:t>
      </w:r>
    </w:p>
    <w:bookmarkEnd w:id="1437"/>
    <w:bookmarkStart w:id="1441"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w:t>
      </w:r>
      <w:r>
        <w:rPr>
          <w:rStyle w:val="FootnoteReference"/>
        </w:rPr>
        <w:footnoteReference w:id="1438"/>
      </w:r>
      <w:r>
        <w:t xml:space="preserve">.</w:t>
      </w:r>
    </w:p>
    <w:p>
      <w:pPr>
        <w:numPr>
          <w:ilvl w:val="0"/>
          <w:numId w:val="1169"/>
        </w:numPr>
        <w:pStyle w:val="Compact"/>
      </w:pPr>
      <w:r>
        <w:t xml:space="preserve">Bei Patientinnen und Patienten mit schwerer erweiterter Herzmuskelerkrankung (dilatative Kardiomyopathie) blieb dieser Effekt dagegen aus</w:t>
      </w:r>
      <w:r>
        <w:rPr>
          <w:rStyle w:val="FootnoteReference"/>
        </w:rPr>
        <w:footnoteReference w:id="1439"/>
      </w:r>
      <w:r>
        <w:t xml:space="preserve">.</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w:t>
      </w:r>
      <w:r>
        <w:rPr>
          <w:rStyle w:val="FootnoteReference"/>
        </w:rPr>
        <w:footnoteReference w:id="144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1441"/>
    <w:bookmarkEnd w:id="1442"/>
    <w:bookmarkStart w:id="1446"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w:t>
      </w:r>
      <w:r>
        <w:rPr>
          <w:rStyle w:val="FootnoteReference"/>
        </w:rPr>
        <w:footnoteReference w:id="1443"/>
      </w:r>
      <w:r>
        <w:t xml:space="preserve">. Bei Mäusen nach Herzinfarkt erhielt es die Pumpfunktion und verringerte die Vernarbung des Herzmuskels</w:t>
      </w:r>
      <w:r>
        <w:rPr>
          <w:rStyle w:val="FootnoteReference"/>
        </w:rPr>
        <w:footnoteReference w:id="1444"/>
      </w:r>
      <w:r>
        <w:t xml:space="preserve">.</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w:t>
      </w:r>
      <w:r>
        <w:rPr>
          <w:rStyle w:val="FootnoteReference"/>
        </w:rPr>
        <w:footnoteReference w:id="1445"/>
      </w:r>
      <w:r>
        <w:t xml:space="preserve">.</w:t>
      </w:r>
    </w:p>
    <w:bookmarkEnd w:id="1446"/>
    <w:bookmarkStart w:id="1451"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w:t>
      </w:r>
      <w:r>
        <w:rPr>
          <w:rStyle w:val="FootnoteReference"/>
        </w:rPr>
        <w:footnoteReference w:id="1447"/>
      </w:r>
      <w:r>
        <w:t xml:space="preserve">; kurzfristig gesteigerter Appetit</w:t>
      </w:r>
      <w:r>
        <w:rPr>
          <w:rStyle w:val="FootnoteReference"/>
        </w:rPr>
        <w:footnoteReference w:id="1448"/>
      </w:r>
      <w:r>
        <w:t xml:space="preserve">; nachlassende Wirkung bei Dauergabe</w:t>
      </w:r>
      <w:r>
        <w:rPr>
          <w:rStyle w:val="FootnoteReference"/>
        </w:rPr>
        <w:footnoteReference w:id="1449"/>
      </w:r>
      <w:r>
        <w:t xml:space="preserve">. Schwere Nebenwirkungen wurden in den kleinen Studien nicht berichtet; bei Kindern fanden die Autoren keine unerwünschten Effekte</w:t>
      </w:r>
      <w:r>
        <w:rPr>
          <w:rStyle w:val="FootnoteReference"/>
        </w:rPr>
        <w:footnoteReference w:id="1450"/>
      </w:r>
      <w:r>
        <w:t xml:space="preserve">.</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1451"/>
    <w:bookmarkStart w:id="1453"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w:t>
      </w:r>
      <w:r>
        <w:rPr>
          <w:rStyle w:val="FootnoteReference"/>
        </w:rPr>
        <w:footnoteReference w:id="1452"/>
      </w:r>
      <w:r>
        <w:t xml:space="preserve">.</w:t>
      </w:r>
    </w:p>
    <w:bookmarkEnd w:id="1453"/>
    <w:bookmarkStart w:id="1454"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1454"/>
    <w:bookmarkStart w:id="1455"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1455"/>
    <w:bookmarkEnd w:id="1456"/>
    <w:bookmarkStart w:id="1488"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1458"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w:t>
      </w:r>
      <w:r>
        <w:rPr>
          <w:rStyle w:val="FootnoteReference"/>
        </w:rPr>
        <w:footnoteReference w:id="1457"/>
      </w:r>
      <w:r>
        <w:t xml:space="preserve">.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1458"/>
    <w:bookmarkStart w:id="1459"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1459"/>
    <w:bookmarkStart w:id="1473"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1462"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w:t>
      </w:r>
      <w:r>
        <w:rPr>
          <w:rStyle w:val="FootnoteReference"/>
        </w:rPr>
        <w:footnoteReference w:id="1460"/>
      </w:r>
      <w:r>
        <w:t xml:space="preserve">. In einer randomisierten Phase-1-Studie mit 28 Gesunden lag die Halbwertszeit bei 3,5 Stunden für die beiden niedrigeren Dosen; der GH-Gipfel trat nach 45 bis 60 Minuten auf. ACTH, Cortisol und Prolaktin stiegen vorübergehend an</w:t>
      </w:r>
      <w:r>
        <w:rPr>
          <w:rStyle w:val="FootnoteReference"/>
        </w:rPr>
        <w:footnoteReference w:id="1461"/>
      </w:r>
      <w:r>
        <w:t xml:space="preserve">.</w:t>
      </w:r>
    </w:p>
    <w:bookmarkEnd w:id="1462"/>
    <w:bookmarkStart w:id="1466"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w:t>
      </w:r>
      <w:r>
        <w:rPr>
          <w:rStyle w:val="FootnoteReference"/>
        </w:rPr>
        <w:footnoteReference w:id="1463"/>
      </w:r>
      <w:r>
        <w:t xml:space="preserve">.</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w:t>
      </w:r>
      <w:r>
        <w:rPr>
          <w:rStyle w:val="FootnoteReference"/>
        </w:rPr>
        <w:footnoteReference w:id="1464"/>
      </w:r>
      <w:r>
        <w:t xml:space="preserve">. Weitere Auswertungen zeigten, dass Alter, Körpergewicht und Geschlecht die Testgenauigkeit nicht wesentlich beeinflussten</w:t>
      </w:r>
      <w:r>
        <w:rPr>
          <w:rStyle w:val="FootnoteReference"/>
        </w:rPr>
        <w:footnoteReference w:id="1465"/>
      </w:r>
      <w:r>
        <w:t xml:space="preserve">.</w:t>
      </w:r>
    </w:p>
    <w:bookmarkEnd w:id="1466"/>
    <w:bookmarkStart w:id="1468" w:name="erfahrungen-aus-der-praxis"/>
    <w:p>
      <w:pPr>
        <w:pStyle w:val="Heading4"/>
      </w:pPr>
      <w:r>
        <w:t xml:space="preserve">Erfahrungen aus der Praxis</w:t>
      </w:r>
    </w:p>
    <w:p>
      <w:pPr>
        <w:pStyle w:val="FirstParagraph"/>
      </w:pPr>
      <w:r>
        <w:t xml:space="preserve">Eine rückblickende Auswertung von 37 Patientinnen und Patienten einer Klinik fand, dass mit dem in den USA zugelassenen Grenzwert von 2,8 ng/ml 40,5 %, mit 5,1 ng/ml dagegen 54,0 % als Wachstumshormon-Mangel eingestuft wurden. Die abweichenden Einstufungen betrafen vor allem stark übergewichtige Personen mit niedriger Vortestwahrscheinlichkeit</w:t>
      </w:r>
      <w:r>
        <w:rPr>
          <w:rStyle w:val="FootnoteReference"/>
        </w:rPr>
        <w:footnoteReference w:id="1467"/>
      </w:r>
      <w:r>
        <w:t xml:space="preserve">. Das zeigt: Der Grenzwert ist nicht trivial, und bei starkem Übergewicht ist Vorsicht bei der Deutung geboten.</w:t>
      </w:r>
    </w:p>
    <w:bookmarkEnd w:id="1468"/>
    <w:bookmarkStart w:id="1472"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w:t>
      </w:r>
      <w:r>
        <w:rPr>
          <w:rStyle w:val="FootnoteReference"/>
        </w:rPr>
        <w:footnoteReference w:id="1469"/>
      </w:r>
      <w:r>
        <w:t xml:space="preserve">. Die anschließende Phase-3-Studie DETECT mit 101 Kindern</w:t>
      </w:r>
      <w:r>
        <w:rPr>
          <w:rStyle w:val="FootnoteReference"/>
        </w:rPr>
        <w:footnoteReference w:id="1470"/>
      </w:r>
      <w:r>
        <w:t xml:space="preserve"> </w:t>
      </w:r>
      <w:r>
        <w:t xml:space="preserve">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w:t>
      </w:r>
      <w:r>
        <w:rPr>
          <w:rStyle w:val="FootnoteReference"/>
        </w:rPr>
        <w:footnoteReference w:id="147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1472"/>
    <w:bookmarkEnd w:id="1473"/>
    <w:bookmarkStart w:id="1476"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w:t>
      </w:r>
      <w:r>
        <w:rPr>
          <w:rStyle w:val="FootnoteReference"/>
        </w:rPr>
        <w:footnoteReference w:id="1474"/>
      </w:r>
      <w:r>
        <w:t xml:space="preserve">. Strukturuntersuchungen zeigen, wie Macimorelin im Ghrelin-Rezeptor bindet</w:t>
      </w:r>
      <w:r>
        <w:rPr>
          <w:rStyle w:val="FootnoteReference"/>
        </w:rPr>
        <w:footnoteReference w:id="1475"/>
      </w:r>
      <w:r>
        <w:t xml:space="preserve">. Für die zugelassene Anwendung sind diese Arbeiten nicht relevant.</w:t>
      </w:r>
    </w:p>
    <w:bookmarkEnd w:id="1476"/>
    <w:bookmarkStart w:id="1481"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der Zulassungsstudie traten keine schweren Nebenwirkungen durch Macimorelin auf</w:t>
      </w:r>
      <w:r>
        <w:rPr>
          <w:rStyle w:val="FootnoteReference"/>
        </w:rPr>
        <w:footnoteReference w:id="1477"/>
      </w:r>
      <w:r>
        <w:t xml:space="preserve">. ACTH, Cortisol und Prolaktin steigen vorübergehend an</w:t>
      </w:r>
      <w:r>
        <w:rPr>
          <w:rStyle w:val="FootnoteReference"/>
        </w:rPr>
        <w:footnoteReference w:id="1478"/>
      </w:r>
      <w:r>
        <w:t xml:space="preserve">.</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die obere Grenze des Konfidenzintervalls überschritt die regulatorische Schwelle von 10 Millisekunden</w:t>
      </w:r>
      <w:r>
        <w:rPr>
          <w:rStyle w:val="FootnoteReference"/>
        </w:rPr>
        <w:footnoteReference w:id="1479"/>
      </w:r>
      <w:r>
        <w:t xml:space="preserve">.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w:t>
      </w:r>
      <w:r>
        <w:rPr>
          <w:rStyle w:val="FootnoteReference"/>
        </w:rPr>
        <w:footnoteReference w:id="1480"/>
      </w:r>
      <w:r>
        <w:t xml:space="preserve">.</w:t>
      </w:r>
    </w:p>
    <w:p>
      <w:pPr>
        <w:pStyle w:val="BodyText"/>
      </w:pPr>
      <w:r>
        <w:t xml:space="preserve">Ein Krebsrisiko ist bei einmaliger Gabe nicht zu erwarten; die Diskussion um dauerhaft erhöhtes IGF-1 (siehe Einleitung dieser Gruppe) betrifft Macimorelin daher nicht.</w:t>
      </w:r>
    </w:p>
    <w:bookmarkEnd w:id="1481"/>
    <w:bookmarkStart w:id="1483"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w:t>
      </w:r>
      <w:r>
        <w:rPr>
          <w:rStyle w:val="FootnoteReference"/>
        </w:rPr>
        <w:footnoteReference w:id="1482"/>
      </w:r>
      <w:r>
        <w:t xml:space="preserve">.</w:t>
      </w:r>
    </w:p>
    <w:bookmarkEnd w:id="1483"/>
    <w:bookmarkStart w:id="1486"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w:t>
      </w:r>
      <w:r>
        <w:rPr>
          <w:rStyle w:val="FootnoteReference"/>
        </w:rPr>
        <w:footnoteReference w:id="1484"/>
      </w:r>
      <w:r>
        <w:t xml:space="preserve"> </w:t>
      </w:r>
      <w:r>
        <w:t xml:space="preserve">ist abgeschlossen; die Ergebnisse stehen aus. Eine weitere Studie untersuchte, wie Macimorelin das Hormon Copeptin beeinflusst</w:t>
      </w:r>
      <w:r>
        <w:rPr>
          <w:rStyle w:val="FootnoteReference"/>
        </w:rPr>
        <w:footnoteReference w:id="1485"/>
      </w:r>
      <w:r>
        <w:t xml:space="preserve">.</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1486"/>
    <w:bookmarkStart w:id="1487"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1487"/>
    <w:bookmarkEnd w:id="1488"/>
    <w:bookmarkStart w:id="1528"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1489"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1489"/>
    <w:bookmarkStart w:id="1491"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w:t>
      </w:r>
      <w:r>
        <w:rPr>
          <w:rStyle w:val="FootnoteReference"/>
        </w:rPr>
        <w:footnoteReference w:id="1490"/>
      </w:r>
      <w:r>
        <w:t xml:space="preserve">.</w:t>
      </w:r>
    </w:p>
    <w:p>
      <w:pPr>
        <w:pStyle w:val="BodyText"/>
      </w:pPr>
      <w:r>
        <w:t xml:space="preserve">Mecasermin überspringt den defekten Schritt und liefert IGF-1 direkt. Weil IGF-1 dem Insulin ähnelt, kann es den Blutzucker senken – die wichtigste Nebenwirkung.</w:t>
      </w:r>
    </w:p>
    <w:bookmarkEnd w:id="1491"/>
    <w:bookmarkStart w:id="1507"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1497"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w:t>
      </w:r>
      <w:r>
        <w:rPr>
          <w:rStyle w:val="FootnoteReference"/>
        </w:rPr>
        <w:footnoteReference w:id="1492"/>
      </w:r>
      <w:r>
        <w:t xml:space="preserve">.</w:t>
      </w:r>
    </w:p>
    <w:p>
      <w:pPr>
        <w:pStyle w:val="BodyText"/>
      </w:pPr>
      <w:r>
        <w:t xml:space="preserve">Seit 2008 sammelt ein europäisches, inzwischen globales Register Daten aus der Praxis</w:t>
      </w:r>
      <w:r>
        <w:rPr>
          <w:rStyle w:val="FootnoteReference"/>
        </w:rPr>
        <w:footnoteReference w:id="1493"/>
      </w:r>
      <w:r>
        <w:t xml:space="preserve">.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w:t>
      </w:r>
      <w:r>
        <w:rPr>
          <w:rStyle w:val="FootnoteReference"/>
        </w:rPr>
        <w:footnoteReference w:id="1494"/>
      </w:r>
      <w:r>
        <w:t xml:space="preserve">.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w:t>
      </w:r>
      <w:r>
        <w:rPr>
          <w:rStyle w:val="FootnoteReference"/>
        </w:rPr>
        <w:footnoteReference w:id="1495"/>
      </w:r>
      <w:r>
        <w:t xml:space="preserve">. Schwere Unterzuckerungen waren mit 0,01 Ereignissen pro Patient und Behandlungsjahr selten; gefährdet waren vor allem Kinder mit Laron-Syndrom oder früheren Unterzuckerungen</w:t>
      </w:r>
      <w:r>
        <w:rPr>
          <w:rStyle w:val="FootnoteReference"/>
        </w:rPr>
        <w:footnoteReference w:id="1496"/>
      </w:r>
      <w:r>
        <w:t xml:space="preserve">.</w:t>
      </w:r>
    </w:p>
    <w:bookmarkEnd w:id="1497"/>
    <w:bookmarkStart w:id="1506"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w:t>
      </w:r>
      <w:r>
        <w:rPr>
          <w:rStyle w:val="FootnoteReference"/>
        </w:rPr>
        <w:footnoteReference w:id="1498"/>
      </w:r>
      <w:r>
        <w:t xml:space="preserve">.</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w:t>
      </w:r>
      <w:r>
        <w:rPr>
          <w:rStyle w:val="FootnoteReference"/>
        </w:rPr>
        <w:footnoteReference w:id="1499"/>
      </w:r>
      <w:r>
        <w:t xml:space="preserve">.</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w:t>
      </w:r>
      <w:r>
        <w:rPr>
          <w:rStyle w:val="FootnoteReference"/>
        </w:rPr>
        <w:footnoteReference w:id="1500"/>
      </w:r>
      <w:r>
        <w:t xml:space="preserve">.</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w:t>
      </w:r>
      <w:r>
        <w:rPr>
          <w:rStyle w:val="FootnoteReference"/>
        </w:rPr>
        <w:footnoteReference w:id="1501"/>
      </w:r>
      <w:r>
        <w:t xml:space="preserve">. Eine Folgestudie zur Lungenentwicklung läuft</w:t>
      </w:r>
      <w:r>
        <w:rPr>
          <w:rStyle w:val="FootnoteReference"/>
        </w:rPr>
        <w:footnoteReference w:id="1502"/>
      </w:r>
      <w:r>
        <w:t xml:space="preserve">.</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w:t>
      </w:r>
      <w:r>
        <w:rPr>
          <w:rStyle w:val="FootnoteReference"/>
        </w:rPr>
        <w:footnoteReference w:id="1503"/>
      </w:r>
      <w:r>
        <w:t xml:space="preserve">.</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w:t>
      </w:r>
      <w:r>
        <w:rPr>
          <w:rStyle w:val="FootnoteReference"/>
        </w:rPr>
        <w:footnoteReference w:id="1504"/>
      </w:r>
      <w:r>
        <w:t xml:space="preserve">.</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veränderten sich unter IGF-1/IGFBP-3 Blutfette und Insulinwerte</w:t>
      </w:r>
      <w:r>
        <w:rPr>
          <w:rStyle w:val="FootnoteReference"/>
        </w:rPr>
        <w:footnoteReference w:id="1505"/>
      </w:r>
      <w:r>
        <w:t xml:space="preserve">.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1506"/>
    <w:bookmarkEnd w:id="1507"/>
    <w:bookmarkStart w:id="1510"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w:t>
      </w:r>
      <w:r>
        <w:rPr>
          <w:rStyle w:val="FootnoteReference"/>
        </w:rPr>
        <w:footnoteReference w:id="1508"/>
      </w:r>
      <w:r>
        <w:t xml:space="preserve">. Gab man IGF-1 zum Serum hinzu, verschwanden diese Unterschiede</w:t>
      </w:r>
      <w:r>
        <w:rPr>
          <w:rStyle w:val="FootnoteReference"/>
        </w:rPr>
        <w:footnoteReference w:id="1509"/>
      </w:r>
      <w:r>
        <w:t xml:space="preserve">. IGF-1 hält also auch geschädigte Zellen eher am Leben – ein möglicher Mechanismus für ein Krebsrisiko.</w:t>
      </w:r>
    </w:p>
    <w:bookmarkEnd w:id="1510"/>
    <w:bookmarkStart w:id="1521"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w:t>
      </w:r>
      <w:r>
        <w:rPr>
          <w:rStyle w:val="FootnoteReference"/>
        </w:rPr>
        <w:footnoteReference w:id="1511"/>
      </w:r>
      <w:r>
        <w:t xml:space="preserve">.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w:t>
      </w:r>
      <w:r>
        <w:rPr>
          <w:rStyle w:val="FootnoteReference"/>
        </w:rPr>
        <w:footnoteReference w:id="1512"/>
      </w:r>
      <w:r>
        <w:t xml:space="preserve">.</w:t>
      </w:r>
    </w:p>
    <w:p>
      <w:pPr>
        <w:numPr>
          <w:ilvl w:val="0"/>
          <w:numId w:val="1177"/>
        </w:numPr>
        <w:pStyle w:val="Compact"/>
      </w:pPr>
      <w:r>
        <w:t xml:space="preserve">In der Frühgeborenen-Studie traten unter IGF-1/IGFBP-3 zahlenmäßig mehr tödliche schwere Ereignisse auf als unter Standardbehandlung</w:t>
      </w:r>
      <w:r>
        <w:rPr>
          <w:rStyle w:val="FootnoteReference"/>
        </w:rPr>
        <w:footnoteReference w:id="1513"/>
      </w:r>
      <w:r>
        <w:t xml:space="preserve">;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w:t>
      </w:r>
      <w:r>
        <w:rPr>
          <w:rStyle w:val="FootnoteReference"/>
        </w:rPr>
        <w:footnoteReference w:id="1514"/>
      </w:r>
      <w:r>
        <w:t xml:space="preserve">. In der UK Biobank war jede Erhöhung um 5 nmol/l mit einem um 11 % höheren Brustkrebsrisiko verbunden</w:t>
      </w:r>
      <w:r>
        <w:rPr>
          <w:rStyle w:val="FootnoteReference"/>
        </w:rPr>
        <w:footnoteReference w:id="1515"/>
      </w:r>
      <w:r>
        <w:t xml:space="preserve">; ähnliche Zusammenhänge zeigen sich für Darmkrebs</w:t>
      </w:r>
      <w:r>
        <w:rPr>
          <w:rStyle w:val="FootnoteReference"/>
        </w:rPr>
        <w:footnoteReference w:id="1516"/>
      </w:r>
      <w:r>
        <w:t xml:space="preserve"> </w:t>
      </w:r>
      <w:r>
        <w:t xml:space="preserve">und Prostatakrebs</w:t>
      </w:r>
      <w:r>
        <w:rPr>
          <w:rStyle w:val="FootnoteReference"/>
        </w:rPr>
        <w:footnoteReference w:id="1517"/>
      </w:r>
      <w:r>
        <w:t xml:space="preserve">.</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w:t>
      </w:r>
      <w:r>
        <w:rPr>
          <w:rStyle w:val="FootnoteReference"/>
        </w:rPr>
        <w:footnoteReference w:id="1518"/>
      </w:r>
      <w:r>
        <w:t xml:space="preserve">.</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w:t>
      </w:r>
      <w:r>
        <w:rPr>
          <w:rStyle w:val="FootnoteReference"/>
        </w:rPr>
        <w:footnoteReference w:id="1519"/>
      </w:r>
      <w:r>
        <w:t xml:space="preserve">.</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w:t>
      </w:r>
      <w:r>
        <w:rPr>
          <w:rStyle w:val="FootnoteReference"/>
        </w:rPr>
        <w:footnoteReference w:id="1520"/>
      </w:r>
      <w:r>
        <w:t xml:space="preserve"> </w:t>
      </w:r>
      <w:r>
        <w:t xml:space="preserve">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1521"/>
    <w:bookmarkStart w:id="1524"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w:t>
      </w:r>
      <w:r>
        <w:rPr>
          <w:rStyle w:val="FootnoteReference"/>
        </w:rPr>
        <w:footnoteReference w:id="1522"/>
      </w:r>
      <w:r>
        <w:t xml:space="preserve">.</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w:t>
      </w:r>
      <w:r>
        <w:rPr>
          <w:rStyle w:val="FootnoteReference"/>
        </w:rPr>
        <w:footnoteReference w:id="1523"/>
      </w:r>
      <w:r>
        <w:t xml:space="preserve">.</w:t>
      </w:r>
    </w:p>
    <w:bookmarkEnd w:id="1524"/>
    <w:bookmarkStart w:id="1526"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w:t>
      </w:r>
      <w:r>
        <w:rPr>
          <w:rStyle w:val="FootnoteReference"/>
        </w:rPr>
        <w:footnoteReference w:id="1525"/>
      </w:r>
      <w:r>
        <w:t xml:space="preserve"> </w:t>
      </w:r>
      <w:r>
        <w:t xml:space="preserve">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1526"/>
    <w:bookmarkStart w:id="1527"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1527"/>
    <w:bookmarkEnd w:id="1528"/>
    <w:bookmarkStart w:id="1558"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1530"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w:t>
      </w:r>
      <w:r>
        <w:rPr>
          <w:rStyle w:val="FootnoteReference"/>
        </w:rPr>
        <w:footnoteReference w:id="1529"/>
      </w:r>
      <w:r>
        <w:t xml:space="preserve">.</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1530"/>
    <w:bookmarkStart w:id="1534"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w:t>
      </w:r>
      <w:r>
        <w:rPr>
          <w:rStyle w:val="FootnoteReference"/>
        </w:rPr>
        <w:footnoteReference w:id="1531"/>
      </w:r>
      <w:r>
        <w:t xml:space="preserve">.</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w:t>
      </w:r>
      <w:r>
        <w:rPr>
          <w:rStyle w:val="FootnoteReference"/>
        </w:rPr>
        <w:footnoteReference w:id="1532"/>
      </w:r>
      <w:r>
        <w:t xml:space="preserve">. Bei zuckerkranken Ratten war es 2,5- bis 3-mal so wirksam wie IGF-1 bei der Wiederherstellung des Wachstums</w:t>
      </w:r>
      <w:r>
        <w:rPr>
          <w:rStyle w:val="FootnoteReference"/>
        </w:rPr>
        <w:footnoteReference w:id="1533"/>
      </w:r>
      <w:r>
        <w:t xml:space="preserve">. Auf dem Graumarkt wird daraus die Erwartung abgeleitet, LR3 baue beim Menschen stärker Muskeln auf als natürliches IGF-1. Belege dafür gibt es nicht.</w:t>
      </w:r>
    </w:p>
    <w:bookmarkEnd w:id="1534"/>
    <w:bookmarkStart w:id="1538"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w:t>
      </w:r>
      <w:r>
        <w:rPr>
          <w:rStyle w:val="FootnoteReference"/>
        </w:rPr>
        <w:footnoteReference w:id="1535"/>
      </w:r>
      <w:r>
        <w:t xml:space="preserve">. Eine andere Arbeitsgruppe fand in Schwarzmarktprodukten zahlreiche Hinweise auf minderwertige, oxidierte Peptidformen</w:t>
      </w:r>
      <w:r>
        <w:rPr>
          <w:rStyle w:val="FootnoteReference"/>
        </w:rPr>
        <w:footnoteReference w:id="1536"/>
      </w:r>
      <w:r>
        <w:t xml:space="preserve">.</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w:t>
      </w:r>
      <w:r>
        <w:rPr>
          <w:rStyle w:val="FootnoteReference"/>
        </w:rPr>
        <w:footnoteReference w:id="1537"/>
      </w:r>
      <w:r>
        <w:t xml:space="preserve">.</w:t>
      </w:r>
    </w:p>
    <w:bookmarkEnd w:id="1538"/>
    <w:bookmarkStart w:id="1546"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w:t>
      </w:r>
      <w:r>
        <w:rPr>
          <w:rStyle w:val="FootnoteReference"/>
        </w:rPr>
        <w:footnoteReference w:id="1539"/>
      </w:r>
      <w:r>
        <w:t xml:space="preserve">; stärkere Wachstumswirkung als IGF-1 bei zuckerkranken Ratten, ohne die Zuckerausscheidung im Urin zu senken</w:t>
      </w:r>
      <w:r>
        <w:rPr>
          <w:rStyle w:val="FootnoteReference"/>
        </w:rPr>
        <w:footnoteReference w:id="1540"/>
      </w:r>
      <w:r>
        <w:t xml:space="preserve">.</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w:t>
      </w:r>
      <w:r>
        <w:rPr>
          <w:rStyle w:val="FootnoteReference"/>
        </w:rPr>
        <w:footnoteReference w:id="1541"/>
      </w:r>
      <w:r>
        <w:t xml:space="preserve">.</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w:t>
      </w:r>
      <w:r>
        <w:rPr>
          <w:rStyle w:val="FootnoteReference"/>
        </w:rPr>
        <w:footnoteReference w:id="1542"/>
      </w:r>
      <w:r>
        <w:t xml:space="preserve">.</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w:t>
      </w:r>
      <w:r>
        <w:rPr>
          <w:rStyle w:val="FootnoteReference"/>
        </w:rPr>
        <w:footnoteReference w:id="1543"/>
      </w:r>
      <w:r>
        <w:t xml:space="preserve">. Bei wachstumsverzögerten Feten verbesserte eine einwöchige Behandlung das Wachstum nicht</w:t>
      </w:r>
      <w:r>
        <w:rPr>
          <w:rStyle w:val="FootnoteReference"/>
        </w:rPr>
        <w:footnoteReference w:id="1544"/>
      </w:r>
      <w:r>
        <w:t xml:space="preserve">.</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w:t>
      </w:r>
      <w:r>
        <w:rPr>
          <w:rStyle w:val="FootnoteReference"/>
        </w:rPr>
        <w:footnoteReference w:id="1545"/>
      </w:r>
      <w:r>
        <w:t xml:space="preserve">.</w:t>
      </w:r>
    </w:p>
    <w:p>
      <w:pPr>
        <w:pStyle w:val="FirstParagraph"/>
      </w:pPr>
      <w:r>
        <w:t xml:space="preserve">Die Tierdaten sind widersprüchlich: Je nach Tierart wirkte LR3 wachstumsfördernd, wirkungslos oder sogar wachstumshemmend. Eine Übertragung auf den Menschen ist nicht möglich.</w:t>
      </w:r>
    </w:p>
    <w:bookmarkEnd w:id="1546"/>
    <w:bookmarkStart w:id="1553"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w:t>
      </w:r>
      <w:r>
        <w:rPr>
          <w:rStyle w:val="FootnoteReference"/>
        </w:rPr>
        <w:footnoteReference w:id="1547"/>
      </w:r>
      <w:r>
        <w:t xml:space="preserve">. Ein Analogon, das diesem Puffer gezielt entgeht, könnte stärker und weniger vorhersehbar wirken. Gemessen am Menschen ist das nicht. In den Tierversuchen sanken teils die Insulinspiegel</w:t>
      </w:r>
      <w:r>
        <w:rPr>
          <w:rStyle w:val="FootnoteReference"/>
        </w:rPr>
        <w:footnoteReference w:id="1548"/>
      </w:r>
      <w:r>
        <w:t xml:space="preserve">,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w:t>
      </w:r>
      <w:r>
        <w:rPr>
          <w:rStyle w:val="FootnoteReference"/>
        </w:rPr>
        <w:footnoteReference w:id="1549"/>
      </w:r>
      <w:r>
        <w:t xml:space="preserve">.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und Prostatakrebs verbunden</w:t>
      </w:r>
      <w:r>
        <w:rPr>
          <w:rStyle w:val="FootnoteReference"/>
        </w:rPr>
        <w:footnoteReference w:id="1550"/>
      </w:r>
      <w:r>
        <w:t xml:space="preserve">, und Menschen mit angeborenem IGF-1-Mangel erkranken auffällig selten an Krebs</w:t>
      </w:r>
      <w:r>
        <w:rPr>
          <w:rStyle w:val="FootnoteReference"/>
        </w:rPr>
        <w:footnoteReference w:id="1551"/>
      </w:r>
      <w:r>
        <w:t xml:space="preserve">.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w:t>
      </w:r>
      <w:r>
        <w:rPr>
          <w:rStyle w:val="FootnoteReference"/>
        </w:rPr>
        <w:footnoteReference w:id="1552"/>
      </w:r>
      <w:r>
        <w:t xml:space="preserve">. Hinzu kommen die allgemeinen Risiken nicht steriler Injektionen. Zellkultur-Reagenzien unterliegen keiner Arzneimittelkontrolle.</w:t>
      </w:r>
    </w:p>
    <w:bookmarkEnd w:id="1553"/>
    <w:bookmarkStart w:id="1555"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w:t>
      </w:r>
      <w:r>
        <w:rPr>
          <w:rStyle w:val="FootnoteReference"/>
        </w:rPr>
        <w:footnoteReference w:id="1554"/>
      </w:r>
      <w:r>
        <w:t xml:space="preserve">.</w:t>
      </w:r>
    </w:p>
    <w:bookmarkEnd w:id="1555"/>
    <w:bookmarkStart w:id="1556"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1556"/>
    <w:bookmarkStart w:id="1557"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1557"/>
    <w:bookmarkEnd w:id="1558"/>
    <w:bookmarkStart w:id="1600"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1560"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w:t>
      </w:r>
      <w:r>
        <w:rPr>
          <w:rStyle w:val="FootnoteReference"/>
        </w:rPr>
        <w:footnoteReference w:id="1559"/>
      </w:r>
      <w:r>
        <w:t xml:space="preserve">.</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1560"/>
    <w:bookmarkStart w:id="1562"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w:t>
      </w:r>
      <w:r>
        <w:rPr>
          <w:rStyle w:val="FootnoteReference"/>
        </w:rPr>
        <w:footnoteReference w:id="1561"/>
      </w:r>
      <w:r>
        <w:t xml:space="preserve">.</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1562"/>
    <w:bookmarkStart w:id="1577"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1564"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w:t>
      </w:r>
      <w:r>
        <w:rPr>
          <w:rStyle w:val="FootnoteReference"/>
        </w:rPr>
        <w:footnoteReference w:id="1563"/>
      </w:r>
      <w:r>
        <w:t xml:space="preserve">.</w:t>
      </w:r>
    </w:p>
    <w:bookmarkEnd w:id="1564"/>
    <w:bookmarkStart w:id="1567"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w:t>
      </w:r>
      <w:r>
        <w:rPr>
          <w:rStyle w:val="FootnoteReference"/>
        </w:rPr>
        <w:footnoteReference w:id="1565"/>
      </w:r>
      <w:r>
        <w:t xml:space="preserve">.</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w:t>
      </w:r>
      <w:r>
        <w:rPr>
          <w:rStyle w:val="FootnoteReference"/>
        </w:rPr>
        <w:footnoteReference w:id="1566"/>
      </w:r>
      <w:r>
        <w:t xml:space="preserve">.</w:t>
      </w:r>
    </w:p>
    <w:p>
      <w:pPr>
        <w:pStyle w:val="FirstParagraph"/>
      </w:pPr>
      <w:r>
        <w:t xml:space="preserve">Ein weiterer Merck-Eintrag zur Sarkopenie nach Hüftfraktur (NCT00128115, 83 Personen) ist als abgebrochen vermerkt, ohne Angabe von Gründen oder Ergebnissen.</w:t>
      </w:r>
    </w:p>
    <w:bookmarkEnd w:id="1567"/>
    <w:bookmarkStart w:id="1569"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w:t>
      </w:r>
      <w:r>
        <w:rPr>
          <w:rStyle w:val="FootnoteReference"/>
        </w:rPr>
        <w:footnoteReference w:id="1568"/>
      </w:r>
      <w:r>
        <w:t xml:space="preserve">.</w:t>
      </w:r>
    </w:p>
    <w:bookmarkEnd w:id="1569"/>
    <w:bookmarkStart w:id="1576"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w:t>
      </w:r>
      <w:r>
        <w:rPr>
          <w:rStyle w:val="FootnoteReference"/>
        </w:rPr>
        <w:footnoteReference w:id="1570"/>
      </w:r>
      <w:r>
        <w:t xml:space="preserve">.</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w:t>
      </w:r>
      <w:r>
        <w:rPr>
          <w:rStyle w:val="FootnoteReference"/>
        </w:rPr>
        <w:footnoteReference w:id="1571"/>
      </w:r>
      <w:r>
        <w:t xml:space="preserve">.</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w:t>
      </w:r>
      <w:r>
        <w:rPr>
          <w:rStyle w:val="FootnoteReference"/>
        </w:rPr>
        <w:footnoteReference w:id="1572"/>
      </w:r>
      <w:r>
        <w:t xml:space="preserve">.</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w:t>
      </w:r>
      <w:r>
        <w:rPr>
          <w:rStyle w:val="FootnoteReference"/>
        </w:rPr>
        <w:footnoteReference w:id="1573"/>
      </w:r>
      <w:r>
        <w:t xml:space="preserve">.</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w:t>
      </w:r>
      <w:r>
        <w:rPr>
          <w:rStyle w:val="FootnoteReference"/>
        </w:rPr>
        <w:footnoteReference w:id="1574"/>
      </w:r>
      <w:r>
        <w:t xml:space="preserve">. Unter dem Namen LUM-201 löste es in einer Studie mit 68 Kindern höhere GH-Antworten aus als die üblichen Stimulationstests</w:t>
      </w:r>
      <w:r>
        <w:rPr>
          <w:rStyle w:val="FootnoteReference"/>
        </w:rPr>
        <w:footnoteReference w:id="157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1576"/>
    <w:bookmarkEnd w:id="1577"/>
    <w:bookmarkStart w:id="1580"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w:t>
      </w:r>
      <w:r>
        <w:rPr>
          <w:rStyle w:val="FootnoteReference"/>
        </w:rPr>
        <w:footnoteReference w:id="1578"/>
      </w:r>
      <w:r>
        <w:t xml:space="preserve"> </w:t>
      </w:r>
      <w:r>
        <w:t xml:space="preserve">– ein Befund, der sich in der großen Alzheimer-Studie am Menschen nicht in einen klinischen Nutzen übersetzte. Die Struktur des Ghrelin-Rezeptors mit gebundenem Ibutamoren wurde 2021 aufgeklärt</w:t>
      </w:r>
      <w:r>
        <w:rPr>
          <w:rStyle w:val="FootnoteReference"/>
        </w:rPr>
        <w:footnoteReference w:id="1579"/>
      </w:r>
      <w:r>
        <w:t xml:space="preserve">.</w:t>
      </w:r>
    </w:p>
    <w:bookmarkEnd w:id="1580"/>
    <w:bookmarkStart w:id="1591"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w:t>
      </w:r>
      <w:r>
        <w:rPr>
          <w:rStyle w:val="FootnoteReference"/>
        </w:rPr>
        <w:footnoteReference w:id="1581"/>
      </w:r>
      <w:r>
        <w:t xml:space="preserve">.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w:t>
      </w:r>
      <w:r>
        <w:rPr>
          <w:rStyle w:val="FootnoteReference"/>
        </w:rPr>
        <w:footnoteReference w:id="1582"/>
      </w:r>
      <w:r>
        <w:t xml:space="preserve">; verschlechterte Glukosetoleranz bei übergewichtigen Männern</w:t>
      </w:r>
      <w:r>
        <w:rPr>
          <w:rStyle w:val="FootnoteReference"/>
        </w:rPr>
        <w:footnoteReference w:id="1583"/>
      </w:r>
      <w:r>
        <w:t xml:space="preserve">.</w:t>
      </w:r>
    </w:p>
    <w:p>
      <w:pPr>
        <w:numPr>
          <w:ilvl w:val="0"/>
          <w:numId w:val="1188"/>
        </w:numPr>
        <w:pStyle w:val="Compact"/>
      </w:pPr>
      <w:r>
        <w:rPr>
          <w:bCs/>
          <w:b/>
        </w:rPr>
        <w:t xml:space="preserve">Gewichtszunahme und Appetit:</w:t>
      </w:r>
      <w:r>
        <w:t xml:space="preserve"> </w:t>
      </w:r>
      <w:r>
        <w:t xml:space="preserve">mehr Körpergewicht, mehr Fett an Armen und Beinen, gesteigerter Hunger</w:t>
      </w:r>
      <w:r>
        <w:rPr>
          <w:rStyle w:val="FootnoteReference"/>
        </w:rPr>
        <w:footnoteReference w:id="1584"/>
      </w:r>
      <w:r>
        <w:t xml:space="preserve">.</w:t>
      </w:r>
    </w:p>
    <w:p>
      <w:pPr>
        <w:numPr>
          <w:ilvl w:val="0"/>
          <w:numId w:val="1188"/>
        </w:numPr>
        <w:pStyle w:val="Compact"/>
      </w:pPr>
      <w:r>
        <w:rPr>
          <w:bCs/>
          <w:b/>
        </w:rPr>
        <w:t xml:space="preserve">Wassereinlagerungen und Muskelschmerzen</w:t>
      </w:r>
      <w:r>
        <w:rPr>
          <w:rStyle w:val="FootnoteReference"/>
        </w:rPr>
        <w:footnoteReference w:id="1585"/>
      </w:r>
      <w:r>
        <w:t xml:space="preserve">.</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w:t>
      </w:r>
      <w:r>
        <w:rPr>
          <w:rStyle w:val="FootnoteReference"/>
        </w:rPr>
        <w:footnoteReference w:id="1586"/>
      </w:r>
      <w:r>
        <w:t xml:space="preserve">. Ein 40-Jähriger entwickelte Brustwachstum und einen Testosteronmangel; seine Fitness-Supplemente enthielten neben MK-677 auch ein SARM, Cardarine sowie nicht deklarierte Hormone</w:t>
      </w:r>
      <w:r>
        <w:rPr>
          <w:rStyle w:val="FootnoteReference"/>
        </w:rPr>
        <w:footnoteReference w:id="1587"/>
      </w:r>
      <w:r>
        <w:t xml:space="preserve">.</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w:t>
      </w:r>
      <w:r>
        <w:rPr>
          <w:rStyle w:val="FootnoteReference"/>
        </w:rPr>
        <w:footnoteReference w:id="1588"/>
      </w:r>
      <w:r>
        <w:t xml:space="preserve">.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w:t>
      </w:r>
      <w:r>
        <w:rPr>
          <w:rStyle w:val="FootnoteReference"/>
        </w:rPr>
        <w:footnoteReference w:id="1589"/>
      </w:r>
      <w:r>
        <w:t xml:space="preserve">. Eine europäische Marktüberwachung mit 324 Proben aus 13 Ländern fand Ibutamoren als häufigsten Wirkstoff unter den untersuchten Muskelaufbau-Präparaten; 24 % der Produkte waren als Nahrungsergänzungsmittel aufgemacht</w:t>
      </w:r>
      <w:r>
        <w:rPr>
          <w:rStyle w:val="FootnoteReference"/>
        </w:rPr>
        <w:footnoteReference w:id="1590"/>
      </w:r>
      <w:r>
        <w:t xml:space="preserve">.</w:t>
      </w:r>
    </w:p>
    <w:bookmarkEnd w:id="1591"/>
    <w:bookmarkStart w:id="1593"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w:t>
      </w:r>
      <w:r>
        <w:rPr>
          <w:rStyle w:val="FootnoteReference"/>
        </w:rPr>
        <w:footnoteReference w:id="1592"/>
      </w:r>
      <w:r>
        <w:t xml:space="preserve">.</w:t>
      </w:r>
    </w:p>
    <w:bookmarkEnd w:id="1593"/>
    <w:bookmarkStart w:id="1598"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w:t>
      </w:r>
      <w:r>
        <w:rPr>
          <w:rStyle w:val="FootnoteReference"/>
        </w:rPr>
        <w:footnoteReference w:id="1594"/>
      </w:r>
      <w:r>
        <w:t xml:space="preserve"> </w:t>
      </w:r>
      <w:r>
        <w:t xml:space="preserve">ist abgeschlossen; eine Phase-3-Studie mit geplant 150 Kindern rekrutiert seit 2026</w:t>
      </w:r>
      <w:r>
        <w:rPr>
          <w:rStyle w:val="FootnoteReference"/>
        </w:rPr>
        <w:footnoteReference w:id="1595"/>
      </w:r>
      <w:r>
        <w:t xml:space="preserve">, eine Langzeit-Sicherheitsstudie ist geplant</w:t>
      </w:r>
      <w:r>
        <w:rPr>
          <w:rStyle w:val="FootnoteReference"/>
        </w:rPr>
        <w:footnoteReference w:id="1596"/>
      </w:r>
      <w:r>
        <w:t xml:space="preserve">. Eine weitere Phase-2-Studie soll ab 2027 LUM-201 zusätzlich zu Semaglutid bei älteren Menschen mit Adipositas untersuchen, um Muskelverlust beim Abnehmen zu begrenzen</w:t>
      </w:r>
      <w:r>
        <w:rPr>
          <w:rStyle w:val="FootnoteReference"/>
        </w:rPr>
        <w:footnoteReference w:id="1597"/>
      </w:r>
      <w:r>
        <w:t xml:space="preserve">.</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1598"/>
    <w:bookmarkStart w:id="1599"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1599"/>
    <w:bookmarkEnd w:id="1600"/>
    <w:bookmarkEnd w:id="1601"/>
    <w:bookmarkStart w:id="1956" w:name="X148d9d501a69aec50e3f555280d48f839acb750"/>
    <w:p>
      <w:pPr>
        <w:pStyle w:val="Heading1"/>
      </w:pPr>
      <w:r>
        <w:t xml:space="preserve">Teil II · D – Gehirn, Schlaf und Langlebigkeit</w:t>
      </w:r>
    </w:p>
    <w:p>
      <w:pPr>
        <w:pStyle w:val="FirstParagraph"/>
      </w:pPr>
      <w:r>
        <w:t xml:space="preserve">Kaum eine Gruppe von Peptiden wird im Internet so vielversprechend beworben wie diese: Mittel für mehr Konzentration und Gedächtnis („Nootropika“), für tieferen Schlaf, für längere Telomere und „jüngere Mitochondrien“. Gemeinsam ist den zwölf Wirkstoffen dieses Abschnitts, dass sie auf Gehirn, Zellalterung oder Energiestoffwechsel zielen – und dass die Kluft zwischen Versprechen und Beweislage hier besonders groß ist.</w:t>
      </w:r>
    </w:p>
    <w:bookmarkStart w:id="1602" w:name="was-diese-peptide-verbindet-1"/>
    <w:p>
      <w:pPr>
        <w:pStyle w:val="Heading3"/>
      </w:pPr>
      <w:r>
        <w:t xml:space="preserve">Was diese Peptide verbindet</w:t>
      </w:r>
    </w:p>
    <w:p>
      <w:pPr>
        <w:pStyle w:val="FirstParagraph"/>
      </w:pPr>
      <w:r>
        <w:t xml:space="preserve">Die Gruppe lässt sich grob in drei Familien einteilen:</w:t>
      </w:r>
    </w:p>
    <w:p>
      <w:pPr>
        <w:numPr>
          <w:ilvl w:val="0"/>
          <w:numId w:val="1190"/>
        </w:numPr>
        <w:pStyle w:val="Compact"/>
      </w:pPr>
      <w:r>
        <w:rPr>
          <w:bCs/>
          <w:b/>
        </w:rPr>
        <w:t xml:space="preserve">Russische Neuropeptide und „Bioregulatoren“:</w:t>
      </w:r>
      <w:r>
        <w:t xml:space="preserve"> </w:t>
      </w:r>
      <w:r>
        <w:t xml:space="preserve">Semax, Selank, DSIP, Epitalon und Pinealon stammen aus der sowjetischen und russischen Forschung. Cerebrolysin, ein Peptidgemisch aus Schweinehirn, kommt aus Österreich, wird aber vor allem in Osteuropa und Asien verwendet.</w:t>
      </w:r>
    </w:p>
    <w:p>
      <w:pPr>
        <w:numPr>
          <w:ilvl w:val="0"/>
          <w:numId w:val="1190"/>
        </w:numPr>
        <w:pStyle w:val="Compact"/>
      </w:pPr>
      <w:r>
        <w:rPr>
          <w:bCs/>
          <w:b/>
        </w:rPr>
        <w:t xml:space="preserve">Mitochondriale Peptide:</w:t>
      </w:r>
      <w:r>
        <w:t xml:space="preserve"> </w:t>
      </w:r>
      <w:r>
        <w:t xml:space="preserve">MOTS-c und Humanin sind körpereigene Signalstoffe, die im Erbgut der Mitochondrien verschlüsselt sind. SS-31 (Elamipretid) ist ein künstliches Peptid, das gezielt an die Mitochondrien-Membran bindet.</w:t>
      </w:r>
    </w:p>
    <w:p>
      <w:pPr>
        <w:numPr>
          <w:ilvl w:val="0"/>
          <w:numId w:val="1190"/>
        </w:numPr>
        <w:pStyle w:val="Compact"/>
      </w:pPr>
      <w:r>
        <w:rPr>
          <w:bCs/>
          <w:b/>
        </w:rPr>
        <w:t xml:space="preserve">Experimentelle „Anti-Aging“-Moleküle:</w:t>
      </w:r>
      <w:r>
        <w:t xml:space="preserve"> </w:t>
      </w:r>
      <w:r>
        <w:t xml:space="preserve">Dihexa (ein Abkömmling von Angiotensin IV) und FOXO4-DRI (ein Senolytikum, das gealterte Zellen beseitigen soll) wurden nie am Menschen untersucht. Glutathion schließlich ist ein körpereigenes Tripeptid, das als Nahrungsergänzung und Infusion verkauft wird.</w:t>
      </w:r>
    </w:p>
    <w:bookmarkEnd w:id="1602"/>
    <w:bookmarkStart w:id="1603" w:name="die-nootropika--und-longevity-szene"/>
    <w:p>
      <w:pPr>
        <w:pStyle w:val="Heading3"/>
      </w:pPr>
      <w:r>
        <w:t xml:space="preserve">Die Nootropika- und Longevity-Szene</w:t>
      </w:r>
    </w:p>
    <w:p>
      <w:pPr>
        <w:pStyle w:val="FirstParagraph"/>
      </w:pPr>
      <w:r>
        <w:t xml:space="preserve">Wer im Internet nach diesen Stoffen sucht, landet schnell in Foren, bei Influencern und „Longevity-Kliniken“. Typisch sind drei Denkfehler, denen Sie in den folgenden Kapiteln immer wieder begegnen werden:</w:t>
      </w:r>
    </w:p>
    <w:p>
      <w:pPr>
        <w:numPr>
          <w:ilvl w:val="0"/>
          <w:numId w:val="1191"/>
        </w:numPr>
        <w:pStyle w:val="Compact"/>
      </w:pPr>
      <w:r>
        <w:rPr>
          <w:bCs/>
          <w:b/>
        </w:rPr>
        <w:t xml:space="preserve">Vom Tier auf den Menschen:</w:t>
      </w:r>
      <w:r>
        <w:t xml:space="preserve"> </w:t>
      </w:r>
      <w:r>
        <w:t xml:space="preserve">Dass ein Peptid bei Mäusen das Gedächtnis oder die Lebensdauer verbessert, sagt wenig darüber, ob es beim Menschen wirkt. In der Schlaganfall- und Alzheimerforschung sind Hunderte im Tier erfolgreiche Wirkstoffe am Menschen gescheitert.</w:t>
      </w:r>
    </w:p>
    <w:p>
      <w:pPr>
        <w:numPr>
          <w:ilvl w:val="0"/>
          <w:numId w:val="1191"/>
        </w:numPr>
        <w:pStyle w:val="Compact"/>
      </w:pPr>
      <w:r>
        <w:rPr>
          <w:bCs/>
          <w:b/>
        </w:rPr>
        <w:t xml:space="preserve">Vom Spiegel auf die Spritze:</w:t>
      </w:r>
      <w:r>
        <w:t xml:space="preserve"> </w:t>
      </w:r>
      <w:r>
        <w:t xml:space="preserve">Dass Menschen mit niedrigen MOTS-c- oder Humanin-Spiegeln häufiger krank sind, beweist nicht, dass eine Zufuhr gesund macht.</w:t>
      </w:r>
    </w:p>
    <w:p>
      <w:pPr>
        <w:numPr>
          <w:ilvl w:val="0"/>
          <w:numId w:val="1191"/>
        </w:numPr>
        <w:pStyle w:val="Compact"/>
      </w:pPr>
      <w:r>
        <w:rPr>
          <w:bCs/>
          <w:b/>
        </w:rPr>
        <w:t xml:space="preserve">Vom Mechanismus auf den Nutzen:</w:t>
      </w:r>
      <w:r>
        <w:t xml:space="preserve"> </w:t>
      </w:r>
      <w:r>
        <w:t xml:space="preserve">Ein schlüssiger Mechanismus – „schützt die Mitochondrien“, „verlängert Telomere“ – ist keine Wirksamkeit. SS-31 ist dafür das beste Beispiel: Es wurde in mehreren großen Studien geprüft und verfehlte bei Herzinfarkt, Herzschwäche und mitochondrialer Myopathie die Hauptziele.</w:t>
      </w:r>
    </w:p>
    <w:p>
      <w:pPr>
        <w:pStyle w:val="FirstParagraph"/>
      </w:pPr>
      <w:r>
        <w:t xml:space="preserve">Hinzu kommt, dass fast alle diese Stoffe im Graumarkt als „Research Peptides“ verkauft werden – ohne Qualitätskontrolle (siehe Teil I und Teil IV).</w:t>
      </w:r>
    </w:p>
    <w:bookmarkEnd w:id="1603"/>
    <w:bookmarkStart w:id="1604" w:name="Xedf599180219294ae94c554e13112a584863f38"/>
    <w:p>
      <w:pPr>
        <w:pStyle w:val="Heading3"/>
      </w:pPr>
      <w:r>
        <w:t xml:space="preserve">Russische Peptidforschung und ihre Publikationslage</w:t>
      </w:r>
    </w:p>
    <w:p>
      <w:pPr>
        <w:pStyle w:val="FirstParagraph"/>
      </w:pPr>
      <w:r>
        <w:t xml:space="preserve">Ein großer Teil der Literatur zu Semax, Selank, DSIP, Epitalon und Pinealon stammt aus wenigen Instituten in Moskau und St. Petersburg. Das ist kein Grund, die Forschung pauschal abzulehnen – aber ein Grund für Vorsicht:</w:t>
      </w:r>
    </w:p>
    <w:p>
      <w:pPr>
        <w:numPr>
          <w:ilvl w:val="0"/>
          <w:numId w:val="1192"/>
        </w:numPr>
        <w:pStyle w:val="Compact"/>
      </w:pPr>
      <w:r>
        <w:rPr>
          <w:bCs/>
          <w:b/>
        </w:rPr>
        <w:t xml:space="preserve">Zulassung ohne internationale Standards:</w:t>
      </w:r>
      <w:r>
        <w:t xml:space="preserve"> </w:t>
      </w:r>
      <w:r>
        <w:t xml:space="preserve">Einige Peptide sind in Russland als Arzneimittel registriert, ohne dass große, verblindete, vorab registrierte Studien veröffentlicht wurden, wie sie EU oder USA verlangen.</w:t>
      </w:r>
    </w:p>
    <w:p>
      <w:pPr>
        <w:numPr>
          <w:ilvl w:val="0"/>
          <w:numId w:val="1192"/>
        </w:numPr>
        <w:pStyle w:val="Compact"/>
      </w:pPr>
      <w:r>
        <w:rPr>
          <w:bCs/>
          <w:b/>
        </w:rPr>
        <w:t xml:space="preserve">Kleine, unkontrollierte Studien:</w:t>
      </w:r>
      <w:r>
        <w:t xml:space="preserve"> </w:t>
      </w:r>
      <w:r>
        <w:t xml:space="preserve">Viele klinische Arbeiten haben keine Placebogruppe, keine Zufallszuteilung oder nennen in der Kurzfassung keine Zahlen.</w:t>
      </w:r>
    </w:p>
    <w:p>
      <w:pPr>
        <w:numPr>
          <w:ilvl w:val="0"/>
          <w:numId w:val="1192"/>
        </w:numPr>
        <w:pStyle w:val="Compact"/>
      </w:pPr>
      <w:r>
        <w:rPr>
          <w:bCs/>
          <w:b/>
        </w:rPr>
        <w:t xml:space="preserve">Sprache und Zugang:</w:t>
      </w:r>
      <w:r>
        <w:t xml:space="preserve"> </w:t>
      </w:r>
      <w:r>
        <w:t xml:space="preserve">Viele Arbeiten erscheinen nur auf Russisch, oft in Zeitschriften, in denen die Autorengruppen selbst häufig publizieren.</w:t>
      </w:r>
    </w:p>
    <w:p>
      <w:pPr>
        <w:numPr>
          <w:ilvl w:val="0"/>
          <w:numId w:val="1192"/>
        </w:numPr>
        <w:pStyle w:val="Compact"/>
      </w:pPr>
      <w:r>
        <w:rPr>
          <w:bCs/>
          <w:b/>
        </w:rPr>
        <w:t xml:space="preserve">Fehlende Wiederholung:</w:t>
      </w:r>
      <w:r>
        <w:t xml:space="preserve"> </w:t>
      </w:r>
      <w:r>
        <w:t xml:space="preserve">Unabhängige Gruppen außerhalb Russlands haben die Ergebnisse selten nachgeprüft – und wenn, dann oft mit ernüchterndem Ergebnis, wie bei DSIP.</w:t>
      </w:r>
    </w:p>
    <w:p>
      <w:pPr>
        <w:numPr>
          <w:ilvl w:val="0"/>
          <w:numId w:val="1192"/>
        </w:numPr>
        <w:pStyle w:val="Compact"/>
      </w:pPr>
      <w:r>
        <w:rPr>
          <w:bCs/>
          <w:b/>
        </w:rPr>
        <w:t xml:space="preserve">Keine Registereinträge:</w:t>
      </w:r>
      <w:r>
        <w:t xml:space="preserve"> </w:t>
      </w:r>
      <w:r>
        <w:t xml:space="preserve">Für Semax, Selank, DSIP und Pinealon findet sich auf ClinicalTrials.gov keine einzige Studie.</w:t>
      </w:r>
    </w:p>
    <w:bookmarkEnd w:id="1604"/>
    <w:bookmarkStart w:id="1605"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ACTH-Fragment; kleine Schlaganfallstudien</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Angstlöser; keine Placebostudien</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w:t>
            </w:r>
          </w:p>
        </w:tc>
        <w:tc>
          <w:tcPr/>
          <w:p>
            <w:pPr>
              <w:pStyle w:val="Compact"/>
              <w:jc w:val="left"/>
            </w:pPr>
            <w:r>
              <w:t xml:space="preserve">viele RCTs, Cochrane zurückhaltend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w:t>
            </w:r>
          </w:p>
        </w:tc>
        <w:tc>
          <w:tcPr/>
          <w:p>
            <w:pPr>
              <w:pStyle w:val="Compact"/>
              <w:jc w:val="left"/>
            </w:pPr>
            <w:r>
              <w:t xml:space="preserve">nur Tierdaten; Krebsfrage offen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w:t>
            </w:r>
          </w:p>
        </w:tc>
        <w:tc>
          <w:tcPr/>
          <w:p>
            <w:pPr>
              <w:pStyle w:val="Compact"/>
              <w:jc w:val="left"/>
            </w:pPr>
            <w:r>
              <w:t xml:space="preserve">„Schlafpeptid“ ohne bestätigten Nutzen</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Telomer-Versprechen nur im Labor</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kleine russische Beobachtungen</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w:t>
            </w:r>
          </w:p>
        </w:tc>
        <w:tc>
          <w:tcPr/>
          <w:p>
            <w:pPr>
              <w:pStyle w:val="Compact"/>
              <w:jc w:val="left"/>
            </w:pPr>
            <w:r>
              <w:t xml:space="preserve">Mäuse ja, Menschen nur Spiegel</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w:t>
            </w:r>
          </w:p>
        </w:tc>
        <w:tc>
          <w:tcPr/>
          <w:p>
            <w:pPr>
              <w:pStyle w:val="Compact"/>
              <w:jc w:val="left"/>
            </w:pPr>
            <w:r>
              <w:t xml:space="preserve">Biomarker; im Tier tumorfördernd</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USA (Barth-Syndrom)</w:t>
            </w:r>
          </w:p>
        </w:tc>
        <w:tc>
          <w:tcPr/>
          <w:p>
            <w:pPr>
              <w:pStyle w:val="Compact"/>
              <w:jc w:val="left"/>
            </w:pPr>
            <w:r>
              <w:t xml:space="preserve">große Studien meist negativ</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w:t>
            </w:r>
          </w:p>
        </w:tc>
        <w:tc>
          <w:tcPr/>
          <w:p>
            <w:pPr>
              <w:pStyle w:val="Compact"/>
              <w:jc w:val="left"/>
            </w:pPr>
            <w:r>
              <w:t xml:space="preserve">Senolytikum, nur Tierdaten</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w:t>
            </w:r>
          </w:p>
        </w:tc>
        <w:tc>
          <w:tcPr/>
          <w:p>
            <w:pPr>
              <w:pStyle w:val="Compact"/>
              <w:jc w:val="left"/>
            </w:pPr>
            <w:r>
              <w:t xml:space="preserve">Infusionen zur Hautaufhellung riskant</w:t>
            </w:r>
          </w:p>
        </w:tc>
      </w:tr>
    </w:tbl>
    <w:bookmarkEnd w:id="1605"/>
    <w:bookmarkStart w:id="1606" w:name="lesehinweis-3"/>
    <w:p>
      <w:pPr>
        <w:pStyle w:val="Heading3"/>
      </w:pPr>
      <w:r>
        <w:t xml:space="preserve">Lesehinweis</w:t>
      </w:r>
    </w:p>
    <w:p>
      <w:pPr>
        <w:pStyle w:val="FirstParagraph"/>
      </w:pPr>
      <w:r>
        <w:t xml:space="preserve">Die Kapitel folgen dem einheitlichen Aufbau dieses Buches. Achten Sie in jedem Kapitel besonders auf den Abschnitt „Studien am Menschen“ und dort auf die Größenordnung der Studienlage: Bei neun der zwölf Peptide gibt es entweder keine Studie, in der Menschen den Wirkstoff erhielten, oder nur sehr kleine, methodisch schwache Untersuchungen. Rechtslage und FDA-Status haben sich 2026 mehrfach geändert; die Angaben entsprechen dem Stand Oktober 2026 und sollten aktuell geprüft werden.</w:t>
      </w:r>
    </w:p>
    <w:bookmarkEnd w:id="1606"/>
    <w:bookmarkStart w:id="1635" w:name="semax"/>
    <w:p>
      <w:pPr>
        <w:pStyle w:val="Heading2"/>
      </w:pPr>
      <w:r>
        <w:t xml:space="preserve">Semax</w:t>
      </w:r>
    </w:p>
    <w:bookmarkStart w:id="1607" w:name="steckbrief-34"/>
    <w:p>
      <w:pPr>
        <w:pStyle w:val="Heading3"/>
      </w:pPr>
      <w:r>
        <w:t xml:space="preserve">Steckbrief</w:t>
      </w:r>
    </w:p>
    <w:p>
      <w:pPr>
        <w:numPr>
          <w:ilvl w:val="0"/>
          <w:numId w:val="1193"/>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3"/>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3"/>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3"/>
        </w:numPr>
        <w:pStyle w:val="Compact"/>
      </w:pPr>
      <w:r>
        <w:rPr>
          <w:bCs/>
          <w:b/>
        </w:rPr>
        <w:t xml:space="preserve">Zulassung EU:</w:t>
      </w:r>
      <w:r>
        <w:t xml:space="preserve"> </w:t>
      </w:r>
      <w:r>
        <w:t xml:space="preserve">nein.</w:t>
      </w:r>
    </w:p>
    <w:p>
      <w:pPr>
        <w:numPr>
          <w:ilvl w:val="0"/>
          <w:numId w:val="1193"/>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3"/>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3"/>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w:t>
      </w:r>
    </w:p>
    <w:p>
      <w:pPr>
        <w:numPr>
          <w:ilvl w:val="0"/>
          <w:numId w:val="1193"/>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1607"/>
    <w:bookmarkStart w:id="1610"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4"/>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w:t>
      </w:r>
      <w:r>
        <w:rPr>
          <w:rStyle w:val="FootnoteReference"/>
        </w:rPr>
        <w:footnoteReference w:id="1608"/>
      </w:r>
      <w:r>
        <w:t xml:space="preserve">.</w:t>
      </w:r>
    </w:p>
    <w:p>
      <w:pPr>
        <w:numPr>
          <w:ilvl w:val="0"/>
          <w:numId w:val="1194"/>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w:t>
      </w:r>
      <w:r>
        <w:rPr>
          <w:rStyle w:val="FootnoteReference"/>
        </w:rPr>
        <w:footnoteReference w:id="1609"/>
      </w:r>
      <w:r>
        <w:t xml:space="preserve">.</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1610"/>
    <w:bookmarkStart w:id="1622"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1614"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w:t>
      </w:r>
      <w:r>
        <w:rPr>
          <w:rStyle w:val="FootnoteReference"/>
        </w:rPr>
        <w:footnoteReference w:id="1611"/>
      </w:r>
      <w:r>
        <w:t xml:space="preserve">. Eine Folgearbeit derselben Gruppe untersuchte Entzündungsbotenstoffe im Blut und war ausdrücklich eine rückblickende Auswertung</w:t>
      </w:r>
      <w:r>
        <w:rPr>
          <w:rStyle w:val="FootnoteReference"/>
        </w:rPr>
        <w:footnoteReference w:id="1612"/>
      </w:r>
      <w:r>
        <w:t xml:space="preserve">.</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w:t>
      </w:r>
      <w:r>
        <w:rPr>
          <w:rStyle w:val="FootnoteReference"/>
        </w:rPr>
        <w:footnoteReference w:id="1613"/>
      </w:r>
      <w:r>
        <w:t xml:space="preserve">.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1614"/>
    <w:bookmarkStart w:id="1619" w:name="andere-anwendungen-1"/>
    <w:p>
      <w:pPr>
        <w:pStyle w:val="Heading4"/>
      </w:pPr>
      <w:r>
        <w:t xml:space="preserve">Andere Anwendungen</w:t>
      </w:r>
    </w:p>
    <w:p>
      <w:pPr>
        <w:numPr>
          <w:ilvl w:val="0"/>
          <w:numId w:val="1195"/>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w:t>
      </w:r>
      <w:r>
        <w:rPr>
          <w:rStyle w:val="FootnoteReference"/>
        </w:rPr>
        <w:footnoteReference w:id="1615"/>
      </w:r>
      <w:r>
        <w:t xml:space="preserve">. Ohne Placebogruppe lässt sich ein Erwartungseffekt nicht ausschließen.</w:t>
      </w:r>
    </w:p>
    <w:p>
      <w:pPr>
        <w:numPr>
          <w:ilvl w:val="0"/>
          <w:numId w:val="1195"/>
        </w:numPr>
        <w:pStyle w:val="Compact"/>
      </w:pPr>
      <w:r>
        <w:rPr>
          <w:bCs/>
          <w:b/>
        </w:rPr>
        <w:t xml:space="preserve">Sehnerverkrankungen:</w:t>
      </w:r>
      <w:r>
        <w:t xml:space="preserve"> </w:t>
      </w:r>
      <w:r>
        <w:t xml:space="preserve">Eine kontrollierte Studie berichtet über bessere Sehfunktionen bei Zusatzbehandlung mit Semax, ohne Zahlen im Abstract</w:t>
      </w:r>
      <w:r>
        <w:rPr>
          <w:rStyle w:val="FootnoteReference"/>
        </w:rPr>
        <w:footnoteReference w:id="1616"/>
      </w:r>
      <w:r>
        <w:t xml:space="preserve">.</w:t>
      </w:r>
    </w:p>
    <w:p>
      <w:pPr>
        <w:numPr>
          <w:ilvl w:val="0"/>
          <w:numId w:val="1195"/>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w:t>
      </w:r>
      <w:r>
        <w:rPr>
          <w:rStyle w:val="FootnoteReference"/>
        </w:rPr>
        <w:footnoteReference w:id="1617"/>
      </w:r>
      <w:r>
        <w:t xml:space="preserve">.</w:t>
      </w:r>
    </w:p>
    <w:p>
      <w:pPr>
        <w:numPr>
          <w:ilvl w:val="0"/>
          <w:numId w:val="1195"/>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w:t>
      </w:r>
      <w:r>
        <w:rPr>
          <w:rStyle w:val="FootnoteReference"/>
        </w:rPr>
        <w:footnoteReference w:id="1618"/>
      </w:r>
      <w:r>
        <w:t xml:space="preserve">. Gruppengröße und Zuteilung nennt das Abstract nicht; die Autoren selbst fordern weitere Studien.</w:t>
      </w:r>
    </w:p>
    <w:bookmarkEnd w:id="1619"/>
    <w:bookmarkStart w:id="1621"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w:t>
      </w:r>
      <w:r>
        <w:rPr>
          <w:rStyle w:val="FootnoteReference"/>
        </w:rPr>
        <w:footnoteReference w:id="1620"/>
      </w:r>
      <w:r>
        <w:t xml:space="preserve">.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1621"/>
    <w:bookmarkEnd w:id="1622"/>
    <w:bookmarkStart w:id="1627"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6"/>
        </w:numPr>
        <w:pStyle w:val="Compact"/>
      </w:pPr>
      <w:r>
        <w:t xml:space="preserve">Bei Ratten mit künstlich ausgelöstem Schlaganfall veränderte Semax die Aktivität von Genen des Immun- und Gefäßsystems</w:t>
      </w:r>
      <w:r>
        <w:rPr>
          <w:rStyle w:val="FootnoteReference"/>
        </w:rPr>
        <w:footnoteReference w:id="1623"/>
      </w:r>
      <w:r>
        <w:t xml:space="preserve">.</w:t>
      </w:r>
    </w:p>
    <w:p>
      <w:pPr>
        <w:numPr>
          <w:ilvl w:val="0"/>
          <w:numId w:val="1196"/>
        </w:numPr>
        <w:pStyle w:val="Compact"/>
      </w:pPr>
      <w:r>
        <w:t xml:space="preserve">Bei Ratten, deren Dopamin-System mit dem Nervengift MPTP geschädigt wurde, verringerte Semax Bewegungs- und Angststörungen</w:t>
      </w:r>
      <w:r>
        <w:rPr>
          <w:rStyle w:val="FootnoteReference"/>
        </w:rPr>
        <w:footnoteReference w:id="1624"/>
      </w:r>
      <w:r>
        <w:t xml:space="preserve">.</w:t>
      </w:r>
    </w:p>
    <w:p>
      <w:pPr>
        <w:numPr>
          <w:ilvl w:val="0"/>
          <w:numId w:val="1196"/>
        </w:numPr>
        <w:pStyle w:val="Compact"/>
      </w:pPr>
      <w:r>
        <w:t xml:space="preserve">Bei gentechnisch veränderten Mäusen mit Alzheimer-ähnlichen Ablagerungen verbesserten Semax und ein Abkömmling das Verhalten in Gedächtnistests und verringerten die Zahl der Amyloid-Ablagerungen</w:t>
      </w:r>
      <w:r>
        <w:rPr>
          <w:rStyle w:val="FootnoteReference"/>
        </w:rPr>
        <w:footnoteReference w:id="1625"/>
      </w:r>
      <w:r>
        <w:t xml:space="preserve">.</w:t>
      </w:r>
    </w:p>
    <w:p>
      <w:pPr>
        <w:numPr>
          <w:ilvl w:val="0"/>
          <w:numId w:val="1196"/>
        </w:numPr>
        <w:pStyle w:val="Compact"/>
      </w:pPr>
      <w:r>
        <w:t xml:space="preserve">In Laborversuchen bindet Semax Kupferionen, was die Bildung schädlicher Sauerstoffradikale durch Amyloid-Kupfer-Komplexe dämpfte</w:t>
      </w:r>
      <w:r>
        <w:rPr>
          <w:rStyle w:val="FootnoteReference"/>
        </w:rPr>
        <w:footnoteReference w:id="1626"/>
      </w:r>
      <w:r>
        <w:t xml:space="preserve">.</w:t>
      </w:r>
    </w:p>
    <w:p>
      <w:pPr>
        <w:pStyle w:val="FirstParagraph"/>
      </w:pPr>
      <w:r>
        <w:t xml:space="preserve">Diese Ergebnisse sind Tier- und Laborbefunde. Viele Wirkstoffe, die in solchen Modellen schützten, versagten später beim Menschen.</w:t>
      </w:r>
    </w:p>
    <w:bookmarkEnd w:id="1627"/>
    <w:bookmarkStart w:id="1631"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w:t>
      </w:r>
      <w:r>
        <w:rPr>
          <w:rStyle w:val="FootnoteReference"/>
        </w:rPr>
        <w:footnoteReference w:id="1628"/>
      </w:r>
      <w:r>
        <w:t xml:space="preserve">. Ein ernstzunehmendes Signal ist die Beobachtung anfallsartiger EEG-Veränderungen nach der Gabe bei einzelnen Personen mit vorgeschädigtem Gehirn</w:t>
      </w:r>
      <w:r>
        <w:rPr>
          <w:rStyle w:val="FootnoteReference"/>
        </w:rPr>
        <w:footnoteReference w:id="1629"/>
      </w:r>
      <w:r>
        <w:t xml:space="preserve">.</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Arzneimittel-Kontrolllabor identifizierte Semax und Selank 2017 und 2018 in beschlagnahmten, unbekannten Präparaten und fand bei einer Online-Recherche, dass solche „Nootropika-Peptide“ frei als Pulver zur Injektion oder als Nasenspray angeboten werden</w:t>
      </w:r>
      <w:r>
        <w:rPr>
          <w:rStyle w:val="FootnoteReference"/>
        </w:rPr>
        <w:footnoteReference w:id="1630"/>
      </w:r>
      <w:r>
        <w:t xml:space="preserve">. Mehr dazu in Teil I und Teil IV.</w:t>
      </w:r>
    </w:p>
    <w:bookmarkEnd w:id="1631"/>
    <w:bookmarkStart w:id="1632" w:name="rechtslage-34"/>
    <w:p>
      <w:pPr>
        <w:pStyle w:val="Heading3"/>
      </w:pPr>
      <w:r>
        <w:t xml:space="preserve">Rechtslage</w:t>
      </w:r>
    </w:p>
    <w:p>
      <w:pPr>
        <w:numPr>
          <w:ilvl w:val="0"/>
          <w:numId w:val="1197"/>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w:t>
      </w:r>
    </w:p>
    <w:p>
      <w:pPr>
        <w:numPr>
          <w:ilvl w:val="0"/>
          <w:numId w:val="1197"/>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7"/>
        </w:numPr>
        <w:pStyle w:val="Compact"/>
      </w:pPr>
      <w:r>
        <w:rPr>
          <w:bCs/>
          <w:b/>
        </w:rPr>
        <w:t xml:space="preserve">Russland:</w:t>
      </w:r>
      <w:r>
        <w:t xml:space="preserve"> </w:t>
      </w:r>
      <w:r>
        <w:t xml:space="preserve">als Arzneimittel registriert und in Apotheken erhältlich.</w:t>
      </w:r>
    </w:p>
    <w:p>
      <w:pPr>
        <w:numPr>
          <w:ilvl w:val="0"/>
          <w:numId w:val="1197"/>
        </w:numPr>
        <w:pStyle w:val="Compact"/>
      </w:pPr>
      <w:r>
        <w:rPr>
          <w:bCs/>
          <w:b/>
        </w:rPr>
        <w:t xml:space="preserve">Sport:</w:t>
      </w:r>
      <w:r>
        <w:t xml:space="preserve"> </w:t>
      </w:r>
      <w:r>
        <w:t xml:space="preserve">nicht namentlich auf der WADA-Liste (Stand 2026, bitte aktuell prüfen).</w:t>
      </w:r>
    </w:p>
    <w:bookmarkEnd w:id="1632"/>
    <w:bookmarkStart w:id="1633"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1633"/>
    <w:bookmarkStart w:id="1634"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1634"/>
    <w:bookmarkEnd w:id="1635"/>
    <w:bookmarkStart w:id="1658" w:name="selank"/>
    <w:p>
      <w:pPr>
        <w:pStyle w:val="Heading2"/>
      </w:pPr>
      <w:r>
        <w:t xml:space="preserve">Selank</w:t>
      </w:r>
    </w:p>
    <w:bookmarkStart w:id="1636" w:name="steckbrief-35"/>
    <w:p>
      <w:pPr>
        <w:pStyle w:val="Heading3"/>
      </w:pPr>
      <w:r>
        <w:t xml:space="preserve">Steckbrief</w:t>
      </w:r>
    </w:p>
    <w:p>
      <w:pPr>
        <w:numPr>
          <w:ilvl w:val="0"/>
          <w:numId w:val="1198"/>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8"/>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8"/>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8"/>
        </w:numPr>
        <w:pStyle w:val="Compact"/>
      </w:pPr>
      <w:r>
        <w:rPr>
          <w:bCs/>
          <w:b/>
        </w:rPr>
        <w:t xml:space="preserve">Zulassung EU:</w:t>
      </w:r>
      <w:r>
        <w:t xml:space="preserve"> </w:t>
      </w:r>
      <w:r>
        <w:t xml:space="preserve">nein.</w:t>
      </w:r>
    </w:p>
    <w:p>
      <w:pPr>
        <w:numPr>
          <w:ilvl w:val="0"/>
          <w:numId w:val="1198"/>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8"/>
        </w:numPr>
        <w:pStyle w:val="Compact"/>
      </w:pPr>
      <w:r>
        <w:rPr>
          <w:bCs/>
          <w:b/>
        </w:rPr>
        <w:t xml:space="preserve">Russland:</w:t>
      </w:r>
      <w:r>
        <w:t xml:space="preserve"> </w:t>
      </w:r>
      <w:r>
        <w:t xml:space="preserve">als Arzneimittel (Angstlöser) registriert.</w:t>
      </w:r>
    </w:p>
    <w:p>
      <w:pPr>
        <w:numPr>
          <w:ilvl w:val="0"/>
          <w:numId w:val="1198"/>
        </w:numPr>
        <w:pStyle w:val="Compact"/>
      </w:pPr>
      <w:r>
        <w:rPr>
          <w:bCs/>
          <w:b/>
        </w:rPr>
        <w:t xml:space="preserve">WADA:</w:t>
      </w:r>
      <w:r>
        <w:t xml:space="preserve"> </w:t>
      </w:r>
      <w:r>
        <w:t xml:space="preserve">nicht namentlich gelistet.</w:t>
      </w:r>
    </w:p>
    <w:p>
      <w:pPr>
        <w:numPr>
          <w:ilvl w:val="0"/>
          <w:numId w:val="1198"/>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1636"/>
    <w:bookmarkStart w:id="1640"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9"/>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w:t>
      </w:r>
      <w:r>
        <w:rPr>
          <w:rStyle w:val="FootnoteReference"/>
        </w:rPr>
        <w:footnoteReference w:id="1637"/>
      </w:r>
      <w:r>
        <w:t xml:space="preserve">.</w:t>
      </w:r>
    </w:p>
    <w:p>
      <w:pPr>
        <w:numPr>
          <w:ilvl w:val="0"/>
          <w:numId w:val="1199"/>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w:t>
      </w:r>
      <w:r>
        <w:rPr>
          <w:rStyle w:val="FootnoteReference"/>
        </w:rPr>
        <w:footnoteReference w:id="1638"/>
      </w:r>
      <w:r>
        <w:t xml:space="preserve">.</w:t>
      </w:r>
    </w:p>
    <w:p>
      <w:pPr>
        <w:numPr>
          <w:ilvl w:val="0"/>
          <w:numId w:val="1199"/>
        </w:numPr>
        <w:pStyle w:val="Compact"/>
      </w:pPr>
      <w:r>
        <w:rPr>
          <w:bCs/>
          <w:b/>
        </w:rPr>
        <w:t xml:space="preserve">Immunsystem:</w:t>
      </w:r>
      <w:r>
        <w:t xml:space="preserve"> </w:t>
      </w:r>
      <w:r>
        <w:t xml:space="preserve">Bei Ratten und Mäusen beeinflusste Selank Entzündungsgene; in Zellkulturen und bei Mäusen zeigte es Effekte gegen Influenzaviren</w:t>
      </w:r>
      <w:r>
        <w:rPr>
          <w:rStyle w:val="FootnoteReference"/>
        </w:rPr>
        <w:footnoteReference w:id="1639"/>
      </w:r>
      <w:r>
        <w:t xml:space="preserve">.</w:t>
      </w:r>
    </w:p>
    <w:p>
      <w:pPr>
        <w:pStyle w:val="FirstParagraph"/>
      </w:pPr>
      <w:r>
        <w:t xml:space="preserve">Wie viel Selank nach Gabe in die Nase beim Menschen tatsächlich ins Gehirn gelangt, ist nicht veröffentlicht.</w:t>
      </w:r>
    </w:p>
    <w:bookmarkEnd w:id="1640"/>
    <w:bookmarkStart w:id="1648"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1644"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w:t>
      </w:r>
      <w:r>
        <w:rPr>
          <w:rStyle w:val="FootnoteReference"/>
        </w:rPr>
        <w:footnoteReference w:id="1641"/>
      </w:r>
      <w:r>
        <w:t xml:space="preserve">. In einer zweiten Studie mit 60 Personen wird eine ausgeprägte angstlösende und eine leichte gedächtnisfördernde Wirkung beschrieben, die eine Woche über das Behandlungsende hinaus anhielt</w:t>
      </w:r>
      <w:r>
        <w:rPr>
          <w:rStyle w:val="FootnoteReference"/>
        </w:rPr>
        <w:footnoteReference w:id="1642"/>
      </w:r>
      <w:r>
        <w:t xml:space="preserve">.</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w:t>
      </w:r>
      <w:r>
        <w:rPr>
          <w:rStyle w:val="FootnoteReference"/>
        </w:rPr>
        <w:footnoteReference w:id="1643"/>
      </w:r>
      <w:r>
        <w:t xml:space="preserve">.</w:t>
      </w:r>
    </w:p>
    <w:p>
      <w:pPr>
        <w:pStyle w:val="BodyText"/>
      </w:pPr>
      <w:r>
        <w:t xml:space="preserve">Diese Ergebnisse klingen ermutigend, haben aber deutliche Grenzen:</w:t>
      </w:r>
    </w:p>
    <w:p>
      <w:pPr>
        <w:numPr>
          <w:ilvl w:val="0"/>
          <w:numId w:val="1200"/>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200"/>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200"/>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1644"/>
    <w:bookmarkStart w:id="1647"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w:t>
      </w:r>
      <w:r>
        <w:rPr>
          <w:rStyle w:val="FootnoteReference"/>
        </w:rPr>
        <w:footnoteReference w:id="1645"/>
      </w:r>
      <w:r>
        <w:t xml:space="preserve">. Ob das klinisch bedeutsam ist, wurde nicht untersucht. Bei Gesunden zeigte eine kleine Bildgebungsstudie nach einmaliger Gabe veränderte Verbindungen zwischen der Amygdala, einer für Angst wichtigen Hirnregion, und Teilen des Schläfenlappens</w:t>
      </w:r>
      <w:r>
        <w:rPr>
          <w:rStyle w:val="FootnoteReference"/>
        </w:rPr>
        <w:footnoteReference w:id="1646"/>
      </w:r>
      <w:r>
        <w:t xml:space="preserve">. Studien zu Konzentration oder Leistung bei Gesunden – dem Hauptversprechen im Internet – gibt es nicht.</w:t>
      </w:r>
    </w:p>
    <w:bookmarkEnd w:id="1647"/>
    <w:bookmarkEnd w:id="1648"/>
    <w:bookmarkStart w:id="1652" w:name="tier--und-laborstudien-35"/>
    <w:p>
      <w:pPr>
        <w:pStyle w:val="Heading3"/>
      </w:pPr>
      <w:r>
        <w:t xml:space="preserve">Tier- und Laborstudien</w:t>
      </w:r>
    </w:p>
    <w:p>
      <w:pPr>
        <w:numPr>
          <w:ilvl w:val="0"/>
          <w:numId w:val="1201"/>
        </w:numPr>
        <w:pStyle w:val="Compact"/>
      </w:pPr>
      <w:r>
        <w:t xml:space="preserve">Bei Ratten mit 30 Wochen Alkoholkonsum verhinderte Selank Gedächtnis- und Aufmerksamkeitsstörungen im Entzug und beeinflusste den BDNF-Gehalt in Hippocampus und Stirnhirn</w:t>
      </w:r>
      <w:r>
        <w:rPr>
          <w:rStyle w:val="FootnoteReference"/>
        </w:rPr>
        <w:footnoteReference w:id="1649"/>
      </w:r>
      <w:r>
        <w:t xml:space="preserve">.</w:t>
      </w:r>
    </w:p>
    <w:p>
      <w:pPr>
        <w:numPr>
          <w:ilvl w:val="0"/>
          <w:numId w:val="1201"/>
        </w:numPr>
        <w:pStyle w:val="Compact"/>
      </w:pPr>
      <w:r>
        <w:t xml:space="preserve">Bei Ratten veränderte Selank die Aktivität zahlreicher Gene des GABA-Systems</w:t>
      </w:r>
      <w:r>
        <w:rPr>
          <w:rStyle w:val="FootnoteReference"/>
        </w:rPr>
        <w:footnoteReference w:id="1650"/>
      </w:r>
      <w:r>
        <w:t xml:space="preserve">.</w:t>
      </w:r>
    </w:p>
    <w:p>
      <w:pPr>
        <w:numPr>
          <w:ilvl w:val="0"/>
          <w:numId w:val="1201"/>
        </w:numPr>
        <w:pStyle w:val="Compact"/>
      </w:pPr>
      <w:r>
        <w:t xml:space="preserve">In Zellkulturen und bei Mäusen hemmte Selank Influenzaviren, am stärksten, wenn es vor der Infektion gegeben wurde</w:t>
      </w:r>
      <w:r>
        <w:rPr>
          <w:rStyle w:val="FootnoteReference"/>
        </w:rPr>
        <w:footnoteReference w:id="1651"/>
      </w:r>
      <w:r>
        <w:t xml:space="preserve">.</w:t>
      </w:r>
    </w:p>
    <w:p>
      <w:pPr>
        <w:numPr>
          <w:ilvl w:val="0"/>
          <w:numId w:val="1201"/>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1652"/>
    <w:bookmarkStart w:id="1654"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w:t>
      </w:r>
      <w:r>
        <w:rPr>
          <w:rStyle w:val="FootnoteReference"/>
        </w:rPr>
        <w:footnoteReference w:id="1653"/>
      </w:r>
      <w:r>
        <w:t xml:space="preserve">.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1654"/>
    <w:bookmarkStart w:id="1655" w:name="rechtslage-35"/>
    <w:p>
      <w:pPr>
        <w:pStyle w:val="Heading3"/>
      </w:pPr>
      <w:r>
        <w:t xml:space="preserve">Rechtslage</w:t>
      </w:r>
    </w:p>
    <w:p>
      <w:pPr>
        <w:numPr>
          <w:ilvl w:val="0"/>
          <w:numId w:val="1202"/>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w:t>
      </w:r>
    </w:p>
    <w:p>
      <w:pPr>
        <w:numPr>
          <w:ilvl w:val="0"/>
          <w:numId w:val="1202"/>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202"/>
        </w:numPr>
        <w:pStyle w:val="Compact"/>
      </w:pPr>
      <w:r>
        <w:rPr>
          <w:bCs/>
          <w:b/>
        </w:rPr>
        <w:t xml:space="preserve">Russland:</w:t>
      </w:r>
      <w:r>
        <w:t xml:space="preserve"> </w:t>
      </w:r>
      <w:r>
        <w:t xml:space="preserve">als Arzneimittel registriert.</w:t>
      </w:r>
    </w:p>
    <w:p>
      <w:pPr>
        <w:numPr>
          <w:ilvl w:val="0"/>
          <w:numId w:val="1202"/>
        </w:numPr>
        <w:pStyle w:val="Compact"/>
      </w:pPr>
      <w:r>
        <w:rPr>
          <w:bCs/>
          <w:b/>
        </w:rPr>
        <w:t xml:space="preserve">Sport:</w:t>
      </w:r>
      <w:r>
        <w:t xml:space="preserve"> </w:t>
      </w:r>
      <w:r>
        <w:t xml:space="preserve">nicht namentlich auf der WADA-Liste (Stand 2026, bitte aktuell prüfen).</w:t>
      </w:r>
    </w:p>
    <w:bookmarkEnd w:id="1655"/>
    <w:bookmarkStart w:id="1656"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1656"/>
    <w:bookmarkStart w:id="1657"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1657"/>
    <w:bookmarkEnd w:id="1658"/>
    <w:bookmarkStart w:id="1711" w:name="cerebrolysin"/>
    <w:p>
      <w:pPr>
        <w:pStyle w:val="Heading2"/>
      </w:pPr>
      <w:r>
        <w:t xml:space="preserve">Cerebrolysin</w:t>
      </w:r>
    </w:p>
    <w:bookmarkStart w:id="1659" w:name="steckbrief-36"/>
    <w:p>
      <w:pPr>
        <w:pStyle w:val="Heading3"/>
      </w:pPr>
      <w:r>
        <w:t xml:space="preserve">Steckbrief</w:t>
      </w:r>
    </w:p>
    <w:p>
      <w:pPr>
        <w:numPr>
          <w:ilvl w:val="0"/>
          <w:numId w:val="1203"/>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3"/>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3"/>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3"/>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w:t>
      </w:r>
    </w:p>
    <w:p>
      <w:pPr>
        <w:numPr>
          <w:ilvl w:val="0"/>
          <w:numId w:val="1203"/>
        </w:numPr>
        <w:pStyle w:val="Compact"/>
      </w:pPr>
      <w:r>
        <w:rPr>
          <w:bCs/>
          <w:b/>
        </w:rPr>
        <w:t xml:space="preserve">Zulassung USA:</w:t>
      </w:r>
      <w:r>
        <w:t xml:space="preserve"> </w:t>
      </w:r>
      <w:r>
        <w:t xml:space="preserve">nein.</w:t>
      </w:r>
    </w:p>
    <w:p>
      <w:pPr>
        <w:numPr>
          <w:ilvl w:val="0"/>
          <w:numId w:val="1203"/>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3"/>
        </w:numPr>
        <w:pStyle w:val="Compact"/>
      </w:pPr>
      <w:r>
        <w:rPr>
          <w:bCs/>
          <w:b/>
        </w:rPr>
        <w:t xml:space="preserve">WADA:</w:t>
      </w:r>
      <w:r>
        <w:t xml:space="preserve"> </w:t>
      </w:r>
      <w:r>
        <w:t xml:space="preserve">nicht gelistet.</w:t>
      </w:r>
    </w:p>
    <w:p>
      <w:pPr>
        <w:numPr>
          <w:ilvl w:val="0"/>
          <w:numId w:val="1203"/>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1659"/>
    <w:bookmarkStart w:id="1660"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1660"/>
    <w:bookmarkStart w:id="1696"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1667"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w:t>
      </w:r>
      <w:r>
        <w:rPr>
          <w:rStyle w:val="FootnoteReference"/>
        </w:rPr>
        <w:footnoteReference w:id="1661"/>
      </w:r>
      <w:r>
        <w:t xml:space="preserve"> </w:t>
      </w:r>
      <w:r>
        <w:t xml:space="preserve">und ist auf ClinicalTrials.gov registriert</w:t>
      </w:r>
      <w:r>
        <w:rPr>
          <w:rStyle w:val="FootnoteReference"/>
        </w:rPr>
        <w:footnoteReference w:id="1662"/>
      </w:r>
      <w:r>
        <w:t xml:space="preserve">.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w:t>
      </w:r>
      <w:r>
        <w:rPr>
          <w:rStyle w:val="FootnoteReference"/>
        </w:rPr>
        <w:footnoteReference w:id="1663"/>
      </w:r>
      <w:r>
        <w:t xml:space="preserve">.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w:t>
      </w:r>
      <w:r>
        <w:rPr>
          <w:rStyle w:val="FootnoteReference"/>
        </w:rPr>
        <w:footnoteReference w:id="1664"/>
      </w:r>
      <w:r>
        <w:t xml:space="preserve">. Dieses Muster – frühe Verbesserungen auf neurologischen Skalen, aber kein klarer Unterschied bei der Behinderung nach drei Monaten – zieht sich durch mehrere Studien. Die CEREHETIS-Studie fand bei 341 Personen weniger symptomatische Einblutungen nach der Thrombolyse, aber ebenfalls keinen Unterschied im mRS nach 90 Tagen; sie war offen, also nicht verblindet</w:t>
      </w:r>
      <w:r>
        <w:rPr>
          <w:rStyle w:val="FootnoteReference"/>
        </w:rPr>
        <w:footnoteReference w:id="1665"/>
      </w:r>
      <w:r>
        <w:t xml:space="preserve">.</w:t>
      </w:r>
    </w:p>
    <w:p>
      <w:pPr>
        <w:pStyle w:val="BodyText"/>
      </w:pPr>
      <w:r>
        <w:rPr>
          <w:bCs/>
          <w:b/>
        </w:rPr>
        <w:t xml:space="preserve">Thrombektomie.</w:t>
      </w:r>
      <w:r>
        <w:t xml:space="preserve"> </w:t>
      </w:r>
      <w:r>
        <w:t xml:space="preserve">Eine Studie verglich 50 Personen, die nach Katheterbehandlung Cerebrolysin bekamen, mit 50 früher behandelten Personen (historische Kontrollen). Nach 90 Tagen waren 68 % gegenüber 44 % funktionell unabhängig (mRS 0–2), sekundäre Hirnblutungen traten seltener auf</w:t>
      </w:r>
      <w:r>
        <w:rPr>
          <w:rStyle w:val="FootnoteReference"/>
        </w:rPr>
        <w:footnoteReference w:id="1666"/>
      </w:r>
      <w:r>
        <w:t xml:space="preserve">. Ohne Randomisierung und mit Vergleich gegen frühere Patientinnen und Patienten ist das allerdings nur ein Hinweis; die Autoren fordern selbst randomisierte Studien.</w:t>
      </w:r>
    </w:p>
    <w:bookmarkEnd w:id="1667"/>
    <w:bookmarkStart w:id="1674"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w:t>
      </w:r>
      <w:r>
        <w:rPr>
          <w:rStyle w:val="FootnoteReference"/>
        </w:rPr>
        <w:footnoteReference w:id="1668"/>
      </w:r>
      <w:r>
        <w:t xml:space="preserve">. Die Autoren bezeichnen die Studie ausdrücklich als explorativ mit relativ kleiner Fallzahl. Eine vorab geplante gemeinsame Auswertung mit der gleich aufgebauten Studie CARS-2 (insgesamt 442 Personen) ergab für den ARAT einen MW von 0,62</w:t>
      </w:r>
      <w:r>
        <w:rPr>
          <w:rStyle w:val="FootnoteReference"/>
        </w:rPr>
        <w:footnoteReference w:id="1669"/>
      </w:r>
      <w:r>
        <w:t xml:space="preserve">.</w:t>
      </w:r>
    </w:p>
    <w:p>
      <w:pPr>
        <w:pStyle w:val="BodyText"/>
      </w:pPr>
      <w:r>
        <w:t xml:space="preserve">Weitere kleinere Studien zeigen ein gemischtes Bild:</w:t>
      </w:r>
    </w:p>
    <w:p>
      <w:pPr>
        <w:numPr>
          <w:ilvl w:val="0"/>
          <w:numId w:val="1204"/>
        </w:numPr>
        <w:pStyle w:val="Compact"/>
      </w:pPr>
      <w:r>
        <w:t xml:space="preserve">Eine Studie mit 60 Personen fand große Vorteile auf der NIHSS nach 10 und 30 Tagen</w:t>
      </w:r>
      <w:r>
        <w:rPr>
          <w:rStyle w:val="FootnoteReference"/>
        </w:rPr>
        <w:footnoteReference w:id="1670"/>
      </w:r>
      <w:r>
        <w:t xml:space="preserve">.</w:t>
      </w:r>
    </w:p>
    <w:p>
      <w:pPr>
        <w:numPr>
          <w:ilvl w:val="0"/>
          <w:numId w:val="1204"/>
        </w:numPr>
        <w:pStyle w:val="Compact"/>
      </w:pPr>
      <w:r>
        <w:t xml:space="preserve">Eine Studie mit 70 Personen fand</w:t>
      </w:r>
      <w:r>
        <w:t xml:space="preserve"> </w:t>
      </w:r>
      <w:r>
        <w:rPr>
          <w:bCs/>
          <w:b/>
        </w:rPr>
        <w:t xml:space="preserve">keinen</w:t>
      </w:r>
      <w:r>
        <w:t xml:space="preserve"> </w:t>
      </w:r>
      <w:r>
        <w:t xml:space="preserve">Unterschied in der Motorik insgesamt; nur in der Untergruppe mit schwerer Lähmung schnitt Cerebrolysin besser ab</w:t>
      </w:r>
      <w:r>
        <w:rPr>
          <w:rStyle w:val="FootnoteReference"/>
        </w:rPr>
        <w:footnoteReference w:id="1671"/>
      </w:r>
      <w:r>
        <w:t xml:space="preserve">.</w:t>
      </w:r>
    </w:p>
    <w:p>
      <w:pPr>
        <w:numPr>
          <w:ilvl w:val="0"/>
          <w:numId w:val="1204"/>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w:t>
      </w:r>
      <w:r>
        <w:rPr>
          <w:rStyle w:val="FootnoteReference"/>
        </w:rPr>
        <w:footnoteReference w:id="1672"/>
      </w:r>
      <w:r>
        <w:t xml:space="preserve">.</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w:t>
      </w:r>
      <w:r>
        <w:rPr>
          <w:rStyle w:val="FootnoteReference"/>
        </w:rPr>
        <w:footnoteReference w:id="1673"/>
      </w:r>
      <w:r>
        <w:t xml:space="preserve">. Andere große Leitlinien, etwa in den USA, enthalten keine solche Empfehlung.</w:t>
      </w:r>
    </w:p>
    <w:bookmarkEnd w:id="1674"/>
    <w:bookmarkStart w:id="1679"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w:t>
      </w:r>
      <w:r>
        <w:rPr>
          <w:rStyle w:val="FootnoteReference"/>
        </w:rPr>
        <w:footnoteReference w:id="1675"/>
      </w:r>
      <w:r>
        <w:t xml:space="preserve">.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w:t>
      </w:r>
      <w:r>
        <w:rPr>
          <w:rStyle w:val="FootnoteReference"/>
        </w:rPr>
        <w:footnoteReference w:id="1676"/>
      </w:r>
      <w:r>
        <w:t xml:space="preserve">.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w:t>
      </w:r>
      <w:r>
        <w:rPr>
          <w:rStyle w:val="FootnoteReference"/>
        </w:rPr>
        <w:footnoteReference w:id="1677"/>
      </w:r>
      <w:r>
        <w:t xml:space="preserve">. Eine Sicherheits-Meta-Analyse mit zwölf Studien und 2.202 Personen fand keine signifikanten Unterschiede zu Placebo bei Nebenwirkungen</w:t>
      </w:r>
      <w:r>
        <w:rPr>
          <w:rStyle w:val="FootnoteReference"/>
        </w:rPr>
        <w:footnoteReference w:id="1678"/>
      </w:r>
      <w:r>
        <w:t xml:space="preserve"> </w:t>
      </w:r>
      <w:r>
        <w:t xml:space="preserve">–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1679"/>
    <w:bookmarkStart w:id="1681"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w:t>
      </w:r>
      <w:r>
        <w:rPr>
          <w:rStyle w:val="FootnoteReference"/>
        </w:rPr>
        <w:footnoteReference w:id="1680"/>
      </w:r>
      <w:r>
        <w:t xml:space="preserve">.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1681"/>
    <w:bookmarkStart w:id="1685" w:name="hirnblutung-und-subarachnoidalblutung"/>
    <w:p>
      <w:pPr>
        <w:pStyle w:val="Heading4"/>
      </w:pPr>
      <w:r>
        <w:t xml:space="preserve">Hirnblutung und Subarachnoidalblutung</w:t>
      </w:r>
    </w:p>
    <w:p>
      <w:pPr>
        <w:pStyle w:val="FirstParagraph"/>
      </w:pPr>
      <w:r>
        <w:t xml:space="preserve">Bei Hirnblutungen fand eine Studie mit 100 Personen nach 21 Tagen keine signifikanten Unterschiede, aber auch keine Sicherheitsprobleme</w:t>
      </w:r>
      <w:r>
        <w:rPr>
          <w:rStyle w:val="FootnoteReference"/>
        </w:rPr>
        <w:footnoteReference w:id="1682"/>
      </w:r>
      <w:r>
        <w:t xml:space="preserve">. Bei Blutungen aus einer Hirngefäß-Aussackung (aneurysmatische Subarachnoidalblutung) zeigte eine doppelblinde Pilotstudie mit 50 Personen nach sechs Monaten keinen Unterschied im funktionellen Ergebnis</w:t>
      </w:r>
      <w:r>
        <w:rPr>
          <w:rStyle w:val="FootnoteReference"/>
        </w:rPr>
        <w:footnoteReference w:id="1683"/>
      </w:r>
      <w:r>
        <w:t xml:space="preserve">. Eine Pilotstudie zu Blutungen in den Hirnlappen (CLINCH) ist geplant bzw. läuft</w:t>
      </w:r>
      <w:r>
        <w:rPr>
          <w:rStyle w:val="FootnoteReference"/>
        </w:rPr>
        <w:footnoteReference w:id="1684"/>
      </w:r>
      <w:r>
        <w:t xml:space="preserve">.</w:t>
      </w:r>
    </w:p>
    <w:bookmarkEnd w:id="1685"/>
    <w:bookmarkStart w:id="1687"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w:t>
      </w:r>
      <w:r>
        <w:rPr>
          <w:rStyle w:val="FootnoteReference"/>
        </w:rPr>
        <w:footnoteReference w:id="1686"/>
      </w:r>
      <w:r>
        <w:t xml:space="preserve">. Insgesamt deuten die Daten auf einen möglichen kleinen Vorteil hin; die Zahl der randomisiert untersuchten Personen ist für eine sichere Aussage zu gering.</w:t>
      </w:r>
    </w:p>
    <w:bookmarkEnd w:id="1687"/>
    <w:bookmarkStart w:id="1693"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Studie mit 192 Personen war der klinische Gesamteindruck (CIBIC+) nach zwölf Wochen unter Cerebrolysin besser (76 % gegenüber 57 % „Responder“); die Gruppen unterschieden sich allerdings schon zu Beginn in Alter und Halluzinationen</w:t>
      </w:r>
      <w:r>
        <w:rPr>
          <w:rStyle w:val="FootnoteReference"/>
        </w:rPr>
        <w:footnoteReference w:id="1688"/>
      </w:r>
      <w:r>
        <w:t xml:space="preserve">. In einer Studie mit 197 Personen war Cerebrolysin beim Gesamteindruck so wirksam wie das zugelassene Alzheimer-Medikament Donepezil; bei Kognition, Alltagsfunktion und Verhalten gab es keine signifikanten Unterschiede zwischen den Gruppen</w:t>
      </w:r>
      <w:r>
        <w:rPr>
          <w:rStyle w:val="FootnoteReference"/>
        </w:rPr>
        <w:footnoteReference w:id="1689"/>
      </w:r>
      <w:r>
        <w:t xml:space="preserve">. Eine Meta-Analyse von sechs Studien fand einen Vorteil beim klinischen Gesamteindruck nach vier Wochen und sechs Monaten, bei der Kognition aber nur nach vier Wochen, nicht nach sechs Monaten</w:t>
      </w:r>
      <w:r>
        <w:rPr>
          <w:rStyle w:val="FootnoteReference"/>
        </w:rPr>
        <w:footnoteReference w:id="1690"/>
      </w:r>
      <w:r>
        <w:t xml:space="preserve">.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w:t>
      </w:r>
      <w:r>
        <w:rPr>
          <w:rStyle w:val="FootnoteReference"/>
        </w:rPr>
        <w:footnoteReference w:id="1691"/>
      </w:r>
      <w:r>
        <w:t xml:space="preserve"> </w:t>
      </w:r>
      <w:r>
        <w:t xml:space="preserve">–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w:t>
      </w:r>
      <w:r>
        <w:rPr>
          <w:rStyle w:val="FootnoteReference"/>
        </w:rPr>
        <w:footnoteReference w:id="1692"/>
      </w:r>
      <w:r>
        <w:t xml:space="preserve">.</w:t>
      </w:r>
    </w:p>
    <w:bookmarkEnd w:id="1693"/>
    <w:bookmarkStart w:id="1695"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unter Placebo ein Trend zu schlechterer Wortwiedergabe in den ersten Stunden, unter Cerebrolysin nicht</w:t>
      </w:r>
      <w:r>
        <w:rPr>
          <w:rStyle w:val="FootnoteReference"/>
        </w:rPr>
        <w:footnoteReference w:id="1694"/>
      </w:r>
      <w:r>
        <w:t xml:space="preserve">. Für die Anwendung als „Nootropikum“ bei Gesunden gibt es keine Belege.</w:t>
      </w:r>
    </w:p>
    <w:bookmarkEnd w:id="1695"/>
    <w:bookmarkEnd w:id="1696"/>
    <w:bookmarkStart w:id="1700" w:name="tier--und-laborstudien-36"/>
    <w:p>
      <w:pPr>
        <w:pStyle w:val="Heading3"/>
      </w:pPr>
      <w:r>
        <w:t xml:space="preserve">Tier- und Laborstudien</w:t>
      </w:r>
    </w:p>
    <w:p>
      <w:pPr>
        <w:numPr>
          <w:ilvl w:val="0"/>
          <w:numId w:val="1205"/>
        </w:numPr>
        <w:pStyle w:val="Compact"/>
      </w:pPr>
      <w:r>
        <w:t xml:space="preserve">Bei Ratten mit künstlich ausgelöstem Schlaganfall verbesserte Cerebrolysin in einer randomisierten, verblindeten Tierstudie dosisabhängig die neurologische Erholung nach 28 Tagen</w:t>
      </w:r>
      <w:r>
        <w:rPr>
          <w:rStyle w:val="FootnoteReference"/>
        </w:rPr>
        <w:footnoteReference w:id="1697"/>
      </w:r>
      <w:r>
        <w:t xml:space="preserve">.</w:t>
      </w:r>
    </w:p>
    <w:p>
      <w:pPr>
        <w:numPr>
          <w:ilvl w:val="0"/>
          <w:numId w:val="1205"/>
        </w:numPr>
        <w:pStyle w:val="Compact"/>
      </w:pPr>
      <w:r>
        <w:t xml:space="preserve">Bei Ratten mit leichter Hirnverletzung verringerte Cerebrolysin Axonschäden und förderte die Neubildung von Nervenzellen im Hippocampus</w:t>
      </w:r>
      <w:r>
        <w:rPr>
          <w:rStyle w:val="FootnoteReference"/>
        </w:rPr>
        <w:footnoteReference w:id="1698"/>
      </w:r>
      <w:r>
        <w:t xml:space="preserve">.</w:t>
      </w:r>
    </w:p>
    <w:p>
      <w:pPr>
        <w:numPr>
          <w:ilvl w:val="0"/>
          <w:numId w:val="1205"/>
        </w:numPr>
        <w:pStyle w:val="Compact"/>
      </w:pPr>
      <w:r>
        <w:t xml:space="preserve">In einem Mausmodell der Erbkrankheit CADASIL verlängerte Cerebrolysin die Lebensdauer und verbesserte das räumliche Gedächtnis, ohne die typischen Veränderungen der weißen Substanz zu beeinflussen</w:t>
      </w:r>
      <w:r>
        <w:rPr>
          <w:rStyle w:val="FootnoteReference"/>
        </w:rPr>
        <w:footnoteReference w:id="1699"/>
      </w:r>
      <w:r>
        <w:t xml:space="preserve">.</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1700"/>
    <w:bookmarkStart w:id="1704" w:name="risiken-und-nebenwirkungen-36"/>
    <w:p>
      <w:pPr>
        <w:pStyle w:val="Heading3"/>
      </w:pPr>
      <w:r>
        <w:t xml:space="preserve">Risiken und Nebenwirkungen</w:t>
      </w:r>
    </w:p>
    <w:p>
      <w:pPr>
        <w:pStyle w:val="FirstParagraph"/>
      </w:pPr>
      <w:r>
        <w:rPr>
          <w:bCs/>
          <w:b/>
        </w:rPr>
        <w:t xml:space="preserve">Belegt:</w:t>
      </w:r>
    </w:p>
    <w:p>
      <w:pPr>
        <w:numPr>
          <w:ilvl w:val="0"/>
          <w:numId w:val="1206"/>
        </w:numPr>
        <w:pStyle w:val="Compact"/>
      </w:pPr>
      <w:r>
        <w:t xml:space="preserve">In den Studien waren Nebenwirkungen insgesamt ähnlich häufig wie unter Placebo. Genannt werden unter anderem Kopfschmerzen, Schwindel und Unruhe</w:t>
      </w:r>
      <w:r>
        <w:rPr>
          <w:rStyle w:val="FootnoteReference"/>
        </w:rPr>
        <w:footnoteReference w:id="1701"/>
      </w:r>
      <w:r>
        <w:t xml:space="preserve">.</w:t>
      </w:r>
    </w:p>
    <w:p>
      <w:pPr>
        <w:numPr>
          <w:ilvl w:val="0"/>
          <w:numId w:val="1206"/>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w:t>
      </w:r>
      <w:r>
        <w:rPr>
          <w:rStyle w:val="FootnoteReference"/>
        </w:rPr>
        <w:footnoteReference w:id="1702"/>
      </w:r>
      <w:r>
        <w:t xml:space="preserve">.</w:t>
      </w:r>
    </w:p>
    <w:p>
      <w:pPr>
        <w:numPr>
          <w:ilvl w:val="0"/>
          <w:numId w:val="1206"/>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w:t>
      </w:r>
      <w:r>
        <w:rPr>
          <w:rStyle w:val="FootnoteReference"/>
        </w:rPr>
        <w:footnoteReference w:id="1703"/>
      </w:r>
      <w:r>
        <w:t xml:space="preserve">.</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1704"/>
    <w:bookmarkStart w:id="1705" w:name="rechtslage-36"/>
    <w:p>
      <w:pPr>
        <w:pStyle w:val="Heading3"/>
      </w:pPr>
      <w:r>
        <w:t xml:space="preserve">Rechtslage</w:t>
      </w:r>
    </w:p>
    <w:p>
      <w:pPr>
        <w:numPr>
          <w:ilvl w:val="0"/>
          <w:numId w:val="1207"/>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w:t>
      </w:r>
    </w:p>
    <w:p>
      <w:pPr>
        <w:numPr>
          <w:ilvl w:val="0"/>
          <w:numId w:val="1207"/>
        </w:numPr>
        <w:pStyle w:val="Compact"/>
      </w:pPr>
      <w:r>
        <w:rPr>
          <w:bCs/>
          <w:b/>
        </w:rPr>
        <w:t xml:space="preserve">USA:</w:t>
      </w:r>
      <w:r>
        <w:t xml:space="preserve"> </w:t>
      </w:r>
      <w:r>
        <w:t xml:space="preserve">nicht zugelassen.</w:t>
      </w:r>
    </w:p>
    <w:p>
      <w:pPr>
        <w:numPr>
          <w:ilvl w:val="0"/>
          <w:numId w:val="1207"/>
        </w:numPr>
        <w:pStyle w:val="Compact"/>
      </w:pPr>
      <w:r>
        <w:rPr>
          <w:bCs/>
          <w:b/>
        </w:rPr>
        <w:t xml:space="preserve">Sport:</w:t>
      </w:r>
      <w:r>
        <w:t xml:space="preserve"> </w:t>
      </w:r>
      <w:r>
        <w:t xml:space="preserve">nicht auf der WADA-Liste (Stand 2026, bitte aktuell prüfen).</w:t>
      </w:r>
    </w:p>
    <w:p>
      <w:pPr>
        <w:numPr>
          <w:ilvl w:val="0"/>
          <w:numId w:val="1207"/>
        </w:numPr>
        <w:pStyle w:val="Compact"/>
      </w:pPr>
      <w:r>
        <w:t xml:space="preserve">Bei zugelassener Anwendung gilt: Verweis auf die Fachinformation und ärztliche Begleitung.</w:t>
      </w:r>
    </w:p>
    <w:bookmarkEnd w:id="1705"/>
    <w:bookmarkStart w:id="1709"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8"/>
        </w:numPr>
        <w:pStyle w:val="Compact"/>
      </w:pPr>
      <w:r>
        <w:rPr>
          <w:bCs/>
          <w:b/>
        </w:rPr>
        <w:t xml:space="preserve">CERebrolysin In CADASIL</w:t>
      </w:r>
      <w:r>
        <w:rPr>
          <w:rStyle w:val="FootnoteReference"/>
        </w:rPr>
        <w:footnoteReference w:id="1706"/>
      </w:r>
      <w:r>
        <w:t xml:space="preserve">: Phase-2-Studie mit 30 Teilnehmenden bei der erblichen Gefäßerkrankung CADASIL, aktiv, Rekrutierung abgeschlossen.</w:t>
      </w:r>
    </w:p>
    <w:p>
      <w:pPr>
        <w:numPr>
          <w:ilvl w:val="0"/>
          <w:numId w:val="1208"/>
        </w:numPr>
        <w:pStyle w:val="Compact"/>
      </w:pPr>
      <w:r>
        <w:rPr>
          <w:bCs/>
          <w:b/>
        </w:rPr>
        <w:t xml:space="preserve">Aphasie nach Schlaganfall</w:t>
      </w:r>
      <w:r>
        <w:rPr>
          <w:rStyle w:val="FootnoteReference"/>
        </w:rPr>
        <w:footnoteReference w:id="1707"/>
      </w:r>
      <w:r>
        <w:t xml:space="preserve">: randomisierte, placebokontrollierte Studie mit 40 Teilnehmenden in Korea, in Rekrutierung.</w:t>
      </w:r>
    </w:p>
    <w:p>
      <w:pPr>
        <w:numPr>
          <w:ilvl w:val="0"/>
          <w:numId w:val="1208"/>
        </w:numPr>
        <w:pStyle w:val="Compact"/>
      </w:pPr>
      <w:r>
        <w:rPr>
          <w:bCs/>
          <w:b/>
        </w:rPr>
        <w:t xml:space="preserve">Cerebrolysin nach erweiterter Thrombektomie</w:t>
      </w:r>
      <w:r>
        <w:rPr>
          <w:rStyle w:val="FootnoteReference"/>
        </w:rPr>
        <w:footnoteReference w:id="1708"/>
      </w:r>
      <w:r>
        <w:t xml:space="preserve">: Phase-2-Studie mit 100 geplanten Teilnehmenden in Taiwan, Start 2026.</w:t>
      </w:r>
    </w:p>
    <w:p>
      <w:pPr>
        <w:numPr>
          <w:ilvl w:val="0"/>
          <w:numId w:val="1208"/>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1709"/>
    <w:bookmarkStart w:id="1710"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1710"/>
    <w:bookmarkEnd w:id="1711"/>
    <w:bookmarkStart w:id="1733" w:name="dihexa"/>
    <w:p>
      <w:pPr>
        <w:pStyle w:val="Heading2"/>
      </w:pPr>
      <w:r>
        <w:t xml:space="preserve">Dihexa</w:t>
      </w:r>
    </w:p>
    <w:bookmarkStart w:id="1712" w:name="steckbrief-37"/>
    <w:p>
      <w:pPr>
        <w:pStyle w:val="Heading3"/>
      </w:pPr>
      <w:r>
        <w:t xml:space="preserve">Steckbrief</w:t>
      </w:r>
    </w:p>
    <w:p>
      <w:pPr>
        <w:numPr>
          <w:ilvl w:val="0"/>
          <w:numId w:val="1209"/>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9"/>
        </w:numPr>
        <w:pStyle w:val="Compact"/>
      </w:pPr>
      <w:r>
        <w:rPr>
          <w:bCs/>
          <w:b/>
        </w:rPr>
        <w:t xml:space="preserve">Herkunft:</w:t>
      </w:r>
      <w:r>
        <w:t xml:space="preserve"> </w:t>
      </w:r>
      <w:r>
        <w:t xml:space="preserve">entwickelt um 2012 an der Washington State University (USA).</w:t>
      </w:r>
    </w:p>
    <w:p>
      <w:pPr>
        <w:numPr>
          <w:ilvl w:val="0"/>
          <w:numId w:val="1209"/>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9"/>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w:t>
      </w:r>
    </w:p>
    <w:p>
      <w:pPr>
        <w:numPr>
          <w:ilvl w:val="0"/>
          <w:numId w:val="1209"/>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1712"/>
    <w:bookmarkStart w:id="1715"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w:t>
      </w:r>
      <w:r>
        <w:rPr>
          <w:rStyle w:val="FootnoteReference"/>
        </w:rPr>
        <w:footnoteReference w:id="1713"/>
      </w:r>
      <w:r>
        <w:t xml:space="preserve">.</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w:t>
      </w:r>
      <w:r>
        <w:rPr>
          <w:rStyle w:val="FootnoteReference"/>
        </w:rPr>
        <w:footnoteReference w:id="1714"/>
      </w:r>
      <w:r>
        <w:t xml:space="preserve">. Diese Arbeit wurde 2025 von der Fachzeitschrift zurückgezogen (Rückzugsnotiz: PMID 40312093), ebenso eine weitere grundlegende Arbeit derselben Gruppe zu Angiotensin-IV-Abkömmlingen als HGF/c-Met-Modulatoren (Rückzugsnotiz: PMID 40312092). Der beschriebene Wirkmechanismus ist damit nicht mehr belastbar belegt; die Gründe für den Rückzug nennen die PubMed-Einträge nicht.</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1715"/>
    <w:bookmarkStart w:id="1720"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1719"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w:t>
      </w:r>
      <w:r>
        <w:rPr>
          <w:rStyle w:val="FootnoteReference"/>
        </w:rPr>
        <w:footnoteReference w:id="1716"/>
      </w:r>
      <w:r>
        <w:t xml:space="preserve"> </w:t>
      </w:r>
      <w:r>
        <w:t xml:space="preserve">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w:t>
      </w:r>
      <w:r>
        <w:rPr>
          <w:rStyle w:val="FootnoteReference"/>
        </w:rPr>
        <w:footnoteReference w:id="1717"/>
      </w:r>
      <w:r>
        <w:t xml:space="preserve">. Eine Studie bei Parkinson-Demenz und Lewy-Körperchen-Demenz wurde vorzeitig beendet</w:t>
      </w:r>
      <w:r>
        <w:rPr>
          <w:rStyle w:val="FootnoteReference"/>
        </w:rPr>
        <w:footnoteReference w:id="1718"/>
      </w:r>
      <w:r>
        <w:t xml:space="preserve">.</w:t>
      </w:r>
    </w:p>
    <w:p>
      <w:pPr>
        <w:pStyle w:val="BodyText"/>
      </w:pPr>
      <w:r>
        <w:t xml:space="preserve">Das beweist nicht, dass Dihexa unwirksam wäre – es ist eine andere Substanz. Es zeigt aber, wie wenig sich Gedächtnisverbesserungen bei Ratten auf Menschen mit Demenz übertragen lassen.</w:t>
      </w:r>
    </w:p>
    <w:bookmarkEnd w:id="1719"/>
    <w:bookmarkEnd w:id="1720"/>
    <w:bookmarkStart w:id="1727" w:name="tier--und-laborstudien-37"/>
    <w:p>
      <w:pPr>
        <w:pStyle w:val="Heading3"/>
      </w:pPr>
      <w:r>
        <w:t xml:space="preserve">Tier- und Laborstudien</w:t>
      </w:r>
    </w:p>
    <w:p>
      <w:pPr>
        <w:numPr>
          <w:ilvl w:val="0"/>
          <w:numId w:val="1210"/>
        </w:numPr>
        <w:pStyle w:val="Compact"/>
      </w:pPr>
      <w:r>
        <w:t xml:space="preserve">Bei Ratten mit Gedächtnisstörung durch Scopolamin und bei alten Ratten verbesserte Dihexa das räumliche Lernen und förderte die Synapsenbildung</w:t>
      </w:r>
      <w:r>
        <w:rPr>
          <w:rStyle w:val="FootnoteReference"/>
        </w:rPr>
        <w:footnoteReference w:id="1721"/>
      </w:r>
      <w:r>
        <w:t xml:space="preserve">.</w:t>
      </w:r>
    </w:p>
    <w:p>
      <w:pPr>
        <w:numPr>
          <w:ilvl w:val="0"/>
          <w:numId w:val="1210"/>
        </w:numPr>
        <w:pStyle w:val="Compact"/>
      </w:pPr>
      <w:r>
        <w:t xml:space="preserve">Bei Alzheimer-Modellmäusen (APP/PS1) verbesserte Dihexa das Lernen im Wasserlabyrinth und verringerte Entzündungszeichen im Gehirn</w:t>
      </w:r>
      <w:r>
        <w:rPr>
          <w:rStyle w:val="FootnoteReference"/>
        </w:rPr>
        <w:footnoteReference w:id="1722"/>
      </w:r>
      <w:r>
        <w:t xml:space="preserve">.</w:t>
      </w:r>
    </w:p>
    <w:p>
      <w:pPr>
        <w:numPr>
          <w:ilvl w:val="0"/>
          <w:numId w:val="1210"/>
        </w:numPr>
        <w:pStyle w:val="Compact"/>
      </w:pPr>
      <w:r>
        <w:t xml:space="preserve">In einem Rattenmodell der Huntington-Krankheit schützte Dihexa</w:t>
      </w:r>
      <w:r>
        <w:t xml:space="preserve"> </w:t>
      </w:r>
      <w:r>
        <w:rPr>
          <w:bCs/>
          <w:b/>
        </w:rPr>
        <w:t xml:space="preserve">nicht</w:t>
      </w:r>
      <w:r>
        <w:t xml:space="preserve"> </w:t>
      </w:r>
      <w:r>
        <w:t xml:space="preserve">vor den Ausfällen</w:t>
      </w:r>
      <w:r>
        <w:rPr>
          <w:rStyle w:val="FootnoteReference"/>
        </w:rPr>
        <w:footnoteReference w:id="1723"/>
      </w:r>
      <w:r>
        <w:t xml:space="preserve">.</w:t>
      </w:r>
    </w:p>
    <w:p>
      <w:pPr>
        <w:numPr>
          <w:ilvl w:val="0"/>
          <w:numId w:val="1210"/>
        </w:numPr>
        <w:pStyle w:val="Compact"/>
      </w:pPr>
      <w:r>
        <w:t xml:space="preserve">Bei Zebrafischlarven schützte Dihexa Sinneshaarzellen vor Schäden durch bestimmte Antibiotika</w:t>
      </w:r>
      <w:r>
        <w:rPr>
          <w:rStyle w:val="FootnoteReference"/>
        </w:rPr>
        <w:footnoteReference w:id="1724"/>
      </w:r>
      <w:r>
        <w:t xml:space="preserve">.</w:t>
      </w:r>
    </w:p>
    <w:p>
      <w:pPr>
        <w:numPr>
          <w:ilvl w:val="0"/>
          <w:numId w:val="1210"/>
        </w:numPr>
        <w:pStyle w:val="Compact"/>
      </w:pPr>
      <w:r>
        <w:t xml:space="preserve">In der Stammzellforschung wird Dihexa als preiswerter Ersatz für Wachstumsfaktoren bei der Herstellung leberzellähnlicher Zellen verwendet</w:t>
      </w:r>
      <w:r>
        <w:rPr>
          <w:rStyle w:val="FootnoteReference"/>
        </w:rPr>
        <w:footnoteReference w:id="1725"/>
      </w:r>
      <w:r>
        <w:t xml:space="preserve"> </w:t>
      </w:r>
      <w:r>
        <w:t xml:space="preserve">–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w:t>
      </w:r>
      <w:r>
        <w:rPr>
          <w:rStyle w:val="FootnoteReference"/>
        </w:rPr>
        <w:footnoteReference w:id="1726"/>
      </w:r>
      <w:r>
        <w:t xml:space="preserve">.</w:t>
      </w:r>
    </w:p>
    <w:bookmarkEnd w:id="1727"/>
    <w:bookmarkStart w:id="1729"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w:t>
      </w:r>
      <w:r>
        <w:rPr>
          <w:rStyle w:val="FootnoteReference"/>
        </w:rPr>
        <w:footnoteReference w:id="1728"/>
      </w:r>
      <w:r>
        <w:t xml:space="preserve">.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1729"/>
    <w:bookmarkStart w:id="1730" w:name="rechtslage-37"/>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w:t>
      </w:r>
    </w:p>
    <w:p>
      <w:pPr>
        <w:numPr>
          <w:ilvl w:val="0"/>
          <w:numId w:val="1211"/>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11"/>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1730"/>
    <w:bookmarkStart w:id="1731"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1731"/>
    <w:bookmarkStart w:id="1732"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1732"/>
    <w:bookmarkEnd w:id="1733"/>
    <w:bookmarkStart w:id="1765" w:name="dsip-delta-schlaf-induzierendes-peptid"/>
    <w:p>
      <w:pPr>
        <w:pStyle w:val="Heading2"/>
      </w:pPr>
      <w:r>
        <w:t xml:space="preserve">DSIP (Delta-Schlaf-induzierendes Peptid)</w:t>
      </w:r>
    </w:p>
    <w:bookmarkStart w:id="1734" w:name="steckbrief-38"/>
    <w:p>
      <w:pPr>
        <w:pStyle w:val="Heading3"/>
      </w:pPr>
      <w:r>
        <w:t xml:space="preserve">Steckbrief</w:t>
      </w:r>
    </w:p>
    <w:p>
      <w:pPr>
        <w:numPr>
          <w:ilvl w:val="0"/>
          <w:numId w:val="1212"/>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12"/>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12"/>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12"/>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12"/>
        </w:numPr>
        <w:pStyle w:val="Compact"/>
      </w:pPr>
      <w:r>
        <w:rPr>
          <w:bCs/>
          <w:b/>
        </w:rPr>
        <w:t xml:space="preserve">WADA:</w:t>
      </w:r>
      <w:r>
        <w:t xml:space="preserve"> </w:t>
      </w:r>
      <w:r>
        <w:t xml:space="preserve">nicht namentlich gelistet.</w:t>
      </w:r>
    </w:p>
    <w:p>
      <w:pPr>
        <w:numPr>
          <w:ilvl w:val="0"/>
          <w:numId w:val="1212"/>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1734"/>
    <w:bookmarkStart w:id="1738"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w:t>
      </w:r>
      <w:r>
        <w:rPr>
          <w:rStyle w:val="FootnoteReference"/>
        </w:rPr>
        <w:footnoteReference w:id="1735"/>
      </w:r>
      <w:r>
        <w:t xml:space="preserve">.</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w:t>
      </w:r>
      <w:r>
        <w:rPr>
          <w:rStyle w:val="FootnoteReference"/>
        </w:rPr>
        <w:footnoteReference w:id="1736"/>
      </w:r>
      <w:r>
        <w:t xml:space="preserve">.</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w:t>
      </w:r>
      <w:r>
        <w:rPr>
          <w:rStyle w:val="FootnoteReference"/>
        </w:rPr>
        <w:footnoteReference w:id="1737"/>
      </w:r>
      <w:r>
        <w:t xml:space="preserve">.</w:t>
      </w:r>
    </w:p>
    <w:bookmarkEnd w:id="1738"/>
    <w:bookmarkStart w:id="1755"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1743"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w:t>
      </w:r>
      <w:r>
        <w:rPr>
          <w:rStyle w:val="FootnoteReference"/>
        </w:rPr>
        <w:footnoteReference w:id="1739"/>
      </w:r>
      <w:r>
        <w:t xml:space="preserve">. Bei 14 Personen mit schwerer Schlaflosigkeit erreichten Schlafeffizienz und Tagesleistung nach sieben Nächten laut den Autoren das Niveau gesunder Kontrollpersonen</w:t>
      </w:r>
      <w:r>
        <w:rPr>
          <w:rStyle w:val="FootnoteReference"/>
        </w:rPr>
        <w:footnoteReference w:id="1740"/>
      </w:r>
      <w:r>
        <w:t xml:space="preserve">.</w:t>
      </w:r>
    </w:p>
    <w:p>
      <w:pPr>
        <w:pStyle w:val="BodyText"/>
      </w:pPr>
      <w:r>
        <w:t xml:space="preserve">Unabhängige Gruppen konnten das nicht bestätigen. Eine Studie fand zwar mehr Gesamt- und NREM-Schlaf, aber die signifikanten Unterschiede zu Placebo (NREM-Schlaf und Schlafstadium 2) bestanden bereits vor der Behandlung; die Autoren bewerteten die Verbesserung als klinisch wenig bedeutsam</w:t>
      </w:r>
      <w:r>
        <w:rPr>
          <w:rStyle w:val="FootnoteReference"/>
        </w:rPr>
        <w:footnoteReference w:id="1741"/>
      </w:r>
      <w:r>
        <w:t xml:space="preserve">.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w:t>
      </w:r>
      <w:r>
        <w:rPr>
          <w:rStyle w:val="FootnoteReference"/>
        </w:rPr>
        <w:footnoteReference w:id="1742"/>
      </w:r>
      <w:r>
        <w:t xml:space="preserve">.</w:t>
      </w:r>
    </w:p>
    <w:p>
      <w:pPr>
        <w:pStyle w:val="BodyText"/>
      </w:pPr>
      <w:r>
        <w:t xml:space="preserve">Dieses Muster – begeisterte Erstberichte, ernüchternde Wiederholungen – ist typisch für Substanzen, deren Wirkung auf sehr kleinen Studien beruht.</w:t>
      </w:r>
    </w:p>
    <w:bookmarkEnd w:id="1743"/>
    <w:bookmarkStart w:id="1749"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der Opiat- bzw. 87 % der Alkoholabhängigen oder besserten sich deutlich. Es gab keine Kontrollgruppe, und ein Teil der Personen konnte nicht ausgewertet werden</w:t>
      </w:r>
      <w:r>
        <w:rPr>
          <w:rStyle w:val="FootnoteReference"/>
        </w:rPr>
        <w:footnoteReference w:id="1744"/>
      </w:r>
      <w:r>
        <w:t xml:space="preserve">. Eine spätere offene Studie zur Opioid-Entgiftung wurde nur als Kurzmitteilung ohne Abstract veröffentlicht</w:t>
      </w:r>
      <w:r>
        <w:rPr>
          <w:rStyle w:val="FootnoteReference"/>
        </w:rPr>
        <w:footnoteReference w:id="1745"/>
      </w:r>
      <w:r>
        <w:t xml:space="preserve">. Weitere Einzelberichte betreffen sieben Personen mit chronischen Schmerzen</w:t>
      </w:r>
      <w:r>
        <w:rPr>
          <w:rStyle w:val="FootnoteReference"/>
        </w:rPr>
        <w:footnoteReference w:id="1746"/>
      </w:r>
      <w:r>
        <w:t xml:space="preserve"> </w:t>
      </w:r>
      <w:r>
        <w:t xml:space="preserve">und einen Mann mit Narkolepsie</w:t>
      </w:r>
      <w:r>
        <w:rPr>
          <w:rStyle w:val="FootnoteReference"/>
        </w:rPr>
        <w:footnoteReference w:id="1747"/>
      </w:r>
      <w:r>
        <w:t xml:space="preserve">. Eine Studie untersuchte ein DSIP-Präparat zur Gabe in die Nase (Deltalicin) bei diabetischer Netzhauterkrankung, in der sich elektrische Reizantworten der Netzhaut verbesserten</w:t>
      </w:r>
      <w:r>
        <w:rPr>
          <w:rStyle w:val="FootnoteReference"/>
        </w:rPr>
        <w:footnoteReference w:id="1748"/>
      </w:r>
      <w:r>
        <w:t xml:space="preserve">.</w:t>
      </w:r>
    </w:p>
    <w:bookmarkEnd w:id="1749"/>
    <w:bookmarkStart w:id="1754"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w:t>
      </w:r>
      <w:r>
        <w:rPr>
          <w:rStyle w:val="FootnoteReference"/>
        </w:rPr>
        <w:footnoteReference w:id="1750"/>
      </w:r>
      <w:r>
        <w:t xml:space="preserve">; eine andere mit insgesamt 20 Männern fand keinen Einfluss auf ACTH und Cortisol</w:t>
      </w:r>
      <w:r>
        <w:rPr>
          <w:rStyle w:val="FootnoteReference"/>
        </w:rPr>
        <w:footnoteReference w:id="1751"/>
      </w:r>
      <w:r>
        <w:t xml:space="preserve">. Auf Wachstumshormon und Prolaktin hatte DSIP bei Frauen keinen Einfluss</w:t>
      </w:r>
      <w:r>
        <w:rPr>
          <w:rStyle w:val="FootnoteReference"/>
        </w:rPr>
        <w:footnoteReference w:id="1752"/>
      </w:r>
      <w:r>
        <w:t xml:space="preserve">.</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w:t>
      </w:r>
      <w:r>
        <w:rPr>
          <w:rStyle w:val="FootnoteReference"/>
        </w:rPr>
        <w:footnoteReference w:id="1753"/>
      </w:r>
      <w:r>
        <w:t xml:space="preserve">.</w:t>
      </w:r>
    </w:p>
    <w:bookmarkEnd w:id="1754"/>
    <w:bookmarkEnd w:id="1755"/>
    <w:bookmarkStart w:id="1758" w:name="tier--und-laborstudien-38"/>
    <w:p>
      <w:pPr>
        <w:pStyle w:val="Heading3"/>
      </w:pPr>
      <w:r>
        <w:t xml:space="preserve">Tier- und Laborstudien</w:t>
      </w:r>
    </w:p>
    <w:p>
      <w:pPr>
        <w:numPr>
          <w:ilvl w:val="0"/>
          <w:numId w:val="1213"/>
        </w:numPr>
        <w:pStyle w:val="Compact"/>
      </w:pPr>
      <w:r>
        <w:t xml:space="preserve">Bei Kaninchen und Ratten wurden in frühen Studien schlaffördernde Effekte beschrieben, die sich aber nicht durchgängig wiederholen ließen</w:t>
      </w:r>
      <w:r>
        <w:rPr>
          <w:rStyle w:val="FootnoteReference"/>
        </w:rPr>
        <w:footnoteReference w:id="1756"/>
      </w:r>
      <w:r>
        <w:t xml:space="preserve">.</w:t>
      </w:r>
    </w:p>
    <w:p>
      <w:pPr>
        <w:numPr>
          <w:ilvl w:val="0"/>
          <w:numId w:val="1213"/>
        </w:numPr>
        <w:pStyle w:val="Compact"/>
      </w:pPr>
      <w:r>
        <w:t xml:space="preserve">Bei Mäusen lebten die ältesten 10 % der Tiere, die lebenslang ein russisches DSIP-Präparat erhielten, 16 % länger als die Kontrolltiere; spontane Tumoren traten verzögert auf</w:t>
      </w:r>
      <w:r>
        <w:rPr>
          <w:rStyle w:val="FootnoteReference"/>
        </w:rPr>
        <w:footnoteReference w:id="1757"/>
      </w:r>
      <w:r>
        <w:t xml:space="preserve">. Diese Arbeit stammt aus dem Umfeld der russischen Gerontologie, das auch Epitalon untersucht (siehe dort).</w:t>
      </w:r>
    </w:p>
    <w:p>
      <w:pPr>
        <w:numPr>
          <w:ilvl w:val="0"/>
          <w:numId w:val="1213"/>
        </w:numPr>
        <w:pStyle w:val="Compact"/>
      </w:pPr>
      <w:r>
        <w:t xml:space="preserve">Weitere Tierstudien beschreiben Effekte auf Stressresistenz, Schmerzempfinden und antioxidative Enzyme.</w:t>
      </w:r>
    </w:p>
    <w:bookmarkEnd w:id="1758"/>
    <w:bookmarkStart w:id="1761"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w:t>
      </w:r>
      <w:r>
        <w:rPr>
          <w:rStyle w:val="FootnoteReference"/>
        </w:rPr>
        <w:footnoteReference w:id="1759"/>
      </w:r>
      <w:r>
        <w:t xml:space="preserve">. Unter Narkose erhöhte es die Herzfrequenz und verringerte die Herzfrequenzvariabilität</w:t>
      </w:r>
      <w:r>
        <w:rPr>
          <w:rStyle w:val="FootnoteReference"/>
        </w:rPr>
        <w:footnoteReference w:id="1760"/>
      </w:r>
      <w:r>
        <w:t xml:space="preserve">.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1761"/>
    <w:bookmarkStart w:id="1762" w:name="rechtslage-38"/>
    <w:p>
      <w:pPr>
        <w:pStyle w:val="Heading3"/>
      </w:pPr>
      <w:r>
        <w:t xml:space="preserve">Rechtslage</w:t>
      </w:r>
    </w:p>
    <w:p>
      <w:pPr>
        <w:numPr>
          <w:ilvl w:val="0"/>
          <w:numId w:val="1214"/>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w:t>
      </w:r>
    </w:p>
    <w:p>
      <w:pPr>
        <w:numPr>
          <w:ilvl w:val="0"/>
          <w:numId w:val="1214"/>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4"/>
        </w:numPr>
        <w:pStyle w:val="Compact"/>
      </w:pPr>
      <w:r>
        <w:rPr>
          <w:bCs/>
          <w:b/>
        </w:rPr>
        <w:t xml:space="preserve">Sport:</w:t>
      </w:r>
      <w:r>
        <w:t xml:space="preserve"> </w:t>
      </w:r>
      <w:r>
        <w:t xml:space="preserve">nicht namentlich auf der WADA-Liste (Stand 2026, bitte aktuell prüfen).</w:t>
      </w:r>
    </w:p>
    <w:bookmarkEnd w:id="1762"/>
    <w:bookmarkStart w:id="1763"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1763"/>
    <w:bookmarkStart w:id="1764"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1764"/>
    <w:bookmarkEnd w:id="1765"/>
    <w:bookmarkStart w:id="1795" w:name="epitalon-epithalon"/>
    <w:p>
      <w:pPr>
        <w:pStyle w:val="Heading2"/>
      </w:pPr>
      <w:r>
        <w:t xml:space="preserve">Epitalon (Epithalon)</w:t>
      </w:r>
    </w:p>
    <w:bookmarkStart w:id="1766" w:name="steckbrief-39"/>
    <w:p>
      <w:pPr>
        <w:pStyle w:val="Heading3"/>
      </w:pPr>
      <w:r>
        <w:t xml:space="preserve">Steckbrief</w:t>
      </w:r>
    </w:p>
    <w:p>
      <w:pPr>
        <w:numPr>
          <w:ilvl w:val="0"/>
          <w:numId w:val="1215"/>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5"/>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5"/>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5"/>
        </w:numPr>
        <w:pStyle w:val="Compact"/>
      </w:pPr>
      <w:r>
        <w:rPr>
          <w:bCs/>
          <w:b/>
        </w:rPr>
        <w:t xml:space="preserve">Zulassung EU:</w:t>
      </w:r>
      <w:r>
        <w:t xml:space="preserve"> </w:t>
      </w:r>
      <w:r>
        <w:t xml:space="preserve">nein.</w:t>
      </w:r>
    </w:p>
    <w:p>
      <w:pPr>
        <w:numPr>
          <w:ilvl w:val="0"/>
          <w:numId w:val="1215"/>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5"/>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w:t>
      </w:r>
    </w:p>
    <w:p>
      <w:pPr>
        <w:numPr>
          <w:ilvl w:val="0"/>
          <w:numId w:val="1215"/>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1766"/>
    <w:bookmarkStart w:id="1770"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6"/>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w:t>
      </w:r>
      <w:r>
        <w:rPr>
          <w:rStyle w:val="FootnoteReference"/>
        </w:rPr>
        <w:footnoteReference w:id="1767"/>
      </w:r>
      <w:r>
        <w:t xml:space="preserve">.</w:t>
      </w:r>
    </w:p>
    <w:p>
      <w:pPr>
        <w:numPr>
          <w:ilvl w:val="0"/>
          <w:numId w:val="1216"/>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w:t>
      </w:r>
      <w:r>
        <w:rPr>
          <w:rStyle w:val="FootnoteReference"/>
        </w:rPr>
        <w:footnoteReference w:id="1768"/>
      </w:r>
      <w:r>
        <w:t xml:space="preserve">. Die Gruppe postuliert, dass kurze Peptide direkt an die DNA binden.</w:t>
      </w:r>
    </w:p>
    <w:p>
      <w:pPr>
        <w:numPr>
          <w:ilvl w:val="0"/>
          <w:numId w:val="1216"/>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w:t>
      </w:r>
      <w:r>
        <w:rPr>
          <w:rStyle w:val="FootnoteReference"/>
        </w:rPr>
        <w:footnoteReference w:id="1769"/>
      </w:r>
      <w:r>
        <w:t xml:space="preserve">.</w:t>
      </w:r>
    </w:p>
    <w:bookmarkEnd w:id="1770"/>
    <w:bookmarkStart w:id="1781"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w:t>
      </w:r>
      <w:r>
        <w:rPr>
          <w:rStyle w:val="FootnoteReference"/>
        </w:rPr>
        <w:footnoteReference w:id="177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1773"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w:t>
      </w:r>
      <w:r>
        <w:rPr>
          <w:rStyle w:val="FootnoteReference"/>
        </w:rPr>
        <w:footnoteReference w:id="1772"/>
      </w:r>
      <w:r>
        <w:t xml:space="preserve">. Unabhängig bestätigt wurde der Befund nicht; in der Behandlung der Retinitis pigmentosa spielt Epitalon keine Rolle.</w:t>
      </w:r>
    </w:p>
    <w:bookmarkEnd w:id="1773"/>
    <w:bookmarkStart w:id="1775"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w:t>
      </w:r>
      <w:r>
        <w:rPr>
          <w:rStyle w:val="FootnoteReference"/>
        </w:rPr>
        <w:footnoteReference w:id="1774"/>
      </w:r>
      <w:r>
        <w:t xml:space="preserve">.</w:t>
      </w:r>
    </w:p>
    <w:p>
      <w:pPr>
        <w:pStyle w:val="BodyText"/>
      </w:pPr>
      <w:r>
        <w:t xml:space="preserve">Solche Effekte wären außergewöhnlich – größer als bei fast jeder Maßnahme der modernen Medizin. Umso wichtiger sind die Grenzen:</w:t>
      </w:r>
    </w:p>
    <w:p>
      <w:pPr>
        <w:numPr>
          <w:ilvl w:val="0"/>
          <w:numId w:val="1217"/>
        </w:numPr>
        <w:pStyle w:val="Compact"/>
      </w:pPr>
      <w:r>
        <w:t xml:space="preserve">Das Abstract beschreibt weder eine Zufallszuteilung noch eine Verblindung. Es ist nicht erkennbar, wie die Kontrollgruppe ausgewählt wurde.</w:t>
      </w:r>
    </w:p>
    <w:p>
      <w:pPr>
        <w:numPr>
          <w:ilvl w:val="0"/>
          <w:numId w:val="1217"/>
        </w:numPr>
        <w:pStyle w:val="Compact"/>
      </w:pPr>
      <w:r>
        <w:t xml:space="preserve">Die Gruppengrößen der einzelnen Arme und absolute Todeszahlen sind nicht angegeben.</w:t>
      </w:r>
    </w:p>
    <w:p>
      <w:pPr>
        <w:numPr>
          <w:ilvl w:val="0"/>
          <w:numId w:val="1217"/>
        </w:numPr>
        <w:pStyle w:val="Compact"/>
      </w:pPr>
      <w:r>
        <w:t xml:space="preserve">Die Studie wurde nie registriert, und eine unabhängige Wiederholung gibt es nicht.</w:t>
      </w:r>
    </w:p>
    <w:p>
      <w:pPr>
        <w:numPr>
          <w:ilvl w:val="0"/>
          <w:numId w:val="1217"/>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1775"/>
    <w:bookmarkStart w:id="1780"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8"/>
        </w:numPr>
        <w:pStyle w:val="Compact"/>
      </w:pPr>
      <w:r>
        <w:rPr>
          <w:bCs/>
          <w:b/>
        </w:rPr>
        <w:t xml:space="preserve">Zellkultur aus St. Petersburg:</w:t>
      </w:r>
      <w:r>
        <w:t xml:space="preserve"> </w:t>
      </w:r>
      <w:r>
        <w:t xml:space="preserve">In menschlichen fetalen Fibroblasten löste Epitalon Telomerase-Aktivität und Telomerverlängerung aus</w:t>
      </w:r>
      <w:r>
        <w:rPr>
          <w:rStyle w:val="FootnoteReference"/>
        </w:rPr>
        <w:footnoteReference w:id="1776"/>
      </w:r>
      <w:r>
        <w:t xml:space="preserve">; in einer Folgearbeit machten behandelte Zellen zehn zusätzliche Teilungen über ihre übliche Grenze hinaus</w:t>
      </w:r>
      <w:r>
        <w:rPr>
          <w:rStyle w:val="FootnoteReference"/>
        </w:rPr>
        <w:footnoteReference w:id="1777"/>
      </w:r>
      <w:r>
        <w:t xml:space="preserve">. Beide Arbeiten sind sehr kurz publiziert, ohne detaillierte Methoden im Abstract.</w:t>
      </w:r>
    </w:p>
    <w:p>
      <w:pPr>
        <w:numPr>
          <w:ilvl w:val="0"/>
          <w:numId w:val="1218"/>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w:t>
      </w:r>
      <w:r>
        <w:rPr>
          <w:rStyle w:val="FootnoteReference"/>
        </w:rPr>
        <w:footnoteReference w:id="1778"/>
      </w:r>
      <w:r>
        <w:t xml:space="preserve">.</w:t>
      </w:r>
    </w:p>
    <w:p>
      <w:pPr>
        <w:numPr>
          <w:ilvl w:val="0"/>
          <w:numId w:val="1218"/>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w:t>
      </w:r>
      <w:r>
        <w:rPr>
          <w:rStyle w:val="FootnoteReference"/>
        </w:rPr>
        <w:footnoteReference w:id="1779"/>
      </w:r>
      <w:r>
        <w:t xml:space="preserve">.</w:t>
      </w:r>
    </w:p>
    <w:p>
      <w:pPr>
        <w:numPr>
          <w:ilvl w:val="0"/>
          <w:numId w:val="1218"/>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1780"/>
    <w:bookmarkEnd w:id="1781"/>
    <w:bookmarkStart w:id="1786" w:name="tier--und-laborstudien-39"/>
    <w:p>
      <w:pPr>
        <w:pStyle w:val="Heading3"/>
      </w:pPr>
      <w:r>
        <w:t xml:space="preserve">Tier- und Laborstudien</w:t>
      </w:r>
    </w:p>
    <w:p>
      <w:pPr>
        <w:numPr>
          <w:ilvl w:val="0"/>
          <w:numId w:val="1219"/>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w:t>
      </w:r>
      <w:r>
        <w:rPr>
          <w:rStyle w:val="FootnoteReference"/>
        </w:rPr>
        <w:footnoteReference w:id="1782"/>
      </w:r>
      <w:r>
        <w:t xml:space="preserve">.</w:t>
      </w:r>
    </w:p>
    <w:p>
      <w:pPr>
        <w:numPr>
          <w:ilvl w:val="0"/>
          <w:numId w:val="1219"/>
        </w:numPr>
        <w:pStyle w:val="Compact"/>
      </w:pPr>
      <w:r>
        <w:rPr>
          <w:bCs/>
          <w:b/>
        </w:rPr>
        <w:t xml:space="preserve">Fruchtfliegen:</w:t>
      </w:r>
      <w:r>
        <w:t xml:space="preserve"> </w:t>
      </w:r>
      <w:r>
        <w:t xml:space="preserve">Auch bei Taufliegen wurde eine längere Lebensdauer berichtet</w:t>
      </w:r>
      <w:r>
        <w:rPr>
          <w:rStyle w:val="FootnoteReference"/>
        </w:rPr>
        <w:footnoteReference w:id="1783"/>
      </w:r>
      <w:r>
        <w:t xml:space="preserve">.</w:t>
      </w:r>
    </w:p>
    <w:p>
      <w:pPr>
        <w:numPr>
          <w:ilvl w:val="0"/>
          <w:numId w:val="1219"/>
        </w:numPr>
        <w:pStyle w:val="Compact"/>
      </w:pPr>
      <w:r>
        <w:rPr>
          <w:bCs/>
          <w:b/>
        </w:rPr>
        <w:t xml:space="preserve">Netzhaut:</w:t>
      </w:r>
      <w:r>
        <w:t xml:space="preserve"> </w:t>
      </w:r>
      <w:r>
        <w:t xml:space="preserve">Bei Ratten mit erblicher Netzhautdegeneration blieb die Netzhautstruktur unter Epitalon besser erhalten</w:t>
      </w:r>
      <w:r>
        <w:rPr>
          <w:rStyle w:val="FootnoteReference"/>
        </w:rPr>
        <w:footnoteReference w:id="1784"/>
      </w:r>
      <w:r>
        <w:t xml:space="preserve">.</w:t>
      </w:r>
    </w:p>
    <w:p>
      <w:pPr>
        <w:numPr>
          <w:ilvl w:val="0"/>
          <w:numId w:val="1219"/>
        </w:numPr>
        <w:pStyle w:val="Compact"/>
      </w:pPr>
      <w:r>
        <w:rPr>
          <w:bCs/>
          <w:b/>
        </w:rPr>
        <w:t xml:space="preserve">Eizellen:</w:t>
      </w:r>
      <w:r>
        <w:t xml:space="preserve"> </w:t>
      </w:r>
      <w:r>
        <w:t xml:space="preserve">In Kulturen gealterter Mäuse-Eizellen verringerte Epitalon Schäden durch oxidativen Stress</w:t>
      </w:r>
      <w:r>
        <w:rPr>
          <w:rStyle w:val="FootnoteReference"/>
        </w:rPr>
        <w:footnoteReference w:id="1785"/>
      </w:r>
      <w:r>
        <w:t xml:space="preserve">.</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1786"/>
    <w:bookmarkStart w:id="1790"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20"/>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w:t>
      </w:r>
      <w:r>
        <w:rPr>
          <w:rStyle w:val="FootnoteReference"/>
        </w:rPr>
        <w:footnoteReference w:id="1787"/>
      </w:r>
      <w:r>
        <w:t xml:space="preserve">. Die Mäusestudie fand keine Zunahme spontaner Tumoren</w:t>
      </w:r>
      <w:r>
        <w:rPr>
          <w:rStyle w:val="FootnoteReference"/>
        </w:rPr>
        <w:footnoteReference w:id="1788"/>
      </w:r>
      <w:r>
        <w:t xml:space="preserve">, doch Tierdaten lassen sich nicht auf Jahrzehnte menschlicher Anwendung übertragen.</w:t>
      </w:r>
    </w:p>
    <w:p>
      <w:pPr>
        <w:numPr>
          <w:ilvl w:val="0"/>
          <w:numId w:val="1220"/>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w:t>
      </w:r>
      <w:r>
        <w:rPr>
          <w:rStyle w:val="FootnoteReference"/>
        </w:rPr>
        <w:footnoteReference w:id="1789"/>
      </w:r>
      <w:r>
        <w:t xml:space="preserve">.</w:t>
      </w:r>
    </w:p>
    <w:bookmarkEnd w:id="1790"/>
    <w:bookmarkStart w:id="1791" w:name="rechtslage-39"/>
    <w:p>
      <w:pPr>
        <w:pStyle w:val="Heading3"/>
      </w:pPr>
      <w:r>
        <w:t xml:space="preserve">Rechtslage</w:t>
      </w:r>
    </w:p>
    <w:p>
      <w:pPr>
        <w:numPr>
          <w:ilvl w:val="0"/>
          <w:numId w:val="1221"/>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w:t>
      </w:r>
    </w:p>
    <w:p>
      <w:pPr>
        <w:numPr>
          <w:ilvl w:val="0"/>
          <w:numId w:val="1221"/>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21"/>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21"/>
        </w:numPr>
        <w:pStyle w:val="Compact"/>
      </w:pPr>
      <w:r>
        <w:rPr>
          <w:bCs/>
          <w:b/>
        </w:rPr>
        <w:t xml:space="preserve">Sport:</w:t>
      </w:r>
      <w:r>
        <w:t xml:space="preserve"> </w:t>
      </w:r>
      <w:r>
        <w:t xml:space="preserve">nach unserer Einschätzung WADA-Kategorie S0 (Stand 2026, bitte aktuell prüfen).</w:t>
      </w:r>
    </w:p>
    <w:bookmarkEnd w:id="1791"/>
    <w:bookmarkStart w:id="1793"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w:t>
      </w:r>
      <w:r>
        <w:rPr>
          <w:rStyle w:val="FootnoteReference"/>
        </w:rPr>
        <w:footnoteReference w:id="1792"/>
      </w:r>
      <w:r>
        <w:t xml:space="preserve">.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1793"/>
    <w:bookmarkStart w:id="1794"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1794"/>
    <w:bookmarkEnd w:id="1795"/>
    <w:bookmarkStart w:id="1812" w:name="pinealon"/>
    <w:p>
      <w:pPr>
        <w:pStyle w:val="Heading2"/>
      </w:pPr>
      <w:r>
        <w:t xml:space="preserve">Pinealon</w:t>
      </w:r>
    </w:p>
    <w:bookmarkStart w:id="1796" w:name="steckbrief-40"/>
    <w:p>
      <w:pPr>
        <w:pStyle w:val="Heading3"/>
      </w:pPr>
      <w:r>
        <w:t xml:space="preserve">Steckbrief</w:t>
      </w:r>
    </w:p>
    <w:p>
      <w:pPr>
        <w:numPr>
          <w:ilvl w:val="0"/>
          <w:numId w:val="1222"/>
        </w:numPr>
        <w:pStyle w:val="Compact"/>
      </w:pPr>
      <w:r>
        <w:rPr>
          <w:bCs/>
          <w:b/>
        </w:rPr>
        <w:t xml:space="preserve">Art und Struktur:</w:t>
      </w:r>
      <w:r>
        <w:t xml:space="preserve"> </w:t>
      </w:r>
      <w:r>
        <w:t xml:space="preserve">synthetisches Tripeptid aus drei Aminosäuren: Glu-Asp-Arg (abgekürzt EDR).</w:t>
      </w:r>
    </w:p>
    <w:p>
      <w:pPr>
        <w:numPr>
          <w:ilvl w:val="0"/>
          <w:numId w:val="1222"/>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22"/>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22"/>
        </w:numPr>
        <w:pStyle w:val="Compact"/>
      </w:pPr>
      <w:r>
        <w:rPr>
          <w:bCs/>
          <w:b/>
        </w:rPr>
        <w:t xml:space="preserve">Zulassung EU:</w:t>
      </w:r>
      <w:r>
        <w:t xml:space="preserve"> </w:t>
      </w:r>
      <w:r>
        <w:t xml:space="preserve">nein.</w:t>
      </w:r>
    </w:p>
    <w:p>
      <w:pPr>
        <w:numPr>
          <w:ilvl w:val="0"/>
          <w:numId w:val="1222"/>
        </w:numPr>
        <w:pStyle w:val="Compact"/>
      </w:pPr>
      <w:r>
        <w:rPr>
          <w:bCs/>
          <w:b/>
        </w:rPr>
        <w:t xml:space="preserve">Zulassung USA:</w:t>
      </w:r>
      <w:r>
        <w:t xml:space="preserve"> </w:t>
      </w:r>
      <w:r>
        <w:t xml:space="preserve">nein.</w:t>
      </w:r>
    </w:p>
    <w:p>
      <w:pPr>
        <w:numPr>
          <w:ilvl w:val="0"/>
          <w:numId w:val="1222"/>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22"/>
        </w:numPr>
        <w:pStyle w:val="Compact"/>
      </w:pPr>
      <w:r>
        <w:rPr>
          <w:bCs/>
          <w:b/>
        </w:rPr>
        <w:t xml:space="preserve">WADA:</w:t>
      </w:r>
      <w:r>
        <w:t xml:space="preserve"> </w:t>
      </w:r>
      <w:r>
        <w:t xml:space="preserve">nicht namentlich gelistet; ein nicht als Arzneimittel zugelassener Wirkstoff kann unter die Sammelkategorie S0 fallen.</w:t>
      </w:r>
    </w:p>
    <w:p>
      <w:pPr>
        <w:numPr>
          <w:ilvl w:val="0"/>
          <w:numId w:val="1222"/>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1796"/>
    <w:bookmarkStart w:id="1800"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3"/>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w:t>
      </w:r>
      <w:r>
        <w:rPr>
          <w:rStyle w:val="FootnoteReference"/>
        </w:rPr>
        <w:footnoteReference w:id="1797"/>
      </w:r>
      <w:r>
        <w:t xml:space="preserve">.</w:t>
      </w:r>
    </w:p>
    <w:p>
      <w:pPr>
        <w:numPr>
          <w:ilvl w:val="0"/>
          <w:numId w:val="1223"/>
        </w:numPr>
        <w:pStyle w:val="Compact"/>
      </w:pPr>
      <w:r>
        <w:t xml:space="preserve">In Nervenzellen aus dem Kleinhirn von Ratten und in anderen Zellkulturen begrenzte Pinealon die Anhäufung reaktiver Sauerstoffverbindungen und verringerte das Absterben von Zellen</w:t>
      </w:r>
      <w:r>
        <w:rPr>
          <w:rStyle w:val="FootnoteReference"/>
        </w:rPr>
        <w:footnoteReference w:id="1798"/>
      </w:r>
      <w:r>
        <w:t xml:space="preserve">.</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w:t>
      </w:r>
      <w:r>
        <w:rPr>
          <w:rStyle w:val="FootnoteReference"/>
        </w:rPr>
        <w:footnoteReference w:id="1799"/>
      </w:r>
      <w:r>
        <w:t xml:space="preserve">.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1800"/>
    <w:bookmarkStart w:id="1802"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4"/>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4"/>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4"/>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4"/>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w:t>
      </w:r>
      <w:r>
        <w:rPr>
          <w:rStyle w:val="FootnoteReference"/>
        </w:rPr>
        <w:footnoteReference w:id="1801"/>
      </w:r>
      <w:r>
        <w:t xml:space="preserve">.</w:t>
      </w:r>
    </w:p>
    <w:bookmarkEnd w:id="1802"/>
    <w:bookmarkStart w:id="1806" w:name="tier--und-laborstudien-40"/>
    <w:p>
      <w:pPr>
        <w:pStyle w:val="Heading3"/>
      </w:pPr>
      <w:r>
        <w:t xml:space="preserve">Tier- und Laborstudien</w:t>
      </w:r>
    </w:p>
    <w:p>
      <w:pPr>
        <w:numPr>
          <w:ilvl w:val="0"/>
          <w:numId w:val="1225"/>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w:t>
      </w:r>
      <w:r>
        <w:rPr>
          <w:rStyle w:val="FootnoteReference"/>
        </w:rPr>
        <w:footnoteReference w:id="1803"/>
      </w:r>
      <w:r>
        <w:t xml:space="preserve">.</w:t>
      </w:r>
    </w:p>
    <w:p>
      <w:pPr>
        <w:numPr>
          <w:ilvl w:val="0"/>
          <w:numId w:val="1225"/>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w:t>
      </w:r>
      <w:r>
        <w:rPr>
          <w:rStyle w:val="FootnoteReference"/>
        </w:rPr>
        <w:footnoteReference w:id="1804"/>
      </w:r>
      <w:r>
        <w:t xml:space="preserve">.</w:t>
      </w:r>
    </w:p>
    <w:p>
      <w:pPr>
        <w:numPr>
          <w:ilvl w:val="0"/>
          <w:numId w:val="1225"/>
        </w:numPr>
        <w:pStyle w:val="Compact"/>
      </w:pPr>
      <w:r>
        <w:t xml:space="preserve">In Zellkulturen schützte Pinealon verschiedene Zelltypen vor oxidativem Stress</w:t>
      </w:r>
      <w:r>
        <w:rPr>
          <w:rStyle w:val="FootnoteReference"/>
        </w:rPr>
        <w:footnoteReference w:id="1805"/>
      </w:r>
      <w:r>
        <w:t xml:space="preserve">.</w:t>
      </w:r>
    </w:p>
    <w:p>
      <w:pPr>
        <w:pStyle w:val="FirstParagraph"/>
      </w:pPr>
      <w:r>
        <w:t xml:space="preserve">Fast alle Arbeiten stammen aus der Entwicklergruppe oder kooperierenden russischen Instituten.</w:t>
      </w:r>
    </w:p>
    <w:bookmarkEnd w:id="1806"/>
    <w:bookmarkStart w:id="1808"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w:t>
      </w:r>
      <w:r>
        <w:rPr>
          <w:rStyle w:val="FootnoteReference"/>
        </w:rPr>
        <w:footnoteReference w:id="1807"/>
      </w:r>
      <w:r>
        <w:t xml:space="preserve">.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1808"/>
    <w:bookmarkStart w:id="1809" w:name="rechtslage-40"/>
    <w:p>
      <w:pPr>
        <w:pStyle w:val="Heading3"/>
      </w:pPr>
      <w:r>
        <w:t xml:space="preserve">Rechtslage</w:t>
      </w:r>
    </w:p>
    <w:p>
      <w:pPr>
        <w:numPr>
          <w:ilvl w:val="0"/>
          <w:numId w:val="1226"/>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w:t>
      </w:r>
    </w:p>
    <w:p>
      <w:pPr>
        <w:numPr>
          <w:ilvl w:val="0"/>
          <w:numId w:val="1226"/>
        </w:numPr>
        <w:pStyle w:val="Compact"/>
      </w:pPr>
      <w:r>
        <w:rPr>
          <w:bCs/>
          <w:b/>
        </w:rPr>
        <w:t xml:space="preserve">USA:</w:t>
      </w:r>
      <w:r>
        <w:t xml:space="preserve"> </w:t>
      </w:r>
      <w:r>
        <w:t xml:space="preserve">nicht zugelassen.</w:t>
      </w:r>
    </w:p>
    <w:p>
      <w:pPr>
        <w:numPr>
          <w:ilvl w:val="0"/>
          <w:numId w:val="1226"/>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6"/>
        </w:numPr>
        <w:pStyle w:val="Compact"/>
      </w:pPr>
      <w:r>
        <w:rPr>
          <w:bCs/>
          <w:b/>
        </w:rPr>
        <w:t xml:space="preserve">Sport:</w:t>
      </w:r>
      <w:r>
        <w:t xml:space="preserve"> </w:t>
      </w:r>
      <w:r>
        <w:t xml:space="preserve">nicht namentlich gelistet; mögliche Erfassung durch WADA-Kategorie S0 (Stand 2026, bitte aktuell prüfen).</w:t>
      </w:r>
    </w:p>
    <w:bookmarkEnd w:id="1809"/>
    <w:bookmarkStart w:id="1810"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1810"/>
    <w:bookmarkStart w:id="1811"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1811"/>
    <w:bookmarkEnd w:id="1812"/>
    <w:bookmarkStart w:id="1841" w:name="mots-c"/>
    <w:p>
      <w:pPr>
        <w:pStyle w:val="Heading2"/>
      </w:pPr>
      <w:r>
        <w:t xml:space="preserve">MOTS-c</w:t>
      </w:r>
    </w:p>
    <w:bookmarkStart w:id="1813" w:name="steckbrief-41"/>
    <w:p>
      <w:pPr>
        <w:pStyle w:val="Heading3"/>
      </w:pPr>
      <w:r>
        <w:t xml:space="preserve">Steckbrief</w:t>
      </w:r>
    </w:p>
    <w:p>
      <w:pPr>
        <w:numPr>
          <w:ilvl w:val="0"/>
          <w:numId w:val="1227"/>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7"/>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7"/>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7"/>
        </w:numPr>
        <w:pStyle w:val="Compact"/>
      </w:pPr>
      <w:r>
        <w:rPr>
          <w:bCs/>
          <w:b/>
        </w:rPr>
        <w:t xml:space="preserve">Zulassung EU:</w:t>
      </w:r>
      <w:r>
        <w:t xml:space="preserve"> </w:t>
      </w:r>
      <w:r>
        <w:t xml:space="preserve">nein.</w:t>
      </w:r>
    </w:p>
    <w:p>
      <w:pPr>
        <w:numPr>
          <w:ilvl w:val="0"/>
          <w:numId w:val="1227"/>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7"/>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w:t>
      </w:r>
    </w:p>
    <w:p>
      <w:pPr>
        <w:numPr>
          <w:ilvl w:val="0"/>
          <w:numId w:val="1227"/>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1813"/>
    <w:bookmarkStart w:id="1817"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w:t>
      </w:r>
      <w:r>
        <w:rPr>
          <w:rStyle w:val="FootnoteReference"/>
        </w:rPr>
        <w:footnoteReference w:id="1814"/>
      </w:r>
      <w:r>
        <w:t xml:space="preserve">. Unter Stoffwechselstress wanderte MOTS-c in Zellkulturen in den Zellkern und beeinflusste dort Gene</w:t>
      </w:r>
      <w:r>
        <w:rPr>
          <w:rStyle w:val="FootnoteReference"/>
        </w:rPr>
        <w:footnoteReference w:id="1815"/>
      </w:r>
      <w:r>
        <w:t xml:space="preserve">.</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w:t>
      </w:r>
      <w:r>
        <w:rPr>
          <w:rStyle w:val="FootnoteReference"/>
        </w:rPr>
        <w:footnoteReference w:id="1816"/>
      </w:r>
      <w:r>
        <w:t xml:space="preserve">.</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1817"/>
    <w:bookmarkStart w:id="1827"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w:t>
      </w:r>
      <w:r>
        <w:rPr>
          <w:rStyle w:val="FootnoteReference"/>
        </w:rPr>
        <w:footnoteReference w:id="1818"/>
      </w:r>
      <w:r>
        <w:t xml:space="preserve">.</w:t>
      </w:r>
    </w:p>
    <w:p>
      <w:pPr>
        <w:pStyle w:val="BodyText"/>
      </w:pPr>
      <w:r>
        <w:t xml:space="preserve">Für das Verständnis dieses Kapitels ist eine Unterscheidung zentral:</w:t>
      </w:r>
    </w:p>
    <w:p>
      <w:pPr>
        <w:numPr>
          <w:ilvl w:val="0"/>
          <w:numId w:val="1228"/>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8"/>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1824"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w:t>
      </w:r>
      <w:r>
        <w:rPr>
          <w:rStyle w:val="FootnoteReference"/>
        </w:rPr>
        <w:footnoteReference w:id="1819"/>
      </w:r>
      <w:r>
        <w:t xml:space="preserve"> </w:t>
      </w:r>
      <w:r>
        <w:t xml:space="preserve">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w:t>
      </w:r>
      <w:r>
        <w:rPr>
          <w:rStyle w:val="FootnoteReference"/>
        </w:rPr>
        <w:footnoteReference w:id="1820"/>
      </w:r>
      <w:r>
        <w:t xml:space="preserve">, in der Diabetesstudie galt ein Wert unter 167 ng/ml als niedrig</w:t>
      </w:r>
      <w:r>
        <w:rPr>
          <w:rStyle w:val="FootnoteReference"/>
        </w:rPr>
        <w:footnoteReference w:id="1821"/>
      </w:r>
      <w:r>
        <w:t xml:space="preserve">. In einer Studie mit Brustkrebspatientinnen veränderte selbst Metformin – das auf denselben Energiesensor wirkt – die mit einem handelsüblichen Test gemessenen Spiegel nicht</w:t>
      </w:r>
      <w:r>
        <w:rPr>
          <w:rStyle w:val="FootnoteReference"/>
        </w:rPr>
        <w:footnoteReference w:id="1822"/>
      </w:r>
      <w:r>
        <w:t xml:space="preserve">.</w:t>
      </w:r>
    </w:p>
    <w:p>
      <w:pPr>
        <w:pStyle w:val="BodyText"/>
      </w:pPr>
      <w:r>
        <w:rPr>
          <w:bCs/>
          <w:b/>
        </w:rPr>
        <w:t xml:space="preserve">Genetische Hinweise:</w:t>
      </w:r>
      <w:r>
        <w:t xml:space="preserve"> </w:t>
      </w:r>
      <w:r>
        <w:t xml:space="preserve">Eine nur in Asien vorkommende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w:t>
      </w:r>
      <w:r>
        <w:rPr>
          <w:rStyle w:val="FootnoteReference"/>
        </w:rPr>
        <w:footnoteReference w:id="1823"/>
      </w:r>
      <w:r>
        <w:t xml:space="preserve">. Das ist ein interessanter Hinweis, dass MOTS-c beim Menschen eine Rolle im Stoffwechsel spielen könnte – aber kein Beleg für den Nutzen einer Zufuhr.</w:t>
      </w:r>
    </w:p>
    <w:bookmarkEnd w:id="1824"/>
    <w:bookmarkStart w:id="1826"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w:t>
      </w:r>
      <w:r>
        <w:rPr>
          <w:rStyle w:val="FootnoteReference"/>
        </w:rPr>
        <w:footnoteReference w:id="1825"/>
      </w:r>
      <w:r>
        <w:t xml:space="preserve"> </w:t>
      </w:r>
      <w:r>
        <w:t xml:space="preserve">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1826"/>
    <w:bookmarkEnd w:id="1827"/>
    <w:bookmarkStart w:id="1832"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9"/>
        </w:numPr>
        <w:pStyle w:val="Compact"/>
      </w:pPr>
      <w:r>
        <w:rPr>
          <w:bCs/>
          <w:b/>
        </w:rPr>
        <w:t xml:space="preserve">Stoffwechsel:</w:t>
      </w:r>
      <w:r>
        <w:t xml:space="preserve"> </w:t>
      </w:r>
      <w:r>
        <w:t xml:space="preserve">Bei Mäusen verhinderte MOTS-c ernährungsbedingtes Übergewicht und Insulinresistenz</w:t>
      </w:r>
      <w:r>
        <w:rPr>
          <w:rStyle w:val="FootnoteReference"/>
        </w:rPr>
        <w:footnoteReference w:id="1828"/>
      </w:r>
      <w:r>
        <w:t xml:space="preserve">.</w:t>
      </w:r>
    </w:p>
    <w:p>
      <w:pPr>
        <w:numPr>
          <w:ilvl w:val="0"/>
          <w:numId w:val="1229"/>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w:t>
      </w:r>
      <w:r>
        <w:rPr>
          <w:rStyle w:val="FootnoteReference"/>
        </w:rPr>
        <w:footnoteReference w:id="1829"/>
      </w:r>
      <w:r>
        <w:t xml:space="preserve">.</w:t>
      </w:r>
    </w:p>
    <w:p>
      <w:pPr>
        <w:numPr>
          <w:ilvl w:val="0"/>
          <w:numId w:val="1229"/>
        </w:numPr>
        <w:pStyle w:val="Compact"/>
      </w:pPr>
      <w:r>
        <w:rPr>
          <w:bCs/>
          <w:b/>
        </w:rPr>
        <w:t xml:space="preserve">Leistung und Alter:</w:t>
      </w:r>
      <w:r>
        <w:t xml:space="preserve"> </w:t>
      </w:r>
      <w:r>
        <w:t xml:space="preserve">MOTS-c steigerte die körperliche Leistung von Mäusen unterschiedlichen Alters</w:t>
      </w:r>
      <w:r>
        <w:rPr>
          <w:rStyle w:val="FootnoteReference"/>
        </w:rPr>
        <w:footnoteReference w:id="1830"/>
      </w:r>
      <w:r>
        <w:t xml:space="preserve">.</w:t>
      </w:r>
    </w:p>
    <w:p>
      <w:pPr>
        <w:numPr>
          <w:ilvl w:val="0"/>
          <w:numId w:val="1229"/>
        </w:numPr>
        <w:pStyle w:val="Compact"/>
      </w:pPr>
      <w:r>
        <w:rPr>
          <w:bCs/>
          <w:b/>
        </w:rPr>
        <w:t xml:space="preserve">Bauchspeicheldrüse:</w:t>
      </w:r>
      <w:r>
        <w:t xml:space="preserve"> </w:t>
      </w:r>
      <w:r>
        <w:t xml:space="preserve">Bei Mäusen verzögerte MOTS-c die Alterung insulinbildender Zellen und den Beginn eines Diabetes</w:t>
      </w:r>
      <w:r>
        <w:rPr>
          <w:rStyle w:val="FootnoteReference"/>
        </w:rPr>
        <w:footnoteReference w:id="1831"/>
      </w:r>
      <w:r>
        <w:t xml:space="preserve">.</w:t>
      </w:r>
    </w:p>
    <w:p>
      <w:pPr>
        <w:numPr>
          <w:ilvl w:val="0"/>
          <w:numId w:val="1229"/>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1832"/>
    <w:bookmarkStart w:id="1835"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30"/>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30"/>
        </w:numPr>
        <w:pStyle w:val="Compact"/>
      </w:pPr>
      <w:r>
        <w:rPr>
          <w:bCs/>
          <w:b/>
        </w:rPr>
        <w:t xml:space="preserve">Krebs:</w:t>
      </w:r>
      <w:r>
        <w:t xml:space="preserve"> </w:t>
      </w:r>
      <w:r>
        <w:t xml:space="preserve">In Laborstudien bremste MOTS-c eher Krebszellen: Es hemmte das Wachstum von Eierstockkrebszellen</w:t>
      </w:r>
      <w:r>
        <w:rPr>
          <w:rStyle w:val="FootnoteReference"/>
        </w:rPr>
        <w:footnoteReference w:id="1833"/>
      </w:r>
      <w:r>
        <w:t xml:space="preserve"> </w:t>
      </w:r>
      <w:r>
        <w:t xml:space="preserve">und machte Leberkrebszellen unter Sauerstoffmangel empfindlicher für den programmierten Zelltod</w:t>
      </w:r>
      <w:r>
        <w:rPr>
          <w:rStyle w:val="FootnoteReference"/>
        </w:rPr>
        <w:footnoteReference w:id="1834"/>
      </w:r>
      <w:r>
        <w:t xml:space="preserve">. Ob das beim Menschen gilt und wie sich eine jahrelange Zufuhr eines stoffwechselaktiven Signalstoffs auswirkt, ist nicht untersucht.</w:t>
      </w:r>
    </w:p>
    <w:p>
      <w:pPr>
        <w:numPr>
          <w:ilvl w:val="0"/>
          <w:numId w:val="1230"/>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1835"/>
    <w:bookmarkStart w:id="1836" w:name="rechtslage-41"/>
    <w:p>
      <w:pPr>
        <w:pStyle w:val="Heading3"/>
      </w:pPr>
      <w:r>
        <w:t xml:space="preserve">Rechtslage</w:t>
      </w:r>
    </w:p>
    <w:p>
      <w:pPr>
        <w:numPr>
          <w:ilvl w:val="0"/>
          <w:numId w:val="1231"/>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w:t>
      </w:r>
    </w:p>
    <w:p>
      <w:pPr>
        <w:numPr>
          <w:ilvl w:val="0"/>
          <w:numId w:val="1231"/>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31"/>
        </w:numPr>
        <w:pStyle w:val="Compact"/>
      </w:pPr>
      <w:r>
        <w:rPr>
          <w:bCs/>
          <w:b/>
        </w:rPr>
        <w:t xml:space="preserve">Sport:</w:t>
      </w:r>
      <w:r>
        <w:t xml:space="preserve"> </w:t>
      </w:r>
      <w:r>
        <w:t xml:space="preserve">verboten nach WADA-Liste, Kategorie S4 (Stand 2026, bitte aktuell prüfen).</w:t>
      </w:r>
    </w:p>
    <w:bookmarkEnd w:id="1836"/>
    <w:bookmarkStart w:id="1839"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32"/>
        </w:numPr>
        <w:pStyle w:val="Compact"/>
      </w:pPr>
      <w:r>
        <w:t xml:space="preserve">Eine verlässlich registrierte Studie, in der MOTS-c als Wirkstoff gegeben wird, gibt es nicht.</w:t>
      </w:r>
    </w:p>
    <w:p>
      <w:pPr>
        <w:numPr>
          <w:ilvl w:val="0"/>
          <w:numId w:val="1232"/>
        </w:numPr>
        <w:pStyle w:val="Compact"/>
      </w:pPr>
      <w:r>
        <w:t xml:space="preserve">Mehrere Beobachtungsstudien messen MOTS-c-Spiegel, etwa bei Nierentransplantation</w:t>
      </w:r>
      <w:r>
        <w:rPr>
          <w:rStyle w:val="FootnoteReference"/>
        </w:rPr>
        <w:footnoteReference w:id="1837"/>
      </w:r>
      <w:r>
        <w:t xml:space="preserve"> </w:t>
      </w:r>
      <w:r>
        <w:t xml:space="preserve">oder bei Diabetes unter verschiedenen Medikamenten</w:t>
      </w:r>
      <w:r>
        <w:rPr>
          <w:rStyle w:val="FootnoteReference"/>
        </w:rPr>
        <w:footnoteReference w:id="1838"/>
      </w:r>
      <w:r>
        <w:t xml:space="preserve">.</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1839"/>
    <w:bookmarkStart w:id="1840"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1840"/>
    <w:bookmarkEnd w:id="1841"/>
    <w:bookmarkStart w:id="1864" w:name="humanin"/>
    <w:p>
      <w:pPr>
        <w:pStyle w:val="Heading2"/>
      </w:pPr>
      <w:r>
        <w:t xml:space="preserve">Humanin</w:t>
      </w:r>
    </w:p>
    <w:bookmarkStart w:id="1842" w:name="steckbrief-42"/>
    <w:p>
      <w:pPr>
        <w:pStyle w:val="Heading3"/>
      </w:pPr>
      <w:r>
        <w:t xml:space="preserve">Steckbrief</w:t>
      </w:r>
    </w:p>
    <w:p>
      <w:pPr>
        <w:numPr>
          <w:ilvl w:val="0"/>
          <w:numId w:val="1233"/>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3"/>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3"/>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3"/>
        </w:numPr>
        <w:pStyle w:val="Compact"/>
      </w:pPr>
      <w:r>
        <w:rPr>
          <w:bCs/>
          <w:b/>
        </w:rPr>
        <w:t xml:space="preserve">Zulassung EU:</w:t>
      </w:r>
      <w:r>
        <w:t xml:space="preserve"> </w:t>
      </w:r>
      <w:r>
        <w:t xml:space="preserve">nein.</w:t>
      </w:r>
    </w:p>
    <w:p>
      <w:pPr>
        <w:numPr>
          <w:ilvl w:val="0"/>
          <w:numId w:val="1233"/>
        </w:numPr>
        <w:pStyle w:val="Compact"/>
      </w:pPr>
      <w:r>
        <w:rPr>
          <w:bCs/>
          <w:b/>
        </w:rPr>
        <w:t xml:space="preserve">Zulassung USA:</w:t>
      </w:r>
      <w:r>
        <w:t xml:space="preserve"> </w:t>
      </w:r>
      <w:r>
        <w:t xml:space="preserve">nein.</w:t>
      </w:r>
    </w:p>
    <w:p>
      <w:pPr>
        <w:numPr>
          <w:ilvl w:val="0"/>
          <w:numId w:val="1233"/>
        </w:numPr>
        <w:pStyle w:val="Compact"/>
      </w:pPr>
      <w:r>
        <w:rPr>
          <w:bCs/>
          <w:b/>
        </w:rPr>
        <w:t xml:space="preserve">WADA:</w:t>
      </w:r>
      <w:r>
        <w:t xml:space="preserve"> </w:t>
      </w:r>
      <w:r>
        <w:t xml:space="preserve">nicht namentlich gelistet; als nirgends zugelassene Substanz fällt Humanin bzw. HNG nach unserer Einschätzung unter die Sammelkategorie S0.</w:t>
      </w:r>
    </w:p>
    <w:p>
      <w:pPr>
        <w:numPr>
          <w:ilvl w:val="0"/>
          <w:numId w:val="1233"/>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1842"/>
    <w:bookmarkStart w:id="1846"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w:t>
      </w:r>
      <w:r>
        <w:rPr>
          <w:rStyle w:val="FootnoteReference"/>
        </w:rPr>
        <w:footnoteReference w:id="1843"/>
      </w:r>
      <w:r>
        <w:t xml:space="preserve">.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w:t>
      </w:r>
      <w:r>
        <w:rPr>
          <w:rStyle w:val="FootnoteReference"/>
        </w:rPr>
        <w:footnoteReference w:id="1844"/>
      </w:r>
      <w:r>
        <w:t xml:space="preserve">.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w:t>
      </w:r>
      <w:r>
        <w:rPr>
          <w:rStyle w:val="FootnoteReference"/>
        </w:rPr>
        <w:footnoteReference w:id="1845"/>
      </w:r>
      <w:r>
        <w:t xml:space="preserve">.</w:t>
      </w:r>
    </w:p>
    <w:bookmarkEnd w:id="1846"/>
    <w:bookmarkStart w:id="1850"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1848"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w:t>
      </w:r>
      <w:r>
        <w:rPr>
          <w:rStyle w:val="FootnoteReference"/>
        </w:rPr>
        <w:footnoteReference w:id="1847"/>
      </w:r>
      <w:r>
        <w:t xml:space="preserve">.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1848"/>
    <w:bookmarkStart w:id="1849"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1849"/>
    <w:bookmarkEnd w:id="1850"/>
    <w:bookmarkStart w:id="1856" w:name="tier--und-laborstudien-42"/>
    <w:p>
      <w:pPr>
        <w:pStyle w:val="Heading3"/>
      </w:pPr>
      <w:r>
        <w:t xml:space="preserve">Tier- und Laborstudien</w:t>
      </w:r>
    </w:p>
    <w:p>
      <w:pPr>
        <w:pStyle w:val="FirstParagraph"/>
      </w:pPr>
      <w:r>
        <w:t xml:space="preserve">Die präklinische Literatur ist umfangreich:</w:t>
      </w:r>
    </w:p>
    <w:p>
      <w:pPr>
        <w:numPr>
          <w:ilvl w:val="0"/>
          <w:numId w:val="1234"/>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w:t>
      </w:r>
      <w:r>
        <w:rPr>
          <w:rStyle w:val="FootnoteReference"/>
        </w:rPr>
        <w:footnoteReference w:id="1851"/>
      </w:r>
      <w:r>
        <w:t xml:space="preserve">.</w:t>
      </w:r>
    </w:p>
    <w:p>
      <w:pPr>
        <w:numPr>
          <w:ilvl w:val="0"/>
          <w:numId w:val="1234"/>
        </w:numPr>
        <w:pStyle w:val="Compact"/>
      </w:pPr>
      <w:r>
        <w:rPr>
          <w:bCs/>
          <w:b/>
        </w:rPr>
        <w:t xml:space="preserve">Herz:</w:t>
      </w:r>
      <w:r>
        <w:t xml:space="preserve"> </w:t>
      </w:r>
      <w:r>
        <w:t xml:space="preserve">Bei Mäusen verringerte HNG nach einem künstlich ausgelösten Herzinfarkt die Infarktgröße</w:t>
      </w:r>
      <w:r>
        <w:rPr>
          <w:rStyle w:val="FootnoteReference"/>
        </w:rPr>
        <w:footnoteReference w:id="1852"/>
      </w:r>
      <w:r>
        <w:t xml:space="preserve">; eine 14-monatige Behandlung alter Mäuse verringerte die altersbedingte Vernarbung des Herzmuskels</w:t>
      </w:r>
      <w:r>
        <w:rPr>
          <w:rStyle w:val="FootnoteReference"/>
        </w:rPr>
        <w:footnoteReference w:id="1853"/>
      </w:r>
      <w:r>
        <w:t xml:space="preserve">.</w:t>
      </w:r>
    </w:p>
    <w:p>
      <w:pPr>
        <w:numPr>
          <w:ilvl w:val="0"/>
          <w:numId w:val="1234"/>
        </w:numPr>
        <w:pStyle w:val="Compact"/>
      </w:pPr>
      <w:r>
        <w:rPr>
          <w:bCs/>
          <w:b/>
        </w:rPr>
        <w:t xml:space="preserve">Alzheimer-Modelle:</w:t>
      </w:r>
      <w:r>
        <w:t xml:space="preserve"> </w:t>
      </w:r>
      <w:r>
        <w:t xml:space="preserve">Die seltene Variante P3S verringerte bei Mäusen mit APOE4 die Amyloid-Ablagerungen stärker als normales Humanin</w:t>
      </w:r>
      <w:r>
        <w:rPr>
          <w:rStyle w:val="FootnoteReference"/>
        </w:rPr>
        <w:footnoteReference w:id="1854"/>
      </w:r>
      <w:r>
        <w:t xml:space="preserve">.</w:t>
      </w:r>
    </w:p>
    <w:p>
      <w:pPr>
        <w:numPr>
          <w:ilvl w:val="0"/>
          <w:numId w:val="1234"/>
        </w:numPr>
        <w:pStyle w:val="Compact"/>
      </w:pPr>
      <w:r>
        <w:rPr>
          <w:bCs/>
          <w:b/>
        </w:rPr>
        <w:t xml:space="preserve">Netzhaut:</w:t>
      </w:r>
      <w:r>
        <w:t xml:space="preserve"> </w:t>
      </w:r>
      <w:r>
        <w:t xml:space="preserve">In Zellmodellen mit Mitochondrien von Menschen mit altersbedingter Makuladegeneration schützte HNG vor Zellschäden</w:t>
      </w:r>
      <w:r>
        <w:rPr>
          <w:rStyle w:val="FootnoteReference"/>
        </w:rPr>
        <w:footnoteReference w:id="1855"/>
      </w:r>
      <w:r>
        <w:t xml:space="preserve">.</w:t>
      </w:r>
    </w:p>
    <w:bookmarkEnd w:id="1856"/>
    <w:bookmarkStart w:id="1859"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5"/>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w:t>
      </w:r>
      <w:r>
        <w:rPr>
          <w:rStyle w:val="FootnoteReference"/>
        </w:rPr>
        <w:footnoteReference w:id="1857"/>
      </w:r>
      <w:r>
        <w:t xml:space="preserve">.</w:t>
      </w:r>
    </w:p>
    <w:p>
      <w:pPr>
        <w:numPr>
          <w:ilvl w:val="0"/>
          <w:numId w:val="1235"/>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w:t>
      </w:r>
      <w:r>
        <w:rPr>
          <w:rStyle w:val="FootnoteReference"/>
        </w:rPr>
        <w:footnoteReference w:id="1858"/>
      </w:r>
      <w:r>
        <w:t xml:space="preserve">.</w:t>
      </w:r>
    </w:p>
    <w:p>
      <w:pPr>
        <w:numPr>
          <w:ilvl w:val="0"/>
          <w:numId w:val="1235"/>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1859"/>
    <w:bookmarkStart w:id="1860" w:name="rechtslage-42"/>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w:t>
      </w:r>
    </w:p>
    <w:p>
      <w:pPr>
        <w:numPr>
          <w:ilvl w:val="0"/>
          <w:numId w:val="1236"/>
        </w:numPr>
        <w:pStyle w:val="Compact"/>
      </w:pPr>
      <w:r>
        <w:rPr>
          <w:bCs/>
          <w:b/>
        </w:rPr>
        <w:t xml:space="preserve">USA:</w:t>
      </w:r>
      <w:r>
        <w:t xml:space="preserve"> </w:t>
      </w:r>
      <w:r>
        <w:t xml:space="preserve">nicht zugelassen.</w:t>
      </w:r>
    </w:p>
    <w:p>
      <w:pPr>
        <w:numPr>
          <w:ilvl w:val="0"/>
          <w:numId w:val="1236"/>
        </w:numPr>
        <w:pStyle w:val="Compact"/>
      </w:pPr>
      <w:r>
        <w:rPr>
          <w:bCs/>
          <w:b/>
        </w:rPr>
        <w:t xml:space="preserve">Sport:</w:t>
      </w:r>
      <w:r>
        <w:t xml:space="preserve"> </w:t>
      </w:r>
      <w:r>
        <w:t xml:space="preserve">nach unserer Einschätzung WADA-Kategorie S0 (Stand 2026, bitte aktuell prüfen).</w:t>
      </w:r>
    </w:p>
    <w:bookmarkEnd w:id="1860"/>
    <w:bookmarkStart w:id="1862"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w:t>
      </w:r>
      <w:r>
        <w:rPr>
          <w:rStyle w:val="FootnoteReference"/>
        </w:rPr>
        <w:footnoteReference w:id="1861"/>
      </w:r>
      <w:r>
        <w:t xml:space="preserve">.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1862"/>
    <w:bookmarkStart w:id="1863"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1863"/>
    <w:bookmarkEnd w:id="1864"/>
    <w:bookmarkStart w:id="1904" w:name="ss-31-elamipretid"/>
    <w:p>
      <w:pPr>
        <w:pStyle w:val="Heading2"/>
      </w:pPr>
      <w:r>
        <w:t xml:space="preserve">SS-31 (Elamipretid)</w:t>
      </w:r>
    </w:p>
    <w:bookmarkStart w:id="1865" w:name="steckbrief-43"/>
    <w:p>
      <w:pPr>
        <w:pStyle w:val="Heading3"/>
      </w:pPr>
      <w:r>
        <w:t xml:space="preserve">Steckbrief</w:t>
      </w:r>
    </w:p>
    <w:p>
      <w:pPr>
        <w:numPr>
          <w:ilvl w:val="0"/>
          <w:numId w:val="1237"/>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7"/>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7"/>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7"/>
        </w:numPr>
        <w:pStyle w:val="Compact"/>
      </w:pPr>
      <w:r>
        <w:rPr>
          <w:bCs/>
          <w:b/>
        </w:rPr>
        <w:t xml:space="preserve">Zulassung EU:</w:t>
      </w:r>
      <w:r>
        <w:t xml:space="preserve"> </w:t>
      </w:r>
      <w:r>
        <w:t xml:space="preserve">nein.</w:t>
      </w:r>
    </w:p>
    <w:p>
      <w:pPr>
        <w:numPr>
          <w:ilvl w:val="0"/>
          <w:numId w:val="1237"/>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7"/>
        </w:numPr>
        <w:pStyle w:val="Compact"/>
      </w:pPr>
      <w:r>
        <w:rPr>
          <w:bCs/>
          <w:b/>
        </w:rPr>
        <w:t xml:space="preserve">WADA:</w:t>
      </w:r>
      <w:r>
        <w:t xml:space="preserve"> </w:t>
      </w:r>
      <w:r>
        <w:t xml:space="preserve">nicht namentlich gelistet.</w:t>
      </w:r>
    </w:p>
    <w:p>
      <w:pPr>
        <w:numPr>
          <w:ilvl w:val="0"/>
          <w:numId w:val="1237"/>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1865"/>
    <w:bookmarkStart w:id="1867"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w:t>
      </w:r>
      <w:r>
        <w:rPr>
          <w:rStyle w:val="FootnoteReference"/>
        </w:rPr>
        <w:footnoteReference w:id="1866"/>
      </w:r>
      <w:r>
        <w:t xml:space="preserve">.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1867"/>
    <w:bookmarkStart w:id="1886"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1875"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w:t>
      </w:r>
      <w:r>
        <w:rPr>
          <w:rStyle w:val="FootnoteReference"/>
        </w:rPr>
        <w:footnoteReference w:id="1868"/>
      </w:r>
      <w:r>
        <w:t xml:space="preserve"> </w:t>
      </w:r>
      <w:r>
        <w:t xml:space="preserve">erhielten zwölf Personen mit Barth-Syndrom zwölf Wochen lang täglich Elamipretid unter die Haut oder Placebo und danach jeweils das andere. In diesem verblindeten Teil wurde weder beim 6-Minuten-Gehtest noch bei der Symptomskala ein signifikanter Unterschied erreicht</w:t>
      </w:r>
      <w:r>
        <w:rPr>
          <w:rStyle w:val="FootnoteReference"/>
        </w:rPr>
        <w:footnoteReference w:id="1869"/>
      </w:r>
      <w:r>
        <w:t xml:space="preserve">.</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w:t>
      </w:r>
      <w:r>
        <w:rPr>
          <w:rStyle w:val="FootnoteReference"/>
        </w:rPr>
        <w:footnoteReference w:id="1870"/>
      </w:r>
      <w:r>
        <w:t xml:space="preserve">. Die Verbesserung hielt bis Woche 168 an; acht Personen erreichten diesen Zeitpunkt</w:t>
      </w:r>
      <w:r>
        <w:rPr>
          <w:rStyle w:val="FootnoteReference"/>
        </w:rPr>
        <w:footnoteReference w:id="1871"/>
      </w:r>
      <w:r>
        <w:t xml:space="preserve">.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eine weitere Studie acht behandelte Personen mit 19 unbehandelten aus einer Verlaufsbeobachtung. Der Vorteil im Gehtest betrug nach 64 Wochen 79,7 m</w:t>
      </w:r>
      <w:r>
        <w:rPr>
          <w:rStyle w:val="FootnoteReference"/>
        </w:rPr>
        <w:footnoteReference w:id="1872"/>
      </w:r>
      <w:r>
        <w:t xml:space="preserve">.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w:t>
      </w:r>
      <w:r>
        <w:rPr>
          <w:rStyle w:val="FootnoteReference"/>
        </w:rPr>
        <w:footnoteReference w:id="1873"/>
      </w:r>
      <w:r>
        <w:t xml:space="preserve">.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w:t>
      </w:r>
      <w:r>
        <w:rPr>
          <w:rStyle w:val="FootnoteReference"/>
        </w:rPr>
        <w:footnoteReference w:id="1874"/>
      </w:r>
      <w:r>
        <w:t xml:space="preserve">.</w:t>
      </w:r>
    </w:p>
    <w:bookmarkEnd w:id="1875"/>
    <w:bookmarkStart w:id="1880"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rPr>
          <w:rStyle w:val="FootnoteReference"/>
        </w:rPr>
        <w:footnoteReference w:id="1876"/>
      </w:r>
      <w:r>
        <w:t xml:space="preserve"> </w:t>
      </w:r>
      <w:r>
        <w:t xml:space="preserve">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w:t>
      </w:r>
      <w:r>
        <w:rPr>
          <w:rStyle w:val="FootnoteReference"/>
        </w:rPr>
        <w:footnoteReference w:id="1877"/>
      </w:r>
      <w:r>
        <w:t xml:space="preserve">.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w:t>
      </w:r>
      <w:r>
        <w:rPr>
          <w:rStyle w:val="FootnoteReference"/>
        </w:rPr>
        <w:footnoteReference w:id="1878"/>
      </w:r>
      <w:r>
        <w:t xml:space="preserve">. Nachträgliche Untergruppen-Analysen erzeugen Hypothesen, keine Belege. Auf dieser Grundlage wurde die Phase-3-Studie NuPOWER</w:t>
      </w:r>
      <w:r>
        <w:rPr>
          <w:rStyle w:val="FootnoteReference"/>
        </w:rPr>
        <w:footnoteReference w:id="1879"/>
      </w:r>
      <w:r>
        <w:t xml:space="preserve"> </w:t>
      </w:r>
      <w:r>
        <w:t xml:space="preserve">mit 102 Teilnehmenden durchgeführt; sie ist laut Register seit Dezember 2024 abgeschlossen, Ergebnisse waren bei unserer Recherche nicht veröffentlicht.</w:t>
      </w:r>
    </w:p>
    <w:bookmarkEnd w:id="1880"/>
    <w:bookmarkStart w:id="1885"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w:t>
      </w:r>
      <w:r>
        <w:rPr>
          <w:rStyle w:val="FootnoteReference"/>
        </w:rPr>
        <w:footnoteReference w:id="1881"/>
      </w:r>
      <w:r>
        <w:t xml:space="preserve">.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w:t>
      </w:r>
      <w:r>
        <w:rPr>
          <w:rStyle w:val="FootnoteReference"/>
        </w:rPr>
        <w:footnoteReference w:id="1882"/>
      </w:r>
      <w:r>
        <w:t xml:space="preserve">. Dieser Messwert dient nun als Hauptendpunkt der laufenden Phase-3-Studie ReNEW</w:t>
      </w:r>
      <w:r>
        <w:rPr>
          <w:rStyle w:val="FootnoteReference"/>
        </w:rPr>
        <w:footnoteReference w:id="1883"/>
      </w:r>
      <w:r>
        <w:t xml:space="preserve">.</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w:t>
      </w:r>
      <w:r>
        <w:rPr>
          <w:rStyle w:val="FootnoteReference"/>
        </w:rPr>
        <w:footnoteReference w:id="1884"/>
      </w:r>
      <w:r>
        <w:t xml:space="preserve">. Daraus lässt sich kein „Anti-Aging“-Nutzen ableiten.</w:t>
      </w:r>
    </w:p>
    <w:bookmarkEnd w:id="1885"/>
    <w:bookmarkEnd w:id="1886"/>
    <w:bookmarkStart w:id="1890"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w:t>
      </w:r>
      <w:r>
        <w:rPr>
          <w:rStyle w:val="FootnoteReference"/>
        </w:rPr>
        <w:footnoteReference w:id="1887"/>
      </w:r>
      <w:r>
        <w:t xml:space="preserve">. Bei Hunden mit fortgeschrittener Herzschwäche verbesserte eine Dauerbehandlung Pumpfunktion und Mitochondrienfunktion</w:t>
      </w:r>
      <w:r>
        <w:rPr>
          <w:rStyle w:val="FootnoteReference"/>
        </w:rPr>
        <w:footnoteReference w:id="1888"/>
      </w:r>
      <w:r>
        <w:t xml:space="preserve">. In einem Rattenmodell der Herzschwäche mit erhaltener Pumpfunktion verbesserte Elamipretid zwar den Energiestoffwechsel des Herzmuskels, aber nicht die Herzfunktion</w:t>
      </w:r>
      <w:r>
        <w:rPr>
          <w:rStyle w:val="FootnoteReference"/>
        </w:rPr>
        <w:footnoteReference w:id="1889"/>
      </w:r>
      <w:r>
        <w:t xml:space="preserve">. Diese Diskrepanz zwischen besserem Energiestoffwechsel und fehlendem klinischen Nutzen spiegelt sich in den Studien am Menschen.</w:t>
      </w:r>
    </w:p>
    <w:bookmarkEnd w:id="1890"/>
    <w:bookmarkStart w:id="1895" w:name="risiken-und-nebenwirkungen-43"/>
    <w:p>
      <w:pPr>
        <w:pStyle w:val="Heading3"/>
      </w:pPr>
      <w:r>
        <w:t xml:space="preserve">Risiken und Nebenwirkungen</w:t>
      </w:r>
    </w:p>
    <w:p>
      <w:pPr>
        <w:pStyle w:val="FirstParagraph"/>
      </w:pPr>
      <w:r>
        <w:rPr>
          <w:bCs/>
          <w:b/>
        </w:rPr>
        <w:t xml:space="preserve">Belegt:</w:t>
      </w:r>
    </w:p>
    <w:p>
      <w:pPr>
        <w:numPr>
          <w:ilvl w:val="0"/>
          <w:numId w:val="1238"/>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w:t>
      </w:r>
      <w:r>
        <w:rPr>
          <w:rStyle w:val="FootnoteReference"/>
        </w:rPr>
        <w:footnoteReference w:id="1891"/>
      </w:r>
      <w:r>
        <w:t xml:space="preserve">. In ReCLAIM-2 berichteten 86 % unter Elamipretid und 71 % unter Placebo irgendein unerwünschtes Ereignis</w:t>
      </w:r>
      <w:r>
        <w:rPr>
          <w:rStyle w:val="FootnoteReference"/>
        </w:rPr>
        <w:footnoteReference w:id="1892"/>
      </w:r>
      <w:r>
        <w:t xml:space="preserve">.</w:t>
      </w:r>
    </w:p>
    <w:p>
      <w:pPr>
        <w:numPr>
          <w:ilvl w:val="0"/>
          <w:numId w:val="1238"/>
        </w:numPr>
        <w:pStyle w:val="Compact"/>
      </w:pPr>
      <w:r>
        <w:t xml:space="preserve">Schwere Nebenwirkungen waren in den Studien nicht gehäuft; in MMPOWER-3 waren die Ereignisse überwiegend leicht bis mittelschwer</w:t>
      </w:r>
      <w:r>
        <w:rPr>
          <w:rStyle w:val="FootnoteReference"/>
        </w:rPr>
        <w:footnoteReference w:id="1893"/>
      </w:r>
      <w:r>
        <w:t xml:space="preserve">.</w:t>
      </w:r>
    </w:p>
    <w:p>
      <w:pPr>
        <w:numPr>
          <w:ilvl w:val="0"/>
          <w:numId w:val="1238"/>
        </w:numPr>
        <w:pStyle w:val="Compact"/>
      </w:pPr>
      <w:r>
        <w:t xml:space="preserve">Langzeitdaten gibt es nur für wenige Personen mit Barth-Syndrom über gut drei Jahre</w:t>
      </w:r>
      <w:r>
        <w:rPr>
          <w:rStyle w:val="FootnoteReference"/>
        </w:rPr>
        <w:footnoteReference w:id="1894"/>
      </w:r>
      <w:r>
        <w:t xml:space="preserve">.</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1895"/>
    <w:bookmarkStart w:id="1897" w:name="rechtslage-43"/>
    <w:p>
      <w:pPr>
        <w:pStyle w:val="Heading3"/>
      </w:pPr>
      <w:r>
        <w:t xml:space="preserve">Rechtslage</w:t>
      </w:r>
    </w:p>
    <w:p>
      <w:pPr>
        <w:numPr>
          <w:ilvl w:val="0"/>
          <w:numId w:val="1239"/>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w:t>
      </w:r>
    </w:p>
    <w:p>
      <w:pPr>
        <w:numPr>
          <w:ilvl w:val="0"/>
          <w:numId w:val="1239"/>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w:t>
      </w:r>
      <w:r>
        <w:rPr>
          <w:rStyle w:val="FootnoteReference"/>
        </w:rPr>
        <w:footnoteReference w:id="1896"/>
      </w:r>
      <w:r>
        <w:t xml:space="preserve">.</w:t>
      </w:r>
    </w:p>
    <w:p>
      <w:pPr>
        <w:numPr>
          <w:ilvl w:val="0"/>
          <w:numId w:val="1239"/>
        </w:numPr>
        <w:pStyle w:val="Compact"/>
      </w:pPr>
      <w:r>
        <w:rPr>
          <w:bCs/>
          <w:b/>
        </w:rPr>
        <w:t xml:space="preserve">Sport:</w:t>
      </w:r>
      <w:r>
        <w:t xml:space="preserve"> </w:t>
      </w:r>
      <w:r>
        <w:t xml:space="preserve">nicht namentlich auf der WADA-Liste (Stand 2026, bitte aktuell prüfen).</w:t>
      </w:r>
    </w:p>
    <w:bookmarkEnd w:id="1897"/>
    <w:bookmarkStart w:id="1902"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40"/>
        </w:numPr>
        <w:pStyle w:val="Compact"/>
      </w:pPr>
      <w:r>
        <w:rPr>
          <w:bCs/>
          <w:b/>
        </w:rPr>
        <w:t xml:space="preserve">ReNEW</w:t>
      </w:r>
      <w:r>
        <w:rPr>
          <w:rStyle w:val="FootnoteReference"/>
        </w:rPr>
        <w:footnoteReference w:id="1898"/>
      </w:r>
      <w:r>
        <w:t xml:space="preserve">: Phase 3 bei trockener Makuladegeneration, 313 Teilnehmende, Rekrutierung abgeschlossen, geplantes Ende 2027.</w:t>
      </w:r>
    </w:p>
    <w:p>
      <w:pPr>
        <w:numPr>
          <w:ilvl w:val="0"/>
          <w:numId w:val="1240"/>
        </w:numPr>
        <w:pStyle w:val="Compact"/>
      </w:pPr>
      <w:r>
        <w:rPr>
          <w:bCs/>
          <w:b/>
        </w:rPr>
        <w:t xml:space="preserve">4TAZPower</w:t>
      </w:r>
      <w:r>
        <w:rPr>
          <w:rStyle w:val="FootnoteReference"/>
        </w:rPr>
        <w:footnoteReference w:id="1899"/>
      </w:r>
      <w:r>
        <w:t xml:space="preserve">: Bestätigungsstudie bei Barth-Syndrom mit 48 geplanten Teilnehmenden, in Rekrutierung.</w:t>
      </w:r>
    </w:p>
    <w:p>
      <w:pPr>
        <w:numPr>
          <w:ilvl w:val="0"/>
          <w:numId w:val="1240"/>
        </w:numPr>
        <w:pStyle w:val="Compact"/>
      </w:pPr>
      <w:r>
        <w:rPr>
          <w:bCs/>
          <w:b/>
        </w:rPr>
        <w:t xml:space="preserve">NuPOWER</w:t>
      </w:r>
      <w:r>
        <w:rPr>
          <w:rStyle w:val="FootnoteReference"/>
        </w:rPr>
        <w:footnoteReference w:id="1900"/>
      </w:r>
      <w:r>
        <w:t xml:space="preserve">: Phase 3 bei mitochondrialer Erkrankung durch Kern-DNA-Mutationen, 102 Teilnehmende, abgeschlossen; Ergebnisse ausstehend.</w:t>
      </w:r>
    </w:p>
    <w:p>
      <w:pPr>
        <w:numPr>
          <w:ilvl w:val="0"/>
          <w:numId w:val="1240"/>
        </w:numPr>
        <w:pStyle w:val="Compact"/>
      </w:pPr>
      <w:r>
        <w:t xml:space="preserve">Eine kleine Phase-2-Studie bei gesunden älteren Menschen untersucht körperliche Funktion</w:t>
      </w:r>
      <w:r>
        <w:rPr>
          <w:rStyle w:val="FootnoteReference"/>
        </w:rPr>
        <w:footnoteReference w:id="1901"/>
      </w:r>
      <w:r>
        <w:t xml:space="preserve">.</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1902"/>
    <w:bookmarkStart w:id="1903"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1903"/>
    <w:bookmarkEnd w:id="1904"/>
    <w:bookmarkStart w:id="1923" w:name="foxo4-dri"/>
    <w:p>
      <w:pPr>
        <w:pStyle w:val="Heading2"/>
      </w:pPr>
      <w:r>
        <w:t xml:space="preserve">FOXO4-DRI</w:t>
      </w:r>
    </w:p>
    <w:bookmarkStart w:id="1905" w:name="steckbrief-44"/>
    <w:p>
      <w:pPr>
        <w:pStyle w:val="Heading3"/>
      </w:pPr>
      <w:r>
        <w:t xml:space="preserve">Steckbrief</w:t>
      </w:r>
    </w:p>
    <w:p>
      <w:pPr>
        <w:numPr>
          <w:ilvl w:val="0"/>
          <w:numId w:val="1241"/>
        </w:numPr>
        <w:pStyle w:val="Compact"/>
      </w:pPr>
      <w:r>
        <w:rPr>
          <w:bCs/>
          <w:b/>
        </w:rPr>
        <w:t xml:space="preserve">Art und Struktur:</w:t>
      </w:r>
      <w:r>
        <w:t xml:space="preserve"> </w:t>
      </w:r>
      <w:r>
        <w:t xml:space="preserve">vergleichsweise langes synthetisches Peptid, abgeleitet von einem Abschnitt des Eiweißes FOXO4. „DRI“ steht für</w:t>
      </w:r>
      <w:r>
        <w:t xml:space="preserve"> </w:t>
      </w:r>
      <w:r>
        <w:rPr>
          <w:iCs/>
          <w:i/>
        </w:rPr>
        <w:t xml:space="preserve">D-retro-inverso</w:t>
      </w:r>
      <w:r>
        <w:t xml:space="preserve">: Das Peptid ist aus spiegelbildlichen D-Aminosäuren in umgekehrter Reihenfolge aufgebaut. Dadurch wird es von körpereigenen Enzymen kaum abgebaut. Ein angehängter, positiv geladener Abschnitt (abgeleitet aus einem Virus-Eiweiß) soll es in Zellen einschleusen.</w:t>
      </w:r>
    </w:p>
    <w:p>
      <w:pPr>
        <w:numPr>
          <w:ilvl w:val="0"/>
          <w:numId w:val="1241"/>
        </w:numPr>
        <w:pStyle w:val="Compact"/>
      </w:pPr>
      <w:r>
        <w:rPr>
          <w:bCs/>
          <w:b/>
        </w:rPr>
        <w:t xml:space="preserve">Herkunft:</w:t>
      </w:r>
      <w:r>
        <w:t xml:space="preserve"> </w:t>
      </w:r>
      <w:r>
        <w:t xml:space="preserve">2017 von einer niederländischen Arbeitsgruppe um Peter de Keizer (Erasmus MC Rotterdam) vorgestellt.</w:t>
      </w:r>
    </w:p>
    <w:p>
      <w:pPr>
        <w:numPr>
          <w:ilvl w:val="0"/>
          <w:numId w:val="1241"/>
        </w:numPr>
        <w:pStyle w:val="Compact"/>
      </w:pPr>
      <w:r>
        <w:rPr>
          <w:bCs/>
          <w:b/>
        </w:rPr>
        <w:t xml:space="preserve">Wirkprinzip:</w:t>
      </w:r>
      <w:r>
        <w:t xml:space="preserve"> </w:t>
      </w:r>
      <w:r>
        <w:rPr>
          <w:bCs/>
          <w:b/>
        </w:rPr>
        <w:t xml:space="preserve">Senolytikum</w:t>
      </w:r>
      <w:r>
        <w:t xml:space="preserve"> </w:t>
      </w:r>
      <w:r>
        <w:t xml:space="preserve">– ein Stoff, der gezielt gealterte, sogenannte seneszente Zellen in den programmierten Zelltod treiben soll, indem er die Bindung zwischen FOXO4 und dem Schutzeiweiß p53 stört.</w:t>
      </w:r>
    </w:p>
    <w:p>
      <w:pPr>
        <w:numPr>
          <w:ilvl w:val="0"/>
          <w:numId w:val="1241"/>
        </w:numPr>
        <w:pStyle w:val="Compact"/>
      </w:pPr>
      <w:r>
        <w:rPr>
          <w:bCs/>
          <w:b/>
        </w:rPr>
        <w:t xml:space="preserve">Zulassung EU:</w:t>
      </w:r>
      <w:r>
        <w:t xml:space="preserve"> </w:t>
      </w:r>
      <w:r>
        <w:t xml:space="preserve">nein.</w:t>
      </w:r>
    </w:p>
    <w:p>
      <w:pPr>
        <w:numPr>
          <w:ilvl w:val="0"/>
          <w:numId w:val="1241"/>
        </w:numPr>
        <w:pStyle w:val="Compact"/>
      </w:pPr>
      <w:r>
        <w:rPr>
          <w:bCs/>
          <w:b/>
        </w:rPr>
        <w:t xml:space="preserve">Zulassung USA:</w:t>
      </w:r>
      <w:r>
        <w:t xml:space="preserve"> </w:t>
      </w:r>
      <w:r>
        <w:t xml:space="preserve">nein.</w:t>
      </w:r>
    </w:p>
    <w:p>
      <w:pPr>
        <w:numPr>
          <w:ilvl w:val="0"/>
          <w:numId w:val="1241"/>
        </w:numPr>
        <w:pStyle w:val="Compact"/>
      </w:pPr>
      <w:r>
        <w:rPr>
          <w:bCs/>
          <w:b/>
        </w:rPr>
        <w:t xml:space="preserve">WADA:</w:t>
      </w:r>
      <w:r>
        <w:t xml:space="preserve"> </w:t>
      </w:r>
      <w:r>
        <w:t xml:space="preserve">nicht namentlich gelistet; als nirgends zugelassene Substanz fällt FOXO4-DRI nach unserer Einschätzung unter die Sammelkategorie S0.</w:t>
      </w:r>
    </w:p>
    <w:p>
      <w:pPr>
        <w:numPr>
          <w:ilvl w:val="0"/>
          <w:numId w:val="1241"/>
        </w:numPr>
        <w:pStyle w:val="Compact"/>
      </w:pPr>
      <w:r>
        <w:rPr>
          <w:bCs/>
          <w:b/>
        </w:rPr>
        <w:t xml:space="preserve">Evidenzstufe:</w:t>
      </w:r>
      <w:r>
        <w:t xml:space="preserve"> </w:t>
      </w:r>
      <w:r>
        <w:rPr>
          <w:bCs/>
          <w:b/>
        </w:rPr>
        <w:t xml:space="preserve">D</w:t>
      </w:r>
      <w:r>
        <w:t xml:space="preserve"> </w:t>
      </w:r>
      <w:r>
        <w:t xml:space="preserve">– ausschließlich Tier- und Laborstudien.</w:t>
      </w:r>
    </w:p>
    <w:bookmarkEnd w:id="1905"/>
    <w:bookmarkStart w:id="1911" w:name="wie-es-wirken-soll-44"/>
    <w:p>
      <w:pPr>
        <w:pStyle w:val="Heading3"/>
      </w:pPr>
      <w:r>
        <w:t xml:space="preserve">Wie es wirken soll</w:t>
      </w:r>
    </w:p>
    <w:p>
      <w:pPr>
        <w:pStyle w:val="FirstParagraph"/>
      </w:pPr>
      <w:r>
        <w:rPr>
          <w:bCs/>
          <w:b/>
        </w:rPr>
        <w:t xml:space="preserve">Seneszente Zellen</w:t>
      </w:r>
      <w:r>
        <w:t xml:space="preserve"> </w:t>
      </w:r>
      <w:r>
        <w:t xml:space="preserve">sind Zellen, die sich nach Schäden – etwa durch Strahlung, Chemotherapie, oxidativen Stress oder einfach durch viele Teilungen – nicht mehr teilen, aber auch nicht absterben. Sie verbleiben im Gewebe und geben eine Mischung aus Entzündungsbotenstoffen und gewebeabbauenden Enzymen ab, die man als SASP bezeichnet (</w:t>
      </w:r>
      <w:r>
        <w:rPr>
          <w:iCs/>
          <w:i/>
        </w:rPr>
        <w:t xml:space="preserve">senescence-associated secretory phenotype</w:t>
      </w:r>
      <w:r>
        <w:t xml:space="preserve">). Mit dem Alter nehmen sie in vielen Organen zu. In Mäusen, bei denen solche Zellen genetisch gezielt entfernt wurden, verzögerten sich verschiedene Alterserscheinungen. Daraus entstand die Idee der</w:t>
      </w:r>
      <w:r>
        <w:t xml:space="preserve"> </w:t>
      </w:r>
      <w:r>
        <w:rPr>
          <w:bCs/>
          <w:b/>
        </w:rPr>
        <w:t xml:space="preserve">Senolytika</w:t>
      </w:r>
      <w:r>
        <w:t xml:space="preserve">: Medikamente, die seneszente Zellen beseitigen.</w:t>
      </w:r>
    </w:p>
    <w:p>
      <w:pPr>
        <w:pStyle w:val="BodyText"/>
      </w:pPr>
      <w:r>
        <w:t xml:space="preserve">Seneszente Zellen überleben unter anderem, weil sie Selbstmordprogramme unterdrücken. Die Rotterdamer Gruppe fand, dass dabei das Eiweiß FOXO4 eine Schlüsselrolle spielt: Es hält das Eiweiß p53, das sonst den Zelltod auslösen würde, im Zellkern fest. Das Peptid FOXO4-DRI stört diese Bindung; p53 wird aus dem Kern verdrängt, und die seneszente Zelle stirbt. Gesunde, sich normal teilende Zellen sollen davon weitgehend verschont bleiben</w:t>
      </w:r>
      <w:r>
        <w:rPr>
          <w:rStyle w:val="FootnoteReference"/>
        </w:rPr>
        <w:footnoteReference w:id="1906"/>
      </w:r>
      <w:r>
        <w:t xml:space="preserve">. Strukturuntersuchungen von 2025 bestätigten, dass FOXO4-DRI an einen ungeordneten Abschnitt von p53 bindet – wobei auch der zelleinschleusende Abschnitt des Peptids an der Bindung beteiligt ist</w:t>
      </w:r>
      <w:r>
        <w:rPr>
          <w:rStyle w:val="FootnoteReference"/>
        </w:rPr>
        <w:footnoteReference w:id="1907"/>
      </w:r>
      <w:r>
        <w:t xml:space="preserve">.</w:t>
      </w:r>
    </w:p>
    <w:bookmarkStart w:id="1910" w:name="senolytika-beim-menschen-der-kontext"/>
    <w:p>
      <w:pPr>
        <w:pStyle w:val="Heading4"/>
      </w:pPr>
      <w:r>
        <w:t xml:space="preserve">Senolytika beim Menschen: der Kontext</w:t>
      </w:r>
    </w:p>
    <w:p>
      <w:pPr>
        <w:pStyle w:val="FirstParagraph"/>
      </w:pPr>
      <w:r>
        <w:t xml:space="preserve">FOXO4-DRI selbst wurde nie am Menschen geprüft. Zur Einordnung hilft ein Blick auf andere Senolytika, die schon klinisch untersucht wurden – vor allem die Kombination aus dem Krebsmedikament Dasatinib und dem Pflanzenstoff Quercetin (kurz D+Q):</w:t>
      </w:r>
    </w:p>
    <w:p>
      <w:pPr>
        <w:numPr>
          <w:ilvl w:val="0"/>
          <w:numId w:val="1242"/>
        </w:numPr>
        <w:pStyle w:val="Compact"/>
      </w:pPr>
      <w:r>
        <w:t xml:space="preserve">In einer ersten offenen Pilotstudie mit 14 Personen mit idiopathischer Lungenfibrose verbesserten sich Gehstrecke und Gehgeschwindigkeit, die Lungenfunktion jedoch nicht; ein schweres unerwünschtes Ereignis trat auf</w:t>
      </w:r>
      <w:r>
        <w:rPr>
          <w:rStyle w:val="FootnoteReference"/>
        </w:rPr>
        <w:footnoteReference w:id="1908"/>
      </w:r>
      <w:r>
        <w:t xml:space="preserve">.</w:t>
      </w:r>
    </w:p>
    <w:p>
      <w:pPr>
        <w:numPr>
          <w:ilvl w:val="0"/>
          <w:numId w:val="1242"/>
        </w:numPr>
        <w:pStyle w:val="Compact"/>
      </w:pPr>
      <w:r>
        <w:t xml:space="preserve">In einer randomisierten Phase-2-Studie mit 60 Frauen nach den Wechseljahren verringerte D+Q den Knochenabbau-Marker nicht (Hauptendpunkt verfehlt); nur in einer nachträglich betrachteten Untergruppe mit vielen seneszenten Zellen zeigten sich günstige Effekte</w:t>
      </w:r>
      <w:r>
        <w:rPr>
          <w:rStyle w:val="FootnoteReference"/>
        </w:rPr>
        <w:footnoteReference w:id="1909"/>
      </w:r>
      <w:r>
        <w:t xml:space="preserve">.</w:t>
      </w:r>
    </w:p>
    <w:p>
      <w:pPr>
        <w:pStyle w:val="FirstParagraph"/>
      </w:pPr>
      <w:r>
        <w:t xml:space="preserve">Die klinische Senolytika-Forschung steht also noch am Anfang, und erste kontrollierte Ergebnisse fallen zurückhaltend aus. Das ist der Hintergrund, vor dem FOXO4-DRI im Internet als „Verjüngungspeptid“ verkauft wird.</w:t>
      </w:r>
    </w:p>
    <w:bookmarkEnd w:id="1910"/>
    <w:bookmarkEnd w:id="1911"/>
    <w:bookmarkStart w:id="1913" w:name="studien-am-menschen-4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FOXO4-DRI; insgesamt führt PubMed rund 20 Arbeiten mit dem Begriff. Auf ClinicalTrials.gov ist keine Studie registriert. Auch Fallberichte über die Anwendung am Menschen oder Analysen von Graumarktprodukten fanden sich nicht.</w:t>
      </w:r>
    </w:p>
    <w:p>
      <w:pPr>
        <w:pStyle w:val="BodyText"/>
      </w:pPr>
      <w:r>
        <w:t xml:space="preserve">Am nächsten an den Menschen heran kommt eine Laborstudie mit menschlichen Knorpelzellen: Bei Zellen, die für eine Knorpeltransplantation im Labor vermehrt worden waren, entfernte FOXO4-DRI mehr als die Hälfte der stark vermehrten (und damit häufiger seneszenten) Zellen, verbesserte aber die Fähigkeit, neuen Knorpel zu bilden, nicht</w:t>
      </w:r>
      <w:r>
        <w:rPr>
          <w:rStyle w:val="FootnoteReference"/>
        </w:rPr>
        <w:footnoteReference w:id="1912"/>
      </w:r>
      <w:r>
        <w:t xml:space="preserve">.</w:t>
      </w:r>
    </w:p>
    <w:bookmarkEnd w:id="1913"/>
    <w:bookmarkStart w:id="1916" w:name="tier--und-laborstudien-44"/>
    <w:p>
      <w:pPr>
        <w:pStyle w:val="Heading3"/>
      </w:pPr>
      <w:r>
        <w:t xml:space="preserve">Tier- und Laborstudien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Baar 2017, PMID 28340339</w:t>
            </w:r>
          </w:p>
        </w:tc>
        <w:tc>
          <w:tcPr/>
          <w:p>
            <w:pPr>
              <w:pStyle w:val="Compact"/>
              <w:jc w:val="left"/>
            </w:pPr>
            <w:r>
              <w:t xml:space="preserve">schnell alternde und natürlich gealterte Mäuse; Chemotherapie-Schäden</w:t>
            </w:r>
          </w:p>
        </w:tc>
        <w:tc>
          <w:tcPr/>
          <w:p>
            <w:pPr>
              <w:pStyle w:val="Compact"/>
              <w:jc w:val="left"/>
            </w:pPr>
            <w:r>
              <w:t xml:space="preserve">bessere Fitness, dichteres Fell, bessere Nierenfunktion; Schutz vor Doxorubicin-Schäden</w:t>
            </w:r>
          </w:p>
        </w:tc>
      </w:tr>
      <w:tr>
        <w:tc>
          <w:tcPr/>
          <w:p>
            <w:pPr>
              <w:pStyle w:val="Compact"/>
              <w:jc w:val="left"/>
            </w:pPr>
            <w:r>
              <w:t xml:space="preserve">Zhang 2020, PMID 31959736</w:t>
            </w:r>
          </w:p>
        </w:tc>
        <w:tc>
          <w:tcPr/>
          <w:p>
            <w:pPr>
              <w:pStyle w:val="Compact"/>
              <w:jc w:val="left"/>
            </w:pPr>
            <w:r>
              <w:t xml:space="preserve">natürlich gealterte Mäuse</w:t>
            </w:r>
          </w:p>
        </w:tc>
        <w:tc>
          <w:tcPr/>
          <w:p>
            <w:pPr>
              <w:pStyle w:val="Compact"/>
              <w:jc w:val="left"/>
            </w:pPr>
            <w:r>
              <w:t xml:space="preserve">Testosteronbildung in den Hoden verbessert</w:t>
            </w:r>
          </w:p>
        </w:tc>
      </w:tr>
      <w:tr>
        <w:tc>
          <w:tcPr/>
          <w:p>
            <w:pPr>
              <w:pStyle w:val="Compact"/>
              <w:jc w:val="left"/>
            </w:pPr>
            <w:r>
              <w:t xml:space="preserve">Han 2022, PMID 35510614</w:t>
            </w:r>
          </w:p>
        </w:tc>
        <w:tc>
          <w:tcPr/>
          <w:p>
            <w:pPr>
              <w:pStyle w:val="Compact"/>
              <w:jc w:val="left"/>
            </w:pPr>
            <w:r>
              <w:t xml:space="preserve">Lungenfibrose bei Mäusen</w:t>
            </w:r>
          </w:p>
        </w:tc>
        <w:tc>
          <w:tcPr/>
          <w:p>
            <w:pPr>
              <w:pStyle w:val="Compact"/>
              <w:jc w:val="left"/>
            </w:pPr>
            <w:r>
              <w:t xml:space="preserve">weniger Vernarbung</w:t>
            </w:r>
          </w:p>
        </w:tc>
      </w:tr>
      <w:tr>
        <w:tc>
          <w:tcPr/>
          <w:p>
            <w:pPr>
              <w:pStyle w:val="Compact"/>
              <w:jc w:val="left"/>
            </w:pPr>
            <w:r>
              <w:t xml:space="preserve">Kong 2025, PMID 39994346</w:t>
            </w:r>
          </w:p>
        </w:tc>
        <w:tc>
          <w:tcPr/>
          <w:p>
            <w:pPr>
              <w:pStyle w:val="Compact"/>
              <w:jc w:val="left"/>
            </w:pPr>
            <w:r>
              <w:t xml:space="preserve">Keloid-Gewebe (überschießende Narben) im Labor</w:t>
            </w:r>
          </w:p>
        </w:tc>
        <w:tc>
          <w:tcPr/>
          <w:p>
            <w:pPr>
              <w:pStyle w:val="Compact"/>
              <w:jc w:val="left"/>
            </w:pPr>
            <w:r>
              <w:t xml:space="preserve">mehr Zelltod seneszenter Bindegewebszellen</w:t>
            </w:r>
          </w:p>
        </w:tc>
      </w:tr>
      <w:tr>
        <w:tc>
          <w:tcPr/>
          <w:p>
            <w:pPr>
              <w:pStyle w:val="Compact"/>
              <w:jc w:val="left"/>
            </w:pPr>
            <w:r>
              <w:t xml:space="preserve">Born 2023, PMID 36515093</w:t>
            </w:r>
          </w:p>
        </w:tc>
        <w:tc>
          <w:tcPr/>
          <w:p>
            <w:pPr>
              <w:pStyle w:val="Compact"/>
              <w:jc w:val="left"/>
            </w:pPr>
            <w:r>
              <w:t xml:space="preserve">Lungenhochdruck-Modelle bei Mäusen und Ratten</w:t>
            </w:r>
          </w:p>
        </w:tc>
        <w:tc>
          <w:tcPr/>
          <w:p>
            <w:pPr>
              <w:pStyle w:val="Compact"/>
              <w:jc w:val="left"/>
            </w:pPr>
            <w:r>
              <w:t xml:space="preserve">Entfernung seneszenter Zellen, auch mit FOXO4-DRI,</w:t>
            </w:r>
            <w:r>
              <w:t xml:space="preserve"> </w:t>
            </w:r>
            <w:r>
              <w:rPr>
                <w:bCs/>
                <w:b/>
              </w:rPr>
              <w:t xml:space="preserve">verschlechterte</w:t>
            </w:r>
            <w:r>
              <w:t xml:space="preserve"> </w:t>
            </w:r>
            <w:r>
              <w:t xml:space="preserve">den Lungenkreislauf</w:t>
            </w:r>
          </w:p>
        </w:tc>
      </w:tr>
    </w:tbl>
    <w:p>
      <w:pPr>
        <w:pStyle w:val="BodyText"/>
      </w:pPr>
      <w:r>
        <w:t xml:space="preserve">Die Erstbeschreibung erregte große Aufmerksamkeit: Bei schnell alternden Mäusen und bei natürlich gealterten Tieren verbesserten sich körperliche Fitness, Fellbild und Nierenfunktion</w:t>
      </w:r>
      <w:r>
        <w:rPr>
          <w:rStyle w:val="FootnoteReference"/>
        </w:rPr>
        <w:footnoteReference w:id="1914"/>
      </w:r>
      <w:r>
        <w:t xml:space="preserve">. Spätere Arbeiten anderer Gruppen, überwiegend aus China, beschrieben Effekte auf Hoden, Lunge und Haut.</w:t>
      </w:r>
    </w:p>
    <w:p>
      <w:pPr>
        <w:pStyle w:val="BodyText"/>
      </w:pPr>
      <w:r>
        <w:t xml:space="preserve">Ein wichtiger Gegenbefund kommt aus der Herz-Kreislauf-Forschung: In Modellen des Lungenhochdrucks verschlechterte die Beseitigung seneszenter Zellen – sowohl genetisch als auch mit den Senolytika ABT263 oder FOXO4-DRI – den Druck im Lungenkreislauf und führte zum Verlust von Gefäßinnenzellen der Lunge. Die Autoren folgern, dass Senolytika den Lungengefäßen schaden könnten</w:t>
      </w:r>
      <w:r>
        <w:rPr>
          <w:rStyle w:val="FootnoteReference"/>
        </w:rPr>
        <w:footnoteReference w:id="1915"/>
      </w:r>
      <w:r>
        <w:t xml:space="preserve">. Das zeigt: Seneszente Zellen sind nicht nur „Altlast“, sondern können in manchen Geweben auch stabilisierende Aufgaben haben.</w:t>
      </w:r>
    </w:p>
    <w:bookmarkEnd w:id="1916"/>
    <w:bookmarkStart w:id="1919" w:name="risiken-und-nebenwirkungen-44"/>
    <w:p>
      <w:pPr>
        <w:pStyle w:val="Heading3"/>
      </w:pPr>
      <w:r>
        <w:t xml:space="preserve">Risiken und Nebenwirkungen</w:t>
      </w:r>
    </w:p>
    <w:p>
      <w:pPr>
        <w:pStyle w:val="FirstParagraph"/>
      </w:pPr>
      <w:r>
        <w:rPr>
          <w:bCs/>
          <w:b/>
        </w:rPr>
        <w:t xml:space="preserve">Belegt:</w:t>
      </w:r>
      <w:r>
        <w:t xml:space="preserve"> </w:t>
      </w:r>
      <w:r>
        <w:t xml:space="preserve">Keine Daten am Menschen.</w:t>
      </w:r>
    </w:p>
    <w:p>
      <w:pPr>
        <w:pStyle w:val="BodyText"/>
      </w:pPr>
      <w:r>
        <w:rPr>
          <w:bCs/>
          <w:b/>
        </w:rPr>
        <w:t xml:space="preserve">Theoretisch – und teils durch Tierdaten gestützt:</w:t>
      </w:r>
    </w:p>
    <w:p>
      <w:pPr>
        <w:numPr>
          <w:ilvl w:val="0"/>
          <w:numId w:val="1243"/>
        </w:numPr>
        <w:pStyle w:val="Compact"/>
      </w:pPr>
      <w:r>
        <w:rPr>
          <w:bCs/>
          <w:b/>
        </w:rPr>
        <w:t xml:space="preserve">Gefäße und Lunge:</w:t>
      </w:r>
      <w:r>
        <w:t xml:space="preserve"> </w:t>
      </w:r>
      <w:r>
        <w:t xml:space="preserve">Im Tiermodell verschlechterte FOXO4-DRI einen bestehenden Lungenhochdruck</w:t>
      </w:r>
      <w:r>
        <w:rPr>
          <w:rStyle w:val="FootnoteReference"/>
        </w:rPr>
        <w:footnoteReference w:id="1917"/>
      </w:r>
      <w:r>
        <w:t xml:space="preserve">.</w:t>
      </w:r>
    </w:p>
    <w:p>
      <w:pPr>
        <w:numPr>
          <w:ilvl w:val="0"/>
          <w:numId w:val="1243"/>
        </w:numPr>
        <w:pStyle w:val="Compact"/>
      </w:pPr>
      <w:r>
        <w:rPr>
          <w:bCs/>
          <w:b/>
        </w:rPr>
        <w:t xml:space="preserve">p53 und Krebs:</w:t>
      </w:r>
      <w:r>
        <w:t xml:space="preserve"> </w:t>
      </w:r>
      <w:r>
        <w:t xml:space="preserve">p53 ist einer der wichtigsten Tumor-Unterdrücker des Körpers. FOXO4-DRI verändert gezielt, wo sich p53 in der Zelle aufhält. Welche Folgen das langfristig für die Krebsabwehr hat, ist nicht untersucht. Die Entwickler sehen das Prinzip umgekehrt auch als Ansatz für die Krebstherapie</w:t>
      </w:r>
      <w:r>
        <w:rPr>
          <w:rStyle w:val="FootnoteReference"/>
        </w:rPr>
        <w:footnoteReference w:id="1918"/>
      </w:r>
      <w:r>
        <w:t xml:space="preserve">.</w:t>
      </w:r>
    </w:p>
    <w:p>
      <w:pPr>
        <w:numPr>
          <w:ilvl w:val="0"/>
          <w:numId w:val="1243"/>
        </w:numPr>
        <w:pStyle w:val="Compact"/>
      </w:pPr>
      <w:r>
        <w:rPr>
          <w:bCs/>
          <w:b/>
        </w:rPr>
        <w:t xml:space="preserve">Wundheilung und Gewebereparatur:</w:t>
      </w:r>
      <w:r>
        <w:t xml:space="preserve"> </w:t>
      </w:r>
      <w:r>
        <w:t xml:space="preserve">Seneszente Zellen wirken auch an Wundheilung und Gewebeumbau mit; deren Beseitigung kann diese Prozesse stören.</w:t>
      </w:r>
    </w:p>
    <w:p>
      <w:pPr>
        <w:numPr>
          <w:ilvl w:val="0"/>
          <w:numId w:val="1243"/>
        </w:numPr>
        <w:pStyle w:val="Compact"/>
      </w:pPr>
      <w:r>
        <w:rPr>
          <w:bCs/>
          <w:b/>
        </w:rPr>
        <w:t xml:space="preserve">Immunreaktionen:</w:t>
      </w:r>
      <w:r>
        <w:t xml:space="preserve"> </w:t>
      </w:r>
      <w:r>
        <w:t xml:space="preserve">Das Peptid enthält einen Abschnitt aus einem Virus-Eiweiß und ist relativ groß; Immunreaktionen bei wiederholter Gabe sind denkbar, aber nicht untersucht.</w:t>
      </w:r>
    </w:p>
    <w:p>
      <w:pPr>
        <w:pStyle w:val="FirstParagraph"/>
      </w:pPr>
      <w:r>
        <w:rPr>
          <w:bCs/>
          <w:b/>
        </w:rPr>
        <w:t xml:space="preserve">Graumarkt:</w:t>
      </w:r>
      <w:r>
        <w:t xml:space="preserve"> </w:t>
      </w:r>
      <w:r>
        <w:t xml:space="preserve">FOXO4-DRI wird online als „Senolytikum“ zur Injektion angeboten, oft zu hohen Preisen. Die Herstellung eines langen Peptids aus D-Aminosäuren ist anspruchsvoll; ob verkaufte Produkte tatsächlich die richtige Sequenz und Reinheit haben, ist ungeprüft.</w:t>
      </w:r>
    </w:p>
    <w:bookmarkEnd w:id="1919"/>
    <w:bookmarkStart w:id="1920" w:name="rechtslage-44"/>
    <w:p>
      <w:pPr>
        <w:pStyle w:val="Heading3"/>
      </w:pPr>
      <w:r>
        <w:t xml:space="preserve">Rechtslage</w:t>
      </w:r>
    </w:p>
    <w:p>
      <w:pPr>
        <w:numPr>
          <w:ilvl w:val="0"/>
          <w:numId w:val="1244"/>
        </w:numPr>
        <w:pStyle w:val="Compact"/>
      </w:pPr>
      <w:r>
        <w:rPr>
          <w:bCs/>
          <w:b/>
        </w:rPr>
        <w:t xml:space="preserve">EU / Österreich / Deutschland:</w:t>
      </w:r>
      <w:r>
        <w:t xml:space="preserve"> </w:t>
      </w:r>
      <w:r>
        <w:t xml:space="preserve">nicht zugelassen; als Stoff mit pharmakologischer Wirkung gilt FOXO4-DRI als Arzneimittel, ein Verkauf zur Anwendung am Menschen ist nicht erlaubt.</w:t>
      </w:r>
    </w:p>
    <w:p>
      <w:pPr>
        <w:numPr>
          <w:ilvl w:val="0"/>
          <w:numId w:val="1244"/>
        </w:numPr>
        <w:pStyle w:val="Compact"/>
      </w:pPr>
      <w:r>
        <w:rPr>
          <w:bCs/>
          <w:b/>
        </w:rPr>
        <w:t xml:space="preserve">USA:</w:t>
      </w:r>
      <w:r>
        <w:t xml:space="preserve"> </w:t>
      </w:r>
      <w:r>
        <w:t xml:space="preserve">nicht zugelassen.</w:t>
      </w:r>
    </w:p>
    <w:p>
      <w:pPr>
        <w:numPr>
          <w:ilvl w:val="0"/>
          <w:numId w:val="1244"/>
        </w:numPr>
        <w:pStyle w:val="Compact"/>
      </w:pPr>
      <w:r>
        <w:rPr>
          <w:bCs/>
          <w:b/>
        </w:rPr>
        <w:t xml:space="preserve">Sport:</w:t>
      </w:r>
      <w:r>
        <w:t xml:space="preserve"> </w:t>
      </w:r>
      <w:r>
        <w:t xml:space="preserve">nach unserer Einschätzung WADA-Kategorie S0 (Stand 2026, bitte aktuell prüfen).</w:t>
      </w:r>
    </w:p>
    <w:bookmarkEnd w:id="1920"/>
    <w:bookmarkStart w:id="1921" w:name="laufende-studien-und-ausblick-44"/>
    <w:p>
      <w:pPr>
        <w:pStyle w:val="Heading3"/>
      </w:pPr>
      <w:r>
        <w:t xml:space="preserve">Laufende Studien und Ausblick</w:t>
      </w:r>
    </w:p>
    <w:p>
      <w:pPr>
        <w:pStyle w:val="FirstParagraph"/>
      </w:pPr>
      <w:r>
        <w:rPr>
          <w:bCs/>
          <w:b/>
        </w:rPr>
        <w:t xml:space="preserve">Gesichert:</w:t>
      </w:r>
      <w:r>
        <w:t xml:space="preserve"> </w:t>
      </w:r>
      <w:r>
        <w:t xml:space="preserve">Keine registrierte klinische Studie mit FOXO4-DRI (Abfrage Oktober 2026). Die Entwicklergruppe arbeitet an Weiterentwicklungen des Prinzips; klinische Studien mit Senolytika laufen vor allem mit anderen Wirkstoffen.</w:t>
      </w:r>
    </w:p>
    <w:p>
      <w:pPr>
        <w:pStyle w:val="BodyText"/>
      </w:pPr>
      <w:r>
        <w:rPr>
          <w:bCs/>
          <w:b/>
        </w:rPr>
        <w:t xml:space="preserve">Einschätzung:</w:t>
      </w:r>
      <w:r>
        <w:t xml:space="preserve"> </w:t>
      </w:r>
      <w:r>
        <w:t xml:space="preserve">Die Senolytika-Forschung ist eines der spannendsten Felder der Altersforschung, aber die ersten kontrollierten Studien am Menschen waren ernüchternd. Für FOXO4-DRI wären zunächst systematische Toxizitätsstudien und eine erste vorsichtige Studie am Menschen nötig – idealerweise bei einer klar definierten Erkrankung, nicht als allgemeines „Anti-Aging“.</w:t>
      </w:r>
    </w:p>
    <w:bookmarkEnd w:id="1921"/>
    <w:bookmarkStart w:id="1922" w:name="fazit-44"/>
    <w:p>
      <w:pPr>
        <w:pStyle w:val="Heading3"/>
      </w:pPr>
      <w:r>
        <w:t xml:space="preserve">Fazit</w:t>
      </w:r>
    </w:p>
    <w:p>
      <w:pPr>
        <w:pStyle w:val="FirstParagraph"/>
      </w:pPr>
      <w:r>
        <w:t xml:space="preserve">FOXO4-DRI ist ein künstliches Peptid, das in Zellkulturen und bei Mäusen gezielt seneszente Zellen beseitigte und bei gealterten Tieren Fitness, Fell und Nierenfunktion verbesserte. Am Menschen wurde es nie untersucht. In Tiermodellen des Lungenhochdrucks verschlechterte die Entfernung seneszenter Zellen mit FOXO4-DRI den Krankheitsverlauf, und der Eingriff in das Krebsschutz-Eiweiß p53 wirft offene Fragen auf. Die Daten reichen nicht aus, um Nutzen oder Sicherheit beim Menschen zu beurteilen.</w:t>
      </w:r>
    </w:p>
    <w:bookmarkEnd w:id="1922"/>
    <w:bookmarkEnd w:id="1923"/>
    <w:bookmarkStart w:id="1955" w:name="glutathion"/>
    <w:p>
      <w:pPr>
        <w:pStyle w:val="Heading2"/>
      </w:pPr>
      <w:r>
        <w:t xml:space="preserve">Glutathion</w:t>
      </w:r>
    </w:p>
    <w:bookmarkStart w:id="1924" w:name="steckbrief-45"/>
    <w:p>
      <w:pPr>
        <w:pStyle w:val="Heading3"/>
      </w:pPr>
      <w:r>
        <w:t xml:space="preserve">Steckbrief</w:t>
      </w:r>
    </w:p>
    <w:p>
      <w:pPr>
        <w:numPr>
          <w:ilvl w:val="0"/>
          <w:numId w:val="1245"/>
        </w:numPr>
        <w:pStyle w:val="Compact"/>
      </w:pPr>
      <w:r>
        <w:rPr>
          <w:bCs/>
          <w:b/>
        </w:rPr>
        <w:t xml:space="preserve">Art und Struktur:</w:t>
      </w:r>
      <w:r>
        <w:t xml:space="preserve"> </w:t>
      </w:r>
      <w:r>
        <w:t xml:space="preserve">Tripeptid aus drei Aminosäuren – Glutaminsäure, Cystein und Glycin (γ-Glutamyl-Cysteinyl-Glycin, abgekürzt GSH). Die reduzierte Form (GSH) ist die aktive; bei der Abwehr von Oxidation werden zwei Moleküle zu oxidiertem Glutathion (GSSG) verbunden.</w:t>
      </w:r>
    </w:p>
    <w:p>
      <w:pPr>
        <w:numPr>
          <w:ilvl w:val="0"/>
          <w:numId w:val="1245"/>
        </w:numPr>
        <w:pStyle w:val="Compact"/>
      </w:pPr>
      <w:r>
        <w:rPr>
          <w:bCs/>
          <w:b/>
        </w:rPr>
        <w:t xml:space="preserve">Herkunft:</w:t>
      </w:r>
      <w:r>
        <w:t xml:space="preserve"> </w:t>
      </w:r>
      <w:r>
        <w:t xml:space="preserve">wird von praktisch allen Körperzellen selbst gebildet, besonders viel in der Leber. Als Präparat wird es meist durch Fermentation mit Hefen hergestellt.</w:t>
      </w:r>
    </w:p>
    <w:p>
      <w:pPr>
        <w:numPr>
          <w:ilvl w:val="0"/>
          <w:numId w:val="1245"/>
        </w:numPr>
        <w:pStyle w:val="Compact"/>
      </w:pPr>
      <w:r>
        <w:rPr>
          <w:bCs/>
          <w:b/>
        </w:rPr>
        <w:t xml:space="preserve">Wirkprinzip:</w:t>
      </w:r>
      <w:r>
        <w:t xml:space="preserve"> </w:t>
      </w:r>
      <w:r>
        <w:t xml:space="preserve">wichtigster körpereigener Schutzstoff gegen Oxidation in Zellen; beteiligt an der Entgiftung von Medikamenten und Schadstoffen (etwa beim Abbau von Paracetamol) und an der Regulation von Immunzellen. In der Haut verschiebt es die Pigmentbildung vom dunklen zum helleren Melanin.</w:t>
      </w:r>
    </w:p>
    <w:p>
      <w:pPr>
        <w:numPr>
          <w:ilvl w:val="0"/>
          <w:numId w:val="1245"/>
        </w:numPr>
        <w:pStyle w:val="Compact"/>
      </w:pPr>
      <w:r>
        <w:rPr>
          <w:bCs/>
          <w:b/>
        </w:rPr>
        <w:t xml:space="preserve">Zulassung EU:</w:t>
      </w:r>
      <w:r>
        <w:t xml:space="preserve"> </w:t>
      </w:r>
      <w:r>
        <w:t xml:space="preserve">als Nahrungsergänzungsmittel verbreitet im Handel; als Arzneimittel zur Injektion nur in einzelnen Ländern für eng umrissene Anwendungsgebiete, nicht zur Hautaufhellung.</w:t>
      </w:r>
    </w:p>
    <w:p>
      <w:pPr>
        <w:numPr>
          <w:ilvl w:val="0"/>
          <w:numId w:val="1245"/>
        </w:numPr>
        <w:pStyle w:val="Compact"/>
      </w:pPr>
      <w:r>
        <w:rPr>
          <w:bCs/>
          <w:b/>
        </w:rPr>
        <w:t xml:space="preserve">Zulassung USA:</w:t>
      </w:r>
      <w:r>
        <w:t xml:space="preserve"> </w:t>
      </w:r>
      <w:r>
        <w:t xml:space="preserve">kein von der FDA zugelassenes Glutathion-Arzneimittel; erhältlich als Nahrungsergänzungsmittel und als Apotheken-Rezeptur.</w:t>
      </w:r>
    </w:p>
    <w:p>
      <w:pPr>
        <w:numPr>
          <w:ilvl w:val="0"/>
          <w:numId w:val="1245"/>
        </w:numPr>
        <w:pStyle w:val="Compact"/>
      </w:pPr>
      <w:r>
        <w:rPr>
          <w:bCs/>
          <w:b/>
        </w:rPr>
        <w:t xml:space="preserve">WADA:</w:t>
      </w:r>
      <w:r>
        <w:t xml:space="preserve"> </w:t>
      </w:r>
      <w:r>
        <w:t xml:space="preserve">Glutathion selbst ist nicht verboten. Infusionen oder Injektionen von mehr als 100 ml innerhalb von zwölf Stunden sind jedoch als verbotene Methode (M2) erfasst, außer im Rahmen einer Krankenhausbehandlung oder Untersuchung.</w:t>
      </w:r>
    </w:p>
    <w:p>
      <w:pPr>
        <w:numPr>
          <w:ilvl w:val="0"/>
          <w:numId w:val="1245"/>
        </w:numPr>
        <w:pStyle w:val="Compact"/>
      </w:pPr>
      <w:r>
        <w:rPr>
          <w:bCs/>
          <w:b/>
        </w:rPr>
        <w:t xml:space="preserve">Evidenzstufe:</w:t>
      </w:r>
      <w:r>
        <w:t xml:space="preserve"> </w:t>
      </w:r>
      <w:r>
        <w:rPr>
          <w:bCs/>
          <w:b/>
        </w:rPr>
        <w:t xml:space="preserve">B</w:t>
      </w:r>
      <w:r>
        <w:t xml:space="preserve"> </w:t>
      </w:r>
      <w:r>
        <w:t xml:space="preserve">– zahlreiche randomisierte, überwiegend kleine Studien mit wechselnden Ergebnissen; keine Zulassung auf Basis großer Endpunktstudien.</w:t>
      </w:r>
    </w:p>
    <w:bookmarkEnd w:id="1924"/>
    <w:bookmarkStart w:id="1925" w:name="wie-es-wirken-soll-45"/>
    <w:p>
      <w:pPr>
        <w:pStyle w:val="Heading3"/>
      </w:pPr>
      <w:r>
        <w:t xml:space="preserve">Wie es wirken soll</w:t>
      </w:r>
    </w:p>
    <w:p>
      <w:pPr>
        <w:pStyle w:val="FirstParagraph"/>
      </w:pPr>
      <w:r>
        <w:t xml:space="preserve">Glutathion ist ein ganz gewöhnlicher Bestandteil jeder Zelle. Es fängt reaktive Sauerstoffverbindungen ab, hilft Enzymen bei der Entgiftung und hält andere Schutzstoffe wie Vitamin C und E in ihrer aktiven Form. Bei vielen Erkrankungen – etwa Diabetes, Lebererkrankungen, HIV, Parkinson – und mit zunehmendem Alter sind die Glutathion-Spiegel in Blut oder Gewebe niedriger. Daraus entstand die naheliegende Idee, Glutathion von außen zuzuführen.</w:t>
      </w:r>
    </w:p>
    <w:p>
      <w:pPr>
        <w:pStyle w:val="BodyText"/>
      </w:pPr>
      <w:r>
        <w:t xml:space="preserve">Das ist aus drei Gründen schwieriger, als es klingt:</w:t>
      </w:r>
    </w:p>
    <w:p>
      <w:pPr>
        <w:numPr>
          <w:ilvl w:val="0"/>
          <w:numId w:val="1246"/>
        </w:numPr>
        <w:pStyle w:val="Compact"/>
      </w:pPr>
      <w:r>
        <w:rPr>
          <w:bCs/>
          <w:b/>
        </w:rPr>
        <w:t xml:space="preserve">Verdauung:</w:t>
      </w:r>
      <w:r>
        <w:t xml:space="preserve"> </w:t>
      </w:r>
      <w:r>
        <w:t xml:space="preserve">Als Peptid wird Glutathion im Darm teilweise zerlegt; lange galt es deshalb als kaum wirksam beim Schlucken.</w:t>
      </w:r>
    </w:p>
    <w:p>
      <w:pPr>
        <w:numPr>
          <w:ilvl w:val="0"/>
          <w:numId w:val="1246"/>
        </w:numPr>
        <w:pStyle w:val="Compact"/>
      </w:pPr>
      <w:r>
        <w:rPr>
          <w:bCs/>
          <w:b/>
        </w:rPr>
        <w:t xml:space="preserve">Aufnahme in Zellen:</w:t>
      </w:r>
      <w:r>
        <w:t xml:space="preserve"> </w:t>
      </w:r>
      <w:r>
        <w:t xml:space="preserve">Glutathion wird überwiegend</w:t>
      </w:r>
      <w:r>
        <w:t xml:space="preserve"> </w:t>
      </w:r>
      <w:r>
        <w:rPr>
          <w:iCs/>
          <w:i/>
        </w:rPr>
        <w:t xml:space="preserve">in</w:t>
      </w:r>
      <w:r>
        <w:t xml:space="preserve"> </w:t>
      </w:r>
      <w:r>
        <w:t xml:space="preserve">den Zellen gebildet; aus dem Blut gelangt es nur begrenzt hinein.</w:t>
      </w:r>
    </w:p>
    <w:p>
      <w:pPr>
        <w:numPr>
          <w:ilvl w:val="0"/>
          <w:numId w:val="1246"/>
        </w:numPr>
        <w:pStyle w:val="Compact"/>
      </w:pPr>
      <w:r>
        <w:rPr>
          <w:bCs/>
          <w:b/>
        </w:rPr>
        <w:t xml:space="preserve">Kurze Verweildauer:</w:t>
      </w:r>
      <w:r>
        <w:t xml:space="preserve"> </w:t>
      </w:r>
      <w:r>
        <w:t xml:space="preserve">Infundiertes Glutathion wird im Blut rasch abgebaut.</w:t>
      </w:r>
    </w:p>
    <w:p>
      <w:pPr>
        <w:pStyle w:val="FirstParagraph"/>
      </w:pPr>
      <w:r>
        <w:t xml:space="preserve">Deshalb werden verschiedene Darreichungsformen angeboten: Kapseln und Tabletten,</w:t>
      </w:r>
      <w:r>
        <w:t xml:space="preserve"> </w:t>
      </w:r>
      <w:r>
        <w:rPr>
          <w:bCs/>
          <w:b/>
        </w:rPr>
        <w:t xml:space="preserve">liposomales</w:t>
      </w:r>
      <w:r>
        <w:t xml:space="preserve"> </w:t>
      </w:r>
      <w:r>
        <w:t xml:space="preserve">Glutathion (in Fettbläschen verpackt), Lutschtabletten und Filme für die Mundschleimhaut, Nasenspray, Cremes – und</w:t>
      </w:r>
      <w:r>
        <w:t xml:space="preserve"> </w:t>
      </w:r>
      <w:r>
        <w:rPr>
          <w:bCs/>
          <w:b/>
        </w:rPr>
        <w:t xml:space="preserve">Infusionen</w:t>
      </w:r>
      <w:r>
        <w:t xml:space="preserve"> </w:t>
      </w:r>
      <w:r>
        <w:t xml:space="preserve">in die Vene. Außerdem gibt es Vorstufen wie N-Acetylcystein (NAC) oder Glycin plus NAC, die der Körper zur Eigenbildung nutzt; sie sind nicht Thema dieses Kapitels.</w:t>
      </w:r>
    </w:p>
    <w:p>
      <w:pPr>
        <w:pStyle w:val="BodyText"/>
      </w:pPr>
      <w:r>
        <w:t xml:space="preserve">Für die Hautaufhellung wird ein weiterer Mechanismus angenommen: Glutathion hemmt in Laborversuchen das Enzym Tyrosinase und lenkt die Pigmentbildung von dunklem Eumelanin zu hellerem Phäomelanin um.</w:t>
      </w:r>
    </w:p>
    <w:bookmarkEnd w:id="1925"/>
    <w:bookmarkStart w:id="1945" w:name="studien-am-menschen-4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161 als Humanstudien klassifizierte Veröffentlichungen, dazu 15 Übersichten und Meta-Analysen. Auf ClinicalTrials.gov waren 273 Studien registriert. Beide Zahlen überschätzen die direkte Datenlage deutlich: Viele Treffer messen nur Glutathion als Laborwert (etwa unter Selen, Vitaminen, Sport oder NAC) oder betreffen das Enzym Glutathion-S-Transferase. Studien, in denen Glutathion selbst gegeben wurde, sind eine Minderheit – aber immerhin einige Dutzend.</w:t>
      </w:r>
    </w:p>
    <w:bookmarkStart w:id="1929" w:name="X8ea8cc8fd3be10399d99ee61b14185a7298e01b"/>
    <w:p>
      <w:pPr>
        <w:pStyle w:val="Heading4"/>
      </w:pPr>
      <w:r>
        <w:t xml:space="preserve">Kommt geschlucktes Glutathion überhaupt 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Allen 2011, PMID 21875351</w:t>
            </w:r>
          </w:p>
        </w:tc>
        <w:tc>
          <w:tcPr/>
          <w:p>
            <w:pPr>
              <w:pStyle w:val="Compact"/>
              <w:jc w:val="left"/>
            </w:pPr>
            <w:r>
              <w:t xml:space="preserve">40 Gesunde, Kapseln gegen Placebo, doppelblind</w:t>
            </w:r>
          </w:p>
        </w:tc>
        <w:tc>
          <w:tcPr/>
          <w:p>
            <w:pPr>
              <w:pStyle w:val="Compact"/>
              <w:jc w:val="left"/>
            </w:pPr>
            <w:r>
              <w:t xml:space="preserve">4 Wochen</w:t>
            </w:r>
          </w:p>
        </w:tc>
        <w:tc>
          <w:tcPr/>
          <w:p>
            <w:pPr>
              <w:pStyle w:val="Compact"/>
              <w:jc w:val="left"/>
            </w:pPr>
            <w:r>
              <w:t xml:space="preserve">keine Veränderung der Glutathion-Spiegel oder Oxidationsmarker</w:t>
            </w:r>
          </w:p>
        </w:tc>
      </w:tr>
      <w:tr>
        <w:tc>
          <w:tcPr/>
          <w:p>
            <w:pPr>
              <w:pStyle w:val="Compact"/>
              <w:jc w:val="left"/>
            </w:pPr>
            <w:r>
              <w:t xml:space="preserve">Richie 2015, PMID 24791752</w:t>
            </w:r>
          </w:p>
        </w:tc>
        <w:tc>
          <w:tcPr/>
          <w:p>
            <w:pPr>
              <w:pStyle w:val="Compact"/>
              <w:jc w:val="left"/>
            </w:pPr>
            <w:r>
              <w:t xml:space="preserve">54 Gesunde, zwei Dosen gegen Placebo, doppelblind</w:t>
            </w:r>
          </w:p>
        </w:tc>
        <w:tc>
          <w:tcPr/>
          <w:p>
            <w:pPr>
              <w:pStyle w:val="Compact"/>
              <w:jc w:val="left"/>
            </w:pPr>
            <w:r>
              <w:t xml:space="preserve">6 Monate</w:t>
            </w:r>
          </w:p>
        </w:tc>
        <w:tc>
          <w:tcPr/>
          <w:p>
            <w:pPr>
              <w:pStyle w:val="Compact"/>
              <w:jc w:val="left"/>
            </w:pPr>
            <w:r>
              <w:t xml:space="preserve">Spiegel in Blutzellen und Plasma um 30–35 % höher (hohe Dosis); nach Absetzen zurück</w:t>
            </w:r>
          </w:p>
        </w:tc>
      </w:tr>
      <w:tr>
        <w:tc>
          <w:tcPr/>
          <w:p>
            <w:pPr>
              <w:pStyle w:val="Compact"/>
              <w:jc w:val="left"/>
            </w:pPr>
            <w:r>
              <w:t xml:space="preserve">Sinha 2018, PMID 28853742</w:t>
            </w:r>
          </w:p>
        </w:tc>
        <w:tc>
          <w:tcPr/>
          <w:p>
            <w:pPr>
              <w:pStyle w:val="Compact"/>
              <w:jc w:val="left"/>
            </w:pPr>
            <w:r>
              <w:t xml:space="preserve">12 Gesunde, liposomales Glutathion, ohne Placebo</w:t>
            </w:r>
          </w:p>
        </w:tc>
        <w:tc>
          <w:tcPr/>
          <w:p>
            <w:pPr>
              <w:pStyle w:val="Compact"/>
              <w:jc w:val="left"/>
            </w:pPr>
            <w:r>
              <w:t xml:space="preserve">4 Wochen</w:t>
            </w:r>
          </w:p>
        </w:tc>
        <w:tc>
          <w:tcPr/>
          <w:p>
            <w:pPr>
              <w:pStyle w:val="Compact"/>
              <w:jc w:val="left"/>
            </w:pPr>
            <w:r>
              <w:t xml:space="preserve">Spiegel in Vollblut bis 40 % höher, in Immunzellen bis 100 %</w:t>
            </w:r>
          </w:p>
        </w:tc>
      </w:tr>
      <w:tr>
        <w:tc>
          <w:tcPr/>
          <w:p>
            <w:pPr>
              <w:pStyle w:val="Compact"/>
              <w:jc w:val="left"/>
            </w:pPr>
            <w:r>
              <w:t xml:space="preserve">Schmitt 2015, PMID 26262996</w:t>
            </w:r>
          </w:p>
        </w:tc>
        <w:tc>
          <w:tcPr/>
          <w:p>
            <w:pPr>
              <w:pStyle w:val="Compact"/>
              <w:jc w:val="left"/>
            </w:pPr>
            <w:r>
              <w:t xml:space="preserve">20 Personen mit metabolischem Syndrom, Überkreuz: Kapsel, Sublingual-Form, NAC</w:t>
            </w:r>
          </w:p>
        </w:tc>
        <w:tc>
          <w:tcPr/>
          <w:p>
            <w:pPr>
              <w:pStyle w:val="Compact"/>
              <w:jc w:val="left"/>
            </w:pPr>
            <w:r>
              <w:t xml:space="preserve">je 3 Wochen</w:t>
            </w:r>
          </w:p>
        </w:tc>
        <w:tc>
          <w:tcPr/>
          <w:p>
            <w:pPr>
              <w:pStyle w:val="Compact"/>
              <w:jc w:val="left"/>
            </w:pPr>
            <w:r>
              <w:t xml:space="preserve">Sublingual-Form erhöhte Plasmaspiegel stärker als Kapseln</w:t>
            </w:r>
          </w:p>
        </w:tc>
      </w:tr>
      <w:tr>
        <w:tc>
          <w:tcPr/>
          <w:p>
            <w:pPr>
              <w:pStyle w:val="Compact"/>
              <w:jc w:val="left"/>
            </w:pPr>
            <w:r>
              <w:t xml:space="preserve">Jung 2026, PMID 42392376</w:t>
            </w:r>
          </w:p>
        </w:tc>
        <w:tc>
          <w:tcPr/>
          <w:p>
            <w:pPr>
              <w:pStyle w:val="Compact"/>
              <w:jc w:val="left"/>
            </w:pPr>
            <w:r>
              <w:t xml:space="preserve">Gesunde, Film zum Auflösen im Mund gegen Tablette</w:t>
            </w:r>
          </w:p>
        </w:tc>
        <w:tc>
          <w:tcPr/>
          <w:p>
            <w:pPr>
              <w:pStyle w:val="Compact"/>
              <w:jc w:val="left"/>
            </w:pPr>
            <w:r>
              <w:t xml:space="preserve">Einzeldosis und 4 Wochen</w:t>
            </w:r>
          </w:p>
        </w:tc>
        <w:tc>
          <w:tcPr/>
          <w:p>
            <w:pPr>
              <w:pStyle w:val="Compact"/>
              <w:jc w:val="left"/>
            </w:pPr>
            <w:r>
              <w:t xml:space="preserve">beide Formen erhöhten Blutspiegel; keine Änderung der Oxidationsmarker</w:t>
            </w:r>
          </w:p>
        </w:tc>
      </w:tr>
    </w:tbl>
    <w:p>
      <w:pPr>
        <w:pStyle w:val="BodyText"/>
      </w:pPr>
      <w:r>
        <w:t xml:space="preserve">Die Frage war lange umstritten. Eine kurze Studie mit 40 Gesunden fand nach vier Wochen keinerlei Veränderung</w:t>
      </w:r>
      <w:r>
        <w:rPr>
          <w:rStyle w:val="FootnoteReference"/>
        </w:rPr>
        <w:footnoteReference w:id="1926"/>
      </w:r>
      <w:r>
        <w:t xml:space="preserve">. Eine längere, ebenfalls doppelblinde Studie mit 54 Gesunden fand dagegen nach sechs Monaten dosisabhängig höhere Glutathion-Spiegel in Blut, Blutzellen und Mundschleimhaut; einen Monat nach dem Absetzen waren die Werte wieder auf dem Ausgangsniveau</w:t>
      </w:r>
      <w:r>
        <w:rPr>
          <w:rStyle w:val="FootnoteReference"/>
        </w:rPr>
        <w:footnoteReference w:id="1927"/>
      </w:r>
      <w:r>
        <w:t xml:space="preserve">. Eine kleine Pilotstudie ohne Placebogruppe berichtete für liposomales Glutathion bereits nach ein bis zwei Wochen Anstiege</w:t>
      </w:r>
      <w:r>
        <w:rPr>
          <w:rStyle w:val="FootnoteReference"/>
        </w:rPr>
        <w:footnoteReference w:id="1928"/>
      </w:r>
      <w:r>
        <w:t xml:space="preserve">.</w:t>
      </w:r>
    </w:p>
    <w:p>
      <w:pPr>
        <w:pStyle w:val="BodyText"/>
      </w:pPr>
      <w:r>
        <w:t xml:space="preserve">Zusammengefasst: Geschlucktes Glutathion kann die Spiegel im Blut messbar erhöhen, vermutlich abhängig von Dosis, Dauer und Darreichungsform. Ob höhere Spiegel im Blut auch zu gesundheitlichem Nutzen führen, ist eine andere Frage.</w:t>
      </w:r>
    </w:p>
    <w:bookmarkEnd w:id="1929"/>
    <w:bookmarkStart w:id="1937" w:name="krankheitsbezogene-studien"/>
    <w:p>
      <w:pPr>
        <w:pStyle w:val="Heading4"/>
      </w:pPr>
      <w:r>
        <w:t xml:space="preserve">Krankheitsbezogene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Leal 2014, PMID 24619793</w:t>
            </w:r>
          </w:p>
        </w:tc>
        <w:tc>
          <w:tcPr/>
          <w:p>
            <w:pPr>
              <w:pStyle w:val="Compact"/>
              <w:jc w:val="left"/>
            </w:pPr>
            <w:r>
              <w:t xml:space="preserve">185 Krebspatientinnen und -patienten unter Paclitaxel/Carboplatin, Infusion gegen Placebo, Phase 3</w:t>
            </w:r>
          </w:p>
        </w:tc>
        <w:tc>
          <w:tcPr/>
          <w:p>
            <w:pPr>
              <w:pStyle w:val="Compact"/>
              <w:jc w:val="left"/>
            </w:pPr>
            <w:r>
              <w:t xml:space="preserve">Chemotherapie-Dauer</w:t>
            </w:r>
          </w:p>
        </w:tc>
        <w:tc>
          <w:tcPr/>
          <w:p>
            <w:pPr>
              <w:pStyle w:val="Compact"/>
              <w:jc w:val="left"/>
            </w:pPr>
            <w:r>
              <w:rPr>
                <w:bCs/>
                <w:b/>
              </w:rPr>
              <w:t xml:space="preserve">keine</w:t>
            </w:r>
            <w:r>
              <w:t xml:space="preserve"> </w:t>
            </w:r>
            <w:r>
              <w:t xml:space="preserve">Verringerung der Nervenschäden durch Chemotherapie</w:t>
            </w:r>
          </w:p>
        </w:tc>
      </w:tr>
      <w:tr>
        <w:tc>
          <w:tcPr/>
          <w:p>
            <w:pPr>
              <w:pStyle w:val="Compact"/>
              <w:jc w:val="left"/>
            </w:pPr>
            <w:r>
              <w:t xml:space="preserve">Hauser 2009, PMID 19230029</w:t>
            </w:r>
          </w:p>
        </w:tc>
        <w:tc>
          <w:tcPr/>
          <w:p>
            <w:pPr>
              <w:pStyle w:val="Compact"/>
              <w:jc w:val="left"/>
            </w:pPr>
            <w:r>
              <w:t xml:space="preserve">21 Personen mit Parkinson, Infusion gegen Placebo</w:t>
            </w:r>
          </w:p>
        </w:tc>
        <w:tc>
          <w:tcPr/>
          <w:p>
            <w:pPr>
              <w:pStyle w:val="Compact"/>
              <w:jc w:val="left"/>
            </w:pPr>
            <w:r>
              <w:t xml:space="preserve">4 Wochen</w:t>
            </w:r>
          </w:p>
        </w:tc>
        <w:tc>
          <w:tcPr/>
          <w:p>
            <w:pPr>
              <w:pStyle w:val="Compact"/>
              <w:jc w:val="left"/>
            </w:pPr>
            <w:r>
              <w:t xml:space="preserve">kein signifikanter Unterschied in der Parkinson-Skala</w:t>
            </w:r>
          </w:p>
        </w:tc>
      </w:tr>
      <w:tr>
        <w:tc>
          <w:tcPr/>
          <w:p>
            <w:pPr>
              <w:pStyle w:val="Compact"/>
              <w:jc w:val="left"/>
            </w:pPr>
            <w:r>
              <w:t xml:space="preserve">Mischley 2017, PMID 28436395</w:t>
            </w:r>
          </w:p>
        </w:tc>
        <w:tc>
          <w:tcPr/>
          <w:p>
            <w:pPr>
              <w:pStyle w:val="Compact"/>
              <w:jc w:val="left"/>
            </w:pPr>
            <w:r>
              <w:t xml:space="preserve">45 Personen mit Parkinson, Nasenspray in zwei Dosen gegen Placebo</w:t>
            </w:r>
          </w:p>
        </w:tc>
        <w:tc>
          <w:tcPr/>
          <w:p>
            <w:pPr>
              <w:pStyle w:val="Compact"/>
              <w:jc w:val="left"/>
            </w:pPr>
            <w:r>
              <w:t xml:space="preserve">3 Monate</w:t>
            </w:r>
          </w:p>
        </w:tc>
        <w:tc>
          <w:tcPr/>
          <w:p>
            <w:pPr>
              <w:pStyle w:val="Compact"/>
              <w:jc w:val="left"/>
            </w:pPr>
            <w:r>
              <w:t xml:space="preserve">alle Gruppen besserten sich, Glutathion nicht besser als Placebo</w:t>
            </w:r>
          </w:p>
        </w:tc>
      </w:tr>
      <w:tr>
        <w:tc>
          <w:tcPr/>
          <w:p>
            <w:pPr>
              <w:pStyle w:val="Compact"/>
              <w:jc w:val="left"/>
            </w:pPr>
            <w:r>
              <w:t xml:space="preserve">Bozic 2020, PMID 32960827</w:t>
            </w:r>
          </w:p>
        </w:tc>
        <w:tc>
          <w:tcPr/>
          <w:p>
            <w:pPr>
              <w:pStyle w:val="Compact"/>
              <w:jc w:val="left"/>
            </w:pPr>
            <w:r>
              <w:t xml:space="preserve">58 Kinder mit Mukoviszidose, Kapseln gegen Placebo</w:t>
            </w:r>
          </w:p>
        </w:tc>
        <w:tc>
          <w:tcPr/>
          <w:p>
            <w:pPr>
              <w:pStyle w:val="Compact"/>
              <w:jc w:val="left"/>
            </w:pPr>
            <w:r>
              <w:t xml:space="preserve">24 Wochen</w:t>
            </w:r>
          </w:p>
        </w:tc>
        <w:tc>
          <w:tcPr/>
          <w:p>
            <w:pPr>
              <w:pStyle w:val="Compact"/>
              <w:jc w:val="left"/>
            </w:pPr>
            <w:r>
              <w:t xml:space="preserve">kein Effekt auf Wachstum und Entzündungsmarker</w:t>
            </w:r>
          </w:p>
        </w:tc>
      </w:tr>
      <w:tr>
        <w:tc>
          <w:tcPr/>
          <w:p>
            <w:pPr>
              <w:pStyle w:val="Compact"/>
              <w:jc w:val="left"/>
            </w:pPr>
            <w:r>
              <w:t xml:space="preserve">Søndergård 2021, PMID 33740389</w:t>
            </w:r>
          </w:p>
        </w:tc>
        <w:tc>
          <w:tcPr/>
          <w:p>
            <w:pPr>
              <w:pStyle w:val="Compact"/>
              <w:jc w:val="left"/>
            </w:pPr>
            <w:r>
              <w:t xml:space="preserve">20 übergewichtige Männer mit und ohne Typ-2-Diabetes, gegen Placebo</w:t>
            </w:r>
          </w:p>
        </w:tc>
        <w:tc>
          <w:tcPr/>
          <w:p>
            <w:pPr>
              <w:pStyle w:val="Compact"/>
              <w:jc w:val="left"/>
            </w:pPr>
            <w:r>
              <w:t xml:space="preserve">3 Wochen</w:t>
            </w:r>
          </w:p>
        </w:tc>
        <w:tc>
          <w:tcPr/>
          <w:p>
            <w:pPr>
              <w:pStyle w:val="Compact"/>
              <w:jc w:val="left"/>
            </w:pPr>
            <w:r>
              <w:t xml:space="preserve">Insulinempfindlichkeit verbessert; Oxidationsmarker unverändert</w:t>
            </w:r>
          </w:p>
        </w:tc>
      </w:tr>
      <w:tr>
        <w:tc>
          <w:tcPr/>
          <w:p>
            <w:pPr>
              <w:pStyle w:val="Compact"/>
              <w:jc w:val="left"/>
            </w:pPr>
            <w:r>
              <w:t xml:space="preserve">Honda 2017, PMID 28789631</w:t>
            </w:r>
          </w:p>
        </w:tc>
        <w:tc>
          <w:tcPr/>
          <w:p>
            <w:pPr>
              <w:pStyle w:val="Compact"/>
              <w:jc w:val="left"/>
            </w:pPr>
            <w:r>
              <w:t xml:space="preserve">34 Personen mit Fettleber, offen, ohne Kontrollgruppe</w:t>
            </w:r>
          </w:p>
        </w:tc>
        <w:tc>
          <w:tcPr/>
          <w:p>
            <w:pPr>
              <w:pStyle w:val="Compact"/>
              <w:jc w:val="left"/>
            </w:pPr>
            <w:r>
              <w:t xml:space="preserve">4 Monate</w:t>
            </w:r>
          </w:p>
        </w:tc>
        <w:tc>
          <w:tcPr/>
          <w:p>
            <w:pPr>
              <w:pStyle w:val="Compact"/>
              <w:jc w:val="left"/>
            </w:pPr>
            <w:r>
              <w:t xml:space="preserve">Leberwert ALT gesunken</w:t>
            </w:r>
          </w:p>
        </w:tc>
      </w:tr>
      <w:tr>
        <w:tc>
          <w:tcPr/>
          <w:p>
            <w:pPr>
              <w:pStyle w:val="Compact"/>
              <w:jc w:val="left"/>
            </w:pPr>
            <w:r>
              <w:t xml:space="preserve">Arrivi 2023, PMID 36083043</w:t>
            </w:r>
          </w:p>
        </w:tc>
        <w:tc>
          <w:tcPr/>
          <w:p>
            <w:pPr>
              <w:pStyle w:val="Compact"/>
              <w:jc w:val="left"/>
            </w:pPr>
            <w:r>
              <w:t xml:space="preserve">100 Personen mit Herzinfarkt, Infusion gegen Placebo (Nachauswertung)</w:t>
            </w:r>
          </w:p>
        </w:tc>
        <w:tc>
          <w:tcPr/>
          <w:p>
            <w:pPr>
              <w:pStyle w:val="Compact"/>
              <w:jc w:val="left"/>
            </w:pPr>
            <w:r>
              <w:t xml:space="preserve">Krankenhausaufenthalt</w:t>
            </w:r>
          </w:p>
        </w:tc>
        <w:tc>
          <w:tcPr/>
          <w:p>
            <w:pPr>
              <w:pStyle w:val="Compact"/>
              <w:jc w:val="left"/>
            </w:pPr>
            <w:r>
              <w:t xml:space="preserve">Klinikaufenthalt 8,6 statt 10,8 Tage</w:t>
            </w:r>
          </w:p>
        </w:tc>
      </w:tr>
    </w:tbl>
    <w:p>
      <w:pPr>
        <w:pStyle w:val="BodyText"/>
      </w:pPr>
      <w:r>
        <w:t xml:space="preserve">Das Bild ist ernüchternd: Die größte und methodisch stärkste Studie – eine Phase-3-Studie mit 185 Krebspatientinnen und -patienten – fand keinen Schutz vor chemotherapiebedingten Nervenschäden; bei einzelnen Nebenzielen schnitt Placebo sogar besser ab</w:t>
      </w:r>
      <w:r>
        <w:rPr>
          <w:rStyle w:val="FootnoteReference"/>
        </w:rPr>
        <w:footnoteReference w:id="1930"/>
      </w:r>
      <w:r>
        <w:t xml:space="preserve">. Bei Parkinson war Glutathion weder als Infusion</w:t>
      </w:r>
      <w:r>
        <w:rPr>
          <w:rStyle w:val="FootnoteReference"/>
        </w:rPr>
        <w:footnoteReference w:id="1931"/>
      </w:r>
      <w:r>
        <w:t xml:space="preserve"> </w:t>
      </w:r>
      <w:r>
        <w:t xml:space="preserve">noch als Nasenspray besser als Placebo; in der Nasenspray-Studie entwickelte eine Person unter der höheren Dosis eine Herzmuskelerkrankung</w:t>
      </w:r>
      <w:r>
        <w:rPr>
          <w:rStyle w:val="FootnoteReference"/>
        </w:rPr>
        <w:footnoteReference w:id="1932"/>
      </w:r>
      <w:r>
        <w:t xml:space="preserve">. Bei Kindern mit Mukoviszidose blieb das Wachstum unbeeinflusst</w:t>
      </w:r>
      <w:r>
        <w:rPr>
          <w:rStyle w:val="FootnoteReference"/>
        </w:rPr>
        <w:footnoteReference w:id="1933"/>
      </w:r>
      <w:r>
        <w:t xml:space="preserve">.</w:t>
      </w:r>
    </w:p>
    <w:p>
      <w:pPr>
        <w:pStyle w:val="BodyText"/>
      </w:pPr>
      <w:r>
        <w:t xml:space="preserve">Positive Signale stammen aus kleinen Studien: Bei 20 übergewichtigen Männern verbesserte sich nach drei Wochen die Insulinempfindlichkeit</w:t>
      </w:r>
      <w:r>
        <w:rPr>
          <w:rStyle w:val="FootnoteReference"/>
        </w:rPr>
        <w:footnoteReference w:id="1934"/>
      </w:r>
      <w:r>
        <w:t xml:space="preserve">; bei Fettleber sanken in einer unkontrollierten Studie die Leberwerte</w:t>
      </w:r>
      <w:r>
        <w:rPr>
          <w:rStyle w:val="FootnoteReference"/>
        </w:rPr>
        <w:footnoteReference w:id="1935"/>
      </w:r>
      <w:r>
        <w:t xml:space="preserve">; nach Herzinfarkt war die Klinikverweildauer in einer Nachauswertung kürzer</w:t>
      </w:r>
      <w:r>
        <w:rPr>
          <w:rStyle w:val="FootnoteReference"/>
        </w:rPr>
        <w:footnoteReference w:id="1936"/>
      </w:r>
      <w:r>
        <w:t xml:space="preserve">. Keiner dieser Befunde ist bisher in einer größeren Studie bestätigt.</w:t>
      </w:r>
    </w:p>
    <w:bookmarkEnd w:id="1937"/>
    <w:bookmarkStart w:id="1944" w:name="hautaufhellung-oral-örtlich-intravenös"/>
    <w:p>
      <w:pPr>
        <w:pStyle w:val="Heading4"/>
      </w:pPr>
      <w:r>
        <w:t xml:space="preserve">Hautaufhellung: oral, örtlich, intravenös</w:t>
      </w:r>
    </w:p>
    <w:p>
      <w:pPr>
        <w:pStyle w:val="FirstParagraph"/>
      </w:pPr>
      <w:r>
        <w:t xml:space="preserve">In Teilen Asiens, Afrikas und zunehmend auch in Europa wird Glutathion vor allem als „Hautaufheller“ vermarktet – in Kapseln, Cremes und in Form von Infusionen in Schönheitskliniken.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Arjinpathana 2012, PMID 20524875</w:t>
            </w:r>
          </w:p>
        </w:tc>
        <w:tc>
          <w:tcPr/>
          <w:p>
            <w:pPr>
              <w:pStyle w:val="Compact"/>
              <w:jc w:val="left"/>
            </w:pPr>
            <w:r>
              <w:t xml:space="preserve">60 Medizinstudierende in Thailand, Kapseln gegen Placebo</w:t>
            </w:r>
          </w:p>
        </w:tc>
        <w:tc>
          <w:tcPr/>
          <w:p>
            <w:pPr>
              <w:pStyle w:val="Compact"/>
              <w:jc w:val="left"/>
            </w:pPr>
            <w:r>
              <w:t xml:space="preserve">4 Wochen</w:t>
            </w:r>
          </w:p>
        </w:tc>
        <w:tc>
          <w:tcPr/>
          <w:p>
            <w:pPr>
              <w:pStyle w:val="Compact"/>
              <w:jc w:val="left"/>
            </w:pPr>
            <w:r>
              <w:t xml:space="preserve">Melanin-Index an 2 von 6 Messstellen stärker gesenkt</w:t>
            </w:r>
          </w:p>
        </w:tc>
      </w:tr>
      <w:tr>
        <w:tc>
          <w:tcPr/>
          <w:p>
            <w:pPr>
              <w:pStyle w:val="Compact"/>
              <w:jc w:val="left"/>
            </w:pPr>
            <w:r>
              <w:t xml:space="preserve">Weschawalit 2017, PMID 28490897</w:t>
            </w:r>
          </w:p>
        </w:tc>
        <w:tc>
          <w:tcPr/>
          <w:p>
            <w:pPr>
              <w:pStyle w:val="Compact"/>
              <w:jc w:val="left"/>
            </w:pPr>
            <w:r>
              <w:t xml:space="preserve">gesunde Frauen, reduziertes oder oxidiertes Glutathion gegen Placebo</w:t>
            </w:r>
          </w:p>
        </w:tc>
        <w:tc>
          <w:tcPr/>
          <w:p>
            <w:pPr>
              <w:pStyle w:val="Compact"/>
              <w:jc w:val="left"/>
            </w:pPr>
            <w:r>
              <w:t xml:space="preserve">12 Wochen</w:t>
            </w:r>
          </w:p>
        </w:tc>
        <w:tc>
          <w:tcPr/>
          <w:p>
            <w:pPr>
              <w:pStyle w:val="Compact"/>
              <w:jc w:val="left"/>
            </w:pPr>
            <w:r>
              <w:t xml:space="preserve">Melanin-Index tendenziell niedriger; teils weniger Falten</w:t>
            </w:r>
          </w:p>
        </w:tc>
      </w:tr>
      <w:tr>
        <w:tc>
          <w:tcPr/>
          <w:p>
            <w:pPr>
              <w:pStyle w:val="Compact"/>
              <w:jc w:val="left"/>
            </w:pPr>
            <w:r>
              <w:t xml:space="preserve">Handog 2016, PMID 26148180</w:t>
            </w:r>
          </w:p>
        </w:tc>
        <w:tc>
          <w:tcPr/>
          <w:p>
            <w:pPr>
              <w:pStyle w:val="Compact"/>
              <w:jc w:val="left"/>
            </w:pPr>
            <w:r>
              <w:t xml:space="preserve">30 Frauen auf den Philippinen, Lutschtablette, ohne Kontrollgruppe</w:t>
            </w:r>
          </w:p>
        </w:tc>
        <w:tc>
          <w:tcPr/>
          <w:p>
            <w:pPr>
              <w:pStyle w:val="Compact"/>
              <w:jc w:val="left"/>
            </w:pPr>
            <w:r>
              <w:t xml:space="preserve">8 Wochen</w:t>
            </w:r>
          </w:p>
        </w:tc>
        <w:tc>
          <w:tcPr/>
          <w:p>
            <w:pPr>
              <w:pStyle w:val="Compact"/>
              <w:jc w:val="left"/>
            </w:pPr>
            <w:r>
              <w:t xml:space="preserve">Melanin-Index gesunken</w:t>
            </w:r>
          </w:p>
        </w:tc>
      </w:tr>
      <w:tr>
        <w:tc>
          <w:tcPr/>
          <w:p>
            <w:pPr>
              <w:pStyle w:val="Compact"/>
              <w:jc w:val="left"/>
            </w:pPr>
            <w:r>
              <w:t xml:space="preserve">Wahab 2021, PMID 33871071</w:t>
            </w:r>
          </w:p>
        </w:tc>
        <w:tc>
          <w:tcPr/>
          <w:p>
            <w:pPr>
              <w:pStyle w:val="Compact"/>
              <w:jc w:val="left"/>
            </w:pPr>
            <w:r>
              <w:t xml:space="preserve">46 Personen, Kombination Creme und Kapsel gegen Placebo</w:t>
            </w:r>
          </w:p>
        </w:tc>
        <w:tc>
          <w:tcPr/>
          <w:p>
            <w:pPr>
              <w:pStyle w:val="Compact"/>
              <w:jc w:val="left"/>
            </w:pPr>
            <w:r>
              <w:t xml:space="preserve">8 Wochen</w:t>
            </w:r>
          </w:p>
        </w:tc>
        <w:tc>
          <w:tcPr/>
          <w:p>
            <w:pPr>
              <w:pStyle w:val="Compact"/>
              <w:jc w:val="left"/>
            </w:pPr>
            <w:r>
              <w:t xml:space="preserve">Kombination möglicherweise wirksamer als Einzelanwendung</w:t>
            </w:r>
          </w:p>
        </w:tc>
      </w:tr>
    </w:tbl>
    <w:p>
      <w:pPr>
        <w:pStyle w:val="BodyText"/>
      </w:pPr>
      <w:r>
        <w:rPr>
          <w:bCs/>
          <w:b/>
        </w:rPr>
        <w:t xml:space="preserve">Oral und örtlich:</w:t>
      </w:r>
      <w:r>
        <w:t xml:space="preserve"> </w:t>
      </w:r>
      <w:r>
        <w:t xml:space="preserve">Mehrere kleine randomisierte Studien zeigen eine leichte Aufhellung, vor allem an sonnenexponierten Stellen. In der ersten Studie war der Effekt nur an zwei von sechs Messstellen statistisch signifikant</w:t>
      </w:r>
      <w:r>
        <w:rPr>
          <w:rStyle w:val="FootnoteReference"/>
        </w:rPr>
        <w:footnoteReference w:id="1938"/>
      </w:r>
      <w:r>
        <w:t xml:space="preserve">. Eine systematische Übersicht kam 2019 zu dem Schluss, die Belege seien wegen Studienqualität und widersprüchlicher Befunde „noch nicht eindeutig“</w:t>
      </w:r>
      <w:r>
        <w:rPr>
          <w:rStyle w:val="FootnoteReference"/>
        </w:rPr>
        <w:footnoteReference w:id="1939"/>
      </w:r>
      <w:r>
        <w:t xml:space="preserve">. Eine neuere Übersicht bewertet Cremes und Kapseln als mäßig wirksam, mit Effekten, die nach dem Absetzen nicht anhalten</w:t>
      </w:r>
      <w:r>
        <w:rPr>
          <w:rStyle w:val="FootnoteReference"/>
        </w:rPr>
        <w:footnoteReference w:id="1940"/>
      </w:r>
      <w:r>
        <w:t xml:space="preserve">.</w:t>
      </w:r>
    </w:p>
    <w:p>
      <w:pPr>
        <w:pStyle w:val="BodyText"/>
      </w:pPr>
      <w:r>
        <w:rPr>
          <w:bCs/>
          <w:b/>
        </w:rPr>
        <w:t xml:space="preserve">Intravenös:</w:t>
      </w:r>
      <w:r>
        <w:t xml:space="preserve"> </w:t>
      </w:r>
      <w:r>
        <w:t xml:space="preserve">Für Infusionen zur Hautaufhellung gibt es laut derselben Übersicht nur eine placebokontrollierte Studie, die keinen signifikanten Unterschied fand (37,5 % gegenüber 18,7 %, p = 0,054). Die Autorinnen und Autoren halten intravenöses Glutathion zur Hautaufhellung wegen fehlender Wirksamkeit und Nebenwirkungen für</w:t>
      </w:r>
      <w:r>
        <w:t xml:space="preserve"> </w:t>
      </w:r>
      <w:r>
        <w:rPr>
          <w:bCs/>
          <w:b/>
        </w:rPr>
        <w:t xml:space="preserve">kontraindiziert</w:t>
      </w:r>
      <w:r>
        <w:t xml:space="preserve">, also nicht vertretbar</w:t>
      </w:r>
      <w:r>
        <w:rPr>
          <w:rStyle w:val="FootnoteReference"/>
        </w:rPr>
        <w:footnoteReference w:id="1941"/>
      </w:r>
      <w:r>
        <w:t xml:space="preserve">. Eine südafrikanische Übersicht fand keine einzige Studie zur Sicherheit wiederholter Infusionen bei irgendeiner Anwendung</w:t>
      </w:r>
      <w:r>
        <w:rPr>
          <w:rStyle w:val="FootnoteReference"/>
        </w:rPr>
        <w:footnoteReference w:id="1942"/>
      </w:r>
      <w:r>
        <w:t xml:space="preserve">. Im British Medical Journal wurde die Praxis als „unethisches Bleichen“ kritisiert</w:t>
      </w:r>
      <w:r>
        <w:rPr>
          <w:rStyle w:val="FootnoteReference"/>
        </w:rPr>
        <w:footnoteReference w:id="1943"/>
      </w:r>
      <w:r>
        <w:t xml:space="preserve">.</w:t>
      </w:r>
    </w:p>
    <w:bookmarkEnd w:id="1944"/>
    <w:bookmarkEnd w:id="1945"/>
    <w:bookmarkStart w:id="1946" w:name="tier--und-laborstudien-45"/>
    <w:p>
      <w:pPr>
        <w:pStyle w:val="Heading3"/>
      </w:pPr>
      <w:r>
        <w:t xml:space="preserve">Tier- und Laborstudien</w:t>
      </w:r>
    </w:p>
    <w:p>
      <w:pPr>
        <w:pStyle w:val="FirstParagraph"/>
      </w:pPr>
      <w:r>
        <w:t xml:space="preserve">Die Laborforschung zu Glutathion ist enorm umfangreich und betrifft fast jeden Bereich der Zellbiologie. Für dieses Buch relevant ist vor allem, dass in Zell- und Tierversuchen Glutathion bzw. seine Vorstufen vor oxidativen Schäden, Medikamentengiftigkeit und Entzündungsreaktionen schützen konnten – Effekte, die sich in den klinischen Studien am Menschen nur teilweise und meist schwach wiederfinden.</w:t>
      </w:r>
    </w:p>
    <w:bookmarkEnd w:id="1946"/>
    <w:bookmarkStart w:id="1950" w:name="risiken-und-nebenwirkungen-45"/>
    <w:p>
      <w:pPr>
        <w:pStyle w:val="Heading3"/>
      </w:pPr>
      <w:r>
        <w:t xml:space="preserve">Risiken und Nebenwirkungen</w:t>
      </w:r>
    </w:p>
    <w:p>
      <w:pPr>
        <w:pStyle w:val="FirstParagraph"/>
      </w:pPr>
      <w:r>
        <w:rPr>
          <w:bCs/>
          <w:b/>
        </w:rPr>
        <w:t xml:space="preserve">Orale Einnahme:</w:t>
      </w:r>
      <w:r>
        <w:t xml:space="preserve"> </w:t>
      </w:r>
      <w:r>
        <w:t xml:space="preserve">In den Studien gut verträglich; berichtet werden vereinzelt Magen-Darm-Beschwerden. Langzeitdaten über mehr als sechs Monate fehlen weitgehend.</w:t>
      </w:r>
    </w:p>
    <w:p>
      <w:pPr>
        <w:pStyle w:val="BodyText"/>
      </w:pPr>
      <w:r>
        <w:rPr>
          <w:bCs/>
          <w:b/>
        </w:rPr>
        <w:t xml:space="preserve">Nasenspray:</w:t>
      </w:r>
      <w:r>
        <w:t xml:space="preserve"> </w:t>
      </w:r>
      <w:r>
        <w:t xml:space="preserve">In einer Parkinson-Studie trat bei einer Person unter der höheren Dosis eine Herzmuskelerkrankung auf; ein Zusammenhang ist nicht belegt</w:t>
      </w:r>
      <w:r>
        <w:rPr>
          <w:rStyle w:val="FootnoteReference"/>
        </w:rPr>
        <w:footnoteReference w:id="1947"/>
      </w:r>
      <w:r>
        <w:t xml:space="preserve">.</w:t>
      </w:r>
    </w:p>
    <w:p>
      <w:pPr>
        <w:pStyle w:val="BodyText"/>
      </w:pPr>
      <w:r>
        <w:rPr>
          <w:bCs/>
          <w:b/>
        </w:rPr>
        <w:t xml:space="preserve">Infusionen – die eigentlichen Risiken:</w:t>
      </w:r>
    </w:p>
    <w:p>
      <w:pPr>
        <w:numPr>
          <w:ilvl w:val="0"/>
          <w:numId w:val="1247"/>
        </w:numPr>
        <w:pStyle w:val="Compact"/>
      </w:pPr>
      <w:r>
        <w:rPr>
          <w:bCs/>
          <w:b/>
        </w:rPr>
        <w:t xml:space="preserve">Verunreinigte Rezepturen:</w:t>
      </w:r>
      <w:r>
        <w:t xml:space="preserve"> </w:t>
      </w:r>
      <w:r>
        <w:t xml:space="preserve">Die US-Arzneimittelbehörde FDA warnte 2019 Apotheken davor, Glutathion eines bestimmten Großhändlers für Infusionen zu verwenden, nachdem Patientinnen und Patienten nach Infusionen Übelkeit, Erbrechen und Atemnot entwickelt hatten und erhöhte Endotoxin-Werte (Bestandteile von Bakterien, die Fieber und Schock auslösen können) gemessen wurden. Im August 2026 forderte die FDA Apotheken erneut auf, kein Glutathion in Nahrungsergänzungsmittel-Qualität für Injektionen zu verwenden; nach Infusionen aus einer bestimmten Charge war es zu Fieber, Schüttelfrost, schockähnlichen Zuständen und Krankenhausaufnahmen gekommen.</w:t>
      </w:r>
    </w:p>
    <w:p>
      <w:pPr>
        <w:numPr>
          <w:ilvl w:val="0"/>
          <w:numId w:val="1247"/>
        </w:numPr>
        <w:pStyle w:val="Compact"/>
      </w:pPr>
      <w:r>
        <w:rPr>
          <w:bCs/>
          <w:b/>
        </w:rPr>
        <w:t xml:space="preserve">Behördenwarnungen zur Hautaufhellung:</w:t>
      </w:r>
      <w:r>
        <w:t xml:space="preserve"> </w:t>
      </w:r>
      <w:r>
        <w:t xml:space="preserve">Die philippinische Arzneimittelbehörde warnte 2011 und 2019 vor Glutathion-Injektionen zur Hautaufhellung; sie nannte Nebenwirkungen von Hautausschlägen bis zu den lebensbedrohlichen Hautreaktionen Stevens-Johnson-Syndrom und toxische epidermale Nekrolyse sowie Risiken durch unsachgemäße Injektionen wie Blutvergiftung und Infektionsübertragung. Auch die US-FDA warnte Verbraucherinnen und Verbraucher, dass keine Injektionspräparate zur Hautaufhellung zugelassen sind und solche Produkte unbekannte, schädliche Bestandteile enthalten können.</w:t>
      </w:r>
    </w:p>
    <w:p>
      <w:pPr>
        <w:numPr>
          <w:ilvl w:val="0"/>
          <w:numId w:val="1247"/>
        </w:numPr>
        <w:pStyle w:val="Compact"/>
      </w:pPr>
      <w:r>
        <w:rPr>
          <w:bCs/>
          <w:b/>
        </w:rPr>
        <w:t xml:space="preserve">Hautkrebs (theoretisch):</w:t>
      </w:r>
      <w:r>
        <w:t xml:space="preserve"> </w:t>
      </w:r>
      <w:r>
        <w:t xml:space="preserve">Die Verschiebung von dunklem zu hellem Melanin könnte den natürlichen Sonnenschutz der Haut verringern</w:t>
      </w:r>
      <w:r>
        <w:rPr>
          <w:rStyle w:val="FootnoteReference"/>
        </w:rPr>
        <w:footnoteReference w:id="1948"/>
      </w:r>
      <w:r>
        <w:t xml:space="preserve">.</w:t>
      </w:r>
    </w:p>
    <w:p>
      <w:pPr>
        <w:pStyle w:val="FirstParagraph"/>
      </w:pPr>
      <w:r>
        <w:rPr>
          <w:bCs/>
          <w:b/>
        </w:rPr>
        <w:t xml:space="preserve">Wechselwirkungen:</w:t>
      </w:r>
      <w:r>
        <w:t xml:space="preserve"> </w:t>
      </w:r>
      <w:r>
        <w:t xml:space="preserve">In einer Krebsstudie wurde Glutathion vor der Chemotherapie gegeben; die Zeit bis zum Fortschreiten der Erkrankung unterschied sich dort nicht von Placebo</w:t>
      </w:r>
      <w:r>
        <w:rPr>
          <w:rStyle w:val="FootnoteReference"/>
        </w:rPr>
        <w:footnoteReference w:id="1949"/>
      </w:r>
      <w:r>
        <w:t xml:space="preserve">. Grundsätzlich wird diskutiert, ob Antioxidantien die Wirkung mancher Krebstherapien abschwächen könnten. Wer in Krebsbehandlung ist, sollte Glutathion nur nach Rücksprache mit dem Behandlungsteam einnehmen.</w:t>
      </w:r>
    </w:p>
    <w:bookmarkEnd w:id="1950"/>
    <w:bookmarkStart w:id="1951" w:name="rechtslage-45"/>
    <w:p>
      <w:pPr>
        <w:pStyle w:val="Heading3"/>
      </w:pPr>
      <w:r>
        <w:t xml:space="preserve">Rechtslage</w:t>
      </w:r>
    </w:p>
    <w:p>
      <w:pPr>
        <w:numPr>
          <w:ilvl w:val="0"/>
          <w:numId w:val="1248"/>
        </w:numPr>
        <w:pStyle w:val="Compact"/>
      </w:pPr>
      <w:r>
        <w:rPr>
          <w:bCs/>
          <w:b/>
        </w:rPr>
        <w:t xml:space="preserve">EU / Österreich / Deutschland:</w:t>
      </w:r>
      <w:r>
        <w:t xml:space="preserve"> </w:t>
      </w:r>
      <w:r>
        <w:t xml:space="preserve">Glutathion wird als Nahrungsergänzungsmittel in Kapseln und Pulvern verkauft; Gesundheitsversprechen in der Werbung sind ohne zugelassene Health Claims nicht erlaubt. Infusionen und Injektionen sind Arzneimittel; Präparate zur Hautaufhellung per Infusion sind nicht zugelassen. In einzelnen Ländern (nach unserem Kenntnisstand etwa Italien) gibt es zugelassene Glutathion-Injektionen für spezielle medizinische Anwendungen; Details bitte der jeweiligen Fachinformation entnehmen.</w:t>
      </w:r>
    </w:p>
    <w:p>
      <w:pPr>
        <w:numPr>
          <w:ilvl w:val="0"/>
          <w:numId w:val="1248"/>
        </w:numPr>
        <w:pStyle w:val="Compact"/>
      </w:pPr>
      <w:r>
        <w:rPr>
          <w:bCs/>
          <w:b/>
        </w:rPr>
        <w:t xml:space="preserve">USA:</w:t>
      </w:r>
      <w:r>
        <w:t xml:space="preserve"> </w:t>
      </w:r>
      <w:r>
        <w:t xml:space="preserve">kein zugelassenes Glutathion-Arzneimittel; Nahrungsergänzungsmittel sind erlaubt, Infusionen werden als Apotheken-Rezeptur hergestellt und unterliegen den FDA-Vorgaben für sterile Zubereitungen.</w:t>
      </w:r>
    </w:p>
    <w:p>
      <w:pPr>
        <w:numPr>
          <w:ilvl w:val="0"/>
          <w:numId w:val="1248"/>
        </w:numPr>
        <w:pStyle w:val="Compact"/>
      </w:pPr>
      <w:r>
        <w:rPr>
          <w:bCs/>
          <w:b/>
        </w:rPr>
        <w:t xml:space="preserve">Sport:</w:t>
      </w:r>
      <w:r>
        <w:t xml:space="preserve"> </w:t>
      </w:r>
      <w:r>
        <w:t xml:space="preserve">Glutathion ist nicht verboten; Infusionen über 100 ml in zwölf Stunden fallen außerhalb von Klinikbehandlungen unter WADA-Methode M2 (Stand 2026, bitte aktuell prüfen).</w:t>
      </w:r>
    </w:p>
    <w:bookmarkEnd w:id="1951"/>
    <w:bookmarkStart w:id="1953" w:name="laufende-studien-und-ausblick-45"/>
    <w:p>
      <w:pPr>
        <w:pStyle w:val="Heading3"/>
      </w:pPr>
      <w:r>
        <w:t xml:space="preserve">Laufende Studien und Ausblick</w:t>
      </w:r>
    </w:p>
    <w:p>
      <w:pPr>
        <w:pStyle w:val="FirstParagraph"/>
      </w:pPr>
      <w:r>
        <w:rPr>
          <w:bCs/>
          <w:b/>
        </w:rPr>
        <w:t xml:space="preserve">Gesichert (registrierte Studien, Stand Oktober 2026):</w:t>
      </w:r>
    </w:p>
    <w:p>
      <w:pPr>
        <w:numPr>
          <w:ilvl w:val="0"/>
          <w:numId w:val="1249"/>
        </w:numPr>
        <w:pStyle w:val="Compact"/>
      </w:pPr>
      <w:r>
        <w:t xml:space="preserve">Eine Phase-1-Studie in China prüft Glutathion zusätzlich zu Immuntherapie und Chemotherapie bei fortgeschrittenem Lungenkrebs (NCT06896422, 80 geplante Teilnehmende).</w:t>
      </w:r>
    </w:p>
    <w:p>
      <w:pPr>
        <w:numPr>
          <w:ilvl w:val="0"/>
          <w:numId w:val="1249"/>
        </w:numPr>
        <w:pStyle w:val="Compact"/>
      </w:pPr>
      <w:r>
        <w:t xml:space="preserve">Eine Studie zu Glutathion-unterstütztem Microneedling bei Melasma (Pigmentflecken) ist registriert</w:t>
      </w:r>
      <w:r>
        <w:rPr>
          <w:rStyle w:val="FootnoteReference"/>
        </w:rPr>
        <w:footnoteReference w:id="1952"/>
      </w:r>
      <w:r>
        <w:t xml:space="preserve">.</w:t>
      </w:r>
    </w:p>
    <w:p>
      <w:pPr>
        <w:numPr>
          <w:ilvl w:val="0"/>
          <w:numId w:val="1249"/>
        </w:numPr>
        <w:pStyle w:val="Compact"/>
      </w:pPr>
      <w:r>
        <w:t xml:space="preserve">Mehrere kleine Studien untersuchen neue Darreichungsformen (liposomal, mizellar) und Sporterholung, häufig von Herstellern finanziert.</w:t>
      </w:r>
    </w:p>
    <w:p>
      <w:pPr>
        <w:pStyle w:val="FirstParagraph"/>
      </w:pPr>
      <w:r>
        <w:rPr>
          <w:bCs/>
          <w:b/>
        </w:rPr>
        <w:t xml:space="preserve">Einschätzung:</w:t>
      </w:r>
      <w:r>
        <w:t xml:space="preserve"> </w:t>
      </w:r>
      <w:r>
        <w:t xml:space="preserve">Die wichtigste offene Frage ist nicht mehr, ob Glutathion aufgenommen wird, sondern ob höhere Spiegel klinisch etwas bringen. Die bisherigen großen Studien sprechen eher dagegen. Bei Infusionen zur Hautaufhellung oder als „Wellness“-Drip übersteigen die Risiken einen nicht belegten Nutzen.</w:t>
      </w:r>
    </w:p>
    <w:bookmarkEnd w:id="1953"/>
    <w:bookmarkStart w:id="1954" w:name="fazit-45"/>
    <w:p>
      <w:pPr>
        <w:pStyle w:val="Heading3"/>
      </w:pPr>
      <w:r>
        <w:t xml:space="preserve">Fazit</w:t>
      </w:r>
    </w:p>
    <w:p>
      <w:pPr>
        <w:pStyle w:val="FirstParagraph"/>
      </w:pPr>
      <w:r>
        <w:t xml:space="preserve">Glutathion ist das wichtigste körpereigene Schutzpeptid gegen Oxidation; als Kapsel eingenommen kann es die Blutspiegel bei längerer Einnahme messbar erhöhen. Klinisch zeigten die größeren Studien jedoch keinen Nutzen – weder gegen chemotherapiebedingte Nervenschäden noch bei Parkinson oder Mukoviszidose; positive Hinweise stammen aus kleinen Studien. Kapseln und Cremes hellten die Haut in kleinen Studien leicht und vorübergehend auf. Infusionen zur Hautaufhellung sind nicht belegt wirksam, nicht zugelassen und wurden von mehreren Behörden wegen schwerer Nebenwirkungen und verunreinigter Präparate ausdrücklich gewarnt.</w:t>
      </w:r>
    </w:p>
    <w:bookmarkEnd w:id="1954"/>
    <w:bookmarkEnd w:id="1955"/>
    <w:bookmarkEnd w:id="1956"/>
    <w:bookmarkStart w:id="2312"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1959"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50"/>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50"/>
        </w:numPr>
        <w:pStyle w:val="Compact"/>
      </w:pPr>
      <w:r>
        <w:rPr>
          <w:bCs/>
          <w:b/>
        </w:rPr>
        <w:t xml:space="preserve">MC2R</w:t>
      </w:r>
      <w:r>
        <w:t xml:space="preserve"> </w:t>
      </w:r>
      <w:r>
        <w:t xml:space="preserve">in der Nebenniere ist der Rezeptor für ACTH und regelt die Cortisolbildung.</w:t>
      </w:r>
    </w:p>
    <w:p>
      <w:pPr>
        <w:numPr>
          <w:ilvl w:val="0"/>
          <w:numId w:val="1250"/>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50"/>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w:t>
      </w:r>
      <w:r>
        <w:rPr>
          <w:rStyle w:val="FootnoteReference"/>
        </w:rPr>
        <w:footnoteReference w:id="1957"/>
      </w:r>
      <w:r>
        <w:t xml:space="preserve">. Bei Versuchen mit Melanotan II berichteten Männer über spontane Erektionen – die Entdeckung, dass Melanocortine im Gehirn die Sexualfunktion beeinflussen</w:t>
      </w:r>
      <w:r>
        <w:rPr>
          <w:rStyle w:val="FootnoteReference"/>
        </w:rPr>
        <w:footnoteReference w:id="1958"/>
      </w:r>
      <w:r>
        <w:t xml:space="preserve">.</w:t>
      </w:r>
    </w:p>
    <w:p>
      <w:pPr>
        <w:pStyle w:val="BodyText"/>
      </w:pPr>
      <w:r>
        <w:t xml:space="preserve">Aus diesen Anfängen entstanden drei Wege:</w:t>
      </w:r>
    </w:p>
    <w:p>
      <w:pPr>
        <w:numPr>
          <w:ilvl w:val="0"/>
          <w:numId w:val="1251"/>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51"/>
        </w:numPr>
        <w:pStyle w:val="Compact"/>
      </w:pPr>
      <w:r>
        <w:rPr>
          <w:bCs/>
          <w:b/>
        </w:rPr>
        <w:t xml:space="preserve">Melanotan II</w:t>
      </w:r>
      <w:r>
        <w:t xml:space="preserve"> </w:t>
      </w:r>
      <w:r>
        <w:t xml:space="preserve">wurde nie zugelassen, ist aber als „Bräunungsspritze“ auf dem Graumarkt verbreitet.</w:t>
      </w:r>
    </w:p>
    <w:p>
      <w:pPr>
        <w:numPr>
          <w:ilvl w:val="0"/>
          <w:numId w:val="1251"/>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1959"/>
    <w:bookmarkStart w:id="1960"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1960"/>
    <w:bookmarkStart w:id="1961"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1961"/>
    <w:bookmarkStart w:id="1962" w:name="lesehinweis-4"/>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1962"/>
    <w:bookmarkStart w:id="2019" w:name="bremelanotid-pt-141"/>
    <w:p>
      <w:pPr>
        <w:pStyle w:val="Heading2"/>
      </w:pPr>
      <w:r>
        <w:t xml:space="preserve">Bremelanotid (PT-141)</w:t>
      </w:r>
    </w:p>
    <w:bookmarkStart w:id="1965" w:name="steckbrief-46"/>
    <w:p>
      <w:pPr>
        <w:pStyle w:val="Heading3"/>
      </w:pPr>
      <w:r>
        <w:t xml:space="preserve">Steckbrief</w:t>
      </w:r>
    </w:p>
    <w:p>
      <w:pPr>
        <w:numPr>
          <w:ilvl w:val="0"/>
          <w:numId w:val="1252"/>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52"/>
        </w:numPr>
        <w:pStyle w:val="Compact"/>
      </w:pPr>
      <w:r>
        <w:rPr>
          <w:bCs/>
          <w:b/>
        </w:rPr>
        <w:t xml:space="preserve">Herkunft:</w:t>
      </w:r>
      <w:r>
        <w:t xml:space="preserve"> </w:t>
      </w:r>
      <w:r>
        <w:t xml:space="preserve">entstanden aus der Entwicklung von Melanotan II an der Universität von Arizona; weiterentwickelt von der Firma Palatin Technologies</w:t>
      </w:r>
      <w:r>
        <w:rPr>
          <w:rStyle w:val="FootnoteReference"/>
        </w:rPr>
        <w:footnoteReference w:id="1963"/>
      </w:r>
      <w:r>
        <w:t xml:space="preserve">.</w:t>
      </w:r>
    </w:p>
    <w:p>
      <w:pPr>
        <w:numPr>
          <w:ilvl w:val="0"/>
          <w:numId w:val="1252"/>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52"/>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52"/>
        </w:numPr>
        <w:pStyle w:val="Compact"/>
      </w:pPr>
      <w:r>
        <w:rPr>
          <w:bCs/>
          <w:b/>
        </w:rPr>
        <w:t xml:space="preserve">Zulassung EU:</w:t>
      </w:r>
      <w:r>
        <w:t xml:space="preserve"> </w:t>
      </w:r>
      <w:r>
        <w:t xml:space="preserve">nein.</w:t>
      </w:r>
    </w:p>
    <w:p>
      <w:pPr>
        <w:numPr>
          <w:ilvl w:val="0"/>
          <w:numId w:val="1252"/>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w:t>
      </w:r>
      <w:r>
        <w:rPr>
          <w:rStyle w:val="FootnoteReference"/>
        </w:rPr>
        <w:footnoteReference w:id="1964"/>
      </w:r>
      <w:r>
        <w:t xml:space="preserve">. Anwendung nur nach ärztlicher Verordnung und gemäß Fachinformation.</w:t>
      </w:r>
    </w:p>
    <w:p>
      <w:pPr>
        <w:numPr>
          <w:ilvl w:val="0"/>
          <w:numId w:val="1252"/>
        </w:numPr>
        <w:pStyle w:val="Compact"/>
      </w:pPr>
      <w:r>
        <w:rPr>
          <w:bCs/>
          <w:b/>
        </w:rPr>
        <w:t xml:space="preserve">WADA:</w:t>
      </w:r>
      <w:r>
        <w:t xml:space="preserve"> </w:t>
      </w:r>
      <w:r>
        <w:t xml:space="preserve">nicht namentlich gelistet.</w:t>
      </w:r>
    </w:p>
    <w:p>
      <w:pPr>
        <w:numPr>
          <w:ilvl w:val="0"/>
          <w:numId w:val="1252"/>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1965"/>
    <w:bookmarkStart w:id="1970" w:name="wie-es-wirken-soll-46"/>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w:t>
      </w:r>
      <w:r>
        <w:rPr>
          <w:rStyle w:val="FootnoteReference"/>
        </w:rPr>
        <w:footnoteReference w:id="1966"/>
      </w:r>
      <w:r>
        <w:t xml:space="preserve">. Bremelanotid ist eine leicht abgewandelte Form dieses Moleküls. Es aktiviert mehrere Melanocortin-Rezeptoren, bei den eingesetzten Dosen ist aber MC4R der wichtigste</w:t>
      </w:r>
      <w:r>
        <w:rPr>
          <w:rStyle w:val="FootnoteReference"/>
        </w:rPr>
        <w:footnoteReference w:id="1967"/>
      </w:r>
      <w:r>
        <w:t xml:space="preserve">.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w:t>
      </w:r>
      <w:r>
        <w:rPr>
          <w:rStyle w:val="FootnoteReference"/>
        </w:rPr>
        <w:footnoteReference w:id="1968"/>
      </w:r>
      <w:r>
        <w:t xml:space="preserve">. Eine britische Studie mit funktioneller Magnetresonanztomografie (fMRT) bei 31 Frauen mit HSDD fand unter einem MC4R-Agonisten veränderte Aktivität in Hirnregionen, die erotische Reize verarbeiten</w:t>
      </w:r>
      <w:r>
        <w:rPr>
          <w:rStyle w:val="FootnoteReference"/>
        </w:rPr>
        <w:footnoteReference w:id="1969"/>
      </w:r>
      <w:r>
        <w:t xml:space="preserve">.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1970"/>
    <w:bookmarkStart w:id="1996"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1976"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w:t>
      </w:r>
      <w:r>
        <w:rPr>
          <w:rStyle w:val="FootnoteReference"/>
        </w:rPr>
        <w:footnoteReference w:id="1971"/>
      </w:r>
      <w:r>
        <w:t xml:space="preserve"> </w:t>
      </w:r>
      <w:r>
        <w:t xml:space="preserve">und Spritze</w:t>
      </w:r>
      <w:r>
        <w:rPr>
          <w:rStyle w:val="FootnoteReference"/>
        </w:rPr>
        <w:footnoteReference w:id="1972"/>
      </w:r>
      <w:r>
        <w:t xml:space="preserve"> </w:t>
      </w:r>
      <w:r>
        <w:t xml:space="preserve">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w:t>
      </w:r>
      <w:r>
        <w:rPr>
          <w:rStyle w:val="FootnoteReference"/>
        </w:rPr>
        <w:footnoteReference w:id="1973"/>
      </w:r>
      <w:r>
        <w:t xml:space="preserve">.</w:t>
      </w:r>
    </w:p>
    <w:p>
      <w:pPr>
        <w:pStyle w:val="BodyText"/>
      </w:pPr>
      <w:r>
        <w:t xml:space="preserve">Eine Studie mit 342 Männern, bei denen Sildenafil nicht gewirkt hatte, berichtete ein positives Ergebnis bei 33,5 % unter Bremelanotid-Nasenspray gegenüber 8,5 % unter Placebo</w:t>
      </w:r>
      <w:r>
        <w:rPr>
          <w:rStyle w:val="FootnoteReference"/>
        </w:rPr>
        <w:footnoteReference w:id="1974"/>
      </w:r>
      <w:r>
        <w:t xml:space="preserve">. Diese Arbeit sollte mit Vorsicht gelesen werden: Eine zweite Bremelanotid-Studie desselben Erstautors an Frauen wurde von der Fachzeitschrift zurückgezogen, weil Methoden und Ergebnisse nicht überprüfbar waren</w:t>
      </w:r>
      <w:r>
        <w:rPr>
          <w:rStyle w:val="FootnoteReference"/>
        </w:rPr>
        <w:footnoteReference w:id="1975"/>
      </w:r>
      <w:r>
        <w:t xml:space="preserve">;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1976"/>
    <w:bookmarkStart w:id="1980"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w:t>
      </w:r>
      <w:r>
        <w:rPr>
          <w:rStyle w:val="FootnoteReference"/>
        </w:rPr>
        <w:footnoteReference w:id="1977"/>
      </w:r>
      <w:r>
        <w:t xml:space="preserve">.</w:t>
      </w:r>
    </w:p>
    <w:p>
      <w:pPr>
        <w:pStyle w:val="BodyText"/>
      </w:pPr>
      <w:r>
        <w:t xml:space="preserve">Die entscheidende Phase-2b-Studie</w:t>
      </w:r>
      <w:r>
        <w:rPr>
          <w:rStyle w:val="FootnoteReference"/>
        </w:rPr>
        <w:footnoteReference w:id="1978"/>
      </w:r>
      <w:r>
        <w:t xml:space="preserve"> </w:t>
      </w:r>
      <w:r>
        <w:t xml:space="preserve">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w:t>
      </w:r>
      <w:r>
        <w:rPr>
          <w:rStyle w:val="FootnoteReference"/>
        </w:rPr>
        <w:footnoteReference w:id="1979"/>
      </w:r>
      <w:r>
        <w:t xml:space="preserve">.</w:t>
      </w:r>
    </w:p>
    <w:bookmarkEnd w:id="1980"/>
    <w:bookmarkStart w:id="1984"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w:t>
      </w:r>
      <w:r>
        <w:rPr>
          <w:rStyle w:val="FootnoteReference"/>
        </w:rPr>
        <w:footnoteReference w:id="1981"/>
      </w:r>
      <w:r>
        <w:t xml:space="preserve"> </w:t>
      </w:r>
      <w:r>
        <w:t xml:space="preserve">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w:t>
      </w:r>
      <w:r>
        <w:rPr>
          <w:rStyle w:val="FootnoteReference"/>
        </w:rPr>
        <w:footnoteReference w:id="1982"/>
      </w:r>
      <w:r>
        <w:t xml:space="preserve">.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w:t>
      </w:r>
      <w:r>
        <w:rPr>
          <w:rStyle w:val="FootnoteReference"/>
        </w:rPr>
        <w:footnoteReference w:id="1983"/>
      </w:r>
      <w:r>
        <w:t xml:space="preserve">.</w:t>
      </w:r>
    </w:p>
    <w:bookmarkEnd w:id="1984"/>
    <w:bookmarkStart w:id="1987"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w:t>
      </w:r>
      <w:r>
        <w:rPr>
          <w:rStyle w:val="FootnoteReference"/>
        </w:rPr>
        <w:footnoteReference w:id="1985"/>
      </w:r>
      <w:r>
        <w:t xml:space="preserve">. Der Autor bestätigt die kleinen Effekte, kritisiert aber, dass rund 73 % der im Studienprotokoll vorgesehenen Ergebnisse nicht veröffentlicht wurden. Zwei Befunde fehlten in der Hauptpublikation:</w:t>
      </w:r>
    </w:p>
    <w:p>
      <w:pPr>
        <w:numPr>
          <w:ilvl w:val="0"/>
          <w:numId w:val="1253"/>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53"/>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w:t>
      </w:r>
      <w:r>
        <w:rPr>
          <w:rStyle w:val="FootnoteReference"/>
        </w:rPr>
        <w:footnoteReference w:id="1986"/>
      </w:r>
      <w:r>
        <w:t xml:space="preserve">.</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1987"/>
    <w:bookmarkStart w:id="1991"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w:t>
      </w:r>
      <w:r>
        <w:rPr>
          <w:rStyle w:val="FootnoteReference"/>
        </w:rPr>
        <w:footnoteReference w:id="1988"/>
      </w:r>
      <w:r>
        <w:t xml:space="preserve">. Eine neuere Meta-Analyse bestätigt für Bremelanotid kleine Verbesserungen bei Verlangen und Erregung und eine Verringerung des Leidensdrucks, ohne Vergleich mit Psychotherapie</w:t>
      </w:r>
      <w:r>
        <w:rPr>
          <w:rStyle w:val="FootnoteReference"/>
        </w:rPr>
        <w:footnoteReference w:id="1989"/>
      </w:r>
      <w:r>
        <w:t xml:space="preserve">. Eine Übersicht der bei ClinicalTrials.gov abgeschlossenen Studien bemängelt uneinheitliche Zielgrößen und unvollständige Berichte</w:t>
      </w:r>
      <w:r>
        <w:rPr>
          <w:rStyle w:val="FootnoteReference"/>
        </w:rPr>
        <w:footnoteReference w:id="1990"/>
      </w:r>
      <w:r>
        <w:t xml:space="preserve">.</w:t>
      </w:r>
    </w:p>
    <w:bookmarkEnd w:id="1991"/>
    <w:bookmarkStart w:id="1995" w:name="weitere-fragestellungen"/>
    <w:p>
      <w:pPr>
        <w:pStyle w:val="Heading4"/>
      </w:pPr>
      <w:r>
        <w:t xml:space="preserve">Weitere Fragestellungen</w:t>
      </w:r>
    </w:p>
    <w:p>
      <w:pPr>
        <w:numPr>
          <w:ilvl w:val="0"/>
          <w:numId w:val="1254"/>
        </w:numPr>
        <w:pStyle w:val="Compact"/>
      </w:pPr>
      <w:r>
        <w:rPr>
          <w:bCs/>
          <w:b/>
        </w:rPr>
        <w:t xml:space="preserve">Alkohol:</w:t>
      </w:r>
      <w:r>
        <w:t xml:space="preserve"> </w:t>
      </w:r>
      <w:r>
        <w:t xml:space="preserve">In einer Phase-1-Studie mit 24 Gesunden traten bei gleichzeitigem Alkoholkonsum keine bedeutsamen Wechselwirkungen auf</w:t>
      </w:r>
      <w:r>
        <w:rPr>
          <w:rStyle w:val="FootnoteReference"/>
        </w:rPr>
        <w:footnoteReference w:id="1992"/>
      </w:r>
      <w:r>
        <w:t xml:space="preserve">.</w:t>
      </w:r>
    </w:p>
    <w:p>
      <w:pPr>
        <w:numPr>
          <w:ilvl w:val="0"/>
          <w:numId w:val="1254"/>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w:t>
      </w:r>
      <w:r>
        <w:rPr>
          <w:rStyle w:val="FootnoteReference"/>
        </w:rPr>
        <w:footnoteReference w:id="1993"/>
      </w:r>
      <w:r>
        <w:t xml:space="preserve">. Das sind Kurzzeitdaten ohne Aussage über eine Dauerbehandlung.</w:t>
      </w:r>
    </w:p>
    <w:p>
      <w:pPr>
        <w:numPr>
          <w:ilvl w:val="0"/>
          <w:numId w:val="1254"/>
        </w:numPr>
        <w:pStyle w:val="Compact"/>
      </w:pPr>
      <w:r>
        <w:rPr>
          <w:bCs/>
          <w:b/>
        </w:rPr>
        <w:t xml:space="preserve">Gehirn:</w:t>
      </w:r>
      <w:r>
        <w:t xml:space="preserve"> </w:t>
      </w:r>
      <w:r>
        <w:t xml:space="preserve">Die bereits erwähnte fMRT-Studie</w:t>
      </w:r>
      <w:r>
        <w:rPr>
          <w:rStyle w:val="FootnoteReference"/>
        </w:rPr>
        <w:footnoteReference w:id="1994"/>
      </w:r>
      <w:r>
        <w:t xml:space="preserve"> </w:t>
      </w:r>
      <w:r>
        <w:t xml:space="preserve">ist eine der wenigen Arbeiten, die nicht vom Hersteller geleitet wurden.</w:t>
      </w:r>
    </w:p>
    <w:bookmarkEnd w:id="1995"/>
    <w:bookmarkEnd w:id="1996"/>
    <w:bookmarkStart w:id="2000" w:name="tier--und-laborstudien-46"/>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w:t>
      </w:r>
      <w:r>
        <w:rPr>
          <w:rStyle w:val="FootnoteReference"/>
        </w:rPr>
        <w:footnoteReference w:id="1997"/>
      </w:r>
      <w:r>
        <w:t xml:space="preserve">.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w:t>
      </w:r>
      <w:r>
        <w:rPr>
          <w:rStyle w:val="FootnoteReference"/>
        </w:rPr>
        <w:footnoteReference w:id="1998"/>
      </w:r>
      <w:r>
        <w:t xml:space="preserve">.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w:t>
      </w:r>
      <w:r>
        <w:rPr>
          <w:rStyle w:val="FootnoteReference"/>
        </w:rPr>
        <w:footnoteReference w:id="1999"/>
      </w:r>
      <w:r>
        <w:t xml:space="preserve">. Das ist ein reiner Laborbefund ohne klinische Bedeutung.</w:t>
      </w:r>
    </w:p>
    <w:bookmarkEnd w:id="2000"/>
    <w:bookmarkStart w:id="2011" w:name="risiken-und-nebenwirkungen-46"/>
    <w:p>
      <w:pPr>
        <w:pStyle w:val="Heading3"/>
      </w:pPr>
      <w:r>
        <w:t xml:space="preserve">Risiken und Nebenwirkungen</w:t>
      </w:r>
    </w:p>
    <w:bookmarkStart w:id="2006" w:name="belegt-7"/>
    <w:p>
      <w:pPr>
        <w:pStyle w:val="Heading4"/>
      </w:pPr>
      <w:r>
        <w:t xml:space="preserve">Belegt</w:t>
      </w:r>
    </w:p>
    <w:p>
      <w:pPr>
        <w:numPr>
          <w:ilvl w:val="0"/>
          <w:numId w:val="1255"/>
        </w:numPr>
        <w:pStyle w:val="Compact"/>
      </w:pPr>
      <w:r>
        <w:rPr>
          <w:bCs/>
          <w:b/>
        </w:rPr>
        <w:t xml:space="preserve">Übelkeit:</w:t>
      </w:r>
      <w:r>
        <w:t xml:space="preserve"> </w:t>
      </w:r>
      <w:r>
        <w:t xml:space="preserve">die häufigste Nebenwirkung. In den Phase-3-Studien betraf sie 40,0 % gegenüber 1,3 % unter Placebo und war der häufigste Abbruchgrund</w:t>
      </w:r>
      <w:r>
        <w:rPr>
          <w:rStyle w:val="FootnoteReference"/>
        </w:rPr>
        <w:footnoteReference w:id="2001"/>
      </w:r>
      <w:r>
        <w:t xml:space="preserve">. Eine eigene Studie mit 228 gesunden Frauen prüfte, ob das Mittel gegen Übelkeit Ondansetron vorbeugend hilft</w:t>
      </w:r>
      <w:r>
        <w:rPr>
          <w:rStyle w:val="FootnoteReference"/>
        </w:rPr>
        <w:footnoteReference w:id="2002"/>
      </w:r>
      <w:r>
        <w:t xml:space="preserve">.</w:t>
      </w:r>
    </w:p>
    <w:p>
      <w:pPr>
        <w:numPr>
          <w:ilvl w:val="0"/>
          <w:numId w:val="1255"/>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55"/>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w:t>
      </w:r>
      <w:r>
        <w:rPr>
          <w:rStyle w:val="FootnoteReference"/>
        </w:rPr>
        <w:footnoteReference w:id="2003"/>
      </w:r>
      <w:r>
        <w:t xml:space="preserve">. Die Fachinformation rät deshalb bei unkontrolliertem Bluthochdruck oder bekannter Herz-Kreislauf-Erkrankung von der Anwendung ab.</w:t>
      </w:r>
    </w:p>
    <w:p>
      <w:pPr>
        <w:numPr>
          <w:ilvl w:val="0"/>
          <w:numId w:val="1255"/>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w:t>
      </w:r>
      <w:r>
        <w:rPr>
          <w:rStyle w:val="FootnoteReference"/>
        </w:rPr>
        <w:footnoteReference w:id="2004"/>
      </w:r>
      <w:r>
        <w:t xml:space="preserve"> </w:t>
      </w:r>
      <w:r>
        <w:t xml:space="preserve">– ein Hinweis auf die Restwirkung am Pigment-Rezeptor.</w:t>
      </w:r>
    </w:p>
    <w:p>
      <w:pPr>
        <w:numPr>
          <w:ilvl w:val="0"/>
          <w:numId w:val="1255"/>
        </w:numPr>
        <w:pStyle w:val="Compact"/>
      </w:pPr>
      <w:r>
        <w:rPr>
          <w:bCs/>
          <w:b/>
        </w:rPr>
        <w:t xml:space="preserve">Wechselwirkungen:</w:t>
      </w:r>
      <w:r>
        <w:t xml:space="preserve"> </w:t>
      </w:r>
      <w:r>
        <w:t xml:space="preserve">Bremelanotid verlangsamt die Magenentleerung kurzzeitig und senkte in Studien die Blutspiegel von Indometacin und Naltrexon</w:t>
      </w:r>
      <w:r>
        <w:rPr>
          <w:rStyle w:val="FootnoteReference"/>
        </w:rPr>
        <w:footnoteReference w:id="2005"/>
      </w:r>
      <w:r>
        <w:t xml:space="preserve">.</w:t>
      </w:r>
    </w:p>
    <w:bookmarkEnd w:id="2006"/>
    <w:bookmarkStart w:id="2008" w:name="offen"/>
    <w:p>
      <w:pPr>
        <w:pStyle w:val="Heading4"/>
      </w:pPr>
      <w:r>
        <w:t xml:space="preserve">Offen</w:t>
      </w:r>
    </w:p>
    <w:p>
      <w:pPr>
        <w:pStyle w:val="FirstParagraph"/>
      </w:pPr>
      <w:r>
        <w:t xml:space="preserve">Für Schwangerschaft liegen keine ausreichenden Daten vor. Eine kleine Studie misst derzeit den Übergang in die Muttermilch</w:t>
      </w:r>
      <w:r>
        <w:rPr>
          <w:rStyle w:val="FootnoteReference"/>
        </w:rPr>
        <w:footnoteReference w:id="2007"/>
      </w:r>
      <w:r>
        <w:t xml:space="preserve">. Langzeitdaten über 18 Monate hinaus fehlen.</w:t>
      </w:r>
    </w:p>
    <w:bookmarkEnd w:id="2008"/>
    <w:bookmarkStart w:id="2010"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w:t>
      </w:r>
      <w:r>
        <w:rPr>
          <w:rStyle w:val="FootnoteReference"/>
        </w:rPr>
        <w:footnoteReference w:id="2009"/>
      </w:r>
      <w:r>
        <w:t xml:space="preserve">.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2010"/>
    <w:bookmarkEnd w:id="2011"/>
    <w:bookmarkStart w:id="2013"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56"/>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56"/>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56"/>
        </w:numPr>
        <w:pStyle w:val="Compact"/>
      </w:pPr>
      <w:r>
        <w:rPr>
          <w:bCs/>
          <w:b/>
        </w:rPr>
        <w:t xml:space="preserve">Andere Länder:</w:t>
      </w:r>
      <w:r>
        <w:t xml:space="preserve"> </w:t>
      </w:r>
      <w:r>
        <w:t xml:space="preserve">In Südkorea lief eine Brückenstudie mit 193 Frauen für eine dortige Zulassung</w:t>
      </w:r>
      <w:r>
        <w:rPr>
          <w:rStyle w:val="FootnoteReference"/>
        </w:rPr>
        <w:footnoteReference w:id="2012"/>
      </w:r>
      <w:r>
        <w:t xml:space="preserve">.</w:t>
      </w:r>
    </w:p>
    <w:p>
      <w:pPr>
        <w:numPr>
          <w:ilvl w:val="0"/>
          <w:numId w:val="1256"/>
        </w:numPr>
        <w:pStyle w:val="Compact"/>
      </w:pPr>
      <w:r>
        <w:rPr>
          <w:bCs/>
          <w:b/>
        </w:rPr>
        <w:t xml:space="preserve">WADA:</w:t>
      </w:r>
      <w:r>
        <w:t xml:space="preserve"> </w:t>
      </w:r>
      <w:r>
        <w:t xml:space="preserve">nicht namentlich gelistet. Bitte die aktuelle Verbotsliste prüfen.</w:t>
      </w:r>
    </w:p>
    <w:bookmarkEnd w:id="2013"/>
    <w:bookmarkStart w:id="2017"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t xml:space="preserve">Eine Phase-2-Studie mit 108 Personen prüft Bremelanotid zusätzlich zu Tirzepatid bei Adipositas</w:t>
      </w:r>
      <w:r>
        <w:rPr>
          <w:rStyle w:val="FootnoteReference"/>
        </w:rPr>
        <w:footnoteReference w:id="2014"/>
      </w:r>
      <w:r>
        <w:t xml:space="preserve">. Hintergrund ist die appetitsenkende Wirkung über MC4R. Veröffentlichte, begutachtete Ergebnisse lagen bei Redaktionsschluss nicht in PubMed vor.</w:t>
      </w:r>
    </w:p>
    <w:p>
      <w:pPr>
        <w:numPr>
          <w:ilvl w:val="0"/>
          <w:numId w:val="1257"/>
        </w:numPr>
        <w:pStyle w:val="Compact"/>
      </w:pPr>
      <w:r>
        <w:t xml:space="preserve">Eine kleine offene Phase-2-Studie mit 16 Personen bei diabetischer Nierenerkrankung ist abgeschlossen</w:t>
      </w:r>
      <w:r>
        <w:rPr>
          <w:rStyle w:val="FootnoteReference"/>
        </w:rPr>
        <w:footnoteReference w:id="2015"/>
      </w:r>
      <w:r>
        <w:t xml:space="preserve">, ebenfalls ohne veröffentlichtes Ergebnis in PubMed.</w:t>
      </w:r>
    </w:p>
    <w:p>
      <w:pPr>
        <w:numPr>
          <w:ilvl w:val="0"/>
          <w:numId w:val="1257"/>
        </w:numPr>
        <w:pStyle w:val="Compact"/>
      </w:pPr>
      <w:r>
        <w:t xml:space="preserve">Die Stillstudie</w:t>
      </w:r>
      <w:r>
        <w:rPr>
          <w:rStyle w:val="FootnoteReference"/>
        </w:rPr>
        <w:footnoteReference w:id="2016"/>
      </w:r>
      <w:r>
        <w:t xml:space="preserve"> </w:t>
      </w:r>
      <w:r>
        <w:t xml:space="preserve">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2017"/>
    <w:bookmarkStart w:id="2018" w:name="fazit-46"/>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2018"/>
    <w:bookmarkEnd w:id="2019"/>
    <w:bookmarkStart w:id="2074" w:name="melanotan-ii"/>
    <w:p>
      <w:pPr>
        <w:pStyle w:val="Heading2"/>
      </w:pPr>
      <w:r>
        <w:t xml:space="preserve">Melanotan II</w:t>
      </w:r>
    </w:p>
    <w:bookmarkStart w:id="2022" w:name="steckbrief-47"/>
    <w:p>
      <w:pPr>
        <w:pStyle w:val="Heading3"/>
      </w:pPr>
      <w:r>
        <w:t xml:space="preserve">Steckbrief</w:t>
      </w:r>
    </w:p>
    <w:p>
      <w:pPr>
        <w:numPr>
          <w:ilvl w:val="0"/>
          <w:numId w:val="1258"/>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w:t>
      </w:r>
      <w:r>
        <w:rPr>
          <w:rStyle w:val="FootnoteReference"/>
        </w:rPr>
        <w:footnoteReference w:id="2020"/>
      </w:r>
      <w:r>
        <w:t xml:space="preserve">.</w:t>
      </w:r>
    </w:p>
    <w:p>
      <w:pPr>
        <w:numPr>
          <w:ilvl w:val="0"/>
          <w:numId w:val="1258"/>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w:t>
      </w:r>
      <w:r>
        <w:rPr>
          <w:rStyle w:val="FootnoteReference"/>
        </w:rPr>
        <w:footnoteReference w:id="2021"/>
      </w:r>
      <w:r>
        <w:t xml:space="preserve">.</w:t>
      </w:r>
    </w:p>
    <w:p>
      <w:pPr>
        <w:numPr>
          <w:ilvl w:val="0"/>
          <w:numId w:val="1258"/>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w:t>
      </w:r>
    </w:p>
    <w:p>
      <w:pPr>
        <w:numPr>
          <w:ilvl w:val="0"/>
          <w:numId w:val="1258"/>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2022"/>
    <w:bookmarkStart w:id="2024" w:name="wie-es-wirken-soll-47"/>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59"/>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59"/>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w:t>
      </w:r>
      <w:r>
        <w:rPr>
          <w:rStyle w:val="FootnoteReference"/>
        </w:rPr>
        <w:footnoteReference w:id="2023"/>
      </w:r>
      <w:r>
        <w:t xml:space="preserve">.</w:t>
      </w:r>
    </w:p>
    <w:bookmarkEnd w:id="2024"/>
    <w:bookmarkStart w:id="2038"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2028"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w:t>
      </w:r>
      <w:r>
        <w:rPr>
          <w:rStyle w:val="FootnoteReference"/>
        </w:rPr>
        <w:footnoteReference w:id="2025"/>
      </w:r>
      <w:r>
        <w:t xml:space="preserve"> </w:t>
      </w:r>
      <w:r>
        <w:t xml:space="preserve">war eine Pilotstudie mit nur drei Männern. Schon hier zeigten sich alle Wirkungen, die später Nutzer im Internet beschreiben: Zwei der drei Männer bräunten sichtbar, leichte Übelkeit trat bei den meisten Dosisstufen auf, einer bekam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w:t>
      </w:r>
      <w:r>
        <w:rPr>
          <w:rStyle w:val="FootnoteReference"/>
        </w:rPr>
        <w:footnoteReference w:id="2026"/>
      </w:r>
      <w:r>
        <w:t xml:space="preserve">. In der Zusammenfassung beider Studien berichteten die Männer nach 68 % der Melanotan-Gaben über gesteigertes Verlangen, nach Placebo bei 19 %. Bei 12,9 % trat starke Übelkeit auf</w:t>
      </w:r>
      <w:r>
        <w:rPr>
          <w:rStyle w:val="FootnoteReference"/>
        </w:rPr>
        <w:footnoteReference w:id="2027"/>
      </w:r>
      <w:r>
        <w:t xml:space="preserve">.</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2028"/>
    <w:bookmarkStart w:id="2031"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w:t>
      </w:r>
      <w:r>
        <w:rPr>
          <w:rStyle w:val="FootnoteReference"/>
        </w:rPr>
        <w:footnoteReference w:id="2029"/>
      </w:r>
      <w:r>
        <w:t xml:space="preserve">. In Kombination mit Sonnenlicht verstärkte und verlängerte sich die Bräune</w:t>
      </w:r>
      <w:r>
        <w:rPr>
          <w:rStyle w:val="FootnoteReference"/>
        </w:rPr>
        <w:footnoteReference w:id="2030"/>
      </w:r>
      <w:r>
        <w:t xml:space="preserve">. Diese Ergebnisse gehören zur Geschichte von Afamelanotid und lassen sich nicht auf Melanotan II übertragen, das stärker im Gehirn wirkt.</w:t>
      </w:r>
    </w:p>
    <w:bookmarkEnd w:id="2031"/>
    <w:bookmarkStart w:id="2037"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w:t>
      </w:r>
      <w:r>
        <w:rPr>
          <w:rStyle w:val="FootnoteReference"/>
        </w:rPr>
        <w:footnoteReference w:id="2032"/>
      </w:r>
      <w:r>
        <w:t xml:space="preserve">. Eine systematische Übersicht zählte Melanotan zu den häufig gespritzten Mitteln zur Körper- und Leistungsoptimierung neben anabolen Steroiden und Wachstumshormon</w:t>
      </w:r>
      <w:r>
        <w:rPr>
          <w:rStyle w:val="FootnoteReference"/>
        </w:rPr>
        <w:footnoteReference w:id="2033"/>
      </w:r>
      <w:r>
        <w:t xml:space="preserve">.</w:t>
      </w:r>
    </w:p>
    <w:p>
      <w:pPr>
        <w:pStyle w:val="BodyText"/>
      </w:pPr>
      <w:r>
        <w:t xml:space="preserve">Eine Analyse britischer und irischer Internetforen aus den Jahren 2016 und 2017 wertete 623 Beiträge von 205 Personen aus</w:t>
      </w:r>
      <w:r>
        <w:rPr>
          <w:rStyle w:val="FootnoteReference"/>
        </w:rPr>
        <w:footnoteReference w:id="2034"/>
      </w:r>
      <w:r>
        <w:t xml:space="preserve">.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w:t>
      </w:r>
      <w:r>
        <w:rPr>
          <w:rStyle w:val="FootnoteReference"/>
        </w:rPr>
        <w:footnoteReference w:id="2035"/>
      </w:r>
      <w:r>
        <w:t xml:space="preserve">.</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w:t>
      </w:r>
      <w:r>
        <w:rPr>
          <w:rStyle w:val="FootnoteReference"/>
        </w:rPr>
        <w:footnoteReference w:id="2036"/>
      </w:r>
      <w:r>
        <w:t xml:space="preserve">.</w:t>
      </w:r>
    </w:p>
    <w:bookmarkEnd w:id="2037"/>
    <w:bookmarkEnd w:id="2038"/>
    <w:bookmarkStart w:id="2042" w:name="tier--und-laborstudien-47"/>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60"/>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w:t>
      </w:r>
      <w:r>
        <w:rPr>
          <w:rStyle w:val="FootnoteReference"/>
        </w:rPr>
        <w:footnoteReference w:id="2039"/>
      </w:r>
      <w:r>
        <w:t xml:space="preserve">.</w:t>
      </w:r>
    </w:p>
    <w:p>
      <w:pPr>
        <w:numPr>
          <w:ilvl w:val="0"/>
          <w:numId w:val="1260"/>
        </w:numPr>
        <w:pStyle w:val="Compact"/>
      </w:pPr>
      <w:r>
        <w:rPr>
          <w:bCs/>
          <w:b/>
        </w:rPr>
        <w:t xml:space="preserve">Körpertemperatur:</w:t>
      </w:r>
      <w:r>
        <w:t xml:space="preserve"> </w:t>
      </w:r>
      <w:r>
        <w:t xml:space="preserve">Bei Mäusen löste es eine vorübergehende starke Unterkühlung aus, vermittelt über Mastzellen und Histamin</w:t>
      </w:r>
      <w:r>
        <w:rPr>
          <w:rStyle w:val="FootnoteReference"/>
        </w:rPr>
        <w:footnoteReference w:id="2040"/>
      </w:r>
      <w:r>
        <w:t xml:space="preserve">.</w:t>
      </w:r>
    </w:p>
    <w:p>
      <w:pPr>
        <w:numPr>
          <w:ilvl w:val="0"/>
          <w:numId w:val="1260"/>
        </w:numPr>
        <w:pStyle w:val="Compact"/>
      </w:pPr>
      <w:r>
        <w:rPr>
          <w:bCs/>
          <w:b/>
        </w:rPr>
        <w:t xml:space="preserve">Sozialverhalten:</w:t>
      </w:r>
      <w:r>
        <w:t xml:space="preserve"> </w:t>
      </w:r>
      <w:r>
        <w:t xml:space="preserve">In einem Mausmodell für Autismus verbesserte eine einwöchige Gabe soziale Verhaltensmaße</w:t>
      </w:r>
      <w:r>
        <w:rPr>
          <w:rStyle w:val="FootnoteReference"/>
        </w:rPr>
        <w:footnoteReference w:id="2041"/>
      </w:r>
      <w:r>
        <w:t xml:space="preserve">. Der vermutete Weg führt über eine Aktivierung des Oxytocin-Systems (Kapitel 2E05).</w:t>
      </w:r>
    </w:p>
    <w:p>
      <w:pPr>
        <w:pStyle w:val="FirstParagraph"/>
      </w:pPr>
      <w:r>
        <w:t xml:space="preserve">Keines dieser Ergebnisse ist am Menschen bestätigt.</w:t>
      </w:r>
    </w:p>
    <w:bookmarkEnd w:id="2042"/>
    <w:bookmarkStart w:id="2068" w:name="risiken-und-nebenwirkungen-47"/>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2047"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w:t>
      </w:r>
      <w:r>
        <w:rPr>
          <w:rStyle w:val="FootnoteReference"/>
        </w:rPr>
        <w:footnoteReference w:id="2043"/>
      </w:r>
      <w:r>
        <w:t xml:space="preserve">. Die Pigmentierung betrifft nicht nur die Haut: Fallberichte beschreiben quer verlaufende dunkle Streifen in den Fingernägeln</w:t>
      </w:r>
      <w:r>
        <w:rPr>
          <w:rStyle w:val="FootnoteReference"/>
        </w:rPr>
        <w:footnoteReference w:id="2044"/>
      </w:r>
      <w:r>
        <w:t xml:space="preserve"> </w:t>
      </w:r>
      <w:r>
        <w:t xml:space="preserve">und Pigmentveränderungen der Mundschleimhaut</w:t>
      </w:r>
      <w:r>
        <w:rPr>
          <w:rStyle w:val="FootnoteReference"/>
        </w:rPr>
        <w:footnoteReference w:id="2045"/>
      </w:r>
      <w:r>
        <w:t xml:space="preserve">. Paradoxerweise sind auch helle, entfärbte Flecken beschrieben</w:t>
      </w:r>
      <w:r>
        <w:rPr>
          <w:rStyle w:val="FootnoteReference"/>
        </w:rPr>
        <w:footnoteReference w:id="2046"/>
      </w:r>
      <w:r>
        <w:t xml:space="preserve">.</w:t>
      </w:r>
    </w:p>
    <w:bookmarkEnd w:id="2047"/>
    <w:bookmarkStart w:id="2055"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61"/>
        </w:numPr>
        <w:pStyle w:val="Compact"/>
      </w:pPr>
      <w:r>
        <w:rPr>
          <w:bCs/>
          <w:b/>
        </w:rPr>
        <w:t xml:space="preserve">neu auftretende Muttermale in großer Zahl</w:t>
      </w:r>
      <w:r>
        <w:t xml:space="preserve"> </w:t>
      </w:r>
      <w:r>
        <w:t xml:space="preserve">(eruptive Nävi) nach Melanotan-Injektionen</w:t>
      </w:r>
      <w:r>
        <w:rPr>
          <w:rStyle w:val="FootnoteReference"/>
        </w:rPr>
        <w:footnoteReference w:id="2048"/>
      </w:r>
      <w:r>
        <w:t xml:space="preserve">, teils mit auffälligem, atypischem Aussehen</w:t>
      </w:r>
      <w:r>
        <w:rPr>
          <w:rStyle w:val="FootnoteReference"/>
        </w:rPr>
        <w:footnoteReference w:id="2049"/>
      </w:r>
      <w:r>
        <w:t xml:space="preserve">;</w:t>
      </w:r>
    </w:p>
    <w:p>
      <w:pPr>
        <w:numPr>
          <w:ilvl w:val="0"/>
          <w:numId w:val="1261"/>
        </w:numPr>
        <w:pStyle w:val="Compact"/>
      </w:pPr>
      <w:r>
        <w:rPr>
          <w:bCs/>
          <w:b/>
        </w:rPr>
        <w:t xml:space="preserve">dunkler werdende und sich verändernde bestehende Muttermale</w:t>
      </w:r>
      <w:r>
        <w:t xml:space="preserve">;</w:t>
      </w:r>
    </w:p>
    <w:p>
      <w:pPr>
        <w:numPr>
          <w:ilvl w:val="0"/>
          <w:numId w:val="1261"/>
        </w:numPr>
        <w:pStyle w:val="Compact"/>
      </w:pPr>
      <w:r>
        <w:rPr>
          <w:bCs/>
          <w:b/>
        </w:rPr>
        <w:t xml:space="preserve">Melanome</w:t>
      </w:r>
      <w:r>
        <w:t xml:space="preserve">, also schwarzen Hautkrebs, während oder kurz nach der Anwendung</w:t>
      </w:r>
      <w:r>
        <w:rPr>
          <w:rStyle w:val="FootnoteReference"/>
        </w:rPr>
        <w:footnoteReference w:id="2050"/>
      </w:r>
      <w:r>
        <w:t xml:space="preserve">. Eine 20-jährige Frau mit heller Haut entwickelte drei Monate nach einer drei- bis vierwöchigen Selbstbehandlung, kombiniert mit Solariumbesuchen, ein Melanom am Gesäß</w:t>
      </w:r>
      <w:r>
        <w:rPr>
          <w:rStyle w:val="FootnoteReference"/>
        </w:rPr>
        <w:footnoteReference w:id="2051"/>
      </w:r>
      <w:r>
        <w:t xml:space="preserve">. Ein 2025 veröffentlichter Fall beschreibt ein Melanom der Mundschleimhaut bei einer 22-Jährigen, die Melanotan-II-Nasenspray verwendet hatte</w:t>
      </w:r>
      <w:r>
        <w:rPr>
          <w:rStyle w:val="FootnoteReference"/>
        </w:rPr>
        <w:footnoteReference w:id="2052"/>
      </w:r>
      <w:r>
        <w:t xml:space="preserve">.</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w:t>
      </w:r>
      <w:r>
        <w:rPr>
          <w:rStyle w:val="FootnoteReference"/>
        </w:rPr>
        <w:footnoteReference w:id="2053"/>
      </w:r>
      <w:r>
        <w:t xml:space="preserve">.</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w:t>
      </w:r>
      <w:r>
        <w:rPr>
          <w:rStyle w:val="FootnoteReference"/>
        </w:rPr>
        <w:footnoteReference w:id="2054"/>
      </w:r>
      <w:r>
        <w:t xml:space="preserve">.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2055"/>
    <w:bookmarkStart w:id="2063" w:name="schwere-einzelfälle"/>
    <w:p>
      <w:pPr>
        <w:pStyle w:val="Heading4"/>
      </w:pPr>
      <w:r>
        <w:t xml:space="preserve">Schwere Einzelfälle</w:t>
      </w:r>
    </w:p>
    <w:p>
      <w:pPr>
        <w:numPr>
          <w:ilvl w:val="0"/>
          <w:numId w:val="1262"/>
        </w:numPr>
        <w:pStyle w:val="Compact"/>
      </w:pPr>
      <w:r>
        <w:rPr>
          <w:bCs/>
          <w:b/>
        </w:rPr>
        <w:t xml:space="preserve">Priapismus:</w:t>
      </w:r>
      <w:r>
        <w:t xml:space="preserve"> </w:t>
      </w:r>
      <w:r>
        <w:t xml:space="preserve">schmerzhafte Dauererektion, ein urologischer Notfall. Mehrere Fallberichte beschreiben sie nach Melanotan-Injektionen</w:t>
      </w:r>
      <w:r>
        <w:rPr>
          <w:rStyle w:val="FootnoteReference"/>
        </w:rPr>
        <w:footnoteReference w:id="2056"/>
      </w:r>
      <w:r>
        <w:t xml:space="preserve">. In einem Fall musste operativ entlastet werden</w:t>
      </w:r>
      <w:r>
        <w:rPr>
          <w:rStyle w:val="FootnoteReference"/>
        </w:rPr>
        <w:footnoteReference w:id="2057"/>
      </w:r>
      <w:r>
        <w:t xml:space="preserve">; in einem anderen war die Erektionsfähigkeit vier Wochen später noch nicht wiederhergestellt</w:t>
      </w:r>
      <w:r>
        <w:rPr>
          <w:rStyle w:val="FootnoteReference"/>
        </w:rPr>
        <w:footnoteReference w:id="2058"/>
      </w:r>
      <w:r>
        <w:t xml:space="preserve">.</w:t>
      </w:r>
    </w:p>
    <w:p>
      <w:pPr>
        <w:numPr>
          <w:ilvl w:val="0"/>
          <w:numId w:val="1262"/>
        </w:numPr>
        <w:pStyle w:val="Compact"/>
      </w:pPr>
      <w:r>
        <w:rPr>
          <w:bCs/>
          <w:b/>
        </w:rPr>
        <w:t xml:space="preserve">Muskelzerfall und Nierenschädigung:</w:t>
      </w:r>
      <w:r>
        <w:t xml:space="preserve"> </w:t>
      </w:r>
      <w:r>
        <w:t xml:space="preserve">Ein 39-jähriger Mann spritzte sich nach eigenen Angaben das Sechsfache der empfohlenen Startmenge. Er entwickelte Herzrasen, Unruhe und einen schweren Muskelzerfall (Rhabdomyolyse) mit einem Anstieg des Muskelenzyms CK auf 17.773 IU/L und vorübergehender Nierenschädigung; die Substanz wurde im Labor als Melanotan II bestätigt</w:t>
      </w:r>
      <w:r>
        <w:rPr>
          <w:rStyle w:val="FootnoteReference"/>
        </w:rPr>
        <w:footnoteReference w:id="2059"/>
      </w:r>
      <w:r>
        <w:t xml:space="preserve">.</w:t>
      </w:r>
    </w:p>
    <w:p>
      <w:pPr>
        <w:numPr>
          <w:ilvl w:val="0"/>
          <w:numId w:val="1262"/>
        </w:numPr>
        <w:pStyle w:val="Compact"/>
      </w:pPr>
      <w:r>
        <w:rPr>
          <w:bCs/>
          <w:b/>
        </w:rPr>
        <w:t xml:space="preserve">Niereninfarkt:</w:t>
      </w:r>
      <w:r>
        <w:t xml:space="preserve"> </w:t>
      </w:r>
      <w:r>
        <w:t xml:space="preserve">ein Fallbericht mit Literaturübersicht vermutet Melanotan II als Ursache eines Verschlusses von Nierengefäßen</w:t>
      </w:r>
      <w:r>
        <w:rPr>
          <w:rStyle w:val="FootnoteReference"/>
        </w:rPr>
        <w:footnoteReference w:id="2060"/>
      </w:r>
      <w:r>
        <w:t xml:space="preserve">.</w:t>
      </w:r>
    </w:p>
    <w:p>
      <w:pPr>
        <w:numPr>
          <w:ilvl w:val="0"/>
          <w:numId w:val="1262"/>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w:t>
      </w:r>
      <w:r>
        <w:rPr>
          <w:rStyle w:val="FootnoteReference"/>
        </w:rPr>
        <w:footnoteReference w:id="2061"/>
      </w:r>
      <w:r>
        <w:t xml:space="preserve">.</w:t>
      </w:r>
    </w:p>
    <w:p>
      <w:pPr>
        <w:numPr>
          <w:ilvl w:val="0"/>
          <w:numId w:val="1262"/>
        </w:numPr>
        <w:pStyle w:val="Compact"/>
      </w:pPr>
      <w:r>
        <w:rPr>
          <w:bCs/>
          <w:b/>
        </w:rPr>
        <w:t xml:space="preserve">Hautentzündung:</w:t>
      </w:r>
      <w:r>
        <w:t xml:space="preserve"> </w:t>
      </w:r>
      <w:r>
        <w:t xml:space="preserve">Beschrieben ist auch ein Pyoderma gangraenosum, eine schwere geschwürige Hauterkrankung</w:t>
      </w:r>
      <w:r>
        <w:rPr>
          <w:rStyle w:val="FootnoteReference"/>
        </w:rPr>
        <w:footnoteReference w:id="2062"/>
      </w:r>
      <w:r>
        <w:t xml:space="preserve">.</w:t>
      </w:r>
    </w:p>
    <w:bookmarkEnd w:id="2063"/>
    <w:bookmarkStart w:id="2067"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w:t>
      </w:r>
      <w:r>
        <w:rPr>
          <w:rStyle w:val="FootnoteReference"/>
        </w:rPr>
        <w:footnoteReference w:id="2064"/>
      </w:r>
      <w:r>
        <w:t xml:space="preserve">. Ein forensisches Labor bestimmte in einer beschlagnahmten Probe eine Reinheit von 30 %</w:t>
      </w:r>
      <w:r>
        <w:rPr>
          <w:rStyle w:val="FootnoteReference"/>
        </w:rPr>
        <w:footnoteReference w:id="2065"/>
      </w:r>
      <w:r>
        <w:t xml:space="preserve">. Hinzu kommen die Risiken unsteriler Zubereitung und gemeinsam genutzter Nadeln, auf die Fachleute ausdrücklich hinweisen</w:t>
      </w:r>
      <w:r>
        <w:rPr>
          <w:rStyle w:val="FootnoteReference"/>
        </w:rPr>
        <w:footnoteReference w:id="2066"/>
      </w:r>
      <w:r>
        <w:t xml:space="preserve">. Mehr zu Reinheit und Fälschungen im Graumarkt steht in Teil I und Teil IV.</w:t>
      </w:r>
    </w:p>
    <w:bookmarkEnd w:id="2067"/>
    <w:bookmarkEnd w:id="2068"/>
    <w:bookmarkStart w:id="2071" w:name="rechtslage-47"/>
    <w:p>
      <w:pPr>
        <w:pStyle w:val="Heading3"/>
      </w:pPr>
      <w:r>
        <w:t xml:space="preserve">Rechtslage</w:t>
      </w:r>
    </w:p>
    <w:p>
      <w:pPr>
        <w:pStyle w:val="FirstParagraph"/>
      </w:pPr>
      <w:r>
        <w:rPr>
          <w:iCs/>
          <w:i/>
        </w:rPr>
        <w:t xml:space="preserve">Stand 2026, bitte aktuell prüfen.</w:t>
      </w:r>
    </w:p>
    <w:p>
      <w:pPr>
        <w:numPr>
          <w:ilvl w:val="0"/>
          <w:numId w:val="1263"/>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63"/>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63"/>
        </w:numPr>
        <w:pStyle w:val="Compact"/>
      </w:pPr>
      <w:r>
        <w:rPr>
          <w:bCs/>
          <w:b/>
        </w:rPr>
        <w:t xml:space="preserve">Behördenwarnungen:</w:t>
      </w:r>
      <w:r>
        <w:t xml:space="preserve"> </w:t>
      </w:r>
      <w:r>
        <w:t xml:space="preserve">Mehrere nationale Arzneimittel- und Gesundheitsbehörden haben vor Melanotan I und II gewarnt</w:t>
      </w:r>
      <w:r>
        <w:rPr>
          <w:rStyle w:val="FootnoteReference"/>
        </w:rPr>
        <w:footnoteReference w:id="2069"/>
      </w:r>
      <w:r>
        <w:t xml:space="preserve">. Nach Kenntnis des Autors gehörten die Behörden in Großbritannien und Irland ab 2008 zu den ersten, später folgten weitere europäische Länder und Australien. In Großbritannien ist der Verkauf ausdrücklich illegal</w:t>
      </w:r>
      <w:r>
        <w:rPr>
          <w:rStyle w:val="FootnoteReference"/>
        </w:rPr>
        <w:footnoteReference w:id="2070"/>
      </w:r>
      <w:r>
        <w:t xml:space="preserve">.</w:t>
      </w:r>
    </w:p>
    <w:p>
      <w:pPr>
        <w:numPr>
          <w:ilvl w:val="0"/>
          <w:numId w:val="1263"/>
        </w:numPr>
        <w:pStyle w:val="Compact"/>
      </w:pPr>
      <w:r>
        <w:rPr>
          <w:bCs/>
          <w:b/>
        </w:rPr>
        <w:t xml:space="preserve">USA:</w:t>
      </w:r>
      <w:r>
        <w:t xml:space="preserve"> </w:t>
      </w:r>
      <w:r>
        <w:t xml:space="preserve">keine FDA-Zulassung; der Vertrieb als Arzneimittel zur Anwendung am Menschen ist nicht erlaubt.</w:t>
      </w:r>
    </w:p>
    <w:p>
      <w:pPr>
        <w:numPr>
          <w:ilvl w:val="0"/>
          <w:numId w:val="1263"/>
        </w:numPr>
        <w:pStyle w:val="Compact"/>
      </w:pPr>
      <w:r>
        <w:rPr>
          <w:bCs/>
          <w:b/>
        </w:rPr>
        <w:t xml:space="preserve">WADA:</w:t>
      </w:r>
      <w:r>
        <w:t xml:space="preserve"> </w:t>
      </w:r>
      <w:r>
        <w:t xml:space="preserve">verboten als nicht zugelassene Substanz (S0).</w:t>
      </w:r>
    </w:p>
    <w:bookmarkEnd w:id="2071"/>
    <w:bookmarkStart w:id="2072" w:name="laufende-studien-und-ausblick-47"/>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2072"/>
    <w:bookmarkStart w:id="2073" w:name="fazit-47"/>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2073"/>
    <w:bookmarkEnd w:id="2074"/>
    <w:bookmarkStart w:id="2134" w:name="afamelanotid"/>
    <w:p>
      <w:pPr>
        <w:pStyle w:val="Heading2"/>
      </w:pPr>
      <w:r>
        <w:t xml:space="preserve">Afamelanotid</w:t>
      </w:r>
    </w:p>
    <w:bookmarkStart w:id="2077" w:name="steckbrief-48"/>
    <w:p>
      <w:pPr>
        <w:pStyle w:val="Heading3"/>
      </w:pPr>
      <w:r>
        <w:t xml:space="preserve">Steckbrief</w:t>
      </w:r>
    </w:p>
    <w:p>
      <w:pPr>
        <w:numPr>
          <w:ilvl w:val="0"/>
          <w:numId w:val="1264"/>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64"/>
        </w:numPr>
        <w:pStyle w:val="Compact"/>
      </w:pPr>
      <w:r>
        <w:rPr>
          <w:bCs/>
          <w:b/>
        </w:rPr>
        <w:t xml:space="preserve">Herkunft:</w:t>
      </w:r>
      <w:r>
        <w:t xml:space="preserve"> </w:t>
      </w:r>
      <w:r>
        <w:t xml:space="preserve">entwickelt an der Universität von Arizona zusammen mit Melanotan II</w:t>
      </w:r>
      <w:r>
        <w:rPr>
          <w:rStyle w:val="FootnoteReference"/>
        </w:rPr>
        <w:footnoteReference w:id="2075"/>
      </w:r>
      <w:r>
        <w:t xml:space="preserve">; später vom australischen Unternehmen Clinuvel zum Arzneimittel weiterentwickelt.</w:t>
      </w:r>
    </w:p>
    <w:p>
      <w:pPr>
        <w:numPr>
          <w:ilvl w:val="0"/>
          <w:numId w:val="1264"/>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64"/>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64"/>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w:t>
      </w:r>
      <w:r>
        <w:rPr>
          <w:rStyle w:val="FootnoteReference"/>
        </w:rPr>
        <w:footnoteReference w:id="2076"/>
      </w:r>
      <w:r>
        <w:t xml:space="preserve">.</w:t>
      </w:r>
    </w:p>
    <w:p>
      <w:pPr>
        <w:numPr>
          <w:ilvl w:val="0"/>
          <w:numId w:val="1264"/>
        </w:numPr>
        <w:pStyle w:val="Compact"/>
      </w:pPr>
      <w:r>
        <w:rPr>
          <w:bCs/>
          <w:b/>
        </w:rPr>
        <w:t xml:space="preserve">Zulassung USA:</w:t>
      </w:r>
      <w:r>
        <w:t xml:space="preserve"> </w:t>
      </w:r>
      <w:r>
        <w:t xml:space="preserve">ja, seit 2019 für Erwachsene mit EPP.</w:t>
      </w:r>
    </w:p>
    <w:p>
      <w:pPr>
        <w:numPr>
          <w:ilvl w:val="0"/>
          <w:numId w:val="1264"/>
        </w:numPr>
        <w:pStyle w:val="Compact"/>
      </w:pPr>
      <w:r>
        <w:rPr>
          <w:bCs/>
          <w:b/>
        </w:rPr>
        <w:t xml:space="preserve">WADA:</w:t>
      </w:r>
      <w:r>
        <w:t xml:space="preserve"> </w:t>
      </w:r>
      <w:r>
        <w:t xml:space="preserve">nicht gelistet.</w:t>
      </w:r>
    </w:p>
    <w:p>
      <w:pPr>
        <w:numPr>
          <w:ilvl w:val="0"/>
          <w:numId w:val="1264"/>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2077"/>
    <w:bookmarkStart w:id="2080" w:name="wie-es-wirken-soll-48"/>
    <w:p>
      <w:pPr>
        <w:pStyle w:val="Heading3"/>
      </w:pPr>
      <w:r>
        <w:t xml:space="preserve">Wie es wirken soll</w:t>
      </w:r>
    </w:p>
    <w:p>
      <w:pPr>
        <w:pStyle w:val="FirstParagraph"/>
      </w:pPr>
      <w:r>
        <w:t xml:space="preserve">Die erythropoetische Protoporphyrie (EPP) ist eine seltene Erbkrankheit. In Europa ist mindestens eine von 140.000 Personen betroffen</w:t>
      </w:r>
      <w:r>
        <w:rPr>
          <w:rStyle w:val="FootnoteReference"/>
        </w:rPr>
        <w:footnoteReference w:id="2078"/>
      </w:r>
      <w:r>
        <w:t xml:space="preserve">.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w:t>
      </w:r>
      <w:r>
        <w:rPr>
          <w:rStyle w:val="FootnoteReference"/>
        </w:rPr>
        <w:footnoteReference w:id="2079"/>
      </w:r>
      <w:r>
        <w:t xml:space="preserve">.</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2080"/>
    <w:bookmarkStart w:id="2108"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2084"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w:t>
      </w:r>
      <w:r>
        <w:rPr>
          <w:rStyle w:val="FootnoteReference"/>
        </w:rPr>
        <w:footnoteReference w:id="2081"/>
      </w:r>
      <w:r>
        <w:t xml:space="preserve">. Kombiniert mit Sonnenlicht bräunte die Haut stärker und länger, und die Teilnehmenden ohne Wirkstoff brauchten 50 % mehr Sonnenzeit für die gleiche Bräune</w:t>
      </w:r>
      <w:r>
        <w:rPr>
          <w:rStyle w:val="FootnoteReference"/>
        </w:rPr>
        <w:footnoteReference w:id="2082"/>
      </w:r>
      <w:r>
        <w:t xml:space="preserve">. In einer Studie mit 77 hellhäutigen Personen war die Wirkung bei Trägern bestimmter MC1R-Genvarianten – also bei Menschen mit besonders sonnenempfindlicher Haut – sogar stärker</w:t>
      </w:r>
      <w:r>
        <w:rPr>
          <w:rStyle w:val="FootnoteReference"/>
        </w:rPr>
        <w:footnoteReference w:id="2083"/>
      </w:r>
      <w:r>
        <w:t xml:space="preserve">. Der Plan, daraus einen Hautkrebsschutz für die Allgemeinbevölkerung zu machen, wurde nicht weiterverfolgt.</w:t>
      </w:r>
    </w:p>
    <w:bookmarkEnd w:id="2084"/>
    <w:bookmarkStart w:id="2088"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w:t>
      </w:r>
      <w:r>
        <w:rPr>
          <w:rStyle w:val="FootnoteReference"/>
        </w:rPr>
        <w:footnoteReference w:id="2085"/>
      </w:r>
      <w:r>
        <w:t xml:space="preserve">.</w:t>
      </w:r>
    </w:p>
    <w:p>
      <w:pPr>
        <w:pStyle w:val="BodyText"/>
      </w:pPr>
      <w:r>
        <w:t xml:space="preserve">Die Zulassung stützt sich auf zwei doppelblinde Studien, die gemeinsam im New England Journal of Medicine veröffentlicht wurden</w:t>
      </w:r>
      <w:r>
        <w:rPr>
          <w:rStyle w:val="FootnoteReference"/>
        </w:rPr>
        <w:footnoteReference w:id="2086"/>
      </w:r>
      <w:r>
        <w:t xml:space="preserve">.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w:t>
      </w:r>
      <w:r>
        <w:rPr>
          <w:rStyle w:val="FootnoteReference"/>
        </w:rPr>
        <w:footnoteReference w:id="2087"/>
      </w:r>
      <w:r>
        <w:t xml:space="preserve">.</w:t>
      </w:r>
    </w:p>
    <w:bookmarkEnd w:id="2088"/>
    <w:bookmarkStart w:id="2092"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w:t>
      </w:r>
      <w:r>
        <w:rPr>
          <w:rStyle w:val="FootnoteReference"/>
        </w:rPr>
        <w:footnoteReference w:id="2089"/>
      </w:r>
      <w:r>
        <w:t xml:space="preserve">. In der niederländischen Kohorte wurden Lichtreaktionen weniger schmerzhaft, ihre Zahl und Dauer änderten sich aber nicht signifikant</w:t>
      </w:r>
      <w:r>
        <w:rPr>
          <w:rStyle w:val="FootnoteReference"/>
        </w:rPr>
        <w:footnoteReference w:id="2090"/>
      </w:r>
      <w:r>
        <w:t xml:space="preserve">. Die österreichische Auswertung aller 20 im Jahr 2023 behandelten Personen zeigt besonders deutliche Verbesserungen der Lebensqualität</w:t>
      </w:r>
      <w:r>
        <w:rPr>
          <w:rStyle w:val="FootnoteReference"/>
        </w:rPr>
        <w:footnoteReference w:id="2091"/>
      </w:r>
      <w:r>
        <w:t xml:space="preserve">.</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2092"/>
    <w:bookmarkStart w:id="2096" w:name="weitere-beobachtungen-bei-epp"/>
    <w:p>
      <w:pPr>
        <w:pStyle w:val="Heading4"/>
      </w:pPr>
      <w:r>
        <w:t xml:space="preserve">Weitere Beobachtungen bei EPP</w:t>
      </w:r>
    </w:p>
    <w:p>
      <w:pPr>
        <w:numPr>
          <w:ilvl w:val="0"/>
          <w:numId w:val="1265"/>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w:t>
      </w:r>
      <w:r>
        <w:rPr>
          <w:rStyle w:val="FootnoteReference"/>
        </w:rPr>
        <w:footnoteReference w:id="2093"/>
      </w:r>
      <w:r>
        <w:t xml:space="preserve">. Das ist ein Zusammenhang aus Beobachtungsdaten, kein Nachweis eines Leberschutzes.</w:t>
      </w:r>
    </w:p>
    <w:p>
      <w:pPr>
        <w:numPr>
          <w:ilvl w:val="0"/>
          <w:numId w:val="1265"/>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w:t>
      </w:r>
      <w:r>
        <w:rPr>
          <w:rStyle w:val="FootnoteReference"/>
        </w:rPr>
        <w:footnoteReference w:id="2094"/>
      </w:r>
      <w:r>
        <w:t xml:space="preserve">.</w:t>
      </w:r>
    </w:p>
    <w:p>
      <w:pPr>
        <w:numPr>
          <w:ilvl w:val="0"/>
          <w:numId w:val="1265"/>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w:t>
      </w:r>
      <w:r>
        <w:rPr>
          <w:rStyle w:val="FootnoteReference"/>
        </w:rPr>
        <w:footnoteReference w:id="2095"/>
      </w:r>
      <w:r>
        <w:t xml:space="preserve">.</w:t>
      </w:r>
    </w:p>
    <w:bookmarkEnd w:id="2096"/>
    <w:bookmarkStart w:id="2101"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w:t>
      </w:r>
      <w:r>
        <w:rPr>
          <w:rStyle w:val="FootnoteReference"/>
        </w:rPr>
        <w:footnoteReference w:id="2097"/>
      </w:r>
      <w:r>
        <w:t xml:space="preserve"> </w:t>
      </w:r>
      <w:r>
        <w:t xml:space="preserve">folgte eine randomisierte Studie mit 55 Teilnehmenden</w:t>
      </w:r>
      <w:r>
        <w:rPr>
          <w:rStyle w:val="FootnoteReference"/>
        </w:rPr>
        <w:footnoteReference w:id="2098"/>
      </w:r>
      <w:r>
        <w:t xml:space="preserve">.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w:t>
      </w:r>
      <w:r>
        <w:rPr>
          <w:rStyle w:val="FootnoteReference"/>
        </w:rPr>
        <w:footnoteReference w:id="2099"/>
      </w:r>
      <w:r>
        <w:t xml:space="preserve">. Eine Studie bei asiatischen Patientinnen und Patienten wurde ebenfalls veröffentlicht</w:t>
      </w:r>
      <w:r>
        <w:rPr>
          <w:rStyle w:val="FootnoteReference"/>
        </w:rPr>
        <w:footnoteReference w:id="2100"/>
      </w:r>
      <w:r>
        <w:t xml:space="preserve">.</w:t>
      </w:r>
    </w:p>
    <w:bookmarkEnd w:id="2101"/>
    <w:bookmarkStart w:id="2107"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66"/>
        </w:numPr>
        <w:pStyle w:val="Compact"/>
      </w:pPr>
      <w:r>
        <w:rPr>
          <w:bCs/>
          <w:b/>
        </w:rPr>
        <w:t xml:space="preserve">Sonnenurtikaria</w:t>
      </w:r>
      <w:r>
        <w:t xml:space="preserve"> </w:t>
      </w:r>
      <w:r>
        <w:t xml:space="preserve">(Nesselsucht durch Licht): bei 5 Personen nach einem Implantat geringere Quaddelbildung</w:t>
      </w:r>
      <w:r>
        <w:rPr>
          <w:rStyle w:val="FootnoteReference"/>
        </w:rPr>
        <w:footnoteReference w:id="2102"/>
      </w:r>
      <w:r>
        <w:t xml:space="preserve">.</w:t>
      </w:r>
    </w:p>
    <w:p>
      <w:pPr>
        <w:numPr>
          <w:ilvl w:val="0"/>
          <w:numId w:val="1266"/>
        </w:numPr>
        <w:pStyle w:val="Compact"/>
      </w:pPr>
      <w:r>
        <w:rPr>
          <w:bCs/>
          <w:b/>
        </w:rPr>
        <w:t xml:space="preserve">Akne:</w:t>
      </w:r>
      <w:r>
        <w:t xml:space="preserve"> </w:t>
      </w:r>
      <w:r>
        <w:t xml:space="preserve">bei 3 Personen weniger entzündliche Läsionen</w:t>
      </w:r>
      <w:r>
        <w:rPr>
          <w:rStyle w:val="FootnoteReference"/>
        </w:rPr>
        <w:footnoteReference w:id="2103"/>
      </w:r>
      <w:r>
        <w:t xml:space="preserve">.</w:t>
      </w:r>
    </w:p>
    <w:p>
      <w:pPr>
        <w:numPr>
          <w:ilvl w:val="0"/>
          <w:numId w:val="1266"/>
        </w:numPr>
        <w:pStyle w:val="Compact"/>
      </w:pPr>
      <w:r>
        <w:rPr>
          <w:bCs/>
          <w:b/>
        </w:rPr>
        <w:t xml:space="preserve">Morbus Hailey-Hailey</w:t>
      </w:r>
      <w:r>
        <w:t xml:space="preserve"> </w:t>
      </w:r>
      <w:r>
        <w:t xml:space="preserve">(erbliche Blasenkrankheit): Abheilung der Hautläsionen bei 2 Personen</w:t>
      </w:r>
      <w:r>
        <w:rPr>
          <w:rStyle w:val="FootnoteReference"/>
        </w:rPr>
        <w:footnoteReference w:id="2104"/>
      </w:r>
      <w:r>
        <w:t xml:space="preserve">.</w:t>
      </w:r>
    </w:p>
    <w:p>
      <w:pPr>
        <w:numPr>
          <w:ilvl w:val="0"/>
          <w:numId w:val="1266"/>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w:t>
      </w:r>
      <w:r>
        <w:rPr>
          <w:rStyle w:val="FootnoteReference"/>
        </w:rPr>
        <w:footnoteReference w:id="2105"/>
      </w:r>
      <w:r>
        <w:t xml:space="preserve">.</w:t>
      </w:r>
    </w:p>
    <w:p>
      <w:pPr>
        <w:numPr>
          <w:ilvl w:val="0"/>
          <w:numId w:val="1266"/>
        </w:numPr>
        <w:pStyle w:val="Compact"/>
      </w:pPr>
      <w:r>
        <w:rPr>
          <w:bCs/>
          <w:b/>
        </w:rPr>
        <w:t xml:space="preserve">Gesunde Haut:</w:t>
      </w:r>
      <w:r>
        <w:t xml:space="preserve"> </w:t>
      </w:r>
      <w:r>
        <w:t xml:space="preserve">Bei 9 gesunden Freiwilligen fiel die Hautrötung nach UV-Bestrahlung sechs Tage nach dem Implantat geringer aus</w:t>
      </w:r>
      <w:r>
        <w:rPr>
          <w:rStyle w:val="FootnoteReference"/>
        </w:rPr>
        <w:footnoteReference w:id="2106"/>
      </w:r>
      <w:r>
        <w:t xml:space="preserve">.</w:t>
      </w:r>
    </w:p>
    <w:bookmarkEnd w:id="2107"/>
    <w:bookmarkEnd w:id="2108"/>
    <w:bookmarkStart w:id="2111" w:name="tier--und-laborstudien-48"/>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w:t>
      </w:r>
      <w:r>
        <w:rPr>
          <w:rStyle w:val="FootnoteReference"/>
        </w:rPr>
        <w:footnoteReference w:id="2109"/>
      </w:r>
      <w:r>
        <w:t xml:space="preserve">. Untersuchungen zu Stabilität und Abbauprodukten des Wirkstoffs betreffen die Arzneimittelqualität</w:t>
      </w:r>
      <w:r>
        <w:rPr>
          <w:rStyle w:val="FootnoteReference"/>
        </w:rPr>
        <w:footnoteReference w:id="2110"/>
      </w:r>
      <w:r>
        <w:t xml:space="preserve">. Für die Bewertung beim Menschen spielen Tierdaten heute eine untergeordnete Rolle, weil die klinischen Daten aussagekräftiger sind.</w:t>
      </w:r>
    </w:p>
    <w:bookmarkEnd w:id="2111"/>
    <w:bookmarkStart w:id="2122" w:name="risiken-und-nebenwirkungen-48"/>
    <w:p>
      <w:pPr>
        <w:pStyle w:val="Heading3"/>
      </w:pPr>
      <w:r>
        <w:t xml:space="preserve">Risiken und Nebenwirkungen</w:t>
      </w:r>
    </w:p>
    <w:bookmarkStart w:id="2116" w:name="belegt-8"/>
    <w:p>
      <w:pPr>
        <w:pStyle w:val="Heading4"/>
      </w:pPr>
      <w:r>
        <w:t xml:space="preserve">Belegt</w:t>
      </w:r>
    </w:p>
    <w:p>
      <w:pPr>
        <w:numPr>
          <w:ilvl w:val="0"/>
          <w:numId w:val="1267"/>
        </w:numPr>
        <w:pStyle w:val="Compact"/>
      </w:pPr>
      <w:r>
        <w:rPr>
          <w:bCs/>
          <w:b/>
        </w:rPr>
        <w:t xml:space="preserve">Häufige, meist leichte Nebenwirkungen:</w:t>
      </w:r>
      <w:r>
        <w:t xml:space="preserve"> </w:t>
      </w:r>
      <w:r>
        <w:t xml:space="preserve">Übelkeit, Kopfschmerzen, Müdigkeit und Reaktionen an der Einsetzstelle des Implantats</w:t>
      </w:r>
      <w:r>
        <w:rPr>
          <w:rStyle w:val="FootnoteReference"/>
        </w:rPr>
        <w:footnoteReference w:id="2112"/>
      </w:r>
      <w:r>
        <w:t xml:space="preserve">. Schwere unerwünschte Ereignisse wurden in den Zulassungsstudien nicht dem Wirkstoff zugeschrieben.</w:t>
      </w:r>
    </w:p>
    <w:p>
      <w:pPr>
        <w:numPr>
          <w:ilvl w:val="0"/>
          <w:numId w:val="1267"/>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w:t>
      </w:r>
      <w:r>
        <w:rPr>
          <w:rStyle w:val="FootnoteReference"/>
        </w:rPr>
        <w:footnoteReference w:id="2113"/>
      </w:r>
      <w:r>
        <w:t xml:space="preserve">. Die Fachinformation sieht regelmäßige Hautuntersuchungen vor.</w:t>
      </w:r>
    </w:p>
    <w:p>
      <w:pPr>
        <w:numPr>
          <w:ilvl w:val="0"/>
          <w:numId w:val="1267"/>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w:t>
      </w:r>
      <w:r>
        <w:rPr>
          <w:rStyle w:val="FootnoteReference"/>
        </w:rPr>
        <w:footnoteReference w:id="2114"/>
      </w:r>
      <w:r>
        <w:t xml:space="preserve">.</w:t>
      </w:r>
    </w:p>
    <w:p>
      <w:pPr>
        <w:numPr>
          <w:ilvl w:val="0"/>
          <w:numId w:val="1267"/>
        </w:numPr>
        <w:pStyle w:val="Compact"/>
      </w:pPr>
      <w:r>
        <w:rPr>
          <w:bCs/>
          <w:b/>
        </w:rPr>
        <w:t xml:space="preserve">Keine Wirkung auf Vitamin D:</w:t>
      </w:r>
      <w:r>
        <w:t xml:space="preserve"> </w:t>
      </w:r>
      <w:r>
        <w:t xml:space="preserve">siehe oben</w:t>
      </w:r>
      <w:r>
        <w:rPr>
          <w:rStyle w:val="FootnoteReference"/>
        </w:rPr>
        <w:footnoteReference w:id="2115"/>
      </w:r>
      <w:r>
        <w:t xml:space="preserve">.</w:t>
      </w:r>
    </w:p>
    <w:bookmarkEnd w:id="2116"/>
    <w:bookmarkStart w:id="2119"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w:t>
      </w:r>
      <w:r>
        <w:rPr>
          <w:rStyle w:val="FootnoteReference"/>
        </w:rPr>
        <w:footnoteReference w:id="2117"/>
      </w:r>
      <w:r>
        <w:t xml:space="preserve">, obwohl EPP meist in der frühen Kindheit beginnt. Einzelne Behandlungen von Kindern außerhalb der Zulassung sind als Fallberichte veröffentlicht</w:t>
      </w:r>
      <w:r>
        <w:rPr>
          <w:rStyle w:val="FootnoteReference"/>
        </w:rPr>
        <w:footnoteReference w:id="2118"/>
      </w:r>
      <w:r>
        <w:t xml:space="preserve">. Ob die jahrzehntelange Stimulation der Pigmentzellen das Hautkrebsrisiko beeinflusst, lässt sich mit den bisherigen Beobachtungszeiträumen nicht abschließend sagen.</w:t>
      </w:r>
    </w:p>
    <w:bookmarkEnd w:id="2119"/>
    <w:bookmarkStart w:id="2121"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w:t>
      </w:r>
      <w:r>
        <w:rPr>
          <w:rStyle w:val="FootnoteReference"/>
        </w:rPr>
        <w:footnoteReference w:id="2120"/>
      </w:r>
      <w:r>
        <w:t xml:space="preserve">.</w:t>
      </w:r>
    </w:p>
    <w:bookmarkEnd w:id="2121"/>
    <w:bookmarkEnd w:id="2122"/>
    <w:bookmarkStart w:id="2126"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w:t>
      </w:r>
      <w:r>
        <w:rPr>
          <w:rStyle w:val="FootnoteReference"/>
        </w:rPr>
        <w:footnoteReference w:id="2123"/>
      </w:r>
      <w:r>
        <w:t xml:space="preserve">.</w:t>
      </w:r>
    </w:p>
    <w:p>
      <w:pPr>
        <w:numPr>
          <w:ilvl w:val="0"/>
          <w:numId w:val="1268"/>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w:t>
      </w:r>
      <w:r>
        <w:rPr>
          <w:rStyle w:val="FootnoteReference"/>
        </w:rPr>
        <w:footnoteReference w:id="2124"/>
      </w:r>
      <w:r>
        <w:t xml:space="preserve">.</w:t>
      </w:r>
    </w:p>
    <w:p>
      <w:pPr>
        <w:numPr>
          <w:ilvl w:val="0"/>
          <w:numId w:val="1268"/>
        </w:numPr>
        <w:pStyle w:val="Compact"/>
      </w:pPr>
      <w:r>
        <w:rPr>
          <w:bCs/>
          <w:b/>
        </w:rPr>
        <w:t xml:space="preserve">USA:</w:t>
      </w:r>
      <w:r>
        <w:t xml:space="preserve"> </w:t>
      </w:r>
      <w:r>
        <w:t xml:space="preserve">zugelassen seit 2019 für Erwachsene mit EPP und Lichtreaktionen.</w:t>
      </w:r>
    </w:p>
    <w:p>
      <w:pPr>
        <w:numPr>
          <w:ilvl w:val="0"/>
          <w:numId w:val="1268"/>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w:t>
      </w:r>
      <w:r>
        <w:rPr>
          <w:rStyle w:val="FootnoteReference"/>
        </w:rPr>
        <w:footnoteReference w:id="2125"/>
      </w:r>
      <w:r>
        <w:t xml:space="preserve">.</w:t>
      </w:r>
    </w:p>
    <w:p>
      <w:pPr>
        <w:numPr>
          <w:ilvl w:val="0"/>
          <w:numId w:val="1268"/>
        </w:numPr>
        <w:pStyle w:val="Compact"/>
      </w:pPr>
      <w:r>
        <w:rPr>
          <w:bCs/>
          <w:b/>
        </w:rPr>
        <w:t xml:space="preserve">WADA:</w:t>
      </w:r>
      <w:r>
        <w:t xml:space="preserve"> </w:t>
      </w:r>
      <w:r>
        <w:t xml:space="preserve">nicht gelistet.</w:t>
      </w:r>
    </w:p>
    <w:bookmarkEnd w:id="2126"/>
    <w:bookmarkStart w:id="2132" w:name="laufende-studien-und-ausblick-48"/>
    <w:p>
      <w:pPr>
        <w:pStyle w:val="Heading3"/>
      </w:pPr>
      <w:r>
        <w:t xml:space="preserve">Laufende Studien und Ausblick</w:t>
      </w:r>
    </w:p>
    <w:p>
      <w:pPr>
        <w:pStyle w:val="FirstParagraph"/>
      </w:pPr>
      <w:r>
        <w:rPr>
          <w:bCs/>
          <w:b/>
        </w:rPr>
        <w:t xml:space="preserve">Gesichert (registrierte Studien):</w:t>
      </w:r>
    </w:p>
    <w:p>
      <w:pPr>
        <w:numPr>
          <w:ilvl w:val="0"/>
          <w:numId w:val="1269"/>
        </w:numPr>
        <w:pStyle w:val="Compact"/>
      </w:pPr>
      <w:r>
        <w:rPr>
          <w:bCs/>
          <w:b/>
        </w:rPr>
        <w:t xml:space="preserve">Vitiligo, Phase 3:</w:t>
      </w:r>
      <w:r>
        <w:t xml:space="preserve"> </w:t>
      </w:r>
      <w:r>
        <w:t xml:space="preserve">Eine Studie mit 200 Personen vergleicht Afamelanotid plus Schmalband-UVB mit Lichttherapie allein</w:t>
      </w:r>
      <w:r>
        <w:rPr>
          <w:rStyle w:val="FootnoteReference"/>
        </w:rPr>
        <w:footnoteReference w:id="2127"/>
      </w:r>
      <w:r>
        <w:t xml:space="preserve">. Das geplante Ende lag im Juni 2026; begutachtete Ergebnisse waren bei Redaktionsschluss nicht in PubMed veröffentlicht. Eine kleine Studie zu Vitiligo im Gesicht</w:t>
      </w:r>
      <w:r>
        <w:rPr>
          <w:rStyle w:val="FootnoteReference"/>
        </w:rPr>
        <w:footnoteReference w:id="2128"/>
      </w:r>
      <w:r>
        <w:t xml:space="preserve"> </w:t>
      </w:r>
      <w:r>
        <w:t xml:space="preserve">ist registriert.</w:t>
      </w:r>
    </w:p>
    <w:p>
      <w:pPr>
        <w:numPr>
          <w:ilvl w:val="0"/>
          <w:numId w:val="1269"/>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w:t>
      </w:r>
      <w:r>
        <w:rPr>
          <w:rStyle w:val="FootnoteReference"/>
        </w:rPr>
        <w:footnoteReference w:id="2129"/>
      </w:r>
      <w:r>
        <w:t xml:space="preserve">.</w:t>
      </w:r>
    </w:p>
    <w:p>
      <w:pPr>
        <w:numPr>
          <w:ilvl w:val="0"/>
          <w:numId w:val="1269"/>
        </w:numPr>
        <w:pStyle w:val="Compact"/>
      </w:pPr>
      <w:r>
        <w:rPr>
          <w:bCs/>
          <w:b/>
        </w:rPr>
        <w:t xml:space="preserve">Pharmakologie:</w:t>
      </w:r>
      <w:r>
        <w:t xml:space="preserve"> </w:t>
      </w:r>
      <w:r>
        <w:t xml:space="preserve">Eine Studie zur Pharmakokinetik bei EPP mit 28 Personen ist abgeschlossen</w:t>
      </w:r>
      <w:r>
        <w:rPr>
          <w:rStyle w:val="FootnoteReference"/>
        </w:rPr>
        <w:footnoteReference w:id="2130"/>
      </w:r>
      <w:r>
        <w:t xml:space="preserve">.</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w:t>
      </w:r>
      <w:r>
        <w:rPr>
          <w:rStyle w:val="FootnoteReference"/>
        </w:rPr>
        <w:footnoteReference w:id="2131"/>
      </w:r>
      <w:r>
        <w:t xml:space="preserve">.</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2132"/>
    <w:bookmarkStart w:id="2133" w:name="fazit-48"/>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2133"/>
    <w:bookmarkEnd w:id="2134"/>
    <w:bookmarkStart w:id="2193" w:name="kisspeptin"/>
    <w:p>
      <w:pPr>
        <w:pStyle w:val="Heading2"/>
      </w:pPr>
      <w:r>
        <w:t xml:space="preserve">Kisspeptin</w:t>
      </w:r>
    </w:p>
    <w:bookmarkStart w:id="2137" w:name="steckbrief-49"/>
    <w:p>
      <w:pPr>
        <w:pStyle w:val="Heading3"/>
      </w:pPr>
      <w:r>
        <w:t xml:space="preserve">Steckbrief</w:t>
      </w:r>
    </w:p>
    <w:p>
      <w:pPr>
        <w:numPr>
          <w:ilvl w:val="0"/>
          <w:numId w:val="1270"/>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70"/>
        </w:numPr>
        <w:pStyle w:val="Compact"/>
      </w:pPr>
      <w:r>
        <w:rPr>
          <w:bCs/>
          <w:b/>
        </w:rPr>
        <w:t xml:space="preserve">Herkunft:</w:t>
      </w:r>
      <w:r>
        <w:t xml:space="preserve"> </w:t>
      </w:r>
      <w:r>
        <w:t xml:space="preserve">1996 zunächst als Gen entdeckt, das die Metastasenbildung von Melanomzellen bremst</w:t>
      </w:r>
      <w:r>
        <w:rPr>
          <w:rStyle w:val="FootnoteReference"/>
        </w:rPr>
        <w:footnoteReference w:id="2135"/>
      </w:r>
      <w:r>
        <w:t xml:space="preserve">. Der Name geht auf die Stadt Hershey in Pennsylvania zurück, Heimat der Schokoladensorte „Kisses“. 2001 wurde das Peptid als Botenstoff eines bis dahin „verwaisten“ Rezeptors identifiziert und zunächst Metastin genannt</w:t>
      </w:r>
      <w:r>
        <w:rPr>
          <w:rStyle w:val="FootnoteReference"/>
        </w:rPr>
        <w:footnoteReference w:id="2136"/>
      </w:r>
      <w:r>
        <w:t xml:space="preserve">.</w:t>
      </w:r>
    </w:p>
    <w:p>
      <w:pPr>
        <w:numPr>
          <w:ilvl w:val="0"/>
          <w:numId w:val="1270"/>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70"/>
        </w:numPr>
        <w:pStyle w:val="Compact"/>
      </w:pPr>
      <w:r>
        <w:rPr>
          <w:bCs/>
          <w:b/>
        </w:rPr>
        <w:t xml:space="preserve">Zulassung EU:</w:t>
      </w:r>
      <w:r>
        <w:t xml:space="preserve"> </w:t>
      </w:r>
      <w:r>
        <w:t xml:space="preserve">nein.</w:t>
      </w:r>
    </w:p>
    <w:p>
      <w:pPr>
        <w:numPr>
          <w:ilvl w:val="0"/>
          <w:numId w:val="1270"/>
        </w:numPr>
        <w:pStyle w:val="Compact"/>
      </w:pPr>
      <w:r>
        <w:rPr>
          <w:bCs/>
          <w:b/>
        </w:rPr>
        <w:t xml:space="preserve">Zulassung USA:</w:t>
      </w:r>
      <w:r>
        <w:t xml:space="preserve"> </w:t>
      </w:r>
      <w:r>
        <w:t xml:space="preserve">nein.</w:t>
      </w:r>
    </w:p>
    <w:p>
      <w:pPr>
        <w:numPr>
          <w:ilvl w:val="0"/>
          <w:numId w:val="1270"/>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w:t>
      </w:r>
    </w:p>
    <w:p>
      <w:pPr>
        <w:numPr>
          <w:ilvl w:val="0"/>
          <w:numId w:val="1270"/>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2137"/>
    <w:bookmarkStart w:id="2139" w:name="wie-es-wirken-soll-49"/>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w:t>
      </w:r>
      <w:r>
        <w:rPr>
          <w:rStyle w:val="FootnoteReference"/>
        </w:rPr>
        <w:footnoteReference w:id="2138"/>
      </w:r>
      <w:r>
        <w:t xml:space="preserve">.</w:t>
      </w:r>
    </w:p>
    <w:p>
      <w:pPr>
        <w:pStyle w:val="BodyText"/>
      </w:pPr>
      <w:r>
        <w:t xml:space="preserve">Für die Medizin ist Kisspeptin aus zwei Gründen interessant:</w:t>
      </w:r>
    </w:p>
    <w:p>
      <w:pPr>
        <w:numPr>
          <w:ilvl w:val="0"/>
          <w:numId w:val="1271"/>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71"/>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2139"/>
    <w:bookmarkStart w:id="2174" w:name="studien-am-menschen-4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2144"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w:t>
      </w:r>
      <w:r>
        <w:rPr>
          <w:rStyle w:val="FootnoteReference"/>
        </w:rPr>
        <w:footnoteReference w:id="2140"/>
      </w:r>
      <w:r>
        <w:t xml:space="preserve">. Die Halbwertszeit im Blut lag bei knapp 28 Minuten. Bei Frauen hängt die Wirkung stark von der Zyklusphase ab und ist kurz vor dem Eisprung am stärksten</w:t>
      </w:r>
      <w:r>
        <w:rPr>
          <w:rStyle w:val="FootnoteReference"/>
        </w:rPr>
        <w:footnoteReference w:id="2141"/>
      </w:r>
      <w:r>
        <w:t xml:space="preserve">.</w:t>
      </w:r>
    </w:p>
    <w:p>
      <w:pPr>
        <w:pStyle w:val="BodyText"/>
      </w:pPr>
      <w:r>
        <w:t xml:space="preserve">Kisspeptin-10 löste bei gesunden Männern rasch einen dosisabhängigen LH-Anstieg aus und erhöhte bei Dauerinfusion die Frequenz der LH-Pulse</w:t>
      </w:r>
      <w:r>
        <w:rPr>
          <w:rStyle w:val="FootnoteReference"/>
        </w:rPr>
        <w:footnoteReference w:id="2142"/>
      </w:r>
      <w:r>
        <w:t xml:space="preserve">. Kinder mit verzögerter Pubertät reagierten sehr unterschiedlich: Einige hatten eine deutliche Antwort, andere keine</w:t>
      </w:r>
      <w:r>
        <w:rPr>
          <w:rStyle w:val="FootnoteReference"/>
        </w:rPr>
        <w:footnoteReference w:id="2143"/>
      </w:r>
      <w:r>
        <w:t xml:space="preserve">. Das könnte künftig helfen, eine bloß verspätete Pubertät von einem dauerhaften Hormonmangel zu unterscheiden.</w:t>
      </w:r>
    </w:p>
    <w:bookmarkEnd w:id="2144"/>
    <w:bookmarkStart w:id="2151"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w:t>
      </w:r>
      <w:r>
        <w:rPr>
          <w:rStyle w:val="FootnoteReference"/>
        </w:rPr>
        <w:footnoteReference w:id="2145"/>
      </w:r>
      <w:r>
        <w:t xml:space="preserve"> </w:t>
      </w:r>
      <w:r>
        <w:t xml:space="preserve">erhielten 53 Frauen eine einzelne Kisspeptin-Spritze. Bei allen getesteten Dosen reiften Eizellen; bei 49 Frauen wurden Embryonen übertragen, zwölf wurden klinisch schwanger. Damit war erstmals gezeigt, dass nach einer Kisspeptin-gesteuerten Eizellreifung eine Schwangerschaft möglich ist.</w:t>
      </w:r>
    </w:p>
    <w:p>
      <w:pPr>
        <w:pStyle w:val="BodyText"/>
      </w:pPr>
      <w:r>
        <w:t xml:space="preserve">Die Folgestudie konzentrierte sich auf Frauen mit hohem Risiko für eine Überstimulation</w:t>
      </w:r>
      <w:r>
        <w:rPr>
          <w:rStyle w:val="FootnoteReference"/>
        </w:rPr>
        <w:footnoteReference w:id="2146"/>
      </w:r>
      <w:r>
        <w:t xml:space="preserve">. Keine der 60 Frauen entwickelte ein mittelschweres oder schweres OHSS; die Lebendgeburtenrate pro Embryotransfer betrug 45 %. Eine zweite Kisspeptin-Dosis zehn Stunden nach der ersten verbesserte die Ausbeute reifer Eizellen</w:t>
      </w:r>
      <w:r>
        <w:rPr>
          <w:rStyle w:val="FootnoteReference"/>
        </w:rPr>
        <w:footnoteReference w:id="2147"/>
      </w:r>
      <w:r>
        <w:t xml:space="preserve">.</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w:t>
      </w:r>
      <w:r>
        <w:rPr>
          <w:rStyle w:val="FootnoteReference"/>
        </w:rPr>
        <w:footnoteReference w:id="2148"/>
      </w:r>
      <w:r>
        <w:t xml:space="preserve">.</w:t>
      </w:r>
    </w:p>
    <w:p>
      <w:pPr>
        <w:pStyle w:val="BodyText"/>
      </w:pPr>
      <w:r>
        <w:t xml:space="preserve">Das synthetische Analogon MVT-602 wirkt deutlich länger als natürliches Kisspeptin: Der LH-Gipfel kam bei gesunden Frauen nach rund 21 statt 5 Stunden, die Gesamtmenge an ausgeschüttetem LH war etwa viermal so groß</w:t>
      </w:r>
      <w:r>
        <w:rPr>
          <w:rStyle w:val="FootnoteReference"/>
        </w:rPr>
        <w:footnoteReference w:id="2149"/>
      </w:r>
      <w:r>
        <w:t xml:space="preserve">. In zwei randomisierten Studien mit insgesamt 99 Frauen war MVT-602 gut verträglich und löste in der zweiten Studie innerhalb von fünf Tagen einen Eisprung aus, je nach Dosis bei 75 bis 100 % der Frauen – allerdings auch bei 60 % unter Placebo, weil die Teilnehmerinnen gesund waren</w:t>
      </w:r>
      <w:r>
        <w:rPr>
          <w:rStyle w:val="FootnoteReference"/>
        </w:rPr>
        <w:footnoteReference w:id="2150"/>
      </w:r>
      <w:r>
        <w:t xml:space="preserve">.</w:t>
      </w:r>
    </w:p>
    <w:bookmarkEnd w:id="2151"/>
    <w:bookmarkStart w:id="2157"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w:t>
      </w:r>
      <w:r>
        <w:rPr>
          <w:rStyle w:val="FootnoteReference"/>
        </w:rPr>
        <w:footnoteReference w:id="2152"/>
      </w:r>
      <w:r>
        <w:t xml:space="preserve">. Zweimal wöchentliche Gaben führten nur zu teilweiser Gewöhnung</w:t>
      </w:r>
      <w:r>
        <w:rPr>
          <w:rStyle w:val="FootnoteReference"/>
        </w:rPr>
        <w:footnoteReference w:id="2153"/>
      </w:r>
      <w:r>
        <w:t xml:space="preserve">, und eine Dauerinfusion verdreifachte vorübergehend die Zahl der LH-Pulse</w:t>
      </w:r>
      <w:r>
        <w:rPr>
          <w:rStyle w:val="FootnoteReference"/>
        </w:rPr>
        <w:footnoteReference w:id="2154"/>
      </w:r>
      <w:r>
        <w:t xml:space="preserve">. Bei Menschen mit genetischem Defekt im Neurokinin-B-System stellte eine Kisspeptin-Infusion die pulsatile Hormonausschüttung wieder her</w:t>
      </w:r>
      <w:r>
        <w:rPr>
          <w:rStyle w:val="FootnoteReference"/>
        </w:rPr>
        <w:footnoteReference w:id="2155"/>
      </w:r>
      <w:r>
        <w:t xml:space="preserve">.</w:t>
      </w:r>
    </w:p>
    <w:p>
      <w:pPr>
        <w:pStyle w:val="BodyText"/>
      </w:pPr>
      <w:r>
        <w:t xml:space="preserve">Beim polyzystischen Ovarsyndrom (PCOS) ist die Lage komplizierter. In einer Pilotstudie mit 12 Frauen erhöhte Kisspeptin den LH-Spiegel nur leicht; zwei Frauen hatten einen Eisprung, bei den meisten tat sich nichts</w:t>
      </w:r>
      <w:r>
        <w:rPr>
          <w:rStyle w:val="FootnoteReference"/>
        </w:rPr>
        <w:footnoteReference w:id="2156"/>
      </w:r>
      <w:r>
        <w:t xml:space="preserve">.</w:t>
      </w:r>
    </w:p>
    <w:bookmarkEnd w:id="2157"/>
    <w:bookmarkStart w:id="2160"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w:t>
      </w:r>
      <w:r>
        <w:rPr>
          <w:rStyle w:val="FootnoteReference"/>
        </w:rPr>
        <w:footnoteReference w:id="2158"/>
      </w:r>
      <w:r>
        <w:t xml:space="preserve">. Eine neue Studie mit 15 gesunden Männern zeigte, dass täglich achtstündige Infusionen unter die Haut die Hormonausschüttung zwölf Tage lang aufrechterhielten, während eine Dauerinfusion nach fünf Tagen keine Wirkung mehr auf LH und FSH hatte</w:t>
      </w:r>
      <w:r>
        <w:rPr>
          <w:rStyle w:val="FootnoteReference"/>
        </w:rPr>
        <w:footnoteReference w:id="2159"/>
      </w:r>
      <w:r>
        <w:t xml:space="preserve">. Das ist ein wichtiger Schritt für eine mögliche Langzeitbehandlung.</w:t>
      </w:r>
    </w:p>
    <w:bookmarkEnd w:id="2160"/>
    <w:bookmarkStart w:id="2164"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w:t>
      </w:r>
      <w:r>
        <w:rPr>
          <w:rStyle w:val="FootnoteReference"/>
        </w:rPr>
        <w:footnoteReference w:id="2161"/>
      </w:r>
      <w:r>
        <w:t xml:space="preserve">. Bei Frauen mit HSDD korrelierten die Veränderungen der Hirnaktivität mit dem Leidensdruck und der sexuellen Abneigung</w:t>
      </w:r>
      <w:r>
        <w:rPr>
          <w:rStyle w:val="FootnoteReference"/>
        </w:rPr>
        <w:footnoteReference w:id="2162"/>
      </w:r>
      <w:r>
        <w:t xml:space="preserve">.</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w:t>
      </w:r>
      <w:r>
        <w:rPr>
          <w:rStyle w:val="FootnoteReference"/>
        </w:rPr>
        <w:footnoteReference w:id="2163"/>
      </w:r>
      <w:r>
        <w:t xml:space="preserve"> </w:t>
      </w:r>
      <w:r>
        <w:t xml:space="preserve">– eine Entwarnung für die Verträglichkeit, kein Wirknachweis.</w:t>
      </w:r>
    </w:p>
    <w:bookmarkEnd w:id="2164"/>
    <w:bookmarkStart w:id="2166"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w:t>
      </w:r>
      <w:r>
        <w:rPr>
          <w:rStyle w:val="FootnoteReference"/>
        </w:rPr>
        <w:footnoteReference w:id="2165"/>
      </w:r>
      <w:r>
        <w:t xml:space="preserve">. Das zeigt einen möglichen Weg zu einer Behandlung ohne Nadel. Bei Mäusen wurde Kisspeptin in der Riechschleimhaut nachgewiesen, was auf einen Weg über das Riechsystem hindeutet.</w:t>
      </w:r>
    </w:p>
    <w:bookmarkEnd w:id="2166"/>
    <w:bookmarkStart w:id="2170" w:name="weitere-befunde"/>
    <w:p>
      <w:pPr>
        <w:pStyle w:val="Heading4"/>
      </w:pPr>
      <w:r>
        <w:t xml:space="preserve">Weitere Befunde</w:t>
      </w:r>
    </w:p>
    <w:p>
      <w:pPr>
        <w:numPr>
          <w:ilvl w:val="0"/>
          <w:numId w:val="1272"/>
        </w:numPr>
        <w:pStyle w:val="Compact"/>
      </w:pPr>
      <w:r>
        <w:rPr>
          <w:bCs/>
          <w:b/>
        </w:rPr>
        <w:t xml:space="preserve">Knochen:</w:t>
      </w:r>
      <w:r>
        <w:t xml:space="preserve"> </w:t>
      </w:r>
      <w:r>
        <w:t xml:space="preserve">Bei 26 gesunden Männern stieg nach einer Kisspeptin-Gabe der Knochenaufbau-Marker Osteocalcin um bis zu 20,3 %</w:t>
      </w:r>
      <w:r>
        <w:rPr>
          <w:rStyle w:val="FootnoteReference"/>
        </w:rPr>
        <w:footnoteReference w:id="2167"/>
      </w:r>
      <w:r>
        <w:t xml:space="preserve">.</w:t>
      </w:r>
    </w:p>
    <w:p>
      <w:pPr>
        <w:numPr>
          <w:ilvl w:val="0"/>
          <w:numId w:val="1272"/>
        </w:numPr>
        <w:pStyle w:val="Compact"/>
      </w:pPr>
      <w:r>
        <w:rPr>
          <w:bCs/>
          <w:b/>
        </w:rPr>
        <w:t xml:space="preserve">Stoffwechsel:</w:t>
      </w:r>
      <w:r>
        <w:t xml:space="preserve"> </w:t>
      </w:r>
      <w:r>
        <w:t xml:space="preserve">Bei 15 gesunden Männern steigerte Kisspeptin die Insulinausschüttung nach Zuckergabe, ohne Appetit oder Essmenge zu verändern</w:t>
      </w:r>
      <w:r>
        <w:rPr>
          <w:rStyle w:val="FootnoteReference"/>
        </w:rPr>
        <w:footnoteReference w:id="2168"/>
      </w:r>
      <w:r>
        <w:t xml:space="preserve">.</w:t>
      </w:r>
    </w:p>
    <w:p>
      <w:pPr>
        <w:numPr>
          <w:ilvl w:val="0"/>
          <w:numId w:val="1272"/>
        </w:numPr>
        <w:pStyle w:val="Compact"/>
      </w:pPr>
      <w:r>
        <w:rPr>
          <w:bCs/>
          <w:b/>
        </w:rPr>
        <w:t xml:space="preserve">Oxytocin:</w:t>
      </w:r>
      <w:r>
        <w:t xml:space="preserve"> </w:t>
      </w:r>
      <w:r>
        <w:t xml:space="preserve">Nach einer Kisspeptin-Spritze stieg der Oxytocin-Spiegel im Blut, bei Männern stärker als bei Frauen</w:t>
      </w:r>
      <w:r>
        <w:rPr>
          <w:rStyle w:val="FootnoteReference"/>
        </w:rPr>
        <w:footnoteReference w:id="2169"/>
      </w:r>
      <w:r>
        <w:t xml:space="preserve">. Das wird als möglicher Test für einen Oxytocin-Mangel untersucht (Kapitel 2E05).</w:t>
      </w:r>
    </w:p>
    <w:bookmarkEnd w:id="2170"/>
    <w:bookmarkStart w:id="2173"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w:t>
      </w:r>
      <w:r>
        <w:rPr>
          <w:rStyle w:val="FootnoteReference"/>
        </w:rPr>
        <w:footnoteReference w:id="2171"/>
      </w:r>
      <w:r>
        <w:t xml:space="preserve">. Zwei weitere Phase-2-Studien des Herstellers wurden vorzeitig beendet</w:t>
      </w:r>
      <w:r>
        <w:rPr>
          <w:rStyle w:val="FootnoteReference"/>
        </w:rPr>
        <w:footnoteReference w:id="2172"/>
      </w:r>
      <w:r>
        <w:t xml:space="preserve">.</w:t>
      </w:r>
    </w:p>
    <w:bookmarkEnd w:id="2173"/>
    <w:bookmarkEnd w:id="2174"/>
    <w:bookmarkStart w:id="2179" w:name="tier--und-laborstudien-49"/>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w:t>
      </w:r>
      <w:r>
        <w:rPr>
          <w:rStyle w:val="FootnoteReference"/>
        </w:rPr>
        <w:footnoteReference w:id="2175"/>
      </w:r>
      <w:r>
        <w:t xml:space="preserve">. Ursprünglich wurde das Peptid als Bremse der Metastasierung beschrieben: In Zellkultur und bei Mäusen hemmte es die Ausbreitung von Melanomzellen</w:t>
      </w:r>
      <w:r>
        <w:rPr>
          <w:rStyle w:val="FootnoteReference"/>
        </w:rPr>
        <w:footnoteReference w:id="2176"/>
      </w:r>
      <w:r>
        <w:t xml:space="preserve">. Ob das therapeutisch nutzbar ist, ist offen.</w:t>
      </w:r>
    </w:p>
    <w:p>
      <w:pPr>
        <w:pStyle w:val="BodyText"/>
      </w:pPr>
      <w:r>
        <w:t xml:space="preserve">In Rattenmodellen für PCOS stellte Kisspeptin bei einem Teil der Tiere den Eisprung wieder her, bei anderen nicht</w:t>
      </w:r>
      <w:r>
        <w:rPr>
          <w:rStyle w:val="FootnoteReference"/>
        </w:rPr>
        <w:footnoteReference w:id="2177"/>
      </w:r>
      <w:r>
        <w:t xml:space="preserve">. Die Grundlagenforschung zu Kisspeptin und Neurokinin B ist in einer Übersichtsarbeit zusammengefasst</w:t>
      </w:r>
      <w:r>
        <w:rPr>
          <w:rStyle w:val="FootnoteReference"/>
        </w:rPr>
        <w:footnoteReference w:id="2178"/>
      </w:r>
      <w:r>
        <w:t xml:space="preserve">.</w:t>
      </w:r>
    </w:p>
    <w:bookmarkEnd w:id="2179"/>
    <w:bookmarkStart w:id="2187" w:name="risiken-und-nebenwirkungen-49"/>
    <w:p>
      <w:pPr>
        <w:pStyle w:val="Heading3"/>
      </w:pPr>
      <w:r>
        <w:t xml:space="preserve">Risiken und Nebenwirkungen</w:t>
      </w:r>
    </w:p>
    <w:bookmarkStart w:id="2184" w:name="belegt-9"/>
    <w:p>
      <w:pPr>
        <w:pStyle w:val="Heading4"/>
      </w:pPr>
      <w:r>
        <w:t xml:space="preserve">Belegt</w:t>
      </w:r>
    </w:p>
    <w:p>
      <w:pPr>
        <w:pStyle w:val="FirstParagraph"/>
      </w:pPr>
      <w:r>
        <w:t xml:space="preserve">In allen veröffentlichten Studien wurde Kisspeptin gut vertragen. Mehrere Studien berichten ausdrücklich über keine Nebenwirkungen</w:t>
      </w:r>
      <w:r>
        <w:rPr>
          <w:rStyle w:val="FootnoteReference"/>
        </w:rPr>
        <w:footnoteReference w:id="2180"/>
      </w:r>
      <w:r>
        <w:t xml:space="preserve">. Kisspeptin veränderte weder Wachstumshormon noch Prolaktin noch das Schilddrüsen-steuernde TSH</w:t>
      </w:r>
      <w:r>
        <w:rPr>
          <w:rStyle w:val="FootnoteReference"/>
        </w:rPr>
        <w:footnoteReference w:id="2181"/>
      </w:r>
      <w:r>
        <w:t xml:space="preserve"> </w:t>
      </w:r>
      <w:r>
        <w:t xml:space="preserve">und hatte keinen Einfluss auf Angst, Blutdruck oder Herzfrequenz</w:t>
      </w:r>
      <w:r>
        <w:rPr>
          <w:rStyle w:val="FootnoteReference"/>
        </w:rPr>
        <w:footnoteReference w:id="2182"/>
      </w:r>
      <w:r>
        <w:t xml:space="preserve">. Beim Analogon TAK-448 traten leichte bis mäßige Nebenwirkungen bei 26 % der Behandelten auf</w:t>
      </w:r>
      <w:r>
        <w:rPr>
          <w:rStyle w:val="FootnoteReference"/>
        </w:rPr>
        <w:footnoteReference w:id="2183"/>
      </w:r>
      <w:r>
        <w:t xml:space="preserve">.</w:t>
      </w:r>
    </w:p>
    <w:bookmarkEnd w:id="2184"/>
    <w:bookmarkStart w:id="2185" w:name="theoretisch-und-offen"/>
    <w:p>
      <w:pPr>
        <w:pStyle w:val="Heading4"/>
      </w:pPr>
      <w:r>
        <w:t xml:space="preserve">Theoretisch und offen</w:t>
      </w:r>
    </w:p>
    <w:p>
      <w:pPr>
        <w:numPr>
          <w:ilvl w:val="0"/>
          <w:numId w:val="1273"/>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73"/>
        </w:numPr>
        <w:pStyle w:val="Compact"/>
      </w:pPr>
      <w:r>
        <w:rPr>
          <w:bCs/>
          <w:b/>
        </w:rPr>
        <w:t xml:space="preserve">Langzeitdaten</w:t>
      </w:r>
      <w:r>
        <w:t xml:space="preserve"> </w:t>
      </w:r>
      <w:r>
        <w:t xml:space="preserve">fehlen. Die längsten Studien liefen über acht Wochen.</w:t>
      </w:r>
    </w:p>
    <w:p>
      <w:pPr>
        <w:numPr>
          <w:ilvl w:val="0"/>
          <w:numId w:val="1273"/>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2185"/>
    <w:bookmarkStart w:id="2186"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2186"/>
    <w:bookmarkEnd w:id="2187"/>
    <w:bookmarkStart w:id="2188"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74"/>
        </w:numPr>
        <w:pStyle w:val="Compact"/>
      </w:pPr>
      <w:r>
        <w:rPr>
          <w:bCs/>
          <w:b/>
        </w:rPr>
        <w:t xml:space="preserve">USA:</w:t>
      </w:r>
      <w:r>
        <w:t xml:space="preserve"> </w:t>
      </w:r>
      <w:r>
        <w:t xml:space="preserve">keine Zulassung; Anwendung nur in Studien mit Genehmigung der FDA.</w:t>
      </w:r>
    </w:p>
    <w:p>
      <w:pPr>
        <w:numPr>
          <w:ilvl w:val="0"/>
          <w:numId w:val="1274"/>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2188"/>
    <w:bookmarkStart w:id="2191" w:name="laufende-studien-und-ausblick-49"/>
    <w:p>
      <w:pPr>
        <w:pStyle w:val="Heading3"/>
      </w:pPr>
      <w:r>
        <w:t xml:space="preserve">Laufende Studien und Ausblick</w:t>
      </w:r>
    </w:p>
    <w:p>
      <w:pPr>
        <w:pStyle w:val="FirstParagraph"/>
      </w:pPr>
      <w:r>
        <w:rPr>
          <w:bCs/>
          <w:b/>
        </w:rPr>
        <w:t xml:space="preserve">Gesichert (registrierte Studien):</w:t>
      </w:r>
    </w:p>
    <w:p>
      <w:pPr>
        <w:numPr>
          <w:ilvl w:val="0"/>
          <w:numId w:val="1275"/>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w:t>
      </w:r>
      <w:r>
        <w:rPr>
          <w:rStyle w:val="FootnoteReference"/>
        </w:rPr>
        <w:footnoteReference w:id="2189"/>
      </w:r>
      <w:r>
        <w:t xml:space="preserve">.</w:t>
      </w:r>
    </w:p>
    <w:p>
      <w:pPr>
        <w:numPr>
          <w:ilvl w:val="0"/>
          <w:numId w:val="1275"/>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75"/>
        </w:numPr>
        <w:pStyle w:val="Compact"/>
      </w:pPr>
      <w:r>
        <w:t xml:space="preserve">Eine Phase-2-Studie mit pulsatiler Kisspeptin-Gabe bei Hypogonadismus ist abgeschlossen</w:t>
      </w:r>
      <w:r>
        <w:rPr>
          <w:rStyle w:val="FootnoteReference"/>
        </w:rPr>
        <w:footnoteReference w:id="2190"/>
      </w:r>
      <w:r>
        <w:t xml:space="preserve">;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2191"/>
    <w:bookmarkStart w:id="2192" w:name="fazit-49"/>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2192"/>
    <w:bookmarkEnd w:id="2193"/>
    <w:bookmarkStart w:id="2273" w:name="oxytocin-nasenspray"/>
    <w:p>
      <w:pPr>
        <w:pStyle w:val="Heading2"/>
      </w:pPr>
      <w:r>
        <w:t xml:space="preserve">Oxytocin (Nasenspray)</w:t>
      </w:r>
    </w:p>
    <w:bookmarkStart w:id="2194" w:name="steckbrief-50"/>
    <w:p>
      <w:pPr>
        <w:pStyle w:val="Heading3"/>
      </w:pPr>
      <w:r>
        <w:t xml:space="preserve">Steckbrief</w:t>
      </w:r>
    </w:p>
    <w:p>
      <w:pPr>
        <w:numPr>
          <w:ilvl w:val="0"/>
          <w:numId w:val="1276"/>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76"/>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76"/>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76"/>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76"/>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w:t>
      </w:r>
    </w:p>
    <w:p>
      <w:pPr>
        <w:numPr>
          <w:ilvl w:val="0"/>
          <w:numId w:val="1276"/>
        </w:numPr>
        <w:pStyle w:val="Compact"/>
      </w:pPr>
      <w:r>
        <w:rPr>
          <w:bCs/>
          <w:b/>
        </w:rPr>
        <w:t xml:space="preserve">WADA:</w:t>
      </w:r>
      <w:r>
        <w:t xml:space="preserve"> </w:t>
      </w:r>
      <w:r>
        <w:t xml:space="preserve">nicht gelistet.</w:t>
      </w:r>
    </w:p>
    <w:p>
      <w:pPr>
        <w:numPr>
          <w:ilvl w:val="0"/>
          <w:numId w:val="1276"/>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2194"/>
    <w:bookmarkStart w:id="2206" w:name="wie-es-wirken-soll-50"/>
    <w:p>
      <w:pPr>
        <w:pStyle w:val="Heading3"/>
      </w:pPr>
      <w:r>
        <w:t xml:space="preserve">Wie es wirken soll</w:t>
      </w:r>
    </w:p>
    <w:bookmarkStart w:id="2195"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2195"/>
    <w:bookmarkStart w:id="2203"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77"/>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w:t>
      </w:r>
      <w:r>
        <w:rPr>
          <w:rStyle w:val="FootnoteReference"/>
        </w:rPr>
        <w:footnoteReference w:id="2196"/>
      </w:r>
      <w:r>
        <w:t xml:space="preserve">.</w:t>
      </w:r>
    </w:p>
    <w:p>
      <w:pPr>
        <w:numPr>
          <w:ilvl w:val="0"/>
          <w:numId w:val="1277"/>
        </w:numPr>
        <w:pStyle w:val="Compact"/>
      </w:pPr>
      <w:r>
        <w:rPr>
          <w:bCs/>
          <w:b/>
        </w:rPr>
        <w:t xml:space="preserve">Befunde bei Affen:</w:t>
      </w:r>
      <w:r>
        <w:t xml:space="preserve"> </w:t>
      </w:r>
      <w:r>
        <w:t xml:space="preserve">Bei Rhesusaffen erreichte markiertes Oxytocin nach Nasen- und nach Venengabe das Nervenwasser; die Nase war dabei nicht überlegen</w:t>
      </w:r>
      <w:r>
        <w:rPr>
          <w:rStyle w:val="FootnoteReference"/>
        </w:rPr>
        <w:footnoteReference w:id="2197"/>
      </w:r>
      <w:r>
        <w:t xml:space="preserve">. In einer zweiten Studie fand sich markiertes Oxytocin nach Nasengabe – nicht nach Venengabe – in Hirnregionen entlang der Riech- und Trigeminusbahnen</w:t>
      </w:r>
      <w:r>
        <w:rPr>
          <w:rStyle w:val="FootnoteReference"/>
        </w:rPr>
        <w:footnoteReference w:id="2198"/>
      </w:r>
      <w:r>
        <w:t xml:space="preserve">.</w:t>
      </w:r>
    </w:p>
    <w:p>
      <w:pPr>
        <w:numPr>
          <w:ilvl w:val="0"/>
          <w:numId w:val="1277"/>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w:t>
      </w:r>
      <w:r>
        <w:rPr>
          <w:rStyle w:val="FootnoteReference"/>
        </w:rPr>
        <w:footnoteReference w:id="2199"/>
      </w:r>
      <w:r>
        <w:t xml:space="preserve">.</w:t>
      </w:r>
    </w:p>
    <w:p>
      <w:pPr>
        <w:numPr>
          <w:ilvl w:val="0"/>
          <w:numId w:val="1277"/>
        </w:numPr>
        <w:pStyle w:val="Compact"/>
      </w:pPr>
      <w:r>
        <w:rPr>
          <w:bCs/>
          <w:b/>
        </w:rPr>
        <w:t xml:space="preserve">Messprobleme:</w:t>
      </w:r>
      <w:r>
        <w:t xml:space="preserve"> </w:t>
      </w:r>
      <w:r>
        <w:t xml:space="preserve">Oxytocin-Spiegel im Blut spiegeln die Werte im Gehirn unter Ruhebedingungen nicht wider</w:t>
      </w:r>
      <w:r>
        <w:rPr>
          <w:rStyle w:val="FootnoteReference"/>
        </w:rPr>
        <w:footnoteReference w:id="2200"/>
      </w:r>
      <w:r>
        <w:t xml:space="preserve">. Viele ältere Studien nutzten zudem Messmethoden, die heute als unzuverlässig gelten</w:t>
      </w:r>
      <w:r>
        <w:rPr>
          <w:rStyle w:val="FootnoteReference"/>
        </w:rPr>
        <w:footnoteReference w:id="2201"/>
      </w:r>
      <w:r>
        <w:t xml:space="preserve">.</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w:t>
      </w:r>
      <w:r>
        <w:rPr>
          <w:rStyle w:val="FootnoteReference"/>
        </w:rPr>
        <w:footnoteReference w:id="2202"/>
      </w:r>
      <w:r>
        <w:t xml:space="preserve">. Für Leserinnen und Leser heißt das: Ob ein Oxytocin-Nasenspray im Gehirn ankommt, hängt von vielen Details ab, und selbst Fachleute sind sich über die Größenordnung uneinig.</w:t>
      </w:r>
    </w:p>
    <w:bookmarkEnd w:id="2203"/>
    <w:bookmarkStart w:id="2205"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w:t>
      </w:r>
      <w:r>
        <w:rPr>
          <w:rStyle w:val="FootnoteReference"/>
        </w:rPr>
        <w:footnoteReference w:id="2204"/>
      </w:r>
      <w:r>
        <w:t xml:space="preserve">. Diese Anwendung gehört ausschließlich in die Hand von Hebammen und Ärztinnen; Dosierung und Überwachung regelt die Fachinformation. Für die Bewertung des Nasensprays bei psychischen Fragestellungen spielt sie keine Rolle.</w:t>
      </w:r>
    </w:p>
    <w:bookmarkEnd w:id="2205"/>
    <w:bookmarkEnd w:id="2206"/>
    <w:bookmarkStart w:id="2251" w:name="studien-am-menschen-5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2210"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w:t>
      </w:r>
      <w:r>
        <w:rPr>
          <w:rStyle w:val="FootnoteReference"/>
        </w:rPr>
        <w:footnoteReference w:id="2207"/>
      </w:r>
      <w:r>
        <w:t xml:space="preserve">.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w:t>
      </w:r>
      <w:r>
        <w:rPr>
          <w:rStyle w:val="FootnoteReference"/>
        </w:rPr>
        <w:footnoteReference w:id="2208"/>
      </w:r>
      <w:r>
        <w:t xml:space="preserve">.</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w:t>
      </w:r>
      <w:r>
        <w:rPr>
          <w:rStyle w:val="FootnoteReference"/>
        </w:rPr>
        <w:footnoteReference w:id="2209"/>
      </w:r>
      <w:r>
        <w:t xml:space="preserve">.</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2210"/>
    <w:bookmarkStart w:id="2216"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w:t>
      </w:r>
      <w:r>
        <w:rPr>
          <w:rStyle w:val="FootnoteReference"/>
        </w:rPr>
        <w:footnoteReference w:id="2211"/>
      </w:r>
      <w:r>
        <w:t xml:space="preserve">. Eine statistische Analyse aller Studien zum Nasenspray ging weiter: Die Studien seien in der Regel zu klein, um realistische Effekte zu finden, und mit hoher Wahrscheinlichkeit stellten die meisten veröffentlichten Befunde keine echten Effekte dar</w:t>
      </w:r>
      <w:r>
        <w:rPr>
          <w:rStyle w:val="FootnoteReference"/>
        </w:rPr>
        <w:footnoteReference w:id="2212"/>
      </w:r>
      <w:r>
        <w:t xml:space="preserve">.</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w:t>
      </w:r>
      <w:r>
        <w:rPr>
          <w:rStyle w:val="FootnoteReference"/>
        </w:rPr>
        <w:footnoteReference w:id="2213"/>
      </w:r>
      <w:r>
        <w:t xml:space="preserve">. Genau diese Hypothese prüfte 2026 eine weitere vorregistrierte Studie mit 359 Männern mit geringem Grundvertrauen und fand eine Zunahme des Vertrauens um etwa 15 %</w:t>
      </w:r>
      <w:r>
        <w:rPr>
          <w:rStyle w:val="FootnoteReference"/>
        </w:rPr>
        <w:footnoteReference w:id="2214"/>
      </w:r>
      <w:r>
        <w:t xml:space="preserve">.</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w:t>
      </w:r>
      <w:r>
        <w:rPr>
          <w:rStyle w:val="FootnoteReference"/>
        </w:rPr>
        <w:footnoteReference w:id="2215"/>
      </w:r>
      <w:r>
        <w:t xml:space="preserve">.</w:t>
      </w:r>
    </w:p>
    <w:bookmarkEnd w:id="2216"/>
    <w:bookmarkStart w:id="2229"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w:t>
      </w:r>
      <w:r>
        <w:rPr>
          <w:rStyle w:val="FootnoteReference"/>
        </w:rPr>
        <w:footnoteReference w:id="2217"/>
      </w:r>
      <w:r>
        <w:t xml:space="preserve">.</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w:t>
      </w:r>
      <w:r>
        <w:rPr>
          <w:rStyle w:val="FootnoteReference"/>
        </w:rPr>
        <w:footnoteReference w:id="2218"/>
      </w:r>
      <w:r>
        <w:t xml:space="preserve">.</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junge Kinder,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w:t>
      </w:r>
      <w:r>
        <w:rPr>
          <w:rStyle w:val="FootnoteReference"/>
        </w:rPr>
        <w:footnoteReference w:id="2219"/>
      </w:r>
      <w:r>
        <w:t xml:space="preserve">.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jungen Kindern ein positives Ergebnis gefunden</w:t>
      </w:r>
      <w:r>
        <w:rPr>
          <w:rStyle w:val="FootnoteReference"/>
        </w:rPr>
        <w:footnoteReference w:id="2220"/>
      </w:r>
      <w:r>
        <w:t xml:space="preserve">.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w:t>
      </w:r>
      <w:r>
        <w:rPr>
          <w:rStyle w:val="FootnoteReference"/>
        </w:rPr>
        <w:footnoteReference w:id="2221"/>
      </w:r>
      <w:r>
        <w:t xml:space="preserve">. Auffällig: In der Jugendlichen-Studie von 2015 berichteten Eltern, die glaubten, ihr Kind erhalte Oxytocin, über größere Verbesserungen – unabhängig davon, was das Kind tatsächlich bekam</w:t>
      </w:r>
      <w:r>
        <w:rPr>
          <w:rStyle w:val="FootnoteReference"/>
        </w:rPr>
        <w:footnoteReference w:id="2222"/>
      </w:r>
      <w:r>
        <w:t xml:space="preserve">.</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w:t>
      </w:r>
      <w:r>
        <w:rPr>
          <w:rStyle w:val="FootnoteReference"/>
        </w:rPr>
        <w:footnoteReference w:id="2223"/>
      </w:r>
      <w:r>
        <w:t xml:space="preserve">. Im Hirnscanner zeigten sich in derselben Gruppe dagegen keine signifikanten Behandlungseffekte auf die Gesichtsverarbeitung</w:t>
      </w:r>
      <w:r>
        <w:rPr>
          <w:rStyle w:val="FootnoteReference"/>
        </w:rPr>
        <w:footnoteReference w:id="2224"/>
      </w:r>
      <w:r>
        <w:t xml:space="preserve">.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78"/>
        </w:numPr>
        <w:pStyle w:val="Compact"/>
      </w:pPr>
      <w:r>
        <w:t xml:space="preserve">Eine Meta-Analyse von 17 randomisierten Studien mit 466 Personen mit Entwicklungsstörungen fand keinen Effekt auf die Gefühlserkennung und einen kleinen Effekt auf das Verständnis der Gedanken anderer</w:t>
      </w:r>
      <w:r>
        <w:rPr>
          <w:rStyle w:val="FootnoteReference"/>
        </w:rPr>
        <w:footnoteReference w:id="2225"/>
      </w:r>
      <w:r>
        <w:t xml:space="preserve">.</w:t>
      </w:r>
    </w:p>
    <w:p>
      <w:pPr>
        <w:numPr>
          <w:ilvl w:val="0"/>
          <w:numId w:val="1278"/>
        </w:numPr>
        <w:pStyle w:val="Compact"/>
      </w:pPr>
      <w:r>
        <w:t xml:space="preserve">Eine Meta-Analyse von 28 Studien mit 726 Personen mit Autismus, darunter auch nicht kontrollierte, kam zu einem positiveren Urteil über die soziale Funktion</w:t>
      </w:r>
      <w:r>
        <w:rPr>
          <w:rStyle w:val="FootnoteReference"/>
        </w:rPr>
        <w:footnoteReference w:id="2226"/>
      </w:r>
      <w:r>
        <w:t xml:space="preserve">. Der Einschluss unkontrollierter Studien macht dieses Ergebnis anfällig für Verzerrungen.</w:t>
      </w:r>
    </w:p>
    <w:p>
      <w:pPr>
        <w:numPr>
          <w:ilvl w:val="0"/>
          <w:numId w:val="1278"/>
        </w:numPr>
        <w:pStyle w:val="Compact"/>
      </w:pPr>
      <w:r>
        <w:t xml:space="preserve">Die bislang größte Meta-Analyse über alle psychischen Erkrankungen (42 doppelblinde Studien, 1.922 Personen) fand insgesamt keinen signifikanten Effekt. Nach Ausschluss zweier Ausreißer lag die Effektstärke nahe null</w:t>
      </w:r>
      <w:r>
        <w:rPr>
          <w:rStyle w:val="FootnoteReference"/>
        </w:rPr>
        <w:footnoteReference w:id="2227"/>
      </w:r>
      <w:r>
        <w:t xml:space="preserve">.</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w:t>
      </w:r>
      <w:r>
        <w:rPr>
          <w:rStyle w:val="FootnoteReference"/>
        </w:rPr>
        <w:footnoteReference w:id="2228"/>
      </w:r>
      <w:r>
        <w:t xml:space="preserve">. Bis das in eigenen Studien bestätigt ist, bleibt es eine Hypothese.</w:t>
      </w:r>
    </w:p>
    <w:bookmarkEnd w:id="2229"/>
    <w:bookmarkStart w:id="2237"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w:t>
      </w:r>
      <w:r>
        <w:rPr>
          <w:rStyle w:val="FootnoteReference"/>
        </w:rPr>
        <w:footnoteReference w:id="2230"/>
      </w:r>
      <w:r>
        <w:t xml:space="preserve">. Eine Meta-Analyse von neun Studien fand keinen konsistenten Effekt auf sogenannte Negativsymptome wie Antriebslosigkeit und sozialen Rückzug</w:t>
      </w:r>
      <w:r>
        <w:rPr>
          <w:rStyle w:val="FootnoteReference"/>
        </w:rPr>
        <w:footnoteReference w:id="2231"/>
      </w:r>
      <w:r>
        <w:t xml:space="preserve">. Die große Meta-Analyse von 2026 sah in dieser Gruppe einen kleinen, gerade signifikanten Effekt (Effektstärke 0,12) und stellte fest, dass Studien mit mehr Frauen tendenziell größere Effekte zeigten</w:t>
      </w:r>
      <w:r>
        <w:rPr>
          <w:rStyle w:val="FootnoteReference"/>
        </w:rPr>
        <w:footnoteReference w:id="2232"/>
      </w:r>
      <w:r>
        <w:t xml:space="preserve">.</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w:t>
      </w:r>
      <w:r>
        <w:rPr>
          <w:rStyle w:val="FootnoteReference"/>
        </w:rPr>
        <w:footnoteReference w:id="2233"/>
      </w:r>
      <w:r>
        <w:t xml:space="preserve">. Eine Meta-Analyse von sechs randomisierten Studien zur Alkoholabhängigkeit fand keinen Effekt; eine bayessche Auswertung sprach sogar mäßig für das Fehlen einer Wirkung</w:t>
      </w:r>
      <w:r>
        <w:rPr>
          <w:rStyle w:val="FootnoteReference"/>
        </w:rPr>
        <w:footnoteReference w:id="2234"/>
      </w:r>
      <w:r>
        <w:t xml:space="preserve">.</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w:t>
      </w:r>
      <w:r>
        <w:rPr>
          <w:rStyle w:val="FootnoteReference"/>
        </w:rPr>
        <w:footnoteReference w:id="2235"/>
      </w:r>
      <w:r>
        <w:t xml:space="preserve">.</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w:t>
      </w:r>
      <w:r>
        <w:rPr>
          <w:rStyle w:val="FootnoteReference"/>
        </w:rPr>
        <w:footnoteReference w:id="2236"/>
      </w:r>
      <w:r>
        <w:t xml:space="preserve">.</w:t>
      </w:r>
    </w:p>
    <w:bookmarkEnd w:id="2237"/>
    <w:bookmarkStart w:id="2244"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w:t>
      </w:r>
      <w:r>
        <w:rPr>
          <w:rStyle w:val="FootnoteReference"/>
        </w:rPr>
        <w:footnoteReference w:id="2238"/>
      </w:r>
      <w:r>
        <w:t xml:space="preserve">.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w:t>
      </w:r>
      <w:r>
        <w:rPr>
          <w:rStyle w:val="FootnoteReference"/>
        </w:rPr>
        <w:footnoteReference w:id="2239"/>
      </w:r>
      <w:r>
        <w:t xml:space="preserve">. Eine kleine Pilotstudie bei 21 älteren Menschen mit Übergewicht und Muskelschwund fand einen Zuwachs an Muskelmasse von 2,25 kg</w:t>
      </w:r>
      <w:r>
        <w:rPr>
          <w:rStyle w:val="FootnoteReference"/>
        </w:rPr>
        <w:footnoteReference w:id="2240"/>
      </w:r>
      <w:r>
        <w:t xml:space="preserve">;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w:t>
      </w:r>
      <w:r>
        <w:rPr>
          <w:rStyle w:val="FootnoteReference"/>
        </w:rPr>
        <w:footnoteReference w:id="2241"/>
      </w:r>
      <w:r>
        <w:t xml:space="preserve">. In einer Studie mit 23 Kindern besserten sich Heißhunger und Wiederholungsverhalten sogar eher unter Placebo</w:t>
      </w:r>
      <w:r>
        <w:rPr>
          <w:rStyle w:val="FootnoteReference"/>
        </w:rPr>
        <w:footnoteReference w:id="2242"/>
      </w:r>
      <w:r>
        <w:t xml:space="preserve">.</w:t>
      </w:r>
    </w:p>
    <w:p>
      <w:pPr>
        <w:pStyle w:val="BodyText"/>
      </w:pPr>
      <w:r>
        <w:rPr>
          <w:bCs/>
          <w:b/>
        </w:rPr>
        <w:t xml:space="preserve">Schmerz.</w:t>
      </w:r>
      <w:r>
        <w:t xml:space="preserve"> </w:t>
      </w:r>
      <w:r>
        <w:t xml:space="preserve">Eine Meta-Analyse von 15 Studien fand keinen signifikanten Effekt auf Schmerzintensität oder Unannehmlichkeit des Schmerzes</w:t>
      </w:r>
      <w:r>
        <w:rPr>
          <w:rStyle w:val="FootnoteReference"/>
        </w:rPr>
        <w:footnoteReference w:id="2243"/>
      </w:r>
      <w:r>
        <w:t xml:space="preserve">.</w:t>
      </w:r>
    </w:p>
    <w:bookmarkEnd w:id="2244"/>
    <w:bookmarkStart w:id="2247"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w:t>
      </w:r>
      <w:r>
        <w:rPr>
          <w:rStyle w:val="FootnoteReference"/>
        </w:rPr>
        <w:footnoteReference w:id="2245"/>
      </w:r>
      <w:r>
        <w:t xml:space="preserve">. Eine Meta-Analyse zu Medikamenten gegen sexuelle Funktionsstörungen der Frau, die auch Oxytocin-Studien einschloss, fand, dass rund zwei Drittel der Verbesserung auch unter Placebo auftraten</w:t>
      </w:r>
      <w:r>
        <w:rPr>
          <w:rStyle w:val="FootnoteReference"/>
        </w:rPr>
        <w:footnoteReference w:id="2246"/>
      </w:r>
      <w:r>
        <w:t xml:space="preserve">. Belastbare Belege für eine Wirkung auf die Sexualität gibt es nicht.</w:t>
      </w:r>
    </w:p>
    <w:bookmarkEnd w:id="2247"/>
    <w:bookmarkStart w:id="2250"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w:t>
      </w:r>
      <w:r>
        <w:rPr>
          <w:rStyle w:val="FootnoteReference"/>
        </w:rPr>
        <w:footnoteReference w:id="2248"/>
      </w:r>
      <w:r>
        <w:t xml:space="preserve">. Das spricht dafür, dass viele dieser Menschen auch einen Oxytocin-Mangel haben. Ob ein Ersatz per Nasenspray ihre psychischen Beschwerden lindert, prüft eine laufende Studie</w:t>
      </w:r>
      <w:r>
        <w:rPr>
          <w:rStyle w:val="FootnoteReference"/>
        </w:rPr>
        <w:footnoteReference w:id="2249"/>
      </w:r>
      <w:r>
        <w:t xml:space="preserve">. Auch Kisspeptin wird als möglicher Test für einen Oxytocin-Mangel untersucht (Galbiati 2025, PMID 39965102; Kapitel 2E04).</w:t>
      </w:r>
    </w:p>
    <w:bookmarkEnd w:id="2250"/>
    <w:bookmarkEnd w:id="2251"/>
    <w:bookmarkStart w:id="2254" w:name="tier--und-laborstudien-50"/>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w:t>
      </w:r>
      <w:r>
        <w:rPr>
          <w:rStyle w:val="FootnoteReference"/>
        </w:rPr>
        <w:footnoteReference w:id="2252"/>
      </w:r>
      <w:r>
        <w:t xml:space="preserve">. Bei Rhesusaffen gelangte markiertes Oxytocin über die Nase in bestimmte Hirnregionen</w:t>
      </w:r>
      <w:r>
        <w:rPr>
          <w:rStyle w:val="FootnoteReference"/>
        </w:rPr>
        <w:footnoteReference w:id="2253"/>
      </w:r>
      <w:r>
        <w:t xml:space="preserve">.</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2254"/>
    <w:bookmarkStart w:id="2264" w:name="risiken-und-nebenwirkungen-50"/>
    <w:p>
      <w:pPr>
        <w:pStyle w:val="Heading3"/>
      </w:pPr>
      <w:r>
        <w:t xml:space="preserve">Risiken und Nebenwirkungen</w:t>
      </w:r>
    </w:p>
    <w:bookmarkStart w:id="2259"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w:t>
      </w:r>
      <w:r>
        <w:rPr>
          <w:rStyle w:val="FootnoteReference"/>
        </w:rPr>
        <w:footnoteReference w:id="2255"/>
      </w:r>
      <w:r>
        <w:t xml:space="preserve">. In SOARS-B waren Nebenwirkungen über 24 Wochen in beiden Gruppen gleich häufig</w:t>
      </w:r>
      <w:r>
        <w:rPr>
          <w:rStyle w:val="FootnoteReference"/>
        </w:rPr>
        <w:footnoteReference w:id="2256"/>
      </w:r>
      <w:r>
        <w:t xml:space="preserve">. Bei 95 älteren Männern traten über vier Wochen keine Veränderungen bei Blutdruck, Urin- oder Blutwerten auf</w:t>
      </w:r>
      <w:r>
        <w:rPr>
          <w:rStyle w:val="FootnoteReference"/>
        </w:rPr>
        <w:footnoteReference w:id="2257"/>
      </w:r>
      <w:r>
        <w:t xml:space="preserve">. In Kinderstudien wurden Durst, vermehrtes Wasserlassen und Verstopfung berichtet</w:t>
      </w:r>
      <w:r>
        <w:rPr>
          <w:rStyle w:val="FootnoteReference"/>
        </w:rPr>
        <w:footnoteReference w:id="2258"/>
      </w:r>
      <w:r>
        <w:t xml:space="preserve">.</w:t>
      </w:r>
    </w:p>
    <w:bookmarkEnd w:id="2259"/>
    <w:bookmarkStart w:id="2262" w:name="möglich-und-zu-beachten"/>
    <w:p>
      <w:pPr>
        <w:pStyle w:val="Heading4"/>
      </w:pPr>
      <w:r>
        <w:t xml:space="preserve">Möglich und zu beachten</w:t>
      </w:r>
    </w:p>
    <w:p>
      <w:pPr>
        <w:numPr>
          <w:ilvl w:val="0"/>
          <w:numId w:val="1279"/>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w:t>
      </w:r>
      <w:r>
        <w:rPr>
          <w:rStyle w:val="FootnoteReference"/>
        </w:rPr>
        <w:footnoteReference w:id="2260"/>
      </w:r>
      <w:r>
        <w:t xml:space="preserve">.</w:t>
      </w:r>
    </w:p>
    <w:p>
      <w:pPr>
        <w:numPr>
          <w:ilvl w:val="0"/>
          <w:numId w:val="1279"/>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w:t>
      </w:r>
      <w:r>
        <w:rPr>
          <w:rStyle w:val="FootnoteReference"/>
        </w:rPr>
        <w:footnoteReference w:id="2261"/>
      </w:r>
      <w:r>
        <w:t xml:space="preserve">.</w:t>
      </w:r>
    </w:p>
    <w:p>
      <w:pPr>
        <w:numPr>
          <w:ilvl w:val="0"/>
          <w:numId w:val="1279"/>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79"/>
        </w:numPr>
        <w:pStyle w:val="Compact"/>
      </w:pPr>
      <w:r>
        <w:rPr>
          <w:bCs/>
          <w:b/>
        </w:rPr>
        <w:t xml:space="preserve">Langzeitanwendung:</w:t>
      </w:r>
      <w:r>
        <w:t xml:space="preserve"> </w:t>
      </w:r>
      <w:r>
        <w:t xml:space="preserve">Daten über mehr als sechs Monate fehlen, besonders bei Kindern.</w:t>
      </w:r>
    </w:p>
    <w:p>
      <w:pPr>
        <w:numPr>
          <w:ilvl w:val="0"/>
          <w:numId w:val="1279"/>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2262"/>
    <w:bookmarkStart w:id="2263"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2263"/>
    <w:bookmarkEnd w:id="2264"/>
    <w:bookmarkStart w:id="2265" w:name="rechtslage-50"/>
    <w:p>
      <w:pPr>
        <w:pStyle w:val="Heading3"/>
      </w:pPr>
      <w:r>
        <w:t xml:space="preserve">Rechtslage</w:t>
      </w:r>
    </w:p>
    <w:p>
      <w:pPr>
        <w:pStyle w:val="FirstParagraph"/>
      </w:pPr>
      <w:r>
        <w:rPr>
          <w:iCs/>
          <w:i/>
        </w:rPr>
        <w:t xml:space="preserve">Stand 2026, bitte aktuell prüfen.</w:t>
      </w:r>
    </w:p>
    <w:p>
      <w:pPr>
        <w:numPr>
          <w:ilvl w:val="0"/>
          <w:numId w:val="1280"/>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80"/>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80"/>
        </w:numPr>
        <w:pStyle w:val="Compact"/>
      </w:pPr>
      <w:r>
        <w:rPr>
          <w:bCs/>
          <w:b/>
        </w:rPr>
        <w:t xml:space="preserve">WADA:</w:t>
      </w:r>
      <w:r>
        <w:t xml:space="preserve"> </w:t>
      </w:r>
      <w:r>
        <w:t xml:space="preserve">nicht gelistet.</w:t>
      </w:r>
    </w:p>
    <w:bookmarkEnd w:id="2265"/>
    <w:bookmarkStart w:id="2271" w:name="laufende-studien-und-ausblick-50"/>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81"/>
        </w:numPr>
        <w:pStyle w:val="Compact"/>
      </w:pPr>
      <w:r>
        <w:rPr>
          <w:bCs/>
          <w:b/>
        </w:rPr>
        <w:t xml:space="preserve">Chronischer Schmerz:</w:t>
      </w:r>
      <w:r>
        <w:t xml:space="preserve"> </w:t>
      </w:r>
      <w:r>
        <w:t xml:space="preserve">Eine kanadische Phase-2/3-Studie mit 336 Teilnehmenden</w:t>
      </w:r>
      <w:r>
        <w:rPr>
          <w:rStyle w:val="FootnoteReference"/>
        </w:rPr>
        <w:footnoteReference w:id="2266"/>
      </w:r>
      <w:r>
        <w:t xml:space="preserve"> </w:t>
      </w:r>
      <w:r>
        <w:t xml:space="preserve">ist abgeschlossen, Ergebnisse stehen aus.</w:t>
      </w:r>
    </w:p>
    <w:p>
      <w:pPr>
        <w:numPr>
          <w:ilvl w:val="0"/>
          <w:numId w:val="1281"/>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81"/>
        </w:numPr>
        <w:pStyle w:val="Compact"/>
      </w:pPr>
      <w:r>
        <w:rPr>
          <w:bCs/>
          <w:b/>
        </w:rPr>
        <w:t xml:space="preserve">Oxytocin-Mangel:</w:t>
      </w:r>
      <w:r>
        <w:t xml:space="preserve"> </w:t>
      </w:r>
      <w:r>
        <w:t xml:space="preserve">Eine Schweizer Studie mit 112 Personen prüft einen Oxytocin-Ersatz bei Vasopressin-Mangel</w:t>
      </w:r>
      <w:r>
        <w:rPr>
          <w:rStyle w:val="FootnoteReference"/>
        </w:rPr>
        <w:footnoteReference w:id="2267"/>
      </w:r>
      <w:r>
        <w:t xml:space="preserve">.</w:t>
      </w:r>
    </w:p>
    <w:p>
      <w:pPr>
        <w:numPr>
          <w:ilvl w:val="0"/>
          <w:numId w:val="1281"/>
        </w:numPr>
        <w:pStyle w:val="Compact"/>
      </w:pPr>
      <w:r>
        <w:rPr>
          <w:bCs/>
          <w:b/>
        </w:rPr>
        <w:t xml:space="preserve">Autismus und Knochen:</w:t>
      </w:r>
      <w:r>
        <w:t xml:space="preserve"> </w:t>
      </w:r>
      <w:r>
        <w:t xml:space="preserve">Eine Studie mit 96 Kindern untersucht Effekte auf die Knochengesundheit</w:t>
      </w:r>
      <w:r>
        <w:rPr>
          <w:rStyle w:val="FootnoteReference"/>
        </w:rPr>
        <w:footnoteReference w:id="2268"/>
      </w:r>
      <w:r>
        <w:t xml:space="preserve">.</w:t>
      </w:r>
    </w:p>
    <w:p>
      <w:pPr>
        <w:numPr>
          <w:ilvl w:val="0"/>
          <w:numId w:val="1281"/>
        </w:numPr>
        <w:pStyle w:val="Compact"/>
      </w:pPr>
      <w:r>
        <w:rPr>
          <w:bCs/>
          <w:b/>
        </w:rPr>
        <w:t xml:space="preserve">Essstörungen:</w:t>
      </w:r>
      <w:r>
        <w:t xml:space="preserve"> </w:t>
      </w:r>
      <w:r>
        <w:t xml:space="preserve">eine Phase-2-Studie zu Binge-Eating</w:t>
      </w:r>
      <w:r>
        <w:rPr>
          <w:rStyle w:val="FootnoteReference"/>
        </w:rPr>
        <w:footnoteReference w:id="2269"/>
      </w:r>
      <w:r>
        <w:t xml:space="preserve">.</w:t>
      </w:r>
    </w:p>
    <w:p>
      <w:pPr>
        <w:numPr>
          <w:ilvl w:val="0"/>
          <w:numId w:val="1281"/>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w:t>
      </w:r>
      <w:r>
        <w:rPr>
          <w:rStyle w:val="FootnoteReference"/>
        </w:rPr>
        <w:footnoteReference w:id="2270"/>
      </w:r>
      <w:r>
        <w:t xml:space="preserve">.</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2271"/>
    <w:bookmarkStart w:id="2272" w:name="fazit-50"/>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2272"/>
    <w:bookmarkEnd w:id="2273"/>
    <w:bookmarkStart w:id="2311" w:name="gonadorelin"/>
    <w:p>
      <w:pPr>
        <w:pStyle w:val="Heading2"/>
      </w:pPr>
      <w:r>
        <w:t xml:space="preserve">Gonadorelin</w:t>
      </w:r>
    </w:p>
    <w:bookmarkStart w:id="2274" w:name="steckbrief-51"/>
    <w:p>
      <w:pPr>
        <w:pStyle w:val="Heading3"/>
      </w:pPr>
      <w:r>
        <w:t xml:space="preserve">Steckbrief</w:t>
      </w:r>
    </w:p>
    <w:p>
      <w:pPr>
        <w:numPr>
          <w:ilvl w:val="0"/>
          <w:numId w:val="1282"/>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82"/>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82"/>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82"/>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82"/>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82"/>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82"/>
        </w:numPr>
        <w:pStyle w:val="Compact"/>
      </w:pPr>
      <w:r>
        <w:rPr>
          <w:bCs/>
          <w:b/>
        </w:rPr>
        <w:t xml:space="preserve">WADA:</w:t>
      </w:r>
      <w:r>
        <w:t xml:space="preserve"> </w:t>
      </w:r>
      <w:r>
        <w:t xml:space="preserve">für Männer verboten (Gruppe S2, Gonadorelin wird dort namentlich genannt), im Wettkampf und außerhalb.</w:t>
      </w:r>
    </w:p>
    <w:p>
      <w:pPr>
        <w:numPr>
          <w:ilvl w:val="0"/>
          <w:numId w:val="1282"/>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2274"/>
    <w:bookmarkStart w:id="2275" w:name="wie-es-wirken-soll-51"/>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83"/>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83"/>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2275"/>
    <w:bookmarkStart w:id="2295" w:name="studien-am-menschen-51"/>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84"/>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84"/>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w:t>
      </w:r>
      <w:r>
        <w:rPr>
          <w:rStyle w:val="FootnoteReference"/>
        </w:rPr>
        <w:footnoteReference w:id="2276"/>
      </w:r>
      <w:r>
        <w:t xml:space="preserve">, andere nutzten Gonadorelin nur als Testsubstanz, etwa um die Wirkung eines Cholesterinsenkers oder von UV-Licht auf die Hormonachse zu prüfen</w:t>
      </w:r>
      <w:r>
        <w:rPr>
          <w:rStyle w:val="FootnoteReference"/>
        </w:rPr>
        <w:footnoteReference w:id="2277"/>
      </w:r>
      <w:r>
        <w:t xml:space="preserve">.</w:t>
      </w:r>
    </w:p>
    <w:p>
      <w:pPr>
        <w:pStyle w:val="FirstParagraph"/>
      </w:pPr>
      <w:r>
        <w:t xml:space="preserve">Dieses Kapitel stützt sich deshalb auf eine ergänzende, gezielte Suche nach Studien zur pulsatilen GnRH-Therapie und zum GnRH-Test.</w:t>
      </w:r>
    </w:p>
    <w:bookmarkStart w:id="2281"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(davon 314 zur Diagnose) reichte eine einzige Blutprobe 40 Minuten nach der Injektion für die Diagnose: Bei einer LH-Schwelle von 5 IU/L lagen die Sensitivität bei 98 % und die Spezifität bei 100 %</w:t>
      </w:r>
      <w:r>
        <w:rPr>
          <w:rStyle w:val="FootnoteReference"/>
        </w:rPr>
        <w:footnoteReference w:id="2278"/>
      </w:r>
      <w:r>
        <w:t xml:space="preserve">. Eine Übersicht weist auf Grenzen hin, etwa bei sehr frühen Pubertätsstadien und bei übergewichtigen Kindern, und auf uneinheitliche Grenzwerte zwischen Studien</w:t>
      </w:r>
      <w:r>
        <w:rPr>
          <w:rStyle w:val="FootnoteReference"/>
        </w:rPr>
        <w:footnoteReference w:id="2279"/>
      </w:r>
      <w:r>
        <w:t xml:space="preserve">.</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w:t>
      </w:r>
      <w:r>
        <w:rPr>
          <w:rStyle w:val="FootnoteReference"/>
        </w:rPr>
        <w:footnoteReference w:id="2280"/>
      </w:r>
      <w:r>
        <w:t xml:space="preserve">.</w:t>
      </w:r>
    </w:p>
    <w:bookmarkEnd w:id="2281"/>
    <w:bookmarkStart w:id="2287"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w:t>
      </w:r>
      <w:r>
        <w:rPr>
          <w:rStyle w:val="FootnoteReference"/>
        </w:rPr>
        <w:footnoteReference w:id="2282"/>
      </w:r>
      <w:r>
        <w:t xml:space="preserve">. Bei Frauen mit polyzystischem Ovarsyndrom oder Übergewicht wirkt die Pumpe schlechter, und Fehlgeburten waren in der größten Einzelserie häufig</w:t>
      </w:r>
      <w:r>
        <w:rPr>
          <w:rStyle w:val="FootnoteReference"/>
        </w:rPr>
        <w:footnoteReference w:id="2283"/>
      </w:r>
      <w:r>
        <w:t xml:space="preserve">.</w:t>
      </w:r>
    </w:p>
    <w:p>
      <w:pPr>
        <w:pStyle w:val="BodyText"/>
      </w:pPr>
      <w:r>
        <w:t xml:space="preserve">Die Nachteile sind praktischer Natur: Die Pumpe muss über Wochen getragen werden. Bei Gabe in die Vene kam es zu Komplikationen am Zugang, im Mittel bei 7 %</w:t>
      </w:r>
      <w:r>
        <w:rPr>
          <w:rStyle w:val="FootnoteReference"/>
        </w:rPr>
        <w:footnoteReference w:id="2284"/>
      </w:r>
      <w:r>
        <w:t xml:space="preserve">. Heute wird meist unter die Haut gepumpt; lokale allergische Reaktionen traten in der französischen Studie in 1,7 % der Zyklen auf</w:t>
      </w:r>
      <w:r>
        <w:rPr>
          <w:rStyle w:val="FootnoteReference"/>
        </w:rPr>
        <w:footnoteReference w:id="2285"/>
      </w:r>
      <w:r>
        <w:t xml:space="preserve">.</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w:t>
      </w:r>
      <w:r>
        <w:rPr>
          <w:rStyle w:val="FootnoteReference"/>
        </w:rPr>
        <w:footnoteReference w:id="2286"/>
      </w:r>
      <w:r>
        <w:t xml:space="preserve"> </w:t>
      </w:r>
      <w:r>
        <w:t xml:space="preserve">– sofern sie verfügbar ist.</w:t>
      </w:r>
    </w:p>
    <w:bookmarkEnd w:id="2287"/>
    <w:bookmarkStart w:id="2291"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w:t>
      </w:r>
      <w:r>
        <w:rPr>
          <w:rStyle w:val="FootnoteReference"/>
        </w:rPr>
        <w:footnoteReference w:id="2288"/>
      </w:r>
      <w:r>
        <w:t xml:space="preserve">. Bei chinesischen Jungen im Pubertätsalter wuchsen die Hoden unter der Pumpe stärker als unter hCG-Spritzen</w:t>
      </w:r>
      <w:r>
        <w:rPr>
          <w:rStyle w:val="FootnoteReference"/>
        </w:rPr>
        <w:footnoteReference w:id="2289"/>
      </w:r>
      <w:r>
        <w:t xml:space="preserve">. Eine kleine randomisierte Studie fand Hinweise, dass eine Vorbehandlung mit FSH vor der Pumpe die Spermienbildung verbessern könnte: Alle sieben vorbehandelten Männer hatten später Spermien, gegenüber vier von sechs ohne Vorbehandlung</w:t>
      </w:r>
      <w:r>
        <w:rPr>
          <w:rStyle w:val="FootnoteReference"/>
        </w:rPr>
        <w:footnoteReference w:id="2290"/>
      </w:r>
      <w:r>
        <w:t xml:space="preserve">.</w:t>
      </w:r>
    </w:p>
    <w:bookmarkEnd w:id="2291"/>
    <w:bookmarkStart w:id="2294"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w:t>
      </w:r>
      <w:r>
        <w:rPr>
          <w:rStyle w:val="FootnoteReference"/>
        </w:rPr>
        <w:footnoteReference w:id="2292"/>
      </w:r>
      <w:r>
        <w:t xml:space="preserve">. Eine weitere randomisierte Studie mit 36 Jungen fand dagegen keinen Unterschied bei Penisgröße, Hodenvolumen oder Hormonwerten zum Zeitpunkt der Operation; die Behandlung erwies sich aber als sicher</w:t>
      </w:r>
      <w:r>
        <w:rPr>
          <w:rStyle w:val="FootnoteReference"/>
        </w:rPr>
        <w:footnoteReference w:id="2293"/>
      </w:r>
      <w:r>
        <w:t xml:space="preserve">. Der Nutzen ist umstritten; im Vordergrund steht die frühe Operation.</w:t>
      </w:r>
    </w:p>
    <w:bookmarkEnd w:id="2294"/>
    <w:bookmarkEnd w:id="2295"/>
    <w:bookmarkStart w:id="2296" w:name="tier--und-laborstudien-51"/>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2296"/>
    <w:bookmarkStart w:id="2300" w:name="risiken-und-nebenwirkungen-51"/>
    <w:p>
      <w:pPr>
        <w:pStyle w:val="Heading3"/>
      </w:pPr>
      <w:r>
        <w:t xml:space="preserve">Risiken und Nebenwirkungen</w:t>
      </w:r>
    </w:p>
    <w:bookmarkStart w:id="2298"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w:t>
      </w:r>
      <w:r>
        <w:rPr>
          <w:rStyle w:val="FootnoteReference"/>
        </w:rPr>
        <w:footnoteReference w:id="2297"/>
      </w:r>
      <w:r>
        <w:t xml:space="preserve">.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2298"/>
    <w:bookmarkStart w:id="2299"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2299"/>
    <w:bookmarkEnd w:id="2300"/>
    <w:bookmarkStart w:id="2304"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85"/>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w:t>
      </w:r>
      <w:r>
        <w:rPr>
          <w:rStyle w:val="FootnoteReference"/>
        </w:rPr>
        <w:footnoteReference w:id="2301"/>
      </w:r>
      <w:r>
        <w:t xml:space="preserve">.</w:t>
      </w:r>
    </w:p>
    <w:p>
      <w:pPr>
        <w:numPr>
          <w:ilvl w:val="0"/>
          <w:numId w:val="1285"/>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w:t>
      </w:r>
      <w:r>
        <w:rPr>
          <w:rStyle w:val="FootnoteReference"/>
        </w:rPr>
        <w:footnoteReference w:id="2302"/>
      </w:r>
      <w:r>
        <w:t xml:space="preserve">.</w:t>
      </w:r>
    </w:p>
    <w:p>
      <w:pPr>
        <w:numPr>
          <w:ilvl w:val="0"/>
          <w:numId w:val="1285"/>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85"/>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w:t>
      </w:r>
      <w:r>
        <w:rPr>
          <w:rStyle w:val="FootnoteReference"/>
        </w:rPr>
        <w:footnoteReference w:id="2303"/>
      </w:r>
      <w:r>
        <w:t xml:space="preserve">.</w:t>
      </w:r>
    </w:p>
    <w:bookmarkEnd w:id="2304"/>
    <w:bookmarkStart w:id="2305" w:name="rechtslage-51"/>
    <w:p>
      <w:pPr>
        <w:pStyle w:val="Heading3"/>
      </w:pPr>
      <w:r>
        <w:t xml:space="preserve">Rechtslage</w:t>
      </w:r>
    </w:p>
    <w:p>
      <w:pPr>
        <w:pStyle w:val="FirstParagraph"/>
      </w:pPr>
      <w:r>
        <w:rPr>
          <w:iCs/>
          <w:i/>
        </w:rPr>
        <w:t xml:space="preserve">Stand 2026, bitte aktuell prüfen.</w:t>
      </w:r>
    </w:p>
    <w:p>
      <w:pPr>
        <w:numPr>
          <w:ilvl w:val="0"/>
          <w:numId w:val="1286"/>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86"/>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86"/>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86"/>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86"/>
        </w:numPr>
        <w:pStyle w:val="Compact"/>
      </w:pPr>
      <w:r>
        <w:rPr>
          <w:bCs/>
          <w:b/>
        </w:rPr>
        <w:t xml:space="preserve">WADA:</w:t>
      </w:r>
      <w:r>
        <w:t xml:space="preserve"> </w:t>
      </w:r>
      <w:r>
        <w:t xml:space="preserve">S2 – für Männer im Wettkampf und außerhalb verboten.</w:t>
      </w:r>
    </w:p>
    <w:bookmarkEnd w:id="2305"/>
    <w:bookmarkStart w:id="2309" w:name="laufende-studien-und-ausblick-51"/>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87"/>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87"/>
        </w:numPr>
        <w:pStyle w:val="Compact"/>
      </w:pPr>
      <w:r>
        <w:t xml:space="preserve">eine 2025 zurückgezogene Studie zur GnRH-Gabe mit einer modernen Insulinpumpe ohne Schlauch</w:t>
      </w:r>
      <w:r>
        <w:rPr>
          <w:rStyle w:val="FootnoteReference"/>
        </w:rPr>
        <w:footnoteReference w:id="2306"/>
      </w:r>
      <w:r>
        <w:t xml:space="preserve">;</w:t>
      </w:r>
    </w:p>
    <w:p>
      <w:pPr>
        <w:numPr>
          <w:ilvl w:val="0"/>
          <w:numId w:val="1287"/>
        </w:numPr>
        <w:pStyle w:val="Compact"/>
      </w:pPr>
      <w:r>
        <w:t xml:space="preserve">chinesische Studien zur Pumpe bei angeborenem Hormonmangel</w:t>
      </w:r>
      <w:r>
        <w:rPr>
          <w:rStyle w:val="FootnoteReference"/>
        </w:rPr>
        <w:footnoteReference w:id="2307"/>
      </w:r>
      <w:r>
        <w:t xml:space="preserve"> </w:t>
      </w:r>
      <w:r>
        <w:t xml:space="preserve">und bei PCOS</w:t>
      </w:r>
      <w:r>
        <w:rPr>
          <w:rStyle w:val="FootnoteReference"/>
        </w:rPr>
        <w:footnoteReference w:id="2308"/>
      </w:r>
      <w:r>
        <w:t xml:space="preserve">,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2309"/>
    <w:bookmarkStart w:id="2310" w:name="fazit-51"/>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2310"/>
    <w:bookmarkEnd w:id="2311"/>
    <w:bookmarkEnd w:id="2312"/>
    <w:bookmarkStart w:id="2523"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2314"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88"/>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88"/>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w:t>
      </w:r>
      <w:r>
        <w:rPr>
          <w:rStyle w:val="FootnoteReference"/>
        </w:rPr>
        <w:footnoteReference w:id="2313"/>
      </w:r>
      <w:r>
        <w:t xml:space="preserve">.</w:t>
      </w:r>
    </w:p>
    <w:p>
      <w:pPr>
        <w:numPr>
          <w:ilvl w:val="0"/>
          <w:numId w:val="1288"/>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88"/>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2314"/>
    <w:bookmarkStart w:id="2315"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89"/>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89"/>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89"/>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w:t>
      </w:r>
    </w:p>
    <w:bookmarkEnd w:id="2315"/>
    <w:bookmarkStart w:id="2316" w:name="überblick-4"/>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2316"/>
    <w:bookmarkStart w:id="2317" w:name="lesehinweis-5"/>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2317"/>
    <w:bookmarkStart w:id="2369" w:name="kollagenpeptide-kollagenhydrolysat"/>
    <w:p>
      <w:pPr>
        <w:pStyle w:val="Heading2"/>
      </w:pPr>
      <w:r>
        <w:t xml:space="preserve">Kollagenpeptide (Kollagenhydrolysat)</w:t>
      </w:r>
    </w:p>
    <w:bookmarkStart w:id="2318" w:name="steckbrief-52"/>
    <w:p>
      <w:pPr>
        <w:pStyle w:val="Heading3"/>
      </w:pPr>
      <w:r>
        <w:t xml:space="preserve">Steckbrief</w:t>
      </w:r>
    </w:p>
    <w:p>
      <w:pPr>
        <w:numPr>
          <w:ilvl w:val="0"/>
          <w:numId w:val="1290"/>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90"/>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90"/>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90"/>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90"/>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90"/>
        </w:numPr>
        <w:pStyle w:val="Compact"/>
      </w:pPr>
      <w:r>
        <w:rPr>
          <w:bCs/>
          <w:b/>
        </w:rPr>
        <w:t xml:space="preserve">Zulassung USA:</w:t>
      </w:r>
      <w:r>
        <w:t xml:space="preserve"> </w:t>
      </w:r>
      <w:r>
        <w:t xml:space="preserve">keine Arzneimittelzulassung; als Nahrungsergänzungsmittel (Dietary Supplement) im Handel.</w:t>
      </w:r>
    </w:p>
    <w:p>
      <w:pPr>
        <w:numPr>
          <w:ilvl w:val="0"/>
          <w:numId w:val="1290"/>
        </w:numPr>
        <w:pStyle w:val="Compact"/>
      </w:pPr>
      <w:r>
        <w:rPr>
          <w:bCs/>
          <w:b/>
        </w:rPr>
        <w:t xml:space="preserve">WADA:</w:t>
      </w:r>
      <w:r>
        <w:t xml:space="preserve"> </w:t>
      </w:r>
      <w:r>
        <w:t xml:space="preserve">nicht gelistet.</w:t>
      </w:r>
    </w:p>
    <w:p>
      <w:pPr>
        <w:numPr>
          <w:ilvl w:val="0"/>
          <w:numId w:val="1290"/>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2318"/>
    <w:bookmarkStart w:id="2323" w:name="wie-es-wirken-soll-52"/>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91"/>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w:t>
      </w:r>
      <w:r>
        <w:rPr>
          <w:rStyle w:val="FootnoteReference"/>
        </w:rPr>
        <w:footnoteReference w:id="2319"/>
      </w:r>
      <w:r>
        <w:t xml:space="preserve">. Ähnliches zeigte sich für ein Präparat mit hohem Anteil an Dreierpeptiden</w:t>
      </w:r>
      <w:r>
        <w:rPr>
          <w:rStyle w:val="FootnoteReference"/>
        </w:rPr>
        <w:footnoteReference w:id="2320"/>
      </w:r>
      <w:r>
        <w:t xml:space="preserve">.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91"/>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w:t>
      </w:r>
      <w:r>
        <w:rPr>
          <w:rStyle w:val="FootnoteReference"/>
        </w:rPr>
        <w:footnoteReference w:id="2321"/>
      </w:r>
      <w:r>
        <w:t xml:space="preserve">.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w:t>
      </w:r>
      <w:r>
        <w:rPr>
          <w:rStyle w:val="FootnoteReference"/>
        </w:rPr>
        <w:footnoteReference w:id="2322"/>
      </w:r>
      <w:r>
        <w:t xml:space="preserve">. Für den Muskelaufbau ist Kollagen anderen Eiweißen daher unterlegen – dazu unten mehr.</w:t>
      </w:r>
    </w:p>
    <w:bookmarkEnd w:id="2323"/>
    <w:bookmarkStart w:id="2351" w:name="studien-am-menschen-52"/>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92"/>
        </w:numPr>
        <w:pStyle w:val="Compact"/>
      </w:pPr>
      <w:r>
        <w:rPr>
          <w:bCs/>
          <w:b/>
        </w:rPr>
        <w:t xml:space="preserve">Kleine Fallzahlen und kurze Dauer:</w:t>
      </w:r>
      <w:r>
        <w:t xml:space="preserve"> </w:t>
      </w:r>
      <w:r>
        <w:t xml:space="preserve">meist 40 bis 150 Teilnehmende über 8 bis 24 Wochen.</w:t>
      </w:r>
    </w:p>
    <w:p>
      <w:pPr>
        <w:numPr>
          <w:ilvl w:val="0"/>
          <w:numId w:val="1292"/>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92"/>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2326"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w:t>
      </w:r>
      <w:r>
        <w:rPr>
          <w:rStyle w:val="FootnoteReference"/>
        </w:rPr>
        <w:footnoteReference w:id="2324"/>
      </w:r>
      <w:r>
        <w:t xml:space="preserve">.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w:t>
      </w:r>
      <w:r>
        <w:rPr>
          <w:rStyle w:val="FootnoteReference"/>
        </w:rPr>
        <w:footnoteReference w:id="2325"/>
      </w:r>
      <w:r>
        <w:t xml:space="preserve">. Eine kleine Studie aus 2026 bei mittelschwerer Neurodermitis berichtete einen geringeren Verbrauch von Kortisoncreme unter 5 g Kollagenpeptiden (0,94 g gegenüber 5,60 g; Proksch 2026, PMID 41758763); die Autoren selbst fordern größere Bestätigungsstudien.</w:t>
      </w:r>
    </w:p>
    <w:bookmarkEnd w:id="2326"/>
    <w:bookmarkStart w:id="2331"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93"/>
        </w:numPr>
        <w:pStyle w:val="Compact"/>
      </w:pPr>
      <w:r>
        <w:t xml:space="preserve">19 Studien mit 1.125 Teilnehmenden: günstige Wirkung auf Feuchtigkeit, Elastizität und Falten</w:t>
      </w:r>
      <w:r>
        <w:rPr>
          <w:rStyle w:val="FootnoteReference"/>
        </w:rPr>
        <w:footnoteReference w:id="2327"/>
      </w:r>
      <w:r>
        <w:t xml:space="preserve">.</w:t>
      </w:r>
    </w:p>
    <w:p>
      <w:pPr>
        <w:numPr>
          <w:ilvl w:val="0"/>
          <w:numId w:val="1293"/>
        </w:numPr>
        <w:pStyle w:val="Compact"/>
      </w:pPr>
      <w:r>
        <w:t xml:space="preserve">26 Studien mit 1.721 Teilnehmenden: signifikante Verbesserung von Feuchtigkeit und Elastizität; die Autoren benennen aber mehrere Verzerrungsquellen und fordern große Studien</w:t>
      </w:r>
      <w:r>
        <w:rPr>
          <w:rStyle w:val="FootnoteReference"/>
        </w:rPr>
        <w:footnoteReference w:id="2328"/>
      </w:r>
      <w:r>
        <w:t xml:space="preserve">.</w:t>
      </w:r>
    </w:p>
    <w:p>
      <w:pPr>
        <w:numPr>
          <w:ilvl w:val="0"/>
          <w:numId w:val="1293"/>
        </w:numPr>
        <w:pStyle w:val="Compact"/>
      </w:pPr>
      <w:r>
        <w:t xml:space="preserve">10 Studien mit 646 Teilnehmenden: Feuchtigkeit und Elastizität verbessert, bei mittlerer Heterogenität und überwiegend unklarem Verzerrungsrisiko</w:t>
      </w:r>
      <w:r>
        <w:rPr>
          <w:rStyle w:val="FootnoteReference"/>
        </w:rPr>
        <w:footnoteReference w:id="2329"/>
      </w:r>
      <w:r>
        <w:t xml:space="preserve">.</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w:t>
      </w:r>
      <w:r>
        <w:rPr>
          <w:rStyle w:val="FootnoteReference"/>
        </w:rPr>
        <w:footnoteReference w:id="2330"/>
      </w:r>
      <w:r>
        <w:t xml:space="preserve">.</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2331"/>
    <w:bookmarkStart w:id="2337"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94"/>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w:t>
      </w:r>
      <w:r>
        <w:rPr>
          <w:rStyle w:val="FootnoteReference"/>
        </w:rPr>
        <w:footnoteReference w:id="2332"/>
      </w:r>
      <w:r>
        <w:t xml:space="preserve">.</w:t>
      </w:r>
    </w:p>
    <w:p>
      <w:pPr>
        <w:numPr>
          <w:ilvl w:val="0"/>
          <w:numId w:val="1294"/>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w:t>
      </w:r>
      <w:r>
        <w:rPr>
          <w:rStyle w:val="FootnoteReference"/>
        </w:rPr>
        <w:footnoteReference w:id="2333"/>
      </w:r>
      <w:r>
        <w:t xml:space="preserve">.</w:t>
      </w:r>
    </w:p>
    <w:p>
      <w:pPr>
        <w:numPr>
          <w:ilvl w:val="0"/>
          <w:numId w:val="1294"/>
        </w:numPr>
        <w:pStyle w:val="Compact"/>
      </w:pPr>
      <w:r>
        <w:t xml:space="preserve">Eine Auswertung von nur vier Studien mit 507 Patientinnen und Patienten mit Kniearthrose fand ebenfalls eine Schmerzlinderung, stufte aber alle vier Studien als mit hohem Verzerrungsrisiko behaftet ein</w:t>
      </w:r>
      <w:r>
        <w:rPr>
          <w:rStyle w:val="FootnoteReference"/>
        </w:rPr>
        <w:footnoteReference w:id="2334"/>
      </w:r>
      <w:r>
        <w:t xml:space="preserve">.</w:t>
      </w:r>
    </w:p>
    <w:p>
      <w:pPr>
        <w:numPr>
          <w:ilvl w:val="0"/>
          <w:numId w:val="1294"/>
        </w:numPr>
        <w:pStyle w:val="Compact"/>
      </w:pPr>
      <w:r>
        <w:t xml:space="preserve">Eine aktualisierte Meta-Analyse mit 11 Studien und 870 Teilnehmenden berichtete Verbesserungen von Funktion und Schmerz, allerdings bei sehr hoher Heterogenität (I² 75 bzw. 88 %)</w:t>
      </w:r>
      <w:r>
        <w:rPr>
          <w:rStyle w:val="FootnoteReference"/>
        </w:rPr>
        <w:footnoteReference w:id="2335"/>
      </w:r>
      <w:r>
        <w:t xml:space="preserve">.</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w:t>
      </w:r>
      <w:r>
        <w:rPr>
          <w:rStyle w:val="FootnoteReference"/>
        </w:rPr>
        <w:footnoteReference w:id="2336"/>
      </w:r>
      <w:r>
        <w:t xml:space="preserve">.</w:t>
      </w:r>
    </w:p>
    <w:bookmarkEnd w:id="2337"/>
    <w:bookmarkStart w:id="2340"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w:t>
      </w:r>
      <w:r>
        <w:rPr>
          <w:rStyle w:val="FootnoteReference"/>
        </w:rPr>
        <w:footnoteReference w:id="2338"/>
      </w:r>
      <w:r>
        <w:t xml:space="preserve">. Eine größere Studie mit 274 Teilnehmenden und vier Dosierungen fand danach nur in der niedrigsten Dosis und nur nach einem von drei Bewertungskriterien einen signifikanten Vorteil</w:t>
      </w:r>
      <w:r>
        <w:rPr>
          <w:rStyle w:val="FootnoteReference"/>
        </w:rPr>
        <w:footnoteReference w:id="2339"/>
      </w:r>
      <w:r>
        <w:t xml:space="preserve">.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2340"/>
    <w:bookmarkStart w:id="2341"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2341"/>
    <w:bookmarkStart w:id="2348"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w:t>
      </w:r>
      <w:r>
        <w:rPr>
          <w:rStyle w:val="FootnoteReference"/>
        </w:rPr>
        <w:footnoteReference w:id="2342"/>
      </w:r>
      <w:r>
        <w:t xml:space="preserve">.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w:t>
      </w:r>
      <w:r>
        <w:rPr>
          <w:rStyle w:val="FootnoteReference"/>
        </w:rPr>
        <w:footnoteReference w:id="2343"/>
      </w:r>
      <w:r>
        <w:t xml:space="preserve">. Bei jungen Erwachsenen nahm die Muskeldicke nach zehn Wochen Krafttraining mit Molkenprotein stärker zu als mit Kollagen, selbst wenn das Kollagen mit Leucin auf den gleichen Gehalt angereichert war</w:t>
      </w:r>
      <w:r>
        <w:rPr>
          <w:rStyle w:val="FootnoteReference"/>
        </w:rPr>
        <w:footnoteReference w:id="2344"/>
      </w:r>
      <w:r>
        <w:t xml:space="preserve">. Eine Studie mit 25 jungen Männern fand unter 2 × 15 g Kollagen pro Tag keine höhere Synthese von Muskel- oder Bindegewebseiweiß als unter Placebo</w:t>
      </w:r>
      <w:r>
        <w:rPr>
          <w:rStyle w:val="FootnoteReference"/>
        </w:rPr>
        <w:footnoteReference w:id="2345"/>
      </w:r>
      <w:r>
        <w:t xml:space="preserve">.</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w:t>
      </w:r>
      <w:r>
        <w:rPr>
          <w:rStyle w:val="FootnoteReference"/>
        </w:rPr>
        <w:footnoteReference w:id="2346"/>
      </w:r>
      <w:r>
        <w:t xml:space="preserve">. Eine frühere systematische Übersicht kam zu dem Schluss, dass Kollagen bei der Muskeleiweißsynthese hochwertigeren Eiweißquellen nicht ebenbürtig ist</w:t>
      </w:r>
      <w:r>
        <w:rPr>
          <w:rStyle w:val="FootnoteReference"/>
        </w:rPr>
        <w:footnoteReference w:id="2347"/>
      </w:r>
      <w:r>
        <w:t xml:space="preserve">.</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2348"/>
    <w:bookmarkStart w:id="2350"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w:t>
      </w:r>
      <w:r>
        <w:rPr>
          <w:rStyle w:val="FootnoteReference"/>
        </w:rPr>
        <w:footnoteReference w:id="2349"/>
      </w:r>
      <w:r>
        <w:t xml:space="preserve">. Diese Felder sind zu wenig untersucht, um belastbare Aussagen zu treffen.</w:t>
      </w:r>
    </w:p>
    <w:bookmarkEnd w:id="2350"/>
    <w:bookmarkEnd w:id="2351"/>
    <w:bookmarkStart w:id="2355" w:name="tier--und-laborstudien-52"/>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w:t>
      </w:r>
      <w:r>
        <w:rPr>
          <w:rStyle w:val="FootnoteReference"/>
        </w:rPr>
        <w:footnoteReference w:id="2352"/>
      </w:r>
      <w:r>
        <w:t xml:space="preserve">. Eine systematische Übersicht über elf überwiegend experimentelle Studien kam zu dem Ergebnis, dass Kollagenhydrolysate in Konzentrationen von 50 bis 500 Mikrogramm pro Milliliter Fibroblasten stimulieren, ohne giftig zu wirken</w:t>
      </w:r>
      <w:r>
        <w:rPr>
          <w:rStyle w:val="FootnoteReference"/>
        </w:rPr>
        <w:footnoteReference w:id="2353"/>
      </w:r>
      <w:r>
        <w:t xml:space="preserve">. In Nagerversuchen mit kalorienreicher Ernährung wurden in einer Meta-Analyse Effekte auf Gewicht und Fettmasse beschrieben</w:t>
      </w:r>
      <w:r>
        <w:rPr>
          <w:rStyle w:val="FootnoteReference"/>
        </w:rPr>
        <w:footnoteReference w:id="2354"/>
      </w:r>
      <w:r>
        <w:t xml:space="preserve"> </w:t>
      </w:r>
      <w:r>
        <w:t xml:space="preserve">–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2355"/>
    <w:bookmarkStart w:id="2358" w:name="risiken-und-nebenwirkungen-52"/>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w:t>
      </w:r>
      <w:r>
        <w:rPr>
          <w:rStyle w:val="FootnoteReference"/>
        </w:rPr>
        <w:footnoteReference w:id="2356"/>
      </w:r>
      <w:r>
        <w:t xml:space="preserve">. Gelegentlich werden Völlegefühl, Blähungen oder ein unangenehmer Geschmack berichtet.</w:t>
      </w:r>
    </w:p>
    <w:p>
      <w:pPr>
        <w:pStyle w:val="BodyText"/>
      </w:pPr>
      <w:r>
        <w:rPr>
          <w:bCs/>
          <w:b/>
        </w:rPr>
        <w:t xml:space="preserve">Zu beachten:</w:t>
      </w:r>
    </w:p>
    <w:p>
      <w:pPr>
        <w:numPr>
          <w:ilvl w:val="0"/>
          <w:numId w:val="1295"/>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95"/>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w:t>
      </w:r>
      <w:r>
        <w:rPr>
          <w:rStyle w:val="FootnoteReference"/>
        </w:rPr>
        <w:footnoteReference w:id="2357"/>
      </w:r>
      <w:r>
        <w:t xml:space="preserve">. Für gesunde Menschen ist die Bedeutung unklar. Menschen mit Calciumoxalat-Nierensteinen oder einer angeborenen Hyperoxalurie sollten die Einnahme ärztlich besprechen (theoretisches, aber biologisch begründetes Risiko).</w:t>
      </w:r>
    </w:p>
    <w:p>
      <w:pPr>
        <w:numPr>
          <w:ilvl w:val="0"/>
          <w:numId w:val="1295"/>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95"/>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95"/>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2358"/>
    <w:bookmarkStart w:id="2359" w:name="rechtslage-52"/>
    <w:p>
      <w:pPr>
        <w:pStyle w:val="Heading3"/>
      </w:pPr>
      <w:r>
        <w:t xml:space="preserve">Rechtslage</w:t>
      </w:r>
    </w:p>
    <w:p>
      <w:pPr>
        <w:numPr>
          <w:ilvl w:val="0"/>
          <w:numId w:val="1296"/>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96"/>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96"/>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2359"/>
    <w:bookmarkStart w:id="2367"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7"/>
        </w:numPr>
        <w:pStyle w:val="Compact"/>
      </w:pPr>
      <w:r>
        <w:rPr>
          <w:bCs/>
          <w:b/>
        </w:rPr>
        <w:t xml:space="preserve">Kniearthrose:</w:t>
      </w:r>
      <w:r>
        <w:t xml:space="preserve"> </w:t>
      </w:r>
      <w:r>
        <w:t xml:space="preserve">Eine Studie des Istituto Ortopedico Rizzoli vergleicht eine Kollagenhydrolysat-Formulierung mit Placebo bei 204 Teilnehmenden</w:t>
      </w:r>
      <w:r>
        <w:rPr>
          <w:rStyle w:val="FootnoteReference"/>
        </w:rPr>
        <w:footnoteReference w:id="2360"/>
      </w:r>
      <w:r>
        <w:t xml:space="preserve">. Eine kleinere Studie vergleicht verschiedene Kollagenformen</w:t>
      </w:r>
      <w:r>
        <w:rPr>
          <w:rStyle w:val="FootnoteReference"/>
        </w:rPr>
        <w:footnoteReference w:id="2361"/>
      </w:r>
      <w:r>
        <w:t xml:space="preserve">.</w:t>
      </w:r>
    </w:p>
    <w:p>
      <w:pPr>
        <w:numPr>
          <w:ilvl w:val="0"/>
          <w:numId w:val="1297"/>
        </w:numPr>
        <w:pStyle w:val="Compact"/>
      </w:pPr>
      <w:r>
        <w:rPr>
          <w:bCs/>
          <w:b/>
        </w:rPr>
        <w:t xml:space="preserve">Knieprothese:</w:t>
      </w:r>
      <w:r>
        <w:t xml:space="preserve"> </w:t>
      </w:r>
      <w:r>
        <w:t xml:space="preserve">Kollagenpeptide nach Knie-Totalendoprothese, Endpunkte Bindegewebsumbau und Wundheilung</w:t>
      </w:r>
      <w:r>
        <w:rPr>
          <w:rStyle w:val="FootnoteReference"/>
        </w:rPr>
        <w:footnoteReference w:id="2362"/>
      </w:r>
      <w:r>
        <w:t xml:space="preserve">.</w:t>
      </w:r>
    </w:p>
    <w:p>
      <w:pPr>
        <w:numPr>
          <w:ilvl w:val="0"/>
          <w:numId w:val="1297"/>
        </w:numPr>
        <w:pStyle w:val="Compact"/>
      </w:pPr>
      <w:r>
        <w:rPr>
          <w:bCs/>
          <w:b/>
        </w:rPr>
        <w:t xml:space="preserve">Haut:</w:t>
      </w:r>
      <w:r>
        <w:t xml:space="preserve"> </w:t>
      </w:r>
      <w:r>
        <w:t xml:space="preserve">Ein Vergleich von oraler und äußerlicher Kollagenanwendung allein und kombiniert mit geplant 165 Frauen</w:t>
      </w:r>
      <w:r>
        <w:rPr>
          <w:rStyle w:val="FootnoteReference"/>
        </w:rPr>
        <w:footnoteReference w:id="2363"/>
      </w:r>
      <w:r>
        <w:t xml:space="preserve">.</w:t>
      </w:r>
    </w:p>
    <w:p>
      <w:pPr>
        <w:numPr>
          <w:ilvl w:val="0"/>
          <w:numId w:val="1297"/>
        </w:numPr>
        <w:pStyle w:val="Compact"/>
      </w:pPr>
      <w:r>
        <w:rPr>
          <w:bCs/>
          <w:b/>
        </w:rPr>
        <w:t xml:space="preserve">Altern:</w:t>
      </w:r>
      <w:r>
        <w:t xml:space="preserve"> </w:t>
      </w:r>
      <w:r>
        <w:t xml:space="preserve">Eine Studie der Universität Wien untersucht Kollagenpeptide und Marker der Zellalterung bei geplant 125 Teilnehmenden</w:t>
      </w:r>
      <w:r>
        <w:rPr>
          <w:rStyle w:val="FootnoteReference"/>
        </w:rPr>
        <w:footnoteReference w:id="2364"/>
      </w:r>
      <w:r>
        <w:t xml:space="preserve">.</w:t>
      </w:r>
    </w:p>
    <w:p>
      <w:pPr>
        <w:numPr>
          <w:ilvl w:val="0"/>
          <w:numId w:val="1297"/>
        </w:numPr>
        <w:pStyle w:val="Compact"/>
      </w:pPr>
      <w:r>
        <w:rPr>
          <w:bCs/>
          <w:b/>
        </w:rPr>
        <w:t xml:space="preserve">Stoffwechsel:</w:t>
      </w:r>
      <w:r>
        <w:t xml:space="preserve"> </w:t>
      </w:r>
      <w:r>
        <w:t xml:space="preserve">Eine Studie am King’s College London untersucht Lebensqualität, Appetit und Blutzuckerkontrolle</w:t>
      </w:r>
      <w:r>
        <w:rPr>
          <w:rStyle w:val="FootnoteReference"/>
        </w:rPr>
        <w:footnoteReference w:id="2365"/>
      </w:r>
      <w:r>
        <w:t xml:space="preserve">.</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w:t>
      </w:r>
      <w:r>
        <w:rPr>
          <w:rStyle w:val="FootnoteReference"/>
        </w:rPr>
        <w:footnoteReference w:id="2366"/>
      </w:r>
      <w:r>
        <w:t xml:space="preserve"> </w:t>
      </w:r>
      <w:r>
        <w:t xml:space="preserve">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2367"/>
    <w:bookmarkStart w:id="2368" w:name="fazit-52"/>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2368"/>
    <w:bookmarkEnd w:id="2369"/>
    <w:bookmarkStart w:id="2400" w:name="lactotripeptide-vpp-und-ipp"/>
    <w:p>
      <w:pPr>
        <w:pStyle w:val="Heading2"/>
      </w:pPr>
      <w:r>
        <w:t xml:space="preserve">Lactotripeptide (VPP und IPP)</w:t>
      </w:r>
    </w:p>
    <w:bookmarkStart w:id="2370" w:name="steckbrief-53"/>
    <w:p>
      <w:pPr>
        <w:pStyle w:val="Heading3"/>
      </w:pPr>
      <w:r>
        <w:t xml:space="preserve">Steckbrief</w:t>
      </w:r>
    </w:p>
    <w:p>
      <w:pPr>
        <w:numPr>
          <w:ilvl w:val="0"/>
          <w:numId w:val="1298"/>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98"/>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98"/>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98"/>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98"/>
        </w:numPr>
        <w:pStyle w:val="Compact"/>
      </w:pPr>
      <w:r>
        <w:rPr>
          <w:bCs/>
          <w:b/>
        </w:rPr>
        <w:t xml:space="preserve">Zulassung USA:</w:t>
      </w:r>
      <w:r>
        <w:t xml:space="preserve"> </w:t>
      </w:r>
      <w:r>
        <w:t xml:space="preserve">keine Arzneimittelzulassung; als Nahrungsergänzungsmittel erhältlich.</w:t>
      </w:r>
    </w:p>
    <w:p>
      <w:pPr>
        <w:numPr>
          <w:ilvl w:val="0"/>
          <w:numId w:val="1298"/>
        </w:numPr>
        <w:pStyle w:val="Compact"/>
      </w:pPr>
      <w:r>
        <w:rPr>
          <w:bCs/>
          <w:b/>
        </w:rPr>
        <w:t xml:space="preserve">WADA:</w:t>
      </w:r>
      <w:r>
        <w:t xml:space="preserve"> </w:t>
      </w:r>
      <w:r>
        <w:t xml:space="preserve">nicht gelistet.</w:t>
      </w:r>
    </w:p>
    <w:p>
      <w:pPr>
        <w:numPr>
          <w:ilvl w:val="0"/>
          <w:numId w:val="1298"/>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2370"/>
    <w:bookmarkStart w:id="2374" w:name="wie-es-wirken-soll-53"/>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w:t>
      </w:r>
      <w:r>
        <w:rPr>
          <w:rStyle w:val="FootnoteReference"/>
        </w:rPr>
        <w:footnoteReference w:id="2371"/>
      </w:r>
      <w:r>
        <w:t xml:space="preserve">.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w:t>
      </w:r>
      <w:r>
        <w:rPr>
          <w:rStyle w:val="FootnoteReference"/>
        </w:rPr>
        <w:footnoteReference w:id="2372"/>
      </w:r>
      <w:r>
        <w:t xml:space="preserve">.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w:t>
      </w:r>
      <w:r>
        <w:rPr>
          <w:rStyle w:val="FootnoteReference"/>
        </w:rPr>
        <w:footnoteReference w:id="2373"/>
      </w:r>
      <w:r>
        <w:t xml:space="preserve">.</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2374"/>
    <w:bookmarkStart w:id="2386" w:name="studien-am-menschen-53"/>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2375"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2375"/>
    <w:bookmarkStart w:id="2377"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w:t>
      </w:r>
      <w:r>
        <w:rPr>
          <w:rStyle w:val="FootnoteReference"/>
        </w:rPr>
        <w:footnoteReference w:id="2376"/>
      </w:r>
      <w:r>
        <w:t xml:space="preserve">.</w:t>
      </w:r>
    </w:p>
    <w:bookmarkEnd w:id="2377"/>
    <w:bookmarkStart w:id="2383"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w:t>
      </w:r>
      <w:r>
        <w:rPr>
          <w:rStyle w:val="FootnoteReference"/>
        </w:rPr>
        <w:footnoteReference w:id="2378"/>
      </w:r>
      <w:r>
        <w:t xml:space="preserve">. Ein Streichfett mit IPP, VPP und Pflanzensterinen senkte den zu Hause gemessenen systolischen Blutdruck stärker als Placebo (−4,1 gegenüber −0,5 mmHg), nicht aber den Praxis- oder 24-Stunden-Wert</w:t>
      </w:r>
      <w:r>
        <w:rPr>
          <w:rStyle w:val="FootnoteReference"/>
        </w:rPr>
        <w:footnoteReference w:id="2379"/>
      </w:r>
      <w:r>
        <w:t xml:space="preserve">. Italienische Studien berichteten günstige Effekte auf Praxisblutdruck und Gefäßsteifigkeit</w:t>
      </w:r>
      <w:r>
        <w:rPr>
          <w:rStyle w:val="FootnoteReference"/>
        </w:rPr>
        <w:footnoteReference w:id="2380"/>
      </w:r>
      <w:r>
        <w:t xml:space="preserve">, in einer davon ohne Effekt auf den 24-Stunden-Blutdruck. In den USA sank in einer Studie mit 91 Personen mit Bluthochdruck Stadium 1 und 2 der systolische Tagesblutdruck um 3,6 mmHg, unter Placebo nicht</w:t>
      </w:r>
      <w:r>
        <w:rPr>
          <w:rStyle w:val="FootnoteReference"/>
        </w:rPr>
        <w:footnoteReference w:id="2381"/>
      </w:r>
      <w:r>
        <w:t xml:space="preserve">.</w:t>
      </w:r>
    </w:p>
    <w:p>
      <w:pPr>
        <w:pStyle w:val="BodyText"/>
      </w:pPr>
      <w:r>
        <w:t xml:space="preserve">Daneben gibt es kleine Studien zu Gefäßfunktion, Hirndurchblutung, Muskelermüdung und kognitiver Leistung, meist mit 15 bis 50 Teilnehmenden</w:t>
      </w:r>
      <w:r>
        <w:rPr>
          <w:rStyle w:val="FootnoteReference"/>
        </w:rPr>
        <w:footnoteReference w:id="2382"/>
      </w:r>
      <w:r>
        <w:t xml:space="preserve">. Sie sind als Hinweise zu lesen, nicht als Belege.</w:t>
      </w:r>
    </w:p>
    <w:bookmarkEnd w:id="2383"/>
    <w:bookmarkStart w:id="2385"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99"/>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99"/>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99"/>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w:t>
      </w:r>
      <w:r>
        <w:rPr>
          <w:rStyle w:val="FootnoteReference"/>
        </w:rPr>
        <w:footnoteReference w:id="2384"/>
      </w:r>
      <w:r>
        <w:t xml:space="preserve">.</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2385"/>
    <w:bookmarkEnd w:id="2386"/>
    <w:bookmarkStart w:id="2393" w:name="tier--und-laborstudien-53"/>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w:t>
      </w:r>
      <w:r>
        <w:rPr>
          <w:rStyle w:val="FootnoteReference"/>
        </w:rPr>
        <w:footnoteReference w:id="2387"/>
      </w:r>
      <w:r>
        <w:t xml:space="preserve">. In Zellkulturen regten VPP und IPP ab Konzentrationen von mehr als 100 Nanomol pro Liter die Bildung von Stickstoffmonoxid in Gefäßzellen an, und an isolierten Rattenaorten lösten sie eine Gefäßerweiterung aus</w:t>
      </w:r>
      <w:r>
        <w:rPr>
          <w:rStyle w:val="FootnoteReference"/>
        </w:rPr>
        <w:footnoteReference w:id="2388"/>
      </w:r>
      <w:r>
        <w:t xml:space="preserve">. Zum Vergleich: Im Blut von Menschen wurden nach dem Trinken eines angereicherten Getränks weniger als 1 Nanomol pro Liter IPP gemessen</w:t>
      </w:r>
      <w:r>
        <w:rPr>
          <w:rStyle w:val="FootnoteReference"/>
        </w:rPr>
        <w:footnoteReference w:id="2389"/>
      </w:r>
      <w:r>
        <w:t xml:space="preserve">. Röntgenstrukturanalysen zeigen, dass beide Peptide bevorzugt an eine der beiden aktiven Stellen des ACE-Moleküls binden</w:t>
      </w:r>
      <w:r>
        <w:rPr>
          <w:rStyle w:val="FootnoteReference"/>
        </w:rPr>
        <w:footnoteReference w:id="2390"/>
      </w:r>
      <w:r>
        <w:t xml:space="preserve">. Bei Ratten und Kaninchen fanden Toxizitätsstudien – einschließlich Untersuchungen zur Nierenentwicklung der Nachkommen, weil ACE-Hemmer in der Schwangerschaft das Ungeborene schädigen können – keine Nebenwirkungen bei den höchsten getesteten Dosen</w:t>
      </w:r>
      <w:r>
        <w:rPr>
          <w:rStyle w:val="FootnoteReference"/>
        </w:rPr>
        <w:footnoteReference w:id="2391"/>
      </w:r>
      <w:r>
        <w:t xml:space="preserve">. Ein IPP-haltiges Milchproteinhydrolysat war in Erbgut-Tests nicht mutagen; die höchste getestete Dosis im 90-Tage-Versuch an Ratten lag etwa 141-fach über der erwarteten maximalen Aufnahme</w:t>
      </w:r>
      <w:r>
        <w:rPr>
          <w:rStyle w:val="FootnoteReference"/>
        </w:rPr>
        <w:footnoteReference w:id="2392"/>
      </w:r>
      <w:r>
        <w:t xml:space="preserve">.</w:t>
      </w:r>
    </w:p>
    <w:bookmarkEnd w:id="2393"/>
    <w:bookmarkStart w:id="2395" w:name="risiken-und-nebenwirkungen-53"/>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w:t>
      </w:r>
      <w:r>
        <w:rPr>
          <w:rStyle w:val="FootnoteReference"/>
        </w:rPr>
        <w:footnoteReference w:id="2394"/>
      </w:r>
      <w:r>
        <w:t xml:space="preserve">.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300"/>
        </w:numPr>
        <w:pStyle w:val="Compact"/>
      </w:pPr>
      <w:r>
        <w:rPr>
          <w:bCs/>
          <w:b/>
        </w:rPr>
        <w:t xml:space="preserve">Milchallergie:</w:t>
      </w:r>
      <w:r>
        <w:t xml:space="preserve"> </w:t>
      </w:r>
      <w:r>
        <w:t xml:space="preserve">Produkte auf Milch- bzw. Caseinbasis sind bei Kuhmilcheiweißallergie ungeeignet.</w:t>
      </w:r>
    </w:p>
    <w:p>
      <w:pPr>
        <w:numPr>
          <w:ilvl w:val="0"/>
          <w:numId w:val="1300"/>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300"/>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300"/>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2395"/>
    <w:bookmarkStart w:id="2396" w:name="rechtslage-53"/>
    <w:p>
      <w:pPr>
        <w:pStyle w:val="Heading3"/>
      </w:pPr>
      <w:r>
        <w:t xml:space="preserve">Rechtslage</w:t>
      </w:r>
    </w:p>
    <w:p>
      <w:pPr>
        <w:numPr>
          <w:ilvl w:val="0"/>
          <w:numId w:val="1301"/>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301"/>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301"/>
        </w:numPr>
        <w:pStyle w:val="Compact"/>
      </w:pPr>
      <w:r>
        <w:rPr>
          <w:bCs/>
          <w:b/>
        </w:rPr>
        <w:t xml:space="preserve">USA:</w:t>
      </w:r>
      <w:r>
        <w:t xml:space="preserve"> </w:t>
      </w:r>
      <w:r>
        <w:t xml:space="preserve">als Nahrungsergänzungsmittel verkäuflich; krankheitsbezogene Aussagen sind nicht erlaubt.</w:t>
      </w:r>
    </w:p>
    <w:p>
      <w:pPr>
        <w:numPr>
          <w:ilvl w:val="0"/>
          <w:numId w:val="1301"/>
        </w:numPr>
        <w:pStyle w:val="Compact"/>
      </w:pPr>
      <w:r>
        <w:rPr>
          <w:bCs/>
          <w:b/>
        </w:rPr>
        <w:t xml:space="preserve">Sport:</w:t>
      </w:r>
      <w:r>
        <w:t xml:space="preserve"> </w:t>
      </w:r>
      <w:r>
        <w:t xml:space="preserve">nicht auf der WADA-Verbotsliste (Stand 2026, bitte aktuell prüfen).</w:t>
      </w:r>
    </w:p>
    <w:bookmarkEnd w:id="2396"/>
    <w:bookmarkStart w:id="2398" w:name="laufende-studien-und-ausblick-53"/>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w:t>
      </w:r>
      <w:r>
        <w:rPr>
          <w:rStyle w:val="FootnoteReference"/>
        </w:rPr>
        <w:footnoteReference w:id="2397"/>
      </w:r>
      <w:r>
        <w:t xml:space="preserve">.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2398"/>
    <w:bookmarkStart w:id="2399" w:name="fazit-53"/>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2399"/>
    <w:bookmarkEnd w:id="2400"/>
    <w:bookmarkStart w:id="2451" w:name="carnosin"/>
    <w:p>
      <w:pPr>
        <w:pStyle w:val="Heading2"/>
      </w:pPr>
      <w:r>
        <w:t xml:space="preserve">Carnosin</w:t>
      </w:r>
    </w:p>
    <w:bookmarkStart w:id="2401" w:name="steckbrief-54"/>
    <w:p>
      <w:pPr>
        <w:pStyle w:val="Heading3"/>
      </w:pPr>
      <w:r>
        <w:t xml:space="preserve">Steckbrief</w:t>
      </w:r>
    </w:p>
    <w:p>
      <w:pPr>
        <w:numPr>
          <w:ilvl w:val="0"/>
          <w:numId w:val="1302"/>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302"/>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302"/>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302"/>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302"/>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302"/>
        </w:numPr>
        <w:pStyle w:val="Compact"/>
      </w:pPr>
      <w:r>
        <w:rPr>
          <w:bCs/>
          <w:b/>
        </w:rPr>
        <w:t xml:space="preserve">Zulassung USA:</w:t>
      </w:r>
      <w:r>
        <w:t xml:space="preserve"> </w:t>
      </w:r>
      <w:r>
        <w:t xml:space="preserve">keine Arzneimittelzulassung; als Nahrungsergänzungsmittel erhältlich.</w:t>
      </w:r>
    </w:p>
    <w:p>
      <w:pPr>
        <w:numPr>
          <w:ilvl w:val="0"/>
          <w:numId w:val="1302"/>
        </w:numPr>
        <w:pStyle w:val="Compact"/>
      </w:pPr>
      <w:r>
        <w:rPr>
          <w:bCs/>
          <w:b/>
        </w:rPr>
        <w:t xml:space="preserve">WADA:</w:t>
      </w:r>
      <w:r>
        <w:t xml:space="preserve"> </w:t>
      </w:r>
      <w:r>
        <w:t xml:space="preserve">Carnosin und Beta-Alanin sind nicht gelistet.</w:t>
      </w:r>
    </w:p>
    <w:p>
      <w:pPr>
        <w:numPr>
          <w:ilvl w:val="0"/>
          <w:numId w:val="1302"/>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2401"/>
    <w:bookmarkStart w:id="2410" w:name="wie-es-wirken-soll-54"/>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w:t>
      </w:r>
      <w:r>
        <w:rPr>
          <w:rStyle w:val="FootnoteReference"/>
        </w:rPr>
        <w:footnoteReference w:id="2402"/>
      </w:r>
      <w:r>
        <w:t xml:space="preserve">.</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2405"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w:t>
      </w:r>
      <w:r>
        <w:rPr>
          <w:rStyle w:val="FootnoteReference"/>
        </w:rPr>
        <w:footnoteReference w:id="2403"/>
      </w:r>
      <w:r>
        <w:t xml:space="preserve">.</w:t>
      </w:r>
    </w:p>
    <w:p>
      <w:pPr>
        <w:pStyle w:val="BodyText"/>
      </w:pPr>
      <w:r>
        <w:t xml:space="preserve">In der bislang größten Studie stiegen unter 2 g Carnosin pro Tag die Carnosinwerte in den roten Blutkörperchen nach 6 und 12 Wochen etwa auf das Doppelte, im Urin auf rund das Siebenfache</w:t>
      </w:r>
      <w:r>
        <w:rPr>
          <w:rStyle w:val="FootnoteReference"/>
        </w:rPr>
        <w:footnoteReference w:id="2404"/>
      </w:r>
      <w:r>
        <w:t xml:space="preserve">. Carnosin kommt also im Körper an – wie viel davon in Muskel, Gehirn oder Niere gelangt, ist aber weitgehend offen.</w:t>
      </w:r>
    </w:p>
    <w:bookmarkEnd w:id="2405"/>
    <w:bookmarkStart w:id="2409"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w:t>
      </w:r>
      <w:r>
        <w:rPr>
          <w:rStyle w:val="FootnoteReference"/>
        </w:rPr>
        <w:footnoteReference w:id="2406"/>
      </w:r>
      <w:r>
        <w:t xml:space="preserve">. Nach dem Absetzen dauerte es 12 bis 16 Wochen, bis der Wert wieder auf dem Ausgangsniveau war</w:t>
      </w:r>
      <w:r>
        <w:rPr>
          <w:rStyle w:val="FootnoteReference"/>
        </w:rPr>
        <w:footnoteReference w:id="2407"/>
      </w:r>
      <w:r>
        <w:t xml:space="preserve">. Praktisch alle Personen sprechen auf Beta-Alanin an</w:t>
      </w:r>
      <w:r>
        <w:rPr>
          <w:rStyle w:val="FootnoteReference"/>
        </w:rPr>
        <w:footnoteReference w:id="2408"/>
      </w:r>
      <w:r>
        <w:t xml:space="preserve">.</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2409"/>
    <w:bookmarkEnd w:id="2410"/>
    <w:bookmarkStart w:id="2438" w:name="studien-am-menschen-54"/>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2415"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w:t>
      </w:r>
      <w:r>
        <w:rPr>
          <w:rStyle w:val="FootnoteReference"/>
        </w:rPr>
        <w:footnoteReference w:id="2411"/>
      </w:r>
      <w:r>
        <w:t xml:space="preserve">. Ein Beispiel: Bei 15 Sprintern erhöhte Beta-Alanin den Carnosingehalt in Waden</w:t>
      </w:r>
      <w:r>
        <w:softHyphen/>
      </w:r>
      <w:r>
        <w:t xml:space="preserve">muskeln um 37 bis 47 % und milderte die Ermüdung bei wiederholten Kraftserien, verbesserte aber nicht die 400-Meter-Zeit</w:t>
      </w:r>
      <w:r>
        <w:rPr>
          <w:rStyle w:val="FootnoteReference"/>
        </w:rPr>
        <w:footnoteReference w:id="2412"/>
      </w:r>
      <w:r>
        <w:t xml:space="preserve">. Auch eine Verdoppelung des Muskelcarnosins verbesserte bei Radfahrern die Zeit über eine Stunde nicht</w:t>
      </w:r>
      <w:r>
        <w:rPr>
          <w:rStyle w:val="FootnoteReference"/>
        </w:rPr>
        <w:footnoteReference w:id="2413"/>
      </w:r>
      <w:r>
        <w:t xml:space="preserve"> </w:t>
      </w:r>
      <w:r>
        <w:t xml:space="preserve">–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w:t>
      </w:r>
      <w:r>
        <w:rPr>
          <w:rStyle w:val="FootnoteReference"/>
        </w:rPr>
        <w:footnoteReference w:id="2414"/>
      </w:r>
      <w:r>
        <w:t xml:space="preserve">. Solche Untergruppenbefunde sind anfällig für Zufallstreffer und müssen bestätigt werden.</w:t>
      </w:r>
    </w:p>
    <w:bookmarkEnd w:id="2415"/>
    <w:bookmarkStart w:id="2419"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w:t>
      </w:r>
      <w:r>
        <w:rPr>
          <w:rStyle w:val="FootnoteReference"/>
        </w:rPr>
        <w:footnoteReference w:id="2416"/>
      </w:r>
      <w:r>
        <w:t xml:space="preserve">. Eine Bayes’sche Meta-Analyse, die Carnosin und Beta-Alanin gemeinsam betrachtete, schätzte für den Menschen eine HbA1c-Senkung um 0,91 Prozentpunkte – auf Basis von nur vier Humanstudien</w:t>
      </w:r>
      <w:r>
        <w:rPr>
          <w:rStyle w:val="FootnoteReference"/>
        </w:rPr>
        <w:footnoteReference w:id="2417"/>
      </w:r>
      <w:r>
        <w:t xml:space="preserve">. Eine neuere Meta-Analyse mit acht Studien und 377 Teilnehmenden mit Prädiabetes oder Typ-2-Diabetes fand Verbesserungen bei Nüchternzucker und HbA1c, nicht aber bei Insulin oder Körpergewicht</w:t>
      </w:r>
      <w:r>
        <w:rPr>
          <w:rStyle w:val="FootnoteReference"/>
        </w:rPr>
        <w:footnoteReference w:id="2418"/>
      </w:r>
      <w:r>
        <w:t xml:space="preserve">.</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2419"/>
    <w:bookmarkStart w:id="2421"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w:t>
      </w:r>
      <w:r>
        <w:rPr>
          <w:rStyle w:val="FootnoteReference"/>
        </w:rPr>
        <w:footnoteReference w:id="2420"/>
      </w:r>
      <w:r>
        <w:t xml:space="preserve">. Laborwerte sind allerdings Surrogatparameter – ob sie mit einem gesundheitlichen Nutzen einhergehen, ist offen.</w:t>
      </w:r>
    </w:p>
    <w:bookmarkEnd w:id="2421"/>
    <w:bookmarkStart w:id="2429" w:name="gehirn-gedächtnis-und-psyche"/>
    <w:p>
      <w:pPr>
        <w:pStyle w:val="Heading4"/>
      </w:pPr>
      <w:r>
        <w:t xml:space="preserve">Gehirn, Gedächtnis und Psyche</w:t>
      </w:r>
    </w:p>
    <w:p>
      <w:pPr>
        <w:numPr>
          <w:ilvl w:val="0"/>
          <w:numId w:val="1303"/>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w:t>
      </w:r>
      <w:r>
        <w:rPr>
          <w:rStyle w:val="FootnoteReference"/>
        </w:rPr>
        <w:footnoteReference w:id="2422"/>
      </w:r>
      <w:r>
        <w:t xml:space="preserve">. Bei 54 Menschen mit leichter kognitiver Störung war ein globaler Demenz-Schweregrad unter der Mischung günstiger, die meisten anderen Tests unterschieden sich nicht</w:t>
      </w:r>
      <w:r>
        <w:rPr>
          <w:rStyle w:val="FootnoteReference"/>
        </w:rPr>
        <w:footnoteReference w:id="2423"/>
      </w:r>
      <w:r>
        <w:t xml:space="preserve">.</w:t>
      </w:r>
    </w:p>
    <w:p>
      <w:pPr>
        <w:numPr>
          <w:ilvl w:val="0"/>
          <w:numId w:val="1303"/>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w:t>
      </w:r>
      <w:r>
        <w:rPr>
          <w:rStyle w:val="FootnoteReference"/>
        </w:rPr>
        <w:footnoteReference w:id="2424"/>
      </w:r>
      <w:r>
        <w:t xml:space="preserve">.</w:t>
      </w:r>
    </w:p>
    <w:p>
      <w:pPr>
        <w:numPr>
          <w:ilvl w:val="0"/>
          <w:numId w:val="1303"/>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w:t>
      </w:r>
      <w:r>
        <w:rPr>
          <w:rStyle w:val="FootnoteReference"/>
        </w:rPr>
        <w:footnoteReference w:id="2425"/>
      </w:r>
      <w:r>
        <w:t xml:space="preserve">. Eine weitere Meta-Analyse fand eine Verringerung von Depressionswerten (moderate Vertrauenswürdigkeit), betont aber kleine Studien mit mäßigem bis hohem Verzerrungsrisiko</w:t>
      </w:r>
      <w:r>
        <w:rPr>
          <w:rStyle w:val="FootnoteReference"/>
        </w:rPr>
        <w:footnoteReference w:id="2426"/>
      </w:r>
      <w:r>
        <w:t xml:space="preserve">.</w:t>
      </w:r>
    </w:p>
    <w:p>
      <w:pPr>
        <w:numPr>
          <w:ilvl w:val="0"/>
          <w:numId w:val="1303"/>
        </w:numPr>
        <w:pStyle w:val="Compact"/>
      </w:pPr>
      <w:r>
        <w:rPr>
          <w:bCs/>
          <w:b/>
        </w:rPr>
        <w:t xml:space="preserve">Autismus:</w:t>
      </w:r>
      <w:r>
        <w:t xml:space="preserve"> </w:t>
      </w:r>
      <w:r>
        <w:t xml:space="preserve">Eine frühe Studie mit 31 Kindern berichtete Verbesserungen in einer Verhaltensskala</w:t>
      </w:r>
      <w:r>
        <w:rPr>
          <w:rStyle w:val="FootnoteReference"/>
        </w:rPr>
        <w:footnoteReference w:id="2427"/>
      </w:r>
      <w:r>
        <w:t xml:space="preserve">. Eine spätere randomisierte Studie mit 63 auswertbaren Kindern fand dagegen bei keinem Endpunkt einen Unterschied</w:t>
      </w:r>
      <w:r>
        <w:rPr>
          <w:rStyle w:val="FootnoteReference"/>
        </w:rPr>
        <w:footnoteReference w:id="2428"/>
      </w:r>
      <w:r>
        <w:t xml:space="preserve">.</w:t>
      </w:r>
    </w:p>
    <w:bookmarkEnd w:id="2429"/>
    <w:bookmarkStart w:id="2434" w:name="weitere-anwendungen-2"/>
    <w:p>
      <w:pPr>
        <w:pStyle w:val="Heading4"/>
      </w:pPr>
      <w:r>
        <w:t xml:space="preserve">Weitere Anwendungen</w:t>
      </w:r>
    </w:p>
    <w:p>
      <w:pPr>
        <w:numPr>
          <w:ilvl w:val="0"/>
          <w:numId w:val="1304"/>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w:t>
      </w:r>
      <w:r>
        <w:rPr>
          <w:rStyle w:val="FootnoteReference"/>
        </w:rPr>
        <w:footnoteReference w:id="2430"/>
      </w:r>
      <w:r>
        <w:t xml:space="preserve">. Die Studie war nicht verblindet und ohne Placebo; eine Bestätigung steht aus.</w:t>
      </w:r>
    </w:p>
    <w:p>
      <w:pPr>
        <w:numPr>
          <w:ilvl w:val="0"/>
          <w:numId w:val="1304"/>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w:t>
      </w:r>
      <w:r>
        <w:rPr>
          <w:rStyle w:val="FootnoteReference"/>
        </w:rPr>
        <w:footnoteReference w:id="2431"/>
      </w:r>
      <w:r>
        <w:t xml:space="preserve"> </w:t>
      </w:r>
      <w:r>
        <w:t xml:space="preserve">– ebenfalls ohne Placebo.</w:t>
      </w:r>
    </w:p>
    <w:p>
      <w:pPr>
        <w:numPr>
          <w:ilvl w:val="0"/>
          <w:numId w:val="1304"/>
        </w:numPr>
        <w:pStyle w:val="Compact"/>
      </w:pPr>
      <w:r>
        <w:rPr>
          <w:bCs/>
          <w:b/>
        </w:rPr>
        <w:t xml:space="preserve">Golfkriegssyndrom:</w:t>
      </w:r>
      <w:r>
        <w:t xml:space="preserve"> </w:t>
      </w:r>
      <w:r>
        <w:t xml:space="preserve">In einer kleinen Studie mit 25 Veteranen verbesserte sich ein Kognitionstest; Müdigkeit und Schmerz blieben unverändert</w:t>
      </w:r>
      <w:r>
        <w:rPr>
          <w:rStyle w:val="FootnoteReference"/>
        </w:rPr>
        <w:footnoteReference w:id="2432"/>
      </w:r>
      <w:r>
        <w:t xml:space="preserve">.</w:t>
      </w:r>
    </w:p>
    <w:p>
      <w:pPr>
        <w:numPr>
          <w:ilvl w:val="0"/>
          <w:numId w:val="1304"/>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w:t>
      </w:r>
      <w:r>
        <w:rPr>
          <w:rStyle w:val="FootnoteReference"/>
        </w:rPr>
        <w:footnoteReference w:id="2433"/>
      </w:r>
      <w:r>
        <w:t xml:space="preserve">.</w:t>
      </w:r>
    </w:p>
    <w:bookmarkEnd w:id="2434"/>
    <w:bookmarkStart w:id="2437"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multizentrischen Studie mit 224 Patientinnen und Patienten war es nach acht Wochen ähnlich wirksam wie das Vergleichsmedikament Rebamipid (81,5 % gegenüber 74,3 % Heilungsrate, Unterschied nicht signifikant)</w:t>
      </w:r>
      <w:r>
        <w:rPr>
          <w:rStyle w:val="FootnoteReference"/>
        </w:rPr>
        <w:footnoteReference w:id="2435"/>
      </w:r>
      <w:r>
        <w:t xml:space="preserve">.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w:t>
      </w:r>
      <w:r>
        <w:rPr>
          <w:rStyle w:val="FootnoteReference"/>
        </w:rPr>
        <w:footnoteReference w:id="2436"/>
      </w:r>
      <w:r>
        <w:t xml:space="preserve">. Die einzige wirksame Behandlung bleibt die Operation.</w:t>
      </w:r>
    </w:p>
    <w:bookmarkEnd w:id="2437"/>
    <w:bookmarkEnd w:id="2438"/>
    <w:bookmarkStart w:id="2441" w:name="tier--und-laborstudien-54"/>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w:t>
      </w:r>
      <w:r>
        <w:rPr>
          <w:rStyle w:val="FootnoteReference"/>
        </w:rPr>
        <w:footnoteReference w:id="2439"/>
      </w:r>
      <w:r>
        <w:t xml:space="preserve">.</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w:t>
      </w:r>
      <w:r>
        <w:rPr>
          <w:rStyle w:val="FootnoteReference"/>
        </w:rPr>
        <w:footnoteReference w:id="2440"/>
      </w:r>
      <w:r>
        <w:t xml:space="preserve">. Das spricht dafür, dass das Enzym beim Menschen die Wirkung von zugeführtem Carnosin deutlich begrenzen könnte.</w:t>
      </w:r>
    </w:p>
    <w:bookmarkEnd w:id="2441"/>
    <w:bookmarkStart w:id="2444" w:name="risiken-und-nebenwirkungen-54"/>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w:t>
      </w:r>
      <w:r>
        <w:rPr>
          <w:rStyle w:val="FootnoteReference"/>
        </w:rPr>
        <w:footnoteReference w:id="2442"/>
      </w:r>
      <w:r>
        <w:t xml:space="preserve">.</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Chance (Odds) dafür unter Beta-Alanin etwa neunmal so hoch wie unter Placebo (Odds Ratio 8,9); die Abbruchraten unterschieden sich nicht, und ein geringer Anstieg eines Leberwerts blieb im Normbereich</w:t>
      </w:r>
      <w:r>
        <w:rPr>
          <w:rStyle w:val="FootnoteReference"/>
        </w:rPr>
        <w:footnoteReference w:id="2443"/>
      </w:r>
      <w:r>
        <w:t xml:space="preserve">.</w:t>
      </w:r>
    </w:p>
    <w:p>
      <w:pPr>
        <w:pStyle w:val="BodyText"/>
      </w:pPr>
      <w:r>
        <w:rPr>
          <w:bCs/>
          <w:b/>
        </w:rPr>
        <w:t xml:space="preserve">Theoretisch bzw. unklar:</w:t>
      </w:r>
    </w:p>
    <w:p>
      <w:pPr>
        <w:numPr>
          <w:ilvl w:val="0"/>
          <w:numId w:val="1305"/>
        </w:numPr>
        <w:pStyle w:val="Compact"/>
      </w:pPr>
      <w:r>
        <w:t xml:space="preserve">Langzeitdaten über mehr als ein Jahr fehlen.</w:t>
      </w:r>
    </w:p>
    <w:p>
      <w:pPr>
        <w:numPr>
          <w:ilvl w:val="0"/>
          <w:numId w:val="1305"/>
        </w:numPr>
        <w:pStyle w:val="Compact"/>
      </w:pPr>
      <w:r>
        <w:t xml:space="preserve">Für Schwangerschaft, Stillzeit und Kinder (außer den genannten kleinen Studien) liegen keine Sicherheitsdaten vor.</w:t>
      </w:r>
    </w:p>
    <w:p>
      <w:pPr>
        <w:numPr>
          <w:ilvl w:val="0"/>
          <w:numId w:val="1305"/>
        </w:numPr>
        <w:pStyle w:val="Compact"/>
      </w:pPr>
      <w:r>
        <w:t xml:space="preserve">Bei Diabetes-Medikamenten ist eine Verstärkung der Blutzuckersenkung denkbar, aber nicht belegt; Blutzuckerkontrollen und ärztliche Rücksprache sind sinnvoll.</w:t>
      </w:r>
    </w:p>
    <w:p>
      <w:pPr>
        <w:numPr>
          <w:ilvl w:val="0"/>
          <w:numId w:val="1305"/>
        </w:numPr>
        <w:pStyle w:val="Compact"/>
      </w:pPr>
      <w:r>
        <w:t xml:space="preserve">Wie bei allen Nahrungsergänzungsmitteln hängt die Qualität vom Hersteller ab.</w:t>
      </w:r>
    </w:p>
    <w:bookmarkEnd w:id="2444"/>
    <w:bookmarkStart w:id="2445" w:name="rechtslage-54"/>
    <w:p>
      <w:pPr>
        <w:pStyle w:val="Heading3"/>
      </w:pPr>
      <w:r>
        <w:t xml:space="preserve">Rechtslage</w:t>
      </w:r>
    </w:p>
    <w:p>
      <w:pPr>
        <w:numPr>
          <w:ilvl w:val="0"/>
          <w:numId w:val="1306"/>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306"/>
        </w:numPr>
        <w:pStyle w:val="Compact"/>
      </w:pPr>
      <w:r>
        <w:rPr>
          <w:bCs/>
          <w:b/>
        </w:rPr>
        <w:t xml:space="preserve">USA:</w:t>
      </w:r>
      <w:r>
        <w:t xml:space="preserve"> </w:t>
      </w:r>
      <w:r>
        <w:t xml:space="preserve">als Nahrungsergänzungsmittel erhältlich, ohne Arzneimittelzulassung.</w:t>
      </w:r>
    </w:p>
    <w:p>
      <w:pPr>
        <w:numPr>
          <w:ilvl w:val="0"/>
          <w:numId w:val="1306"/>
        </w:numPr>
        <w:pStyle w:val="Compact"/>
      </w:pPr>
      <w:r>
        <w:rPr>
          <w:bCs/>
          <w:b/>
        </w:rPr>
        <w:t xml:space="preserve">Japan:</w:t>
      </w:r>
      <w:r>
        <w:t xml:space="preserve"> </w:t>
      </w:r>
      <w:r>
        <w:t xml:space="preserve">Polaprezinc (Zink-Carnosin) ist ein zugelassenes Magenmittel.</w:t>
      </w:r>
    </w:p>
    <w:p>
      <w:pPr>
        <w:numPr>
          <w:ilvl w:val="0"/>
          <w:numId w:val="1306"/>
        </w:numPr>
        <w:pStyle w:val="Compact"/>
      </w:pPr>
      <w:r>
        <w:rPr>
          <w:bCs/>
          <w:b/>
        </w:rPr>
        <w:t xml:space="preserve">Sport:</w:t>
      </w:r>
      <w:r>
        <w:t xml:space="preserve"> </w:t>
      </w:r>
      <w:r>
        <w:t xml:space="preserve">Weder Carnosin noch Beta-Alanin stehen auf der WADA-Verbotsliste (Stand 2026, bitte aktuell prüfen).</w:t>
      </w:r>
    </w:p>
    <w:bookmarkEnd w:id="2445"/>
    <w:bookmarkStart w:id="2449" w:name="laufende-studien-und-ausblick-54"/>
    <w:p>
      <w:pPr>
        <w:pStyle w:val="Heading3"/>
      </w:pPr>
      <w:r>
        <w:t xml:space="preserve">Laufende Studien und Ausblick</w:t>
      </w:r>
    </w:p>
    <w:p>
      <w:pPr>
        <w:pStyle w:val="FirstParagraph"/>
      </w:pPr>
      <w:r>
        <w:rPr>
          <w:bCs/>
          <w:b/>
        </w:rPr>
        <w:t xml:space="preserve">Gesichert (registrierte Studien, Stand Oktober 2026):</w:t>
      </w:r>
    </w:p>
    <w:p>
      <w:pPr>
        <w:numPr>
          <w:ilvl w:val="0"/>
          <w:numId w:val="1307"/>
        </w:numPr>
        <w:pStyle w:val="Compact"/>
      </w:pPr>
      <w:r>
        <w:rPr>
          <w:bCs/>
          <w:b/>
        </w:rPr>
        <w:t xml:space="preserve">Periphere arterielle Verschlusskrankheit:</w:t>
      </w:r>
      <w:r>
        <w:t xml:space="preserve"> </w:t>
      </w:r>
      <w:r>
        <w:t xml:space="preserve">Eine Phase-1/2-Studie mit geplant 144 Teilnehmenden untersucht Carnosin bei Durchblutungsstörungen der Beine</w:t>
      </w:r>
      <w:r>
        <w:rPr>
          <w:rStyle w:val="FootnoteReference"/>
        </w:rPr>
        <w:footnoteReference w:id="2446"/>
      </w:r>
      <w:r>
        <w:t xml:space="preserve">; frühere kleinere Studien zum selben Thema sind abgeschlossen oder mit unbekanntem Status gelistet.</w:t>
      </w:r>
    </w:p>
    <w:p>
      <w:pPr>
        <w:numPr>
          <w:ilvl w:val="0"/>
          <w:numId w:val="1307"/>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w:t>
      </w:r>
      <w:r>
        <w:rPr>
          <w:rStyle w:val="FootnoteReference"/>
        </w:rPr>
        <w:footnoteReference w:id="2447"/>
      </w:r>
      <w:r>
        <w:t xml:space="preserve">.</w:t>
      </w:r>
    </w:p>
    <w:p>
      <w:pPr>
        <w:numPr>
          <w:ilvl w:val="0"/>
          <w:numId w:val="1307"/>
        </w:numPr>
        <w:pStyle w:val="Compact"/>
      </w:pPr>
      <w:r>
        <w:t xml:space="preserve">Die NEAT-Studie</w:t>
      </w:r>
      <w:r>
        <w:rPr>
          <w:rStyle w:val="FootnoteReference"/>
        </w:rPr>
        <w:footnoteReference w:id="2448"/>
      </w:r>
      <w:r>
        <w:t xml:space="preserve"> </w:t>
      </w:r>
      <w:r>
        <w:t xml:space="preserve">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2449"/>
    <w:bookmarkStart w:id="2450" w:name="fazit-54"/>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2450"/>
    <w:bookmarkEnd w:id="2451"/>
    <w:bookmarkStart w:id="2479" w:name="ghk-cu-kupferpeptid"/>
    <w:p>
      <w:pPr>
        <w:pStyle w:val="Heading2"/>
      </w:pPr>
      <w:r>
        <w:t xml:space="preserve">GHK-Cu (Kupferpeptid)</w:t>
      </w:r>
    </w:p>
    <w:bookmarkStart w:id="2453" w:name="steckbrief-55"/>
    <w:p>
      <w:pPr>
        <w:pStyle w:val="Heading3"/>
      </w:pPr>
      <w:r>
        <w:t xml:space="preserve">Steckbrief</w:t>
      </w:r>
    </w:p>
    <w:p>
      <w:pPr>
        <w:numPr>
          <w:ilvl w:val="0"/>
          <w:numId w:val="1308"/>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308"/>
        </w:numPr>
        <w:pStyle w:val="Compact"/>
      </w:pPr>
      <w:r>
        <w:rPr>
          <w:bCs/>
          <w:b/>
        </w:rPr>
        <w:t xml:space="preserve">Herkunft:</w:t>
      </w:r>
      <w:r>
        <w:t xml:space="preserve"> </w:t>
      </w:r>
      <w:r>
        <w:t xml:space="preserve">körpereigen. GHK wurde in den 1970er-Jahren im menschlichen Blutplasma entdeckt</w:t>
      </w:r>
      <w:r>
        <w:rPr>
          <w:rStyle w:val="FootnoteReference"/>
        </w:rPr>
        <w:footnoteReference w:id="2452"/>
      </w:r>
      <w:r>
        <w:t xml:space="preserve"> </w:t>
      </w:r>
      <w:r>
        <w:t xml:space="preserve">und kommt auch in Speichel und Urin vor. Die Sequenz GHK ist Teil des Kollagens und könnte bei dessen Abbau freigesetzt werden. Für Produkte wird es synthetisch hergestellt.</w:t>
      </w:r>
    </w:p>
    <w:p>
      <w:pPr>
        <w:numPr>
          <w:ilvl w:val="0"/>
          <w:numId w:val="1308"/>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308"/>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308"/>
        </w:numPr>
        <w:pStyle w:val="Compact"/>
      </w:pPr>
      <w:r>
        <w:rPr>
          <w:bCs/>
          <w:b/>
        </w:rPr>
        <w:t xml:space="preserve">Zulassung EU:</w:t>
      </w:r>
      <w:r>
        <w:t xml:space="preserve"> </w:t>
      </w:r>
      <w:r>
        <w:t xml:space="preserve">keine Arzneimittelzulassung. Als kosmetischer Inhaltsstoff verwendbar.</w:t>
      </w:r>
    </w:p>
    <w:p>
      <w:pPr>
        <w:numPr>
          <w:ilvl w:val="0"/>
          <w:numId w:val="1308"/>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308"/>
        </w:numPr>
        <w:pStyle w:val="Compact"/>
      </w:pPr>
      <w:r>
        <w:rPr>
          <w:bCs/>
          <w:b/>
        </w:rPr>
        <w:t xml:space="preserve">WADA:</w:t>
      </w:r>
      <w:r>
        <w:t xml:space="preserve"> </w:t>
      </w:r>
      <w:r>
        <w:t xml:space="preserve">nicht namentlich gelistet. Bei Injektion als nicht zugelassener Wirkstoff kann die Kategorie S0 („nicht zugelassene Substanzen“) greifen.</w:t>
      </w:r>
    </w:p>
    <w:p>
      <w:pPr>
        <w:numPr>
          <w:ilvl w:val="0"/>
          <w:numId w:val="1308"/>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2453"/>
    <w:bookmarkStart w:id="2460" w:name="wie-es-wirken-soll-55"/>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w:t>
      </w:r>
      <w:r>
        <w:rPr>
          <w:rStyle w:val="FootnoteReference"/>
        </w:rPr>
        <w:footnoteReference w:id="2454"/>
      </w:r>
      <w:r>
        <w:t xml:space="preserve">.</w:t>
      </w:r>
    </w:p>
    <w:p>
      <w:pPr>
        <w:pStyle w:val="BodyText"/>
      </w:pPr>
      <w:r>
        <w:t xml:space="preserve">In Zellkulturen regte GHK-Cu die Kollagenbildung von Fibroblasten bereits in extrem niedrigen Konzentrationen an; das Maximum lag bei etwa einem Nanomol pro Liter</w:t>
      </w:r>
      <w:r>
        <w:rPr>
          <w:rStyle w:val="FootnoteReference"/>
        </w:rPr>
        <w:footnoteReference w:id="2455"/>
      </w:r>
      <w:r>
        <w:t xml:space="preserve">. Der Entdecker von GHK, Loren Pickart, hat in mehreren Übersichtsarbeiten eine Vielzahl weiterer Wirkungen beschrieben – auf Wundheilung, Haarwachstum, Entzündung, Nervenwachstum und sogar auf die Aktivität tausender Gene</w:t>
      </w:r>
      <w:r>
        <w:rPr>
          <w:rStyle w:val="FootnoteReference"/>
        </w:rPr>
        <w:footnoteReference w:id="2456"/>
      </w:r>
      <w:r>
        <w:t xml:space="preserve">.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2459"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w:t>
      </w:r>
      <w:r>
        <w:rPr>
          <w:rStyle w:val="FootnoteReference"/>
        </w:rPr>
        <w:footnoteReference w:id="2457"/>
      </w:r>
      <w:r>
        <w:t xml:space="preserve">. Eine Untersuchung an drei Freiwilligen fand das verwandte Pal-GHK nach dem Auftragen in allen Schichten der Hornschicht, allerdings nur zwischen den Zellen und mit abnehmender Menge in der Tiefe</w:t>
      </w:r>
      <w:r>
        <w:rPr>
          <w:rStyle w:val="FootnoteReference"/>
        </w:rPr>
        <w:footnoteReference w:id="2458"/>
      </w:r>
      <w:r>
        <w:t xml:space="preserve">. Ob ausreichende Mengen die tieferen Hautschichten erreichen, in denen Kollagen gebildet wird, ist nicht geklärt.</w:t>
      </w:r>
    </w:p>
    <w:bookmarkEnd w:id="2459"/>
    <w:bookmarkEnd w:id="2460"/>
    <w:bookmarkStart w:id="2464" w:name="studien-am-menschen-55"/>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w:t>
      </w:r>
      <w:r>
        <w:rPr>
          <w:rStyle w:val="FootnoteReference"/>
        </w:rPr>
        <w:footnoteReference w:id="2461"/>
      </w:r>
      <w:r>
        <w:t xml:space="preserve">.</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w:t>
      </w:r>
      <w:r>
        <w:rPr>
          <w:rStyle w:val="FootnoteReference"/>
        </w:rPr>
        <w:footnoteReference w:id="2462"/>
      </w:r>
      <w:r>
        <w:t xml:space="preserve">. Eine weitere Übersicht zu nicht zugelassenen Peptiden in der Sportmedizin kommt zu dem Schluss, dass belastbare Sicherheitsdaten am Menschen fehlen und ein Schadenspotenzial besteht</w:t>
      </w:r>
      <w:r>
        <w:rPr>
          <w:rStyle w:val="FootnoteReference"/>
        </w:rPr>
        <w:footnoteReference w:id="2463"/>
      </w:r>
      <w:r>
        <w:t xml:space="preserve">.</w:t>
      </w:r>
    </w:p>
    <w:bookmarkEnd w:id="2464"/>
    <w:bookmarkStart w:id="2471" w:name="tier--und-laborstudien-55"/>
    <w:p>
      <w:pPr>
        <w:pStyle w:val="Heading3"/>
      </w:pPr>
      <w:r>
        <w:t xml:space="preserve">Tier- und Laborstudien</w:t>
      </w:r>
    </w:p>
    <w:p>
      <w:pPr>
        <w:pStyle w:val="FirstParagraph"/>
      </w:pPr>
      <w:r>
        <w:t xml:space="preserve">Die präklinische Literatur ist umfangreich:</w:t>
      </w:r>
    </w:p>
    <w:p>
      <w:pPr>
        <w:numPr>
          <w:ilvl w:val="0"/>
          <w:numId w:val="1309"/>
        </w:numPr>
        <w:pStyle w:val="Compact"/>
      </w:pPr>
      <w:r>
        <w:rPr>
          <w:bCs/>
          <w:b/>
        </w:rPr>
        <w:t xml:space="preserve">Zellkultur:</w:t>
      </w:r>
      <w:r>
        <w:t xml:space="preserve"> </w:t>
      </w:r>
      <w:r>
        <w:t xml:space="preserve">Steigerung der Kollagenbildung in Fibroblasten</w:t>
      </w:r>
      <w:r>
        <w:rPr>
          <w:rStyle w:val="FootnoteReference"/>
        </w:rPr>
        <w:footnoteReference w:id="2465"/>
      </w:r>
      <w:r>
        <w:t xml:space="preserve">; Beeinflussung von Enzymen, die Bindegewebe auf- und abbauen.</w:t>
      </w:r>
    </w:p>
    <w:p>
      <w:pPr>
        <w:numPr>
          <w:ilvl w:val="0"/>
          <w:numId w:val="1309"/>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w:t>
      </w:r>
      <w:r>
        <w:rPr>
          <w:rStyle w:val="FootnoteReference"/>
        </w:rPr>
        <w:footnoteReference w:id="2466"/>
      </w:r>
      <w:r>
        <w:t xml:space="preserve">. Bei Mäusen förderten GHK-Cu-haltige Liposomen die Gefäßneubildung in verbrühter Haut und verkürzten die Heilungszeit</w:t>
      </w:r>
      <w:r>
        <w:rPr>
          <w:rStyle w:val="FootnoteReference"/>
        </w:rPr>
        <w:footnoteReference w:id="2467"/>
      </w:r>
      <w:r>
        <w:t xml:space="preserve">.</w:t>
      </w:r>
    </w:p>
    <w:p>
      <w:pPr>
        <w:numPr>
          <w:ilvl w:val="0"/>
          <w:numId w:val="1309"/>
        </w:numPr>
        <w:pStyle w:val="Compact"/>
      </w:pPr>
      <w:r>
        <w:rPr>
          <w:bCs/>
          <w:b/>
        </w:rPr>
        <w:t xml:space="preserve">Andere Organe (bei Tieren):</w:t>
      </w:r>
      <w:r>
        <w:t xml:space="preserve"> </w:t>
      </w:r>
      <w:r>
        <w:t xml:space="preserve">In Mäusen milderte GHK-Cu, in die Bauchhöhle gespritzt, eine experimentell ausgelöste Lungenfibrose</w:t>
      </w:r>
      <w:r>
        <w:rPr>
          <w:rStyle w:val="FootnoteReference"/>
        </w:rPr>
        <w:footnoteReference w:id="2468"/>
      </w:r>
      <w:r>
        <w:t xml:space="preserve">; weitere Mausstudien beschreiben Effekte bei Lungenschäden, Darmentzündung und Muskelschwäche nach Zigarettenrauch. Bei Ratten verbesserte es die Heilung nach Kreuzbandersatz nur vorübergehend</w:t>
      </w:r>
      <w:r>
        <w:rPr>
          <w:rStyle w:val="FootnoteReference"/>
        </w:rPr>
        <w:footnoteReference w:id="2469"/>
      </w:r>
      <w:r>
        <w:t xml:space="preserve">.</w:t>
      </w:r>
    </w:p>
    <w:p>
      <w:pPr>
        <w:numPr>
          <w:ilvl w:val="0"/>
          <w:numId w:val="1309"/>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w:t>
      </w:r>
      <w:r>
        <w:rPr>
          <w:rStyle w:val="FootnoteReference"/>
        </w:rPr>
        <w:footnoteReference w:id="2470"/>
      </w:r>
      <w:r>
        <w:t xml:space="preserve">.</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2471"/>
    <w:bookmarkStart w:id="2474" w:name="risiken-und-nebenwirkungen-55"/>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310"/>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310"/>
        </w:numPr>
        <w:pStyle w:val="Compact"/>
      </w:pPr>
      <w:r>
        <w:rPr>
          <w:bCs/>
          <w:b/>
        </w:rPr>
        <w:t xml:space="preserve">Uneinheitliche Zellwirkungen:</w:t>
      </w:r>
      <w:r>
        <w:t xml:space="preserve"> </w:t>
      </w:r>
      <w:r>
        <w:t xml:space="preserve">Schon die frühen Laborarbeiten beschrieben, dass GHK je nach Zellsystem Wachstum fördern, aber auch giftig wirken kann</w:t>
      </w:r>
      <w:r>
        <w:rPr>
          <w:rStyle w:val="FootnoteReference"/>
        </w:rPr>
        <w:footnoteReference w:id="2472"/>
      </w:r>
      <w:r>
        <w:t xml:space="preserve">.</w:t>
      </w:r>
    </w:p>
    <w:p>
      <w:pPr>
        <w:numPr>
          <w:ilvl w:val="0"/>
          <w:numId w:val="1310"/>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310"/>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310"/>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w:t>
      </w:r>
      <w:r>
        <w:rPr>
          <w:rStyle w:val="FootnoteReference"/>
        </w:rPr>
        <w:footnoteReference w:id="2473"/>
      </w:r>
      <w:r>
        <w:t xml:space="preserve">. Ausführlich behandelt Teil IV das Thema.</w:t>
      </w:r>
    </w:p>
    <w:bookmarkEnd w:id="2474"/>
    <w:bookmarkStart w:id="2475" w:name="rechtslage-55"/>
    <w:p>
      <w:pPr>
        <w:pStyle w:val="Heading3"/>
      </w:pPr>
      <w:r>
        <w:t xml:space="preserve">Rechtslage</w:t>
      </w:r>
    </w:p>
    <w:p>
      <w:pPr>
        <w:numPr>
          <w:ilvl w:val="0"/>
          <w:numId w:val="1311"/>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311"/>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w:t>
      </w:r>
    </w:p>
    <w:p>
      <w:pPr>
        <w:numPr>
          <w:ilvl w:val="0"/>
          <w:numId w:val="1311"/>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2475"/>
    <w:bookmarkStart w:id="2477" w:name="laufende-studien-und-ausblick-55"/>
    <w:p>
      <w:pPr>
        <w:pStyle w:val="Heading3"/>
      </w:pPr>
      <w:r>
        <w:t xml:space="preserve">Laufende Studien und Ausblick</w:t>
      </w:r>
    </w:p>
    <w:p>
      <w:pPr>
        <w:pStyle w:val="FirstParagraph"/>
      </w:pPr>
      <w:r>
        <w:rPr>
          <w:bCs/>
          <w:b/>
        </w:rPr>
        <w:t xml:space="preserve">Gesichert (registrierte Studien, Stand Oktober 2026):</w:t>
      </w:r>
    </w:p>
    <w:p>
      <w:pPr>
        <w:numPr>
          <w:ilvl w:val="0"/>
          <w:numId w:val="1312"/>
        </w:numPr>
        <w:pStyle w:val="Compact"/>
      </w:pPr>
      <w:r>
        <w:rPr>
          <w:bCs/>
          <w:b/>
        </w:rPr>
        <w:t xml:space="preserve">Pflaster:</w:t>
      </w:r>
      <w:r>
        <w:t xml:space="preserve"> </w:t>
      </w:r>
      <w:r>
        <w:t xml:space="preserve">Eine Studie mit geplant 100 Gesunden soll untersuchen, ob ein Pflaster (X39) die GHK- und GHK-Cu-Spiegel im Blut verändert; Beginn geplant 2027</w:t>
      </w:r>
      <w:r>
        <w:rPr>
          <w:rStyle w:val="FootnoteReference"/>
        </w:rPr>
        <w:footnoteReference w:id="2476"/>
      </w:r>
      <w:r>
        <w:t xml:space="preserve">.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2477"/>
    <w:bookmarkStart w:id="2478" w:name="fazit-55"/>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2478"/>
    <w:bookmarkEnd w:id="2479"/>
    <w:bookmarkStart w:id="2498" w:name="palmitoyl-pentapeptid-4-matrixyl"/>
    <w:p>
      <w:pPr>
        <w:pStyle w:val="Heading2"/>
      </w:pPr>
      <w:r>
        <w:t xml:space="preserve">Palmitoyl-Pentapeptid-4 (Matrixyl)</w:t>
      </w:r>
    </w:p>
    <w:bookmarkStart w:id="2480" w:name="steckbrief-56"/>
    <w:p>
      <w:pPr>
        <w:pStyle w:val="Heading3"/>
      </w:pPr>
      <w:r>
        <w:t xml:space="preserve">Steckbrief</w:t>
      </w:r>
    </w:p>
    <w:p>
      <w:pPr>
        <w:numPr>
          <w:ilvl w:val="0"/>
          <w:numId w:val="1313"/>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13"/>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13"/>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13"/>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13"/>
        </w:numPr>
        <w:pStyle w:val="Compact"/>
      </w:pPr>
      <w:r>
        <w:rPr>
          <w:bCs/>
          <w:b/>
        </w:rPr>
        <w:t xml:space="preserve">Zulassung EU:</w:t>
      </w:r>
      <w:r>
        <w:t xml:space="preserve"> </w:t>
      </w:r>
      <w:r>
        <w:t xml:space="preserve">kein Arzneimittel; kosmetischer Inhaltsstoff.</w:t>
      </w:r>
    </w:p>
    <w:p>
      <w:pPr>
        <w:numPr>
          <w:ilvl w:val="0"/>
          <w:numId w:val="1313"/>
        </w:numPr>
        <w:pStyle w:val="Compact"/>
      </w:pPr>
      <w:r>
        <w:rPr>
          <w:bCs/>
          <w:b/>
        </w:rPr>
        <w:t xml:space="preserve">Zulassung USA:</w:t>
      </w:r>
      <w:r>
        <w:t xml:space="preserve"> </w:t>
      </w:r>
      <w:r>
        <w:t xml:space="preserve">kein Arzneimittel; kosmetischer Inhaltsstoff.</w:t>
      </w:r>
    </w:p>
    <w:p>
      <w:pPr>
        <w:numPr>
          <w:ilvl w:val="0"/>
          <w:numId w:val="1313"/>
        </w:numPr>
        <w:pStyle w:val="Compact"/>
      </w:pPr>
      <w:r>
        <w:rPr>
          <w:bCs/>
          <w:b/>
        </w:rPr>
        <w:t xml:space="preserve">WADA:</w:t>
      </w:r>
      <w:r>
        <w:t xml:space="preserve"> </w:t>
      </w:r>
      <w:r>
        <w:t xml:space="preserve">nicht gelistet; als Kosmetikbestandteil sportrechtlich ohne Bedeutung.</w:t>
      </w:r>
    </w:p>
    <w:p>
      <w:pPr>
        <w:numPr>
          <w:ilvl w:val="0"/>
          <w:numId w:val="1313"/>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2480"/>
    <w:bookmarkStart w:id="2484" w:name="wie-es-wirken-soll-56"/>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w:t>
      </w:r>
      <w:r>
        <w:rPr>
          <w:rStyle w:val="FootnoteReference"/>
        </w:rPr>
        <w:footnoteReference w:id="2481"/>
      </w:r>
      <w:r>
        <w:t xml:space="preserve">.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w:t>
      </w:r>
      <w:r>
        <w:rPr>
          <w:rStyle w:val="FootnoteReference"/>
        </w:rPr>
        <w:footnoteReference w:id="2482"/>
      </w:r>
      <w:r>
        <w:t xml:space="preserve">.</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w:t>
      </w:r>
      <w:r>
        <w:rPr>
          <w:rStyle w:val="FootnoteReference"/>
        </w:rPr>
        <w:footnoteReference w:id="2483"/>
      </w:r>
      <w:r>
        <w:t xml:space="preserve">. Für Pal-KTTKS selbst fehlen vergleichbare Messungen beim Menschen in der ausgewerteten Literatur.</w:t>
      </w:r>
    </w:p>
    <w:bookmarkEnd w:id="2484"/>
    <w:bookmarkStart w:id="2487" w:name="studien-am-menschen-56"/>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häufiger,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w:t>
      </w:r>
      <w:r>
        <w:rPr>
          <w:rStyle w:val="FootnoteReference"/>
        </w:rPr>
        <w:footnoteReference w:id="2485"/>
      </w:r>
      <w:r>
        <w:t xml:space="preserve">.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w:t>
      </w:r>
      <w:r>
        <w:rPr>
          <w:rStyle w:val="FootnoteReference"/>
        </w:rPr>
        <w:footnoteReference w:id="2486"/>
      </w:r>
      <w:r>
        <w:t xml:space="preserve">. Für äußerlich angewendete Peptide wie Pal-KTTKS ergibt sich daraus kein eigener Nachweis.</w:t>
      </w:r>
    </w:p>
    <w:bookmarkEnd w:id="2487"/>
    <w:bookmarkStart w:id="2491" w:name="tier--und-laborstudien-56"/>
    <w:p>
      <w:pPr>
        <w:pStyle w:val="Heading3"/>
      </w:pPr>
      <w:r>
        <w:t xml:space="preserve">Tier- und Laborstudien</w:t>
      </w:r>
    </w:p>
    <w:p>
      <w:pPr>
        <w:numPr>
          <w:ilvl w:val="0"/>
          <w:numId w:val="1314"/>
        </w:numPr>
        <w:pStyle w:val="Compact"/>
      </w:pPr>
      <w:r>
        <w:rPr>
          <w:bCs/>
          <w:b/>
        </w:rPr>
        <w:t xml:space="preserve">Zellkultur:</w:t>
      </w:r>
      <w:r>
        <w:t xml:space="preserve"> </w:t>
      </w:r>
      <w:r>
        <w:t xml:space="preserve">KTTKS und Pal-KTTKS steigern die Bildung von Kollagen und Fibronectin in Fibroblasten</w:t>
      </w:r>
      <w:r>
        <w:rPr>
          <w:rStyle w:val="FootnoteReference"/>
        </w:rPr>
        <w:footnoteReference w:id="2488"/>
      </w:r>
      <w:r>
        <w:t xml:space="preserve">. In einer anderen Zellstudie verringerte Pal-KTTKS in niedriger Konzentration die Umwandlung von Fibroblasten in narbenbildende Myofibroblasten; in höherer Konzentration war der Effekt nicht signifikant</w:t>
      </w:r>
      <w:r>
        <w:rPr>
          <w:rStyle w:val="FootnoteReference"/>
        </w:rPr>
        <w:footnoteReference w:id="2489"/>
      </w:r>
      <w:r>
        <w:t xml:space="preserve">.</w:t>
      </w:r>
    </w:p>
    <w:p>
      <w:pPr>
        <w:numPr>
          <w:ilvl w:val="0"/>
          <w:numId w:val="1314"/>
        </w:numPr>
        <w:pStyle w:val="Compact"/>
      </w:pPr>
      <w:r>
        <w:rPr>
          <w:bCs/>
          <w:b/>
        </w:rPr>
        <w:t xml:space="preserve">Tierversuche:</w:t>
      </w:r>
      <w:r>
        <w:t xml:space="preserve"> </w:t>
      </w:r>
      <w:r>
        <w:t xml:space="preserve">Bei Versuchstieren verbesserten Pflaster und Cremes mit Matrixyl die Heilung von Hautwunden gegenüber unbehandelten Kontrollen</w:t>
      </w:r>
      <w:r>
        <w:rPr>
          <w:rStyle w:val="FootnoteReference"/>
        </w:rPr>
        <w:footnoteReference w:id="2490"/>
      </w:r>
      <w:r>
        <w:t xml:space="preserve">.</w:t>
      </w:r>
    </w:p>
    <w:p>
      <w:pPr>
        <w:numPr>
          <w:ilvl w:val="0"/>
          <w:numId w:val="1314"/>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2491"/>
    <w:bookmarkStart w:id="2494" w:name="risiken-und-nebenwirkungen-56"/>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 Juckreiz unter dem Matrixyl-haltigen Kombinationsprodukt häufiger auf, ein Verdacht auf eine allergische Reaktion nur unter diesem Produkt</w:t>
      </w:r>
      <w:r>
        <w:rPr>
          <w:rStyle w:val="FootnoteReference"/>
        </w:rPr>
        <w:footnoteReference w:id="2492"/>
      </w:r>
      <w:r>
        <w:t xml:space="preserve">;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w:t>
      </w:r>
      <w:r>
        <w:rPr>
          <w:rStyle w:val="FootnoteReference"/>
        </w:rPr>
        <w:footnoteReference w:id="2493"/>
      </w:r>
      <w:r>
        <w:t xml:space="preserve">.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2494"/>
    <w:bookmarkStart w:id="2495" w:name="rechtslage-56"/>
    <w:p>
      <w:pPr>
        <w:pStyle w:val="Heading3"/>
      </w:pPr>
      <w:r>
        <w:t xml:space="preserve">Rechtslage</w:t>
      </w:r>
    </w:p>
    <w:p>
      <w:pPr>
        <w:numPr>
          <w:ilvl w:val="0"/>
          <w:numId w:val="1315"/>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15"/>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15"/>
        </w:numPr>
        <w:pStyle w:val="Compact"/>
      </w:pPr>
      <w:r>
        <w:rPr>
          <w:bCs/>
          <w:b/>
        </w:rPr>
        <w:t xml:space="preserve">Sport:</w:t>
      </w:r>
      <w:r>
        <w:t xml:space="preserve"> </w:t>
      </w:r>
      <w:r>
        <w:t xml:space="preserve">ohne Bedeutung (Stand 2026, bitte aktuell prüfen).</w:t>
      </w:r>
    </w:p>
    <w:bookmarkEnd w:id="2495"/>
    <w:bookmarkStart w:id="2496" w:name="laufende-studien-und-ausblick-56"/>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2496"/>
    <w:bookmarkStart w:id="2497" w:name="fazit-56"/>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2497"/>
    <w:bookmarkEnd w:id="2498"/>
    <w:bookmarkStart w:id="2522" w:name="acetyl-hexapeptid-8-argireline"/>
    <w:p>
      <w:pPr>
        <w:pStyle w:val="Heading2"/>
      </w:pPr>
      <w:r>
        <w:t xml:space="preserve">Acetyl-Hexapeptid-8 (Argireline)</w:t>
      </w:r>
    </w:p>
    <w:bookmarkStart w:id="2499" w:name="steckbrief-57"/>
    <w:p>
      <w:pPr>
        <w:pStyle w:val="Heading3"/>
      </w:pPr>
      <w:r>
        <w:t xml:space="preserve">Steckbrief</w:t>
      </w:r>
    </w:p>
    <w:p>
      <w:pPr>
        <w:numPr>
          <w:ilvl w:val="0"/>
          <w:numId w:val="1316"/>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16"/>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16"/>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16"/>
        </w:numPr>
        <w:pStyle w:val="Compact"/>
      </w:pPr>
      <w:r>
        <w:rPr>
          <w:bCs/>
          <w:b/>
        </w:rPr>
        <w:t xml:space="preserve">Zulassung EU:</w:t>
      </w:r>
      <w:r>
        <w:t xml:space="preserve"> </w:t>
      </w:r>
      <w:r>
        <w:t xml:space="preserve">kein Arzneimittel; kosmetischer Inhaltsstoff.</w:t>
      </w:r>
    </w:p>
    <w:p>
      <w:pPr>
        <w:numPr>
          <w:ilvl w:val="0"/>
          <w:numId w:val="1316"/>
        </w:numPr>
        <w:pStyle w:val="Compact"/>
      </w:pPr>
      <w:r>
        <w:rPr>
          <w:bCs/>
          <w:b/>
        </w:rPr>
        <w:t xml:space="preserve">Zulassung USA:</w:t>
      </w:r>
      <w:r>
        <w:t xml:space="preserve"> </w:t>
      </w:r>
      <w:r>
        <w:t xml:space="preserve">kein Arzneimittel; kosmetischer Inhaltsstoff.</w:t>
      </w:r>
    </w:p>
    <w:p>
      <w:pPr>
        <w:numPr>
          <w:ilvl w:val="0"/>
          <w:numId w:val="1316"/>
        </w:numPr>
        <w:pStyle w:val="Compact"/>
      </w:pPr>
      <w:r>
        <w:rPr>
          <w:bCs/>
          <w:b/>
        </w:rPr>
        <w:t xml:space="preserve">WADA:</w:t>
      </w:r>
      <w:r>
        <w:t xml:space="preserve"> </w:t>
      </w:r>
      <w:r>
        <w:t xml:space="preserve">nicht gelistet.</w:t>
      </w:r>
    </w:p>
    <w:p>
      <w:pPr>
        <w:numPr>
          <w:ilvl w:val="0"/>
          <w:numId w:val="1316"/>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2499"/>
    <w:bookmarkStart w:id="2503" w:name="wie-es-wirken-soll-57"/>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w:t>
      </w:r>
      <w:r>
        <w:rPr>
          <w:rStyle w:val="FootnoteReference"/>
        </w:rPr>
        <w:footnoteReference w:id="2500"/>
      </w:r>
      <w:r>
        <w:t xml:space="preserve">.</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w:t>
      </w:r>
      <w:r>
        <w:rPr>
          <w:rStyle w:val="FootnoteReference"/>
        </w:rPr>
        <w:footnoteReference w:id="2501"/>
      </w:r>
      <w:r>
        <w:t xml:space="preserve">. Eine Übersichtsarbeit aus dem Jahr 2025 hält fest, dass unklar bleibt, ob das Peptid die Nerv-Muskel-Verbindung überhaupt erreicht</w:t>
      </w:r>
      <w:r>
        <w:rPr>
          <w:rStyle w:val="FootnoteReference"/>
        </w:rPr>
        <w:footnoteReference w:id="2502"/>
      </w:r>
      <w:r>
        <w:t xml:space="preserve">.</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2503"/>
    <w:bookmarkStart w:id="2510" w:name="studien-am-menschen-57"/>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17"/>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17"/>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w:t>
      </w:r>
      <w:r>
        <w:rPr>
          <w:rStyle w:val="FootnoteReference"/>
        </w:rPr>
        <w:footnoteReference w:id="2504"/>
      </w:r>
      <w:r>
        <w:t xml:space="preserve">. Bei Vergleichen mit dem Ausgangswert zeigte nur die Argireline-Gruppe sinkende Rauigkeitswerte – ein direkter statistischer Vergleich der Gruppen wird im Abstract nicht berichtet.</w:t>
      </w:r>
    </w:p>
    <w:p>
      <w:pPr>
        <w:numPr>
          <w:ilvl w:val="0"/>
          <w:numId w:val="1317"/>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2509" w:name="weitere-anwendungen-3"/>
    <w:p>
      <w:pPr>
        <w:pStyle w:val="Heading4"/>
      </w:pPr>
      <w:r>
        <w:t xml:space="preserve">Weitere Anwendungen</w:t>
      </w:r>
    </w:p>
    <w:p>
      <w:pPr>
        <w:numPr>
          <w:ilvl w:val="0"/>
          <w:numId w:val="1318"/>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w:t>
      </w:r>
      <w:r>
        <w:rPr>
          <w:rStyle w:val="FootnoteReference"/>
        </w:rPr>
        <w:footnoteReference w:id="2505"/>
      </w:r>
      <w:r>
        <w:t xml:space="preserve">.</w:t>
      </w:r>
    </w:p>
    <w:p>
      <w:pPr>
        <w:numPr>
          <w:ilvl w:val="0"/>
          <w:numId w:val="1318"/>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w:t>
      </w:r>
      <w:r>
        <w:rPr>
          <w:rStyle w:val="FootnoteReference"/>
        </w:rPr>
        <w:footnoteReference w:id="2506"/>
      </w:r>
      <w:r>
        <w:t xml:space="preserve">. Hier wird das Peptid durch winzige Nadeln in die Haut gebracht – das Ergebnis ist nicht auf normale Cremes übertragbar.</w:t>
      </w:r>
    </w:p>
    <w:p>
      <w:pPr>
        <w:numPr>
          <w:ilvl w:val="0"/>
          <w:numId w:val="1318"/>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18"/>
        </w:numPr>
        <w:pStyle w:val="Compact"/>
      </w:pPr>
      <w:r>
        <w:rPr>
          <w:bCs/>
          <w:b/>
        </w:rPr>
        <w:t xml:space="preserve">Registrierte Kleinstudien:</w:t>
      </w:r>
      <w:r>
        <w:t xml:space="preserve"> </w:t>
      </w:r>
      <w:r>
        <w:t xml:space="preserve">Auf ClinicalTrials.gov sind unter anderem eine abgeschlossene Studie zu öliger Haut mit 14 Teilnehmenden</w:t>
      </w:r>
      <w:r>
        <w:rPr>
          <w:rStyle w:val="FootnoteReference"/>
        </w:rPr>
        <w:footnoteReference w:id="2507"/>
      </w:r>
      <w:r>
        <w:t xml:space="preserve"> </w:t>
      </w:r>
      <w:r>
        <w:t xml:space="preserve">und eine als Phase 3 bezeichnete Studie zu Augenfältchen mit 70 Teilnehmenden</w:t>
      </w:r>
      <w:r>
        <w:rPr>
          <w:rStyle w:val="FootnoteReference"/>
        </w:rPr>
        <w:footnoteReference w:id="2508"/>
      </w:r>
      <w:r>
        <w:t xml:space="preserve"> </w:t>
      </w:r>
      <w:r>
        <w:t xml:space="preserve">gelistet; ob Letztere der oben genannten chinesischen Studie entspricht, ließ sich nicht eindeutig klären.</w:t>
      </w:r>
    </w:p>
    <w:bookmarkEnd w:id="2509"/>
    <w:bookmarkEnd w:id="2510"/>
    <w:bookmarkStart w:id="2515" w:name="tier--und-laborstudien-57"/>
    <w:p>
      <w:pPr>
        <w:pStyle w:val="Heading3"/>
      </w:pPr>
      <w:r>
        <w:t xml:space="preserve">Tier- und Laborstudien</w:t>
      </w:r>
    </w:p>
    <w:p>
      <w:pPr>
        <w:numPr>
          <w:ilvl w:val="0"/>
          <w:numId w:val="1319"/>
        </w:numPr>
        <w:pStyle w:val="Compact"/>
      </w:pPr>
      <w:r>
        <w:rPr>
          <w:bCs/>
          <w:b/>
        </w:rPr>
        <w:t xml:space="preserve">Zellversuche:</w:t>
      </w:r>
      <w:r>
        <w:t xml:space="preserve"> </w:t>
      </w:r>
      <w:r>
        <w:t xml:space="preserve">Hemmung der Botenstofffreisetzung und Störung der SNARE-Komplex-Bildung</w:t>
      </w:r>
      <w:r>
        <w:rPr>
          <w:rStyle w:val="FootnoteReference"/>
        </w:rPr>
        <w:footnoteReference w:id="2511"/>
      </w:r>
      <w:r>
        <w:t xml:space="preserve">. In Zellkulturen menschlicher Hautfibroblasten und anderer Zelllinien hemmte Argireline die Zellvermehrung dosisabhängig, allerdings erst in Konzentrationen, die 18- bis 10.000-mal höher lagen als beim Vergleichsstoff Doxorubicin, einem Krebsmedikament</w:t>
      </w:r>
      <w:r>
        <w:rPr>
          <w:rStyle w:val="FootnoteReference"/>
        </w:rPr>
        <w:footnoteReference w:id="2512"/>
      </w:r>
      <w:r>
        <w:t xml:space="preserve">.</w:t>
      </w:r>
    </w:p>
    <w:p>
      <w:pPr>
        <w:numPr>
          <w:ilvl w:val="0"/>
          <w:numId w:val="1319"/>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w:t>
      </w:r>
      <w:r>
        <w:rPr>
          <w:rStyle w:val="FootnoteReference"/>
        </w:rPr>
        <w:footnoteReference w:id="2513"/>
      </w:r>
      <w:r>
        <w:t xml:space="preserve">.</w:t>
      </w:r>
    </w:p>
    <w:p>
      <w:pPr>
        <w:numPr>
          <w:ilvl w:val="0"/>
          <w:numId w:val="1319"/>
        </w:numPr>
        <w:pStyle w:val="Compact"/>
      </w:pPr>
      <w:r>
        <w:rPr>
          <w:bCs/>
          <w:b/>
        </w:rPr>
        <w:t xml:space="preserve">Hautdurchlässigkeit:</w:t>
      </w:r>
      <w:r>
        <w:t xml:space="preserve"> </w:t>
      </w:r>
      <w:r>
        <w:t xml:space="preserve">Neben der Studie an Körperspenderhaut</w:t>
      </w:r>
      <w:r>
        <w:rPr>
          <w:rStyle w:val="FootnoteReference"/>
        </w:rPr>
        <w:footnoteReference w:id="2514"/>
      </w:r>
      <w:r>
        <w:t xml:space="preserve"> </w:t>
      </w:r>
      <w:r>
        <w:t xml:space="preserve">untersuchen zahlreiche Laborarbeiten Emulsionen, Mikronadeln, Iontophorese und chemische Abwandlungen, um mehr Wirkstoff in die Haut zu bringen.</w:t>
      </w:r>
    </w:p>
    <w:bookmarkEnd w:id="2515"/>
    <w:bookmarkStart w:id="2518" w:name="risiken-und-nebenwirkungen-57"/>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w:t>
      </w:r>
      <w:r>
        <w:rPr>
          <w:rStyle w:val="FootnoteReference"/>
        </w:rPr>
        <w:footnoteReference w:id="2516"/>
      </w:r>
      <w:r>
        <w:t xml:space="preserve">.</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w:t>
      </w:r>
      <w:r>
        <w:rPr>
          <w:rStyle w:val="FootnoteReference"/>
        </w:rPr>
        <w:footnoteReference w:id="2517"/>
      </w:r>
      <w:r>
        <w:t xml:space="preserve">.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2518"/>
    <w:bookmarkStart w:id="2519" w:name="rechtslage-57"/>
    <w:p>
      <w:pPr>
        <w:pStyle w:val="Heading3"/>
      </w:pPr>
      <w:r>
        <w:t xml:space="preserve">Rechtslage</w:t>
      </w:r>
    </w:p>
    <w:p>
      <w:pPr>
        <w:numPr>
          <w:ilvl w:val="0"/>
          <w:numId w:val="1320"/>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20"/>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20"/>
        </w:numPr>
        <w:pStyle w:val="Compact"/>
      </w:pPr>
      <w:r>
        <w:rPr>
          <w:bCs/>
          <w:b/>
        </w:rPr>
        <w:t xml:space="preserve">Sport:</w:t>
      </w:r>
      <w:r>
        <w:t xml:space="preserve"> </w:t>
      </w:r>
      <w:r>
        <w:t xml:space="preserve">ohne Bedeutung (Stand 2026, bitte aktuell prüfen).</w:t>
      </w:r>
    </w:p>
    <w:bookmarkEnd w:id="2519"/>
    <w:bookmarkStart w:id="2520" w:name="laufende-studien-und-ausblick-57"/>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2520"/>
    <w:bookmarkStart w:id="2521" w:name="fazit-57"/>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2521"/>
    <w:bookmarkEnd w:id="2522"/>
    <w:bookmarkEnd w:id="2523"/>
    <w:bookmarkStart w:id="2602" w:name="teil-iii-der-große-vergleich"/>
    <w:p>
      <w:pPr>
        <w:pStyle w:val="Heading1"/>
      </w:pPr>
      <w:r>
        <w:t xml:space="preserve">Teil III – Der große Vergleich</w:t>
      </w:r>
    </w:p>
    <w:p>
      <w:pPr>
        <w:pStyle w:val="FirstParagraph"/>
      </w:pPr>
      <w:r>
        <w:t xml:space="preserve">In Teil II wurde jedes Peptid einzeln betrachtet. Dieser Teil legt die Ergebnisse nebeneinander und beantwortet drei Fragen: Wie gut ist ein Peptid im Vergleich zu den anderen untersucht? Wie schneiden die Abnehm- und Diabetesmedikamente gegeneinander ab? Und was bleibt von den Versprechen aus dem Internet, wenn man nur Studien am Menschen gelten lässt?</w:t>
      </w:r>
    </w:p>
    <w:p>
      <w:pPr>
        <w:pStyle w:val="BodyText"/>
      </w:pPr>
      <w:r>
        <w:t xml:space="preserve">Die Tabellen sind Verdichtungen. Quellen und Einschränkungen jeder Zahl stehen in den Kapiteln von Teil II. Alle Angaben zu Zulassung und Dopingstatus geben den Stand 2026 wieder und sollten aktuell geprüft werden.</w:t>
      </w:r>
    </w:p>
    <w:bookmarkStart w:id="2536" w:name="alle-peptide-auf-einen-blick"/>
    <w:p>
      <w:pPr>
        <w:pStyle w:val="Heading2"/>
      </w:pPr>
      <w:r>
        <w:t xml:space="preserve">Alle Peptide auf einen Blick</w:t>
      </w:r>
    </w:p>
    <w:bookmarkStart w:id="2524" w:name="so-lesen-sie-die-tabellen"/>
    <w:p>
      <w:pPr>
        <w:pStyle w:val="Heading3"/>
      </w:pPr>
      <w:r>
        <w:t xml:space="preserve">So lesen Sie die Tabellen</w:t>
      </w:r>
    </w:p>
    <w:p>
      <w:pPr>
        <w:pStyle w:val="FirstParagraph"/>
      </w:pPr>
      <w:r>
        <w:t xml:space="preserve">Für jede Gruppe aus Teil II folgen zwei Tabellen: die erste mit Evidenzstufe, Zulassung und Größenordnung der Studienlage, die zweite mit dem wichtigsten Studienergebnis und dem Hauptrisiko.</w:t>
      </w:r>
    </w:p>
    <w:p>
      <w:pPr>
        <w:pStyle w:val="BodyText"/>
      </w:pPr>
      <w:r>
        <w:rPr>
          <w:bCs/>
          <w:b/>
        </w:rPr>
        <w:t xml:space="preserve">Evidenzstufe</w:t>
      </w:r>
      <w:r>
        <w:t xml:space="preserve"> </w:t>
      </w:r>
      <w:r>
        <w:t xml:space="preserve">(wie in Teil II):</w:t>
      </w:r>
    </w:p>
    <w:p>
      <w:pPr>
        <w:numPr>
          <w:ilvl w:val="0"/>
          <w:numId w:val="1321"/>
        </w:numPr>
        <w:pStyle w:val="Compact"/>
      </w:pPr>
      <w:r>
        <w:rPr>
          <w:bCs/>
          <w:b/>
        </w:rPr>
        <w:t xml:space="preserve">A</w:t>
      </w:r>
      <w:r>
        <w:t xml:space="preserve">: mehrere große randomisierte Studien am Menschen, meist mit Zulassung</w:t>
      </w:r>
    </w:p>
    <w:p>
      <w:pPr>
        <w:numPr>
          <w:ilvl w:val="0"/>
          <w:numId w:val="1321"/>
        </w:numPr>
        <w:pStyle w:val="Compact"/>
      </w:pPr>
      <w:r>
        <w:rPr>
          <w:bCs/>
          <w:b/>
        </w:rPr>
        <w:t xml:space="preserve">B</w:t>
      </w:r>
      <w:r>
        <w:t xml:space="preserve">: einzelne randomisierte Studien am Menschen</w:t>
      </w:r>
    </w:p>
    <w:p>
      <w:pPr>
        <w:numPr>
          <w:ilvl w:val="0"/>
          <w:numId w:val="1321"/>
        </w:numPr>
        <w:pStyle w:val="Compact"/>
      </w:pPr>
      <w:r>
        <w:rPr>
          <w:bCs/>
          <w:b/>
        </w:rPr>
        <w:t xml:space="preserve">C</w:t>
      </w:r>
      <w:r>
        <w:t xml:space="preserve">: nur kleine oder unkontrollierte Humanstudien</w:t>
      </w:r>
    </w:p>
    <w:p>
      <w:pPr>
        <w:numPr>
          <w:ilvl w:val="0"/>
          <w:numId w:val="1321"/>
        </w:numPr>
        <w:pStyle w:val="Compact"/>
      </w:pPr>
      <w:r>
        <w:rPr>
          <w:bCs/>
          <w:b/>
        </w:rPr>
        <w:t xml:space="preserve">D</w:t>
      </w:r>
      <w:r>
        <w:t xml:space="preserve">: nur Tier- und Laborstudien</w:t>
      </w:r>
    </w:p>
    <w:p>
      <w:pPr>
        <w:pStyle w:val="FirstParagraph"/>
      </w:pPr>
      <w:r>
        <w:t xml:space="preserve">Die Stufe beschreibt,</w:t>
      </w:r>
      <w:r>
        <w:t xml:space="preserve"> </w:t>
      </w:r>
      <w:r>
        <w:rPr>
          <w:iCs/>
          <w:i/>
        </w:rPr>
        <w:t xml:space="preserve">wie gut</w:t>
      </w:r>
      <w:r>
        <w:t xml:space="preserve"> </w:t>
      </w:r>
      <w:r>
        <w:t xml:space="preserve">etwas untersucht ist, nicht,</w:t>
      </w:r>
      <w:r>
        <w:t xml:space="preserve"> </w:t>
      </w:r>
      <w:r>
        <w:rPr>
          <w:iCs/>
          <w:i/>
        </w:rPr>
        <w:t xml:space="preserve">ob</w:t>
      </w:r>
      <w:r>
        <w:t xml:space="preserve"> </w:t>
      </w:r>
      <w:r>
        <w:t xml:space="preserve">es wirkt – und gilt nur für die untersuchte Anwendung.</w:t>
      </w:r>
    </w:p>
    <w:p>
      <w:pPr>
        <w:pStyle w:val="BodyText"/>
      </w:pPr>
      <w:r>
        <w:rPr>
          <w:bCs/>
          <w:b/>
        </w:rPr>
        <w:t xml:space="preserve">Humanstudien / Register:</w:t>
      </w:r>
      <w:r>
        <w:t xml:space="preserve"> </w:t>
      </w:r>
      <w:r>
        <w:t xml:space="preserve">Die Zahlen stammen aus der automatisierten Abfrage für dieses Buch (Oktober 2026, Methodik im Anhang): als Humanstudie eingeordnete Veröffentlichungen in PubMed und Einträge im Studienregister ClinicalTrials.gov. Sie zeigen nur die Größenordnung, hängen stark vom Suchbegriff ab und enthalten teils fachfremde Treffer, während ältere Arbeiten unter anderen Namen fehlen können. Wo eine Zahl deutlich in die Irre führt, ist sie mit „(Anm.)“ markiert und unter der Tabelle erläutert. Registereinträge eines Sponsors, dessen Einträge sich bei der Prüfung als offenbar fiktive Beispiel- oder Testeinträge erwiesen, sind nicht mitgezählt.</w:t>
      </w:r>
    </w:p>
    <w:bookmarkEnd w:id="2524"/>
    <w:bookmarkStart w:id="2525" w:name="a.-stoffwechsel-und-gewicht"/>
    <w:p>
      <w:pPr>
        <w:pStyle w:val="Heading3"/>
      </w:pPr>
      <w:r>
        <w:t xml:space="preserve">A. Stoffwechsel und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ja / ja (auch Generika)</w:t>
            </w:r>
          </w:p>
        </w:tc>
        <w:tc>
          <w:tcPr/>
          <w:p>
            <w:pPr>
              <w:pStyle w:val="Compact"/>
              <w:jc w:val="left"/>
            </w:pPr>
            <w:r>
              <w:t xml:space="preserve">613 / 517</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ja / ja (Spritze und Tablette)</w:t>
            </w:r>
          </w:p>
        </w:tc>
        <w:tc>
          <w:tcPr/>
          <w:p>
            <w:pPr>
              <w:pStyle w:val="Compact"/>
              <w:jc w:val="left"/>
            </w:pPr>
            <w:r>
              <w:t xml:space="preserve">342 / 793</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32</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29</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nein / nein (nur China, 2025)</w:t>
            </w:r>
          </w:p>
        </w:tc>
        <w:tc>
          <w:tcPr/>
          <w:p>
            <w:pPr>
              <w:pStyle w:val="Compact"/>
              <w:jc w:val="left"/>
            </w:pPr>
            <w:r>
              <w:t xml:space="preserve">9 / 44</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 (Anm.)</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28</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nein / ja</w:t>
            </w:r>
          </w:p>
        </w:tc>
        <w:tc>
          <w:tcPr/>
          <w:p>
            <w:pPr>
              <w:pStyle w:val="Compact"/>
              <w:jc w:val="left"/>
            </w:pPr>
            <w:r>
              <w:t xml:space="preserve">76 / 64</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ja / ja (seltene genetische Formen)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Orforglipron (kein Peptid)</w:t>
            </w:r>
          </w:p>
        </w:tc>
        <w:tc>
          <w:tcPr/>
          <w:p>
            <w:pPr>
              <w:pStyle w:val="Compact"/>
              <w:jc w:val="left"/>
            </w:pPr>
            <w:r>
              <w:t xml:space="preserve">A</w:t>
            </w:r>
          </w:p>
        </w:tc>
        <w:tc>
          <w:tcPr/>
          <w:p>
            <w:pPr>
              <w:pStyle w:val="Compact"/>
              <w:jc w:val="left"/>
            </w:pPr>
            <w:r>
              <w:t xml:space="preserve">nein / Antrag gestellt (bitte prüfen)</w:t>
            </w:r>
          </w:p>
        </w:tc>
        <w:tc>
          <w:tcPr/>
          <w:p>
            <w:pPr>
              <w:pStyle w:val="Compact"/>
              <w:jc w:val="left"/>
            </w:pPr>
            <w:r>
              <w:t xml:space="preserve">20 / 53</w:t>
            </w:r>
          </w:p>
        </w:tc>
      </w:tr>
    </w:tbl>
    <w:p>
      <w:pPr>
        <w:pStyle w:val="BodyText"/>
      </w:pPr>
      <w:r>
        <w:t xml:space="preserve">Anmerkung zur Tabelle: Bei</w:t>
      </w:r>
      <w:r>
        <w:t xml:space="preserve"> </w:t>
      </w:r>
      <w:r>
        <w:rPr>
          <w:bCs/>
          <w:b/>
        </w:rPr>
        <w:t xml:space="preserve">Amycretin</w:t>
      </w:r>
      <w:r>
        <w:t xml:space="preserve"> </w:t>
      </w:r>
      <w:r>
        <w:t xml:space="preserve">fand die Registersuche nur einen Eintrag; unter dem Namen Zenagamtid und dem Entwicklungscode sind rund 30 Studien registriert, darunter das 2026 begonnene Phase-3-Programm. Bei</w:t>
      </w:r>
      <w:r>
        <w:t xml:space="preserve"> </w:t>
      </w:r>
      <w:r>
        <w:rPr>
          <w:bCs/>
          <w:b/>
        </w:rPr>
        <w:t xml:space="preserve">Mazdutid</w:t>
      </w:r>
      <w:r>
        <w:t xml:space="preserve"> </w:t>
      </w:r>
      <w:r>
        <w:t xml:space="preserve">stammen die Studien fast nur aus China; bei</w:t>
      </w:r>
      <w:r>
        <w:t xml:space="preserve"> </w:t>
      </w:r>
      <w:r>
        <w:rPr>
          <w:bCs/>
          <w:b/>
        </w:rPr>
        <w:t xml:space="preserve">Orforglipron</w:t>
      </w:r>
      <w:r>
        <w:t xml:space="preserve"> </w:t>
      </w:r>
      <w:r>
        <w:t xml:space="preserve">stand die Zulassung bei Redaktionsschluss aus.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Exenatid</w:t>
            </w:r>
          </w:p>
        </w:tc>
        <w:tc>
          <w:tcPr/>
          <w:p>
            <w:pPr>
              <w:pStyle w:val="Compact"/>
              <w:jc w:val="left"/>
            </w:pPr>
            <w:r>
              <w:t xml:space="preserve">EXSCEL: Herz-Kreislauf-Risiko nicht erhöht, aber auch nicht signifikant gesenkt (HR 0,91; PMID 28910237)</w:t>
            </w:r>
          </w:p>
        </w:tc>
        <w:tc>
          <w:tcPr/>
          <w:p>
            <w:pPr>
              <w:pStyle w:val="Compact"/>
              <w:jc w:val="left"/>
            </w:pPr>
            <w:r>
              <w:t xml:space="preserve">Übelkeit, Knötchen, Antikörper</w:t>
            </w:r>
          </w:p>
        </w:tc>
      </w:tr>
      <w:tr>
        <w:tc>
          <w:tcPr/>
          <w:p>
            <w:pPr>
              <w:pStyle w:val="Compact"/>
              <w:jc w:val="left"/>
            </w:pPr>
            <w:r>
              <w:t xml:space="preserve">Liraglutid</w:t>
            </w:r>
          </w:p>
        </w:tc>
        <w:tc>
          <w:tcPr/>
          <w:p>
            <w:pPr>
              <w:pStyle w:val="Compact"/>
              <w:jc w:val="left"/>
            </w:pPr>
            <w:r>
              <w:t xml:space="preserve">LEADER: 13 % weniger Herz-Kreislauf-Ereignisse (PMID 27295427); SCALE: −8,4 vs. −2,8 kg (PMID 26132939)</w:t>
            </w:r>
          </w:p>
        </w:tc>
        <w:tc>
          <w:tcPr/>
          <w:p>
            <w:pPr>
              <w:pStyle w:val="Compact"/>
              <w:jc w:val="left"/>
            </w:pPr>
            <w:r>
              <w:t xml:space="preserve">Magen-Darm-Beschwerden, Gallenblase</w:t>
            </w:r>
          </w:p>
        </w:tc>
      </w:tr>
      <w:tr>
        <w:tc>
          <w:tcPr/>
          <w:p>
            <w:pPr>
              <w:pStyle w:val="Compact"/>
              <w:jc w:val="left"/>
            </w:pPr>
            <w:r>
              <w:t xml:space="preserve">Dulaglutid</w:t>
            </w:r>
          </w:p>
        </w:tc>
        <w:tc>
          <w:tcPr/>
          <w:p>
            <w:pPr>
              <w:pStyle w:val="Compact"/>
              <w:jc w:val="left"/>
            </w:pPr>
            <w:r>
              <w:t xml:space="preserve">REWIND: 12 % weniger schwere Herz-Kreislauf-Ereignisse bei 9.901 Teilnehmenden (PMID 31189511)</w:t>
            </w:r>
          </w:p>
        </w:tc>
        <w:tc>
          <w:tcPr/>
          <w:p>
            <w:pPr>
              <w:pStyle w:val="Compact"/>
              <w:jc w:val="left"/>
            </w:pPr>
            <w:r>
              <w:t xml:space="preserve">Magen-Darm; Unterzuckerung in Kombination</w:t>
            </w:r>
          </w:p>
        </w:tc>
      </w:tr>
      <w:tr>
        <w:tc>
          <w:tcPr/>
          <w:p>
            <w:pPr>
              <w:pStyle w:val="Compact"/>
              <w:jc w:val="left"/>
            </w:pPr>
            <w:r>
              <w:t xml:space="preserve">Semaglutid</w:t>
            </w:r>
          </w:p>
        </w:tc>
        <w:tc>
          <w:tcPr/>
          <w:p>
            <w:pPr>
              <w:pStyle w:val="Compact"/>
              <w:jc w:val="left"/>
            </w:pPr>
            <w:r>
              <w:t xml:space="preserve">STEP 1: −14,9 % vs. −2,4 % (PMID 33567185); SELECT: 20 % weniger Herz-Kreislauf-Ereignisse (PMID 37952131)</w:t>
            </w:r>
          </w:p>
        </w:tc>
        <w:tc>
          <w:tcPr/>
          <w:p>
            <w:pPr>
              <w:pStyle w:val="Compact"/>
              <w:jc w:val="left"/>
            </w:pPr>
            <w:r>
              <w:t xml:space="preserve">Magen-Darm, Gallenblase, seltenes NAION-Signal, Fälschungen</w:t>
            </w:r>
          </w:p>
        </w:tc>
      </w:tr>
      <w:tr>
        <w:tc>
          <w:tcPr/>
          <w:p>
            <w:pPr>
              <w:pStyle w:val="Compact"/>
              <w:jc w:val="left"/>
            </w:pPr>
            <w:r>
              <w:t xml:space="preserve">Tirzepatid</w:t>
            </w:r>
          </w:p>
        </w:tc>
        <w:tc>
          <w:tcPr/>
          <w:p>
            <w:pPr>
              <w:pStyle w:val="Compact"/>
              <w:jc w:val="left"/>
            </w:pPr>
            <w:r>
              <w:t xml:space="preserve">SURMOUNT-5: −20,2 % vs. −13,7 % unter Semaglutid (PMID 40353578)</w:t>
            </w:r>
          </w:p>
        </w:tc>
        <w:tc>
          <w:tcPr/>
          <w:p>
            <w:pPr>
              <w:pStyle w:val="Compact"/>
              <w:jc w:val="left"/>
            </w:pPr>
            <w:r>
              <w:t xml:space="preserve">Magen-Darm, Gallenwege; Wiederzunahme nach Absetzen</w:t>
            </w:r>
          </w:p>
        </w:tc>
      </w:tr>
      <w:tr>
        <w:tc>
          <w:tcPr/>
          <w:p>
            <w:pPr>
              <w:pStyle w:val="Compact"/>
              <w:jc w:val="left"/>
            </w:pPr>
            <w:r>
              <w:t xml:space="preserve">Retatrutid</w:t>
            </w:r>
          </w:p>
        </w:tc>
        <w:tc>
          <w:tcPr/>
          <w:p>
            <w:pPr>
              <w:pStyle w:val="Compact"/>
              <w:jc w:val="left"/>
            </w:pPr>
            <w:r>
              <w:t xml:space="preserve">TRIUMPH-1: bis −25,0 % vs. −3,9 % nach 80 Wochen (PMID 42814954)</w:t>
            </w:r>
          </w:p>
        </w:tc>
        <w:tc>
          <w:tcPr/>
          <w:p>
            <w:pPr>
              <w:pStyle w:val="Compact"/>
              <w:jc w:val="left"/>
            </w:pPr>
            <w:r>
              <w:t xml:space="preserve">Magen-Darm, Hautmissempfindungen, mehr Abbrüche bei hoher Dosis</w:t>
            </w:r>
          </w:p>
        </w:tc>
      </w:tr>
      <w:tr>
        <w:tc>
          <w:tcPr/>
          <w:p>
            <w:pPr>
              <w:pStyle w:val="Compact"/>
              <w:jc w:val="left"/>
            </w:pPr>
            <w:r>
              <w:t xml:space="preserve">Survodutid</w:t>
            </w:r>
          </w:p>
        </w:tc>
        <w:tc>
          <w:tcPr/>
          <w:p>
            <w:pPr>
              <w:pStyle w:val="Compact"/>
              <w:jc w:val="left"/>
            </w:pPr>
            <w:r>
              <w:t xml:space="preserve">SYNCHRONIZE-1: bis −13,0 % vs. −5,4 % nach 76 Wochen (PMID 42253238)</w:t>
            </w:r>
          </w:p>
        </w:tc>
        <w:tc>
          <w:tcPr/>
          <w:p>
            <w:pPr>
              <w:pStyle w:val="Compact"/>
              <w:jc w:val="left"/>
            </w:pPr>
            <w:r>
              <w:t xml:space="preserve">sehr häufig Magen-Darm-Beschwerden</w:t>
            </w:r>
          </w:p>
        </w:tc>
      </w:tr>
      <w:tr>
        <w:tc>
          <w:tcPr/>
          <w:p>
            <w:pPr>
              <w:pStyle w:val="Compact"/>
              <w:jc w:val="left"/>
            </w:pPr>
            <w:r>
              <w:t xml:space="preserve">Mazdutid</w:t>
            </w:r>
          </w:p>
        </w:tc>
        <w:tc>
          <w:tcPr/>
          <w:p>
            <w:pPr>
              <w:pStyle w:val="Compact"/>
              <w:jc w:val="left"/>
            </w:pPr>
            <w:r>
              <w:t xml:space="preserve">GLORY-1: bis −14,0 % vs. +0,3 % nach 48 Wochen (PMID 40421736)</w:t>
            </w:r>
          </w:p>
        </w:tc>
        <w:tc>
          <w:tcPr/>
          <w:p>
            <w:pPr>
              <w:pStyle w:val="Compact"/>
              <w:jc w:val="left"/>
            </w:pPr>
            <w:r>
              <w:t xml:space="preserve">Magen-Darm, vor allem Erbrechen</w:t>
            </w:r>
          </w:p>
        </w:tc>
      </w:tr>
      <w:tr>
        <w:tc>
          <w:tcPr/>
          <w:p>
            <w:pPr>
              <w:pStyle w:val="Compact"/>
              <w:jc w:val="left"/>
            </w:pPr>
            <w:r>
              <w:t xml:space="preserve">Cagrilintid / CagriSema</w:t>
            </w:r>
          </w:p>
        </w:tc>
        <w:tc>
          <w:tcPr/>
          <w:p>
            <w:pPr>
              <w:pStyle w:val="Compact"/>
              <w:jc w:val="left"/>
            </w:pPr>
            <w:r>
              <w:t xml:space="preserve">REDEFINE 1: −20,4 % vs. −3,0 % nach 68 Wochen (PMID 40544433)</w:t>
            </w:r>
          </w:p>
        </w:tc>
        <w:tc>
          <w:tcPr/>
          <w:p>
            <w:pPr>
              <w:pStyle w:val="Compact"/>
              <w:jc w:val="left"/>
            </w:pPr>
            <w:r>
              <w:t xml:space="preserve">Magen-Darm-Beschwerden bei rund 80 %</w:t>
            </w:r>
          </w:p>
        </w:tc>
      </w:tr>
      <w:tr>
        <w:tc>
          <w:tcPr/>
          <w:p>
            <w:pPr>
              <w:pStyle w:val="Compact"/>
              <w:jc w:val="left"/>
            </w:pPr>
            <w:r>
              <w:t xml:space="preserve">Amycretin</w:t>
            </w:r>
          </w:p>
        </w:tc>
        <w:tc>
          <w:tcPr/>
          <w:p>
            <w:pPr>
              <w:pStyle w:val="Compact"/>
              <w:jc w:val="left"/>
            </w:pPr>
            <w:r>
              <w:t xml:space="preserve">Phase 1b/2a: bis −24,3 % vs. −1,1 % nach 36 Wochen (PMID 40550231)</w:t>
            </w:r>
          </w:p>
        </w:tc>
        <w:tc>
          <w:tcPr/>
          <w:p>
            <w:pPr>
              <w:pStyle w:val="Compact"/>
              <w:jc w:val="left"/>
            </w:pPr>
            <w:r>
              <w:t xml:space="preserve">Magen-Darm; Langzeitfolgen unbekannt</w:t>
            </w:r>
          </w:p>
        </w:tc>
      </w:tr>
      <w:tr>
        <w:tc>
          <w:tcPr/>
          <w:p>
            <w:pPr>
              <w:pStyle w:val="Compact"/>
              <w:jc w:val="left"/>
            </w:pPr>
            <w:r>
              <w:t xml:space="preserve">Maridebart Cafraglutid</w:t>
            </w:r>
          </w:p>
        </w:tc>
        <w:tc>
          <w:tcPr/>
          <w:p>
            <w:pPr>
              <w:pStyle w:val="Compact"/>
              <w:jc w:val="left"/>
            </w:pPr>
            <w:r>
              <w:t xml:space="preserve">Phase 2: −12,3 bis −16,2 % vs. −2,5 % nach 52 Wochen (PMID 40549887)</w:t>
            </w:r>
          </w:p>
        </w:tc>
        <w:tc>
          <w:tcPr/>
          <w:p>
            <w:pPr>
              <w:pStyle w:val="Compact"/>
              <w:jc w:val="left"/>
            </w:pPr>
            <w:r>
              <w:t xml:space="preserve">Magen-Darm; sehr lange Wirkdauer</w:t>
            </w:r>
          </w:p>
        </w:tc>
      </w:tr>
      <w:tr>
        <w:tc>
          <w:tcPr/>
          <w:p>
            <w:pPr>
              <w:pStyle w:val="Compact"/>
              <w:jc w:val="left"/>
            </w:pPr>
            <w:r>
              <w:t xml:space="preserve">Pramlintid</w:t>
            </w:r>
          </w:p>
        </w:tc>
        <w:tc>
          <w:tcPr/>
          <w:p>
            <w:pPr>
              <w:pStyle w:val="Compact"/>
              <w:jc w:val="left"/>
            </w:pPr>
            <w:r>
              <w:t xml:space="preserve">HbA1c −0,62 Prozentpunkte, Gewicht −1,4 kg (PMID 12610038)</w:t>
            </w:r>
          </w:p>
        </w:tc>
        <w:tc>
          <w:tcPr/>
          <w:p>
            <w:pPr>
              <w:pStyle w:val="Compact"/>
              <w:jc w:val="left"/>
            </w:pPr>
            <w:r>
              <w:t xml:space="preserve">schwere Unterzuckerung mit Insulin, Übelkeit</w:t>
            </w:r>
          </w:p>
        </w:tc>
      </w:tr>
      <w:tr>
        <w:tc>
          <w:tcPr/>
          <w:p>
            <w:pPr>
              <w:pStyle w:val="Compact"/>
              <w:jc w:val="left"/>
            </w:pPr>
            <w:r>
              <w:t xml:space="preserve">Setmelanotid</w:t>
            </w:r>
          </w:p>
        </w:tc>
        <w:tc>
          <w:tcPr/>
          <w:p>
            <w:pPr>
              <w:pStyle w:val="Compact"/>
              <w:jc w:val="left"/>
            </w:pPr>
            <w:r>
              <w:t xml:space="preserve">TRANSCEND: BMI −16,5 % vs. +3,3 % bei hypothalamischer Adipositas (PMID 42418774)</w:t>
            </w:r>
          </w:p>
        </w:tc>
        <w:tc>
          <w:tcPr/>
          <w:p>
            <w:pPr>
              <w:pStyle w:val="Compact"/>
              <w:jc w:val="left"/>
            </w:pPr>
            <w:r>
              <w:t xml:space="preserve">Einstichstellen, Hautverdunklung, Übelkeit</w:t>
            </w:r>
          </w:p>
        </w:tc>
      </w:tr>
      <w:tr>
        <w:tc>
          <w:tcPr/>
          <w:p>
            <w:pPr>
              <w:pStyle w:val="Compact"/>
              <w:jc w:val="left"/>
            </w:pPr>
            <w:r>
              <w:t xml:space="preserve">AOD-9604</w:t>
            </w:r>
          </w:p>
        </w:tc>
        <w:tc>
          <w:tcPr/>
          <w:p>
            <w:pPr>
              <w:pStyle w:val="Compact"/>
              <w:jc w:val="left"/>
            </w:pPr>
            <w:r>
              <w:t xml:space="preserve">Nur Tierdaten: bei Mäusen weniger Gewichtszunahme (PMID 11673763)</w:t>
            </w:r>
          </w:p>
        </w:tc>
        <w:tc>
          <w:tcPr/>
          <w:p>
            <w:pPr>
              <w:pStyle w:val="Compact"/>
              <w:jc w:val="left"/>
            </w:pPr>
            <w:r>
              <w:t xml:space="preserve">Wirkung beim Menschen unbekannt</w:t>
            </w:r>
          </w:p>
        </w:tc>
      </w:tr>
      <w:tr>
        <w:tc>
          <w:tcPr/>
          <w:p>
            <w:pPr>
              <w:pStyle w:val="Compact"/>
              <w:jc w:val="left"/>
            </w:pPr>
            <w:r>
              <w:t xml:space="preserve">Orforglipron</w:t>
            </w:r>
          </w:p>
        </w:tc>
        <w:tc>
          <w:tcPr/>
          <w:p>
            <w:pPr>
              <w:pStyle w:val="Compact"/>
              <w:jc w:val="left"/>
            </w:pPr>
            <w:r>
              <w:t xml:space="preserve">ATTAIN-1: bis −11,2 % vs. −2,1 % als Tablette (PMID 40960239)</w:t>
            </w:r>
          </w:p>
        </w:tc>
        <w:tc>
          <w:tcPr/>
          <w:p>
            <w:pPr>
              <w:pStyle w:val="Compact"/>
              <w:jc w:val="left"/>
            </w:pPr>
            <w:r>
              <w:t xml:space="preserve">Magen-Darm, etwas mehr Abbrüche als Semaglutid-Tablette</w:t>
            </w:r>
          </w:p>
        </w:tc>
      </w:tr>
    </w:tbl>
    <w:bookmarkEnd w:id="2525"/>
    <w:bookmarkStart w:id="2526" w:name="b.-heilung-regeneration-und-immunsystem"/>
    <w:p>
      <w:pPr>
        <w:pStyle w:val="Heading3"/>
      </w:pPr>
      <w:r>
        <w:t xml:space="preserve">B. Heilung, Regeneration und Immunsystem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0 / 4 (Anm.)</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 / nein</w:t>
            </w:r>
          </w:p>
        </w:tc>
        <w:tc>
          <w:tcPr/>
          <w:p>
            <w:pPr>
              <w:pStyle w:val="Compact"/>
              <w:jc w:val="left"/>
            </w:pPr>
            <w:r>
              <w:t xml:space="preserve">9 / 18 (Anm.)</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nein / nein (in China u. a. zugelassen)</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91 / 20 (Anm.)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5 / 5</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10 (Anm.)</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nein / nein (in Russland zugelassen)</w:t>
            </w:r>
          </w:p>
        </w:tc>
        <w:tc>
          <w:tcPr/>
          <w:p>
            <w:pPr>
              <w:pStyle w:val="Compact"/>
              <w:jc w:val="left"/>
            </w:pPr>
            <w:r>
              <w:t xml:space="preserve">17 / 0</w:t>
            </w:r>
          </w:p>
        </w:tc>
      </w:tr>
    </w:tbl>
    <w:p>
      <w:pPr>
        <w:pStyle w:val="BodyText"/>
      </w:pPr>
      <w:r>
        <w:t xml:space="preserve">Anmerkungen zur Tabelle: Bei</w:t>
      </w:r>
      <w:r>
        <w:t xml:space="preserve"> </w:t>
      </w:r>
      <w:r>
        <w:rPr>
          <w:bCs/>
          <w:b/>
        </w:rPr>
        <w:t xml:space="preserve">BPC-157</w:t>
      </w:r>
      <w:r>
        <w:t xml:space="preserve"> </w:t>
      </w:r>
      <w:r>
        <w:t xml:space="preserve">erfüllte keine Veröffentlichung die Filterkriterien der automatischen Suche; tatsächlich gibt es drei kleine, unkontrollierte Untersuchungen mit zusammen rund 30 Personen. Bei</w:t>
      </w:r>
      <w:r>
        <w:t xml:space="preserve"> </w:t>
      </w:r>
      <w:r>
        <w:rPr>
          <w:bCs/>
          <w:b/>
        </w:rPr>
        <w:t xml:space="preserve">TB-500</w:t>
      </w:r>
      <w:r>
        <w:t xml:space="preserve"> </w:t>
      </w:r>
      <w:r>
        <w:t xml:space="preserve">betreffen die Treffer das ganze Eiweiß Thymosin Beta-4 (nur sechs davon als Wirkstoff); keine untersucht TB-500. Bei</w:t>
      </w:r>
      <w:r>
        <w:t xml:space="preserve"> </w:t>
      </w:r>
      <w:r>
        <w:rPr>
          <w:bCs/>
          <w:b/>
        </w:rPr>
        <w:t xml:space="preserve">LL-37</w:t>
      </w:r>
      <w:r>
        <w:t xml:space="preserve"> </w:t>
      </w:r>
      <w:r>
        <w:t xml:space="preserve">messen die meisten Treffer LL-37 nur als Laborwert, etwa in Vitamin-D-Studien; Studien, in denen LL-37 selbst gegeben wurde, sind in PubMed nur fünf, im Register zwei. Bei</w:t>
      </w:r>
      <w:r>
        <w:t xml:space="preserve"> </w:t>
      </w:r>
      <w:r>
        <w:rPr>
          <w:bCs/>
          <w:b/>
        </w:rPr>
        <w:t xml:space="preserve">Larazotid</w:t>
      </w:r>
      <w:r>
        <w:t xml:space="preserve"> </w:t>
      </w:r>
      <w:r>
        <w:t xml:space="preserve">fand die Suche 29 Registereinträge, von denen 19 ein anderes Medikament mit demselben früheren Entwicklungscode betreffen; die Tabelle nennt die bereinigte Zahl.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BPC-157</w:t>
            </w:r>
          </w:p>
        </w:tc>
        <w:tc>
          <w:tcPr/>
          <w:p>
            <w:pPr>
              <w:pStyle w:val="Compact"/>
              <w:jc w:val="left"/>
            </w:pPr>
            <w:r>
              <w:t xml:space="preserve">Drei unkontrollierte Pilotuntersuchungen, Evidenz laut Übersicht sehr niedrig (PMID 42885452)</w:t>
            </w:r>
          </w:p>
        </w:tc>
        <w:tc>
          <w:tcPr/>
          <w:p>
            <w:pPr>
              <w:pStyle w:val="Compact"/>
              <w:jc w:val="left"/>
            </w:pPr>
            <w:r>
              <w:t xml:space="preserve">unbekannte Langzeitsicherheit, Graumarkt-Qualität</w:t>
            </w:r>
          </w:p>
        </w:tc>
      </w:tr>
      <w:tr>
        <w:tc>
          <w:tcPr/>
          <w:p>
            <w:pPr>
              <w:pStyle w:val="Compact"/>
              <w:jc w:val="left"/>
            </w:pPr>
            <w:r>
              <w:t xml:space="preserve">TB-500 / Thymosin Beta-4</w:t>
            </w:r>
          </w:p>
        </w:tc>
        <w:tc>
          <w:tcPr/>
          <w:p>
            <w:pPr>
              <w:pStyle w:val="Compact"/>
              <w:jc w:val="left"/>
            </w:pPr>
            <w:r>
              <w:t xml:space="preserve">Tβ4 nach Herzinfarkt: Infarktgröße nicht signifikant kleiner (PMID 41229390); TB-500 ungeprüft</w:t>
            </w:r>
          </w:p>
        </w:tc>
        <w:tc>
          <w:tcPr/>
          <w:p>
            <w:pPr>
              <w:pStyle w:val="Compact"/>
              <w:jc w:val="left"/>
            </w:pPr>
            <w:r>
              <w:t xml:space="preserve">unklarer Inhalt, theoretisch Tumorförderung</w:t>
            </w:r>
          </w:p>
        </w:tc>
      </w:tr>
      <w:tr>
        <w:tc>
          <w:tcPr/>
          <w:p>
            <w:pPr>
              <w:pStyle w:val="Compact"/>
              <w:jc w:val="left"/>
            </w:pPr>
            <w:r>
              <w:t xml:space="preserve">Thymosin Alpha-1</w:t>
            </w:r>
          </w:p>
        </w:tc>
        <w:tc>
          <w:tcPr/>
          <w:p>
            <w:pPr>
              <w:pStyle w:val="Compact"/>
              <w:jc w:val="left"/>
            </w:pPr>
            <w:r>
              <w:t xml:space="preserve">TESTS bei Sepsis: 28-Tage-Sterblichkeit 23,4 % vs. 24,1 %, kein Unterschied (PMID 39814420)</w:t>
            </w:r>
          </w:p>
        </w:tc>
        <w:tc>
          <w:tcPr/>
          <w:p>
            <w:pPr>
              <w:pStyle w:val="Compact"/>
              <w:jc w:val="left"/>
            </w:pPr>
            <w:r>
              <w:t xml:space="preserve">mögliche Nachteile in Untergruppen; Graumarkt</w:t>
            </w:r>
          </w:p>
        </w:tc>
      </w:tr>
      <w:tr>
        <w:tc>
          <w:tcPr/>
          <w:p>
            <w:pPr>
              <w:pStyle w:val="Compact"/>
              <w:jc w:val="left"/>
            </w:pPr>
            <w:r>
              <w:t xml:space="preserve">KPV</w:t>
            </w:r>
          </w:p>
        </w:tc>
        <w:tc>
          <w:tcPr/>
          <w:p>
            <w:pPr>
              <w:pStyle w:val="Compact"/>
              <w:jc w:val="left"/>
            </w:pPr>
            <w:r>
              <w:t xml:space="preserve">Nur Tierdaten: weniger Darmentzündung bei Mäusen (PMID 18061177)</w:t>
            </w:r>
          </w:p>
        </w:tc>
        <w:tc>
          <w:tcPr/>
          <w:p>
            <w:pPr>
              <w:pStyle w:val="Compact"/>
              <w:jc w:val="left"/>
            </w:pPr>
            <w:r>
              <w:t xml:space="preserve">völlig unbekanntes Profil am Menschen</w:t>
            </w:r>
          </w:p>
        </w:tc>
      </w:tr>
      <w:tr>
        <w:tc>
          <w:tcPr/>
          <w:p>
            <w:pPr>
              <w:pStyle w:val="Compact"/>
              <w:jc w:val="left"/>
            </w:pPr>
            <w:r>
              <w:t xml:space="preserve">LL-37</w:t>
            </w:r>
          </w:p>
        </w:tc>
        <w:tc>
          <w:tcPr/>
          <w:p>
            <w:pPr>
              <w:pStyle w:val="Compact"/>
              <w:jc w:val="left"/>
            </w:pPr>
            <w:r>
              <w:t xml:space="preserve">HEAL LL-37: Beingeschwüre heilten nicht besser als unter Placebo (PMID 34687253)</w:t>
            </w:r>
          </w:p>
        </w:tc>
        <w:tc>
          <w:tcPr/>
          <w:p>
            <w:pPr>
              <w:pStyle w:val="Compact"/>
              <w:jc w:val="left"/>
            </w:pPr>
            <w:r>
              <w:t xml:space="preserve">Entzündungs- und Autoimmunreaktionen</w:t>
            </w:r>
          </w:p>
        </w:tc>
      </w:tr>
      <w:tr>
        <w:tc>
          <w:tcPr/>
          <w:p>
            <w:pPr>
              <w:pStyle w:val="Compact"/>
              <w:jc w:val="left"/>
            </w:pPr>
            <w:r>
              <w:t xml:space="preserve">ARA-290</w:t>
            </w:r>
          </w:p>
        </w:tc>
        <w:tc>
          <w:tcPr/>
          <w:p>
            <w:pPr>
              <w:pStyle w:val="Compact"/>
              <w:jc w:val="left"/>
            </w:pPr>
            <w:r>
              <w:t xml:space="preserve">Phase 2b: Nervenfasern nur unter einer von drei Dosen vermehrt (PMID 28475703)</w:t>
            </w:r>
          </w:p>
        </w:tc>
        <w:tc>
          <w:tcPr/>
          <w:p>
            <w:pPr>
              <w:pStyle w:val="Compact"/>
              <w:jc w:val="left"/>
            </w:pPr>
            <w:r>
              <w:t xml:space="preserve">kaum Daten über zwölf Wochen hinaus</w:t>
            </w:r>
          </w:p>
        </w:tc>
      </w:tr>
      <w:tr>
        <w:tc>
          <w:tcPr/>
          <w:p>
            <w:pPr>
              <w:pStyle w:val="Compact"/>
              <w:jc w:val="left"/>
            </w:pPr>
            <w:r>
              <w:t xml:space="preserve">Larazotid</w:t>
            </w:r>
          </w:p>
        </w:tc>
        <w:tc>
          <w:tcPr/>
          <w:p>
            <w:pPr>
              <w:pStyle w:val="Compact"/>
              <w:jc w:val="left"/>
            </w:pPr>
            <w:r>
              <w:t xml:space="preserve">Nur die niedrigste von drei Dosen besser als Placebo (PMID 25683116); Phase 3 abgebrochen</w:t>
            </w:r>
          </w:p>
        </w:tc>
        <w:tc>
          <w:tcPr/>
          <w:p>
            <w:pPr>
              <w:pStyle w:val="Compact"/>
              <w:jc w:val="left"/>
            </w:pPr>
            <w:r>
              <w:t xml:space="preserve">gelockerte glutenfreie Diät</w:t>
            </w:r>
          </w:p>
        </w:tc>
      </w:tr>
      <w:tr>
        <w:tc>
          <w:tcPr/>
          <w:p>
            <w:pPr>
              <w:pStyle w:val="Compact"/>
              <w:jc w:val="left"/>
            </w:pPr>
            <w:r>
              <w:t xml:space="preserve">Thymalin</w:t>
            </w:r>
          </w:p>
        </w:tc>
        <w:tc>
          <w:tcPr/>
          <w:p>
            <w:pPr>
              <w:pStyle w:val="Compact"/>
              <w:jc w:val="left"/>
            </w:pPr>
            <w:r>
              <w:t xml:space="preserve">Russisch-ukrainische Beobachtung: geringere Sterblichkeit, Zuteilung unklar (PMID 14523363)</w:t>
            </w:r>
          </w:p>
        </w:tc>
        <w:tc>
          <w:tcPr/>
          <w:p>
            <w:pPr>
              <w:pStyle w:val="Compact"/>
              <w:jc w:val="left"/>
            </w:pPr>
            <w:r>
              <w:t xml:space="preserve">tierischer Extrakt, Chargenrisiken</w:t>
            </w:r>
          </w:p>
        </w:tc>
      </w:tr>
    </w:tbl>
    <w:bookmarkEnd w:id="2526"/>
    <w:bookmarkStart w:id="2527" w:name="c.-wachstumshormon-achse"/>
    <w:p>
      <w:pPr>
        <w:pStyle w:val="Heading3"/>
      </w:pPr>
      <w:r>
        <w:t xml:space="preserve">C. Wachstumshormon-Achse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nein / früher ja, vom Markt</w:t>
            </w:r>
          </w:p>
        </w:tc>
        <w:tc>
          <w:tcPr/>
          <w:p>
            <w:pPr>
              <w:pStyle w:val="Compact"/>
              <w:jc w:val="left"/>
            </w:pPr>
            <w:r>
              <w:t xml:space="preserve">0 / 27 (Anm.)</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nein / ja (HIV-Lipodystrophie)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nein / nein (Japan: Diagnostikum)</w:t>
            </w:r>
          </w:p>
        </w:tc>
        <w:tc>
          <w:tcPr/>
          <w:p>
            <w:pPr>
              <w:pStyle w:val="Compact"/>
              <w:jc w:val="left"/>
            </w:pPr>
            <w:r>
              <w:t xml:space="preserve">55 / 0 (Anm.)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40 / 0 (Anm.)</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58 / 0 (Anm.)</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ja / ja (nur Diagnostikum)</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Ibutamoren (kein Peptid)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19 / 8</w:t>
            </w:r>
          </w:p>
        </w:tc>
      </w:tr>
    </w:tbl>
    <w:p>
      <w:pPr>
        <w:pStyle w:val="BodyText"/>
      </w:pPr>
      <w:r>
        <w:t xml:space="preserve">Anmerkungen zur Tabelle: Bei</w:t>
      </w:r>
      <w:r>
        <w:t xml:space="preserve"> </w:t>
      </w:r>
      <w:r>
        <w:rPr>
          <w:bCs/>
          <w:b/>
        </w:rPr>
        <w:t xml:space="preserve">Sermorelin</w:t>
      </w:r>
      <w:r>
        <w:t xml:space="preserve"> </w:t>
      </w:r>
      <w:r>
        <w:t xml:space="preserve">findet die Namenssuche keine Humanstudie, weil die meisten Arbeiten unter „GHRH(1-29)“ oder „GRF 1-29“ erschienen sind; gezielt nachgesucht sind es mehrere Dutzend kleine Studien, meist vor 2000. Viele der 27 Registertreffer betreffen dagegen Tesamorelin oder GHRH-Tests allgemein. Bei</w:t>
      </w:r>
      <w:r>
        <w:t xml:space="preserve"> </w:t>
      </w:r>
      <w:r>
        <w:rPr>
          <w:bCs/>
          <w:b/>
        </w:rPr>
        <w:t xml:space="preserve">GHRP-2, GHRP-6 und Hexarelin</w:t>
      </w:r>
      <w:r>
        <w:t xml:space="preserve"> </w:t>
      </w:r>
      <w:r>
        <w:t xml:space="preserve">nutzen fast alle Arbeiten den Stoff nur als einmalige Testsubstanz zur Erforschung der Hormonsteuerung; über einen Nutzen sagen sie nichts.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Sermorelin</w:t>
            </w:r>
          </w:p>
        </w:tc>
        <w:tc>
          <w:tcPr/>
          <w:p>
            <w:pPr>
              <w:pStyle w:val="Compact"/>
              <w:jc w:val="left"/>
            </w:pPr>
            <w:r>
              <w:t xml:space="preserve">110 Kinder mit GH-Mangel: Wachstum 4,1 auf 7,2 cm/Jahr (PMID 8772599)</w:t>
            </w:r>
          </w:p>
        </w:tc>
        <w:tc>
          <w:tcPr/>
          <w:p>
            <w:pPr>
              <w:pStyle w:val="Compact"/>
              <w:jc w:val="left"/>
            </w:pPr>
            <w:r>
              <w:t xml:space="preserve">Flush; Langzeitfolgen bei Erwachsenen ungeklärt</w:t>
            </w:r>
          </w:p>
        </w:tc>
      </w:tr>
      <w:tr>
        <w:tc>
          <w:tcPr/>
          <w:p>
            <w:pPr>
              <w:pStyle w:val="Compact"/>
              <w:jc w:val="left"/>
            </w:pPr>
            <w:r>
              <w:t xml:space="preserve">Tesamorelin</w:t>
            </w:r>
          </w:p>
        </w:tc>
        <w:tc>
          <w:tcPr/>
          <w:p>
            <w:pPr>
              <w:pStyle w:val="Compact"/>
              <w:jc w:val="left"/>
            </w:pPr>
            <w:r>
              <w:t xml:space="preserve">Zwei Phase-3-Studien mit 806 Personen: viszerales Bauchfett −15,4 % gegenüber Placebo (PMID 20554713)</w:t>
            </w:r>
          </w:p>
        </w:tc>
        <w:tc>
          <w:tcPr/>
          <w:p>
            <w:pPr>
              <w:pStyle w:val="Compact"/>
              <w:jc w:val="left"/>
            </w:pPr>
            <w:r>
              <w:t xml:space="preserve">Gelenkschmerzen, Wassereinlagerung, Blutzucker</w:t>
            </w:r>
          </w:p>
        </w:tc>
      </w:tr>
      <w:tr>
        <w:tc>
          <w:tcPr/>
          <w:p>
            <w:pPr>
              <w:pStyle w:val="Compact"/>
              <w:jc w:val="left"/>
            </w:pPr>
            <w:r>
              <w:t xml:space="preserve">CJC-1295</w:t>
            </w:r>
          </w:p>
        </w:tc>
        <w:tc>
          <w:tcPr/>
          <w:p>
            <w:pPr>
              <w:pStyle w:val="Compact"/>
              <w:jc w:val="left"/>
            </w:pPr>
            <w:r>
              <w:t xml:space="preserve">Einzelinjektion: GH 2- bis 10-fach, IGF-1 1,5- bis 3-fach erhöht (PMID 16352683)</w:t>
            </w:r>
          </w:p>
        </w:tc>
        <w:tc>
          <w:tcPr/>
          <w:p>
            <w:pPr>
              <w:pStyle w:val="Compact"/>
              <w:jc w:val="left"/>
            </w:pPr>
            <w:r>
              <w:t xml:space="preserve">Dauerstimulation unerforscht, unklarer Inhalt</w:t>
            </w:r>
          </w:p>
        </w:tc>
      </w:tr>
      <w:tr>
        <w:tc>
          <w:tcPr/>
          <w:p>
            <w:pPr>
              <w:pStyle w:val="Compact"/>
              <w:jc w:val="left"/>
            </w:pPr>
            <w:r>
              <w:t xml:space="preserve">Ipamorelin</w:t>
            </w:r>
          </w:p>
        </w:tc>
        <w:tc>
          <w:tcPr/>
          <w:p>
            <w:pPr>
              <w:pStyle w:val="Compact"/>
              <w:jc w:val="left"/>
            </w:pPr>
            <w:r>
              <w:t xml:space="preserve">Phase 2 nach Darmoperation: kein signifikanter Nutzen (PMID 25331030)</w:t>
            </w:r>
          </w:p>
        </w:tc>
        <w:tc>
          <w:tcPr/>
          <w:p>
            <w:pPr>
              <w:pStyle w:val="Compact"/>
              <w:jc w:val="left"/>
            </w:pPr>
            <w:r>
              <w:t xml:space="preserve">keine Daten zur Daueranwendung; abgewandelte Moleküle</w:t>
            </w:r>
          </w:p>
        </w:tc>
      </w:tr>
      <w:tr>
        <w:tc>
          <w:tcPr/>
          <w:p>
            <w:pPr>
              <w:pStyle w:val="Compact"/>
              <w:jc w:val="left"/>
            </w:pPr>
            <w:r>
              <w:t xml:space="preserve">GHRP-2</w:t>
            </w:r>
          </w:p>
        </w:tc>
        <w:tc>
          <w:tcPr/>
          <w:p>
            <w:pPr>
              <w:pStyle w:val="Compact"/>
              <w:jc w:val="left"/>
            </w:pPr>
            <w:r>
              <w:t xml:space="preserve">Als Test trennte es GH-Mangel zuverlässig von Gesunden (PMID 17609397)</w:t>
            </w:r>
          </w:p>
        </w:tc>
        <w:tc>
          <w:tcPr/>
          <w:p>
            <w:pPr>
              <w:pStyle w:val="Compact"/>
              <w:jc w:val="left"/>
            </w:pPr>
            <w:r>
              <w:t xml:space="preserve">Heißhunger, Stresshormonanstieg</w:t>
            </w:r>
          </w:p>
        </w:tc>
      </w:tr>
      <w:tr>
        <w:tc>
          <w:tcPr/>
          <w:p>
            <w:pPr>
              <w:pStyle w:val="Compact"/>
              <w:jc w:val="left"/>
            </w:pPr>
            <w:r>
              <w:t xml:space="preserve">GHRP-6</w:t>
            </w:r>
          </w:p>
        </w:tc>
        <w:tc>
          <w:tcPr/>
          <w:p>
            <w:pPr>
              <w:pStyle w:val="Compact"/>
              <w:jc w:val="left"/>
            </w:pPr>
            <w:r>
              <w:t xml:space="preserve">Kombinationstest erkannte GH-Mangel zuverlässig (PMID 11030292)</w:t>
            </w:r>
          </w:p>
        </w:tc>
        <w:tc>
          <w:tcPr/>
          <w:p>
            <w:pPr>
              <w:pStyle w:val="Compact"/>
              <w:jc w:val="left"/>
            </w:pPr>
            <w:r>
              <w:t xml:space="preserve">Flush, Hormonanstiege, Hunger</w:t>
            </w:r>
          </w:p>
        </w:tc>
      </w:tr>
      <w:tr>
        <w:tc>
          <w:tcPr/>
          <w:p>
            <w:pPr>
              <w:pStyle w:val="Compact"/>
              <w:jc w:val="left"/>
            </w:pPr>
            <w:r>
              <w:t xml:space="preserve">Hexarelin</w:t>
            </w:r>
          </w:p>
        </w:tc>
        <w:tc>
          <w:tcPr/>
          <w:p>
            <w:pPr>
              <w:pStyle w:val="Compact"/>
              <w:jc w:val="left"/>
            </w:pPr>
            <w:r>
              <w:t xml:space="preserve">Über 16 Wochen Wirkverlust, Körperzusammensetzung unverändert (PMID 9589671)</w:t>
            </w:r>
          </w:p>
        </w:tc>
        <w:tc>
          <w:tcPr/>
          <w:p>
            <w:pPr>
              <w:pStyle w:val="Compact"/>
              <w:jc w:val="left"/>
            </w:pPr>
            <w:r>
              <w:t xml:space="preserve">Stresshormone, Prolaktin, Wirkverlust</w:t>
            </w:r>
          </w:p>
        </w:tc>
      </w:tr>
      <w:tr>
        <w:tc>
          <w:tcPr/>
          <w:p>
            <w:pPr>
              <w:pStyle w:val="Compact"/>
              <w:jc w:val="left"/>
            </w:pPr>
            <w:r>
              <w:t xml:space="preserve">Macimorelin</w:t>
            </w:r>
          </w:p>
        </w:tc>
        <w:tc>
          <w:tcPr/>
          <w:p>
            <w:pPr>
              <w:pStyle w:val="Compact"/>
              <w:jc w:val="left"/>
            </w:pPr>
            <w:r>
              <w:t xml:space="preserve">Test mit 87 % Sensitivität und 96 % Spezifität gegenüber dem Insulintest (PMID 29860473)</w:t>
            </w:r>
          </w:p>
        </w:tc>
        <w:tc>
          <w:tcPr/>
          <w:p>
            <w:pPr>
              <w:pStyle w:val="Compact"/>
              <w:jc w:val="left"/>
            </w:pPr>
            <w:r>
              <w:t xml:space="preserve">QT-Verlängerung bei Überdosis</w:t>
            </w:r>
          </w:p>
        </w:tc>
      </w:tr>
      <w:tr>
        <w:tc>
          <w:tcPr/>
          <w:p>
            <w:pPr>
              <w:pStyle w:val="Compact"/>
              <w:jc w:val="left"/>
            </w:pPr>
            <w:r>
              <w:t xml:space="preserve">Mecasermin (IGF-1)</w:t>
            </w:r>
          </w:p>
        </w:tc>
        <w:tc>
          <w:tcPr/>
          <w:p>
            <w:pPr>
              <w:pStyle w:val="Compact"/>
              <w:jc w:val="left"/>
            </w:pPr>
            <w:r>
              <w:t xml:space="preserve">76 Kinder mit GH-Resistenz: Wachstum 2,8 auf 8,0 cm/Jahr (PMID 17192294)</w:t>
            </w:r>
          </w:p>
        </w:tc>
        <w:tc>
          <w:tcPr/>
          <w:p>
            <w:pPr>
              <w:pStyle w:val="Compact"/>
              <w:jc w:val="left"/>
            </w:pPr>
            <w:r>
              <w:t xml:space="preserve">Unterzuckerung; Warnhinweis Neubildungen</w:t>
            </w:r>
          </w:p>
        </w:tc>
      </w:tr>
      <w:tr>
        <w:tc>
          <w:tcPr/>
          <w:p>
            <w:pPr>
              <w:pStyle w:val="Compact"/>
              <w:jc w:val="left"/>
            </w:pPr>
            <w:r>
              <w:t xml:space="preserve">IGF-1 LR3</w:t>
            </w:r>
          </w:p>
        </w:tc>
        <w:tc>
          <w:tcPr/>
          <w:p>
            <w:pPr>
              <w:pStyle w:val="Compact"/>
              <w:jc w:val="left"/>
            </w:pPr>
            <w:r>
              <w:t xml:space="preserve">Keine Humanstudie; im Schwarzmarkt-Fläschchen eine Laborvariante (PMID 20675162)</w:t>
            </w:r>
          </w:p>
        </w:tc>
        <w:tc>
          <w:tcPr/>
          <w:p>
            <w:pPr>
              <w:pStyle w:val="Compact"/>
              <w:jc w:val="left"/>
            </w:pPr>
            <w:r>
              <w:t xml:space="preserve">Unterzuckerung, Wachstumssignale (theoretisch)</w:t>
            </w:r>
          </w:p>
        </w:tc>
      </w:tr>
      <w:tr>
        <w:tc>
          <w:tcPr/>
          <w:p>
            <w:pPr>
              <w:pStyle w:val="Compact"/>
              <w:jc w:val="left"/>
            </w:pPr>
            <w:r>
              <w:t xml:space="preserve">Ibutamoren</w:t>
            </w:r>
          </w:p>
        </w:tc>
        <w:tc>
          <w:tcPr/>
          <w:p>
            <w:pPr>
              <w:pStyle w:val="Compact"/>
              <w:jc w:val="left"/>
            </w:pPr>
            <w:r>
              <w:t xml:space="preserve">65 Ältere: fettfreie Masse +1,1 kg, Kraft und Funktion unverändert (PMID 18981485)</w:t>
            </w:r>
          </w:p>
        </w:tc>
        <w:tc>
          <w:tcPr/>
          <w:p>
            <w:pPr>
              <w:pStyle w:val="Compact"/>
              <w:jc w:val="left"/>
            </w:pPr>
            <w:r>
              <w:t xml:space="preserve">Herzinsuffizienz-Signal, höherer Blutzucker</w:t>
            </w:r>
          </w:p>
        </w:tc>
      </w:tr>
    </w:tbl>
    <w:bookmarkEnd w:id="2527"/>
    <w:bookmarkStart w:id="2528" w:name="d.-gehirn-schlaf-und-langlebigkeit"/>
    <w:p>
      <w:pPr>
        <w:pStyle w:val="Heading3"/>
      </w:pPr>
      <w:r>
        <w:t xml:space="preserve">D. Gehirn, Schlaf und Langlebigkeit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3 / 2 (Anm.)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 / nein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18 / 1 (Anm.)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1 (Anm.)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5 / 4 (Anm.)</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8 / 3 (Anm.)</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nein / ja, beschleunigt (nur Barth-Syndrom)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161 / 273 (Anm.)</w:t>
            </w:r>
          </w:p>
        </w:tc>
      </w:tr>
    </w:tbl>
    <w:p>
      <w:pPr>
        <w:pStyle w:val="BodyText"/>
      </w:pPr>
      <w:r>
        <w:t xml:space="preserve">Anmerkungen zur Tabelle: Bei</w:t>
      </w:r>
      <w:r>
        <w:t xml:space="preserve"> </w:t>
      </w:r>
      <w:r>
        <w:rPr>
          <w:bCs/>
          <w:b/>
        </w:rPr>
        <w:t xml:space="preserve">Selank</w:t>
      </w:r>
      <w:r>
        <w:t xml:space="preserve"> </w:t>
      </w:r>
      <w:r>
        <w:t xml:space="preserve">und</w:t>
      </w:r>
      <w:r>
        <w:t xml:space="preserve"> </w:t>
      </w:r>
      <w:r>
        <w:rPr>
          <w:bCs/>
          <w:b/>
        </w:rPr>
        <w:t xml:space="preserve">DSIP</w:t>
      </w:r>
      <w:r>
        <w:t xml:space="preserve"> </w:t>
      </w:r>
      <w:r>
        <w:t xml:space="preserve">betreffen die Registertreffer andere Verfahren bzw. Themen; eine registrierte Studie mit dem Peptid gibt es nicht. Der einzige Registereintrag zu</w:t>
      </w:r>
      <w:r>
        <w:t xml:space="preserve"> </w:t>
      </w:r>
      <w:r>
        <w:rPr>
          <w:bCs/>
          <w:b/>
        </w:rPr>
        <w:t xml:space="preserve">Epitalon</w:t>
      </w:r>
      <w:r>
        <w:t xml:space="preserve"> </w:t>
      </w:r>
      <w:r>
        <w:t xml:space="preserve">ist eine unkontrollierte Studie mit einem Hautserum, in dem Epitalon einer von fünf Bestandteilen ist. Bei</w:t>
      </w:r>
      <w:r>
        <w:t xml:space="preserve"> </w:t>
      </w:r>
      <w:r>
        <w:rPr>
          <w:bCs/>
          <w:b/>
        </w:rPr>
        <w:t xml:space="preserve">MOTS-c</w:t>
      </w:r>
      <w:r>
        <w:t xml:space="preserve"> </w:t>
      </w:r>
      <w:r>
        <w:t xml:space="preserve">und</w:t>
      </w:r>
      <w:r>
        <w:t xml:space="preserve"> </w:t>
      </w:r>
      <w:r>
        <w:rPr>
          <w:bCs/>
          <w:b/>
        </w:rPr>
        <w:t xml:space="preserve">Humanin</w:t>
      </w:r>
      <w:r>
        <w:t xml:space="preserve"> </w:t>
      </w:r>
      <w:r>
        <w:t xml:space="preserve">wurde in keiner der Veröffentlichungen das Peptid verabreicht; sie messen körpereigene Spiegel. Bei</w:t>
      </w:r>
      <w:r>
        <w:t xml:space="preserve"> </w:t>
      </w:r>
      <w:r>
        <w:rPr>
          <w:bCs/>
          <w:b/>
        </w:rPr>
        <w:t xml:space="preserve">Glutathion</w:t>
      </w:r>
      <w:r>
        <w:t xml:space="preserve"> </w:t>
      </w:r>
      <w:r>
        <w:t xml:space="preserve">messen viele Treffer Glutathion nur als Laborwert oder betreffen das Enzym Glutathion-S-Transferase; Studien mit Gabe von Glutathion sind eine Minderheit von einigen Dutzend.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Semax</w:t>
            </w:r>
          </w:p>
        </w:tc>
        <w:tc>
          <w:tcPr/>
          <w:p>
            <w:pPr>
              <w:pStyle w:val="Compact"/>
              <w:jc w:val="left"/>
            </w:pPr>
            <w:r>
              <w:t xml:space="preserve">Offene Studie nach Schlaganfall: höheres BDNF, schnellere Besserung (PMID 29798983)</w:t>
            </w:r>
          </w:p>
        </w:tc>
        <w:tc>
          <w:tcPr/>
          <w:p>
            <w:pPr>
              <w:pStyle w:val="Compact"/>
              <w:jc w:val="left"/>
            </w:pPr>
            <w:r>
              <w:t xml:space="preserve">keine systematischen Sicherheitsdaten</w:t>
            </w:r>
          </w:p>
        </w:tc>
      </w:tr>
      <w:tr>
        <w:tc>
          <w:tcPr/>
          <w:p>
            <w:pPr>
              <w:pStyle w:val="Compact"/>
              <w:jc w:val="left"/>
            </w:pPr>
            <w:r>
              <w:t xml:space="preserve">Selank</w:t>
            </w:r>
          </w:p>
        </w:tc>
        <w:tc>
          <w:tcPr/>
          <w:p>
            <w:pPr>
              <w:pStyle w:val="Compact"/>
              <w:jc w:val="left"/>
            </w:pPr>
            <w:r>
              <w:t xml:space="preserve">Angstlösende Wirkung ähnlich Medazepam, ohne Placebogruppe (PMID 18454096)</w:t>
            </w:r>
          </w:p>
        </w:tc>
        <w:tc>
          <w:tcPr/>
          <w:p>
            <w:pPr>
              <w:pStyle w:val="Compact"/>
              <w:jc w:val="left"/>
            </w:pPr>
            <w:r>
              <w:t xml:space="preserve">keine Langzeitdaten; Graumarkt</w:t>
            </w:r>
          </w:p>
        </w:tc>
      </w:tr>
      <w:tr>
        <w:tc>
          <w:tcPr/>
          <w:p>
            <w:pPr>
              <w:pStyle w:val="Compact"/>
              <w:jc w:val="left"/>
            </w:pPr>
            <w:r>
              <w:t xml:space="preserve">Cerebrolysin</w:t>
            </w:r>
          </w:p>
        </w:tc>
        <w:tc>
          <w:tcPr/>
          <w:p>
            <w:pPr>
              <w:pStyle w:val="Compact"/>
              <w:jc w:val="left"/>
            </w:pPr>
            <w:r>
              <w:t xml:space="preserve">CASTA mit 1.070 Personen: Hauptendpunkt verfehlt (PMID 22282884)</w:t>
            </w:r>
          </w:p>
        </w:tc>
        <w:tc>
          <w:tcPr/>
          <w:p>
            <w:pPr>
              <w:pStyle w:val="Compact"/>
              <w:jc w:val="left"/>
            </w:pPr>
            <w:r>
              <w:t xml:space="preserve">mögliches Signal für schwere Nebenwirkungen (Cochrane)</w:t>
            </w:r>
          </w:p>
        </w:tc>
      </w:tr>
      <w:tr>
        <w:tc>
          <w:tcPr/>
          <w:p>
            <w:pPr>
              <w:pStyle w:val="Compact"/>
              <w:jc w:val="left"/>
            </w:pPr>
            <w:r>
              <w:t xml:space="preserve">Dihexa</w:t>
            </w:r>
          </w:p>
        </w:tc>
        <w:tc>
          <w:tcPr/>
          <w:p>
            <w:pPr>
              <w:pStyle w:val="Compact"/>
              <w:jc w:val="left"/>
            </w:pPr>
            <w:r>
              <w:t xml:space="preserve">Nur Tierdaten; eine zentrale Rattenstudie wurde 2025 zurückgezogen (PMID 25187433, Rückzug PMID 40312093)</w:t>
            </w:r>
          </w:p>
        </w:tc>
        <w:tc>
          <w:tcPr/>
          <w:p>
            <w:pPr>
              <w:pStyle w:val="Compact"/>
              <w:jc w:val="left"/>
            </w:pPr>
            <w:r>
              <w:t xml:space="preserve">keine Humandaten; theoretisches Krebsrisiko</w:t>
            </w:r>
          </w:p>
        </w:tc>
      </w:tr>
      <w:tr>
        <w:tc>
          <w:tcPr/>
          <w:p>
            <w:pPr>
              <w:pStyle w:val="Compact"/>
              <w:jc w:val="left"/>
            </w:pPr>
            <w:r>
              <w:t xml:space="preserve">DSIP</w:t>
            </w:r>
          </w:p>
        </w:tc>
        <w:tc>
          <w:tcPr/>
          <w:p>
            <w:pPr>
              <w:pStyle w:val="Compact"/>
              <w:jc w:val="left"/>
            </w:pPr>
            <w:r>
              <w:t xml:space="preserve">16 Personen mit Schlaflosigkeit: nur schwache Effekte (PMID 1299794)</w:t>
            </w:r>
          </w:p>
        </w:tc>
        <w:tc>
          <w:tcPr/>
          <w:p>
            <w:pPr>
              <w:pStyle w:val="Compact"/>
              <w:jc w:val="left"/>
            </w:pPr>
            <w:r>
              <w:t xml:space="preserve">keine systematischen Sicherheitsdaten</w:t>
            </w:r>
          </w:p>
        </w:tc>
      </w:tr>
      <w:tr>
        <w:tc>
          <w:tcPr/>
          <w:p>
            <w:pPr>
              <w:pStyle w:val="Compact"/>
              <w:jc w:val="left"/>
            </w:pPr>
            <w:r>
              <w:t xml:space="preserve">Epitalon</w:t>
            </w:r>
          </w:p>
        </w:tc>
        <w:tc>
          <w:tcPr/>
          <w:p>
            <w:pPr>
              <w:pStyle w:val="Compact"/>
              <w:jc w:val="left"/>
            </w:pPr>
            <w:r>
              <w:t xml:space="preserve">Bei Mäusen keine längere mittlere Lebensdauer (PMID 14501183)</w:t>
            </w:r>
          </w:p>
        </w:tc>
        <w:tc>
          <w:tcPr/>
          <w:p>
            <w:pPr>
              <w:pStyle w:val="Compact"/>
              <w:jc w:val="left"/>
            </w:pPr>
            <w:r>
              <w:t xml:space="preserve">keine Humandaten; Telomerase-Frage</w:t>
            </w:r>
          </w:p>
        </w:tc>
      </w:tr>
      <w:tr>
        <w:tc>
          <w:tcPr/>
          <w:p>
            <w:pPr>
              <w:pStyle w:val="Compact"/>
              <w:jc w:val="left"/>
            </w:pPr>
            <w:r>
              <w:t xml:space="preserve">Pinealon</w:t>
            </w:r>
          </w:p>
        </w:tc>
        <w:tc>
          <w:tcPr/>
          <w:p>
            <w:pPr>
              <w:pStyle w:val="Compact"/>
              <w:jc w:val="left"/>
            </w:pPr>
            <w:r>
              <w:t xml:space="preserve">32 Ältere, unkontrolliert; auch Hemmung der Blutbildung (PMID 26390612)</w:t>
            </w:r>
          </w:p>
        </w:tc>
        <w:tc>
          <w:tcPr/>
          <w:p>
            <w:pPr>
              <w:pStyle w:val="Compact"/>
              <w:jc w:val="left"/>
            </w:pPr>
            <w:r>
              <w:t xml:space="preserve">keine systematischen Sicherheitsdaten</w:t>
            </w:r>
          </w:p>
        </w:tc>
      </w:tr>
      <w:tr>
        <w:tc>
          <w:tcPr/>
          <w:p>
            <w:pPr>
              <w:pStyle w:val="Compact"/>
              <w:jc w:val="left"/>
            </w:pPr>
            <w:r>
              <w:t xml:space="preserve">MOTS-c</w:t>
            </w:r>
          </w:p>
        </w:tc>
        <w:tc>
          <w:tcPr/>
          <w:p>
            <w:pPr>
              <w:pStyle w:val="Compact"/>
              <w:jc w:val="left"/>
            </w:pPr>
            <w:r>
              <w:t xml:space="preserve">Nur Tierdaten zur Gabe: bei Mäusen weniger Übergewicht (PMID 25738459)</w:t>
            </w:r>
          </w:p>
        </w:tc>
        <w:tc>
          <w:tcPr/>
          <w:p>
            <w:pPr>
              <w:pStyle w:val="Compact"/>
              <w:jc w:val="left"/>
            </w:pPr>
            <w:r>
              <w:t xml:space="preserve">keine Daten zur Gabe am Menschen</w:t>
            </w:r>
          </w:p>
        </w:tc>
      </w:tr>
      <w:tr>
        <w:tc>
          <w:tcPr/>
          <w:p>
            <w:pPr>
              <w:pStyle w:val="Compact"/>
              <w:jc w:val="left"/>
            </w:pPr>
            <w:r>
              <w:t xml:space="preserve">Humanin</w:t>
            </w:r>
          </w:p>
        </w:tc>
        <w:tc>
          <w:tcPr/>
          <w:p>
            <w:pPr>
              <w:pStyle w:val="Compact"/>
              <w:jc w:val="left"/>
            </w:pPr>
            <w:r>
              <w:t xml:space="preserve">Nur Spiegelmessungen am Menschen (PMID 32575074)</w:t>
            </w:r>
          </w:p>
        </w:tc>
        <w:tc>
          <w:tcPr/>
          <w:p>
            <w:pPr>
              <w:pStyle w:val="Compact"/>
              <w:jc w:val="left"/>
            </w:pPr>
            <w:r>
              <w:t xml:space="preserve">bei Mäusen mehr Brustkrebswachstum (PMID 32444831)</w:t>
            </w:r>
          </w:p>
        </w:tc>
      </w:tr>
      <w:tr>
        <w:tc>
          <w:tcPr/>
          <w:p>
            <w:pPr>
              <w:pStyle w:val="Compact"/>
              <w:jc w:val="left"/>
            </w:pPr>
            <w:r>
              <w:t xml:space="preserve">SS-31 (Elamipretid)</w:t>
            </w:r>
          </w:p>
        </w:tc>
        <w:tc>
          <w:tcPr/>
          <w:p>
            <w:pPr>
              <w:pStyle w:val="Compact"/>
              <w:jc w:val="left"/>
            </w:pPr>
            <w:r>
              <w:t xml:space="preserve">MMPOWER-3 mit 218 Personen: kein Nutzen bei Myopathie (PMID 37268435)</w:t>
            </w:r>
          </w:p>
        </w:tc>
        <w:tc>
          <w:tcPr/>
          <w:p>
            <w:pPr>
              <w:pStyle w:val="Compact"/>
              <w:jc w:val="left"/>
            </w:pPr>
            <w:r>
              <w:t xml:space="preserve">Einstichstellen; Graumarkt-Ware nicht identisch</w:t>
            </w:r>
          </w:p>
        </w:tc>
      </w:tr>
      <w:tr>
        <w:tc>
          <w:tcPr/>
          <w:p>
            <w:pPr>
              <w:pStyle w:val="Compact"/>
              <w:jc w:val="left"/>
            </w:pPr>
            <w:r>
              <w:t xml:space="preserve">FOXO4-DRI</w:t>
            </w:r>
          </w:p>
        </w:tc>
        <w:tc>
          <w:tcPr/>
          <w:p>
            <w:pPr>
              <w:pStyle w:val="Compact"/>
              <w:jc w:val="left"/>
            </w:pPr>
            <w:r>
              <w:t xml:space="preserve">Nur Tierdaten: bei gealterten Mäusen bessere Fitness (PMID 28340339)</w:t>
            </w:r>
          </w:p>
        </w:tc>
        <w:tc>
          <w:tcPr/>
          <w:p>
            <w:pPr>
              <w:pStyle w:val="Compact"/>
              <w:jc w:val="left"/>
            </w:pPr>
            <w:r>
              <w:t xml:space="preserve">keine Humandaten; Eingriff in p53</w:t>
            </w:r>
          </w:p>
        </w:tc>
      </w:tr>
      <w:tr>
        <w:tc>
          <w:tcPr/>
          <w:p>
            <w:pPr>
              <w:pStyle w:val="Compact"/>
              <w:jc w:val="left"/>
            </w:pPr>
            <w:r>
              <w:t xml:space="preserve">Glutathion</w:t>
            </w:r>
          </w:p>
        </w:tc>
        <w:tc>
          <w:tcPr/>
          <w:p>
            <w:pPr>
              <w:pStyle w:val="Compact"/>
              <w:jc w:val="left"/>
            </w:pPr>
            <w:r>
              <w:t xml:space="preserve">Phase 3 mit 185 Personen: kein Schutz vor Nervenschäden durch Chemotherapie (PMID 24619793)</w:t>
            </w:r>
          </w:p>
        </w:tc>
        <w:tc>
          <w:tcPr/>
          <w:p>
            <w:pPr>
              <w:pStyle w:val="Compact"/>
              <w:jc w:val="left"/>
            </w:pPr>
            <w:r>
              <w:t xml:space="preserve">Infusionen zur Hautaufhellung: Behördenwarnungen</w:t>
            </w:r>
          </w:p>
        </w:tc>
      </w:tr>
    </w:tbl>
    <w:bookmarkEnd w:id="2528"/>
    <w:bookmarkStart w:id="2529" w:name="e.-hormone-sexualität-und-pigmentierung"/>
    <w:p>
      <w:pPr>
        <w:pStyle w:val="Heading3"/>
      </w:pPr>
      <w:r>
        <w:t xml:space="preserve">E. Hormone, Sexualität und Pigmentierung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nein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8 / 0 (Anm.)</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ja / ja (Scenesse, nur EPP)</w:t>
            </w:r>
          </w:p>
        </w:tc>
        <w:tc>
          <w:tcPr/>
          <w:p>
            <w:pPr>
              <w:pStyle w:val="Compact"/>
              <w:jc w:val="left"/>
            </w:pPr>
            <w:r>
              <w:t xml:space="preserve">10 / 23 (Anm.)</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37 / 36</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Geburtshilfe / nur Geburtshilfe</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einzelnen Staaten / nein</w:t>
            </w:r>
          </w:p>
        </w:tc>
        <w:tc>
          <w:tcPr/>
          <w:p>
            <w:pPr>
              <w:pStyle w:val="Compact"/>
              <w:jc w:val="left"/>
            </w:pPr>
            <w:r>
              <w:t xml:space="preserve">9 / 1.000 (Anm.)</w:t>
            </w:r>
          </w:p>
        </w:tc>
      </w:tr>
    </w:tbl>
    <w:p>
      <w:pPr>
        <w:pStyle w:val="BodyText"/>
      </w:pPr>
      <w:r>
        <w:t xml:space="preserve">Anmerkungen zur Tabelle: Bei</w:t>
      </w:r>
      <w:r>
        <w:t xml:space="preserve"> </w:t>
      </w:r>
      <w:r>
        <w:rPr>
          <w:bCs/>
          <w:b/>
        </w:rPr>
        <w:t xml:space="preserve">Melanotan II</w:t>
      </w:r>
      <w:r>
        <w:t xml:space="preserve"> </w:t>
      </w:r>
      <w:r>
        <w:t xml:space="preserve">betreffen vier der acht PubMed-Treffer Melanotan I (das spätere Afamelanotid); der einzige Registereintrag erwies sich als nicht vertrauenswürdig. Bei</w:t>
      </w:r>
      <w:r>
        <w:t xml:space="preserve"> </w:t>
      </w:r>
      <w:r>
        <w:rPr>
          <w:bCs/>
          <w:b/>
        </w:rPr>
        <w:t xml:space="preserve">Afamelanotid</w:t>
      </w:r>
      <w:r>
        <w:t xml:space="preserve"> </w:t>
      </w:r>
      <w:r>
        <w:t xml:space="preserve">fehlen in der Zählung ältere Studien unter den Namen Melanotan I oder NDP-MSH. Bei</w:t>
      </w:r>
      <w:r>
        <w:t xml:space="preserve"> </w:t>
      </w:r>
      <w:r>
        <w:rPr>
          <w:bCs/>
          <w:b/>
        </w:rPr>
        <w:t xml:space="preserve">Oxytocin</w:t>
      </w:r>
      <w:r>
        <w:t xml:space="preserve"> </w:t>
      </w:r>
      <w:r>
        <w:t xml:space="preserve">ist nur die Anwendung als Infusion oder Spritze in der Geburtshilfe zugelassen, nicht das Nasenspray. Die Zahlen für</w:t>
      </w:r>
      <w:r>
        <w:t xml:space="preserve"> </w:t>
      </w:r>
      <w:r>
        <w:rPr>
          <w:bCs/>
          <w:b/>
        </w:rPr>
        <w:t xml:space="preserve">Gonadorelin</w:t>
      </w:r>
      <w:r>
        <w:t xml:space="preserve"> </w:t>
      </w:r>
      <w:r>
        <w:t xml:space="preserve">sind unbrauchbar: Die Registersuche stieß an ihre Obergrenze von 1.000 Treffern, weil das Register den Oberbegriff „Gonadotropin-Releasing Hormone“ einbezieht; fast alle Treffer betreffen GnRH-Analoga, etwa bei Prostatakrebs, nur rund zehn das körpergleiche Hormon. Die PubMed-Zahl ist zu niedrig, weil die meisten Studien „GnRH“ oder „LHRH“ schreiben.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Bremelanotid (PT-141)</w:t>
            </w:r>
          </w:p>
        </w:tc>
        <w:tc>
          <w:tcPr/>
          <w:p>
            <w:pPr>
              <w:pStyle w:val="Compact"/>
              <w:jc w:val="left"/>
            </w:pPr>
            <w:r>
              <w:t xml:space="preserve">RECONNECT, 1.267 Frauen: nur geringer Vorteil gegenüber Placebo (PMID 31599840)</w:t>
            </w:r>
          </w:p>
        </w:tc>
        <w:tc>
          <w:tcPr/>
          <w:p>
            <w:pPr>
              <w:pStyle w:val="Compact"/>
              <w:jc w:val="left"/>
            </w:pPr>
            <w:r>
              <w:t xml:space="preserve">Übelkeit bei rund 40 %, kurzer Blutdruckanstieg</w:t>
            </w:r>
          </w:p>
        </w:tc>
      </w:tr>
      <w:tr>
        <w:tc>
          <w:tcPr/>
          <w:p>
            <w:pPr>
              <w:pStyle w:val="Compact"/>
              <w:jc w:val="left"/>
            </w:pPr>
            <w:r>
              <w:t xml:space="preserve">Melanotan II</w:t>
            </w:r>
          </w:p>
        </w:tc>
        <w:tc>
          <w:tcPr/>
          <w:p>
            <w:pPr>
              <w:pStyle w:val="Compact"/>
              <w:jc w:val="left"/>
            </w:pPr>
            <w:r>
              <w:t xml:space="preserve">Kleine Kreuzstudien: Erektionen bei 17 von 20 Männern, häufig Übelkeit (PMID 11035391)</w:t>
            </w:r>
          </w:p>
        </w:tc>
        <w:tc>
          <w:tcPr/>
          <w:p>
            <w:pPr>
              <w:pStyle w:val="Compact"/>
              <w:jc w:val="left"/>
            </w:pPr>
            <w:r>
              <w:t xml:space="preserve">Muttermalveränderungen, Melanom-Fallberichte, Priapismus</w:t>
            </w:r>
          </w:p>
        </w:tc>
      </w:tr>
      <w:tr>
        <w:tc>
          <w:tcPr/>
          <w:p>
            <w:pPr>
              <w:pStyle w:val="Compact"/>
              <w:jc w:val="left"/>
            </w:pPr>
            <w:r>
              <w:t xml:space="preserve">Afamelanotid</w:t>
            </w:r>
          </w:p>
        </w:tc>
        <w:tc>
          <w:tcPr/>
          <w:p>
            <w:pPr>
              <w:pStyle w:val="Compact"/>
              <w:jc w:val="left"/>
            </w:pPr>
            <w:r>
              <w:t xml:space="preserve">Zwei RCTs: längere schmerzfreie Zeit im Sonnenlicht bei EPP (PMID 26132941)</w:t>
            </w:r>
          </w:p>
        </w:tc>
        <w:tc>
          <w:tcPr/>
          <w:p>
            <w:pPr>
              <w:pStyle w:val="Compact"/>
              <w:jc w:val="left"/>
            </w:pPr>
            <w:r>
              <w:t xml:space="preserve">Übelkeit, Kopfschmerz; Hautkontrollen nötig</w:t>
            </w:r>
          </w:p>
        </w:tc>
      </w:tr>
      <w:tr>
        <w:tc>
          <w:tcPr/>
          <w:p>
            <w:pPr>
              <w:pStyle w:val="Compact"/>
              <w:jc w:val="left"/>
            </w:pPr>
            <w:r>
              <w:t xml:space="preserve">Kisspeptin</w:t>
            </w:r>
          </w:p>
        </w:tc>
        <w:tc>
          <w:tcPr/>
          <w:p>
            <w:pPr>
              <w:pStyle w:val="Compact"/>
              <w:jc w:val="left"/>
            </w:pPr>
            <w:r>
              <w:t xml:space="preserve">60 Frauen mit OHSS-Risiko: Eizellreifung bei 95 %, kein schweres OHSS (PMID 26192876)</w:t>
            </w:r>
          </w:p>
        </w:tc>
        <w:tc>
          <w:tcPr/>
          <w:p>
            <w:pPr>
              <w:pStyle w:val="Compact"/>
              <w:jc w:val="left"/>
            </w:pPr>
            <w:r>
              <w:t xml:space="preserve">Gewöhnung bis zur Unterdrückung der Hormonachse</w:t>
            </w:r>
          </w:p>
        </w:tc>
      </w:tr>
      <w:tr>
        <w:tc>
          <w:tcPr/>
          <w:p>
            <w:pPr>
              <w:pStyle w:val="Compact"/>
              <w:jc w:val="left"/>
            </w:pPr>
            <w:r>
              <w:t xml:space="preserve">Oxytocin (Nasenspray)</w:t>
            </w:r>
          </w:p>
        </w:tc>
        <w:tc>
          <w:tcPr/>
          <w:p>
            <w:pPr>
              <w:pStyle w:val="Compact"/>
              <w:jc w:val="left"/>
            </w:pPr>
            <w:r>
              <w:t xml:space="preserve">SOARS-B, 290 Kinder mit Autismus: kein Unterschied zu Placebo (PMID 34644471)</w:t>
            </w:r>
          </w:p>
        </w:tc>
        <w:tc>
          <w:tcPr/>
          <w:p>
            <w:pPr>
              <w:pStyle w:val="Compact"/>
              <w:jc w:val="left"/>
            </w:pPr>
            <w:r>
              <w:t xml:space="preserve">Wasserretention in hohen Dosen, Wehenauslösung</w:t>
            </w:r>
          </w:p>
        </w:tc>
      </w:tr>
      <w:tr>
        <w:tc>
          <w:tcPr/>
          <w:p>
            <w:pPr>
              <w:pStyle w:val="Compact"/>
              <w:jc w:val="left"/>
            </w:pPr>
            <w:r>
              <w:t xml:space="preserve">Gonadorelin</w:t>
            </w:r>
          </w:p>
        </w:tc>
        <w:tc>
          <w:tcPr/>
          <w:p>
            <w:pPr>
              <w:pStyle w:val="Compact"/>
              <w:jc w:val="left"/>
            </w:pPr>
            <w:r>
              <w:t xml:space="preserve">Pulsatile Gabe: Eisprung bei 91 % bzw. 96 % von 109 Frauen (PMID 2122733)</w:t>
            </w:r>
          </w:p>
        </w:tc>
        <w:tc>
          <w:tcPr/>
          <w:p>
            <w:pPr>
              <w:pStyle w:val="Compact"/>
              <w:jc w:val="left"/>
            </w:pPr>
            <w:r>
              <w:t xml:space="preserve">bei falschem Rhythmus Unterdrückung der Hormonachse</w:t>
            </w:r>
          </w:p>
        </w:tc>
      </w:tr>
    </w:tbl>
    <w:bookmarkEnd w:id="2529"/>
    <w:bookmarkStart w:id="2530" w:name="f.-kollagen-ernährung-und-kosmetik"/>
    <w:p>
      <w:pPr>
        <w:pStyle w:val="Heading3"/>
      </w:pPr>
      <w:r>
        <w:t xml:space="preserve">F. Kollagen, Ernährung und Kosmetik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101 / 237 (Anm.)</w:t>
            </w:r>
          </w:p>
        </w:tc>
      </w:tr>
      <w:tr>
        <w:tc>
          <w:tcPr/>
          <w:p>
            <w:pPr>
              <w:pStyle w:val="Compact"/>
              <w:jc w:val="left"/>
            </w:pPr>
            <w:r>
              <w:t xml:space="preserve">Lactotripeptide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21 / 0</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 Kosmetik</w:t>
            </w:r>
          </w:p>
        </w:tc>
        <w:tc>
          <w:tcPr/>
          <w:p>
            <w:pPr>
              <w:pStyle w:val="Compact"/>
              <w:jc w:val="left"/>
            </w:pPr>
            <w:r>
              <w:t xml:space="preserve">1 / 24 (Anm.)</w:t>
            </w:r>
          </w:p>
        </w:tc>
      </w:tr>
      <w:tr>
        <w:tc>
          <w:tcPr/>
          <w:p>
            <w:pPr>
              <w:pStyle w:val="Compact"/>
              <w:jc w:val="left"/>
            </w:pPr>
            <w:r>
              <w:t xml:space="preserve">Palmitoyl-Pentapeptid-4</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1 / 0</w:t>
            </w:r>
          </w:p>
        </w:tc>
      </w:tr>
      <w:tr>
        <w:tc>
          <w:tcPr/>
          <w:p>
            <w:pPr>
              <w:pStyle w:val="Compact"/>
              <w:jc w:val="left"/>
            </w:pPr>
            <w:r>
              <w:t xml:space="preserve">Acetyl-Hexapeptid-8</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3 / 7</w:t>
            </w:r>
          </w:p>
        </w:tc>
      </w:tr>
    </w:tbl>
    <w:p>
      <w:pPr>
        <w:pStyle w:val="BodyText"/>
      </w:pPr>
      <w:r>
        <w:t xml:space="preserve">Anmerkungen zur Tabelle: Bei</w:t>
      </w:r>
      <w:r>
        <w:t xml:space="preserve"> </w:t>
      </w:r>
      <w:r>
        <w:rPr>
          <w:bCs/>
          <w:b/>
        </w:rPr>
        <w:t xml:space="preserve">Kollagenpeptiden</w:t>
      </w:r>
      <w:r>
        <w:t xml:space="preserve"> </w:t>
      </w:r>
      <w:r>
        <w:t xml:space="preserve">betrifft ein erheblicher Teil der Registertreffer andere Themen, etwa Kollagen-Implantate in der Zahnmedizin oder das Krebsmedikament Endostatin. Bei</w:t>
      </w:r>
      <w:r>
        <w:t xml:space="preserve"> </w:t>
      </w:r>
      <w:r>
        <w:rPr>
          <w:bCs/>
          <w:b/>
        </w:rPr>
        <w:t xml:space="preserve">GHK-Cu</w:t>
      </w:r>
      <w:r>
        <w:t xml:space="preserve"> </w:t>
      </w:r>
      <w:r>
        <w:t xml:space="preserve">betreffen fast alle Registertreffer andere Kupferverbindungen, zum Beispiel radioaktives Kupfer-64 für die Bildgebung; nur ein glaubwürdiger Eintrag untersucht tatsächlich GHK. Bei keinem Stoff dieser Gruppe ist ein gesundheitsbezogener Werbeslogan in der EU zugelassen; für Lactotripeptide hat die Europäische Behörde für Lebensmittelsicherheit (EFSA) die beantragte Blutdruck-Aussage abgelehnt.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Kollagenpeptide</w:t>
            </w:r>
          </w:p>
        </w:tc>
        <w:tc>
          <w:tcPr/>
          <w:p>
            <w:pPr>
              <w:pStyle w:val="Compact"/>
              <w:jc w:val="left"/>
            </w:pPr>
            <w:r>
              <w:t xml:space="preserve">Arthrose: kleine bis mäßige Effekte (PMID 38218227); Hautnutzen nicht in unabhängigen Studien (PMID 40324552)</w:t>
            </w:r>
          </w:p>
        </w:tc>
        <w:tc>
          <w:tcPr/>
          <w:p>
            <w:pPr>
              <w:pStyle w:val="Compact"/>
              <w:jc w:val="left"/>
            </w:pPr>
            <w:r>
              <w:t xml:space="preserve">Ersatz wirksamer Maßnahmen; Oxalat bei Nierensteinneigung</w:t>
            </w:r>
          </w:p>
        </w:tc>
      </w:tr>
      <w:tr>
        <w:tc>
          <w:tcPr/>
          <w:p>
            <w:pPr>
              <w:pStyle w:val="Compact"/>
              <w:jc w:val="left"/>
            </w:pPr>
            <w:r>
              <w:t xml:space="preserve">Lactotripeptide</w:t>
            </w:r>
          </w:p>
        </w:tc>
        <w:tc>
          <w:tcPr/>
          <w:p>
            <w:pPr>
              <w:pStyle w:val="Compact"/>
              <w:jc w:val="left"/>
            </w:pPr>
            <w:r>
              <w:t xml:space="preserve">Meta-Analyse, 30 RCTs: systolisch −2,95 mmHg, mit Publikationsverzerrung (PMID 25608938)</w:t>
            </w:r>
          </w:p>
        </w:tc>
        <w:tc>
          <w:tcPr/>
          <w:p>
            <w:pPr>
              <w:pStyle w:val="Compact"/>
              <w:jc w:val="left"/>
            </w:pPr>
            <w:r>
              <w:t xml:space="preserve">Ersatz einer wirksamen Blutdruckbehandlung</w:t>
            </w:r>
          </w:p>
        </w:tc>
      </w:tr>
      <w:tr>
        <w:tc>
          <w:tcPr/>
          <w:p>
            <w:pPr>
              <w:pStyle w:val="Compact"/>
              <w:jc w:val="left"/>
            </w:pPr>
            <w:r>
              <w:t xml:space="preserve">Carnosin</w:t>
            </w:r>
          </w:p>
        </w:tc>
        <w:tc>
          <w:tcPr/>
          <w:p>
            <w:pPr>
              <w:pStyle w:val="Compact"/>
              <w:jc w:val="left"/>
            </w:pPr>
            <w:r>
              <w:t xml:space="preserve">Meta-Analyse, 8 RCTs: etwas niedrigere Zucker- und HbA1c-Werte (PMID 40999397)</w:t>
            </w:r>
          </w:p>
        </w:tc>
        <w:tc>
          <w:tcPr/>
          <w:p>
            <w:pPr>
              <w:pStyle w:val="Compact"/>
              <w:jc w:val="left"/>
            </w:pPr>
            <w:r>
              <w:t xml:space="preserve">keine relevanten; Langzeitdaten fehlen</w:t>
            </w:r>
          </w:p>
        </w:tc>
      </w:tr>
      <w:tr>
        <w:tc>
          <w:tcPr/>
          <w:p>
            <w:pPr>
              <w:pStyle w:val="Compact"/>
              <w:jc w:val="left"/>
            </w:pPr>
            <w:r>
              <w:t xml:space="preserve">GHK-Cu</w:t>
            </w:r>
          </w:p>
        </w:tc>
        <w:tc>
          <w:tcPr/>
          <w:p>
            <w:pPr>
              <w:pStyle w:val="Compact"/>
              <w:jc w:val="left"/>
            </w:pPr>
            <w:r>
              <w:t xml:space="preserve">Fußgeschwüre: Wundfläche median −98,5 % vs. −60,8 % (PMID 17147644)</w:t>
            </w:r>
          </w:p>
        </w:tc>
        <w:tc>
          <w:tcPr/>
          <w:p>
            <w:pPr>
              <w:pStyle w:val="Compact"/>
              <w:jc w:val="left"/>
            </w:pPr>
            <w:r>
              <w:t xml:space="preserve">Injektionen von Graumarkt-Ware ungeprüft</w:t>
            </w:r>
          </w:p>
        </w:tc>
      </w:tr>
      <w:tr>
        <w:tc>
          <w:tcPr/>
          <w:p>
            <w:pPr>
              <w:pStyle w:val="Compact"/>
              <w:jc w:val="left"/>
            </w:pPr>
            <w:r>
              <w:t xml:space="preserve">Palmitoyl-Pentapeptid-4</w:t>
            </w:r>
          </w:p>
        </w:tc>
        <w:tc>
          <w:tcPr/>
          <w:p>
            <w:pPr>
              <w:pStyle w:val="Compact"/>
              <w:jc w:val="left"/>
            </w:pPr>
            <w:r>
              <w:t xml:space="preserve">93 Frauen, Halbseitenstudie: weniger Falten nach 12 Wochen (PMID 18492182)</w:t>
            </w:r>
          </w:p>
        </w:tc>
        <w:tc>
          <w:tcPr/>
          <w:p>
            <w:pPr>
              <w:pStyle w:val="Compact"/>
              <w:jc w:val="left"/>
            </w:pPr>
            <w:r>
              <w:t xml:space="preserve">selten Hautreizung</w:t>
            </w:r>
          </w:p>
        </w:tc>
      </w:tr>
      <w:tr>
        <w:tc>
          <w:tcPr/>
          <w:p>
            <w:pPr>
              <w:pStyle w:val="Compact"/>
              <w:jc w:val="left"/>
            </w:pPr>
            <w:r>
              <w:t xml:space="preserve">Acetyl-Hexapeptid-8</w:t>
            </w:r>
          </w:p>
        </w:tc>
        <w:tc>
          <w:tcPr/>
          <w:p>
            <w:pPr>
              <w:pStyle w:val="Compact"/>
              <w:jc w:val="left"/>
            </w:pPr>
            <w:r>
              <w:t xml:space="preserve">19 Frauen, Halbseitenstudie: kein Unterschied nach 4 Wochen (PMID 38024099)</w:t>
            </w:r>
          </w:p>
        </w:tc>
        <w:tc>
          <w:tcPr/>
          <w:p>
            <w:pPr>
              <w:pStyle w:val="Compact"/>
              <w:jc w:val="left"/>
            </w:pPr>
            <w:r>
              <w:t xml:space="preserve">Injektionen nicht zugelassen, Infektions-Fallbericht</w:t>
            </w:r>
          </w:p>
        </w:tc>
      </w:tr>
    </w:tbl>
    <w:bookmarkEnd w:id="2530"/>
    <w:bookmarkStart w:id="2534" w:name="Xe22c8775aecd4678dba705cd67e3f4b9e465887"/>
    <w:p>
      <w:pPr>
        <w:pStyle w:val="Heading3"/>
      </w:pPr>
      <w:r>
        <w:t xml:space="preserve">Auswertung: Wie gut sind Peptide insgesamt untersucht?</w:t>
      </w:r>
    </w:p>
    <w:bookmarkStart w:id="2531" w:name="verteilung-der-evidenzstufen"/>
    <w:p>
      <w:pPr>
        <w:pStyle w:val="Heading4"/>
      </w:pPr>
      <w:r>
        <w:t xml:space="preserve">Verteilung der Evidenzstufen</w:t>
      </w:r>
    </w:p>
    <w:p>
      <w:pPr>
        <w:pStyle w:val="FirstParagraph"/>
      </w:pPr>
      <w:r>
        <w:t xml:space="preserve">Die 58 Einträge dieses Buches – 56 Peptide und zwei Vergleichssubstanzen, die keine Peptide sind (Orforglipron und Ibutamoren) – verteilen sich wie folgt: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Evidenzstufe</w:t>
            </w:r>
          </w:p>
        </w:tc>
        <w:tc>
          <w:tcPr/>
          <w:p>
            <w:pPr>
              <w:pStyle w:val="Compact"/>
              <w:jc w:val="left"/>
            </w:pPr>
            <w:r>
              <w:t xml:space="preserve">Anzahl</w:t>
            </w:r>
          </w:p>
        </w:tc>
        <w:tc>
          <w:tcPr/>
          <w:p>
            <w:pPr>
              <w:pStyle w:val="Compact"/>
              <w:jc w:val="left"/>
            </w:pPr>
            <w:r>
              <w:t xml:space="preserve">Anteil</w:t>
            </w:r>
          </w:p>
        </w:tc>
        <w:tc>
          <w:tcPr/>
          <w:p>
            <w:pPr>
              <w:pStyle w:val="Compact"/>
              <w:jc w:val="left"/>
            </w:pPr>
            <w:r>
              <w:t xml:space="preserve">Beispiele</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 Tirzepatid, Tesamorelin, Afamelanotid</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 Thymosin Alpha-1, Glutathion, Kollagenpeptide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Anmerkung: TB-500 ist in der Zählung mit der Stufe B für Thymosin Beta-4 erfasst; für das Fragment TB-500 allein gilt Stufe D.</w:t>
      </w:r>
    </w:p>
    <w:p>
      <w:pPr>
        <w:pStyle w:val="BodyText"/>
      </w:pPr>
      <w:r>
        <w:t xml:space="preserve">Drei Muster:</w:t>
      </w:r>
    </w:p>
    <w:p>
      <w:pPr>
        <w:numPr>
          <w:ilvl w:val="0"/>
          <w:numId w:val="1322"/>
        </w:numPr>
        <w:pStyle w:val="Compact"/>
      </w:pPr>
      <w:r>
        <w:rPr>
          <w:bCs/>
          <w:b/>
        </w:rPr>
        <w:t xml:space="preserve">Stufe A erreichen fast nur Wirkstoffe, die ein reguläres Zulassungsprogramm eines Arzneimittelherstellers durchlaufen haben.</w:t>
      </w:r>
      <w:r>
        <w:t xml:space="preserve"> </w:t>
      </w:r>
      <w:r>
        <w:t xml:space="preserve">Neun der 14 Einträge mit Stufe A stammen aus Gruppe A (Stoffwechsel und Gewicht). Die übrigen sind Tesamorelin, Macimorelin und Mecasermin aus der Wachstumshormon-Achse sowie Bremelanotid und Afamelanotid. Keiner der in Gruppe B (Heilung) und Gruppe D (Gehirn und Langlebigkeit) beschriebenen Stoffe erreicht Stufe A.</w:t>
      </w:r>
    </w:p>
    <w:p>
      <w:pPr>
        <w:numPr>
          <w:ilvl w:val="0"/>
          <w:numId w:val="1322"/>
        </w:numPr>
        <w:pStyle w:val="Compact"/>
      </w:pPr>
      <w:r>
        <w:rPr>
          <w:bCs/>
          <w:b/>
        </w:rPr>
        <w:t xml:space="preserve">Stufe B heißt oft „geprüft und nicht bestätigt“.</w:t>
      </w:r>
      <w:r>
        <w:t xml:space="preserve"> </w:t>
      </w:r>
      <w:r>
        <w:t xml:space="preserve">Bei vielen der 25 Einträge verfehlte die größte randomisierte Studie ihr Hauptziel: Thymosin Alpha-1 bei Sepsis, LL-37 bei Beingeschwüren, Ipamorelin nach Darmoperationen, Elamipretid bei Myopathie, Oxytocin bei Autismus, Glutathion gegen Nervenschäden durch Chemotherapie.</w:t>
      </w:r>
    </w:p>
    <w:p>
      <w:pPr>
        <w:numPr>
          <w:ilvl w:val="0"/>
          <w:numId w:val="1322"/>
        </w:numPr>
        <w:pStyle w:val="Compact"/>
      </w:pPr>
      <w:r>
        <w:rPr>
          <w:bCs/>
          <w:b/>
        </w:rPr>
        <w:t xml:space="preserve">Ein Drittel hat Stufe C oder D.</w:t>
      </w:r>
      <w:r>
        <w:t xml:space="preserve"> </w:t>
      </w:r>
      <w:r>
        <w:t xml:space="preserve">19 von 58 Einträgen beruhen auf kleinen, unkontrollierten Humanstudien oder nur auf Tier- und Laborversuchen – darunter viele der im Internet am stärksten beworbenen Stoffe.</w:t>
      </w:r>
    </w:p>
    <w:p>
      <w:pPr>
        <w:pStyle w:val="FirstParagraph"/>
      </w:pPr>
      <w:r>
        <w:t xml:space="preserve">Nach Gruppen betrachtet:</w:t>
      </w:r>
    </w:p>
    <w:p>
      <w:pPr>
        <w:numPr>
          <w:ilvl w:val="0"/>
          <w:numId w:val="1323"/>
        </w:numPr>
        <w:pStyle w:val="Compact"/>
      </w:pPr>
      <w:r>
        <w:t xml:space="preserve">A. Stoffwechsel und Gewicht (15 Einträge): 9 × A, 5 × B, 1 × D</w:t>
      </w:r>
    </w:p>
    <w:p>
      <w:pPr>
        <w:numPr>
          <w:ilvl w:val="0"/>
          <w:numId w:val="1323"/>
        </w:numPr>
        <w:pStyle w:val="Compact"/>
      </w:pPr>
      <w:r>
        <w:t xml:space="preserve">B. Heilung und Immunsystem (8): 5 × B, 2 × C, 1 × D</w:t>
      </w:r>
    </w:p>
    <w:p>
      <w:pPr>
        <w:numPr>
          <w:ilvl w:val="0"/>
          <w:numId w:val="1323"/>
        </w:numPr>
        <w:pStyle w:val="Compact"/>
      </w:pPr>
      <w:r>
        <w:t xml:space="preserve">C. Wachstumshormon-Achse (11): 3 × A, 4 × B, 3 × C, 1 × D</w:t>
      </w:r>
    </w:p>
    <w:p>
      <w:pPr>
        <w:numPr>
          <w:ilvl w:val="0"/>
          <w:numId w:val="1323"/>
        </w:numPr>
        <w:pStyle w:val="Compact"/>
      </w:pPr>
      <w:r>
        <w:t xml:space="preserve">D. Gehirn und Langlebigkeit (12): 3 × B, 5 × C, 4 × D</w:t>
      </w:r>
    </w:p>
    <w:p>
      <w:pPr>
        <w:numPr>
          <w:ilvl w:val="0"/>
          <w:numId w:val="1323"/>
        </w:numPr>
        <w:pStyle w:val="Compact"/>
      </w:pPr>
      <w:r>
        <w:t xml:space="preserve">E. Hormone und Pigmentierung (6): 2 × A, 3 × B, 1 × C</w:t>
      </w:r>
    </w:p>
    <w:p>
      <w:pPr>
        <w:numPr>
          <w:ilvl w:val="0"/>
          <w:numId w:val="1323"/>
        </w:numPr>
        <w:pStyle w:val="Compact"/>
      </w:pPr>
      <w:r>
        <w:t xml:space="preserve">F. Kollagen und Kosmetik (6): 5 × B, 1 × C</w:t>
      </w:r>
    </w:p>
    <w:p>
      <w:pPr>
        <w:pStyle w:val="FirstParagraph"/>
      </w:pPr>
      <w:r>
        <w:t xml:space="preserve">Gruppe D hat die schwächste Datenlage: Vier ihrer zwölf Peptide wurden nie in einer veröffentlichten Studie am Menschen verabreicht, fünf weitere nur in kleinen, meist nicht randomisierten Studien.</w:t>
      </w:r>
    </w:p>
    <w:bookmarkEnd w:id="2531"/>
    <w:bookmarkStart w:id="2532" w:name="zugelassen-oder-nicht"/>
    <w:p>
      <w:pPr>
        <w:pStyle w:val="Heading4"/>
      </w:pPr>
      <w:r>
        <w:t xml:space="preserve">Zugelassen oder nicht?</w:t>
      </w:r>
    </w:p>
    <w:p>
      <w:pPr>
        <w:pStyle w:val="FirstParagraph"/>
      </w:pPr>
      <w:r>
        <w:t xml:space="preserve">„Zugelassen“ bedeutet in diesem Buch: Eine Arzneimittelbehörde hat Wirksamkeit, Unbedenklichkeit und Herstellungsqualität für eine bestimmte Anwendung geprüft. Die 58 Einträge lassen sich danach in fünf Gruppen einteilen (Stand Oktober 2026, bitte aktuell prüfen):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Anzahl</w:t>
            </w:r>
          </w:p>
        </w:tc>
        <w:tc>
          <w:tcPr/>
          <w:p>
            <w:pPr>
              <w:pStyle w:val="Compact"/>
              <w:jc w:val="left"/>
            </w:pPr>
            <w:r>
              <w:t xml:space="preserve">Peptide</w:t>
            </w:r>
          </w:p>
        </w:tc>
      </w:tr>
      <w:tr>
        <w:tc>
          <w:tcPr/>
          <w:p>
            <w:pPr>
              <w:pStyle w:val="Compact"/>
              <w:jc w:val="left"/>
            </w:pPr>
            <w:r>
              <w:t xml:space="preserve">Als Arzneimittel in der EU und/oder den USA zugelassen</w:t>
            </w:r>
          </w:p>
        </w:tc>
        <w:tc>
          <w:tcPr/>
          <w:p>
            <w:pPr>
              <w:pStyle w:val="Compact"/>
              <w:jc w:val="left"/>
            </w:pPr>
            <w:r>
              <w:t xml:space="preserve">14</w:t>
            </w:r>
          </w:p>
        </w:tc>
        <w:tc>
          <w:tcPr/>
          <w:p>
            <w:pPr>
              <w:pStyle w:val="Compact"/>
              <w:jc w:val="left"/>
            </w:pPr>
            <w:r>
              <w:t xml:space="preserve">Exenatid, Liraglutid, Dulaglutid, Semaglutid, Tirzepatid, Setmelanotid, Pramlintid, Tesamorelin, Macimorelin, Mecasermin, Afamelanotid, Bremelanotid, SS-31, Oxytocin (nur Geburtshilfe)</w:t>
            </w:r>
          </w:p>
        </w:tc>
      </w:tr>
      <w:tr>
        <w:tc>
          <w:tcPr/>
          <w:p>
            <w:pPr>
              <w:pStyle w:val="Compact"/>
              <w:jc w:val="left"/>
            </w:pPr>
            <w:r>
              <w:t xml:space="preserve">Nur national in einzelnen EU-Staaten oder nur außerhalb von EU und USA zugelassen</w:t>
            </w:r>
          </w:p>
        </w:tc>
        <w:tc>
          <w:tcPr/>
          <w:p>
            <w:pPr>
              <w:pStyle w:val="Compact"/>
              <w:jc w:val="left"/>
            </w:pPr>
            <w:r>
              <w:t xml:space="preserve">8</w:t>
            </w:r>
          </w:p>
        </w:tc>
        <w:tc>
          <w:tcPr/>
          <w:p>
            <w:pPr>
              <w:pStyle w:val="Compact"/>
              <w:jc w:val="left"/>
            </w:pPr>
            <w:r>
              <w:t xml:space="preserve">Cerebrolysin, Gonadorelin, Mazdutid (China), Thymosin Alpha-1 (u. a. China), Thymalin, Semax, Selank (Russland), GHRP-2 (Japan, Diagnostikum)</w:t>
            </w:r>
          </w:p>
        </w:tc>
      </w:tr>
      <w:tr>
        <w:tc>
          <w:tcPr/>
          <w:p>
            <w:pPr>
              <w:pStyle w:val="Compact"/>
              <w:jc w:val="left"/>
            </w:pPr>
            <w:r>
              <w:t xml:space="preserve">Früher in den USA zugelassen, heute nicht mehr im Handel</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Als Lebensmittel, Nahrungsergänzung oder Kosmetik erlaubt, ohne Arzneimittelzulassung</w:t>
            </w:r>
          </w:p>
        </w:tc>
        <w:tc>
          <w:tcPr/>
          <w:p>
            <w:pPr>
              <w:pStyle w:val="Compact"/>
              <w:jc w:val="left"/>
            </w:pPr>
            <w:r>
              <w:t xml:space="preserve">7</w:t>
            </w:r>
          </w:p>
        </w:tc>
        <w:tc>
          <w:tcPr/>
          <w:p>
            <w:pPr>
              <w:pStyle w:val="Compact"/>
              <w:jc w:val="left"/>
            </w:pPr>
            <w:r>
              <w:t xml:space="preserve">Kollagenpeptide, Lactotripeptide, Carnosin, Glutathion, GHK-Cu, Palmitoyl-Pentapeptid-4, Acetyl-Hexapeptid-8</w:t>
            </w:r>
          </w:p>
        </w:tc>
      </w:tr>
      <w:tr>
        <w:tc>
          <w:tcPr/>
          <w:p>
            <w:pPr>
              <w:pStyle w:val="Compact"/>
              <w:jc w:val="left"/>
            </w:pPr>
            <w:r>
              <w:t xml:space="preserve">Nirgends zugelassen</w:t>
            </w:r>
          </w:p>
        </w:tc>
        <w:tc>
          <w:tcPr/>
          <w:p>
            <w:pPr>
              <w:pStyle w:val="Compact"/>
              <w:jc w:val="left"/>
            </w:pPr>
            <w:r>
              <w:t xml:space="preserve">28</w:t>
            </w:r>
          </w:p>
        </w:tc>
        <w:tc>
          <w:tcPr/>
          <w:p>
            <w:pPr>
              <w:pStyle w:val="Compact"/>
              <w:jc w:val="left"/>
            </w:pPr>
            <w:r>
              <w:t xml:space="preserve">darunter Retatrutid, CagriSema, BPC-157, TB-500, CJC-1295, Ipamorelin, Epitalon, MOTS-c, Melanotan II, IGF-1 LR3, Orforglipron (Antrag gestellt) und Ibutamoren</w:t>
            </w:r>
          </w:p>
        </w:tc>
      </w:tr>
    </w:tbl>
    <w:p>
      <w:pPr>
        <w:pStyle w:val="BodyText"/>
      </w:pPr>
      <w:r>
        <w:t xml:space="preserve">Nur rund ein Viertel der Einträge ist in der EU oder den USA als Arzneimittel zugelassen – meist für eng umrissene Anwendungen: Afamelanotid für eine seltene Lichtunverträglichkeit (erythropoetische Protoporphyrie, EPP), nicht zum Bräunen; Elamipretid nur für das Barth-Syndrom; Oxytocin nur für die Geburtshilfe, nicht als Nasenspray; Tesamorelin nur für eine Fettverteilungsstörung bei HIV. Bei der Aussage „zugelassen“ lohnt daher immer die Frage: wo, wofür und in welcher Form?</w:t>
      </w:r>
    </w:p>
    <w:p>
      <w:pPr>
        <w:pStyle w:val="BodyText"/>
      </w:pPr>
      <w:r>
        <w:t xml:space="preserve">Die 28 nirgends zugelassenen Einträge zerfallen in zwei Gruppen. Retatrutid, Survodutid, CagriSema, Amycretin, Maridebart Cafraglutid und Orforglipron sind in der regulären Entwicklung mit Phase-3-Studien; eine Zulassung ist für sie wahrscheinlich, aber nicht gesichert (Einschätzung). Stoffe wie BPC-157, TB-500, CJC-1295, AOD-9604, Epitalon, MOTS-c, Dihexa oder IGF-1 LR3 haben dagegen keinen erkennbaren Zulassungsweg und werden überwiegend als „Research Peptides“ verkauft. Graumarkt-Angebote der ersten Gruppe sind mit den geprüften Arzneimitteln nicht gleichzusetzen.</w:t>
      </w:r>
    </w:p>
    <w:bookmarkEnd w:id="2532"/>
    <w:bookmarkStart w:id="2533" w:name="dopingstatus-nach-wada"/>
    <w:p>
      <w:pPr>
        <w:pStyle w:val="Heading4"/>
      </w:pPr>
      <w:r>
        <w:t xml:space="preserve">Dopingstatus nach WADA</w:t>
      </w:r>
    </w:p>
    <w:p>
      <w:pPr>
        <w:pStyle w:val="FirstParagraph"/>
      </w:pPr>
      <w:r>
        <w:t xml:space="preserve">Für den Wettkampfsport zählt die Verbotsliste der Welt-Anti-Doping-Agentur (WADA). Die wichtigsten Klassen:</w:t>
      </w:r>
    </w:p>
    <w:p>
      <w:pPr>
        <w:numPr>
          <w:ilvl w:val="0"/>
          <w:numId w:val="1324"/>
        </w:numPr>
        <w:pStyle w:val="Compact"/>
      </w:pPr>
      <w:r>
        <w:rPr>
          <w:bCs/>
          <w:b/>
        </w:rPr>
        <w:t xml:space="preserve">S0</w:t>
      </w:r>
      <w:r>
        <w:t xml:space="preserve"> </w:t>
      </w:r>
      <w:r>
        <w:t xml:space="preserve">– nicht zugelassene Substanzen: alle Stoffe ohne Arzneimittelzulassung für Menschen, auch ohne namentliche Nennung.</w:t>
      </w:r>
    </w:p>
    <w:p>
      <w:pPr>
        <w:numPr>
          <w:ilvl w:val="0"/>
          <w:numId w:val="1324"/>
        </w:numPr>
        <w:pStyle w:val="Compact"/>
      </w:pPr>
      <w:r>
        <w:rPr>
          <w:bCs/>
          <w:b/>
        </w:rPr>
        <w:t xml:space="preserve">S2</w:t>
      </w:r>
      <w:r>
        <w:t xml:space="preserve"> </w:t>
      </w:r>
      <w:r>
        <w:t xml:space="preserve">– Peptidhormone, Wachstumsfaktoren und verwandte Substanzen, darunter Wachstumshormon, seine Freisetzungsfaktoren und Fragmente, IGF-1, Thymosin Beta-4 und bei Männern Freisetzungsfaktoren für das luteinisierende Hormon (LH).</w:t>
      </w:r>
    </w:p>
    <w:p>
      <w:pPr>
        <w:numPr>
          <w:ilvl w:val="0"/>
          <w:numId w:val="1324"/>
        </w:numPr>
        <w:pStyle w:val="Compact"/>
      </w:pPr>
      <w:r>
        <w:rPr>
          <w:bCs/>
          <w:b/>
        </w:rPr>
        <w:t xml:space="preserve">S4</w:t>
      </w:r>
      <w:r>
        <w:t xml:space="preserve"> </w:t>
      </w:r>
      <w:r>
        <w:t xml:space="preserve">– Hormon- und Stoffwechsel-Modulatoren, darunter Aktivatoren des Enzyms AMPK.</w:t>
      </w:r>
    </w:p>
    <w:p>
      <w:pPr>
        <w:numPr>
          <w:ilvl w:val="0"/>
          <w:numId w:val="1324"/>
        </w:numPr>
        <w:pStyle w:val="Compact"/>
      </w:pPr>
      <w:r>
        <w:rPr>
          <w:bCs/>
          <w:b/>
        </w:rPr>
        <w:t xml:space="preserve">M2</w:t>
      </w:r>
      <w:r>
        <w:t xml:space="preserve"> </w:t>
      </w:r>
      <w:r>
        <w:t xml:space="preserve">– verbotene Methoden, darunter Infusionen über 100 ml innerhalb von zwölf Stunden.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WADA-Status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verboten, S2</w:t>
            </w:r>
          </w:p>
        </w:tc>
      </w:tr>
      <w:tr>
        <w:tc>
          <w:tcPr/>
          <w:p>
            <w:pPr>
              <w:pStyle w:val="Compact"/>
              <w:jc w:val="left"/>
            </w:pPr>
            <w:r>
              <w:t xml:space="preserve">Gonadorelin; Kisspeptin</w:t>
            </w:r>
          </w:p>
        </w:tc>
        <w:tc>
          <w:tcPr/>
          <w:p>
            <w:pPr>
              <w:pStyle w:val="Compact"/>
              <w:jc w:val="left"/>
            </w:pPr>
            <w:r>
              <w:t xml:space="preserve">für Männer verboten, S2; Kisspeptin als nicht zugelassener Wirkstoff zusätzlich S0</w:t>
            </w:r>
          </w:p>
        </w:tc>
      </w:tr>
      <w:tr>
        <w:tc>
          <w:tcPr/>
          <w:p>
            <w:pPr>
              <w:pStyle w:val="Compact"/>
              <w:jc w:val="left"/>
            </w:pPr>
            <w:r>
              <w:t xml:space="preserve">MOTS-c</w:t>
            </w:r>
          </w:p>
        </w:tc>
        <w:tc>
          <w:tcPr/>
          <w:p>
            <w:pPr>
              <w:pStyle w:val="Compact"/>
              <w:jc w:val="left"/>
            </w:pPr>
            <w:r>
              <w:t xml:space="preserve">verboten, S4 (AMPK-Aktivator)</w:t>
            </w:r>
          </w:p>
        </w:tc>
      </w:tr>
      <w:tr>
        <w:tc>
          <w:tcPr/>
          <w:p>
            <w:pPr>
              <w:pStyle w:val="Compact"/>
              <w:jc w:val="left"/>
            </w:pPr>
            <w:r>
              <w:t xml:space="preserve">Retatrutid, Survodutid, CagriSema, Amycretin, Maridebart Cafraglutid, BPC-157, Melanotan II</w:t>
            </w:r>
          </w:p>
        </w:tc>
        <w:tc>
          <w:tcPr/>
          <w:p>
            <w:pPr>
              <w:pStyle w:val="Compact"/>
              <w:jc w:val="left"/>
            </w:pPr>
            <w:r>
              <w:t xml:space="preserve">verboten, S0</w:t>
            </w:r>
          </w:p>
        </w:tc>
      </w:tr>
      <w:tr>
        <w:tc>
          <w:tcPr/>
          <w:p>
            <w:pPr>
              <w:pStyle w:val="Compact"/>
              <w:jc w:val="left"/>
            </w:pPr>
            <w:r>
              <w:t xml:space="preserve">KPV, LL-37, Dihexa, Epitalon, Pinealon, Humanin, FOXO4-DRI, Orforglipron (bis zur Zulassung)</w:t>
            </w:r>
          </w:p>
        </w:tc>
        <w:tc>
          <w:tcPr/>
          <w:p>
            <w:pPr>
              <w:pStyle w:val="Compact"/>
              <w:jc w:val="left"/>
            </w:pPr>
            <w:r>
              <w:t xml:space="preserve">nicht namentlich genannt, als nicht zugelassene Substanz vermutlich S0</w:t>
            </w:r>
          </w:p>
        </w:tc>
      </w:tr>
      <w:tr>
        <w:tc>
          <w:tcPr/>
          <w:p>
            <w:pPr>
              <w:pStyle w:val="Compact"/>
              <w:jc w:val="left"/>
            </w:pPr>
            <w:r>
              <w:t xml:space="preserve">Mazdutid</w:t>
            </w:r>
          </w:p>
        </w:tc>
        <w:tc>
          <w:tcPr/>
          <w:p>
            <w:pPr>
              <w:pStyle w:val="Compact"/>
              <w:jc w:val="left"/>
            </w:pPr>
            <w:r>
              <w:t xml:space="preserve">nicht namentlich genannt; S0-Status wegen der Zulassung in China unklar</w:t>
            </w:r>
          </w:p>
        </w:tc>
      </w:tr>
      <w:tr>
        <w:tc>
          <w:tcPr/>
          <w:p>
            <w:pPr>
              <w:pStyle w:val="Compact"/>
              <w:jc w:val="left"/>
            </w:pPr>
            <w:r>
              <w:t xml:space="preserve">GHK-Cu</w:t>
            </w:r>
          </w:p>
        </w:tc>
        <w:tc>
          <w:tcPr/>
          <w:p>
            <w:pPr>
              <w:pStyle w:val="Compact"/>
              <w:jc w:val="left"/>
            </w:pPr>
            <w:r>
              <w:t xml:space="preserve">als Kosmetik nicht verboten; Injektion möglicherweise S0</w:t>
            </w:r>
          </w:p>
        </w:tc>
      </w:tr>
      <w:tr>
        <w:tc>
          <w:tcPr/>
          <w:p>
            <w:pPr>
              <w:pStyle w:val="Compact"/>
              <w:jc w:val="left"/>
            </w:pPr>
            <w:r>
              <w:t xml:space="preserve">Glutathion</w:t>
            </w:r>
          </w:p>
        </w:tc>
        <w:tc>
          <w:tcPr/>
          <w:p>
            <w:pPr>
              <w:pStyle w:val="Compact"/>
              <w:jc w:val="left"/>
            </w:pPr>
            <w:r>
              <w:t xml:space="preserve">Substanz nicht verboten; Infusionen über 100 ml in zwölf Stunden verboten (M2)</w:t>
            </w:r>
          </w:p>
        </w:tc>
      </w:tr>
      <w:tr>
        <w:tc>
          <w:tcPr/>
          <w:p>
            <w:pPr>
              <w:pStyle w:val="Compact"/>
              <w:jc w:val="left"/>
            </w:pPr>
            <w:r>
              <w:t xml:space="preserve">Semax, Selank, DSIP, SS-31, Bremelanotid</w:t>
            </w:r>
          </w:p>
        </w:tc>
        <w:tc>
          <w:tcPr/>
          <w:p>
            <w:pPr>
              <w:pStyle w:val="Compact"/>
              <w:jc w:val="left"/>
            </w:pPr>
            <w:r>
              <w:t xml:space="preserve">nicht namentlich genannt; Einordnung nicht eindeutig</w:t>
            </w:r>
          </w:p>
        </w:tc>
      </w:tr>
      <w:tr>
        <w:tc>
          <w:tcPr/>
          <w:p>
            <w:pPr>
              <w:pStyle w:val="Compact"/>
              <w:jc w:val="left"/>
            </w:pPr>
            <w:r>
              <w:t xml:space="preserve">Exenatid, Liraglutid, Dulaglutid, Semaglutid, Tirzepatid, Pramlintid, Setmelanotid, Thymosin Alpha-1, Larazotid, Thymalin, Cerebrolysin, Afamelanotid, Oxytocin, Kollagenpeptide, Lactotripeptide, Carnosin, Palmitoyl-Pentapeptid-4, Acetyl-Hexapeptid-8</w:t>
            </w:r>
          </w:p>
        </w:tc>
        <w:tc>
          <w:tcPr/>
          <w:p>
            <w:pPr>
              <w:pStyle w:val="Compact"/>
              <w:jc w:val="left"/>
            </w:pPr>
            <w:r>
              <w:t xml:space="preserve">nicht gelistet</w:t>
            </w:r>
          </w:p>
        </w:tc>
      </w:tr>
    </w:tbl>
    <w:p>
      <w:pPr>
        <w:pStyle w:val="BodyText"/>
      </w:pPr>
      <w:r>
        <w:t xml:space="preserve">Die Liste ist nicht abschließend: S0 erfasst jeden Stoff ohne Zulassung, S2 auch „verwandte Substanzen“ mit ähnlicher Wirkung. Nicht namentlich genannt heißt also nicht erlaubt. Gerade die im Kraftsport beliebten Stoffe der Wachstumshormon-Achse sowie BPC-157 und TB-500 sind ausdrücklich verboten. Im Zweifel geben die nationalen Anti-Doping-Agenturen Auskunft.</w:t>
      </w:r>
    </w:p>
    <w:bookmarkEnd w:id="2533"/>
    <w:bookmarkEnd w:id="2534"/>
    <w:bookmarkStart w:id="2535" w:name="was-die-übersicht-zeigt"/>
    <w:p>
      <w:pPr>
        <w:pStyle w:val="Heading3"/>
      </w:pPr>
      <w:r>
        <w:t xml:space="preserve">Was die Übersicht zeigt</w:t>
      </w:r>
    </w:p>
    <w:p>
      <w:pPr>
        <w:pStyle w:val="FirstParagraph"/>
      </w:pPr>
      <w:r>
        <w:t xml:space="preserve">Die gut untersuchten Peptide sind fast ausschließlich zugelassene Arzneimittel aus großen, vorab registrierten Studien. Die meisten im Internet populären Peptide haben Evidenzstufe C oder D, sind nirgends zugelassen und im Sport häufig verboten. Dazwischen liegen Stoffe, die ernsthaft am Menschen untersucht wurden, deren Studien den erhofften Nutzen aber nicht bestätigt haben. Die beiden folgenden Kapitel vertiefen das für die GLP-1-Medikamente und für die populärsten Internet-Peptide.</w:t>
      </w:r>
    </w:p>
    <w:bookmarkEnd w:id="2535"/>
    <w:bookmarkEnd w:id="2536"/>
    <w:bookmarkStart w:id="2578" w:name="glp-1-co.-direkt-verglichen"/>
    <w:p>
      <w:pPr>
        <w:pStyle w:val="Heading2"/>
      </w:pPr>
      <w:r>
        <w:t xml:space="preserve">GLP-1 &amp; Co. direkt verglichen</w:t>
      </w:r>
    </w:p>
    <w:p>
      <w:pPr>
        <w:pStyle w:val="FirstParagraph"/>
      </w:pPr>
      <w:r>
        <w:t xml:space="preserve">Keine andere Gruppe in diesem Buch ist so gut untersucht wie die Inkretin-Medikamente: GLP-1-Rezeptor-Agonisten wie Liraglutid und Semaglutid, der Zweifach-Agonist Tirzepatid und eine Reihe von Nachfolgern, die zusätzlich am Glukagon- oder Amylin-Rezeptor ansetzen. Für sie liegen Zulassungsprogramme mit Zehntausenden Teilnehmenden, große Herz-Kreislauf-Studien und zunehmend auch direkte Vergleichsstudien vor. Dieses Kapitel stellt die wichtigsten Ergebnisse nebeneinander. Alle Zahlen stammen aus den Kapiteln von Teil II, Gruppe A, und den dort zitierten Studien; dort finden Sie auch die Einschränkungen jeder einzelnen Studie.</w:t>
      </w:r>
    </w:p>
    <w:p>
      <w:pPr>
        <w:pStyle w:val="BodyText"/>
      </w:pPr>
      <w:r>
        <w:t xml:space="preserve">Das Kapitel ist keine Entscheidungshilfe für eine Behandlung. Welches Medikament im Einzelfall in Frage kommt, hängt von Begleiterkrankungen, Verträglichkeit, Zulassung, Kostenübernahme und Verfügbarkeit ab und gehört in ärztliche Hände. Maßgeblich sind die jeweilige Fachinformation und die ärztliche Begleitung.</w:t>
      </w:r>
    </w:p>
    <w:bookmarkStart w:id="2537" w:name="X1d25371101b59b281e29ffb2c095eea03091de0"/>
    <w:p>
      <w:pPr>
        <w:pStyle w:val="Heading3"/>
      </w:pPr>
      <w:r>
        <w:t xml:space="preserve">Vorweg: Warum man Studien nicht einfach nebeneinanderlegen darf</w:t>
      </w:r>
    </w:p>
    <w:p>
      <w:pPr>
        <w:pStyle w:val="FirstParagraph"/>
      </w:pPr>
      <w:r>
        <w:t xml:space="preserve">Die Tabellen dieses Kapitels laden dazu ein, Zahlen aus verschiedenen Studien zu vergleichen – etwa 20,9 % Gewichtsverlust unter Tirzepatid gegen 14,9 % unter Semaglutid. Solche Quervergleiche („cross-trial comparisons“) sind nur eingeschränkt zulässig. Die Gründe:</w:t>
      </w:r>
    </w:p>
    <w:p>
      <w:pPr>
        <w:numPr>
          <w:ilvl w:val="0"/>
          <w:numId w:val="1325"/>
        </w:numPr>
        <w:pStyle w:val="Compact"/>
      </w:pPr>
      <w:r>
        <w:rPr>
          <w:bCs/>
          <w:b/>
        </w:rPr>
        <w:t xml:space="preserve">Unterschiedliche Teilnehmende:</w:t>
      </w:r>
      <w:r>
        <w:t xml:space="preserve"> </w:t>
      </w:r>
      <w:r>
        <w:t xml:space="preserve">Menschen mit Typ-2-Diabetes verlieren unter allen Inkretin-Medikamenten deutlich weniger Gewicht als Menschen ohne Diabetes. Studien in China oder Japan schließen Menschen mit niedrigerem Ausgangsgewicht ein als Studien in Nordamerika und Europa.</w:t>
      </w:r>
    </w:p>
    <w:p>
      <w:pPr>
        <w:numPr>
          <w:ilvl w:val="0"/>
          <w:numId w:val="1325"/>
        </w:numPr>
        <w:pStyle w:val="Compact"/>
      </w:pPr>
      <w:r>
        <w:rPr>
          <w:bCs/>
          <w:b/>
        </w:rPr>
        <w:t xml:space="preserve">Unterschiedliche Dauer:</w:t>
      </w:r>
      <w:r>
        <w:t xml:space="preserve"> </w:t>
      </w:r>
      <w:r>
        <w:t xml:space="preserve">Ein Gewichtsverlust nach 48 Wochen ist nicht dasselbe wie nach 80 Wochen; viele Kurven flachen erst spät ab.</w:t>
      </w:r>
    </w:p>
    <w:p>
      <w:pPr>
        <w:numPr>
          <w:ilvl w:val="0"/>
          <w:numId w:val="1325"/>
        </w:numPr>
        <w:pStyle w:val="Compact"/>
      </w:pPr>
      <w:r>
        <w:rPr>
          <w:bCs/>
          <w:b/>
        </w:rPr>
        <w:t xml:space="preserve">Unterschiedliche Auswertung:</w:t>
      </w:r>
      <w:r>
        <w:t xml:space="preserve"> </w:t>
      </w:r>
      <w:r>
        <w:t xml:space="preserve">Manche Studien werten alle Teilnehmenden aus, auch wenn sie die Behandlung abgebrochen haben (der sogenannte Behandlungsstrategie- oder „Treatment-Policy“-Schätzer). Andere rechnen so, als hätten alle das Medikament wie geplant genommen. Die zweite Variante liefert günstigere Zahlen.</w:t>
      </w:r>
    </w:p>
    <w:p>
      <w:pPr>
        <w:numPr>
          <w:ilvl w:val="0"/>
          <w:numId w:val="1325"/>
        </w:numPr>
        <w:pStyle w:val="Compact"/>
      </w:pPr>
      <w:r>
        <w:rPr>
          <w:bCs/>
          <w:b/>
        </w:rPr>
        <w:t xml:space="preserve">Unterschiedliche Placebogruppen:</w:t>
      </w:r>
      <w:r>
        <w:t xml:space="preserve"> </w:t>
      </w:r>
      <w:r>
        <w:t xml:space="preserve">Unter Placebo verloren die Teilnehmenden je nach Studie zwischen nichts und über 5 % ihres Gewichts, je nachdem, wie intensiv die begleitende Ernährungs- und Bewegungsberatung war.</w:t>
      </w:r>
    </w:p>
    <w:p>
      <w:pPr>
        <w:numPr>
          <w:ilvl w:val="0"/>
          <w:numId w:val="1325"/>
        </w:numPr>
        <w:pStyle w:val="Compact"/>
      </w:pPr>
      <w:r>
        <w:rPr>
          <w:bCs/>
          <w:b/>
        </w:rPr>
        <w:t xml:space="preserve">Unterschiedliche Phasen:</w:t>
      </w:r>
      <w:r>
        <w:t xml:space="preserve"> </w:t>
      </w:r>
      <w:r>
        <w:t xml:space="preserve">Ergebnisse aus kleinen Phase-2-Studien fallen oft günstiger aus als die späteren großen Phase-3-Studien.</w:t>
      </w:r>
    </w:p>
    <w:p>
      <w:pPr>
        <w:pStyle w:val="FirstParagraph"/>
      </w:pPr>
      <w:r>
        <w:t xml:space="preserve">Belastbar ist ein Vergleich nur, wenn zwei Wirkstoffe in</w:t>
      </w:r>
      <w:r>
        <w:t xml:space="preserve"> </w:t>
      </w:r>
      <w:r>
        <w:rPr>
          <w:iCs/>
          <w:i/>
        </w:rPr>
        <w:t xml:space="preserve">derselben</w:t>
      </w:r>
      <w:r>
        <w:t xml:space="preserve"> </w:t>
      </w:r>
      <w:r>
        <w:t xml:space="preserve">Studie zufällig zugeteilt wurden. Solche Direktvergleiche sind am Ende dieses Kapitels zusammengestellt. Die übrigen Tabellen zeigen Größenordnungen, keine Rangliste.</w:t>
      </w:r>
    </w:p>
    <w:bookmarkEnd w:id="2537"/>
    <w:bookmarkStart w:id="2544" w:name="gewichtsverlust-in-den-zulassungsstudien"/>
    <w:p>
      <w:pPr>
        <w:pStyle w:val="Heading3"/>
      </w:pPr>
      <w:r>
        <w:t xml:space="preserve">Gewichtsverlust in den Zulassungsstudien</w:t>
      </w:r>
    </w:p>
    <w:p>
      <w:pPr>
        <w:pStyle w:val="FirstParagraph"/>
      </w:pPr>
      <w:r>
        <w:t xml:space="preserve">Die folgende Tabelle zeigt die jeweils wichtigste placebokontrollierte Studie bei Erwachsenen mit Übergewicht oder Adipositas</w:t>
      </w:r>
      <w:r>
        <w:t xml:space="preserve"> </w:t>
      </w:r>
      <w:r>
        <w:rPr>
          <w:iCs/>
          <w:i/>
        </w:rPr>
        <w:t xml:space="preserve">ohne</w:t>
      </w:r>
      <w:r>
        <w:t xml:space="preserve"> </w:t>
      </w:r>
      <w:r>
        <w:t xml:space="preserve">Diabetes. Angegeben ist die mittlere Veränderung des Körpergewichts in der höchsten geprüften Dosis gegenüber Placebo. Exenatid, Dulaglutid und Pramlintid sind nicht zur Gewichtsreduktion zugelassen und fehlen deshalb.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(Pi-Sunyer 2015), PMID 26132939</w:t>
            </w:r>
          </w:p>
        </w:tc>
        <w:tc>
          <w:tcPr/>
          <w:p>
            <w:pPr>
              <w:pStyle w:val="Compact"/>
              <w:jc w:val="left"/>
            </w:pPr>
            <w:r>
              <w:t xml:space="preserve">56 Wochen</w:t>
            </w:r>
          </w:p>
        </w:tc>
        <w:tc>
          <w:tcPr/>
          <w:p>
            <w:pPr>
              <w:pStyle w:val="Compact"/>
              <w:jc w:val="left"/>
            </w:pPr>
            <w:r>
              <w:t xml:space="preserve">−8,4 kg vs. −2,8 kg</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68 Wochen</w:t>
            </w:r>
          </w:p>
        </w:tc>
        <w:tc>
          <w:tcPr/>
          <w:p>
            <w:pPr>
              <w:pStyle w:val="Compact"/>
              <w:jc w:val="left"/>
            </w:pPr>
            <w:r>
              <w:t xml:space="preserve">−14,9 % vs. −2,4 %</w:t>
            </w:r>
          </w:p>
        </w:tc>
      </w:tr>
      <w:tr>
        <w:tc>
          <w:tcPr/>
          <w:p>
            <w:pPr>
              <w:pStyle w:val="Compact"/>
              <w:jc w:val="left"/>
            </w:pPr>
            <w:r>
              <w:t xml:space="preserve">Semaglutid 7,2 mg</w:t>
            </w:r>
          </w:p>
        </w:tc>
        <w:tc>
          <w:tcPr/>
          <w:p>
            <w:pPr>
              <w:pStyle w:val="Compact"/>
              <w:jc w:val="left"/>
            </w:pPr>
            <w:r>
              <w:t xml:space="preserve">STEP UP (Wharton 2025), PMID 40961952</w:t>
            </w:r>
          </w:p>
        </w:tc>
        <w:tc>
          <w:tcPr/>
          <w:p>
            <w:pPr>
              <w:pStyle w:val="Compact"/>
              <w:jc w:val="left"/>
            </w:pPr>
            <w:r>
              <w:t xml:space="preserve">72 Wochen</w:t>
            </w:r>
          </w:p>
        </w:tc>
        <w:tc>
          <w:tcPr/>
          <w:p>
            <w:pPr>
              <w:pStyle w:val="Compact"/>
              <w:jc w:val="left"/>
            </w:pPr>
            <w:r>
              <w:t xml:space="preserve">−18,7 % vs. −3,9 %</w:t>
            </w:r>
          </w:p>
        </w:tc>
      </w:tr>
      <w:tr>
        <w:tc>
          <w:tcPr/>
          <w:p>
            <w:pPr>
              <w:pStyle w:val="Compact"/>
              <w:jc w:val="left"/>
            </w:pPr>
            <w:r>
              <w:t xml:space="preserve">Semaglutid-Tablette 50 mg</w:t>
            </w:r>
          </w:p>
        </w:tc>
        <w:tc>
          <w:tcPr/>
          <w:p>
            <w:pPr>
              <w:pStyle w:val="Compact"/>
              <w:jc w:val="left"/>
            </w:pPr>
            <w:r>
              <w:t xml:space="preserve">OASIS 1 (Knop 2023), PMID 37385278</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Tirzepatid 15 mg</w:t>
            </w:r>
          </w:p>
        </w:tc>
        <w:tc>
          <w:tcPr/>
          <w:p>
            <w:pPr>
              <w:pStyle w:val="Compact"/>
              <w:jc w:val="left"/>
            </w:pPr>
            <w:r>
              <w:t xml:space="preserve">SURMOUNT-1 (Jastreboff 2022), PMID 35658024</w:t>
            </w:r>
          </w:p>
        </w:tc>
        <w:tc>
          <w:tcPr/>
          <w:p>
            <w:pPr>
              <w:pStyle w:val="Compact"/>
              <w:jc w:val="left"/>
            </w:pPr>
            <w:r>
              <w:t xml:space="preserve">72 Wochen</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Wochen</w:t>
            </w:r>
          </w:p>
        </w:tc>
        <w:tc>
          <w:tcPr/>
          <w:p>
            <w:pPr>
              <w:pStyle w:val="Compact"/>
              <w:jc w:val="left"/>
            </w:pPr>
            <w:r>
              <w:t xml:space="preserve">−20,4 % vs. −3,0 %</w:t>
            </w:r>
          </w:p>
        </w:tc>
      </w:tr>
      <w:tr>
        <w:tc>
          <w:tcPr/>
          <w:p>
            <w:pPr>
              <w:pStyle w:val="Compact"/>
              <w:jc w:val="left"/>
            </w:pPr>
            <w:r>
              <w:t xml:space="preserve">Retatrutid 12 mg</w:t>
            </w:r>
          </w:p>
        </w:tc>
        <w:tc>
          <w:tcPr/>
          <w:p>
            <w:pPr>
              <w:pStyle w:val="Compact"/>
              <w:jc w:val="left"/>
            </w:pPr>
            <w:r>
              <w:t xml:space="preserve">TRIUMPH-1 (Jastreboff 2026), PMID 42814954</w:t>
            </w:r>
          </w:p>
        </w:tc>
        <w:tc>
          <w:tcPr/>
          <w:p>
            <w:pPr>
              <w:pStyle w:val="Compact"/>
              <w:jc w:val="left"/>
            </w:pPr>
            <w:r>
              <w:t xml:space="preserve">80 Wochen</w:t>
            </w:r>
          </w:p>
        </w:tc>
        <w:tc>
          <w:tcPr/>
          <w:p>
            <w:pPr>
              <w:pStyle w:val="Compact"/>
              <w:jc w:val="left"/>
            </w:pPr>
            <w:r>
              <w:t xml:space="preserve">−25,0 % vs. −3,9 %</w:t>
            </w:r>
          </w:p>
        </w:tc>
      </w:tr>
      <w:tr>
        <w:tc>
          <w:tcPr/>
          <w:p>
            <w:pPr>
              <w:pStyle w:val="Compact"/>
              <w:jc w:val="left"/>
            </w:pPr>
            <w:r>
              <w:t xml:space="preserve">Survodutid 6,0 mg</w:t>
            </w:r>
          </w:p>
        </w:tc>
        <w:tc>
          <w:tcPr/>
          <w:p>
            <w:pPr>
              <w:pStyle w:val="Compact"/>
              <w:jc w:val="left"/>
            </w:pPr>
            <w:r>
              <w:t xml:space="preserve">SYNCHRONIZE-1 (le Roux 2026), PMID 42253238</w:t>
            </w:r>
          </w:p>
        </w:tc>
        <w:tc>
          <w:tcPr/>
          <w:p>
            <w:pPr>
              <w:pStyle w:val="Compact"/>
              <w:jc w:val="left"/>
            </w:pPr>
            <w:r>
              <w:t xml:space="preserve">76 Wochen</w:t>
            </w:r>
          </w:p>
        </w:tc>
        <w:tc>
          <w:tcPr/>
          <w:p>
            <w:pPr>
              <w:pStyle w:val="Compact"/>
              <w:jc w:val="left"/>
            </w:pPr>
            <w:r>
              <w:t xml:space="preserve">−13,0 % vs. −5,4 %</w:t>
            </w:r>
          </w:p>
        </w:tc>
      </w:tr>
      <w:tr>
        <w:tc>
          <w:tcPr/>
          <w:p>
            <w:pPr>
              <w:pStyle w:val="Compact"/>
              <w:jc w:val="left"/>
            </w:pPr>
            <w:r>
              <w:t xml:space="preserve">Mazdutid 6 mg</w:t>
            </w:r>
          </w:p>
        </w:tc>
        <w:tc>
          <w:tcPr/>
          <w:p>
            <w:pPr>
              <w:pStyle w:val="Compact"/>
              <w:jc w:val="left"/>
            </w:pPr>
            <w:r>
              <w:t xml:space="preserve">GLORY-1 (Ji 2025), PMID 40421736</w:t>
            </w:r>
          </w:p>
        </w:tc>
        <w:tc>
          <w:tcPr/>
          <w:p>
            <w:pPr>
              <w:pStyle w:val="Compact"/>
              <w:jc w:val="left"/>
            </w:pPr>
            <w:r>
              <w:t xml:space="preserve">48 Wochen</w:t>
            </w:r>
          </w:p>
        </w:tc>
        <w:tc>
          <w:tcPr/>
          <w:p>
            <w:pPr>
              <w:pStyle w:val="Compact"/>
              <w:jc w:val="left"/>
            </w:pPr>
            <w:r>
              <w:t xml:space="preserve">−14,0 % vs. +0,3 %</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−12,3 bis −16,2 % vs. −2,5 %</w:t>
            </w:r>
          </w:p>
        </w:tc>
      </w:tr>
      <w:tr>
        <w:tc>
          <w:tcPr/>
          <w:p>
            <w:pPr>
              <w:pStyle w:val="Compact"/>
              <w:jc w:val="left"/>
            </w:pPr>
            <w:r>
              <w:t xml:space="preserve">Amycretin (Spritze)</w:t>
            </w:r>
          </w:p>
        </w:tc>
        <w:tc>
          <w:tcPr/>
          <w:p>
            <w:pPr>
              <w:pStyle w:val="Compact"/>
              <w:jc w:val="left"/>
            </w:pPr>
            <w:r>
              <w:t xml:space="preserve">Phase 1b/2a (Dahl 2025), PMID 40550231</w:t>
            </w:r>
          </w:p>
        </w:tc>
        <w:tc>
          <w:tcPr/>
          <w:p>
            <w:pPr>
              <w:pStyle w:val="Compact"/>
              <w:jc w:val="left"/>
            </w:pPr>
            <w:r>
              <w:t xml:space="preserve">36 Wochen</w:t>
            </w:r>
          </w:p>
        </w:tc>
        <w:tc>
          <w:tcPr/>
          <w:p>
            <w:pPr>
              <w:pStyle w:val="Compact"/>
              <w:jc w:val="left"/>
            </w:pPr>
            <w:r>
              <w:t xml:space="preserve">bis −24,3 % vs. −1,1 %</w:t>
            </w:r>
          </w:p>
        </w:tc>
      </w:tr>
      <w:tr>
        <w:tc>
          <w:tcPr/>
          <w:p>
            <w:pPr>
              <w:pStyle w:val="Compact"/>
              <w:jc w:val="left"/>
            </w:pPr>
            <w:r>
              <w:t xml:space="preserve">Orforglipron 36 mg (Tablette, kein Peptid)</w:t>
            </w:r>
          </w:p>
        </w:tc>
        <w:tc>
          <w:tcPr/>
          <w:p>
            <w:pPr>
              <w:pStyle w:val="Compact"/>
              <w:jc w:val="left"/>
            </w:pPr>
            <w:r>
              <w:t xml:space="preserve">ATTAIN-1 (Wharton 2025), PMID 40960239</w:t>
            </w:r>
          </w:p>
        </w:tc>
        <w:tc>
          <w:tcPr/>
          <w:p>
            <w:pPr>
              <w:pStyle w:val="Compact"/>
              <w:jc w:val="left"/>
            </w:pPr>
            <w:r>
              <w:t xml:space="preserve">72 Wochen</w:t>
            </w:r>
          </w:p>
        </w:tc>
        <w:tc>
          <w:tcPr/>
          <w:p>
            <w:pPr>
              <w:pStyle w:val="Compact"/>
              <w:jc w:val="left"/>
            </w:pPr>
            <w:r>
              <w:t xml:space="preserve">−11,2 % vs. −2,1 %</w:t>
            </w:r>
          </w:p>
        </w:tc>
      </w:tr>
    </w:tbl>
    <w:p>
      <w:pPr>
        <w:pStyle w:val="BodyText"/>
      </w:pPr>
      <w:r>
        <w:t xml:space="preserve">Zur Einordnung der einzelnen Zeilen:</w:t>
      </w:r>
    </w:p>
    <w:p>
      <w:pPr>
        <w:numPr>
          <w:ilvl w:val="0"/>
          <w:numId w:val="1326"/>
        </w:numPr>
        <w:pStyle w:val="Compact"/>
      </w:pPr>
      <w:r>
        <w:rPr>
          <w:bCs/>
          <w:b/>
        </w:rPr>
        <w:t xml:space="preserve">Liraglutid</w:t>
      </w:r>
      <w:r>
        <w:t xml:space="preserve"> </w:t>
      </w:r>
      <w:r>
        <w:t xml:space="preserve">ist der einzige Wirkstoff, für den die Zulassungsstudie den Verlust in Kilogramm als Hauptergebnis angibt; bei einem Ausgangsgewicht von 106,2 kg entspricht das grob 8 %. In der direkten Vergleichsstudie STEP 8 waren es −6,4 % (siehe unten).</w:t>
      </w:r>
    </w:p>
    <w:p>
      <w:pPr>
        <w:numPr>
          <w:ilvl w:val="0"/>
          <w:numId w:val="1326"/>
        </w:numPr>
        <w:pStyle w:val="Compact"/>
      </w:pPr>
      <w:r>
        <w:rPr>
          <w:bCs/>
          <w:b/>
        </w:rPr>
        <w:t xml:space="preserve">Retatrutid, CagriSema, Survodutid, Maridebart Cafraglutid und Amycretin</w:t>
      </w:r>
      <w:r>
        <w:t xml:space="preserve"> </w:t>
      </w:r>
      <w:r>
        <w:t xml:space="preserve">sind nicht zugelassen (Stand Oktober 2026). Für Maridebart Cafraglutid und Amycretin liegen nur Phase-2-Daten vor; die Amycretin-Studie umfasste 125 Personen, und der Wert gilt für die höchste Dosis einer Dosisfindungsstudie.</w:t>
      </w:r>
    </w:p>
    <w:p>
      <w:pPr>
        <w:numPr>
          <w:ilvl w:val="0"/>
          <w:numId w:val="1326"/>
        </w:numPr>
        <w:pStyle w:val="Compact"/>
      </w:pPr>
      <w:r>
        <w:rPr>
          <w:bCs/>
          <w:b/>
        </w:rPr>
        <w:t xml:space="preserve">Mazdutid</w:t>
      </w:r>
      <w:r>
        <w:t xml:space="preserve"> </w:t>
      </w:r>
      <w:r>
        <w:t xml:space="preserve">ist nur in China zugelassen. GLORY-1 schloss nach chinesischen Kriterien Menschen ab einem BMI von 28 (oder 24 mit Begleiterkrankung) ein, das mittlere Ausgangsgewicht lag bei 87,2 kg. In GLORY-2 mit einer höheren Dosis waren es nach 60 Wochen −16,65 % gegenüber −1,50 %</w:t>
      </w:r>
      <w:r>
        <w:rPr>
          <w:rStyle w:val="FootnoteReference"/>
        </w:rPr>
        <w:footnoteReference w:id="2538"/>
      </w:r>
      <w:r>
        <w:t xml:space="preserve">.</w:t>
      </w:r>
    </w:p>
    <w:p>
      <w:pPr>
        <w:numPr>
          <w:ilvl w:val="0"/>
          <w:numId w:val="1326"/>
        </w:numPr>
        <w:pStyle w:val="Compact"/>
      </w:pPr>
      <w:r>
        <w:rPr>
          <w:bCs/>
          <w:b/>
        </w:rPr>
        <w:t xml:space="preserve">Survodutid</w:t>
      </w:r>
      <w:r>
        <w:t xml:space="preserve"> </w:t>
      </w:r>
      <w:r>
        <w:t xml:space="preserve">fällt durch die hohe Placeboabnahme von 5,4 % auf; die Hauptanalyse berücksichtigte ausdrücklich auch Abbrüche und verlängerte Aufdosierungen.</w:t>
      </w:r>
    </w:p>
    <w:p>
      <w:pPr>
        <w:pStyle w:val="FirstParagraph"/>
      </w:pPr>
      <w:r>
        <w:t xml:space="preserve">Auffällig ist eine Stufenfolge: Reine GLP-1-Agonisten erreichen im Mittel etwa 8 bis 15 %, die höhere Semaglutid-Dosis knapp 19 %, Kombinationen mit GIP oder Amylin rund 20 %, der Dreifach-Agonist Retatrutid 25 %. Diese Reihenfolge wird durch die Direktvergleiche SURMOUNT-5, STEP 8 und REDEFINE 5 gestützt; für Retatrutid steht der direkte Vergleich mit Tirzepatid noch aus</w:t>
      </w:r>
      <w:r>
        <w:rPr>
          <w:rStyle w:val="FootnoteReference"/>
        </w:rPr>
        <w:footnoteReference w:id="2539"/>
      </w:r>
      <w:r>
        <w:t xml:space="preserve">.</w:t>
      </w:r>
    </w:p>
    <w:bookmarkStart w:id="2540" w:name="Xb1b6f8bc1e10884e49547a9c172587372959a43"/>
    <w:p>
      <w:pPr>
        <w:pStyle w:val="Heading4"/>
      </w:pPr>
      <w:r>
        <w:t xml:space="preserve">Mit Typ-2-Diabetes fällt der Gewichtsverlust geringer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Diabetes (Davies 2015), PMID 26284720</w:t>
            </w:r>
          </w:p>
        </w:tc>
        <w:tc>
          <w:tcPr/>
          <w:p>
            <w:pPr>
              <w:pStyle w:val="Compact"/>
              <w:jc w:val="left"/>
            </w:pPr>
            <w:r>
              <w:t xml:space="preserve">56 Wochen</w:t>
            </w:r>
          </w:p>
        </w:tc>
        <w:tc>
          <w:tcPr/>
          <w:p>
            <w:pPr>
              <w:pStyle w:val="Compact"/>
              <w:jc w:val="left"/>
            </w:pPr>
            <w:r>
              <w:t xml:space="preserve">−6,0 % vs. −2,0 %</w:t>
            </w:r>
          </w:p>
        </w:tc>
      </w:tr>
      <w:tr>
        <w:tc>
          <w:tcPr/>
          <w:p>
            <w:pPr>
              <w:pStyle w:val="Compact"/>
              <w:jc w:val="left"/>
            </w:pPr>
            <w:r>
              <w:t xml:space="preserve">Semaglutid 2,4 mg</w:t>
            </w:r>
          </w:p>
        </w:tc>
        <w:tc>
          <w:tcPr/>
          <w:p>
            <w:pPr>
              <w:pStyle w:val="Compact"/>
              <w:jc w:val="left"/>
            </w:pPr>
            <w:r>
              <w:t xml:space="preserve">STEP 2 (Davies 2021), PMID 33667417</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Tirzepatid 10/15 mg</w:t>
            </w:r>
          </w:p>
        </w:tc>
        <w:tc>
          <w:tcPr/>
          <w:p>
            <w:pPr>
              <w:pStyle w:val="Compact"/>
              <w:jc w:val="left"/>
            </w:pPr>
            <w:r>
              <w:t xml:space="preserve">SURMOUNT-2 (Garvey 2023), PMID 37385275</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Retatrutid 12 mg</w:t>
            </w:r>
          </w:p>
        </w:tc>
        <w:tc>
          <w:tcPr/>
          <w:p>
            <w:pPr>
              <w:pStyle w:val="Compact"/>
              <w:jc w:val="left"/>
            </w:pPr>
            <w:r>
              <w:t xml:space="preserve">TRIUMPH-2 (Bellido 2026), PMID 42810372</w:t>
            </w:r>
          </w:p>
        </w:tc>
        <w:tc>
          <w:tcPr/>
          <w:p>
            <w:pPr>
              <w:pStyle w:val="Compact"/>
              <w:jc w:val="left"/>
            </w:pPr>
            <w:r>
              <w:t xml:space="preserve">80 Wochen</w:t>
            </w:r>
          </w:p>
        </w:tc>
        <w:tc>
          <w:tcPr/>
          <w:p>
            <w:pPr>
              <w:pStyle w:val="Compact"/>
              <w:jc w:val="left"/>
            </w:pPr>
            <w:r>
              <w:t xml:space="preserve">−18,8 % vs. −5,1 %</w:t>
            </w:r>
          </w:p>
        </w:tc>
      </w:tr>
      <w:tr>
        <w:tc>
          <w:tcPr/>
          <w:p>
            <w:pPr>
              <w:pStyle w:val="Compact"/>
              <w:jc w:val="left"/>
            </w:pPr>
            <w:r>
              <w:t xml:space="preserve">Survodutid</w:t>
            </w:r>
          </w:p>
        </w:tc>
        <w:tc>
          <w:tcPr/>
          <w:p>
            <w:pPr>
              <w:pStyle w:val="Compact"/>
              <w:jc w:val="left"/>
            </w:pPr>
            <w:r>
              <w:t xml:space="preserve">SYNCHRONIZE-2 (Wharton 2026), PMID 42820639</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Wochen</w:t>
            </w:r>
          </w:p>
        </w:tc>
        <w:tc>
          <w:tcPr/>
          <w:p>
            <w:pPr>
              <w:pStyle w:val="Compact"/>
              <w:jc w:val="left"/>
            </w:pPr>
            <w:r>
              <w:t xml:space="preserve">−5,1 bis −9,6 % vs. −2,5 %</w:t>
            </w:r>
          </w:p>
        </w:tc>
      </w:tr>
    </w:tbl>
    <w:p>
      <w:pPr>
        <w:pStyle w:val="BodyText"/>
      </w:pPr>
      <w:r>
        <w:t xml:space="preserve">Bei jedem Wirkstoff liegt der Wert mit Diabetes deutlich niedriger als ohne, meist um ein Viertel bis ein Drittel. Dieses Muster ist so konstant, dass ein Vergleich einer Diabetesstudie mit einer Adipositasstudie ohne Diabetes immer in die Irre führt.</w:t>
      </w:r>
    </w:p>
    <w:bookmarkEnd w:id="2540"/>
    <w:bookmarkStart w:id="2543" w:name="nach-dem-absetzen"/>
    <w:p>
      <w:pPr>
        <w:pStyle w:val="Heading4"/>
      </w:pPr>
      <w:r>
        <w:t xml:space="preserve">Nach dem Absetzen</w:t>
      </w:r>
    </w:p>
    <w:p>
      <w:pPr>
        <w:pStyle w:val="FirstParagraph"/>
      </w:pPr>
      <w:r>
        <w:t xml:space="preserve">Zwei Studien haben gezielt untersucht, was nach dem Absetzen geschieht. In STEP 4 erhielten alle Teilnehmenden zunächst 20 Wochen Semaglutid; danach nahm die Gruppe, die auf Placebo wechselte, in 48 Wochen um 6,9 % wieder zu, während die Gruppe mit Semaglutid weitere 7,9 % verlor</w:t>
      </w:r>
      <w:r>
        <w:rPr>
          <w:rStyle w:val="FootnoteReference"/>
        </w:rPr>
        <w:footnoteReference w:id="2541"/>
      </w:r>
      <w:r>
        <w:t xml:space="preserve">. In SURMOUNT-4 nahm die Placebogruppe nach 36 Wochen Tirzepatid in den folgenden 52 Wochen um 14,0 % wieder zu</w:t>
      </w:r>
      <w:r>
        <w:rPr>
          <w:rStyle w:val="FootnoteReference"/>
        </w:rPr>
        <w:footnoteReference w:id="2542"/>
      </w:r>
      <w:r>
        <w:t xml:space="preserve">. Für beide Wirkstoffe gilt: Die Wirkung hält nur an, solange behandelt wird. Für die neueren Wirkstoffe gibt es dazu noch keine veröffentlichten Daten.</w:t>
      </w:r>
    </w:p>
    <w:bookmarkEnd w:id="2543"/>
    <w:bookmarkEnd w:id="2544"/>
    <w:bookmarkStart w:id="2546" w:name="blutzucker-hba1c"/>
    <w:p>
      <w:pPr>
        <w:pStyle w:val="Heading3"/>
      </w:pPr>
      <w:r>
        <w:t xml:space="preserve">Blutzucker: HbA1c</w:t>
      </w:r>
    </w:p>
    <w:p>
      <w:pPr>
        <w:pStyle w:val="FirstParagraph"/>
      </w:pPr>
      <w:r>
        <w:t xml:space="preserve">Der HbA1c-Wert („Langzeitzucker“) gibt an, welcher Anteil des roten Blutfarbstoffs mit Zucker beladen ist, und spiegelt den mittleren Blutzucker der letzten zwei bis drei Monate wider. Eine Senkung um einen Prozentpunkt gilt als klinisch bedeutsam. Wie stark der Wert sinkt, hängt stark vom Ausgangswert ab: Wer mit 9 % beginnt, kann mehr verlieren als jemand mit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HbA1c-Veränderung (Prozentpunkte)</w:t>
            </w:r>
          </w:p>
        </w:tc>
      </w:tr>
      <w:tr>
        <w:tc>
          <w:tcPr/>
          <w:p>
            <w:pPr>
              <w:pStyle w:val="Compact"/>
              <w:jc w:val="left"/>
            </w:pPr>
            <w:r>
              <w:t xml:space="preserve">Exenatid zweimal täglich</w:t>
            </w:r>
          </w:p>
        </w:tc>
        <w:tc>
          <w:tcPr/>
          <w:p>
            <w:pPr>
              <w:pStyle w:val="Compact"/>
              <w:jc w:val="left"/>
            </w:pPr>
            <w:r>
              <w:t xml:space="preserve">DeFronzo 2005, PMID 15855572</w:t>
            </w:r>
          </w:p>
        </w:tc>
        <w:tc>
          <w:tcPr/>
          <w:p>
            <w:pPr>
              <w:pStyle w:val="Compact"/>
              <w:jc w:val="left"/>
            </w:pPr>
            <w:r>
              <w:t xml:space="preserve">30 Wochen</w:t>
            </w:r>
          </w:p>
        </w:tc>
        <w:tc>
          <w:tcPr/>
          <w:p>
            <w:pPr>
              <w:pStyle w:val="Compact"/>
              <w:jc w:val="left"/>
            </w:pPr>
            <w:r>
              <w:t xml:space="preserve">−0,78 vs. +0,08 (Placebo)</w:t>
            </w:r>
          </w:p>
        </w:tc>
      </w:tr>
      <w:tr>
        <w:tc>
          <w:tcPr/>
          <w:p>
            <w:pPr>
              <w:pStyle w:val="Compact"/>
              <w:jc w:val="left"/>
            </w:pPr>
            <w:r>
              <w:t xml:space="preserve">Pramlintid</w:t>
            </w:r>
          </w:p>
        </w:tc>
        <w:tc>
          <w:tcPr/>
          <w:p>
            <w:pPr>
              <w:pStyle w:val="Compact"/>
              <w:jc w:val="left"/>
            </w:pPr>
            <w:r>
              <w:t xml:space="preserve">Hollander 2003, PMID 12610038</w:t>
            </w:r>
          </w:p>
        </w:tc>
        <w:tc>
          <w:tcPr/>
          <w:p>
            <w:pPr>
              <w:pStyle w:val="Compact"/>
              <w:jc w:val="left"/>
            </w:pPr>
            <w:r>
              <w:t xml:space="preserve">52 Wochen</w:t>
            </w:r>
          </w:p>
        </w:tc>
        <w:tc>
          <w:tcPr/>
          <w:p>
            <w:pPr>
              <w:pStyle w:val="Compact"/>
              <w:jc w:val="left"/>
            </w:pPr>
            <w:r>
              <w:t xml:space="preserve">−0,62 (zusätzlich zu Insulin)</w:t>
            </w:r>
          </w:p>
        </w:tc>
      </w:tr>
      <w:tr>
        <w:tc>
          <w:tcPr/>
          <w:p>
            <w:pPr>
              <w:pStyle w:val="Compact"/>
              <w:jc w:val="left"/>
            </w:pPr>
            <w:r>
              <w:t xml:space="preserve">Liraglutid 1,8 mg</w:t>
            </w:r>
          </w:p>
        </w:tc>
        <w:tc>
          <w:tcPr/>
          <w:p>
            <w:pPr>
              <w:pStyle w:val="Compact"/>
              <w:jc w:val="left"/>
            </w:pPr>
            <w:r>
              <w:t xml:space="preserve">LEAD-3 (Garber 2009), PMID 18819705</w:t>
            </w:r>
          </w:p>
        </w:tc>
        <w:tc>
          <w:tcPr/>
          <w:p>
            <w:pPr>
              <w:pStyle w:val="Compact"/>
              <w:jc w:val="left"/>
            </w:pPr>
            <w:r>
              <w:t xml:space="preserve">52 Wochen</w:t>
            </w:r>
          </w:p>
        </w:tc>
        <w:tc>
          <w:tcPr/>
          <w:p>
            <w:pPr>
              <w:pStyle w:val="Compact"/>
              <w:jc w:val="left"/>
            </w:pPr>
            <w:r>
              <w:t xml:space="preserve">−1,14 vs. −0,51 (Glimepirid)</w:t>
            </w:r>
          </w:p>
        </w:tc>
      </w:tr>
      <w:tr>
        <w:tc>
          <w:tcPr/>
          <w:p>
            <w:pPr>
              <w:pStyle w:val="Compact"/>
              <w:jc w:val="left"/>
            </w:pPr>
            <w:r>
              <w:t xml:space="preserve">Dulaglutid 4,5 mg</w:t>
            </w:r>
          </w:p>
        </w:tc>
        <w:tc>
          <w:tcPr/>
          <w:p>
            <w:pPr>
              <w:pStyle w:val="Compact"/>
              <w:jc w:val="left"/>
            </w:pPr>
            <w:r>
              <w:t xml:space="preserve">AWARD-11 (Frias 2021), PMID 33397768</w:t>
            </w:r>
          </w:p>
        </w:tc>
        <w:tc>
          <w:tcPr/>
          <w:p>
            <w:pPr>
              <w:pStyle w:val="Compact"/>
              <w:jc w:val="left"/>
            </w:pPr>
            <w:r>
              <w:t xml:space="preserve">36 Wochen</w:t>
            </w:r>
          </w:p>
        </w:tc>
        <w:tc>
          <w:tcPr/>
          <w:p>
            <w:pPr>
              <w:pStyle w:val="Compact"/>
              <w:jc w:val="left"/>
            </w:pPr>
            <w:r>
              <w:t xml:space="preserve">−1,77 vs. −1,54 (1,5 mg)</w:t>
            </w:r>
          </w:p>
        </w:tc>
      </w:tr>
      <w:tr>
        <w:tc>
          <w:tcPr/>
          <w:p>
            <w:pPr>
              <w:pStyle w:val="Compact"/>
              <w:jc w:val="left"/>
            </w:pPr>
            <w:r>
              <w:t xml:space="preserve">Semaglutid 1,0 mg</w:t>
            </w:r>
          </w:p>
        </w:tc>
        <w:tc>
          <w:tcPr/>
          <w:p>
            <w:pPr>
              <w:pStyle w:val="Compact"/>
              <w:jc w:val="left"/>
            </w:pPr>
            <w:r>
              <w:t xml:space="preserve">SUSTAIN 1 (Sorli 2017), PMID 28110911</w:t>
            </w:r>
          </w:p>
        </w:tc>
        <w:tc>
          <w:tcPr/>
          <w:p>
            <w:pPr>
              <w:pStyle w:val="Compact"/>
              <w:jc w:val="left"/>
            </w:pPr>
            <w:r>
              <w:t xml:space="preserve">30 Wochen</w:t>
            </w:r>
          </w:p>
        </w:tc>
        <w:tc>
          <w:tcPr/>
          <w:p>
            <w:pPr>
              <w:pStyle w:val="Compact"/>
              <w:jc w:val="left"/>
            </w:pPr>
            <w:r>
              <w:t xml:space="preserve">−1,55 vs. −0,02 (Placebo)</w:t>
            </w:r>
          </w:p>
        </w:tc>
      </w:tr>
      <w:tr>
        <w:tc>
          <w:tcPr/>
          <w:p>
            <w:pPr>
              <w:pStyle w:val="Compact"/>
              <w:jc w:val="left"/>
            </w:pPr>
            <w:r>
              <w:t xml:space="preserve">Semaglutid 2,0 mg</w:t>
            </w:r>
          </w:p>
        </w:tc>
        <w:tc>
          <w:tcPr/>
          <w:p>
            <w:pPr>
              <w:pStyle w:val="Compact"/>
              <w:jc w:val="left"/>
            </w:pPr>
            <w:r>
              <w:t xml:space="preserve">SUSTAIN FORTE (Frías 2021), PMID 34293304</w:t>
            </w:r>
          </w:p>
        </w:tc>
        <w:tc>
          <w:tcPr/>
          <w:p>
            <w:pPr>
              <w:pStyle w:val="Compact"/>
              <w:jc w:val="left"/>
            </w:pPr>
            <w:r>
              <w:t xml:space="preserve">40 Wochen</w:t>
            </w:r>
          </w:p>
        </w:tc>
        <w:tc>
          <w:tcPr/>
          <w:p>
            <w:pPr>
              <w:pStyle w:val="Compact"/>
              <w:jc w:val="left"/>
            </w:pPr>
            <w:r>
              <w:t xml:space="preserve">−2,2 vs. −1,9 (1,0 mg)</w:t>
            </w:r>
          </w:p>
        </w:tc>
      </w:tr>
      <w:tr>
        <w:tc>
          <w:tcPr/>
          <w:p>
            <w:pPr>
              <w:pStyle w:val="Compact"/>
              <w:jc w:val="left"/>
            </w:pPr>
            <w:r>
              <w:t xml:space="preserve">Tirzepatid 5–15 mg</w:t>
            </w:r>
          </w:p>
        </w:tc>
        <w:tc>
          <w:tcPr/>
          <w:p>
            <w:pPr>
              <w:pStyle w:val="Compact"/>
              <w:jc w:val="left"/>
            </w:pPr>
            <w:r>
              <w:t xml:space="preserve">SURPASS-1 (Rosenstock 2021), PMID 34186022</w:t>
            </w:r>
          </w:p>
        </w:tc>
        <w:tc>
          <w:tcPr/>
          <w:p>
            <w:pPr>
              <w:pStyle w:val="Compact"/>
              <w:jc w:val="left"/>
            </w:pPr>
            <w:r>
              <w:t xml:space="preserve">40 Wochen</w:t>
            </w:r>
          </w:p>
        </w:tc>
        <w:tc>
          <w:tcPr/>
          <w:p>
            <w:pPr>
              <w:pStyle w:val="Compact"/>
              <w:jc w:val="left"/>
            </w:pPr>
            <w:r>
              <w:t xml:space="preserve">−1,87 bis −2,07 vs. +0,04 (Placebo)</w:t>
            </w:r>
          </w:p>
        </w:tc>
      </w:tr>
      <w:tr>
        <w:tc>
          <w:tcPr/>
          <w:p>
            <w:pPr>
              <w:pStyle w:val="Compact"/>
              <w:jc w:val="left"/>
            </w:pPr>
            <w:r>
              <w:t xml:space="preserve">Retatrutid</w:t>
            </w:r>
          </w:p>
        </w:tc>
        <w:tc>
          <w:tcPr/>
          <w:p>
            <w:pPr>
              <w:pStyle w:val="Compact"/>
              <w:jc w:val="left"/>
            </w:pPr>
            <w:r>
              <w:t xml:space="preserve">TRANSCEND-T2D-1 (Bajaj 2026), PMID 42250575</w:t>
            </w:r>
          </w:p>
        </w:tc>
        <w:tc>
          <w:tcPr/>
          <w:p>
            <w:pPr>
              <w:pStyle w:val="Compact"/>
              <w:jc w:val="left"/>
            </w:pPr>
            <w:r>
              <w:t xml:space="preserve">40 Wochen</w:t>
            </w:r>
          </w:p>
        </w:tc>
        <w:tc>
          <w:tcPr/>
          <w:p>
            <w:pPr>
              <w:pStyle w:val="Compact"/>
              <w:jc w:val="left"/>
            </w:pPr>
            <w:r>
              <w:t xml:space="preserve">−1,69 bis −1,94 vs. −0,81 (Placebo)</w:t>
            </w:r>
          </w:p>
        </w:tc>
      </w:tr>
      <w:tr>
        <w:tc>
          <w:tcPr/>
          <w:p>
            <w:pPr>
              <w:pStyle w:val="Compact"/>
              <w:jc w:val="left"/>
            </w:pPr>
            <w:r>
              <w:t xml:space="preserve">Mazdutid</w:t>
            </w:r>
          </w:p>
        </w:tc>
        <w:tc>
          <w:tcPr/>
          <w:p>
            <w:pPr>
              <w:pStyle w:val="Compact"/>
              <w:jc w:val="left"/>
            </w:pPr>
            <w:r>
              <w:t xml:space="preserve">DREAMS-1 (Zhu 2026), PMID 41407859</w:t>
            </w:r>
          </w:p>
        </w:tc>
        <w:tc>
          <w:tcPr/>
          <w:p>
            <w:pPr>
              <w:pStyle w:val="Compact"/>
              <w:jc w:val="left"/>
            </w:pPr>
            <w:r>
              <w:t xml:space="preserve">24 Wochen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Wochen</w:t>
            </w:r>
          </w:p>
        </w:tc>
        <w:tc>
          <w:tcPr/>
          <w:p>
            <w:pPr>
              <w:pStyle w:val="Compact"/>
              <w:jc w:val="left"/>
            </w:pPr>
            <w:r>
              <w:t xml:space="preserve">−1,8 vs. −0,1 (Placebo)</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 bis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Wochen</w:t>
            </w:r>
          </w:p>
        </w:tc>
        <w:tc>
          <w:tcPr/>
          <w:p>
            <w:pPr>
              <w:pStyle w:val="Compact"/>
              <w:jc w:val="left"/>
            </w:pPr>
            <w:r>
              <w:t xml:space="preserve">−1,24 bis −1,48 vs. −0,41 (Placebo)</w:t>
            </w:r>
          </w:p>
        </w:tc>
      </w:tr>
    </w:tbl>
    <w:p>
      <w:pPr>
        <w:pStyle w:val="BodyText"/>
      </w:pPr>
      <w:r>
        <w:t xml:space="preserve">Die älteren Wirkstoffe Exenatid und Pramlintid senken den HbA1c-Wert um weniger als einen Prozentpunkt, die wöchentlichen GLP-1-Agonisten um etwa 1,5 Punkte, Tirzepatid und die neueren Mehrfach-Agonisten um rund 2 Punkte. Beim Blutzucker sind die Unterschiede zwischen den neueren Wirkstoffen kleiner als beim Gewicht. Besonders deutlich zeigt das REIMAGINE 2: Dort senkte CagriSema den HbA1c-Wert nur um 0,16 Prozentpunkte stärker als Semaglutid 2,4 mg allein (−1,91 vs. −1,75; Buse 2026, PMID 42251859). Der Zusatz von Amylin wirkt also vor allem auf das Gewicht.</w:t>
      </w:r>
    </w:p>
    <w:p>
      <w:pPr>
        <w:pStyle w:val="BodyText"/>
      </w:pPr>
      <w:r>
        <w:t xml:space="preserve">Ein wichtiger Unterschied betrifft die Unterzuckerung. Weil GLP-1 die Insulinausschüttung nur bei erhöhtem Blutzucker verstärkt, sind Unterzuckerungen unter diesen Medikamenten allein selten. Sie werden häufiger, wenn gleichzeitig Insulin oder Sulfonylharnstoffe eingenommen werden. Bei Pramlintid, das nur zusätzlich zu Mahlzeiteninsulin verwendet wird, ist schwere Unterzuckerung das wichtigste Risiko</w:t>
      </w:r>
      <w:r>
        <w:rPr>
          <w:rStyle w:val="FootnoteReference"/>
        </w:rPr>
        <w:footnoteReference w:id="2545"/>
      </w:r>
      <w:r>
        <w:t xml:space="preserve">.</w:t>
      </w:r>
    </w:p>
    <w:bookmarkEnd w:id="2546"/>
    <w:bookmarkStart w:id="2554" w:name="herz-kreislauf-endpunktstudien"/>
    <w:p>
      <w:pPr>
        <w:pStyle w:val="Heading3"/>
      </w:pPr>
      <w:r>
        <w:t xml:space="preserve">Herz-Kreislauf-Endpunktstudien</w:t>
      </w:r>
    </w:p>
    <w:p>
      <w:pPr>
        <w:pStyle w:val="FirstParagraph"/>
      </w:pPr>
      <w:r>
        <w:t xml:space="preserve">Endpunktstudien messen nicht Laborwerte, sondern Ereignisse, die für Patientinnen und Patienten zählen: Herz-Kreislauf-Tod, Herzinfarkt und Schlaganfall, zusammengefasst als „MACE“ (major adverse cardiovascular events). Das Hazard Ratio (HR) gibt an, wie hoch das Risiko im Vergleich zur Kontrollgruppe war; 0,80 bedeutet ein um 20 % niedrigeres relatives 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(Wirkstoff)</w:t>
            </w:r>
          </w:p>
        </w:tc>
        <w:tc>
          <w:tcPr/>
          <w:p>
            <w:pPr>
              <w:pStyle w:val="Compact"/>
              <w:jc w:val="left"/>
            </w:pPr>
            <w:r>
              <w:t xml:space="preserve">Teilnehmende</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(Liraglutid; Marso 2016), PMID 27295427</w:t>
            </w:r>
          </w:p>
        </w:tc>
        <w:tc>
          <w:tcPr/>
          <w:p>
            <w:pPr>
              <w:pStyle w:val="Compact"/>
              <w:jc w:val="left"/>
            </w:pPr>
            <w:r>
              <w:t xml:space="preserve">9.340 mit Typ-2-Diabetes und hohem Risiko</w:t>
            </w:r>
          </w:p>
        </w:tc>
        <w:tc>
          <w:tcPr/>
          <w:p>
            <w:pPr>
              <w:pStyle w:val="Compact"/>
              <w:jc w:val="left"/>
            </w:pPr>
            <w:r>
              <w:t xml:space="preserve">median 3,8 Jahre</w:t>
            </w:r>
          </w:p>
        </w:tc>
        <w:tc>
          <w:tcPr/>
          <w:p>
            <w:pPr>
              <w:pStyle w:val="Compact"/>
              <w:jc w:val="left"/>
            </w:pPr>
            <w:r>
              <w:t xml:space="preserve">13,0 % vs. 14,9 %; HR 0,87</w:t>
            </w:r>
          </w:p>
        </w:tc>
      </w:tr>
      <w:tr>
        <w:tc>
          <w:tcPr/>
          <w:p>
            <w:pPr>
              <w:pStyle w:val="Compact"/>
              <w:jc w:val="left"/>
            </w:pPr>
            <w:r>
              <w:t xml:space="preserve">SUSTAIN 6 (Semaglutid; Marso 2016), PMID 27633186</w:t>
            </w:r>
          </w:p>
        </w:tc>
        <w:tc>
          <w:tcPr/>
          <w:p>
            <w:pPr>
              <w:pStyle w:val="Compact"/>
              <w:jc w:val="left"/>
            </w:pPr>
            <w:r>
              <w:t xml:space="preserve">3.297 mit Typ-2-Diabetes und hohem Risiko</w:t>
            </w:r>
          </w:p>
        </w:tc>
        <w:tc>
          <w:tcPr/>
          <w:p>
            <w:pPr>
              <w:pStyle w:val="Compact"/>
              <w:jc w:val="left"/>
            </w:pPr>
            <w:r>
              <w:t xml:space="preserve">104 Wochen</w:t>
            </w:r>
          </w:p>
        </w:tc>
        <w:tc>
          <w:tcPr/>
          <w:p>
            <w:pPr>
              <w:pStyle w:val="Compact"/>
              <w:jc w:val="left"/>
            </w:pPr>
            <w:r>
              <w:t xml:space="preserve">6,6 % vs. 8,9 %; HR 0,74</w:t>
            </w:r>
          </w:p>
        </w:tc>
      </w:tr>
      <w:tr>
        <w:tc>
          <w:tcPr/>
          <w:p>
            <w:pPr>
              <w:pStyle w:val="Compact"/>
              <w:jc w:val="left"/>
            </w:pPr>
            <w:r>
              <w:t xml:space="preserve">PIONEER 6 (Semaglutid-Tablette; Husain 2019), PMID 31185157</w:t>
            </w:r>
          </w:p>
        </w:tc>
        <w:tc>
          <w:tcPr/>
          <w:p>
            <w:pPr>
              <w:pStyle w:val="Compact"/>
              <w:jc w:val="left"/>
            </w:pPr>
            <w:r>
              <w:t xml:space="preserve">3.183 mit Typ-2-Diabetes und hohem Risiko</w:t>
            </w:r>
          </w:p>
        </w:tc>
        <w:tc>
          <w:tcPr/>
          <w:p>
            <w:pPr>
              <w:pStyle w:val="Compact"/>
              <w:jc w:val="left"/>
            </w:pPr>
            <w:r>
              <w:t xml:space="preserve">median 15,9 Monate</w:t>
            </w:r>
          </w:p>
        </w:tc>
        <w:tc>
          <w:tcPr/>
          <w:p>
            <w:pPr>
              <w:pStyle w:val="Compact"/>
              <w:jc w:val="left"/>
            </w:pPr>
            <w:r>
              <w:t xml:space="preserve">3,8 % vs. 4,8 %; HR 0,79, nur Nicht-Unterlegenheit gezeigt</w:t>
            </w:r>
          </w:p>
        </w:tc>
      </w:tr>
      <w:tr>
        <w:tc>
          <w:tcPr/>
          <w:p>
            <w:pPr>
              <w:pStyle w:val="Compact"/>
              <w:jc w:val="left"/>
            </w:pPr>
            <w:r>
              <w:t xml:space="preserve">SOUL (Semaglutid-Tablette; McGuire 2025), PMID 40162642</w:t>
            </w:r>
          </w:p>
        </w:tc>
        <w:tc>
          <w:tcPr/>
          <w:p>
            <w:pPr>
              <w:pStyle w:val="Compact"/>
              <w:jc w:val="left"/>
            </w:pPr>
            <w:r>
              <w:t xml:space="preserve">9.650 mit Typ-2-Diabetes und Gefäß- oder Nierenerkrankung</w:t>
            </w:r>
          </w:p>
        </w:tc>
        <w:tc>
          <w:tcPr/>
          <w:p>
            <w:pPr>
              <w:pStyle w:val="Compact"/>
              <w:jc w:val="left"/>
            </w:pPr>
            <w:r>
              <w:t xml:space="preserve">median 49,5 Monate</w:t>
            </w:r>
          </w:p>
        </w:tc>
        <w:tc>
          <w:tcPr/>
          <w:p>
            <w:pPr>
              <w:pStyle w:val="Compact"/>
              <w:jc w:val="left"/>
            </w:pPr>
            <w:r>
              <w:t xml:space="preserve">12,0 % vs. 13,8 %; HR 0,86</w:t>
            </w:r>
          </w:p>
        </w:tc>
      </w:tr>
      <w:tr>
        <w:tc>
          <w:tcPr/>
          <w:p>
            <w:pPr>
              <w:pStyle w:val="Compact"/>
              <w:jc w:val="left"/>
            </w:pPr>
            <w:r>
              <w:t xml:space="preserve">SELECT (Semaglutid 2,4 mg; Lincoff 2023), PMID 37952131</w:t>
            </w:r>
          </w:p>
        </w:tc>
        <w:tc>
          <w:tcPr/>
          <w:p>
            <w:pPr>
              <w:pStyle w:val="Compact"/>
              <w:jc w:val="left"/>
            </w:pPr>
            <w:r>
              <w:t xml:space="preserve">17.604 mit Übergewicht und Herz-Kreislauf-Erkrankung, ohne Diabetes</w:t>
            </w:r>
          </w:p>
        </w:tc>
        <w:tc>
          <w:tcPr/>
          <w:p>
            <w:pPr>
              <w:pStyle w:val="Compact"/>
              <w:jc w:val="left"/>
            </w:pPr>
            <w:r>
              <w:t xml:space="preserve">im Mittel 39,8 Monate</w:t>
            </w:r>
          </w:p>
        </w:tc>
        <w:tc>
          <w:tcPr/>
          <w:p>
            <w:pPr>
              <w:pStyle w:val="Compact"/>
              <w:jc w:val="left"/>
            </w:pPr>
            <w:r>
              <w:t xml:space="preserve">6,5 % vs. 8,0 %; HR 0,80</w:t>
            </w:r>
          </w:p>
        </w:tc>
      </w:tr>
      <w:tr>
        <w:tc>
          <w:tcPr/>
          <w:p>
            <w:pPr>
              <w:pStyle w:val="Compact"/>
              <w:jc w:val="left"/>
            </w:pPr>
            <w:r>
              <w:t xml:space="preserve">REWIND (Dulaglutid; Gerstein 2019), PMID 31189511</w:t>
            </w:r>
          </w:p>
        </w:tc>
        <w:tc>
          <w:tcPr/>
          <w:p>
            <w:pPr>
              <w:pStyle w:val="Compact"/>
              <w:jc w:val="left"/>
            </w:pPr>
            <w:r>
              <w:t xml:space="preserve">9.901 mit Typ-2-Diabetes, mit oder ohne Herz-Kreislauf-Vorerkrankung</w:t>
            </w:r>
          </w:p>
        </w:tc>
        <w:tc>
          <w:tcPr/>
          <w:p>
            <w:pPr>
              <w:pStyle w:val="Compact"/>
              <w:jc w:val="left"/>
            </w:pPr>
            <w:r>
              <w:t xml:space="preserve">median 5,4 Jahre</w:t>
            </w:r>
          </w:p>
        </w:tc>
        <w:tc>
          <w:tcPr/>
          <w:p>
            <w:pPr>
              <w:pStyle w:val="Compact"/>
              <w:jc w:val="left"/>
            </w:pPr>
            <w:r>
              <w:t xml:space="preserve">12,0 % vs. 13,4 %; HR 0,88</w:t>
            </w:r>
          </w:p>
        </w:tc>
      </w:tr>
      <w:tr>
        <w:tc>
          <w:tcPr/>
          <w:p>
            <w:pPr>
              <w:pStyle w:val="Compact"/>
              <w:jc w:val="left"/>
            </w:pPr>
            <w:r>
              <w:t xml:space="preserve">EXSCEL (Exenatid wöchentlich; Holman 2017), PMID 28910237</w:t>
            </w:r>
          </w:p>
        </w:tc>
        <w:tc>
          <w:tcPr/>
          <w:p>
            <w:pPr>
              <w:pStyle w:val="Compact"/>
              <w:jc w:val="left"/>
            </w:pPr>
            <w:r>
              <w:t xml:space="preserve">14.752 mit Typ-2-Diabetes</w:t>
            </w:r>
          </w:p>
        </w:tc>
        <w:tc>
          <w:tcPr/>
          <w:p>
            <w:pPr>
              <w:pStyle w:val="Compact"/>
              <w:jc w:val="left"/>
            </w:pPr>
            <w:r>
              <w:t xml:space="preserve">median 3,2 Jahre</w:t>
            </w:r>
          </w:p>
        </w:tc>
        <w:tc>
          <w:tcPr/>
          <w:p>
            <w:pPr>
              <w:pStyle w:val="Compact"/>
              <w:jc w:val="left"/>
            </w:pPr>
            <w:r>
              <w:t xml:space="preserve">11,4 % vs. 12,2 %; HR 0,91, Überlegenheit knapp verfehlt</w:t>
            </w:r>
          </w:p>
        </w:tc>
      </w:tr>
      <w:tr>
        <w:tc>
          <w:tcPr/>
          <w:p>
            <w:pPr>
              <w:pStyle w:val="Compact"/>
              <w:jc w:val="left"/>
            </w:pPr>
            <w:r>
              <w:t xml:space="preserve">SURPASS-CVOT (Tirzepatid gegen Dulaglutid; Nicholls 2025), PMID 41406444</w:t>
            </w:r>
          </w:p>
        </w:tc>
        <w:tc>
          <w:tcPr/>
          <w:p>
            <w:pPr>
              <w:pStyle w:val="Compact"/>
              <w:jc w:val="left"/>
            </w:pPr>
            <w:r>
              <w:t xml:space="preserve">13.165 mit Typ-2-Diabetes und Gefäßerkrankung</w:t>
            </w:r>
          </w:p>
        </w:tc>
        <w:tc>
          <w:tcPr/>
          <w:p>
            <w:pPr>
              <w:pStyle w:val="Compact"/>
              <w:jc w:val="left"/>
            </w:pPr>
            <w:r>
              <w:t xml:space="preserve">mehrere Jahre</w:t>
            </w:r>
          </w:p>
        </w:tc>
        <w:tc>
          <w:tcPr/>
          <w:p>
            <w:pPr>
              <w:pStyle w:val="Compact"/>
              <w:jc w:val="left"/>
            </w:pPr>
            <w:r>
              <w:t xml:space="preserve">12,2 % vs. 13,1 %; HR 0,92, nicht unterlegen</w:t>
            </w:r>
          </w:p>
        </w:tc>
      </w:tr>
      <w:tr>
        <w:tc>
          <w:tcPr/>
          <w:p>
            <w:pPr>
              <w:pStyle w:val="Compact"/>
              <w:jc w:val="left"/>
            </w:pPr>
            <w:r>
              <w:t xml:space="preserve">ACHIEVE-4 (Orforglipron gegen Insulin glargin; Klein 2026), PMID 42815506</w:t>
            </w:r>
          </w:p>
        </w:tc>
        <w:tc>
          <w:tcPr/>
          <w:p>
            <w:pPr>
              <w:pStyle w:val="Compact"/>
              <w:jc w:val="left"/>
            </w:pPr>
            <w:r>
              <w:t xml:space="preserve">2.749 mit Typ-2-Diabetes und hohem Risiko</w:t>
            </w:r>
          </w:p>
        </w:tc>
        <w:tc>
          <w:tcPr/>
          <w:p>
            <w:pPr>
              <w:pStyle w:val="Compact"/>
              <w:jc w:val="left"/>
            </w:pPr>
            <w:r>
              <w:t xml:space="preserve">median 2 Jahre</w:t>
            </w:r>
          </w:p>
        </w:tc>
        <w:tc>
          <w:tcPr/>
          <w:p>
            <w:pPr>
              <w:pStyle w:val="Compact"/>
              <w:jc w:val="left"/>
            </w:pPr>
            <w:r>
              <w:t xml:space="preserve">4,2 % vs. 5,0 % (MACE-4), nicht unterlegen</w:t>
            </w:r>
          </w:p>
        </w:tc>
      </w:tr>
    </w:tbl>
    <w:p>
      <w:pPr>
        <w:pStyle w:val="BodyText"/>
      </w:pPr>
      <w:r>
        <w:t xml:space="preserve">Was diese Tabelle zeigt:</w:t>
      </w:r>
    </w:p>
    <w:p>
      <w:pPr>
        <w:numPr>
          <w:ilvl w:val="0"/>
          <w:numId w:val="1327"/>
        </w:numPr>
        <w:pStyle w:val="Compact"/>
      </w:pPr>
      <w:r>
        <w:rPr>
          <w:bCs/>
          <w:b/>
        </w:rPr>
        <w:t xml:space="preserve">Die Klasse senkt das Risiko.</w:t>
      </w:r>
      <w:r>
        <w:t xml:space="preserve"> </w:t>
      </w:r>
      <w:r>
        <w:t xml:space="preserve">Eine Meta-Analyse von sieben placebokontrollierten Endpunktstudien mit zusammen 56.004 Teilnehmenden fand für GLP-1-Rezeptor-Agonisten bei Typ-2-Diabetes 12 % weniger schwere Herz-Kreislauf-Ereignisse (HR 0,88), 12 % weniger Todesfälle jeder Ursache und 9 % weniger Krankenhausaufnahmen wegen Herzschwäche, ohne bedeutsame Unterschiede zwischen den Untergruppen</w:t>
      </w:r>
      <w:r>
        <w:rPr>
          <w:rStyle w:val="FootnoteReference"/>
        </w:rPr>
        <w:footnoteReference w:id="2547"/>
      </w:r>
      <w:r>
        <w:t xml:space="preserve">. In diese Meta-Analyse gingen auch zwei Wirkstoffe ein, die in diesem Buch nicht behandelt werden.</w:t>
      </w:r>
    </w:p>
    <w:p>
      <w:pPr>
        <w:numPr>
          <w:ilvl w:val="0"/>
          <w:numId w:val="1327"/>
        </w:numPr>
        <w:pStyle w:val="Compact"/>
      </w:pPr>
      <w:r>
        <w:rPr>
          <w:bCs/>
          <w:b/>
        </w:rPr>
        <w:t xml:space="preserve">Unterschiede zwischen den Wirkstoffen sind unsicher.</w:t>
      </w:r>
      <w:r>
        <w:t xml:space="preserve"> </w:t>
      </w:r>
      <w:r>
        <w:t xml:space="preserve">Exenatid lag in EXSCEL am schwächeren Rand; diskutiert werden das Molekül selbst, die hohe Abbruchrate und das pragmatische Studiendesign. Ein Exenatid-Pumpenimplantat (FREEDOM-CVO) erfüllte nur das Sicherheitskriterium (HR 1,21; Ruff 2022, PMID 34873344).</w:t>
      </w:r>
    </w:p>
    <w:p>
      <w:pPr>
        <w:numPr>
          <w:ilvl w:val="0"/>
          <w:numId w:val="1327"/>
        </w:numPr>
        <w:pStyle w:val="Compact"/>
      </w:pPr>
      <w:r>
        <w:rPr>
          <w:bCs/>
          <w:b/>
        </w:rPr>
        <w:t xml:space="preserve">SELECT ist ein Sonderfall.</w:t>
      </w:r>
      <w:r>
        <w:t xml:space="preserve"> </w:t>
      </w:r>
      <w:r>
        <w:t xml:space="preserve">Es ist in dieser Übersicht die einzige große Endpunktstudie ausschließlich bei Menschen</w:t>
      </w:r>
      <w:r>
        <w:t xml:space="preserve"> </w:t>
      </w:r>
      <w:r>
        <w:rPr>
          <w:iCs/>
          <w:i/>
        </w:rPr>
        <w:t xml:space="preserve">ohne</w:t>
      </w:r>
      <w:r>
        <w:t xml:space="preserve"> </w:t>
      </w:r>
      <w:r>
        <w:t xml:space="preserve">Diabetes. In absoluten Zahlen hatten über gut drei Jahre etwa 1,5 von hundert Behandelten weniger ein schweres Ereignis.</w:t>
      </w:r>
    </w:p>
    <w:p>
      <w:pPr>
        <w:numPr>
          <w:ilvl w:val="0"/>
          <w:numId w:val="1327"/>
        </w:numPr>
        <w:pStyle w:val="Compact"/>
      </w:pPr>
      <w:r>
        <w:rPr>
          <w:bCs/>
          <w:b/>
        </w:rPr>
        <w:t xml:space="preserve">Tirzepatid wurde gegen ein wirksames Medikament geprüft.</w:t>
      </w:r>
      <w:r>
        <w:t xml:space="preserve"> </w:t>
      </w:r>
      <w:r>
        <w:t xml:space="preserve">SURPASS-CVOT verglich Tirzepatid nicht mit Placebo, sondern mit Dulaglutid, das in REWIND selbst das Risiko gesenkt hatte. Tirzepatid war nicht unterlegen, die formale Überlegenheit wurde knapp verfehlt. Wie groß der Nutzen gegenüber keiner Behandlung wäre, lässt sich daraus nur über Modellrechnungen schätzen.</w:t>
      </w:r>
    </w:p>
    <w:p>
      <w:pPr>
        <w:numPr>
          <w:ilvl w:val="0"/>
          <w:numId w:val="1327"/>
        </w:numPr>
        <w:pStyle w:val="Compact"/>
      </w:pPr>
      <w:r>
        <w:rPr>
          <w:bCs/>
          <w:b/>
        </w:rPr>
        <w:t xml:space="preserve">Herzschwäche:</w:t>
      </w:r>
      <w:r>
        <w:t xml:space="preserve"> </w:t>
      </w:r>
      <w:r>
        <w:t xml:space="preserve">Bei Herzinsuffizienz mit erhaltener Pumpfunktion und Adipositas verringerte Tirzepatid in SUMMIT mit 731 Personen den kombinierten Endpunkt aus Herz-Kreislauf-Tod oder Verschlechterung der Herzschwäche (9,9 % vs. 15,3 %; HR 0,62; Packer 2025, PMID 39555826). Der Unterschied beruhte auf weniger Verschlechterungsereignissen; Todesfälle waren selten. In STEP-HFpEF verbesserte Semaglutid Beschwerden und Gehstrecke</w:t>
      </w:r>
      <w:r>
        <w:rPr>
          <w:rStyle w:val="FootnoteReference"/>
        </w:rPr>
        <w:footnoteReference w:id="2548"/>
      </w:r>
      <w:r>
        <w:t xml:space="preserve">, war aber nicht auf harte Endpunkte ausgelegt.</w:t>
      </w:r>
    </w:p>
    <w:p>
      <w:pPr>
        <w:pStyle w:val="FirstParagraph"/>
      </w:pPr>
      <w:r>
        <w:rPr>
          <w:bCs/>
          <w:b/>
        </w:rPr>
        <w:t xml:space="preserve">Noch ausstehend (registrierte Studien):</w:t>
      </w:r>
      <w:r>
        <w:t xml:space="preserve"> </w:t>
      </w:r>
      <w:r>
        <w:t xml:space="preserve">Für die neueren Wirkstoffe fehlen Endpunktdaten. Laufende Studien sind SURMOUNT-MMO zu Tirzepatid bei Adipositas ohne Diabetes</w:t>
      </w:r>
      <w:r>
        <w:rPr>
          <w:rStyle w:val="FootnoteReference"/>
        </w:rPr>
        <w:footnoteReference w:id="2549"/>
      </w:r>
      <w:r>
        <w:t xml:space="preserve">, TRIUMPH-Outcomes zu Retatrutid</w:t>
      </w:r>
      <w:r>
        <w:rPr>
          <w:rStyle w:val="FootnoteReference"/>
        </w:rPr>
        <w:footnoteReference w:id="2550"/>
      </w:r>
      <w:r>
        <w:t xml:space="preserve">, REDEFINE 3 zu CagriSema</w:t>
      </w:r>
      <w:r>
        <w:rPr>
          <w:rStyle w:val="FootnoteReference"/>
        </w:rPr>
        <w:footnoteReference w:id="2551"/>
      </w:r>
      <w:r>
        <w:t xml:space="preserve">, eine Studie zu Maridebart Cafraglutid</w:t>
      </w:r>
      <w:r>
        <w:rPr>
          <w:rStyle w:val="FootnoteReference"/>
        </w:rPr>
        <w:footnoteReference w:id="2552"/>
      </w:r>
      <w:r>
        <w:t xml:space="preserve"> </w:t>
      </w:r>
      <w:r>
        <w:t xml:space="preserve">und eine zu Orforglipron</w:t>
      </w:r>
      <w:r>
        <w:rPr>
          <w:rStyle w:val="FootnoteReference"/>
        </w:rPr>
        <w:footnoteReference w:id="2553"/>
      </w:r>
      <w:r>
        <w:t xml:space="preserve">. Bis diese Ergebnisse vorliegen, ist offen, ob ein stärkerer Gewichtsverlust auch zu weniger Herzinfarkten und Schlaganfällen führt. Das ist eine plausible Erwartung, aber kein Ergebnis.</w:t>
      </w:r>
    </w:p>
    <w:bookmarkEnd w:id="2554"/>
    <w:bookmarkStart w:id="2562" w:name="niere-und-leber"/>
    <w:p>
      <w:pPr>
        <w:pStyle w:val="Heading3"/>
      </w:pPr>
      <w:r>
        <w:t xml:space="preserve">Niere und Leber</w:t>
      </w:r>
    </w:p>
    <w:p>
      <w:pPr>
        <w:pStyle w:val="FirstParagraph"/>
      </w:pPr>
      <w:r>
        <w:rPr>
          <w:bCs/>
          <w:b/>
        </w:rPr>
        <w:t xml:space="preserve">Niere:</w:t>
      </w:r>
      <w:r>
        <w:t xml:space="preserve"> </w:t>
      </w:r>
      <w:r>
        <w:t xml:space="preserve">Unter den in diesem Buch besprochenen Studien hat nur FLOW ein Nierenereignis als Hauptendpunkt. Bei 3.533 Menschen mit Typ-2-Diabetes und chronischer Nierenerkrankung verringerte Semaglutid 1,0 mg schwere Nierenereignisse und Tod aus Nieren- oder Herz-Kreislauf-Ursache um 24 % (331 vs. 410 Ereignisse; HR 0,76). Die Studie wurde wegen Wirksamkeit vorzeitig beendet; die Gesamtsterblichkeit war um 20 % niedriger</w:t>
      </w:r>
      <w:r>
        <w:rPr>
          <w:rStyle w:val="FootnoteReference"/>
        </w:rPr>
        <w:footnoteReference w:id="2555"/>
      </w:r>
      <w:r>
        <w:t xml:space="preserve">. In den älteren Endpunktstudien beruhte der Nierennutzen dagegen vor allem auf weniger Eiweiß im Urin: in LEADER HR 0,78</w:t>
      </w:r>
      <w:r>
        <w:rPr>
          <w:rStyle w:val="FootnoteReference"/>
        </w:rPr>
        <w:footnoteReference w:id="2556"/>
      </w:r>
      <w:r>
        <w:t xml:space="preserve">, in REWIND HR 0,85</w:t>
      </w:r>
      <w:r>
        <w:rPr>
          <w:rStyle w:val="FootnoteReference"/>
        </w:rPr>
        <w:footnoteReference w:id="2557"/>
      </w:r>
      <w:r>
        <w:t xml:space="preserve">, über alle sieben Studien HR 0,83</w:t>
      </w:r>
      <w:r>
        <w:rPr>
          <w:rStyle w:val="FootnoteReference"/>
        </w:rPr>
        <w:footnoteReference w:id="2558"/>
      </w:r>
      <w:r>
        <w:t xml:space="preserve">. In SOUL unterschieden sich die bestätigenden sekundären Endpunkte, darunter Nierenereignisse, nicht signifikant</w:t>
      </w:r>
      <w:r>
        <w:rPr>
          <w:rStyle w:val="FootnoteReference"/>
        </w:rPr>
        <w:footnoteReference w:id="2559"/>
      </w:r>
      <w:r>
        <w:t xml:space="preserve">. Bei mittel- bis schwergradiger Nierenerkrankung blieb die Nierenfunktion unter Dulaglutid besser erhalten als unter Insulin glargin (AWARD-7, Tuttle 2018, PMID 29910024). Für Tirzepatid und die neueren Wirkstoffe liegen noch keine Studien mit Nierenereignissen als Hauptendpunkt vor.</w:t>
      </w:r>
    </w:p>
    <w:p>
      <w:pPr>
        <w:pStyle w:val="BodyText"/>
      </w:pPr>
      <w:r>
        <w:rPr>
          <w:bCs/>
          <w:b/>
        </w:rPr>
        <w:t xml:space="preserve">Leber:</w:t>
      </w:r>
      <w:r>
        <w:t xml:space="preserve"> </w:t>
      </w:r>
      <w:r>
        <w:t xml:space="preserve">Bei der entzündlichen Fettleber MASH (früher NASH) gibt es Gewebeproben-Studien für drei Wirkstoffe: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Rückbildung der MASH ohne Fibrose-Verschlechterung</w:t>
            </w:r>
          </w:p>
        </w:tc>
      </w:tr>
      <w:tr>
        <w:tc>
          <w:tcPr/>
          <w:p>
            <w:pPr>
              <w:pStyle w:val="Compact"/>
              <w:jc w:val="left"/>
            </w:pPr>
            <w:r>
              <w:t xml:space="preserve">Semaglutid 2,4 mg</w:t>
            </w:r>
          </w:p>
        </w:tc>
        <w:tc>
          <w:tcPr/>
          <w:p>
            <w:pPr>
              <w:pStyle w:val="Compact"/>
              <w:jc w:val="left"/>
            </w:pPr>
            <w:r>
              <w:t xml:space="preserve">ESSENCE, Phase 3 (Sanyal 2025), PMID 40305708</w:t>
            </w:r>
          </w:p>
        </w:tc>
        <w:tc>
          <w:tcPr/>
          <w:p>
            <w:pPr>
              <w:pStyle w:val="Compact"/>
              <w:jc w:val="left"/>
            </w:pPr>
            <w:r>
              <w:t xml:space="preserve">72 Wochen (Zwischenauswertung, 800 Personen)</w:t>
            </w:r>
          </w:p>
        </w:tc>
        <w:tc>
          <w:tcPr/>
          <w:p>
            <w:pPr>
              <w:pStyle w:val="Compact"/>
              <w:jc w:val="left"/>
            </w:pPr>
            <w:r>
              <w:t xml:space="preserve">62,9 % vs. 34,3 %; weniger Fibrose 36,8 % vs. 22,4 %</w:t>
            </w:r>
          </w:p>
        </w:tc>
      </w:tr>
      <w:tr>
        <w:tc>
          <w:tcPr/>
          <w:p>
            <w:pPr>
              <w:pStyle w:val="Compact"/>
              <w:jc w:val="left"/>
            </w:pPr>
            <w:r>
              <w:t xml:space="preserve">Tirzepatid</w:t>
            </w:r>
          </w:p>
        </w:tc>
        <w:tc>
          <w:tcPr/>
          <w:p>
            <w:pPr>
              <w:pStyle w:val="Compact"/>
              <w:jc w:val="left"/>
            </w:pPr>
            <w:r>
              <w:t xml:space="preserve">SYNERGY-NASH, Phase 2 (Loomba 2024), PMID 38856224</w:t>
            </w:r>
          </w:p>
        </w:tc>
        <w:tc>
          <w:tcPr/>
          <w:p>
            <w:pPr>
              <w:pStyle w:val="Compact"/>
              <w:jc w:val="left"/>
            </w:pPr>
            <w:r>
              <w:t xml:space="preserve">52 Wochen, 190 Personen</w:t>
            </w:r>
          </w:p>
        </w:tc>
        <w:tc>
          <w:tcPr/>
          <w:p>
            <w:pPr>
              <w:pStyle w:val="Compact"/>
              <w:jc w:val="left"/>
            </w:pPr>
            <w:r>
              <w:t xml:space="preserve">44–62 % vs. 10 %; weniger Fibrose 51–55 % vs. 30 %</w:t>
            </w:r>
          </w:p>
        </w:tc>
      </w:tr>
      <w:tr>
        <w:tc>
          <w:tcPr/>
          <w:p>
            <w:pPr>
              <w:pStyle w:val="Compact"/>
              <w:jc w:val="left"/>
            </w:pPr>
            <w:r>
              <w:t xml:space="preserve">Survodutid</w:t>
            </w:r>
          </w:p>
        </w:tc>
        <w:tc>
          <w:tcPr/>
          <w:p>
            <w:pPr>
              <w:pStyle w:val="Compact"/>
              <w:jc w:val="left"/>
            </w:pPr>
            <w:r>
              <w:t xml:space="preserve">Phase 2 (Sanyal 2024), PMID 38847460</w:t>
            </w:r>
          </w:p>
        </w:tc>
        <w:tc>
          <w:tcPr/>
          <w:p>
            <w:pPr>
              <w:pStyle w:val="Compact"/>
              <w:jc w:val="left"/>
            </w:pPr>
            <w:r>
              <w:t xml:space="preserve">48 Wochen, 293 Personen</w:t>
            </w:r>
          </w:p>
        </w:tc>
        <w:tc>
          <w:tcPr/>
          <w:p>
            <w:pPr>
              <w:pStyle w:val="Compact"/>
              <w:jc w:val="left"/>
            </w:pPr>
            <w:r>
              <w:t xml:space="preserve">MASH-Besserung 43–62 % vs. 14 %</w:t>
            </w:r>
          </w:p>
        </w:tc>
      </w:tr>
    </w:tbl>
    <w:p>
      <w:pPr>
        <w:pStyle w:val="BodyText"/>
      </w:pPr>
      <w:r>
        <w:t xml:space="preserve">Nur ESSENCE ist eine Phase-3-Studie; ob die Behandlung auch Zirrhose, Leberversagen und Todesfälle verhindert, soll ihr zweiter Teil über 240 Wochen zeigen. Für Survodutid laufen die Phase-3-Studien LIVERAGE</w:t>
      </w:r>
      <w:r>
        <w:rPr>
          <w:rStyle w:val="FootnoteReference"/>
        </w:rPr>
        <w:footnoteReference w:id="2560"/>
      </w:r>
      <w:r>
        <w:t xml:space="preserve"> </w:t>
      </w:r>
      <w:r>
        <w:t xml:space="preserve">und LIVERAGE-Cirrhosis</w:t>
      </w:r>
      <w:r>
        <w:rPr>
          <w:rStyle w:val="FootnoteReference"/>
        </w:rPr>
        <w:footnoteReference w:id="2561"/>
      </w:r>
      <w:r>
        <w:t xml:space="preserve">. Die höheren Prozentwerte der Phase-2-Studien sind wegen der kleinen Gruppen und der kürzeren Dauer nicht direkt mit ESSENCE vergleichbar.</w:t>
      </w:r>
    </w:p>
    <w:bookmarkEnd w:id="2562"/>
    <w:bookmarkStart w:id="2573" w:name="nebenwirkungen-und-abbruchraten"/>
    <w:p>
      <w:pPr>
        <w:pStyle w:val="Heading3"/>
      </w:pPr>
      <w:r>
        <w:t xml:space="preserve">Nebenwirkungen und Abbruchraten</w:t>
      </w:r>
    </w:p>
    <w:p>
      <w:pPr>
        <w:pStyle w:val="FirstParagraph"/>
      </w:pPr>
      <w:r>
        <w:t xml:space="preserve">Das Nebenwirkungsprofil ist in der ganzen Klasse ähnlich: Übelkeit, Durchfall, Erbrechen und Verstopfung, vor allem während der schrittweisen Dosissteigerung, meist leicht bis mittelschwer und vorübergehend. Sie sind der häufigste Grund für Therapieabbrüche. Die Raten hängen stark von Dosis und Tempo der Aufdosierung ab und sind zwischen Studien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Magen-Darm-Beschwerden</w:t>
            </w:r>
          </w:p>
        </w:tc>
        <w:tc>
          <w:tcPr/>
          <w:p>
            <w:pPr>
              <w:pStyle w:val="Compact"/>
              <w:jc w:val="left"/>
            </w:pPr>
            <w:r>
              <w:t xml:space="preserve">Abbruch wegen Nebenwirkungen</w:t>
            </w:r>
          </w:p>
        </w:tc>
      </w:tr>
      <w:tr>
        <w:tc>
          <w:tcPr/>
          <w:p>
            <w:pPr>
              <w:pStyle w:val="Compact"/>
              <w:jc w:val="left"/>
            </w:pPr>
            <w:r>
              <w:t xml:space="preserve">Exenatid zweimal täglich</w:t>
            </w:r>
          </w:p>
        </w:tc>
        <w:tc>
          <w:tcPr/>
          <w:p>
            <w:pPr>
              <w:pStyle w:val="Compact"/>
              <w:jc w:val="left"/>
            </w:pPr>
            <w:r>
              <w:t xml:space="preserve">Heine 2005, PMID 16230722</w:t>
            </w:r>
          </w:p>
        </w:tc>
        <w:tc>
          <w:tcPr/>
          <w:p>
            <w:pPr>
              <w:pStyle w:val="Compact"/>
              <w:jc w:val="left"/>
            </w:pPr>
            <w:r>
              <w:t xml:space="preserve">Übelkeit 57,1 %</w:t>
            </w:r>
          </w:p>
        </w:tc>
        <w:tc>
          <w:tcPr/>
          <w:p>
            <w:pPr>
              <w:pStyle w:val="Compact"/>
              <w:jc w:val="left"/>
            </w:pPr>
            <w:r>
              <w:t xml:space="preserve">keine Angabe im Abstract</w:t>
            </w:r>
          </w:p>
        </w:tc>
      </w:tr>
      <w:tr>
        <w:tc>
          <w:tcPr/>
          <w:p>
            <w:pPr>
              <w:pStyle w:val="Compact"/>
              <w:jc w:val="left"/>
            </w:pPr>
            <w:r>
              <w:t xml:space="preserve">Dulaglutid</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keine Angabe im Abstract</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am häufigsten Übelkeit und Durchfall</w:t>
            </w:r>
          </w:p>
        </w:tc>
        <w:tc>
          <w:tcPr/>
          <w:p>
            <w:pPr>
              <w:pStyle w:val="Compact"/>
              <w:jc w:val="left"/>
            </w:pPr>
            <w:r>
              <w:t xml:space="preserve">wegen Magen-Darm-Beschwerden 4,5 % vs. 0,8 %</w:t>
            </w:r>
          </w:p>
        </w:tc>
      </w:tr>
      <w:tr>
        <w:tc>
          <w:tcPr/>
          <w:p>
            <w:pPr>
              <w:pStyle w:val="Compact"/>
              <w:jc w:val="left"/>
            </w:pPr>
            <w:r>
              <w:t xml:space="preserve">Semaglutid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(über gut drei Jahre)</w:t>
            </w:r>
          </w:p>
        </w:tc>
      </w:tr>
      <w:tr>
        <w:tc>
          <w:tcPr/>
          <w:p>
            <w:pPr>
              <w:pStyle w:val="Compact"/>
              <w:jc w:val="left"/>
            </w:pPr>
            <w:r>
              <w:t xml:space="preserve">Tirzepatid</w:t>
            </w:r>
          </w:p>
        </w:tc>
        <w:tc>
          <w:tcPr/>
          <w:p>
            <w:pPr>
              <w:pStyle w:val="Compact"/>
              <w:jc w:val="left"/>
            </w:pPr>
            <w:r>
              <w:t xml:space="preserve">SURMOUNT-1 (Jastreboff 2022), PMID 35658024</w:t>
            </w:r>
          </w:p>
        </w:tc>
        <w:tc>
          <w:tcPr/>
          <w:p>
            <w:pPr>
              <w:pStyle w:val="Compact"/>
              <w:jc w:val="left"/>
            </w:pPr>
            <w:r>
              <w:t xml:space="preserve">am häufigsten, meist in der Aufdosierung</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keine Angabe im Abstract</w:t>
            </w:r>
          </w:p>
        </w:tc>
      </w:tr>
      <w:tr>
        <w:tc>
          <w:tcPr/>
          <w:p>
            <w:pPr>
              <w:pStyle w:val="Compact"/>
              <w:jc w:val="left"/>
            </w:pPr>
            <w:r>
              <w:t xml:space="preserve">Retatrutid</w:t>
            </w:r>
          </w:p>
        </w:tc>
        <w:tc>
          <w:tcPr/>
          <w:p>
            <w:pPr>
              <w:pStyle w:val="Compact"/>
              <w:jc w:val="left"/>
            </w:pPr>
            <w:r>
              <w:t xml:space="preserve">TRIUMPH-2 (Bellido 2026), PMID 42810372</w:t>
            </w:r>
          </w:p>
        </w:tc>
        <w:tc>
          <w:tcPr/>
          <w:p>
            <w:pPr>
              <w:pStyle w:val="Compact"/>
              <w:jc w:val="left"/>
            </w:pPr>
            <w:r>
              <w:t xml:space="preserve">Durchfall 27–34 %, Übelkeit 14–28 % (Placebo 13 % bzw. 8 %)</w:t>
            </w:r>
          </w:p>
        </w:tc>
        <w:tc>
          <w:tcPr/>
          <w:p>
            <w:pPr>
              <w:pStyle w:val="Compact"/>
              <w:jc w:val="left"/>
            </w:pPr>
            <w:r>
              <w:t xml:space="preserve">4–12 % vs. 5 % (inkl. Todesfälle)</w:t>
            </w:r>
          </w:p>
        </w:tc>
      </w:tr>
      <w:tr>
        <w:tc>
          <w:tcPr/>
          <w:p>
            <w:pPr>
              <w:pStyle w:val="Compact"/>
              <w:jc w:val="left"/>
            </w:pPr>
            <w:r>
              <w:t xml:space="preserve">Survodutid</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keine Angabe im Abstract</w:t>
            </w:r>
          </w:p>
        </w:tc>
      </w:tr>
      <w:tr>
        <w:tc>
          <w:tcPr/>
          <w:p>
            <w:pPr>
              <w:pStyle w:val="Compact"/>
              <w:jc w:val="left"/>
            </w:pPr>
            <w:r>
              <w:t xml:space="preserve">Mazdutid</w:t>
            </w:r>
          </w:p>
        </w:tc>
        <w:tc>
          <w:tcPr/>
          <w:p>
            <w:pPr>
              <w:pStyle w:val="Compact"/>
              <w:jc w:val="left"/>
            </w:pPr>
            <w:r>
              <w:t xml:space="preserve">GLORY-1 (Ji 2025), PMID 40421736</w:t>
            </w:r>
          </w:p>
        </w:tc>
        <w:tc>
          <w:tcPr/>
          <w:p>
            <w:pPr>
              <w:pStyle w:val="Compact"/>
              <w:jc w:val="left"/>
            </w:pPr>
            <w:r>
              <w:t xml:space="preserve">häufigste Nebenwirkung</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häufigste Nebenwirkung</w:t>
            </w:r>
          </w:p>
        </w:tc>
        <w:tc>
          <w:tcPr/>
          <w:p>
            <w:pPr>
              <w:pStyle w:val="Compact"/>
              <w:jc w:val="left"/>
            </w:pPr>
            <w:r>
              <w:t xml:space="preserve">5,3–10,3 % vs. 2,7 %</w:t>
            </w:r>
          </w:p>
        </w:tc>
      </w:tr>
    </w:tbl>
    <w:p>
      <w:pPr>
        <w:pStyle w:val="BodyText"/>
      </w:pPr>
      <w:r>
        <w:t xml:space="preserve">Einige Beobachtungen:</w:t>
      </w:r>
    </w:p>
    <w:p>
      <w:pPr>
        <w:numPr>
          <w:ilvl w:val="0"/>
          <w:numId w:val="1328"/>
        </w:numPr>
        <w:pStyle w:val="Compact"/>
      </w:pPr>
      <w:r>
        <w:rPr>
          <w:bCs/>
          <w:b/>
        </w:rPr>
        <w:t xml:space="preserve">Wochenpräparate werden meist besser vertragen als ältere Formen.</w:t>
      </w:r>
      <w:r>
        <w:t xml:space="preserve"> </w:t>
      </w:r>
      <w:r>
        <w:t xml:space="preserve">In DURATION-6 hatten 9 % unter wöchentlichem Exenatid Übelkeit, 21 % unter täglichem Liraglutid</w:t>
      </w:r>
      <w:r>
        <w:rPr>
          <w:rStyle w:val="FootnoteReference"/>
        </w:rPr>
        <w:footnoteReference w:id="2563"/>
      </w:r>
      <w:r>
        <w:t xml:space="preserve">. In STEP 8 beendeten 27,6 % die Behandlung mit Liraglutid vorzeitig, aus welchem Grund auch immer, gegenüber 13,5 % mit Semaglutid; Magen-Darm-Beschwerden waren in beiden Gruppen ähnlich häufig (82,7 % vs. 84,1 %)</w:t>
      </w:r>
      <w:r>
        <w:rPr>
          <w:rStyle w:val="FootnoteReference"/>
        </w:rPr>
        <w:footnoteReference w:id="2564"/>
      </w:r>
      <w:r>
        <w:t xml:space="preserve">.</w:t>
      </w:r>
    </w:p>
    <w:p>
      <w:pPr>
        <w:numPr>
          <w:ilvl w:val="0"/>
          <w:numId w:val="1328"/>
        </w:numPr>
        <w:pStyle w:val="Compact"/>
      </w:pPr>
      <w:r>
        <w:rPr>
          <w:bCs/>
          <w:b/>
        </w:rPr>
        <w:t xml:space="preserve">Höhere Wirksamkeit geht nicht zwingend mit mehr Beschwerden einher.</w:t>
      </w:r>
      <w:r>
        <w:t xml:space="preserve"> </w:t>
      </w:r>
      <w:r>
        <w:t xml:space="preserve">In SURPASS-2 waren Übelkeit (17–22 % vs. 18 %) und Erbrechen (6–10 % vs. 8 %) unter Tirzepatid und Semaglutid ähnlich häufig; schwere unerwünschte Ereignisse traten unter Tirzepatid bei 5–7 % gegenüber 3 % auf</w:t>
      </w:r>
      <w:r>
        <w:rPr>
          <w:rStyle w:val="FootnoteReference"/>
        </w:rPr>
        <w:footnoteReference w:id="2565"/>
      </w:r>
      <w:r>
        <w:t xml:space="preserve">. In REDEFINE 5 hatten 53 % unter CagriSema und 51 % unter Semaglutid Magen-Darm-Beschwerden</w:t>
      </w:r>
      <w:r>
        <w:rPr>
          <w:rStyle w:val="FootnoteReference"/>
        </w:rPr>
        <w:footnoteReference w:id="2566"/>
      </w:r>
      <w:r>
        <w:t xml:space="preserve">.</w:t>
      </w:r>
    </w:p>
    <w:p>
      <w:pPr>
        <w:numPr>
          <w:ilvl w:val="0"/>
          <w:numId w:val="1328"/>
        </w:numPr>
        <w:pStyle w:val="Compact"/>
      </w:pPr>
      <w:r>
        <w:rPr>
          <w:bCs/>
          <w:b/>
        </w:rPr>
        <w:t xml:space="preserve">Bei den Mehrfach-Agonisten steigen die Abbrüche in hohen Dosen.</w:t>
      </w:r>
      <w:r>
        <w:t xml:space="preserve"> </w:t>
      </w:r>
      <w:r>
        <w:t xml:space="preserve">Unter Retatrutid traten außerdem Missempfindungen der Haut (Dysästhesie) bei 4–7 % gegenüber 1 % unter Placebo auf – ein für diese Klasse neues Signal. In einer US-amerikanischen Phase-2-Studie mit Mazdutid brachen in der höchsten Dosis 20 % wegen Nebenwirkungen ab</w:t>
      </w:r>
      <w:r>
        <w:rPr>
          <w:rStyle w:val="FootnoteReference"/>
        </w:rPr>
        <w:footnoteReference w:id="2567"/>
      </w:r>
      <w:r>
        <w:t xml:space="preserve">.</w:t>
      </w:r>
    </w:p>
    <w:p>
      <w:pPr>
        <w:numPr>
          <w:ilvl w:val="0"/>
          <w:numId w:val="1328"/>
        </w:numPr>
        <w:pStyle w:val="Compact"/>
      </w:pPr>
      <w:r>
        <w:rPr>
          <w:bCs/>
          <w:b/>
        </w:rPr>
        <w:t xml:space="preserve">Langzeitstudien zeigen höhere Abbruchraten als kurze Studien.</w:t>
      </w:r>
      <w:r>
        <w:t xml:space="preserve"> </w:t>
      </w:r>
      <w:r>
        <w:t xml:space="preserve">Die 16,6 % in SELECT über mehr als drei Jahre sind ein realistischerer Anhaltspunkt für die Dauerbehandlung als die Werte aus 68- oder 72-wöchigen Zulassungsstudien.</w:t>
      </w:r>
    </w:p>
    <w:p>
      <w:pPr>
        <w:pStyle w:val="FirstParagraph"/>
      </w:pPr>
      <w:r>
        <w:rPr>
          <w:bCs/>
          <w:b/>
        </w:rPr>
        <w:t xml:space="preserve">Klassenrisiken, die alle Wirkstoffe betreffen:</w:t>
      </w:r>
    </w:p>
    <w:p>
      <w:pPr>
        <w:numPr>
          <w:ilvl w:val="0"/>
          <w:numId w:val="1329"/>
        </w:numPr>
        <w:pStyle w:val="Compact"/>
      </w:pPr>
      <w:r>
        <w:rPr>
          <w:bCs/>
          <w:b/>
        </w:rPr>
        <w:t xml:space="preserve">Gallenblase:</w:t>
      </w:r>
      <w:r>
        <w:t xml:space="preserve"> </w:t>
      </w:r>
      <w:r>
        <w:t xml:space="preserve">Eine Meta-Analyse von 76 randomisierten Studien mit 103.371 Teilnehmenden fand ein um 37 % erhöhtes Risiko für Gallenblasen- und Gallenwegserkrankungen, in Studien zur Gewichtsabnahme ein mehr als doppelt so hohes (relatives Risiko 2,29; He 2022, PMID 35344001).</w:t>
      </w:r>
    </w:p>
    <w:p>
      <w:pPr>
        <w:numPr>
          <w:ilvl w:val="0"/>
          <w:numId w:val="1329"/>
        </w:numPr>
        <w:pStyle w:val="Compact"/>
      </w:pPr>
      <w:r>
        <w:rPr>
          <w:bCs/>
          <w:b/>
        </w:rPr>
        <w:t xml:space="preserve">Bauchspeicheldrüse:</w:t>
      </w:r>
      <w:r>
        <w:t xml:space="preserve"> </w:t>
      </w:r>
      <w:r>
        <w:t xml:space="preserve">In der Meta-Analyse der Endpunktstudien kein erhöhtes Risiko für Pankreatitis oder Bauchspeicheldrüsenkrebs</w:t>
      </w:r>
      <w:r>
        <w:rPr>
          <w:rStyle w:val="FootnoteReference"/>
        </w:rPr>
        <w:footnoteReference w:id="2568"/>
      </w:r>
      <w:r>
        <w:t xml:space="preserve">; in Versicherungsdaten ein Signal bei Anwendung zur Gewichtsabnahme</w:t>
      </w:r>
      <w:r>
        <w:rPr>
          <w:rStyle w:val="FootnoteReference"/>
        </w:rPr>
        <w:footnoteReference w:id="2569"/>
      </w:r>
      <w:r>
        <w:t xml:space="preserve">.</w:t>
      </w:r>
    </w:p>
    <w:p>
      <w:pPr>
        <w:numPr>
          <w:ilvl w:val="0"/>
          <w:numId w:val="1329"/>
        </w:numPr>
        <w:pStyle w:val="Compact"/>
      </w:pPr>
      <w:r>
        <w:rPr>
          <w:bCs/>
          <w:b/>
        </w:rPr>
        <w:t xml:space="preserve">Schilddrüse:</w:t>
      </w:r>
      <w:r>
        <w:t xml:space="preserve"> </w:t>
      </w:r>
      <w:r>
        <w:t xml:space="preserve">C-Zell-Tumoren bei Nagetieren; beim Menschen ein Signal in Meta-Analysen und Beobachtungsstudien</w:t>
      </w:r>
      <w:r>
        <w:rPr>
          <w:rStyle w:val="FootnoteReference"/>
        </w:rPr>
        <w:footnoteReference w:id="2570"/>
      </w:r>
      <w:r>
        <w:t xml:space="preserve">, dessen Bedeutung umstritten ist.</w:t>
      </w:r>
    </w:p>
    <w:p>
      <w:pPr>
        <w:numPr>
          <w:ilvl w:val="0"/>
          <w:numId w:val="1329"/>
        </w:numPr>
        <w:pStyle w:val="Compact"/>
      </w:pPr>
      <w:r>
        <w:rPr>
          <w:bCs/>
          <w:b/>
        </w:rPr>
        <w:t xml:space="preserve">Augen:</w:t>
      </w:r>
      <w:r>
        <w:t xml:space="preserve"> </w:t>
      </w:r>
      <w:r>
        <w:t xml:space="preserve">Verschlechterung einer bestehenden diabetischen Netzhauterkrankung in SUSTAIN 6 (HR 1,76; Marso 2016, PMID 27633186); seltenes Signal für eine Durchblutungsstörung des Sehnervs (NAION) in Beobachtungsstudien</w:t>
      </w:r>
      <w:r>
        <w:rPr>
          <w:rStyle w:val="FootnoteReference"/>
        </w:rPr>
        <w:footnoteReference w:id="2571"/>
      </w:r>
      <w:r>
        <w:t xml:space="preserve">.</w:t>
      </w:r>
    </w:p>
    <w:p>
      <w:pPr>
        <w:numPr>
          <w:ilvl w:val="0"/>
          <w:numId w:val="1329"/>
        </w:numPr>
        <w:pStyle w:val="Compact"/>
      </w:pPr>
      <w:r>
        <w:rPr>
          <w:bCs/>
          <w:b/>
        </w:rPr>
        <w:t xml:space="preserve">Muskelmasse:</w:t>
      </w:r>
      <w:r>
        <w:t xml:space="preserve"> </w:t>
      </w:r>
      <w:r>
        <w:t xml:space="preserve">Etwa ein Viertel des verlorenen Gewichts ist fettfreie Masse, im gleichen Verhältnis wie bei anderer Gewichtsabnahme</w:t>
      </w:r>
      <w:r>
        <w:rPr>
          <w:rStyle w:val="FootnoteReference"/>
        </w:rPr>
        <w:footnoteReference w:id="2572"/>
      </w:r>
      <w:r>
        <w:t xml:space="preserve">.</w:t>
      </w:r>
    </w:p>
    <w:bookmarkEnd w:id="2573"/>
    <w:bookmarkStart w:id="2576" w:name="direktvergleichsstudien"/>
    <w:p>
      <w:pPr>
        <w:pStyle w:val="Heading3"/>
      </w:pPr>
      <w:r>
        <w:t xml:space="preserve">Direktvergleichsstudien</w:t>
      </w:r>
    </w:p>
    <w:p>
      <w:pPr>
        <w:pStyle w:val="FirstParagraph"/>
      </w:pPr>
      <w:r>
        <w:t xml:space="preserve">Die folgende Tabelle enthält randomisierte Studien, in denen zwei Wirkstoffe der Klasse unmittelbar gegeneinander antraten. Nur hier sind Unterschiede zwischen den Wirkstoffen methodisch sauber belegt. Viele dieser Studien waren offen (nicht verblindet) und vom Hersteller des neueren Wirkstoffs finanziert, und nicht immer wurde die höchste zugelassene Dosis des Vergleichspräparats verwendet.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Vergleich</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SURMOUNT-5 (Aronne 2025), PMID 40353578</w:t>
            </w:r>
          </w:p>
        </w:tc>
        <w:tc>
          <w:tcPr/>
          <w:p>
            <w:pPr>
              <w:pStyle w:val="Compact"/>
              <w:jc w:val="left"/>
            </w:pPr>
            <w:r>
              <w:t xml:space="preserve">Tirzepatid vs. Semaglutid 2,4 mg, Adipositas, offen</w:t>
            </w:r>
          </w:p>
        </w:tc>
        <w:tc>
          <w:tcPr/>
          <w:p>
            <w:pPr>
              <w:pStyle w:val="Compact"/>
              <w:jc w:val="left"/>
            </w:pPr>
            <w:r>
              <w:t xml:space="preserve">72 Wochen</w:t>
            </w:r>
          </w:p>
        </w:tc>
        <w:tc>
          <w:tcPr/>
          <w:p>
            <w:pPr>
              <w:pStyle w:val="Compact"/>
              <w:jc w:val="left"/>
            </w:pPr>
            <w:r>
              <w:t xml:space="preserve">Gewicht −20,2 % vs. −13,7 %</w:t>
            </w:r>
          </w:p>
        </w:tc>
      </w:tr>
      <w:tr>
        <w:tc>
          <w:tcPr/>
          <w:p>
            <w:pPr>
              <w:pStyle w:val="Compact"/>
              <w:jc w:val="left"/>
            </w:pPr>
            <w:r>
              <w:t xml:space="preserve">STEP 8 (Rubino 2022), PMID 35015037</w:t>
            </w:r>
          </w:p>
        </w:tc>
        <w:tc>
          <w:tcPr/>
          <w:p>
            <w:pPr>
              <w:pStyle w:val="Compact"/>
              <w:jc w:val="left"/>
            </w:pPr>
            <w:r>
              <w:t xml:space="preserve">Semaglutid 2,4 mg vs. Liraglutid 3,0 mg, Adipositas</w:t>
            </w:r>
          </w:p>
        </w:tc>
        <w:tc>
          <w:tcPr/>
          <w:p>
            <w:pPr>
              <w:pStyle w:val="Compact"/>
              <w:jc w:val="left"/>
            </w:pPr>
            <w:r>
              <w:t xml:space="preserve">68 Wochen</w:t>
            </w:r>
          </w:p>
        </w:tc>
        <w:tc>
          <w:tcPr/>
          <w:p>
            <w:pPr>
              <w:pStyle w:val="Compact"/>
              <w:jc w:val="left"/>
            </w:pPr>
            <w:r>
              <w:t xml:space="preserve">Gewicht −15,8 % vs. −6,4 %</w:t>
            </w:r>
          </w:p>
        </w:tc>
      </w:tr>
      <w:tr>
        <w:tc>
          <w:tcPr/>
          <w:p>
            <w:pPr>
              <w:pStyle w:val="Compact"/>
              <w:jc w:val="left"/>
            </w:pPr>
            <w:r>
              <w:t xml:space="preserve">REDEFINE 5 (Yamauchi 2026), PMID 42009015</w:t>
            </w:r>
          </w:p>
        </w:tc>
        <w:tc>
          <w:tcPr/>
          <w:p>
            <w:pPr>
              <w:pStyle w:val="Compact"/>
              <w:jc w:val="left"/>
            </w:pPr>
            <w:r>
              <w:t xml:space="preserve">CagriSema vs. Semaglutid 2,4 mg, Japan und Taiwan, verblindet</w:t>
            </w:r>
          </w:p>
        </w:tc>
        <w:tc>
          <w:tcPr/>
          <w:p>
            <w:pPr>
              <w:pStyle w:val="Compact"/>
              <w:jc w:val="left"/>
            </w:pPr>
            <w:r>
              <w:t xml:space="preserve">68 Wochen</w:t>
            </w:r>
          </w:p>
        </w:tc>
        <w:tc>
          <w:tcPr/>
          <w:p>
            <w:pPr>
              <w:pStyle w:val="Compact"/>
              <w:jc w:val="left"/>
            </w:pPr>
            <w:r>
              <w:t xml:space="preserve">Gewicht −18,4 % vs. −11,9 %</w:t>
            </w:r>
          </w:p>
        </w:tc>
      </w:tr>
      <w:tr>
        <w:tc>
          <w:tcPr/>
          <w:p>
            <w:pPr>
              <w:pStyle w:val="Compact"/>
              <w:jc w:val="left"/>
            </w:pPr>
            <w:r>
              <w:t xml:space="preserve">SURPASS-2 (Frías 2021), PMID 34170647</w:t>
            </w:r>
          </w:p>
        </w:tc>
        <w:tc>
          <w:tcPr/>
          <w:p>
            <w:pPr>
              <w:pStyle w:val="Compact"/>
              <w:jc w:val="left"/>
            </w:pPr>
            <w:r>
              <w:t xml:space="preserve">Tirzepatid vs. Semaglutid 1 mg, Typ-2-Diabetes, offen</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REIMAGINE 2 (Buse 2026), PMID 42251859</w:t>
            </w:r>
          </w:p>
        </w:tc>
        <w:tc>
          <w:tcPr/>
          <w:p>
            <w:pPr>
              <w:pStyle w:val="Compact"/>
              <w:jc w:val="left"/>
            </w:pPr>
            <w:r>
              <w:t xml:space="preserve">CagriSema vs. Semaglutid 2,4 mg, Typ-2-Diabetes</w:t>
            </w:r>
          </w:p>
        </w:tc>
        <w:tc>
          <w:tcPr/>
          <w:p>
            <w:pPr>
              <w:pStyle w:val="Compact"/>
              <w:jc w:val="left"/>
            </w:pPr>
            <w:r>
              <w:t xml:space="preserve">68 Wochen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Semaglutid-Tablette, offen</w:t>
            </w:r>
          </w:p>
        </w:tc>
        <w:tc>
          <w:tcPr/>
          <w:p>
            <w:pPr>
              <w:pStyle w:val="Compact"/>
              <w:jc w:val="left"/>
            </w:pPr>
            <w:r>
              <w:t xml:space="preserve">52 Wochen</w:t>
            </w:r>
          </w:p>
        </w:tc>
        <w:tc>
          <w:tcPr/>
          <w:p>
            <w:pPr>
              <w:pStyle w:val="Compact"/>
              <w:jc w:val="left"/>
            </w:pPr>
            <w:r>
              <w:t xml:space="preserve">HbA1c −1,91 vs. −1,47 (jeweils höhere Dosis)</w:t>
            </w:r>
          </w:p>
        </w:tc>
      </w:tr>
      <w:tr>
        <w:tc>
          <w:tcPr/>
          <w:p>
            <w:pPr>
              <w:pStyle w:val="Compact"/>
              <w:jc w:val="left"/>
            </w:pPr>
            <w:r>
              <w:t xml:space="preserve">SUSTAIN 7 (Pratley 2018), PMID 29397376</w:t>
            </w:r>
          </w:p>
        </w:tc>
        <w:tc>
          <w:tcPr/>
          <w:p>
            <w:pPr>
              <w:pStyle w:val="Compact"/>
              <w:jc w:val="left"/>
            </w:pPr>
            <w:r>
              <w:t xml:space="preserve">Semaglutid vs. Dulaglutid</w:t>
            </w:r>
          </w:p>
        </w:tc>
        <w:tc>
          <w:tcPr/>
          <w:p>
            <w:pPr>
              <w:pStyle w:val="Compact"/>
              <w:jc w:val="left"/>
            </w:pPr>
            <w:r>
              <w:t xml:space="preserve">40 Wochen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 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 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Semaglutid-Tablette vs. Liraglutid-Spritze</w:t>
            </w:r>
          </w:p>
        </w:tc>
        <w:tc>
          <w:tcPr/>
          <w:p>
            <w:pPr>
              <w:pStyle w:val="Compact"/>
              <w:jc w:val="left"/>
            </w:pPr>
            <w:r>
              <w:t xml:space="preserve">26 Wochen (Studie 52)</w:t>
            </w:r>
          </w:p>
        </w:tc>
        <w:tc>
          <w:tcPr/>
          <w:p>
            <w:pPr>
              <w:pStyle w:val="Compact"/>
              <w:jc w:val="left"/>
            </w:pPr>
            <w:r>
              <w:t xml:space="preserve">HbA1c −1,2 vs. −1,1 (nicht unterlegen)</w:t>
            </w:r>
          </w:p>
        </w:tc>
      </w:tr>
      <w:tr>
        <w:tc>
          <w:tcPr/>
          <w:p>
            <w:pPr>
              <w:pStyle w:val="Compact"/>
              <w:jc w:val="left"/>
            </w:pPr>
            <w:r>
              <w:t xml:space="preserve">AWARD-6 (Dungan 2014), PMID 25018121</w:t>
            </w:r>
          </w:p>
        </w:tc>
        <w:tc>
          <w:tcPr/>
          <w:p>
            <w:pPr>
              <w:pStyle w:val="Compact"/>
              <w:jc w:val="left"/>
            </w:pPr>
            <w:r>
              <w:t xml:space="preserve">Dulaglutid vs. Liraglutid 1,8 mg, offen</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DURATION-6 (Buse 2013), PMID 23141817</w:t>
            </w:r>
          </w:p>
        </w:tc>
        <w:tc>
          <w:tcPr/>
          <w:p>
            <w:pPr>
              <w:pStyle w:val="Compact"/>
              <w:jc w:val="left"/>
            </w:pPr>
            <w:r>
              <w:t xml:space="preserve">Exenatid wöchentlich vs. Liraglutid, offen</w:t>
            </w:r>
          </w:p>
        </w:tc>
        <w:tc>
          <w:tcPr/>
          <w:p>
            <w:pPr>
              <w:pStyle w:val="Compact"/>
              <w:jc w:val="left"/>
            </w:pPr>
            <w:r>
              <w:t xml:space="preserve">26 Wochen</w:t>
            </w:r>
          </w:p>
        </w:tc>
        <w:tc>
          <w:tcPr/>
          <w:p>
            <w:pPr>
              <w:pStyle w:val="Compact"/>
              <w:jc w:val="left"/>
            </w:pPr>
            <w:r>
              <w:t xml:space="preserve">HbA1c −1,28 vs. −1,48; Nicht-Unterlegenheit verfehlt</w:t>
            </w:r>
          </w:p>
        </w:tc>
      </w:tr>
      <w:tr>
        <w:tc>
          <w:tcPr/>
          <w:p>
            <w:pPr>
              <w:pStyle w:val="Compact"/>
              <w:jc w:val="left"/>
            </w:pPr>
            <w:r>
              <w:t xml:space="preserve">DREAMS-2 (Guo 2026), PMID 41407860</w:t>
            </w:r>
          </w:p>
        </w:tc>
        <w:tc>
          <w:tcPr/>
          <w:p>
            <w:pPr>
              <w:pStyle w:val="Compact"/>
              <w:jc w:val="left"/>
            </w:pPr>
            <w:r>
              <w:t xml:space="preserve">Mazdutid vs. Dulaglutid 1,5 mg, China</w:t>
            </w:r>
          </w:p>
        </w:tc>
        <w:tc>
          <w:tcPr/>
          <w:p>
            <w:pPr>
              <w:pStyle w:val="Compact"/>
              <w:jc w:val="left"/>
            </w:pPr>
            <w:r>
              <w:t xml:space="preserve">28 Wochen</w:t>
            </w:r>
          </w:p>
        </w:tc>
        <w:tc>
          <w:tcPr/>
          <w:p>
            <w:pPr>
              <w:pStyle w:val="Compact"/>
              <w:jc w:val="left"/>
            </w:pPr>
            <w:r>
              <w:t xml:space="preserve">HbA1c zusätzlich −0,24 / −0,30</w:t>
            </w:r>
          </w:p>
        </w:tc>
      </w:tr>
      <w:tr>
        <w:tc>
          <w:tcPr/>
          <w:p>
            <w:pPr>
              <w:pStyle w:val="Compact"/>
              <w:jc w:val="left"/>
            </w:pPr>
            <w:r>
              <w:t xml:space="preserve">SURPASS-CVOT (Nicholls 2025), PMID 41406444</w:t>
            </w:r>
          </w:p>
        </w:tc>
        <w:tc>
          <w:tcPr/>
          <w:p>
            <w:pPr>
              <w:pStyle w:val="Compact"/>
              <w:jc w:val="left"/>
            </w:pPr>
            <w:r>
              <w:t xml:space="preserve">Tirzepatid vs. Dulaglutid, Herz-Kreislauf-Ereignisse</w:t>
            </w:r>
          </w:p>
        </w:tc>
        <w:tc>
          <w:tcPr/>
          <w:p>
            <w:pPr>
              <w:pStyle w:val="Compact"/>
              <w:jc w:val="left"/>
            </w:pPr>
            <w:r>
              <w:t xml:space="preserve">mehrere Jahre</w:t>
            </w:r>
          </w:p>
        </w:tc>
        <w:tc>
          <w:tcPr/>
          <w:p>
            <w:pPr>
              <w:pStyle w:val="Compact"/>
              <w:jc w:val="left"/>
            </w:pPr>
            <w:r>
              <w:t xml:space="preserve">HR 0,92, nicht unterlegen</w:t>
            </w:r>
          </w:p>
        </w:tc>
      </w:tr>
    </w:tbl>
    <w:p>
      <w:pPr>
        <w:pStyle w:val="BodyText"/>
      </w:pPr>
      <w:r>
        <w:rPr>
          <w:bCs/>
          <w:b/>
        </w:rPr>
        <w:t xml:space="preserve">Was die Direktvergleiche zeigen:</w:t>
      </w:r>
    </w:p>
    <w:p>
      <w:pPr>
        <w:numPr>
          <w:ilvl w:val="0"/>
          <w:numId w:val="1330"/>
        </w:numPr>
        <w:pStyle w:val="Compact"/>
      </w:pPr>
      <w:r>
        <w:rPr>
          <w:bCs/>
          <w:b/>
        </w:rPr>
        <w:t xml:space="preserve">Beim Gewicht ist die Rangfolge klar.</w:t>
      </w:r>
      <w:r>
        <w:t xml:space="preserve"> </w:t>
      </w:r>
      <w:r>
        <w:t xml:space="preserve">Semaglutid 2,4 mg übertraf Liraglutid 3,0 mg um 9,4 Prozentpunkte (STEP 8), Tirzepatid übertraf Semaglutid 2,4 mg um 6,5 Prozentpunkte (SURMOUNT-5), CagriSema übertraf Semaglutid 2,4 mg in Ostasien ebenfalls um 6,5 Prozentpunkte (REDEFINE 5). In SURMOUNT-5 erreichten unter Tirzepatid mehr Teilnehmende jede der Schwellen von 10, 15, 20 und 25 %, und der Taillenumfang sank um 18,4 cm gegenüber 13,0 cm.</w:t>
      </w:r>
    </w:p>
    <w:p>
      <w:pPr>
        <w:numPr>
          <w:ilvl w:val="0"/>
          <w:numId w:val="1330"/>
        </w:numPr>
        <w:pStyle w:val="Compact"/>
      </w:pPr>
      <w:r>
        <w:rPr>
          <w:bCs/>
          <w:b/>
        </w:rPr>
        <w:t xml:space="preserve">Beim Blutzucker sind die Abstände kleiner.</w:t>
      </w:r>
      <w:r>
        <w:t xml:space="preserve"> </w:t>
      </w:r>
      <w:r>
        <w:t xml:space="preserve">Zwischen den wöchentlichen GLP-1-Agonisten liegen meist nur Zehntelpunkte; Tirzepatid senkte den HbA1c-Wert in SURPASS-2 um 0,15 bis 0,45 Prozentpunkte stärker als Semaglutid 1 mg.</w:t>
      </w:r>
    </w:p>
    <w:p>
      <w:pPr>
        <w:numPr>
          <w:ilvl w:val="0"/>
          <w:numId w:val="1330"/>
        </w:numPr>
        <w:pStyle w:val="Compact"/>
      </w:pPr>
      <w:r>
        <w:rPr>
          <w:bCs/>
          <w:b/>
        </w:rPr>
        <w:t xml:space="preserve">Bei harten Endpunkten gibt es bisher nur einen Direktvergleich.</w:t>
      </w:r>
      <w:r>
        <w:t xml:space="preserve"> </w:t>
      </w:r>
      <w:r>
        <w:t xml:space="preserve">SURPASS-CVOT zeigte, dass Tirzepatid Dulaglutid nicht unterlegen ist; eine Überlegenheit wurde nicht nachgewiesen.</w:t>
      </w:r>
    </w:p>
    <w:p>
      <w:pPr>
        <w:numPr>
          <w:ilvl w:val="0"/>
          <w:numId w:val="1330"/>
        </w:numPr>
        <w:pStyle w:val="Compact"/>
      </w:pPr>
      <w:r>
        <w:rPr>
          <w:bCs/>
          <w:b/>
        </w:rPr>
        <w:t xml:space="preserve">Die Einschränkungen sind erheblich.</w:t>
      </w:r>
      <w:r>
        <w:t xml:space="preserve"> </w:t>
      </w:r>
      <w:r>
        <w:t xml:space="preserve">SURMOUNT-5 und SURPASS-2 waren offen und vom Hersteller des Tirzepatids finanziert; SURPASS-2 verwendete Semaglutid nur in der Dosis von 1 mg. REDEFINE 5 wurde ausschließlich in Japan und Taiwan durchgeführt. Die Unterschiede in SURMOUNT-5 sind allerdings so groß, dass sie sich kaum allein durch diese Schwächen erklären lassen.</w:t>
      </w:r>
    </w:p>
    <w:p>
      <w:pPr>
        <w:pStyle w:val="FirstParagraph"/>
      </w:pPr>
      <w:r>
        <w:rPr>
          <w:bCs/>
          <w:b/>
        </w:rPr>
        <w:t xml:space="preserve">Noch ausstehend (registrierte Studien):</w:t>
      </w:r>
      <w:r>
        <w:t xml:space="preserve"> </w:t>
      </w:r>
      <w:r>
        <w:t xml:space="preserve">Der direkte Vergleich von Retatrutid mit Tirzepatid bei 800 Erwachsenen mit Adipositas</w:t>
      </w:r>
      <w:r>
        <w:rPr>
          <w:rStyle w:val="FootnoteReference"/>
        </w:rPr>
        <w:footnoteReference w:id="2574"/>
      </w:r>
      <w:r>
        <w:t xml:space="preserve"> </w:t>
      </w:r>
      <w:r>
        <w:t xml:space="preserve">soll Ende 2026 abgeschlossen sein. Die Vergleichsstudie von CagriSema gegen Tirzepatid bei Adipositas (REDEFINE 4, NCT06131437) ist laut Register abgeschlossen, eine begutachtete Veröffentlichung lag bei Redaktionsschluss nicht vor. Mazdutid wird in China gegen Semaglutid geprüft</w:t>
      </w:r>
      <w:r>
        <w:rPr>
          <w:rStyle w:val="FootnoteReference"/>
        </w:rPr>
        <w:footnoteReference w:id="2575"/>
      </w:r>
      <w:r>
        <w:t xml:space="preserve">.</w:t>
      </w:r>
    </w:p>
    <w:bookmarkEnd w:id="2576"/>
    <w:bookmarkStart w:id="2577" w:name="fazit-58"/>
    <w:p>
      <w:pPr>
        <w:pStyle w:val="Heading3"/>
      </w:pPr>
      <w:r>
        <w:t xml:space="preserve">Fazit</w:t>
      </w:r>
    </w:p>
    <w:p>
      <w:pPr>
        <w:pStyle w:val="FirstParagraph"/>
      </w:pPr>
      <w:r>
        <w:t xml:space="preserve">Die Inkretin-Medikamente bilden eine klare Stufenfolge: Beim Gewichtsverlust reichen die Mittelwerte der Zulassungsstudien von rund 8 % (Liraglutid) über knapp 15 % (Semaglutid 2,4 mg) und rund 20 % (Tirzepatid, CagriSema) bis 25 % (Retatrutid), wobei die Direktvergleiche diese Reihenfolge für die bisher verglichenen Paare bestätigen. Für Herz und Niere ist der Nutzen bisher nur für die älteren GLP-1-Agonisten und Semaglutid in placebokontrollierten Studien belegt; ob die stärkeren Nachfolger hier mehr leisten, ist offen. Die Nebenwirkungen sind in der ganzen Klasse ähnlich und betreffen vor allem den Magen-Darm-Trakt; die Abbruchraten steigen mit Dosis und Behandlungsdauer. Quervergleiche zwischen einzelnen Studien bleiben eine grobe Orientierung – für die Wahl eines Medikaments im Einzelfall sind Fachinformation und ärztliche Beratung maßgeblich.</w:t>
      </w:r>
    </w:p>
    <w:bookmarkEnd w:id="2577"/>
    <w:bookmarkEnd w:id="2578"/>
    <w:bookmarkStart w:id="2601" w:name="versprechen-gegen-beweislage"/>
    <w:p>
      <w:pPr>
        <w:pStyle w:val="Heading2"/>
      </w:pPr>
      <w:r>
        <w:t xml:space="preserve">Versprechen gegen Beweislage</w:t>
      </w:r>
    </w:p>
    <w:p>
      <w:pPr>
        <w:pStyle w:val="FirstParagraph"/>
      </w:pPr>
      <w:r>
        <w:t xml:space="preserve">Wer im Internet nach Peptiden sucht, stößt schnell auf Shops, Videos und Foren, in denen bestimmte Stoffe mit großen Worten beschrieben werden: Sie sollen Sehnen reparieren, das Altern bremsen, Fett schmelzen lassen oder das Gedächtnis schärfen. Dieses Kapitel stellt solchen typischen Werbeversprechen gegenüber, was Studien am Menschen tatsächlich gezeigt haben.</w:t>
      </w:r>
    </w:p>
    <w:p>
      <w:pPr>
        <w:pStyle w:val="BodyText"/>
      </w:pPr>
      <w:r>
        <w:t xml:space="preserve">Ausgewählt wurden die Peptide, die im deutsch- und englischsprachigen Internet im Jahr 2026 am häufigsten beworben werden. Die Versprechen sind allgemein formuliert und fassen wiederkehrende Aussagen zusammen; sie stammen nicht von einem bestimmten Anbieter. Die Spalte „Was die Studien am Menschen zeigen“ beruht auf den Kapiteln in Teil II, in denen die Quellen ausführlich besprochen werden. Tierversuche und Laborergebnisse sind ausdrücklich als solche gekennzeichnet.</w:t>
      </w:r>
    </w:p>
    <w:p>
      <w:pPr>
        <w:pStyle w:val="BodyText"/>
      </w:pPr>
      <w:r>
        <w:t xml:space="preserve">Eine Vorbemerkung: Dass ein Nutzen nicht belegt ist, heißt nicht automatisch, dass ein Stoff unwirksam ist. Es heißt, dass niemand es weiß – auch nicht die Anbieter, die ihn verkaufen. Genauso gilt: Dass keine Nebenwirkungen veröffentlicht sind, heißt bei kaum untersuchten Stoffen nicht, dass sie sicher sind, sondern nur, dass niemand systematisch danach gesucht hat.</w:t>
      </w:r>
    </w:p>
    <w:bookmarkStart w:id="2579" w:name="die-populärsten-peptide-im-faktencheck"/>
    <w:p>
      <w:pPr>
        <w:pStyle w:val="Heading3"/>
      </w:pPr>
      <w:r>
        <w:t xml:space="preserve">Die populärsten Peptide im Faktencheck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Typisches Werbeversprechen</w:t>
            </w:r>
          </w:p>
        </w:tc>
        <w:tc>
          <w:tcPr/>
          <w:p>
            <w:pPr>
              <w:pStyle w:val="Compact"/>
              <w:jc w:val="left"/>
            </w:pPr>
            <w:r>
              <w:t xml:space="preserve">Was die Studien am Menschen zeigen</w:t>
            </w:r>
          </w:p>
        </w:tc>
        <w:tc>
          <w:tcPr/>
          <w:p>
            <w:pPr>
              <w:pStyle w:val="Compact"/>
              <w:jc w:val="left"/>
            </w:pPr>
            <w:r>
              <w:t xml:space="preserve">Evidenz</w:t>
            </w:r>
          </w:p>
        </w:tc>
      </w:tr>
      <w:tr>
        <w:tc>
          <w:tcPr/>
          <w:p>
            <w:pPr>
              <w:pStyle w:val="Compact"/>
              <w:jc w:val="left"/>
            </w:pPr>
            <w:r>
              <w:t xml:space="preserve">BPC-157</w:t>
            </w:r>
          </w:p>
        </w:tc>
        <w:tc>
          <w:tcPr/>
          <w:p>
            <w:pPr>
              <w:pStyle w:val="Compact"/>
              <w:jc w:val="left"/>
            </w:pPr>
            <w:r>
              <w:t xml:space="preserve">Beschleunigt die Heilung von Sehnen, Bändern, Muskeln und Darm</w:t>
            </w:r>
          </w:p>
        </w:tc>
        <w:tc>
          <w:tcPr/>
          <w:p>
            <w:pPr>
              <w:pStyle w:val="Compact"/>
              <w:jc w:val="left"/>
            </w:pPr>
            <w:r>
              <w:t xml:space="preserve">Drei unkontrollierte Untersuchungen mit zusammen 30 Personen (Knie, Harnblase, Verträglichkeit); Aussagekraft laut systematischer Übersicht sehr niedrig (Poolton 2026, PMID 42885452). Die vielen positiven Ergebnisse stammen aus Tierversuchen, überwiegend einer einzigen Forschungsgruppe.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Repariert Gewebe, Sehnen und Muskeln, macht beweglicher</w:t>
            </w:r>
          </w:p>
        </w:tc>
        <w:tc>
          <w:tcPr/>
          <w:p>
            <w:pPr>
              <w:pStyle w:val="Compact"/>
              <w:jc w:val="left"/>
            </w:pPr>
            <w:r>
              <w:t xml:space="preserve">TB-500 wurde nie in einer veröffentlichten Humanstudie geprüft. Das ganze Eiweiß Thymosin Beta-4 verkleinerte nach Herzinfarkt die Infarktgröße insgesamt nicht signifikant (Zhang 2025, PMID 41229390). Graumarkt-Produkte enthielten nicht durchgehend das Angegebene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Steigert das Wachstumshormon für Muskelaufbau, Fettabbau und Schlaf</w:t>
            </w:r>
          </w:p>
        </w:tc>
        <w:tc>
          <w:tcPr/>
          <w:p>
            <w:pPr>
              <w:pStyle w:val="Compact"/>
              <w:jc w:val="left"/>
            </w:pPr>
            <w:r>
              <w:t xml:space="preserve">Bei Gesunden stiegen Wachstumshormon und IGF-1 nach einer Einzelinjektion für etwa sechs bis elf Tage an (Teichman 2006, PMID 16352683). Ob daraus ein Nutzen folgt, wurde nie untersucht. Für die meist verkaufte Variante ohne „DAC“ gibt es keine Humanstudie.</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Sanfter Wachstumshormon-Booster ohne Nebenwirkungen</w:t>
            </w:r>
          </w:p>
        </w:tc>
        <w:tc>
          <w:tcPr/>
          <w:p>
            <w:pPr>
              <w:pStyle w:val="Compact"/>
              <w:jc w:val="left"/>
            </w:pPr>
            <w:r>
              <w:t xml:space="preserve">Einzige veröffentlichte Wirksamkeitsstudie: 117 Personen nach Darmoperation, kein signifikanter Nutzen (Beck 2014, PMID 25331030). Zu Muskeln, Fett, Schlaf oder Alterung keine Humanstudie.</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Verlängert die Telomere und dreht die biologische Uhr zurück</w:t>
            </w:r>
          </w:p>
        </w:tc>
        <w:tc>
          <w:tcPr/>
          <w:p>
            <w:pPr>
              <w:pStyle w:val="Compact"/>
              <w:jc w:val="left"/>
            </w:pPr>
            <w:r>
              <w:t xml:space="preserve">Telomerverlängerung nur in Zellkulturen (Khavinson 2003, PMID 12937682). Bei Mäusen keine längere mittlere Lebensdauer (Anisimov 2003, PMID 14501183). Keine ausreichend große randomisierte Studie am Menschen.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aus der Spritze“: mehr Ausdauer, weniger Fett, bessere Insulinwirkung</w:t>
            </w:r>
          </w:p>
        </w:tc>
        <w:tc>
          <w:tcPr/>
          <w:p>
            <w:pPr>
              <w:pStyle w:val="Compact"/>
              <w:jc w:val="left"/>
            </w:pPr>
            <w:r>
              <w:t xml:space="preserve">Diese Effekte zeigten sich bei Mäusen (Lee 2015, PMID 25738459). Beim Menschen gibt es nur Messungen der körpereigenen Spiegel, keine veröffentlichte Studie mit Gabe von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Steigert Konzentration, Gedächtnis und Leistungsfähigkeit</w:t>
            </w:r>
          </w:p>
        </w:tc>
        <w:tc>
          <w:tcPr/>
          <w:p>
            <w:pPr>
              <w:pStyle w:val="Compact"/>
              <w:jc w:val="left"/>
            </w:pPr>
            <w:r>
              <w:t xml:space="preserve">Kleine, überwiegend nicht randomisierte russische Studien bei Schlaganfall, etwa eine Studie mit 110 Personen (Gusev 2018, PMID 29798983). Für Gesunde keine aussagekräftigen Daten.</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Löst Angst ohne Müdigkeit und Abhängigkeit</w:t>
            </w:r>
          </w:p>
        </w:tc>
        <w:tc>
          <w:tcPr/>
          <w:p>
            <w:pPr>
              <w:pStyle w:val="Compact"/>
              <w:jc w:val="left"/>
            </w:pPr>
            <w:r>
              <w:t xml:space="preserve">Drei kleine russische Studien ohne Placebogruppe, darunter 62 Personen im Vergleich mit einem Benzodiazepin (Zozulia 2008, PMID 18454096). Studien zu Konzentration bei Gesunden gibt es nicht.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Bräune ohne Sonnenbrand, mehr Lust</w:t>
            </w:r>
          </w:p>
        </w:tc>
        <w:tc>
          <w:tcPr/>
          <w:p>
            <w:pPr>
              <w:pStyle w:val="Compact"/>
              <w:jc w:val="left"/>
            </w:pPr>
            <w:r>
              <w:t xml:space="preserve">Kleine Pilotstudien aus den 1990er-Jahren mit rund zwei Dutzend Personen, häufig Übelkeit (Wessells 2000, PMID 11035391). Fallberichte über neue Muttermale, Melanome und Priapismus. Fläschchen aus Online-Shops enthielten 4,32 bis 8,84 statt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Strafft die Haut, baut Kollagen auf, fördert Haarwuchs</w:t>
            </w:r>
          </w:p>
        </w:tc>
        <w:tc>
          <w:tcPr/>
          <w:p>
            <w:pPr>
              <w:pStyle w:val="Compact"/>
              <w:jc w:val="left"/>
            </w:pPr>
            <w:r>
              <w:t xml:space="preserve">Eine ältere randomisierte Studie an diabetischen Fußgeschwüren mit positivem Ergebnis (Mulder 1994, PMID 17147644). Eine kleine Hautstudie nach Laserbehandlung fand keinen messbaren Unterschied (Miller 2006, PMID 16847171). Zu Injektionen keine Daten.</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Fettverbrennendes Fragment des Wachstumshormons</w:t>
            </w:r>
          </w:p>
        </w:tc>
        <w:tc>
          <w:tcPr/>
          <w:p>
            <w:pPr>
              <w:pStyle w:val="Compact"/>
              <w:jc w:val="left"/>
            </w:pPr>
            <w:r>
              <w:t xml:space="preserve">Bei Mäusen weniger Gewichtszunahme (Heffernan 2001, PMID 11673763). Humanstudien wurden durchgeführt, aber nie in begutachteten Fachzeitschriften veröffentlicht; die Entwicklung wurde eingestellt.</w:t>
            </w:r>
          </w:p>
        </w:tc>
        <w:tc>
          <w:tcPr/>
          <w:p>
            <w:pPr>
              <w:pStyle w:val="Compact"/>
              <w:jc w:val="left"/>
            </w:pPr>
            <w:r>
              <w:t xml:space="preserve">D</w:t>
            </w:r>
          </w:p>
        </w:tc>
      </w:tr>
      <w:tr>
        <w:tc>
          <w:tcPr/>
          <w:p>
            <w:pPr>
              <w:pStyle w:val="Compact"/>
              <w:jc w:val="left"/>
            </w:pPr>
            <w:r>
              <w:t xml:space="preserve">Kollagenpeptide</w:t>
            </w:r>
          </w:p>
        </w:tc>
        <w:tc>
          <w:tcPr/>
          <w:p>
            <w:pPr>
              <w:pStyle w:val="Compact"/>
              <w:jc w:val="left"/>
            </w:pPr>
            <w:r>
              <w:t xml:space="preserve">Straffere Haut, gesunde Gelenke, mehr Muskeln</w:t>
            </w:r>
          </w:p>
        </w:tc>
        <w:tc>
          <w:tcPr/>
          <w:p>
            <w:pPr>
              <w:pStyle w:val="Compact"/>
              <w:jc w:val="left"/>
            </w:pPr>
            <w:r>
              <w:t xml:space="preserve">Arthrose: in 35 randomisierten Studien kleine bis mittlere Effekte (PMID 38218227). Haut: ohne Industriefinanzierung kein Effekt (Myung 2025, PMID 40324552). Muskel: Molkenprotein wirkte besser als Kollagen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Entgiftet, hellt die Haut auf, stärkt das Immunsystem</w:t>
            </w:r>
          </w:p>
        </w:tc>
        <w:tc>
          <w:tcPr/>
          <w:p>
            <w:pPr>
              <w:pStyle w:val="Compact"/>
              <w:jc w:val="left"/>
            </w:pPr>
            <w:r>
              <w:t xml:space="preserve">Als Kapsel erhöhte es nach sechs Monaten die Blutspiegel (Richie 2015, PMID 24791752). Als Infusion schützte es 185 Krebspatientinnen und -patienten nicht vor Nervenschäden (Leal 2014, PMID 24619793). Infusionen zur Hautaufhellung: kein belegter Nutzen, laut Übersicht nicht vertretbar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Bildet neue Synapsen, stärker als körpereigene Wachstumsfaktoren</w:t>
            </w:r>
          </w:p>
        </w:tc>
        <w:tc>
          <w:tcPr/>
          <w:p>
            <w:pPr>
              <w:pStyle w:val="Compact"/>
              <w:jc w:val="left"/>
            </w:pPr>
            <w:r>
              <w:t xml:space="preserve">Nie am Menschen untersucht; Effekte nur bei Ratten und Mäusen, eine zentrale Arbeit dazu wurde 2025 zurückgezogen (PMID 25187433). Der verwandte Wirkstoff Fosgonimeton verfehlte bei 287 Menschen mit Alzheimer alle Haupt- und Nebenziele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Stärkeres, länger wirkendes IGF-1 für Muskelwachstum</w:t>
            </w:r>
          </w:p>
        </w:tc>
        <w:tc>
          <w:tcPr/>
          <w:p>
            <w:pPr>
              <w:pStyle w:val="Compact"/>
              <w:jc w:val="left"/>
            </w:pPr>
            <w:r>
              <w:t xml:space="preserve">Keine einzige Humanstudie. Ein Schwarzmarkt-Fläschchen enthielt eine Laborvariante, die nie für Injektionen gedacht war (PMID 20675162).</w:t>
            </w:r>
          </w:p>
        </w:tc>
        <w:tc>
          <w:tcPr/>
          <w:p>
            <w:pPr>
              <w:pStyle w:val="Compact"/>
              <w:jc w:val="left"/>
            </w:pPr>
            <w:r>
              <w:t xml:space="preserve">D</w:t>
            </w:r>
          </w:p>
        </w:tc>
      </w:tr>
      <w:tr>
        <w:tc>
          <w:tcPr/>
          <w:p>
            <w:pPr>
              <w:pStyle w:val="Compact"/>
              <w:jc w:val="left"/>
            </w:pPr>
            <w:r>
              <w:t xml:space="preserve">Retatrutid vom Graumarkt</w:t>
            </w:r>
          </w:p>
        </w:tc>
        <w:tc>
          <w:tcPr/>
          <w:p>
            <w:pPr>
              <w:pStyle w:val="Compact"/>
              <w:jc w:val="left"/>
            </w:pPr>
            <w:r>
              <w:t xml:space="preserve">Das stärkste Abnehmmittel, schon heute verfügbar</w:t>
            </w:r>
          </w:p>
        </w:tc>
        <w:tc>
          <w:tcPr/>
          <w:p>
            <w:pPr>
              <w:pStyle w:val="Compact"/>
              <w:jc w:val="left"/>
            </w:pPr>
            <w:r>
              <w:t xml:space="preserve">Das Arzneimittel ist gut untersucht: In TRIUMPH-1 −25,0 % Gewicht nach 80 Wochen in der höchsten Dosis (Jastreboff 2026, PMID 42814954). Für Graumarkt-Ware gilt das nicht: nicht zugelassen, Inhalt und Reinheit ungeprüft (Rubin 2026, PMID 42853576).</w:t>
            </w:r>
          </w:p>
        </w:tc>
        <w:tc>
          <w:tcPr/>
          <w:p>
            <w:pPr>
              <w:pStyle w:val="Compact"/>
              <w:jc w:val="left"/>
            </w:pPr>
            <w:r>
              <w:t xml:space="preserve">B (Arzneimittel)</w:t>
            </w:r>
          </w:p>
        </w:tc>
      </w:tr>
    </w:tbl>
    <w:p>
      <w:pPr>
        <w:pStyle w:val="BodyText"/>
      </w:pPr>
      <w:r>
        <w:t xml:space="preserve">Anmerkung zur Tabelle: Die Evidenzstufe bezieht sich auf die beworbene Anwendung bzw. auf den Stoff, wie er verkauft wird. Für TB-500 gilt Stufe D, für das ganze Eiweiß Thymosin Beta-4 Stufe B. Bei Retatrutid bezieht sich Stufe B auf das in Studien geprüfte Arzneimittel; für Graumarkt-Produkte, deren Inhalt niemand kennt, lässt sich keine Evidenzstufe angeben.</w:t>
      </w:r>
    </w:p>
    <w:p>
      <w:pPr>
        <w:pStyle w:val="BodyText"/>
      </w:pPr>
      <w:r>
        <w:t xml:space="preserve">Das Gesamtbild: Von den 16 Stoffen hat keiner die Evidenzstufe A. Fünf haben Stufe D, sind also am Menschen gar nicht untersucht. Bei den Stoffen mit Stufe B – Ipamorelin, Kollagen, Glutathion – haben die besten Studien die Werbeversprechen nicht bestätigt oder nur kleine Effekte gefunden. Die einzige Ausnahme ist Retatrutid, dessen starke Wirkung belegt ist – aber nicht für das Produkt, das auf dem Graumarkt verkauft wird.</w:t>
      </w:r>
    </w:p>
    <w:bookmarkEnd w:id="2579"/>
    <w:bookmarkStart w:id="2593" w:name="sechs-muster-hinter-den-versprechen"/>
    <w:p>
      <w:pPr>
        <w:pStyle w:val="Heading3"/>
      </w:pPr>
      <w:r>
        <w:t xml:space="preserve">Sechs Muster hinter den Versprechen</w:t>
      </w:r>
    </w:p>
    <w:p>
      <w:pPr>
        <w:pStyle w:val="FirstParagraph"/>
      </w:pPr>
      <w:r>
        <w:t xml:space="preserve">Wer die Tabelle Zeile für Zeile liest, erkennt wiederkehrende Muster. Sie helfen, auch Aussagen zu Peptiden einzuordnen, die in diesem Buch nicht vorkommen.</w:t>
      </w:r>
    </w:p>
    <w:bookmarkStart w:id="2581" w:name="vom-tier-auf-den-menschen"/>
    <w:p>
      <w:pPr>
        <w:pStyle w:val="Heading4"/>
      </w:pPr>
      <w:r>
        <w:t xml:space="preserve">1. Vom Tier auf den Menschen</w:t>
      </w:r>
    </w:p>
    <w:p>
      <w:pPr>
        <w:pStyle w:val="FirstParagraph"/>
      </w:pPr>
      <w:r>
        <w:t xml:space="preserve">Fast alle Versprechen zu BPC-157, TB-500, MOTS-c, Dihexa, AOD-9604 und Epitalon stützen sich auf Versuche an Ratten, Mäusen oder Zellkulturen. Solche Studien sind wichtig, um Wirkmechanismen zu verstehen. Ob ein Stoff beim Menschen genauso wirkt, sagen sie nicht voraus: Ein großer Teil der Wirkstoffe, die im Tierversuch erfolgreich sind, scheitert in Studien am Menschen. Ein aktuelles Beispiel aus diesem Buch ist das Gedächtnis-Peptid Dihexa. Bei Ratten förderte es Lernen und Synapsenbildung; der verwandte Wirkstoff Fosgonimeton, der über dasselbe Wachstumsfaktor-System wirken sollte, verfehlte in einer Studie mit 287 Menschen mit Alzheimer alle Haupt- und Nebenziele</w:t>
      </w:r>
      <w:r>
        <w:rPr>
          <w:rStyle w:val="FootnoteReference"/>
        </w:rPr>
        <w:footnoteReference w:id="2580"/>
      </w:r>
      <w:r>
        <w:t xml:space="preserve">.</w:t>
      </w:r>
    </w:p>
    <w:p>
      <w:pPr>
        <w:pStyle w:val="BodyText"/>
      </w:pPr>
      <w:r>
        <w:t xml:space="preserve">Hinzu kommt bei BPC-157 ein zweites Problem: Die positiven Tierstudien stammen überwiegend von einer einzigen Forschungsgruppe und wurden kaum unabhängig wiederholt.</w:t>
      </w:r>
    </w:p>
    <w:bookmarkEnd w:id="2581"/>
    <w:bookmarkStart w:id="2583" w:name="ein-messwert-ist-noch-kein-nutzen"/>
    <w:p>
      <w:pPr>
        <w:pStyle w:val="Heading4"/>
      </w:pPr>
      <w:r>
        <w:t xml:space="preserve">2. Ein Messwert ist noch kein Nutzen</w:t>
      </w:r>
    </w:p>
    <w:p>
      <w:pPr>
        <w:pStyle w:val="FirstParagraph"/>
      </w:pPr>
      <w:r>
        <w:t xml:space="preserve">CJC-1295 erhöht das Wachstumshormon, Epitalon aktiviert in Zellkulturen die Telomerase, Glutathion-Kapseln erhöhen den Glutathion-Spiegel im Blut. Das sind Ersatzmesswerte („Surrogat-Endpunkte“, siehe Teil I). Ob daraus etwas folgt, das für Menschen zählt – mehr Muskelkraft, längeres Leben, weniger Krankheiten –, ist eine eigene Frage, die eigene Studien braucht. Beim Wachstumshormon zeigt das Beispiel Ibutamoren, wie groß die Lücke sein kann: Bei 65 gesunden älteren Menschen stieg die fettfreie Masse über ein Jahr um 1,1 kg, Kraft und körperliche Funktion verbesserten sich aber nicht</w:t>
      </w:r>
      <w:r>
        <w:rPr>
          <w:rStyle w:val="FootnoteReference"/>
        </w:rPr>
        <w:footnoteReference w:id="2582"/>
      </w:r>
      <w:r>
        <w:t xml:space="preserve">.</w:t>
      </w:r>
    </w:p>
    <w:bookmarkEnd w:id="2583"/>
    <w:bookmarkStart w:id="2585" w:name="verwechslung-von-stoffen"/>
    <w:p>
      <w:pPr>
        <w:pStyle w:val="Heading4"/>
      </w:pPr>
      <w:r>
        <w:t xml:space="preserve">3. Verwechslung von Stoffen</w:t>
      </w:r>
    </w:p>
    <w:p>
      <w:pPr>
        <w:pStyle w:val="FirstParagraph"/>
      </w:pPr>
      <w:r>
        <w:t xml:space="preserve">Mehrere Versprechen beruhen auf Studien mit einem anderen Stoff als dem, der verkauft wird:</w:t>
      </w:r>
    </w:p>
    <w:p>
      <w:pPr>
        <w:numPr>
          <w:ilvl w:val="0"/>
          <w:numId w:val="1331"/>
        </w:numPr>
        <w:pStyle w:val="Compact"/>
      </w:pPr>
      <w:r>
        <w:rPr>
          <w:bCs/>
          <w:b/>
        </w:rPr>
        <w:t xml:space="preserve">TB-500</w:t>
      </w:r>
      <w:r>
        <w:t xml:space="preserve"> </w:t>
      </w:r>
      <w:r>
        <w:t xml:space="preserve">ist ein verändertes Bruchstück. Die Humanstudien betreffen das ganze Eiweiß Thymosin Beta-4 – und auch diese kaum Sehnen, Bänder oder Muskeln.</w:t>
      </w:r>
    </w:p>
    <w:p>
      <w:pPr>
        <w:numPr>
          <w:ilvl w:val="0"/>
          <w:numId w:val="1331"/>
        </w:numPr>
        <w:pStyle w:val="Compact"/>
      </w:pPr>
      <w:r>
        <w:rPr>
          <w:bCs/>
          <w:b/>
        </w:rPr>
        <w:t xml:space="preserve">Epitalon</w:t>
      </w:r>
      <w:r>
        <w:t xml:space="preserve"> </w:t>
      </w:r>
      <w:r>
        <w:t xml:space="preserve">ist ein synthetisches Tetrapeptid. Die oft zitierte Studie zu längerem Leben betraf den Rinder-Extrakt Epithalamin, war nicht randomisiert und wurde nie unabhängig wiederholt.</w:t>
      </w:r>
    </w:p>
    <w:p>
      <w:pPr>
        <w:numPr>
          <w:ilvl w:val="0"/>
          <w:numId w:val="1331"/>
        </w:numPr>
        <w:pStyle w:val="Compact"/>
      </w:pPr>
      <w:r>
        <w:rPr>
          <w:bCs/>
          <w:b/>
        </w:rPr>
        <w:t xml:space="preserve">CJC-1295</w:t>
      </w:r>
      <w:r>
        <w:t xml:space="preserve"> </w:t>
      </w:r>
      <w:r>
        <w:t xml:space="preserve">wird überwiegend ohne die „DAC“-Gruppe verkauft, die in den Humanstudien verwendet wurde.</w:t>
      </w:r>
    </w:p>
    <w:p>
      <w:pPr>
        <w:numPr>
          <w:ilvl w:val="0"/>
          <w:numId w:val="1331"/>
        </w:numPr>
        <w:pStyle w:val="Compact"/>
      </w:pPr>
      <w:r>
        <w:rPr>
          <w:bCs/>
          <w:b/>
        </w:rPr>
        <w:t xml:space="preserve">Retatrutid</w:t>
      </w:r>
      <w:r>
        <w:t xml:space="preserve"> </w:t>
      </w:r>
      <w:r>
        <w:t xml:space="preserve">vom Graumarkt ist nicht das Arzneimittel aus den Studien. Laboranalysen anderer Graumarkt-Peptide zeigen, dass Fläschchen oft weniger, mehr oder anderen Wirkstoff enthalten als angegeben; bei Ipamorelin und CJC-1295 fanden Labore abgewandelte, nicht deklarierte Moleküle</w:t>
      </w:r>
      <w:r>
        <w:rPr>
          <w:rStyle w:val="FootnoteReference"/>
        </w:rPr>
        <w:footnoteReference w:id="2584"/>
      </w:r>
      <w:r>
        <w:t xml:space="preserve">.</w:t>
      </w:r>
    </w:p>
    <w:bookmarkEnd w:id="2585"/>
    <w:bookmarkStart w:id="2589" w:name="negative-studien-werden-nicht-erwähnt"/>
    <w:p>
      <w:pPr>
        <w:pStyle w:val="Heading4"/>
      </w:pPr>
      <w:r>
        <w:t xml:space="preserve">4. Negative Studien werden nicht erwähnt</w:t>
      </w:r>
    </w:p>
    <w:p>
      <w:pPr>
        <w:pStyle w:val="FirstParagraph"/>
      </w:pPr>
      <w:r>
        <w:t xml:space="preserve">Bei mehreren Peptiden gibt es durchaus randomisierte Studien – nur fanden sie keinen Nutzen. Ipamorelin verkürzte nach Darmoperationen die Zeit bis zur ersten Mahlzeit nicht signifikant</w:t>
      </w:r>
      <w:r>
        <w:rPr>
          <w:rStyle w:val="FootnoteReference"/>
        </w:rPr>
        <w:footnoteReference w:id="2586"/>
      </w:r>
      <w:r>
        <w:t xml:space="preserve">. Glutathion-Infusionen schützten nicht vor Nervenschäden durch Chemotherapie</w:t>
      </w:r>
      <w:r>
        <w:rPr>
          <w:rStyle w:val="FootnoteReference"/>
        </w:rPr>
        <w:footnoteReference w:id="2587"/>
      </w:r>
      <w:r>
        <w:t xml:space="preserve">. Bei Kollagen verschwand der Hautnutzen, sobald nur unabhängig finanzierte Studien betrachtet wurden</w:t>
      </w:r>
      <w:r>
        <w:rPr>
          <w:rStyle w:val="FootnoteReference"/>
        </w:rPr>
        <w:footnoteReference w:id="2588"/>
      </w:r>
      <w:r>
        <w:t xml:space="preserve">. Solche Ergebnisse tauchen in Werbetexten praktisch nie auf. Eine seriöse Darstellung nennt positive</w:t>
      </w:r>
      <w:r>
        <w:t xml:space="preserve"> </w:t>
      </w:r>
      <w:r>
        <w:rPr>
          <w:iCs/>
          <w:i/>
        </w:rPr>
        <w:t xml:space="preserve">und</w:t>
      </w:r>
      <w:r>
        <w:t xml:space="preserve"> </w:t>
      </w:r>
      <w:r>
        <w:t xml:space="preserve">negative Studien.</w:t>
      </w:r>
    </w:p>
    <w:bookmarkEnd w:id="2589"/>
    <w:bookmarkStart w:id="2590" w:name="kleine-studien-aus-einem-engen-umfeld"/>
    <w:p>
      <w:pPr>
        <w:pStyle w:val="Heading4"/>
      </w:pPr>
      <w:r>
        <w:t xml:space="preserve">5. Kleine Studien aus einem engen Umfeld</w:t>
      </w:r>
    </w:p>
    <w:p>
      <w:pPr>
        <w:pStyle w:val="FirstParagraph"/>
      </w:pPr>
      <w:r>
        <w:t xml:space="preserve">Semax, Selank, Epitalon und Pinealon wurden fast ausschließlich in Russland untersucht, meist von den Entwicklern selbst, in kleinen Gruppen und häufig ohne Placebovergleich. Das macht die Ergebnisse nicht automatisch falsch. Es heißt aber, dass sie nie unter den Bedingungen geprüft wurden, die heute für eine Zulassung verlangt werden: vorab registriert, verblindet, ausreichend groß und von unabhängigen Gruppen bestätigt.</w:t>
      </w:r>
    </w:p>
    <w:bookmarkEnd w:id="2590"/>
    <w:bookmarkStart w:id="2592" w:name="Xdb413d5c6345207551d61234198aabd4302ea29"/>
    <w:p>
      <w:pPr>
        <w:pStyle w:val="Heading4"/>
      </w:pPr>
      <w:r>
        <w:t xml:space="preserve">6. „Keine Nebenwirkungen“ heißt meist „nicht untersucht“</w:t>
      </w:r>
    </w:p>
    <w:p>
      <w:pPr>
        <w:pStyle w:val="FirstParagraph"/>
      </w:pPr>
      <w:r>
        <w:t xml:space="preserve">Die Aussage, ein Peptid sei „gut verträglich“ oder „ohne Nebenwirkungen“, stützt sich bei BPC-157 auf zusammen 30 Personen. Mit so wenigen Teilnehmenden lassen sich nur häufige, unmittelbar auftretende Probleme erkennen; eine Nebenwirkung, die eine von tausend Personen betrifft, bliebe unsichtbar. Bei Stoffen, die Wachstumssignale verstärken – Wachstumshormon-Freisetzer, IGF-1 LR3, Peptide, die Gefäßneubildung fördern –, gibt es zudem eine theoretische, aber ungeprüfte Sorge um Tumorwachstum. Bei Melanotan II beschreiben Fallberichte neue und veränderte Muttermale und Melanome; ein ursächlicher Zusammenhang ist nicht bewiesen, aber auch nicht ausgeschlossen. Dazu kommen die Risiken der Produkte selbst: In Graumarkt-Fläschchen mit Melanotan II fanden sich weniger Wirkstoff als angegeben und unbekannte Verunreinigungen</w:t>
      </w:r>
      <w:r>
        <w:rPr>
          <w:rStyle w:val="FootnoteReference"/>
        </w:rPr>
        <w:footnoteReference w:id="2591"/>
      </w:r>
      <w:r>
        <w:t xml:space="preserve">. Mehr dazu in Teil IV.</w:t>
      </w:r>
    </w:p>
    <w:bookmarkEnd w:id="2592"/>
    <w:bookmarkEnd w:id="2593"/>
    <w:bookmarkStart w:id="2599" w:name="X5641ca42aa388a5ad07898da2955515e6b012f7"/>
    <w:p>
      <w:pPr>
        <w:pStyle w:val="Heading3"/>
      </w:pPr>
      <w:r>
        <w:t xml:space="preserve">Woran Sie seriöse von unseriösen Aussagen unterscheiden</w:t>
      </w:r>
    </w:p>
    <w:p>
      <w:pPr>
        <w:pStyle w:val="FirstParagraph"/>
      </w:pPr>
      <w:r>
        <w:t xml:space="preserve">Die folgende Checkliste hilft, Aussagen über Peptide – in Shops, Videos, Foren oder Zeitschriften – einzuordnen. Sie ersetzt keine fachliche Beratung, schärft aber den Blick dafür, wie viel hinter einer Behauptung steckt.</w:t>
      </w:r>
    </w:p>
    <w:bookmarkStart w:id="2594" w:name="fragen-zur-quelle"/>
    <w:p>
      <w:pPr>
        <w:pStyle w:val="Heading4"/>
      </w:pPr>
      <w:r>
        <w:t xml:space="preserve">Fragen zur Quelle</w:t>
      </w:r>
    </w:p>
    <w:p>
      <w:pPr>
        <w:numPr>
          <w:ilvl w:val="0"/>
          <w:numId w:val="1332"/>
        </w:numPr>
        <w:pStyle w:val="Compact"/>
      </w:pPr>
      <w:r>
        <w:rPr>
          <w:bCs/>
          <w:b/>
        </w:rPr>
        <w:t xml:space="preserve">Wer spricht?</w:t>
      </w:r>
      <w:r>
        <w:t xml:space="preserve"> </w:t>
      </w:r>
      <w:r>
        <w:t xml:space="preserve">Verkauft die Person oder Seite den Stoff selbst, bietet sie Kurse, Beratungen oder Rabattcodes an? Ein finanzielles Interesse macht eine Aussage nicht falsch, ist aber ein Grund, genauer hinzusehen.</w:t>
      </w:r>
    </w:p>
    <w:p>
      <w:pPr>
        <w:numPr>
          <w:ilvl w:val="0"/>
          <w:numId w:val="1332"/>
        </w:numPr>
        <w:pStyle w:val="Compact"/>
      </w:pPr>
      <w:r>
        <w:rPr>
          <w:bCs/>
          <w:b/>
        </w:rPr>
        <w:t xml:space="preserve">Werden Studien genannt – und lassen sie sich finden?</w:t>
      </w:r>
      <w:r>
        <w:t xml:space="preserve"> </w:t>
      </w:r>
      <w:r>
        <w:t xml:space="preserve">Seriöse Aussagen nennen eine überprüfbare Quelle: eine PMID, einen DOI oder eine Registernummer (NCT). Sie können jede PMID kostenlos bei PubMed eingeben und den Abstract selbst lesen. Formulierungen wie „Studien zeigen“ ohne konkrete Angabe sind ein Warnsignal.</w:t>
      </w:r>
    </w:p>
    <w:p>
      <w:pPr>
        <w:numPr>
          <w:ilvl w:val="0"/>
          <w:numId w:val="1332"/>
        </w:numPr>
        <w:pStyle w:val="Compact"/>
      </w:pPr>
      <w:r>
        <w:rPr>
          <w:bCs/>
          <w:b/>
        </w:rPr>
        <w:t xml:space="preserve">Passt die zitierte Studie zur Aussage?</w:t>
      </w:r>
      <w:r>
        <w:t xml:space="preserve"> </w:t>
      </w:r>
      <w:r>
        <w:t xml:space="preserve">Prüfen Sie, ob die Studie wirklich den verkauften Stoff, die beworbene Anwendung und Menschen untersucht hat – oder ob es um ein verwandtes Molekül, eine andere Erkrankung oder Ratten ging.</w:t>
      </w:r>
    </w:p>
    <w:bookmarkEnd w:id="2594"/>
    <w:bookmarkStart w:id="2595" w:name="fragen-zur-studie"/>
    <w:p>
      <w:pPr>
        <w:pStyle w:val="Heading4"/>
      </w:pPr>
      <w:r>
        <w:t xml:space="preserve">Fragen zur Studie</w:t>
      </w:r>
    </w:p>
    <w:p>
      <w:pPr>
        <w:numPr>
          <w:ilvl w:val="0"/>
          <w:numId w:val="1333"/>
        </w:numPr>
        <w:pStyle w:val="Compact"/>
      </w:pPr>
      <w:r>
        <w:rPr>
          <w:bCs/>
          <w:b/>
        </w:rPr>
        <w:t xml:space="preserve">Mensch, Tier oder Zellkultur?</w:t>
      </w:r>
      <w:r>
        <w:t xml:space="preserve"> </w:t>
      </w:r>
      <w:r>
        <w:t xml:space="preserve">Steht im Abstract „rats“, „mice“, „in vitro“ oder „cell culture“, ist über die Wirkung beim Menschen nichts gesagt.</w:t>
      </w:r>
    </w:p>
    <w:p>
      <w:pPr>
        <w:numPr>
          <w:ilvl w:val="0"/>
          <w:numId w:val="1333"/>
        </w:numPr>
        <w:pStyle w:val="Compact"/>
      </w:pPr>
      <w:r>
        <w:rPr>
          <w:bCs/>
          <w:b/>
        </w:rPr>
        <w:t xml:space="preserve">Gab es eine Vergleichsgruppe?</w:t>
      </w:r>
      <w:r>
        <w:t xml:space="preserve"> </w:t>
      </w:r>
      <w:r>
        <w:t xml:space="preserve">Ohne Placebo- oder Kontrollgruppe lässt sich nicht unterscheiden, ob eine Besserung vom Stoff, von der Zeit, von anderen Behandlungen oder von der Erwartung kommt. Gerade bei Schmerz, Stimmung oder Schlaf ist der Placeboeffekt groß.</w:t>
      </w:r>
    </w:p>
    <w:p>
      <w:pPr>
        <w:numPr>
          <w:ilvl w:val="0"/>
          <w:numId w:val="1333"/>
        </w:numPr>
        <w:pStyle w:val="Compact"/>
      </w:pPr>
      <w:r>
        <w:rPr>
          <w:bCs/>
          <w:b/>
        </w:rPr>
        <w:t xml:space="preserve">Wie viele Teilnehmende?</w:t>
      </w:r>
      <w:r>
        <w:t xml:space="preserve"> </w:t>
      </w:r>
      <w:r>
        <w:t xml:space="preserve">Studien mit 10 oder 20 Personen können Hinweise geben, aber keinen Nutzen belegen und seltene Nebenwirkungen nicht erkennen.</w:t>
      </w:r>
    </w:p>
    <w:p>
      <w:pPr>
        <w:numPr>
          <w:ilvl w:val="0"/>
          <w:numId w:val="1333"/>
        </w:numPr>
        <w:pStyle w:val="Compact"/>
      </w:pPr>
      <w:r>
        <w:rPr>
          <w:bCs/>
          <w:b/>
        </w:rPr>
        <w:t xml:space="preserve">Was wurde gemessen?</w:t>
      </w:r>
      <w:r>
        <w:t xml:space="preserve"> </w:t>
      </w:r>
      <w:r>
        <w:t xml:space="preserve">Ein Laborwert, der steigt, ist kein spürbarer Nutzen. Fragen Sie: Wurde gemessen, was für Betroffene zählt – Schmerz, Funktion, Krankheitsereignisse, Lebensqualität?</w:t>
      </w:r>
    </w:p>
    <w:p>
      <w:pPr>
        <w:numPr>
          <w:ilvl w:val="0"/>
          <w:numId w:val="1333"/>
        </w:numPr>
        <w:pStyle w:val="Compact"/>
      </w:pPr>
      <w:r>
        <w:rPr>
          <w:bCs/>
          <w:b/>
        </w:rPr>
        <w:t xml:space="preserve">Wurde die Studie vorab registriert?</w:t>
      </w:r>
      <w:r>
        <w:t xml:space="preserve"> </w:t>
      </w:r>
      <w:r>
        <w:t xml:space="preserve">Eine Registrierung bei ClinicalTrials.gov oder im EU-Register vor Studienbeginn verhindert, dass Ziele nachträglich passend gewählt werden.</w:t>
      </w:r>
    </w:p>
    <w:p>
      <w:pPr>
        <w:numPr>
          <w:ilvl w:val="0"/>
          <w:numId w:val="1333"/>
        </w:numPr>
        <w:pStyle w:val="Compact"/>
      </w:pPr>
      <w:r>
        <w:rPr>
          <w:bCs/>
          <w:b/>
        </w:rPr>
        <w:t xml:space="preserve">Wurde das Ergebnis wiederholt?</w:t>
      </w:r>
      <w:r>
        <w:t xml:space="preserve"> </w:t>
      </w:r>
      <w:r>
        <w:t xml:space="preserve">Ein einzelnes positives Ergebnis einer einzigen Forschungsgruppe ist ein Anfang, kein Beweis.</w:t>
      </w:r>
    </w:p>
    <w:bookmarkEnd w:id="2595"/>
    <w:bookmarkStart w:id="2596" w:name="warnsignale-in-der-sprache"/>
    <w:p>
      <w:pPr>
        <w:pStyle w:val="Heading4"/>
      </w:pPr>
      <w:r>
        <w:t xml:space="preserve">Warnsignale in der Sprache</w:t>
      </w:r>
    </w:p>
    <w:p>
      <w:pPr>
        <w:numPr>
          <w:ilvl w:val="0"/>
          <w:numId w:val="1334"/>
        </w:numPr>
        <w:pStyle w:val="Compact"/>
      </w:pPr>
      <w:r>
        <w:t xml:space="preserve">Versprechen, die sehr viele unterschiedliche Beschwerden zugleich betreffen („für Gelenke, Darm, Haut, Gehirn und Immunsystem“).</w:t>
      </w:r>
    </w:p>
    <w:p>
      <w:pPr>
        <w:numPr>
          <w:ilvl w:val="0"/>
          <w:numId w:val="1334"/>
        </w:numPr>
        <w:pStyle w:val="Compact"/>
      </w:pPr>
      <w:r>
        <w:t xml:space="preserve">Begriffe wie „Wundermittel“, „Geheimtipp“, „was Ärzte Ihnen nicht sagen“ oder „von der Pharmaindustrie unterdrückt“.</w:t>
      </w:r>
    </w:p>
    <w:p>
      <w:pPr>
        <w:numPr>
          <w:ilvl w:val="0"/>
          <w:numId w:val="1334"/>
        </w:numPr>
        <w:pStyle w:val="Compact"/>
      </w:pPr>
      <w:r>
        <w:t xml:space="preserve">Die Behauptung „keine Nebenwirkungen“ bei einem Stoff, der kaum am Menschen untersucht ist.</w:t>
      </w:r>
    </w:p>
    <w:p>
      <w:pPr>
        <w:numPr>
          <w:ilvl w:val="0"/>
          <w:numId w:val="1334"/>
        </w:numPr>
        <w:pStyle w:val="Compact"/>
      </w:pPr>
      <w:r>
        <w:t xml:space="preserve">Erfahrungsberichte und Vorher-nachher-Bilder statt Studiendaten.</w:t>
      </w:r>
    </w:p>
    <w:p>
      <w:pPr>
        <w:numPr>
          <w:ilvl w:val="0"/>
          <w:numId w:val="1334"/>
        </w:numPr>
        <w:pStyle w:val="Compact"/>
      </w:pPr>
      <w:r>
        <w:t xml:space="preserve">Der Hinweis „nur für Forschungszwecke“ oder „nicht zum menschlichen Verzehr“ auf einem Produkt, das gleichzeitig mit Wirkungen am Menschen beworben wird. Dieser Widerspruch zeigt, dass der Anbieter die Arzneimittelregeln umgehen will (siehe Teil I).</w:t>
      </w:r>
    </w:p>
    <w:p>
      <w:pPr>
        <w:numPr>
          <w:ilvl w:val="0"/>
          <w:numId w:val="1334"/>
        </w:numPr>
        <w:pStyle w:val="Compact"/>
      </w:pPr>
      <w:r>
        <w:t xml:space="preserve">Vorschläge zu Dosierungen, Kuren oder Kombinationspaketen mehrerer Peptide für Stoffe ohne Zulassung. Für solche Schemata gibt es keine Studiengrundlage.</w:t>
      </w:r>
    </w:p>
    <w:bookmarkEnd w:id="2596"/>
    <w:bookmarkStart w:id="2597" w:name="zeichen-für-eine-seriöse-darstellung"/>
    <w:p>
      <w:pPr>
        <w:pStyle w:val="Heading4"/>
      </w:pPr>
      <w:r>
        <w:t xml:space="preserve">Zeichen für eine seriöse Darstellung</w:t>
      </w:r>
    </w:p>
    <w:p>
      <w:pPr>
        <w:numPr>
          <w:ilvl w:val="0"/>
          <w:numId w:val="1335"/>
        </w:numPr>
        <w:pStyle w:val="Compact"/>
      </w:pPr>
      <w:r>
        <w:t xml:space="preserve">Tier- und Laborergebnisse werden ausdrücklich als solche bezeichnet.</w:t>
      </w:r>
    </w:p>
    <w:p>
      <w:pPr>
        <w:numPr>
          <w:ilvl w:val="0"/>
          <w:numId w:val="1335"/>
        </w:numPr>
        <w:pStyle w:val="Compact"/>
      </w:pPr>
      <w:r>
        <w:t xml:space="preserve">Negative und widersprüchliche Studien werden genannt, nicht nur die positiven.</w:t>
      </w:r>
    </w:p>
    <w:p>
      <w:pPr>
        <w:numPr>
          <w:ilvl w:val="0"/>
          <w:numId w:val="1335"/>
        </w:numPr>
        <w:pStyle w:val="Compact"/>
      </w:pPr>
      <w:r>
        <w:t xml:space="preserve">Unsicherheit wird offen benannt („Die Daten reichen nicht aus, um … zu beurteilen“).</w:t>
      </w:r>
    </w:p>
    <w:p>
      <w:pPr>
        <w:numPr>
          <w:ilvl w:val="0"/>
          <w:numId w:val="1335"/>
        </w:numPr>
        <w:pStyle w:val="Compact"/>
      </w:pPr>
      <w:r>
        <w:t xml:space="preserve">Rechtslage und Dopingstatus werden erwähnt.</w:t>
      </w:r>
    </w:p>
    <w:p>
      <w:pPr>
        <w:numPr>
          <w:ilvl w:val="0"/>
          <w:numId w:val="1335"/>
        </w:numPr>
        <w:pStyle w:val="Compact"/>
      </w:pPr>
      <w:r>
        <w:t xml:space="preserve">Es gibt einen klaren Hinweis, dass Arzneimittel in ärztliche Hände gehören und Graumarkt-Produkte nicht geprüft sind.</w:t>
      </w:r>
    </w:p>
    <w:bookmarkEnd w:id="2597"/>
    <w:bookmarkStart w:id="2598" w:name="drei-fragen-für-den-alltag"/>
    <w:p>
      <w:pPr>
        <w:pStyle w:val="Heading4"/>
      </w:pPr>
      <w:r>
        <w:t xml:space="preserve">Drei Fragen für den Alltag</w:t>
      </w:r>
    </w:p>
    <w:p>
      <w:pPr>
        <w:pStyle w:val="FirstParagraph"/>
      </w:pPr>
      <w:r>
        <w:t xml:space="preserve">Wenn Sie wenig Zeit haben, reichen oft drei Fragen:</w:t>
      </w:r>
    </w:p>
    <w:p>
      <w:pPr>
        <w:numPr>
          <w:ilvl w:val="0"/>
          <w:numId w:val="1336"/>
        </w:numPr>
        <w:pStyle w:val="Compact"/>
      </w:pPr>
      <w:r>
        <w:t xml:space="preserve">Ist der Stoff in der EU oder den USA als Arzneimittel für genau diese Anwendung zugelassen?</w:t>
      </w:r>
    </w:p>
    <w:p>
      <w:pPr>
        <w:numPr>
          <w:ilvl w:val="0"/>
          <w:numId w:val="1336"/>
        </w:numPr>
        <w:pStyle w:val="Compact"/>
      </w:pPr>
      <w:r>
        <w:t xml:space="preserve">Gibt es mindestens eine randomisierte, placebokontrollierte Studie am Menschen, die den behaupteten Nutzen gezeigt hat?</w:t>
      </w:r>
    </w:p>
    <w:p>
      <w:pPr>
        <w:numPr>
          <w:ilvl w:val="0"/>
          <w:numId w:val="1336"/>
        </w:numPr>
        <w:pStyle w:val="Compact"/>
      </w:pPr>
      <w:r>
        <w:t xml:space="preserve">Stammt das Produkt aus der Apotheke – oder aus einer Quelle, deren Inhalt niemand prüft?</w:t>
      </w:r>
    </w:p>
    <w:p>
      <w:pPr>
        <w:pStyle w:val="FirstParagraph"/>
      </w:pPr>
      <w:r>
        <w:t xml:space="preserve">Lautet die Antwort auf alle drei Fragen „nein“, beruht das Versprechen auf Hoffnung, nicht auf Belegen.</w:t>
      </w:r>
    </w:p>
    <w:bookmarkEnd w:id="2598"/>
    <w:bookmarkEnd w:id="2599"/>
    <w:bookmarkStart w:id="2600" w:name="fazit-59"/>
    <w:p>
      <w:pPr>
        <w:pStyle w:val="Heading3"/>
      </w:pPr>
      <w:r>
        <w:t xml:space="preserve">Fazit</w:t>
      </w:r>
    </w:p>
    <w:p>
      <w:pPr>
        <w:pStyle w:val="FirstParagraph"/>
      </w:pPr>
      <w:r>
        <w:t xml:space="preserve">Die im Internet populärsten Peptide sind fast durchweg die am schlechtesten untersuchten. Ihre Versprechen stützen sich überwiegend auf Tierversuche, auf Ersatzmesswerte oder auf Studien mit einem anderen Stoff; wo es randomisierte Studien am Menschen gibt, haben sie den beworbenen Nutzen meist nicht bestätigt. Das bedeutet nicht, dass keiner dieser Stoffe je einen Nutzen haben könnte – aber die Daten reichen bei keinem aus, um ihn zu belegen. Wer eine Aussage über ein Peptid hört, sollte nach der Quelle fragen, die Studie prüfen und den Unterschied zwischen einem geprüften Arzneimittel und einem Fläschchen vom Graumarkt im Blick behalten.</w:t>
      </w:r>
    </w:p>
    <w:bookmarkEnd w:id="2600"/>
    <w:bookmarkEnd w:id="2601"/>
    <w:bookmarkEnd w:id="2602"/>
    <w:bookmarkStart w:id="2823" w:name="teil-iv-risiken"/>
    <w:p>
      <w:pPr>
        <w:pStyle w:val="Heading1"/>
      </w:pPr>
      <w:r>
        <w:t xml:space="preserve">Teil IV – Risiken</w:t>
      </w:r>
    </w:p>
    <w:p>
      <w:pPr>
        <w:pStyle w:val="FirstParagraph"/>
      </w:pPr>
      <w:r>
        <w:t xml:space="preserve">In Teil II steht bei jedem Peptid ein eigener Abschnitt „Risiken und Nebenwirkungen“. Dieser Teil wiederholt diese Abschnitte nicht. Er legt sie nebeneinander und fragt quer durch alle Wirkstoffe: Welche Organe sind betroffen? Welche Warnsignale tauchen bei mehreren Peptiden auf? Wie belastbar ist das, was man weiß? Wer Einzelheiten zu einem bestimmten Stoff sucht, findet bei jedem Punkt einen Verweis auf das passende Kapitel.</w:t>
      </w:r>
    </w:p>
    <w:p>
      <w:pPr>
        <w:pStyle w:val="BodyText"/>
      </w:pPr>
      <w:r>
        <w:t xml:space="preserve">Bevor es losgeht, lohnt sich ein kurzer Blick darauf, wie man Risiken überhaupt einordnet. Drei Unterscheidungen ziehen sich durch alle folgenden Kapitel.</w:t>
      </w:r>
    </w:p>
    <w:p>
      <w:pPr>
        <w:pStyle w:val="BodyText"/>
      </w:pPr>
      <w:r>
        <w:rPr>
          <w:bCs/>
          <w:b/>
        </w:rPr>
        <w:t xml:space="preserve">Belegt, beobachtet oder theoretisch.</w:t>
      </w:r>
      <w:r>
        <w:t xml:space="preserve"> </w:t>
      </w:r>
      <w:r>
        <w:t xml:space="preserve">Ein Risiko ist am besten belegt, wenn es in randomisierten Studien (RCTs) häufiger unter dem Wirkstoff als unter Placebo auftrat. Beobachtungsstudien mit Versicherungs- oder Registerdaten erfassen dagegen sehr viele Menschen und seltene Ereignisse, können aber Ursache und Begleitumstand nicht sicher trennen. Meldedatenbanken für Nebenwirkungen zeigen nur Signale: Was bekannt und viel diskutiert ist, wird häufiger gemeldet. Theoretische Risiken schließlich leiten sich aus dem Wirkmechanismus, aus Tierversuchen oder Zellkulturen ab. Sie sind kein Beweis für einen Schaden – aber bei Stoffen, die nie systematisch am Menschen untersucht wurden, oft die einzige Information, die es gibt.</w:t>
      </w:r>
    </w:p>
    <w:p>
      <w:pPr>
        <w:pStyle w:val="BodyText"/>
      </w:pPr>
      <w:r>
        <w:rPr>
          <w:bCs/>
          <w:b/>
        </w:rPr>
        <w:t xml:space="preserve">Fehlende Daten sind keine Sicherheit.</w:t>
      </w:r>
      <w:r>
        <w:t xml:space="preserve"> </w:t>
      </w:r>
      <w:r>
        <w:t xml:space="preserve">Wenn in drei kleinen Untersuchungen mit zusammen 30 Personen keine behandlungsbedingten Nebenwirkungen auffielen (so bei BPC-157, Poolton 2026, PMID 42885452), heißt das nur, dass keine sehr häufigen, sofort auftretenden Probleme aufgetreten sind. Eine Nebenwirkung, die eine von tausend Personen trifft, kann eine so kleine Studie gar nicht erkennen. Bei vielen Peptiden der Gruppen B, C und D ist das die Ausgangslage.</w:t>
      </w:r>
    </w:p>
    <w:p>
      <w:pPr>
        <w:pStyle w:val="BodyText"/>
      </w:pPr>
      <w:r>
        <w:rPr>
          <w:bCs/>
          <w:b/>
        </w:rPr>
        <w:t xml:space="preserve">Relatives und absolutes Risiko.</w:t>
      </w:r>
      <w:r>
        <w:t xml:space="preserve"> </w:t>
      </w:r>
      <w:r>
        <w:t xml:space="preserve">Schlagzeilen nennen meist relative Zahlen: „dreimal so häufig“. Entscheidend für die eigene Abwägung ist aber, wie viele Menschen tatsächlich betroffen sind. Ein Beispiel aus diesem Teil: In einer dänisch-norwegischen Registerstudie war eine bestimmte Durchblutungsstörung des Sehnervs unter Semaglutid fast dreimal so häufig wie unter einem Vergleichsmedikament (Hazard Ratio 2,81). In absoluten Zahlen bedeutete das rund 1,4 zusätzliche Fälle pro 10.000 Personenjahre</w:t>
      </w:r>
      <w:r>
        <w:rPr>
          <w:rStyle w:val="FootnoteReference"/>
        </w:rPr>
        <w:footnoteReference w:id="2603"/>
      </w:r>
      <w:r>
        <w:t xml:space="preserve">. Beides ist richtig – und beides gehört zur Information.</w:t>
      </w:r>
    </w:p>
    <w:p>
      <w:pPr>
        <w:pStyle w:val="BodyText"/>
      </w:pPr>
      <w:r>
        <w:t xml:space="preserve">Schließlich zählt das Verhältnis von Nutzen und Risiko. Ein Medikament gegen Typ-2-Diabetes, das in großen Studien Herzinfarkte und Schlaganfälle verringert, darf seltene Nebenwirkungen haben, die bei einem Bräunungsmittel oder einem „Longevity-Peptid“ ohne belegten Nutzen nicht hinnehmbar wären. Wer ein zugelassenes Medikament mit ärztlicher Begleitung und klarer Indikation verwendet, ist in einer völlig anderen Lage als jemand, der ein ungeprüftes Pulver aus dem Internet spritzt. Wie man Studien liest, erklärt Teil I im Kapitel „Studien richtig lesen“.</w:t>
      </w:r>
    </w:p>
    <w:p>
      <w:pPr>
        <w:pStyle w:val="BodyText"/>
      </w:pPr>
      <w:r>
        <w:t xml:space="preserve">Teil IV ist so aufgebaut: Dieses Kapitel ordnet die Nebenwirkungen nach Organsystemen. Danach folgen Kapitel zum Krebsrisiko und zu Wachstumssignalen, zu Immunreaktionen, zu Laboranalysen von Graumarkt-Produkten und zu Wechselwirkungen und besonders gefährdeten Personengruppen.</w:t>
      </w:r>
    </w:p>
    <w:bookmarkStart w:id="2661" w:name="nebenwirkungen-nach-organsystemen"/>
    <w:p>
      <w:pPr>
        <w:pStyle w:val="Heading2"/>
      </w:pPr>
      <w:r>
        <w:t xml:space="preserve">Nebenwirkungen nach Organsystemen</w:t>
      </w:r>
    </w:p>
    <w:p>
      <w:pPr>
        <w:pStyle w:val="FirstParagraph"/>
      </w:pPr>
      <w:r>
        <w:t xml:space="preserve">Die folgende Übersicht fasst zusammen, welche Organsysteme bei welchen Peptiden am häufigsten betroffen sind. Die Spalte „Häufigkeit/Belege“ nennt eine typische Größenordnung aus einer der Studien, die in diesem Kapitel oder im angegebenen Peptid-Kapitel besprochen werden. Die Zahlen stammen aus unterschiedlichen Studien und Bevölkerungsgruppen und sind deshalb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Organsystem</w:t>
            </w:r>
          </w:p>
        </w:tc>
        <w:tc>
          <w:tcPr/>
          <w:p>
            <w:pPr>
              <w:pStyle w:val="Compact"/>
              <w:jc w:val="left"/>
            </w:pPr>
            <w:r>
              <w:t xml:space="preserve">Betroffene Peptide</w:t>
            </w:r>
          </w:p>
        </w:tc>
        <w:tc>
          <w:tcPr/>
          <w:p>
            <w:pPr>
              <w:pStyle w:val="Compact"/>
              <w:jc w:val="left"/>
            </w:pPr>
            <w:r>
              <w:t xml:space="preserve">Häufigkeit/Belege</w:t>
            </w:r>
          </w:p>
        </w:tc>
        <w:tc>
          <w:tcPr/>
          <w:p>
            <w:pPr>
              <w:pStyle w:val="Compact"/>
              <w:jc w:val="left"/>
            </w:pPr>
            <w:r>
              <w:t xml:space="preserve">Kapitel</w:t>
            </w:r>
          </w:p>
        </w:tc>
      </w:tr>
      <w:tr>
        <w:tc>
          <w:tcPr/>
          <w:p>
            <w:pPr>
              <w:pStyle w:val="Compact"/>
              <w:jc w:val="left"/>
            </w:pPr>
            <w:r>
              <w:t xml:space="preserve">Magen-Darm</w:t>
            </w:r>
          </w:p>
        </w:tc>
        <w:tc>
          <w:tcPr/>
          <w:p>
            <w:pPr>
              <w:pStyle w:val="Compact"/>
              <w:jc w:val="left"/>
            </w:pPr>
            <w:r>
              <w:t xml:space="preserve">alle GLP-1-Medikamente, Pramlintid, Bremelanotid, Setmelanotid</w:t>
            </w:r>
          </w:p>
        </w:tc>
        <w:tc>
          <w:tcPr/>
          <w:p>
            <w:pPr>
              <w:pStyle w:val="Compact"/>
              <w:jc w:val="left"/>
            </w:pPr>
            <w:r>
              <w:t xml:space="preserve">sehr häufig; CagriSema 79,6 % vs. 39,9 % unter Placebo (Garvey 2025, PMID 40544433)</w:t>
            </w:r>
          </w:p>
        </w:tc>
        <w:tc>
          <w:tcPr/>
          <w:p>
            <w:pPr>
              <w:pStyle w:val="Compact"/>
              <w:jc w:val="left"/>
            </w:pPr>
            <w:r>
              <w:t xml:space="preserve">Semaglutid, Survodutid, Cagrilintid</w:t>
            </w:r>
          </w:p>
        </w:tc>
      </w:tr>
      <w:tr>
        <w:tc>
          <w:tcPr/>
          <w:p>
            <w:pPr>
              <w:pStyle w:val="Compact"/>
              <w:jc w:val="left"/>
            </w:pPr>
            <w:r>
              <w:t xml:space="preserve">Gallenblase</w:t>
            </w:r>
          </w:p>
        </w:tc>
        <w:tc>
          <w:tcPr/>
          <w:p>
            <w:pPr>
              <w:pStyle w:val="Compact"/>
              <w:jc w:val="left"/>
            </w:pPr>
            <w:r>
              <w:t xml:space="preserve">GLP-1-Klasse, v. a. bei Gewichtsabnahme</w:t>
            </w:r>
          </w:p>
        </w:tc>
        <w:tc>
          <w:tcPr/>
          <w:p>
            <w:pPr>
              <w:pStyle w:val="Compact"/>
              <w:jc w:val="left"/>
            </w:pPr>
            <w:r>
              <w:t xml:space="preserve">relatives Risiko 1,37 (alle Studien), 2,29 (Abnehmstudien)</w:t>
            </w:r>
          </w:p>
        </w:tc>
        <w:tc>
          <w:tcPr/>
          <w:p>
            <w:pPr>
              <w:pStyle w:val="Compact"/>
              <w:jc w:val="left"/>
            </w:pPr>
            <w:r>
              <w:t xml:space="preserve">Liraglutid, Tirzepatid</w:t>
            </w:r>
          </w:p>
        </w:tc>
      </w:tr>
      <w:tr>
        <w:tc>
          <w:tcPr/>
          <w:p>
            <w:pPr>
              <w:pStyle w:val="Compact"/>
              <w:jc w:val="left"/>
            </w:pPr>
            <w:r>
              <w:t xml:space="preserve">Bauchspeicheldrüse</w:t>
            </w:r>
          </w:p>
        </w:tc>
        <w:tc>
          <w:tcPr/>
          <w:p>
            <w:pPr>
              <w:pStyle w:val="Compact"/>
              <w:jc w:val="left"/>
            </w:pPr>
            <w:r>
              <w:t xml:space="preserve">GLP-1-Klasse</w:t>
            </w:r>
          </w:p>
        </w:tc>
        <w:tc>
          <w:tcPr/>
          <w:p>
            <w:pPr>
              <w:pStyle w:val="Compact"/>
              <w:jc w:val="left"/>
            </w:pPr>
            <w:r>
              <w:t xml:space="preserve">Signal in Meta-Analysen, absolut selten</w:t>
            </w:r>
          </w:p>
        </w:tc>
        <w:tc>
          <w:tcPr/>
          <w:p>
            <w:pPr>
              <w:pStyle w:val="Compact"/>
              <w:jc w:val="left"/>
            </w:pPr>
            <w:r>
              <w:t xml:space="preserve">Exenatid, Semaglutid</w:t>
            </w:r>
          </w:p>
        </w:tc>
      </w:tr>
      <w:tr>
        <w:tc>
          <w:tcPr/>
          <w:p>
            <w:pPr>
              <w:pStyle w:val="Compact"/>
              <w:jc w:val="left"/>
            </w:pPr>
            <w:r>
              <w:t xml:space="preserve">Schilddrüse</w:t>
            </w:r>
          </w:p>
        </w:tc>
        <w:tc>
          <w:tcPr/>
          <w:p>
            <w:pPr>
              <w:pStyle w:val="Compact"/>
              <w:jc w:val="left"/>
            </w:pPr>
            <w:r>
              <w:t xml:space="preserve">GLP-1-Klasse</w:t>
            </w:r>
          </w:p>
        </w:tc>
        <w:tc>
          <w:tcPr/>
          <w:p>
            <w:pPr>
              <w:pStyle w:val="Compact"/>
              <w:jc w:val="left"/>
            </w:pPr>
            <w:r>
              <w:t xml:space="preserve">Tierbefund gesichert, beim Menschen uneinheitlich</w:t>
            </w:r>
          </w:p>
        </w:tc>
        <w:tc>
          <w:tcPr/>
          <w:p>
            <w:pPr>
              <w:pStyle w:val="Compact"/>
              <w:jc w:val="left"/>
            </w:pPr>
            <w:r>
              <w:t xml:space="preserve">Liraglutid, Kapitel Krebsrisiko</w:t>
            </w:r>
          </w:p>
        </w:tc>
      </w:tr>
      <w:tr>
        <w:tc>
          <w:tcPr/>
          <w:p>
            <w:pPr>
              <w:pStyle w:val="Compact"/>
              <w:jc w:val="left"/>
            </w:pPr>
            <w:r>
              <w:t xml:space="preserve">Augen</w:t>
            </w:r>
          </w:p>
        </w:tc>
        <w:tc>
          <w:tcPr/>
          <w:p>
            <w:pPr>
              <w:pStyle w:val="Compact"/>
              <w:jc w:val="left"/>
            </w:pPr>
            <w:r>
              <w:t xml:space="preserve">Semaglutid (NAION, Retinopathie)</w:t>
            </w:r>
          </w:p>
        </w:tc>
        <w:tc>
          <w:tcPr/>
          <w:p>
            <w:pPr>
              <w:pStyle w:val="Compact"/>
              <w:jc w:val="left"/>
            </w:pPr>
            <w:r>
              <w:t xml:space="preserve">sehr selten; rund 1,4 Fälle pro 10.000 Personenjahre zusätzlich</w:t>
            </w:r>
          </w:p>
        </w:tc>
        <w:tc>
          <w:tcPr/>
          <w:p>
            <w:pPr>
              <w:pStyle w:val="Compact"/>
              <w:jc w:val="left"/>
            </w:pPr>
            <w:r>
              <w:t xml:space="preserve">Semaglutid</w:t>
            </w:r>
          </w:p>
        </w:tc>
      </w:tr>
      <w:tr>
        <w:tc>
          <w:tcPr/>
          <w:p>
            <w:pPr>
              <w:pStyle w:val="Compact"/>
              <w:jc w:val="left"/>
            </w:pPr>
            <w:r>
              <w:t xml:space="preserve">Herz-Kreislauf, Wasser</w:t>
            </w:r>
          </w:p>
        </w:tc>
        <w:tc>
          <w:tcPr/>
          <w:p>
            <w:pPr>
              <w:pStyle w:val="Compact"/>
              <w:jc w:val="left"/>
            </w:pPr>
            <w:r>
              <w:t xml:space="preserve">GH-Freisetzer, Ibutamoren, Bremelanotid, Macimorelin, Oxytocin</w:t>
            </w:r>
          </w:p>
        </w:tc>
        <w:tc>
          <w:tcPr/>
          <w:p>
            <w:pPr>
              <w:pStyle w:val="Compact"/>
              <w:jc w:val="left"/>
            </w:pPr>
            <w:r>
              <w:t xml:space="preserve">Herzinsuffizienz-Signal, Blutdruckspitzen, QT-Verlängerung</w:t>
            </w:r>
          </w:p>
        </w:tc>
        <w:tc>
          <w:tcPr/>
          <w:p>
            <w:pPr>
              <w:pStyle w:val="Compact"/>
              <w:jc w:val="left"/>
            </w:pPr>
            <w:r>
              <w:t xml:space="preserve">Ibutamoren, Bremelanotid, Macimorelin</w:t>
            </w:r>
          </w:p>
        </w:tc>
      </w:tr>
      <w:tr>
        <w:tc>
          <w:tcPr/>
          <w:p>
            <w:pPr>
              <w:pStyle w:val="Compact"/>
              <w:jc w:val="left"/>
            </w:pPr>
            <w:r>
              <w:t xml:space="preserve">Psyche</w:t>
            </w:r>
          </w:p>
        </w:tc>
        <w:tc>
          <w:tcPr/>
          <w:p>
            <w:pPr>
              <w:pStyle w:val="Compact"/>
              <w:jc w:val="left"/>
            </w:pPr>
            <w:r>
              <w:t xml:space="preserve">GLP-1-Klasse (geprüft), Setmelanotid, Semax</w:t>
            </w:r>
          </w:p>
        </w:tc>
        <w:tc>
          <w:tcPr/>
          <w:p>
            <w:pPr>
              <w:pStyle w:val="Compact"/>
              <w:jc w:val="left"/>
            </w:pPr>
            <w:r>
              <w:t xml:space="preserve">kein erhöhtes Risiko in 86 RCTs</w:t>
            </w:r>
          </w:p>
        </w:tc>
        <w:tc>
          <w:tcPr/>
          <w:p>
            <w:pPr>
              <w:pStyle w:val="Compact"/>
              <w:jc w:val="left"/>
            </w:pPr>
            <w:r>
              <w:t xml:space="preserve">Semaglutid, Tirzepatid, Setmelanotid</w:t>
            </w:r>
          </w:p>
        </w:tc>
      </w:tr>
      <w:tr>
        <w:tc>
          <w:tcPr/>
          <w:p>
            <w:pPr>
              <w:pStyle w:val="Compact"/>
              <w:jc w:val="left"/>
            </w:pPr>
            <w:r>
              <w:t xml:space="preserve">Haut, Pigment</w:t>
            </w:r>
          </w:p>
        </w:tc>
        <w:tc>
          <w:tcPr/>
          <w:p>
            <w:pPr>
              <w:pStyle w:val="Compact"/>
              <w:jc w:val="left"/>
            </w:pPr>
            <w:r>
              <w:t xml:space="preserve">Melanotan II, Setmelanotid, Afamelanotid, Bremelanotid, LL-37</w:t>
            </w:r>
          </w:p>
        </w:tc>
        <w:tc>
          <w:tcPr/>
          <w:p>
            <w:pPr>
              <w:pStyle w:val="Compact"/>
              <w:jc w:val="left"/>
            </w:pPr>
            <w:r>
              <w:t xml:space="preserve">Pigmentierung bei Setmelanotid 62 %; Melanom-Fallberichte bei Melanotan II</w:t>
            </w:r>
          </w:p>
        </w:tc>
        <w:tc>
          <w:tcPr/>
          <w:p>
            <w:pPr>
              <w:pStyle w:val="Compact"/>
              <w:jc w:val="left"/>
            </w:pPr>
            <w:r>
              <w:t xml:space="preserve">Melanotan II, Setmelanotid</w:t>
            </w:r>
          </w:p>
        </w:tc>
      </w:tr>
      <w:tr>
        <w:tc>
          <w:tcPr/>
          <w:p>
            <w:pPr>
              <w:pStyle w:val="Compact"/>
              <w:jc w:val="left"/>
            </w:pPr>
            <w:r>
              <w:t xml:space="preserve">Hormonsystem</w:t>
            </w:r>
          </w:p>
        </w:tc>
        <w:tc>
          <w:tcPr/>
          <w:p>
            <w:pPr>
              <w:pStyle w:val="Compact"/>
              <w:jc w:val="left"/>
            </w:pPr>
            <w:r>
              <w:t xml:space="preserve">GHRP-2, GHRP-6, Hexarelin, Kisspeptin, Gonadorelin</w:t>
            </w:r>
          </w:p>
        </w:tc>
        <w:tc>
          <w:tcPr/>
          <w:p>
            <w:pPr>
              <w:pStyle w:val="Compact"/>
              <w:jc w:val="left"/>
            </w:pPr>
            <w:r>
              <w:t xml:space="preserve">Cortisol- und Prolaktinanstieg; Unterdrückung der Achse bei Dauergabe</w:t>
            </w:r>
          </w:p>
        </w:tc>
        <w:tc>
          <w:tcPr/>
          <w:p>
            <w:pPr>
              <w:pStyle w:val="Compact"/>
              <w:jc w:val="left"/>
            </w:pPr>
            <w:r>
              <w:t xml:space="preserve">Gruppe C, Kisspeptin</w:t>
            </w:r>
          </w:p>
        </w:tc>
      </w:tr>
      <w:tr>
        <w:tc>
          <w:tcPr/>
          <w:p>
            <w:pPr>
              <w:pStyle w:val="Compact"/>
              <w:jc w:val="left"/>
            </w:pPr>
            <w:r>
              <w:t xml:space="preserve">Blutzucker</w:t>
            </w:r>
          </w:p>
        </w:tc>
        <w:tc>
          <w:tcPr/>
          <w:p>
            <w:pPr>
              <w:pStyle w:val="Compact"/>
              <w:jc w:val="left"/>
            </w:pPr>
            <w:r>
              <w:t xml:space="preserve">Mecasermin, Pramlintid, GLP-1 mit Insulin/Sulfonylharnstoff; GH-Achse</w:t>
            </w:r>
          </w:p>
        </w:tc>
        <w:tc>
          <w:tcPr/>
          <w:p>
            <w:pPr>
              <w:pStyle w:val="Compact"/>
              <w:jc w:val="left"/>
            </w:pPr>
            <w:r>
              <w:t xml:space="preserve">Unterzuckerung bei 49 % unter Mecasermin; höherer Blutzucker unter Ibutamoren</w:t>
            </w:r>
          </w:p>
        </w:tc>
        <w:tc>
          <w:tcPr/>
          <w:p>
            <w:pPr>
              <w:pStyle w:val="Compact"/>
              <w:jc w:val="left"/>
            </w:pPr>
            <w:r>
              <w:t xml:space="preserve">Mecasermin, Pramlintid, Ibutamoren</w:t>
            </w:r>
          </w:p>
        </w:tc>
      </w:tr>
    </w:tbl>
    <w:bookmarkStart w:id="2613" w:name="magen-darm-trakt"/>
    <w:p>
      <w:pPr>
        <w:pStyle w:val="Heading3"/>
      </w:pPr>
      <w:r>
        <w:t xml:space="preserve">Magen-Darm-Trakt</w:t>
      </w:r>
    </w:p>
    <w:p>
      <w:pPr>
        <w:pStyle w:val="FirstParagraph"/>
      </w:pPr>
      <w:r>
        <w:t xml:space="preserve">Kein anderes Organsystem ist so häufig betroffen. Übelkeit, Erbrechen, Durchfall und Verstopfung sind die typischen Nebenwirkungen aller Medikamente, die am GLP-1-Rezeptor ansetzen – vom älteren Exenatid über Semaglutid und Tirzepatid bis zu den neuen Mehrfach-Agonisten. Eine Übersichtsarbeit, die 60 Meta-Analysen mit zusammen 1.751 randomisierten Studien zusammenfasste, fand die sichersten Signale genau hier: Die Chance (Odds) für Übelkeit war unter GLP-1-Rezeptor-Agonisten etwa zweieinhalbmal so hoch wie in den Vergleichsgruppen (Odds Ratio 2,47), für Erbrechen knapp dreimal (2,78) und für Durchfall etwa doppelt so hoch (1,94)</w:t>
      </w:r>
      <w:r>
        <w:rPr>
          <w:rStyle w:val="FootnoteReference"/>
        </w:rPr>
        <w:footnoteReference w:id="2604"/>
      </w:r>
      <w:r>
        <w:t xml:space="preserve">.</w:t>
      </w:r>
    </w:p>
    <w:p>
      <w:pPr>
        <w:pStyle w:val="BodyText"/>
      </w:pPr>
      <w:r>
        <w:t xml:space="preserve">Wie häufig die Beschwerden sind, hängt stark vom Wirkstoff, von der Dosis und vom Tempo der Dosissteigerung ab. Eine Netzwerk-Meta-Analyse von 39 Studien mit 33.354 Menschen mit Übergewicht ohne Diabetes fand für alle untersuchten Wirkstoffe ein erhöhtes Übelkeitsrisiko, am stärksten für Orforglipron, gefolgt von Exenatid, Tirzepatid, Semaglutid und Liraglutid</w:t>
      </w:r>
      <w:r>
        <w:rPr>
          <w:rStyle w:val="FootnoteReference"/>
        </w:rPr>
        <w:footnoteReference w:id="2605"/>
      </w:r>
      <w:r>
        <w:t xml:space="preserve">. Bei den Wirkstoffen mit zusätzlichem Glukagon-Anteil liegen die Raten besonders hoch: In der Fettleberstudie mit Survodutid hatten 66 % Übelkeit gegenüber 23 % unter Placebo</w:t>
      </w:r>
      <w:r>
        <w:rPr>
          <w:rStyle w:val="FootnoteReference"/>
        </w:rPr>
        <w:footnoteReference w:id="2606"/>
      </w:r>
      <w:r>
        <w:t xml:space="preserve">. Einzelheiten stehen in den Kapiteln Survodutid, Mazdutid und Retatrutid.</w:t>
      </w:r>
    </w:p>
    <w:p>
      <w:pPr>
        <w:pStyle w:val="BodyText"/>
      </w:pPr>
      <w:r>
        <w:t xml:space="preserve">Auch außerhalb der GLP-1-Gruppe ist Übelkeit häufig. Unter Bremelanotid trat sie in den Phase-3-Studien bei 40,0 % gegenüber 1,3 % unter Placebo auf und war der häufigste Abbruchgrund</w:t>
      </w:r>
      <w:r>
        <w:rPr>
          <w:rStyle w:val="FootnoteReference"/>
        </w:rPr>
        <w:footnoteReference w:id="2607"/>
      </w:r>
      <w:r>
        <w:t xml:space="preserve">. Unter Pramlintid berichteten 63 % über Übelkeit, unter Placebo 36 %</w:t>
      </w:r>
      <w:r>
        <w:rPr>
          <w:rStyle w:val="FootnoteReference"/>
        </w:rPr>
        <w:footnoteReference w:id="2608"/>
      </w:r>
      <w:r>
        <w:t xml:space="preserve">. Unter Setmelanotid waren es in einer Meta-Analyse von sieben Studien 36 %</w:t>
      </w:r>
      <w:r>
        <w:rPr>
          <w:rStyle w:val="FootnoteReference"/>
        </w:rPr>
        <w:footnoteReference w:id="2609"/>
      </w:r>
      <w:r>
        <w:t xml:space="preserve">.</w:t>
      </w:r>
    </w:p>
    <w:p>
      <w:pPr>
        <w:pStyle w:val="BodyText"/>
      </w:pPr>
      <w:r>
        <w:t xml:space="preserve">Wichtiger als die Häufigkeit der Übelkeit ist die Frage nach</w:t>
      </w:r>
      <w:r>
        <w:t xml:space="preserve"> </w:t>
      </w:r>
      <w:r>
        <w:rPr>
          <w:bCs/>
          <w:b/>
        </w:rPr>
        <w:t xml:space="preserve">schweren</w:t>
      </w:r>
      <w:r>
        <w:t xml:space="preserve"> </w:t>
      </w:r>
      <w:r>
        <w:t xml:space="preserve">Magen-Darm-Ereignissen. Eine Datenbankauswertung aus dem Jahr 2023 hatte für GLP-1-Rezeptor-Agonisten zur Gewichtsabnahme ein erhöhtes Risiko für Bauchspeicheldrüsenentzündung, Darmverschluss und Magenlähmung gemeldet</w:t>
      </w:r>
      <w:r>
        <w:rPr>
          <w:rStyle w:val="FootnoteReference"/>
        </w:rPr>
        <w:footnoteReference w:id="2610"/>
      </w:r>
      <w:r>
        <w:t xml:space="preserve">. Eine Meta-Analyse von 55 placebokontrollierten Studien mit 106.395 Teilnehmenden bestätigte das für die meisten dieser Ereignisse nicht. Erhöht waren Gallensteine (relatives Risiko 1,46; zwei zusätzliche Fälle pro 1.000 Behandelte) und wahrscheinlich die Refluxkrankheit (relatives Risiko 2,19; vier zusätzliche Fälle pro 1.000). Für Darmverschluss, Magenlähmung, Geschwüre oder Blutungen fand sich kein klarer Unterschied</w:t>
      </w:r>
      <w:r>
        <w:rPr>
          <w:rStyle w:val="FootnoteReference"/>
        </w:rPr>
        <w:footnoteReference w:id="2611"/>
      </w:r>
      <w:r>
        <w:t xml:space="preserve">. In einer Kohortenstudie mit Routinedaten unterschieden sich Tirzepatid und Semaglutid bei schweren Magen-Darm-Ereignissen kaum</w:t>
      </w:r>
      <w:r>
        <w:rPr>
          <w:rStyle w:val="FootnoteReference"/>
        </w:rPr>
        <w:footnoteReference w:id="2612"/>
      </w:r>
      <w:r>
        <w:t xml:space="preserve">.</w:t>
      </w:r>
    </w:p>
    <w:p>
      <w:pPr>
        <w:pStyle w:val="BodyText"/>
      </w:pPr>
      <w:r>
        <w:t xml:space="preserve">Praktisch bedeutsam ist, dass anhaltendes Erbrechen und Durchfall zu Flüssigkeitsverlust führen können. Die Beschwerden treten in den Studien vor allem in der Phase der Dosissteigerung auf; deshalb sehen die Fachinformationen der zugelassenen Mittel ein schrittweises Vorgehen vor, das ärztlich begleitet werden soll. Mit Graumarkt-Produkten, deren Inhalt nicht bekannt ist, lässt sich ein solches Schema nicht verlässlich einhalten (siehe Kapitel „Graumarkt-Produkte“).</w:t>
      </w:r>
    </w:p>
    <w:bookmarkEnd w:id="2613"/>
    <w:bookmarkStart w:id="2617" w:name="gallenblase-und-bauchspeicheldrüse"/>
    <w:p>
      <w:pPr>
        <w:pStyle w:val="Heading3"/>
      </w:pPr>
      <w:r>
        <w:t xml:space="preserve">Gallenblase und Bauchspeicheldrüse</w:t>
      </w:r>
    </w:p>
    <w:p>
      <w:pPr>
        <w:pStyle w:val="FirstParagraph"/>
      </w:pPr>
      <w:r>
        <w:t xml:space="preserve">Für die Gallenblase ist das Risiko inzwischen gut belegt. Eine Meta-Analyse von 76 randomisierten Studien mit 103.371 Teilnehmenden fand unter GLP-1-Rezeptor-Agonisten ein um 37 % erhöhtes relatives Risiko für Gallenblasen- und Gallenwegserkrankungen. In Studien zur Gewichtsabnahme war das relative Risiko mit 2,29 deutlich höher als in Diabetesstudien</w:t>
      </w:r>
      <w:r>
        <w:rPr>
          <w:rStyle w:val="FootnoteReference"/>
        </w:rPr>
        <w:footnoteReference w:id="2614"/>
      </w:r>
      <w:r>
        <w:t xml:space="preserve">. Ein Teil des Effekts dürfte auf die rasche Gewichtsabnahme selbst zurückgehen, die bekanntermaßen Gallensteine begünstigt. In STEP TEENS bekamen 5 von 133 Jugendlichen unter Semaglutid Gallensteine, unter Placebo niemand</w:t>
      </w:r>
      <w:r>
        <w:rPr>
          <w:rStyle w:val="FootnoteReference"/>
        </w:rPr>
        <w:footnoteReference w:id="2615"/>
      </w:r>
      <w:r>
        <w:t xml:space="preserve">.</w:t>
      </w:r>
    </w:p>
    <w:p>
      <w:pPr>
        <w:pStyle w:val="BodyText"/>
      </w:pPr>
      <w:r>
        <w:t xml:space="preserve">Bei der Bauchspeicheldrüse ist die Lage weniger eindeutig. Eine Meta-Analyse von 62 Studien mit 66.232 Teilnehmenden fand insgesamt ein leicht erhöhtes Risiko für eine Bauchspeicheldrüsenentzündung (relatives Risiko 1,44). Wurden die Studien danach getrennt, ob die Teilnehmenden zusätzlich andere Medikamente einnahmen, war der Unterschied in keiner der beiden Gruppen mehr statistisch gesichert</w:t>
      </w:r>
      <w:r>
        <w:rPr>
          <w:rStyle w:val="FootnoteReference"/>
        </w:rPr>
        <w:footnoteReference w:id="2616"/>
      </w:r>
      <w:r>
        <w:t xml:space="preserve">. Die absolute Häufigkeit ist gering; in den großen Endpunktstudien trat eine Pankreatitis selten auf. Die Fachinformationen führen sie als seltene Nebenwirkung. Starke, anhaltende Oberbauchschmerzen, oft in den Rücken ausstrahlend, gehören unter diesen Medikamenten immer ärztlich abgeklärt. Zur Frage nach Bauchspeicheldrüsenkrebs siehe das folgende Kapitel.</w:t>
      </w:r>
    </w:p>
    <w:bookmarkEnd w:id="2617"/>
    <w:bookmarkStart w:id="2619" w:name="schilddrüse"/>
    <w:p>
      <w:pPr>
        <w:pStyle w:val="Heading3"/>
      </w:pPr>
      <w:r>
        <w:t xml:space="preserve">Schilddrüse</w:t>
      </w:r>
    </w:p>
    <w:p>
      <w:pPr>
        <w:pStyle w:val="FirstParagraph"/>
      </w:pPr>
      <w:r>
        <w:t xml:space="preserve">Die Sorge um die Schilddrüse stammt aus Tierversuchen: Bei Ratten und Mäusen führten GLP-1-Rezeptor-Agonisten zu Wucherungen und Tumoren der C-Zellen, die das Hormon Calcitonin bilden. Beim Menschen sind die Daten uneinheitlich. Ein direkter Hinweis auf eine Reizung der C-Zellen wäre ein Anstieg des Calcitonins im Blut. In der Studie LEADER mit 9.340 Teilnehmenden unterschieden sich die Calcitoninwerte nach 36 Monaten zwischen Liraglutid und Placebo nicht, und unter Liraglutid trat kein medulläres Schilddrüsenkarzinom auf</w:t>
      </w:r>
      <w:r>
        <w:rPr>
          <w:rStyle w:val="FootnoteReference"/>
        </w:rPr>
        <w:footnoteReference w:id="2618"/>
      </w:r>
      <w:r>
        <w:t xml:space="preserve">. Wie die Krebsfrage insgesamt zu bewerten ist, behandelt das Kapitel „Krebsrisiko und Wachstumssignale“. Unabhängig davon sehen die Fachinformationen eine Gegenanzeige bei medullärem Schilddrüsenkarzinom in der eigenen oder familiären Vorgeschichte und beim MEN-2-Syndrom vor.</w:t>
      </w:r>
    </w:p>
    <w:bookmarkEnd w:id="2619"/>
    <w:bookmarkStart w:id="2627" w:name="augen-netzhaut-und-sehnerv"/>
    <w:p>
      <w:pPr>
        <w:pStyle w:val="Heading3"/>
      </w:pPr>
      <w:r>
        <w:t xml:space="preserve">Augen: Netzhaut und Sehnerv</w:t>
      </w:r>
    </w:p>
    <w:p>
      <w:pPr>
        <w:pStyle w:val="FirstParagraph"/>
      </w:pPr>
      <w:r>
        <w:t xml:space="preserve">Hier gibt es zwei unterschiedliche Fragen.</w:t>
      </w:r>
    </w:p>
    <w:p>
      <w:pPr>
        <w:pStyle w:val="BodyText"/>
      </w:pPr>
      <w:r>
        <w:rPr>
          <w:bCs/>
          <w:b/>
        </w:rPr>
        <w:t xml:space="preserve">Diabetische Retinopathie.</w:t>
      </w:r>
      <w:r>
        <w:t xml:space="preserve"> </w:t>
      </w:r>
      <w:r>
        <w:t xml:space="preserve">In SUSTAIN 6, einer Herz-Kreislauf-Studie mit 3.297 Menschen mit Typ-2-Diabetes, traten Komplikationen einer diabetischen Netzhauterkrankung unter Semaglutid häufiger auf als unter Placebo (Hazard Ratio 1,76)</w:t>
      </w:r>
      <w:r>
        <w:rPr>
          <w:rStyle w:val="FootnoteReference"/>
        </w:rPr>
        <w:footnoteReference w:id="2620"/>
      </w:r>
      <w:r>
        <w:t xml:space="preserve">. Vermutet wird, dass eine sehr rasche Senkung des Blutzuckers eine bereits bestehende Retinopathie vorübergehend verschlechtert – ein Phänomen, das auch von Insulin bekannt ist. Eine Meta-Analyse von 78 Studien mit 73.640 Teilnehmenden fand insgesamt kein erhöhtes Risiko für diabetische Retinopathie (Odds Ratio 1,04) oder Augenerkrankungen allgemein</w:t>
      </w:r>
      <w:r>
        <w:rPr>
          <w:rStyle w:val="FootnoteReference"/>
        </w:rPr>
        <w:footnoteReference w:id="2621"/>
      </w:r>
      <w:r>
        <w:t xml:space="preserve">. Für Menschen mit bekannter Retinopathie bleibt die augenärztliche Begleitung trotzdem sinnvoll.</w:t>
      </w:r>
    </w:p>
    <w:p>
      <w:pPr>
        <w:pStyle w:val="BodyText"/>
      </w:pPr>
      <w:r>
        <w:rPr>
          <w:bCs/>
          <w:b/>
        </w:rPr>
        <w:t xml:space="preserve">NAION.</w:t>
      </w:r>
      <w:r>
        <w:t xml:space="preserve"> </w:t>
      </w:r>
      <w:r>
        <w:t xml:space="preserve">Die nicht-arteriitische anteriore ischämische Optikusneuropathie ist eine Durchblutungsstörung am Sehnervenkopf, die meist schmerzlos zu plötzlichem Sehverlust auf einem Auge führt. Seit einer ersten Studie aus einer neuroophthalmologischen Klinik</w:t>
      </w:r>
      <w:r>
        <w:rPr>
          <w:rStyle w:val="FootnoteReference"/>
        </w:rPr>
        <w:footnoteReference w:id="2622"/>
      </w:r>
      <w:r>
        <w:t xml:space="preserve"> </w:t>
      </w:r>
      <w:r>
        <w:t xml:space="preserve">sind viele weitere Untersuchungen erschienen, mit unterschiedlichen Ergebnissen:</w:t>
      </w:r>
    </w:p>
    <w:p>
      <w:pPr>
        <w:numPr>
          <w:ilvl w:val="0"/>
          <w:numId w:val="1337"/>
        </w:numPr>
        <w:pStyle w:val="Compact"/>
      </w:pPr>
      <w:r>
        <w:t xml:space="preserve">Die dänisch-norwegische Registerstudie fand ein erhöhtes relatives Risiko (Hazard Ratio 2,81), absolut rund 1,4 zusätzliche Fälle pro 10.000 Personenjahre</w:t>
      </w:r>
      <w:r>
        <w:rPr>
          <w:rStyle w:val="FootnoteReference"/>
        </w:rPr>
        <w:footnoteReference w:id="2623"/>
      </w:r>
      <w:r>
        <w:t xml:space="preserve">.</w:t>
      </w:r>
    </w:p>
    <w:p>
      <w:pPr>
        <w:numPr>
          <w:ilvl w:val="0"/>
          <w:numId w:val="1337"/>
        </w:numPr>
        <w:pStyle w:val="Compact"/>
      </w:pPr>
      <w:r>
        <w:t xml:space="preserve">In einer US-Kohorte mit 159.398 Menschen mit Typ-2-Diabetes erkrankten in zwei Jahren 0,04 % unter Semaglutid oder Tirzepatid und 0,02 % in der Vergleichsgruppe (Hazard Ratio 1,76)</w:t>
      </w:r>
      <w:r>
        <w:rPr>
          <w:rStyle w:val="FootnoteReference"/>
        </w:rPr>
        <w:footnoteReference w:id="2624"/>
      </w:r>
      <w:r>
        <w:t xml:space="preserve">.</w:t>
      </w:r>
    </w:p>
    <w:p>
      <w:pPr>
        <w:numPr>
          <w:ilvl w:val="0"/>
          <w:numId w:val="1337"/>
        </w:numPr>
        <w:pStyle w:val="Compact"/>
      </w:pPr>
      <w:r>
        <w:t xml:space="preserve">Eine internationale Datenbankstudie mit fast 300.000 Personen fand keinen gesicherten Zusammenhang</w:t>
      </w:r>
      <w:r>
        <w:rPr>
          <w:rStyle w:val="FootnoteReference"/>
        </w:rPr>
        <w:footnoteReference w:id="2625"/>
      </w:r>
      <w:r>
        <w:t xml:space="preserve">.</w:t>
      </w:r>
    </w:p>
    <w:p>
      <w:pPr>
        <w:numPr>
          <w:ilvl w:val="0"/>
          <w:numId w:val="1337"/>
        </w:numPr>
        <w:pStyle w:val="Compact"/>
      </w:pPr>
      <w:r>
        <w:t xml:space="preserve">Eine Meta-Analyse sah das Signal nur in Beobachtungsstudien bei Diabetes, nicht in randomisierten Studien und nicht bei Adipositas</w:t>
      </w:r>
      <w:r>
        <w:rPr>
          <w:rStyle w:val="FootnoteReference"/>
        </w:rPr>
        <w:footnoteReference w:id="2626"/>
      </w:r>
      <w:r>
        <w:t xml:space="preserve">.</w:t>
      </w:r>
    </w:p>
    <w:p>
      <w:pPr>
        <w:pStyle w:val="FirstParagraph"/>
      </w:pPr>
      <w:r>
        <w:t xml:space="preserve">Zusammengefasst: Ein kleines erhöhtes Risiko ist möglich, die absolute Häufigkeit sehr gering. Die Europäische Arzneimittel-Agentur hat NAION 2025 als sehr seltene Nebenwirkung von Semaglutid in die Fachinformation aufgenommen. Plötzlicher Sehverlust ist in jedem Fall ein Notfall. Details im Kapitel Semaglutid.</w:t>
      </w:r>
    </w:p>
    <w:bookmarkEnd w:id="2627"/>
    <w:bookmarkStart w:id="2636" w:name="herz-kreislauf-und-wassereinlagerung"/>
    <w:p>
      <w:pPr>
        <w:pStyle w:val="Heading3"/>
      </w:pPr>
      <w:r>
        <w:t xml:space="preserve">Herz-Kreislauf und Wassereinlagerung</w:t>
      </w:r>
    </w:p>
    <w:p>
      <w:pPr>
        <w:pStyle w:val="FirstParagraph"/>
      </w:pPr>
      <w:r>
        <w:t xml:space="preserve">Bei den GLP-1-Medikamenten überwiegt nach heutigem Wissen der Nutzen für Herz und Gefäße: In SUSTAIN 6 traten schwere Herz-Kreislauf-Ereignisse unter Semaglutid seltener auf (6,6 % gegenüber 8,9 %)</w:t>
      </w:r>
      <w:r>
        <w:rPr>
          <w:rStyle w:val="FootnoteReference"/>
        </w:rPr>
        <w:footnoteReference w:id="2628"/>
      </w:r>
      <w:r>
        <w:t xml:space="preserve">. Ein leichter Anstieg des Ruhepulses ist aber eine Klasseneigenschaft und bei den neuen Mehrfach-Agonisten teils stärker ausgeprägt. Unter Retatrutid trat in TRIUMPH-2 außerdem niedriger Blutdruck bei 1 bis 6 % auf, unter Placebo bei unter 1 %</w:t>
      </w:r>
      <w:r>
        <w:rPr>
          <w:rStyle w:val="FootnoteReference"/>
        </w:rPr>
        <w:footnoteReference w:id="2629"/>
      </w:r>
      <w:r>
        <w:t xml:space="preserve">. Siehe Kapitel Retatrutid und Survodutid.</w:t>
      </w:r>
    </w:p>
    <w:p>
      <w:pPr>
        <w:pStyle w:val="BodyText"/>
      </w:pPr>
      <w:r>
        <w:t xml:space="preserve">Ein ganz anderes Muster zeigt die</w:t>
      </w:r>
      <w:r>
        <w:t xml:space="preserve"> </w:t>
      </w:r>
      <w:r>
        <w:rPr>
          <w:bCs/>
          <w:b/>
        </w:rPr>
        <w:t xml:space="preserve">Wachstumshormon-Achse</w:t>
      </w:r>
      <w:r>
        <w:t xml:space="preserve">. Wachstumshormon hält Wasser im Körper zurück. In einer Übersicht über Studien mit gesunden älteren Menschen traten unter Wachstumshormon häufiger Gewebeschwellungen, Gelenkschmerzen, Karpaltunnelsyndrom und Brustvergrößerung bei Männern auf</w:t>
      </w:r>
      <w:r>
        <w:rPr>
          <w:rStyle w:val="FootnoteReference"/>
        </w:rPr>
        <w:footnoteReference w:id="2630"/>
      </w:r>
      <w:r>
        <w:t xml:space="preserve">. Für die Freisetzer, die die körpereigene Ausschüttung anregen, ist ein ähnliches Muster zu erwarten. Am deutlichsten wurde es beim oralen Ibutamoren: Eine Studie bei älteren Menschen nach Hüftbruch wurde wegen eines Signals für Herzschwäche vorzeitig beendet</w:t>
      </w:r>
      <w:r>
        <w:rPr>
          <w:rStyle w:val="FootnoteReference"/>
        </w:rPr>
        <w:footnoteReference w:id="2631"/>
      </w:r>
      <w:r>
        <w:t xml:space="preserve">. Ein Herz, das bereits geschwächt ist, verkraftet zusätzliche Flüssigkeit schlecht.</w:t>
      </w:r>
    </w:p>
    <w:p>
      <w:pPr>
        <w:pStyle w:val="BodyText"/>
      </w:pPr>
      <w:r>
        <w:t xml:space="preserve">Weitere Einzelbefunde:</w:t>
      </w:r>
    </w:p>
    <w:p>
      <w:pPr>
        <w:numPr>
          <w:ilvl w:val="0"/>
          <w:numId w:val="1338"/>
        </w:numPr>
        <w:pStyle w:val="Compact"/>
      </w:pPr>
      <w:r>
        <w:rPr>
          <w:bCs/>
          <w:b/>
        </w:rPr>
        <w:t xml:space="preserve">Bremelanotid</w:t>
      </w:r>
      <w:r>
        <w:t xml:space="preserve"> </w:t>
      </w:r>
      <w:r>
        <w:t xml:space="preserve">erhöhte den oberen Blutdruckwert nach der Gabe vorübergehend um 2,4 bis 3,2 mmHg; die Spitzen dauerten meist weniger als 15 Minuten, gleichzeitig sank der Puls</w:t>
      </w:r>
      <w:r>
        <w:rPr>
          <w:rStyle w:val="FootnoteReference"/>
        </w:rPr>
        <w:footnoteReference w:id="2632"/>
      </w:r>
      <w:r>
        <w:t xml:space="preserve">.</w:t>
      </w:r>
    </w:p>
    <w:p>
      <w:pPr>
        <w:numPr>
          <w:ilvl w:val="0"/>
          <w:numId w:val="1338"/>
        </w:numPr>
        <w:pStyle w:val="Compact"/>
      </w:pPr>
      <w:r>
        <w:rPr>
          <w:bCs/>
          <w:b/>
        </w:rPr>
        <w:t xml:space="preserve">Macimorelin</w:t>
      </w:r>
      <w:r>
        <w:t xml:space="preserve"> </w:t>
      </w:r>
      <w:r>
        <w:t xml:space="preserve">verlängerte in einer bewusst überhöhten Einzeldosis die QT-Zeit im EKG im Mittel um bis zu 9,61 Millisekunden</w:t>
      </w:r>
      <w:r>
        <w:rPr>
          <w:rStyle w:val="FootnoteReference"/>
        </w:rPr>
        <w:footnoteReference w:id="2633"/>
      </w:r>
      <w:r>
        <w:t xml:space="preserve"> </w:t>
      </w:r>
      <w:r>
        <w:t xml:space="preserve">– relevant für Menschen, die andere QT-verlängernde Medikamente einnehmen.</w:t>
      </w:r>
    </w:p>
    <w:p>
      <w:pPr>
        <w:numPr>
          <w:ilvl w:val="0"/>
          <w:numId w:val="1338"/>
        </w:numPr>
        <w:pStyle w:val="Compact"/>
      </w:pPr>
      <w:r>
        <w:rPr>
          <w:bCs/>
          <w:b/>
        </w:rPr>
        <w:t xml:space="preserve">Oxytocin</w:t>
      </w:r>
      <w:r>
        <w:t xml:space="preserve"> </w:t>
      </w:r>
      <w:r>
        <w:t xml:space="preserve">ähnelt chemisch dem Wasserhaushalts-Hormon Vasopressin. Beschrieben ist ein Fall erhöhten Hirndrucks unter Oxytocin-Nasenspray bei gleichzeitig sehr hoher Trinkmenge</w:t>
      </w:r>
      <w:r>
        <w:rPr>
          <w:rStyle w:val="FootnoteReference"/>
        </w:rPr>
        <w:footnoteReference w:id="2634"/>
      </w:r>
      <w:r>
        <w:t xml:space="preserve">.</w:t>
      </w:r>
    </w:p>
    <w:p>
      <w:pPr>
        <w:numPr>
          <w:ilvl w:val="0"/>
          <w:numId w:val="1338"/>
        </w:numPr>
        <w:pStyle w:val="Compact"/>
      </w:pPr>
      <w:r>
        <w:rPr>
          <w:bCs/>
          <w:b/>
        </w:rPr>
        <w:t xml:space="preserve">Melanotan II:</w:t>
      </w:r>
      <w:r>
        <w:t xml:space="preserve"> </w:t>
      </w:r>
      <w:r>
        <w:t xml:space="preserve">Fallberichte über Muskelzerfall mit Nierenschädigung</w:t>
      </w:r>
      <w:r>
        <w:rPr>
          <w:rStyle w:val="FootnoteReference"/>
        </w:rPr>
        <w:footnoteReference w:id="2635"/>
      </w:r>
      <w:r>
        <w:t xml:space="preserve"> </w:t>
      </w:r>
      <w:r>
        <w:t xml:space="preserve">und einen Niereninfarkt; siehe Kapitel Melanotan II.</w:t>
      </w:r>
    </w:p>
    <w:bookmarkEnd w:id="2636"/>
    <w:bookmarkStart w:id="2641" w:name="psyche-und-suizidalität"/>
    <w:p>
      <w:pPr>
        <w:pStyle w:val="Heading3"/>
      </w:pPr>
      <w:r>
        <w:t xml:space="preserve">Psyche und Suizidalität</w:t>
      </w:r>
    </w:p>
    <w:p>
      <w:pPr>
        <w:pStyle w:val="FirstParagraph"/>
      </w:pPr>
      <w:r>
        <w:t xml:space="preserve">2023 lösten Einzelmeldungen über Suizidgedanken unter Semaglutid und Liraglutid behördliche Prüfungen in Europa und den USA aus. Die Datenlage ist inzwischen deutlich besser und überwiegend beruhigend. Eine Meta-Analyse von 86 randomisierten Studien mit 133.378 Teilnehmenden fand unter GLP-1-Rezeptor-Agonisten kein erhöhtes Risiko für psychische Erkrankungen insgesamt (relatives Risiko 0,96), für Depression (0,88), Suizid (0,90) oder Angststörungen (0,92)</w:t>
      </w:r>
      <w:r>
        <w:rPr>
          <w:rStyle w:val="FootnoteReference"/>
        </w:rPr>
        <w:footnoteReference w:id="2637"/>
      </w:r>
      <w:r>
        <w:t xml:space="preserve">. In einer skandinavischen Registerstudie mit 124.517 Personen unter GLP-1-Rezeptor-Agonisten war das Risiko für Suizid gegenüber einem anderen Diabetesmittel nicht erhöht; die Obergrenze des Vertrauensbereichs entsprach höchstens 0,16 zusätzlichen Todesfällen pro 1.000 Personenjahre</w:t>
      </w:r>
      <w:r>
        <w:rPr>
          <w:rStyle w:val="FootnoteReference"/>
        </w:rPr>
        <w:footnoteReference w:id="2638"/>
      </w:r>
      <w:r>
        <w:t xml:space="preserve">. In den SURMOUNT-Studien gaben unter Tirzepatid und Placebo jeweils 0,6 % Suizidgedanken an</w:t>
      </w:r>
      <w:r>
        <w:rPr>
          <w:rStyle w:val="FootnoteReference"/>
        </w:rPr>
        <w:footnoteReference w:id="2639"/>
      </w:r>
      <w:r>
        <w:t xml:space="preserve">. Auch bei Jugendlichen fand eine Meta-Analyse keine Zunahme von Suizidverhalten oder Depression</w:t>
      </w:r>
      <w:r>
        <w:rPr>
          <w:rStyle w:val="FootnoteReference"/>
        </w:rPr>
        <w:footnoteReference w:id="2640"/>
      </w:r>
      <w:r>
        <w:t xml:space="preserve">.</w:t>
      </w:r>
    </w:p>
    <w:p>
      <w:pPr>
        <w:pStyle w:val="BodyText"/>
      </w:pPr>
      <w:r>
        <w:t xml:space="preserve">Eine Einschränkung bleibt: Menschen mit schweren psychischen Erkrankungen waren in vielen Studien ausgeschlossen. Für sie und für Menschen mit Essstörungen gelten eigene Überlegungen (siehe Kapitel „Wechselwirkungen und besondere Risikogruppen“).</w:t>
      </w:r>
    </w:p>
    <w:p>
      <w:pPr>
        <w:pStyle w:val="BodyText"/>
      </w:pPr>
      <w:r>
        <w:t xml:space="preserve">Andere Peptide wirken direkter auf das Gehirn. Die Fachinformation von Setmelanotid enthält Hinweise auf Depression und Suizidgedanken (Kapitel Setmelanotid). Für Semax ist bei einzelnen Personen mit vorgeschädigtem Gehirn eine anfallsartige EEG-Veränderung beschrieben (Kapitel Semax). Bei den meisten „Nootropika-Peptiden“ aus Gruppe D gibt es schlicht keine systematischen Daten zu psychischen Nebenwirkungen.</w:t>
      </w:r>
    </w:p>
    <w:bookmarkEnd w:id="2641"/>
    <w:bookmarkStart w:id="2649" w:name="haut-und-pigment"/>
    <w:p>
      <w:pPr>
        <w:pStyle w:val="Heading3"/>
      </w:pPr>
      <w:r>
        <w:t xml:space="preserve">Haut und Pigment</w:t>
      </w:r>
    </w:p>
    <w:p>
      <w:pPr>
        <w:pStyle w:val="FirstParagraph"/>
      </w:pPr>
      <w:r>
        <w:t xml:space="preserve">Die auffälligsten Hautveränderungen verursachen Peptide, die am</w:t>
      </w:r>
      <w:r>
        <w:t xml:space="preserve"> </w:t>
      </w:r>
      <w:r>
        <w:rPr>
          <w:bCs/>
          <w:b/>
        </w:rPr>
        <w:t xml:space="preserve">Melanocortin-1-Rezeptor</w:t>
      </w:r>
      <w:r>
        <w:t xml:space="preserve"> </w:t>
      </w:r>
      <w:r>
        <w:t xml:space="preserve">der Pigmentzellen wirken. Bei Setmelanotid, das eigentlich am Melanocortin-4-Rezeptor im Gehirn ansetzen soll, wurde die Haut in einer Meta-Analyse bei 62 % der Behandelten dunkler</w:t>
      </w:r>
      <w:r>
        <w:rPr>
          <w:rStyle w:val="FootnoteReference"/>
        </w:rPr>
        <w:footnoteReference w:id="2642"/>
      </w:r>
      <w:r>
        <w:t xml:space="preserve">. In einer Beobachtung über bis zu 46 Monate dunkelten auch Lippen und Muttermale nach, rote Haare wurden braun; bösartige Hautveränderungen traten nicht auf</w:t>
      </w:r>
      <w:r>
        <w:rPr>
          <w:rStyle w:val="FootnoteReference"/>
        </w:rPr>
        <w:footnoteReference w:id="2643"/>
      </w:r>
      <w:r>
        <w:t xml:space="preserve">. Bremelanotid verursachte bei Gabe an bis zu 16 aufeinanderfolgenden Tagen bei mehr als einem Drittel der Teilnehmenden umschriebene dunkle Flecken</w:t>
      </w:r>
      <w:r>
        <w:rPr>
          <w:rStyle w:val="FootnoteReference"/>
        </w:rPr>
        <w:footnoteReference w:id="2644"/>
      </w:r>
      <w:r>
        <w:t xml:space="preserve">.</w:t>
      </w:r>
    </w:p>
    <w:p>
      <w:pPr>
        <w:pStyle w:val="BodyText"/>
      </w:pPr>
      <w:r>
        <w:t xml:space="preserve">Beim nicht zugelassenen Melanotan II kommen neu auftretende, teils auffällige Muttermale hinzu. Eine Übersicht über alle veröffentlichten Fälle plötzlich auftretender Muttermale mit 179 Betroffenen nannte Melanotan unter den Auslösern; 16 % aller Fälle hatten mindestens ein feingeweblich auffälliges (dysplastisches) Muttermal</w:t>
      </w:r>
      <w:r>
        <w:rPr>
          <w:rStyle w:val="FootnoteReference"/>
        </w:rPr>
        <w:footnoteReference w:id="2645"/>
      </w:r>
      <w:r>
        <w:t xml:space="preserve">. Ob daraus ein höheres Melanomrisiko folgt, behandelt das nächste Kapitel.</w:t>
      </w:r>
    </w:p>
    <w:p>
      <w:pPr>
        <w:pStyle w:val="BodyText"/>
      </w:pPr>
      <w:r>
        <w:t xml:space="preserve">Bei den GLP-1-Medikamenten stehen andere Hautbefunde im Vordergrund. Eine systematische Übersicht nennt Reaktionen an der Einstichstelle am häufigsten unter Tirzepatid (2 bis 7 %) und Missempfindungen der Haut (Dysästhesie) vor allem unter Semaglutid: bei Standarddosen bei etwa 5 %, bei den hohen Adipositas-Dosen bei bis zu 20 %</w:t>
      </w:r>
      <w:r>
        <w:rPr>
          <w:rStyle w:val="FootnoteReference"/>
        </w:rPr>
        <w:footnoteReference w:id="2646"/>
      </w:r>
      <w:r>
        <w:t xml:space="preserve">. Unter Retatrutid trat Dysästhesie in TRIUMPH-2 dosisabhängig bei 4 bis 7 % auf, unter Placebo bei 1 %</w:t>
      </w:r>
      <w:r>
        <w:rPr>
          <w:rStyle w:val="FootnoteReference"/>
        </w:rPr>
        <w:footnoteReference w:id="2647"/>
      </w:r>
      <w:r>
        <w:t xml:space="preserve">. Reaktionen an der Einstichstelle und Allergien werden im Kapitel „Immunreaktionen und Antikörper“ zusammengefasst.</w:t>
      </w:r>
    </w:p>
    <w:p>
      <w:pPr>
        <w:pStyle w:val="BodyText"/>
      </w:pPr>
      <w:r>
        <w:t xml:space="preserve">Ein Sonderfall ist LL-37: Nach Injektionen in Hautmetastasen traten bei einer Patientin zahlreiche warzenartige, zunächst für Krebs gehaltene Hautveränderungen auf, die sich nach dem Absetzen zurückbildeten</w:t>
      </w:r>
      <w:r>
        <w:rPr>
          <w:rStyle w:val="FootnoteReference"/>
        </w:rPr>
        <w:footnoteReference w:id="2648"/>
      </w:r>
      <w:r>
        <w:t xml:space="preserve">. Zu Glutathion-Injektionen zur Hautaufhellung haben Behörden mehrfach gewarnt (Kapitel Glutathion).</w:t>
      </w:r>
    </w:p>
    <w:bookmarkEnd w:id="2649"/>
    <w:bookmarkStart w:id="2653" w:name="hormonsystem"/>
    <w:p>
      <w:pPr>
        <w:pStyle w:val="Heading3"/>
      </w:pPr>
      <w:r>
        <w:t xml:space="preserve">Hormonsystem</w:t>
      </w:r>
    </w:p>
    <w:p>
      <w:pPr>
        <w:pStyle w:val="FirstParagraph"/>
      </w:pPr>
      <w:r>
        <w:t xml:space="preserve">Viele Peptide sind selbst Hormone oder ahmen Hormone nach. Es überrascht daher nicht, dass sie in Regelkreise eingreifen, die über das eigentliche Ziel hinausgehen.</w:t>
      </w:r>
    </w:p>
    <w:p>
      <w:pPr>
        <w:numPr>
          <w:ilvl w:val="0"/>
          <w:numId w:val="1339"/>
        </w:numPr>
        <w:pStyle w:val="Compact"/>
      </w:pPr>
      <w:r>
        <w:rPr>
          <w:bCs/>
          <w:b/>
        </w:rPr>
        <w:t xml:space="preserve">Stresshormone und Prolaktin:</w:t>
      </w:r>
      <w:r>
        <w:t xml:space="preserve"> </w:t>
      </w:r>
      <w:r>
        <w:t xml:space="preserve">Die Ghrelin-Mimetika GHRP-2, GHRP-6, Hexarelin und Macimorelin setzen neben Wachstumshormon auch ACTH und Cortisol frei, einige zusätzlich Prolaktin. Beim GHRP-2 ist dieser Effekt so verlässlich, dass er als Test für die Nebennierenachse untersucht wurde</w:t>
      </w:r>
      <w:r>
        <w:rPr>
          <w:rStyle w:val="FootnoteReference"/>
        </w:rPr>
        <w:footnoteReference w:id="2650"/>
      </w:r>
      <w:r>
        <w:t xml:space="preserve">. Was eine wiederholte Stimulation über Monate bewirkt, ist nicht untersucht (Kapitel GHRP-2, GHRP-6, Hexarelin).</w:t>
      </w:r>
    </w:p>
    <w:p>
      <w:pPr>
        <w:numPr>
          <w:ilvl w:val="0"/>
          <w:numId w:val="1339"/>
        </w:numPr>
        <w:pStyle w:val="Compact"/>
      </w:pPr>
      <w:r>
        <w:rPr>
          <w:bCs/>
          <w:b/>
        </w:rPr>
        <w:t xml:space="preserve">Unterdrückung statt Anregung:</w:t>
      </w:r>
      <w:r>
        <w:t xml:space="preserve"> </w:t>
      </w:r>
      <w:r>
        <w:t xml:space="preserve">Hormone, die im Körper in Stößen ausgeschüttet werden, wirken bei Dauergabe oft gegenteilig. Beim Kisspeptin-Analogon TAK-448 fiel Testosteron bei gesunden Männern unter einer 14-tägigen Dauerinfusion bis in den Kastrationsbereich</w:t>
      </w:r>
      <w:r>
        <w:rPr>
          <w:rStyle w:val="FootnoteReference"/>
        </w:rPr>
        <w:footnoteReference w:id="2651"/>
      </w:r>
      <w:r>
        <w:t xml:space="preserve">. Dasselbe Prinzip gilt für Gonadorelin, wenn es nicht im richtigen Rhythmus gegeben wird (Kapitel Kisspeptin, Gonadorelin).</w:t>
      </w:r>
    </w:p>
    <w:p>
      <w:pPr>
        <w:numPr>
          <w:ilvl w:val="0"/>
          <w:numId w:val="1339"/>
        </w:numPr>
        <w:pStyle w:val="Compact"/>
      </w:pPr>
      <w:r>
        <w:rPr>
          <w:bCs/>
          <w:b/>
        </w:rPr>
        <w:t xml:space="preserve">Brustvergrößerung bei Männern</w:t>
      </w:r>
      <w:r>
        <w:t xml:space="preserve"> </w:t>
      </w:r>
      <w:r>
        <w:t xml:space="preserve">ist eine bekannte Folge einer erhöhten Wachstumshormon-Wirkung</w:t>
      </w:r>
      <w:r>
        <w:rPr>
          <w:rStyle w:val="FootnoteReference"/>
        </w:rPr>
        <w:footnoteReference w:id="2652"/>
      </w:r>
      <w:r>
        <w:t xml:space="preserve">.</w:t>
      </w:r>
    </w:p>
    <w:p>
      <w:pPr>
        <w:numPr>
          <w:ilvl w:val="0"/>
          <w:numId w:val="1339"/>
        </w:numPr>
        <w:pStyle w:val="Compact"/>
      </w:pPr>
      <w:r>
        <w:rPr>
          <w:bCs/>
          <w:b/>
        </w:rPr>
        <w:t xml:space="preserve">Sexualfunktion:</w:t>
      </w:r>
      <w:r>
        <w:t xml:space="preserve"> </w:t>
      </w:r>
      <w:r>
        <w:t xml:space="preserve">Melanocortin-Agonisten können spontane Erektionen auslösen; bei Melanotan II sind Fälle von Priapismus, einer schmerzhaften Dauererektion, beschrieben (Kapitel Melanotan II, Setmelanotid).</w:t>
      </w:r>
    </w:p>
    <w:bookmarkEnd w:id="2653"/>
    <w:bookmarkStart w:id="2659" w:name="blutzucker"/>
    <w:p>
      <w:pPr>
        <w:pStyle w:val="Heading3"/>
      </w:pPr>
      <w:r>
        <w:t xml:space="preserve">Blutzucker</w:t>
      </w:r>
    </w:p>
    <w:p>
      <w:pPr>
        <w:pStyle w:val="FirstParagraph"/>
      </w:pPr>
      <w:r>
        <w:t xml:space="preserve">Peptide können den Blutzucker in beide Richtungen verschieben – und beide Richtungen sind relevant.</w:t>
      </w:r>
    </w:p>
    <w:p>
      <w:pPr>
        <w:pStyle w:val="BodyText"/>
      </w:pPr>
      <w:r>
        <w:rPr>
          <w:bCs/>
          <w:b/>
        </w:rPr>
        <w:t xml:space="preserve">Unterzuckerung (Hypoglykämie).</w:t>
      </w:r>
      <w:r>
        <w:t xml:space="preserve"> </w:t>
      </w:r>
      <w:r>
        <w:t xml:space="preserve">Das größte Risiko hat Mecasermin, also IGF-1 als Medikament: In einer Langzeitstudie mit 76 Kindern war Unterzuckerung mit 49 % die häufigste Nebenwirkung</w:t>
      </w:r>
      <w:r>
        <w:rPr>
          <w:rStyle w:val="FootnoteReference"/>
        </w:rPr>
        <w:footnoteReference w:id="2654"/>
      </w:r>
      <w:r>
        <w:t xml:space="preserve">. Für das Laborpräparat IGF-1 LR3 ist ein ähnliches oder stärkeres Risiko biologisch plausibel, aber nie gemessen worden (Kapitel IGF-1 LR3). Pramlintid verstärkt die Wirkung von gleichzeitig gespritztem Insulin; schwere Unterzuckerungen waren in einer Studie häufiger als unter Placebo (0,57 gegenüber 0,30 Ereignisse pro Patientenjahr)</w:t>
      </w:r>
      <w:r>
        <w:rPr>
          <w:rStyle w:val="FootnoteReference"/>
        </w:rPr>
        <w:footnoteReference w:id="2655"/>
      </w:r>
      <w:r>
        <w:t xml:space="preserve">. GLP-1-Medikamente allein senken den Blutzucker kaum bis in den gefährlichen Bereich, weil ihre Wirkung an den Blutzucker gekoppelt ist. In Kombination mit Sulfonylharnstoffen oder Insulin steigt das Risiko aber: Unter Exenatid zusätzlich zu Metformin und einem Sulfonylharnstoff traten leichte bis mittelschwere Unterzuckerungen bei 28 % beziehungsweise 19 % auf, unter Placebo bei 13 %</w:t>
      </w:r>
      <w:r>
        <w:rPr>
          <w:rStyle w:val="FootnoteReference"/>
        </w:rPr>
        <w:footnoteReference w:id="2656"/>
      </w:r>
      <w:r>
        <w:t xml:space="preserve">. Mehr dazu im Kapitel „Wechselwirkungen und besondere Risikogruppen“.</w:t>
      </w:r>
    </w:p>
    <w:p>
      <w:pPr>
        <w:pStyle w:val="BodyText"/>
      </w:pPr>
      <w:r>
        <w:t xml:space="preserve">Eine schwere Unterzuckerung nach einer vermeintlichen „Abnehmspritze“ bei einem Menschen ohne Diabetes ist ein Warnsignal für eine Fälschung mit Insulin. Die Fälle sind in Teil I im Kapitel „Der Graumarkt“ beschrieben.</w:t>
      </w:r>
    </w:p>
    <w:p>
      <w:pPr>
        <w:pStyle w:val="BodyText"/>
      </w:pPr>
      <w:r>
        <w:rPr>
          <w:bCs/>
          <w:b/>
        </w:rPr>
        <w:t xml:space="preserve">Höherer Blutzucker.</w:t>
      </w:r>
      <w:r>
        <w:t xml:space="preserve"> </w:t>
      </w:r>
      <w:r>
        <w:t xml:space="preserve">Wachstumshormon wirkt dem Insulin entgegen. Unter Ibutamoren stieg der Nüchternblutzucker bei gesunden älteren Menschen im Mittel um 0,3 mmol/l, das Körpergewicht um 2,7 kg gegenüber 0,8 kg unter Placebo</w:t>
      </w:r>
      <w:r>
        <w:rPr>
          <w:rStyle w:val="FootnoteReference"/>
        </w:rPr>
        <w:footnoteReference w:id="2657"/>
      </w:r>
      <w:r>
        <w:t xml:space="preserve">. In der Übersicht zu Wachstumshormon bei älteren Menschen traten etwas häufiger ein neuer Diabetes und ein gestörter Nüchternzucker auf</w:t>
      </w:r>
      <w:r>
        <w:rPr>
          <w:rStyle w:val="FootnoteReference"/>
        </w:rPr>
        <w:footnoteReference w:id="2658"/>
      </w:r>
      <w:r>
        <w:t xml:space="preserve">. Unter Tesamorelin stieg der Nüchternzucker in den ersten Wochen vorübergehend an (Kapitel Tesamorelin). Für Menschen mit Diabetes oder Vorstufen davon ist die Wachstumshormon-Achse deshalb besonders heikel.</w:t>
      </w:r>
    </w:p>
    <w:bookmarkEnd w:id="2659"/>
    <w:bookmarkStart w:id="2660" w:name="was-sich-aus-dem-vergleich-ergibt"/>
    <w:p>
      <w:pPr>
        <w:pStyle w:val="Heading3"/>
      </w:pPr>
      <w:r>
        <w:t xml:space="preserve">Was sich aus dem Vergleich ergibt</w:t>
      </w:r>
    </w:p>
    <w:p>
      <w:pPr>
        <w:pStyle w:val="FirstParagraph"/>
      </w:pPr>
      <w:r>
        <w:t xml:space="preserve">Über alle Organsysteme hinweg zeigen sich drei Muster.</w:t>
      </w:r>
    </w:p>
    <w:p>
      <w:pPr>
        <w:pStyle w:val="BodyText"/>
      </w:pPr>
      <w:r>
        <w:t xml:space="preserve">Erstens: Die am besten untersuchten Peptide – die zugelassenen GLP-1-Medikamente – haben die am besten bekannten Nebenwirkungen. Das liegt nicht daran, dass sie besonders gefährlich wären, sondern daran, dass Hunderttausende Menschen in Studien und Registern beobachtet wurden. Häufige Beschwerden betreffen den Magen-Darm-Trakt und sind meist vorübergehend; ernstere Risiken wie Gallensteine sind belegt, aber in absoluten Zahlen selten; Signale wie NAION sind sehr selten und werden weiter untersucht.</w:t>
      </w:r>
    </w:p>
    <w:p>
      <w:pPr>
        <w:pStyle w:val="BodyText"/>
      </w:pPr>
      <w:r>
        <w:t xml:space="preserve">Zweitens: Die Peptide der Wachstumshormon-Achse teilen ein gemeinsames Profil aus Wassereinlagerung, höherem Blutzucker und Stresshormon-Anstieg. Für eine Anwendung über Monate oder Jahre bei Gesunden gibt es so gut wie keine Daten.</w:t>
      </w:r>
    </w:p>
    <w:p>
      <w:pPr>
        <w:pStyle w:val="BodyText"/>
      </w:pPr>
      <w:r>
        <w:t xml:space="preserve">Drittens: Für die Mehrzahl der Peptide aus den Gruppen B und D lassen sich Organrisiken gar nicht beschreiben, weil niemand systematisch danach gesucht hat. Dort liegt das größte praktische Risiko nicht im Wirkstoff, sondern im Produkt – mehr dazu im Kapitel „Graumarkt-Produkte“.</w:t>
      </w:r>
    </w:p>
    <w:bookmarkEnd w:id="2660"/>
    <w:bookmarkEnd w:id="2661"/>
    <w:bookmarkStart w:id="2702" w:name="krebsrisiko-und-wachstumssignale"/>
    <w:p>
      <w:pPr>
        <w:pStyle w:val="Heading2"/>
      </w:pPr>
      <w:r>
        <w:t xml:space="preserve">Krebsrisiko und Wachstumssignale</w:t>
      </w:r>
    </w:p>
    <w:p>
      <w:pPr>
        <w:pStyle w:val="FirstParagraph"/>
      </w:pPr>
      <w:r>
        <w:t xml:space="preserve">Viele Peptide werden gerade deshalb beworben, weil sie Wachstum anregen sollen: von Muskeln, Sehnen, Blutgefäßen, Nervenzellen oder Haaren. Wachstum ist aber nicht wählerisch. Die Signalwege, über die Gewebe heilen und sich erneuern, nutzen auch Krebszellen. Deshalb taucht bei fast jedem „Heilungs-“, „Anti-Aging-“ oder Wachstumshormon-Peptid dieselbe Frage auf: Kann es Krebs fördern?</w:t>
      </w:r>
    </w:p>
    <w:p>
      <w:pPr>
        <w:pStyle w:val="BodyText"/>
      </w:pPr>
      <w:r>
        <w:t xml:space="preserve">Dieses Kapitel fasst zusammen, was dazu bekannt ist – getrennt nach den vier Mechanismen, die in Teil II immer wieder vorkommen: die Wachstumshormon-IGF-1-Achse, die Neubildung von Blutgefäßen, die Anregung der Pigmentzellen und die Wirkung der GLP-1-Medikamente auf Schilddrüse und Bauchspeicheldrüse. Am Ende steht ein Überblick über die neuesten großen Auswertungen zu GLP-1-Medikamenten und Krebs.</w:t>
      </w:r>
    </w:p>
    <w:bookmarkStart w:id="2663" w:name="wie-man-die-krebsfrage-einordnet"/>
    <w:p>
      <w:pPr>
        <w:pStyle w:val="Heading3"/>
      </w:pPr>
      <w:r>
        <w:t xml:space="preserve">Wie man die Krebsfrage einordnet</w:t>
      </w:r>
    </w:p>
    <w:p>
      <w:pPr>
        <w:pStyle w:val="FirstParagraph"/>
      </w:pPr>
      <w:r>
        <w:t xml:space="preserve">Vier Punkte helfen, die folgenden Daten zu lesen.</w:t>
      </w:r>
    </w:p>
    <w:p>
      <w:pPr>
        <w:pStyle w:val="BodyText"/>
      </w:pPr>
      <w:r>
        <w:rPr>
          <w:bCs/>
          <w:b/>
        </w:rPr>
        <w:t xml:space="preserve">Auslösen oder fördern.</w:t>
      </w:r>
      <w:r>
        <w:t xml:space="preserve"> </w:t>
      </w:r>
      <w:r>
        <w:t xml:space="preserve">Ein Stoff kann Krebs auslösen, indem er das Erbgut schädigt. Häufiger diskutiert wird bei Peptiden eine andere Möglichkeit: Ein Wachstumssignal könnte einen bereits vorhandenen, noch unentdeckten Tumor schneller wachsen lassen – ähnlich wie Dünger eine Pflanze, die schon im Boden steckt. Für diese zweite Möglichkeit reicht es, wenn der Stoff Zellteilung, Zellüberleben oder Gefäßneubildung anregt.</w:t>
      </w:r>
    </w:p>
    <w:p>
      <w:pPr>
        <w:pStyle w:val="BodyText"/>
      </w:pPr>
      <w:r>
        <w:rPr>
          <w:bCs/>
          <w:b/>
        </w:rPr>
        <w:t xml:space="preserve">Zeit.</w:t>
      </w:r>
      <w:r>
        <w:t xml:space="preserve"> </w:t>
      </w:r>
      <w:r>
        <w:t xml:space="preserve">Krebs entwickelt sich über Jahre bis Jahrzehnte. Die meisten Peptid-Studien laufen Wochen bis wenige Jahre. Selbst große Zulassungsstudien können ein langsam entstehendes Risiko kaum erfassen. Dafür braucht es Register und Beobachtungsstudien über lange Zeiträume – die wiederum anfällig für Verzerrungen sind.</w:t>
      </w:r>
    </w:p>
    <w:p>
      <w:pPr>
        <w:pStyle w:val="BodyText"/>
      </w:pPr>
      <w:r>
        <w:rPr>
          <w:bCs/>
          <w:b/>
        </w:rPr>
        <w:t xml:space="preserve">Diagnose-Verzerrung.</w:t>
      </w:r>
      <w:r>
        <w:t xml:space="preserve"> </w:t>
      </w:r>
      <w:r>
        <w:t xml:space="preserve">Wer wegen eines Medikaments häufiger untersucht wird, bei dem werden auch häufiger Tumoren gefunden. Ein Beispiel: Eine Meta-Analyse fand in kürzeren GLP-1-Studien etwas mehr Darmkrebs-Diagnosen und vermutete als Erklärung, dass Magen-Darm-Beschwerden zu mehr Darmspiegelungen führten</w:t>
      </w:r>
      <w:r>
        <w:rPr>
          <w:rStyle w:val="FootnoteReference"/>
        </w:rPr>
        <w:footnoteReference w:id="2662"/>
      </w:r>
      <w:r>
        <w:t xml:space="preserve">.</w:t>
      </w:r>
    </w:p>
    <w:p>
      <w:pPr>
        <w:pStyle w:val="BodyText"/>
      </w:pPr>
      <w:r>
        <w:rPr>
          <w:bCs/>
          <w:b/>
        </w:rPr>
        <w:t xml:space="preserve">Die Gegenrichtung.</w:t>
      </w:r>
      <w:r>
        <w:t xml:space="preserve"> </w:t>
      </w:r>
      <w:r>
        <w:t xml:space="preserve">Übergewicht erhöht das Risiko für mindestens 13 Krebsarten. Ein Medikament, das stark Gewicht reduziert, könnte deshalb das Krebsrisiko insgesamt senken, auch wenn es an einem einzelnen Organ ein kleines Signal gibt. Beides lässt sich nur getrennt betrachten.</w:t>
      </w:r>
    </w:p>
    <w:bookmarkEnd w:id="2663"/>
    <w:bookmarkStart w:id="2673" w:name="wachstumshormon-und-igf-1"/>
    <w:p>
      <w:pPr>
        <w:pStyle w:val="Heading3"/>
      </w:pPr>
      <w:r>
        <w:t xml:space="preserve">Wachstumshormon und IGF-1</w:t>
      </w:r>
    </w:p>
    <w:p>
      <w:pPr>
        <w:pStyle w:val="FirstParagraph"/>
      </w:pPr>
      <w:r>
        <w:t xml:space="preserve">Wachstumshormon wirkt zu einem großen Teil über IGF-1, den insulinähnlichen Wachstumsfaktor 1. IGF-1 regt Zellen zur Teilung an und schützt sie vor dem programmierten Zelltod. Alle Peptide der Gruppe C – Sermorelin, Tesamorelin, CJC-1295, Ipamorelin, die GHRP-Familie, Mecasermin und IGF-1 LR3 – sowie das zum Vergleich besprochene Ibutamoren erhöhen IGF-1 direkt oder indirekt. Die Belege zur Krebsfrage stammen aus fünf Quellen.</w:t>
      </w:r>
    </w:p>
    <w:p>
      <w:pPr>
        <w:pStyle w:val="BodyText"/>
      </w:pPr>
      <w:r>
        <w:rPr>
          <w:bCs/>
          <w:b/>
        </w:rPr>
        <w:t xml:space="preserve">Natürlich höhere IGF-1-Spiegel.</w:t>
      </w:r>
      <w:r>
        <w:t xml:space="preserve"> </w:t>
      </w:r>
      <w:r>
        <w:t xml:space="preserve">Eine Meta-Analyse von 21 Studien fand bei Menschen mit hohen IGF-1-Werten ein höheres Risiko für Prostatakrebs (Odds Ratio 1,49 beim Vergleich eines IGF-1-Werts an der 75. mit einem an der 25. Perzentile) und für Brustkrebs vor den Wechseljahren (1,65); die Autoren nannten die Zusammenhänge ausdrücklich „mäßig“</w:t>
      </w:r>
      <w:r>
        <w:rPr>
          <w:rStyle w:val="FootnoteReference"/>
        </w:rPr>
        <w:footnoteReference w:id="2664"/>
      </w:r>
      <w:r>
        <w:t xml:space="preserve">. In der UK Biobank mit 206.263 Frauen stieg das Brustkrebsrisiko pro 5 nmol/l mehr IGF-1 um 11 %</w:t>
      </w:r>
      <w:r>
        <w:rPr>
          <w:rStyle w:val="FootnoteReference"/>
        </w:rPr>
        <w:footnoteReference w:id="2665"/>
      </w:r>
      <w:r>
        <w:t xml:space="preserve">; für Darmkrebs fand dieselbe Gruppe bei fast 400.000 Teilnehmenden einen ähnlichen Zusammenhang</w:t>
      </w:r>
      <w:r>
        <w:rPr>
          <w:rStyle w:val="FootnoteReference"/>
        </w:rPr>
        <w:footnoteReference w:id="2666"/>
      </w:r>
      <w:r>
        <w:t xml:space="preserve">.</w:t>
      </w:r>
    </w:p>
    <w:p>
      <w:pPr>
        <w:pStyle w:val="BodyText"/>
      </w:pPr>
      <w:r>
        <w:rPr>
          <w:bCs/>
          <w:b/>
        </w:rPr>
        <w:t xml:space="preserve">Genetische Analysen.</w:t>
      </w:r>
      <w:r>
        <w:t xml:space="preserve"> </w:t>
      </w:r>
      <w:r>
        <w:t xml:space="preserve">Die sogenannte Mendelsche Randomisierung nutzt Genvarianten, die den IGF-1-Spiegel lebenslang leicht anheben, als natürliches Experiment. Auch hier war ein genetisch höheres IGF-1 mit etwas mehr Brustkrebs verbunden (Odds Ratio 1,05 pro 5 nmol/l)</w:t>
      </w:r>
      <w:r>
        <w:rPr>
          <w:rStyle w:val="FootnoteReference"/>
        </w:rPr>
        <w:footnoteReference w:id="2667"/>
      </w:r>
      <w:r>
        <w:t xml:space="preserve">. Das spricht dafür, dass der Zusammenhang nicht nur auf Begleitumständen beruht.</w:t>
      </w:r>
    </w:p>
    <w:p>
      <w:pPr>
        <w:pStyle w:val="BodyText"/>
      </w:pPr>
      <w:r>
        <w:rPr>
          <w:bCs/>
          <w:b/>
        </w:rPr>
        <w:t xml:space="preserve">Zu viel Wachstumshormon durch Krankheit.</w:t>
      </w:r>
      <w:r>
        <w:t xml:space="preserve"> </w:t>
      </w:r>
      <w:r>
        <w:t xml:space="preserve">Bei Akromegalie, einer Überproduktion von Wachstumshormon durch einen Tumor der Hirnanhangdrüse, ergab eine Meta-Analyse von 23 Studien eine um etwa die Hälfte erhöhte Krebsrate (standardisiertes Verhältnis 1,5), mit besonders hohen Werten für Darm- und Schilddrüsenkrebs. Kleinere und ältere Studien zeigten allerdings höhere Werte als große, was auf Auswahlverzerrungen hindeutet</w:t>
      </w:r>
      <w:r>
        <w:rPr>
          <w:rStyle w:val="FootnoteReference"/>
        </w:rPr>
        <w:footnoteReference w:id="2668"/>
      </w:r>
      <w:r>
        <w:t xml:space="preserve">.</w:t>
      </w:r>
    </w:p>
    <w:p>
      <w:pPr>
        <w:pStyle w:val="BodyText"/>
      </w:pPr>
      <w:r>
        <w:rPr>
          <w:bCs/>
          <w:b/>
        </w:rPr>
        <w:t xml:space="preserve">Zu wenig IGF-1 durch Krankheit.</w:t>
      </w:r>
      <w:r>
        <w:t xml:space="preserve"> </w:t>
      </w:r>
      <w:r>
        <w:t xml:space="preserve">Bei Menschen mit Laron-Syndrom, die wegen eines Gendefekts kaum IGF-1 bilden, trat in Ecuador über 22 Jahre Beobachtung nur eine einzige, nicht tödliche Krebserkrankung auf; bei nicht betroffenen Verwandten lag der Anteil bei 17 %</w:t>
      </w:r>
      <w:r>
        <w:rPr>
          <w:rStyle w:val="FootnoteReference"/>
        </w:rPr>
        <w:footnoteReference w:id="2669"/>
      </w:r>
      <w:r>
        <w:t xml:space="preserve">.</w:t>
      </w:r>
    </w:p>
    <w:p>
      <w:pPr>
        <w:pStyle w:val="BodyText"/>
      </w:pPr>
      <w:r>
        <w:rPr>
          <w:bCs/>
          <w:b/>
        </w:rPr>
        <w:t xml:space="preserve">Wachstumshormon als Arzneimittel.</w:t>
      </w:r>
      <w:r>
        <w:t xml:space="preserve"> </w:t>
      </w:r>
      <w:r>
        <w:t xml:space="preserve">Bei 23.984 Kindern, die in acht europäischen Ländern mit Wachstumshormon behandelt wurden, fand sich ohne schwere Vorerkrankung kein klar erhöhtes Krebsrisiko. Auffällig waren einzelne Krebsarten (Knochen, Blase) und ein Anstieg der Krebssterblichkeit mit höherer Tagesdosis bei Kindern, die zuvor schon Krebs gehabt hatten</w:t>
      </w:r>
      <w:r>
        <w:rPr>
          <w:rStyle w:val="FootnoteReference"/>
        </w:rPr>
        <w:footnoteReference w:id="2670"/>
      </w:r>
      <w:r>
        <w:t xml:space="preserve">. Bei 8.418 behandelten Erwachsenen mit Hypophysenunterfunktion war das Krebsrisiko nicht erhöht; die Krebsrate lag sogar unter dem Bevölkerungsdurchschnitt</w:t>
      </w:r>
      <w:r>
        <w:rPr>
          <w:rStyle w:val="FootnoteReference"/>
        </w:rPr>
        <w:footnoteReference w:id="2671"/>
      </w:r>
      <w:r>
        <w:t xml:space="preserve">.</w:t>
      </w:r>
    </w:p>
    <w:p>
      <w:pPr>
        <w:pStyle w:val="BodyText"/>
      </w:pPr>
      <w:r>
        <w:t xml:space="preserve">Was folgt daraus? Wer einen echten Mangel hat und ein fehlendes Hormon ersetzt bekommt, trägt nach heutigem Wissen kein deutlich erhöhtes Krebsrisiko. Wer dagegen einen normalen Spiegel über Jahre anhebt, bewegt sich in den Bereich, in dem die Beobachtungs- und Genstudien ein mäßig höheres Risiko zeigen. Für genau diese Situation – gesunde Erwachsene, die Freisetzer zur Leistungssteigerung oder „Verjüngung“ verwenden – gibt es keine Langzeitstudien. Ibutamoren etwa hob IGF-1 bei gesunden älteren Menschen auf das Niveau junger Erwachsener</w:t>
      </w:r>
      <w:r>
        <w:rPr>
          <w:rStyle w:val="FootnoteReference"/>
        </w:rPr>
        <w:footnoteReference w:id="2672"/>
      </w:r>
      <w:r>
        <w:t xml:space="preserve">; ein Krebssignal wurde nicht berichtet, aber dafür war die Studie weder groß noch lang genug.</w:t>
      </w:r>
    </w:p>
    <w:p>
      <w:pPr>
        <w:pStyle w:val="BodyText"/>
      </w:pPr>
      <w:r>
        <w:t xml:space="preserve">Zwei Sonderfälle verdienen Erwähnung. Beim zugelassenen Mecasermin wurden nach der Markteinführung gut- und bösartige Neubildungen bei behandelten Kindern gemeldet; die Fachinformationen enthalten entsprechende Warnhinweise, und bei aktiver Krebserkrankung ist es nicht anzuwenden (Stand 2026, bitte aktuell prüfen; Kapitel Mecasermin). Das Laborpräparat IGF-1 LR3 wurde so verändert, dass es nicht mehr an die Bindungseiweiße im Blut gebunden wird, die IGF-1 normalerweise abpuffern. Es wirkt dadurch stärker und länger am Rezeptor – theoretisch genau die ungünstige Richtung. Am Menschen wurde das nie untersucht (Kapitel IGF-1 LR3).</w:t>
      </w:r>
    </w:p>
    <w:bookmarkEnd w:id="2673"/>
    <w:bookmarkStart w:id="2683" w:name="X0920160f275edd168100465496ffd094b061592"/>
    <w:p>
      <w:pPr>
        <w:pStyle w:val="Heading3"/>
      </w:pPr>
      <w:r>
        <w:t xml:space="preserve">Gefäßneubildung und andere Wachstumssignale</w:t>
      </w:r>
    </w:p>
    <w:p>
      <w:pPr>
        <w:pStyle w:val="FirstParagraph"/>
      </w:pPr>
      <w:r>
        <w:t xml:space="preserve">Ein Tumor, der größer als wenige Millimeter werden will, braucht eigene Blutgefäße. Diesen Vorgang nennt man Angiogenese. Einige zugelassene Krebsmedikamente wirken gerade dadurch, dass sie den wichtigsten Signalweg der Gefäßneubildung blockieren, das VEGF-System. Umgekehrt stehen Stoffe, die Gefäßneubildung fördern, unter dem Verdacht, Tumoren zu begünstigen.</w:t>
      </w:r>
    </w:p>
    <w:p>
      <w:pPr>
        <w:pStyle w:val="BodyText"/>
      </w:pPr>
      <w:r>
        <w:rPr>
          <w:bCs/>
          <w:b/>
        </w:rPr>
        <w:t xml:space="preserve">BPC-157.</w:t>
      </w:r>
      <w:r>
        <w:t xml:space="preserve"> </w:t>
      </w:r>
      <w:r>
        <w:t xml:space="preserve">In Laborversuchen erhöhte BPC-157 die Gefäßdichte in Hühnerei-Membranen, beschleunigte bei Ratten die Durchblutung eines minderversorgten Beins und steigerte in menschlichen Gefäßzellen die Menge des VEGF-Rezeptors 2</w:t>
      </w:r>
      <w:r>
        <w:rPr>
          <w:rStyle w:val="FootnoteReference"/>
        </w:rPr>
        <w:footnoteReference w:id="2674"/>
      </w:r>
      <w:r>
        <w:t xml:space="preserve">. Die Zagreber Arbeitsgruppe, von der die meisten BPC-157-Studien stammen, hält dagegen: BPC-157 steuere die Gefäßbildung, statt sie blind anzukurbeln, und habe in Tier- und Zellversuchen sogar Wirkungen gegen Tumoren gezeigt</w:t>
      </w:r>
      <w:r>
        <w:rPr>
          <w:rStyle w:val="FootnoteReference"/>
        </w:rPr>
        <w:footnoteReference w:id="2675"/>
      </w:r>
      <w:r>
        <w:t xml:space="preserve">. Langzeitstudien zur Krebsentstehung, wie sie für Arzneimittel vorgeschrieben sind, wurden für BPC-157 nicht veröffentlicht. Die Frage ist offen. Siehe Kapitel BPC-157.</w:t>
      </w:r>
    </w:p>
    <w:p>
      <w:pPr>
        <w:pStyle w:val="BodyText"/>
      </w:pPr>
      <w:r>
        <w:rPr>
          <w:bCs/>
          <w:b/>
        </w:rPr>
        <w:t xml:space="preserve">TB-500 und Thymosin Beta-4.</w:t>
      </w:r>
      <w:r>
        <w:t xml:space="preserve"> </w:t>
      </w:r>
      <w:r>
        <w:t xml:space="preserve">Thymosin Beta-4 fördert Zellwanderung und Gefäßneubildung. In Gewebeproben von 138 Menschen mit Blasenkrebs war eine starke Thymosin-Beta-4-Bildung mit fortgeschrittenem Stadium, Lymphknotenbefall und kürzerem Überleben verbunden</w:t>
      </w:r>
      <w:r>
        <w:rPr>
          <w:rStyle w:val="FootnoteReference"/>
        </w:rPr>
        <w:footnoteReference w:id="2676"/>
      </w:r>
      <w:r>
        <w:t xml:space="preserve">. In Kulturen von Brustkrebszellen erhöhte zugesetztes Thymosin Beta-4 die Zellzahl</w:t>
      </w:r>
      <w:r>
        <w:rPr>
          <w:rStyle w:val="FootnoteReference"/>
        </w:rPr>
        <w:footnoteReference w:id="2677"/>
      </w:r>
      <w:r>
        <w:t xml:space="preserve">. Das beweist nicht, dass von außen zugeführtes TB-500 Krebs fördert, ist aber ein Grund zur Vorsicht bei Menschen mit Krebserkrankung oder hohem Krebsrisiko. Siehe Kapitel TB-500.</w:t>
      </w:r>
    </w:p>
    <w:p>
      <w:pPr>
        <w:pStyle w:val="BodyText"/>
      </w:pPr>
      <w:r>
        <w:rPr>
          <w:bCs/>
          <w:b/>
        </w:rPr>
        <w:t xml:space="preserve">Weitere Peptide mit Wachstumssignalen.</w:t>
      </w:r>
      <w:r>
        <w:t xml:space="preserve"> </w:t>
      </w:r>
      <w:r>
        <w:t xml:space="preserve">Bei mehreren Peptiden aus Teil II ergeben sich ähnliche Fragen aus dem Wirkmechanismus oder aus Labordaten: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Mechanismus</w:t>
            </w:r>
          </w:p>
        </w:tc>
        <w:tc>
          <w:tcPr/>
          <w:p>
            <w:pPr>
              <w:pStyle w:val="Compact"/>
              <w:jc w:val="left"/>
            </w:pPr>
            <w:r>
              <w:t xml:space="preserve">Art des Hinweises</w:t>
            </w:r>
          </w:p>
        </w:tc>
        <w:tc>
          <w:tcPr/>
          <w:p>
            <w:pPr>
              <w:pStyle w:val="Compact"/>
              <w:jc w:val="left"/>
            </w:pPr>
            <w:r>
              <w:t xml:space="preserve">Kapitel</w:t>
            </w:r>
          </w:p>
        </w:tc>
      </w:tr>
      <w:tr>
        <w:tc>
          <w:tcPr/>
          <w:p>
            <w:pPr>
              <w:pStyle w:val="Compact"/>
              <w:jc w:val="left"/>
            </w:pPr>
            <w:r>
              <w:t xml:space="preserve">Dihexa</w:t>
            </w:r>
          </w:p>
        </w:tc>
        <w:tc>
          <w:tcPr/>
          <w:p>
            <w:pPr>
              <w:pStyle w:val="Compact"/>
              <w:jc w:val="left"/>
            </w:pPr>
            <w:r>
              <w:t xml:space="preserve">verstärkt das c-Met-Signal, einen bekannten Krebstreiber</w:t>
            </w:r>
          </w:p>
        </w:tc>
        <w:tc>
          <w:tcPr/>
          <w:p>
            <w:pPr>
              <w:pStyle w:val="Compact"/>
              <w:jc w:val="left"/>
            </w:pPr>
            <w:r>
              <w:t xml:space="preserve">nur theoretisch, keine Humandaten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soll Telomerase aktivieren</w:t>
            </w:r>
          </w:p>
        </w:tc>
        <w:tc>
          <w:tcPr/>
          <w:p>
            <w:pPr>
              <w:pStyle w:val="Compact"/>
              <w:jc w:val="left"/>
            </w:pPr>
            <w:r>
              <w:t xml:space="preserve">Zellkultur: auch Telomere von Brustkrebszellen verlängert</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schützt Zellen vor dem Zelltod</w:t>
            </w:r>
          </w:p>
        </w:tc>
        <w:tc>
          <w:tcPr/>
          <w:p>
            <w:pPr>
              <w:pStyle w:val="Compact"/>
              <w:jc w:val="left"/>
            </w:pPr>
            <w:r>
              <w:t xml:space="preserve">Mäuse: schnelleres Tumorwachstum, mehr Metastasen</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Entzündungs- und Wachstumssignale</w:t>
            </w:r>
          </w:p>
        </w:tc>
        <w:tc>
          <w:tcPr/>
          <w:p>
            <w:pPr>
              <w:pStyle w:val="Compact"/>
              <w:jc w:val="left"/>
            </w:pPr>
            <w:r>
              <w:t xml:space="preserve">Labor: je nach Krebsart fördernd oder hemmend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Gefäßneubildung im Tierversuch</w:t>
            </w:r>
          </w:p>
        </w:tc>
        <w:tc>
          <w:tcPr/>
          <w:p>
            <w:pPr>
              <w:pStyle w:val="Compact"/>
              <w:jc w:val="left"/>
            </w:pPr>
            <w:r>
              <w:t xml:space="preserve">nur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wirkt am EPO-Rezeptor</w:t>
            </w:r>
          </w:p>
        </w:tc>
        <w:tc>
          <w:tcPr/>
          <w:p>
            <w:pPr>
              <w:pStyle w:val="Compact"/>
              <w:jc w:val="left"/>
            </w:pPr>
            <w:r>
              <w:t xml:space="preserve">theoretisch, analog zu EPO</w:t>
            </w:r>
          </w:p>
        </w:tc>
        <w:tc>
          <w:tcPr/>
          <w:p>
            <w:pPr>
              <w:pStyle w:val="Compact"/>
              <w:jc w:val="left"/>
            </w:pPr>
            <w:r>
              <w:t xml:space="preserve">ARA-290</w:t>
            </w:r>
          </w:p>
        </w:tc>
      </w:tr>
    </w:tbl>
    <w:p>
      <w:pPr>
        <w:pStyle w:val="BodyText"/>
      </w:pPr>
      <w:r>
        <w:t xml:space="preserve">Einige dieser Hinweise sind konkret. Bei Mäusen mit dreifach-negativem Brustkrebs verringerte zugeführtes Humanin den Zelltod im Tumor, schwächte die Chemotherapie ab und beschleunigte Tumorwachstum und Lungenmetastasen</w:t>
      </w:r>
      <w:r>
        <w:rPr>
          <w:rStyle w:val="FootnoteReference"/>
        </w:rPr>
        <w:footnoteReference w:id="2678"/>
      </w:r>
      <w:r>
        <w:t xml:space="preserve">. Epitalon verlängerte in Zellkulturen die Telomere gesunder Zellen über das Enzym Telomerase, in Brustkrebszellen über einen anderen Weg</w:t>
      </w:r>
      <w:r>
        <w:rPr>
          <w:rStyle w:val="FootnoteReference"/>
        </w:rPr>
        <w:footnoteReference w:id="2679"/>
      </w:r>
      <w:r>
        <w:t xml:space="preserve">; in einer Mäusestudie nahm die Zahl spontaner Tumoren dagegen nicht zu</w:t>
      </w:r>
      <w:r>
        <w:rPr>
          <w:rStyle w:val="FootnoteReference"/>
        </w:rPr>
        <w:footnoteReference w:id="2680"/>
      </w:r>
      <w:r>
        <w:t xml:space="preserve">. Für LL-37 beschreibt eine Übersicht fördernde Wirkungen auf Tumoren von Eierstock, Lunge, Brust, Prostata, Bauchspeicheldrüse und Haut, aber hemmende auf Darm- und Magenkrebs</w:t>
      </w:r>
      <w:r>
        <w:rPr>
          <w:rStyle w:val="FootnoteReference"/>
        </w:rPr>
        <w:footnoteReference w:id="2681"/>
      </w:r>
      <w:r>
        <w:t xml:space="preserve">. Für Dihexa ist die Verbindung zum c-Met-System beschrieben</w:t>
      </w:r>
      <w:r>
        <w:rPr>
          <w:rStyle w:val="FootnoteReference"/>
        </w:rPr>
        <w:footnoteReference w:id="2682"/>
      </w:r>
      <w:r>
        <w:t xml:space="preserve">; Untersuchungen zur Krebsentstehung gibt es nicht.</w:t>
      </w:r>
    </w:p>
    <w:p>
      <w:pPr>
        <w:pStyle w:val="BodyText"/>
      </w:pPr>
      <w:r>
        <w:t xml:space="preserve">Alle diese Befunde stammen aus Tierversuchen, Zellkulturen oder aus dem Wirkmechanismus. Keiner beweist ein Krebsrisiko beim Menschen. Sie zeigen aber, dass „natürlich“, „körpereigen“ oder „regenerativ“ nicht automatisch „harmlos“ bedeutet – und dass für keinen dieser Stoffe die Langzeitdaten existieren, mit denen sich die Frage beantworten ließe.</w:t>
      </w:r>
    </w:p>
    <w:bookmarkEnd w:id="2683"/>
    <w:bookmarkStart w:id="2688" w:name="Xb9db96736005e7fe249386efdbf999d5717de14"/>
    <w:p>
      <w:pPr>
        <w:pStyle w:val="Heading3"/>
      </w:pPr>
      <w:r>
        <w:t xml:space="preserve">Pigmentzellen: Melanotan, Setmelanotid und Afamelanotid</w:t>
      </w:r>
    </w:p>
    <w:p>
      <w:pPr>
        <w:pStyle w:val="FirstParagraph"/>
      </w:pPr>
      <w:r>
        <w:t xml:space="preserve">Die Melanocortin-Peptide regen die Pigmentzellen (Melanozyten) der Haut an. Das ist bei Afamelanotid die gewünschte Wirkung, bei Setmelanotid und Bremelanotid eine Nebenwirkung und bei Melanotan II der eigentliche Verkaufsgrund. Da das Melanom aus Pigmentzellen entsteht, liegt die Frage nach Hautkrebs nahe.</w:t>
      </w:r>
    </w:p>
    <w:p>
      <w:pPr>
        <w:pStyle w:val="BodyText"/>
      </w:pPr>
      <w:r>
        <w:t xml:space="preserve">Für das nicht zugelassene</w:t>
      </w:r>
      <w:r>
        <w:t xml:space="preserve"> </w:t>
      </w:r>
      <w:r>
        <w:rPr>
          <w:bCs/>
          <w:b/>
        </w:rPr>
        <w:t xml:space="preserve">Melanotan II</w:t>
      </w:r>
      <w:r>
        <w:t xml:space="preserve"> </w:t>
      </w:r>
      <w:r>
        <w:t xml:space="preserve">gibt es mehrere Fallberichte über Melanome, die während oder kurz nach der Anwendung entdeckt wurden. Eine Übersicht zählte vier Fälle, in denen Melanome aus bestehenden Muttermalen hervorgingen, und betont zugleich, dass ein schlüssiger Beweis für einen Zusammenhang fehlt</w:t>
      </w:r>
      <w:r>
        <w:rPr>
          <w:rStyle w:val="FootnoteReference"/>
        </w:rPr>
        <w:footnoteReference w:id="2684"/>
      </w:r>
      <w:r>
        <w:t xml:space="preserve">. Unter 179 veröffentlichten Fällen plötzlich auftretender Muttermale, von denen ein Teil auf Melanotan zurückgeführt wurde, waren fünf mit einem Melanom verbunden</w:t>
      </w:r>
      <w:r>
        <w:rPr>
          <w:rStyle w:val="FootnoteReference"/>
        </w:rPr>
        <w:footnoteReference w:id="2685"/>
      </w:r>
      <w:r>
        <w:t xml:space="preserve">. Die Deutung ist schwierig: Viele Betroffene nutzten gleichzeitig Solarien oder sonnten sich intensiv, was das Melanomrisiko unabhängig erhöht. Und Fallberichte können keine Häufigkeit liefern. Siehe Kapitel Melanotan II.</w:t>
      </w:r>
    </w:p>
    <w:p>
      <w:pPr>
        <w:pStyle w:val="BodyText"/>
      </w:pPr>
      <w:r>
        <w:t xml:space="preserve">Für das zugelassene</w:t>
      </w:r>
      <w:r>
        <w:t xml:space="preserve"> </w:t>
      </w:r>
      <w:r>
        <w:rPr>
          <w:bCs/>
          <w:b/>
        </w:rPr>
        <w:t xml:space="preserve">Afamelanotid</w:t>
      </w:r>
      <w:r>
        <w:t xml:space="preserve"> </w:t>
      </w:r>
      <w:r>
        <w:t xml:space="preserve">liegen systematischere Daten vor. In einer Studie mit 15 Behandelten und 103 Muttermalen zeigten sich unter dem Auflichtmikroskop vorübergehende Veränderungen, die nach einem Jahr zurückgegangen waren; Hinweise auf Bösartigkeit oder neue Muttermale fanden sich nicht</w:t>
      </w:r>
      <w:r>
        <w:rPr>
          <w:rStyle w:val="FootnoteReference"/>
        </w:rPr>
        <w:footnoteReference w:id="2686"/>
      </w:r>
      <w:r>
        <w:t xml:space="preserve">. Unter</w:t>
      </w:r>
      <w:r>
        <w:t xml:space="preserve"> </w:t>
      </w:r>
      <w:r>
        <w:rPr>
          <w:bCs/>
          <w:b/>
        </w:rPr>
        <w:t xml:space="preserve">Setmelanotid</w:t>
      </w:r>
      <w:r>
        <w:t xml:space="preserve"> </w:t>
      </w:r>
      <w:r>
        <w:t xml:space="preserve">traten in einer Beobachtung über bis zu 46 Monate keine bösartigen Hautveränderungen auf</w:t>
      </w:r>
      <w:r>
        <w:rPr>
          <w:rStyle w:val="FootnoteReference"/>
        </w:rPr>
        <w:footnoteReference w:id="2687"/>
      </w:r>
      <w:r>
        <w:t xml:space="preserve">. Diese Daten sind beruhigend, aber klein und kurz im Verhältnis zur Entstehungszeit eines Melanoms. Die Fachinformationen sehen regelmäßige Hautkontrollen vor. Auf Melanotan II lassen sie sich nicht übertragen: andere Substanz, ungeprüfte Produkte, oft kombiniert mit UV-Strahlung.</w:t>
      </w:r>
    </w:p>
    <w:bookmarkEnd w:id="2688"/>
    <w:bookmarkStart w:id="2695" w:name="glp-1-und-die-schilddrüsen-c-zellen"/>
    <w:p>
      <w:pPr>
        <w:pStyle w:val="Heading3"/>
      </w:pPr>
      <w:r>
        <w:t xml:space="preserve">GLP-1 und die Schilddrüsen-C-Zellen</w:t>
      </w:r>
    </w:p>
    <w:p>
      <w:pPr>
        <w:pStyle w:val="FirstParagraph"/>
      </w:pPr>
      <w:r>
        <w:t xml:space="preserve">Bei Ratten und Mäusen führten GLP-1-Rezeptor-Agonisten in Langzeitversuchen zu Wucherungen und Tumoren der C-Zellen der Schilddrüse. Der Mechanismus ist gut verstanden: Die C-Zellen von Nagetieren tragen den GLP-1-Rezeptor; seine Aktivierung steigert die Ausschüttung von Calcitonin und die Zellteilung. Bei Menschen und Affen ist der Rezeptor auf den C-Zellen deutlich seltener. Affen, die 20 Monate lang Liraglutid in mehr als 60-fach höherer Konzentration als beim Menschen erhielten, entwickelten keine C-Zell-Wucherung</w:t>
      </w:r>
      <w:r>
        <w:rPr>
          <w:rStyle w:val="FootnoteReference"/>
        </w:rPr>
        <w:footnoteReference w:id="2689"/>
      </w:r>
      <w:r>
        <w:t xml:space="preserve">.</w:t>
      </w:r>
    </w:p>
    <w:p>
      <w:pPr>
        <w:pStyle w:val="BodyText"/>
      </w:pPr>
      <w:r>
        <w:t xml:space="preserve">Ganz ausgeschlossen ist eine Wirkung beim Menschen damit nicht. In menschlichem Schilddrüsengewebe fand eine Untersuchung den GLP-1-Rezeptor in allen Proben medullärer Schilddrüsenkarzinome und C-Zell-Wucherungen, in 18 % der papillären Karzinome und in einem Teil der C-Zellen gesunder Schilddrüsen</w:t>
      </w:r>
      <w:r>
        <w:rPr>
          <w:rStyle w:val="FootnoteReference"/>
        </w:rPr>
        <w:footnoteReference w:id="2690"/>
      </w:r>
      <w:r>
        <w:t xml:space="preserve">.</w:t>
      </w:r>
    </w:p>
    <w:p>
      <w:pPr>
        <w:pStyle w:val="BodyText"/>
      </w:pPr>
      <w:r>
        <w:t xml:space="preserve">Die Studien am Menschen ergeben kein einheitliches Bild:</w:t>
      </w:r>
    </w:p>
    <w:p>
      <w:pPr>
        <w:numPr>
          <w:ilvl w:val="0"/>
          <w:numId w:val="1340"/>
        </w:numPr>
        <w:pStyle w:val="Compact"/>
      </w:pPr>
      <w:r>
        <w:t xml:space="preserve">In der Studie LEADER stieg Calcitonin unter Liraglutid über bis zu fünf Jahre nicht an, und es traten keine medullären Karzinome auf</w:t>
      </w:r>
      <w:r>
        <w:rPr>
          <w:rStyle w:val="FootnoteReference"/>
        </w:rPr>
        <w:footnoteReference w:id="2691"/>
      </w:r>
      <w:r>
        <w:t xml:space="preserve">.</w:t>
      </w:r>
    </w:p>
    <w:p>
      <w:pPr>
        <w:numPr>
          <w:ilvl w:val="0"/>
          <w:numId w:val="1340"/>
        </w:numPr>
        <w:pStyle w:val="Compact"/>
      </w:pPr>
      <w:r>
        <w:t xml:space="preserve">Eine französische Fall-Kontroll-Studie mit 2.562 Fällen fand nach ein bis drei Jahren Behandlung ein erhöhtes Risiko für Schilddrüsenkrebs insgesamt (Hazard Ratio 1,58) und für das medulläre Karzinom (1,78)</w:t>
      </w:r>
      <w:r>
        <w:rPr>
          <w:rStyle w:val="FootnoteReference"/>
        </w:rPr>
        <w:footnoteReference w:id="2692"/>
      </w:r>
      <w:r>
        <w:t xml:space="preserve">.</w:t>
      </w:r>
    </w:p>
    <w:p>
      <w:pPr>
        <w:numPr>
          <w:ilvl w:val="0"/>
          <w:numId w:val="1340"/>
        </w:numPr>
        <w:pStyle w:val="Compact"/>
      </w:pPr>
      <w:r>
        <w:t xml:space="preserve">Eine skandinavische Kohortenstudie mit 145.410 Personen unter GLP-1-Rezeptor-Agonisten fand kein erhöhtes Risiko (Hazard Ratio 0,93; 1,33 gegenüber 1,46 Fällen pro 10.000 Personenjahre). Für das seltene medulläre Karzinom war die Schätzung sehr unsicher (Hazard Ratio 1,19; Vertrauensbereich 0,37 bis 3,86)</w:t>
      </w:r>
      <w:r>
        <w:rPr>
          <w:rStyle w:val="FootnoteReference"/>
        </w:rPr>
        <w:footnoteReference w:id="2693"/>
      </w:r>
      <w:r>
        <w:t xml:space="preserve">.</w:t>
      </w:r>
    </w:p>
    <w:p>
      <w:pPr>
        <w:numPr>
          <w:ilvl w:val="0"/>
          <w:numId w:val="1340"/>
        </w:numPr>
        <w:pStyle w:val="Compact"/>
      </w:pPr>
      <w:r>
        <w:t xml:space="preserve">Eine Meta-Analyse von 50 randomisierten Studien mit mindestens einem Jahr Dauer zeigte ein Signal für Schilddrüsenkrebs (Odds Ratio 1,55), das in längeren Studien deutlicher war</w:t>
      </w:r>
      <w:r>
        <w:rPr>
          <w:rStyle w:val="FootnoteReference"/>
        </w:rPr>
        <w:footnoteReference w:id="2694"/>
      </w:r>
      <w:r>
        <w:t xml:space="preserve">.</w:t>
      </w:r>
    </w:p>
    <w:p>
      <w:pPr>
        <w:pStyle w:val="FirstParagraph"/>
      </w:pPr>
      <w:r>
        <w:t xml:space="preserve">Wie passt das zusammen? Ein Teil des Signals könnte auf häufigere Untersuchungen zurückgehen: Wer wegen Diabetes oder Adipositas eng betreut wird, bekommt häufiger einen Ultraschall, bei dem kleine, harmlose papilläre Karzinome entdeckt werden. Ein kleines echtes Risiko lässt sich aber nicht ausschließen. Für Menschen mit medullärem Schilddrüsenkarzinom in der eigenen oder familiären Vorgeschichte oder mit MEN-2-Syndrom gilt deshalb weiterhin eine Gegenanzeige. Siehe Kapitel Liraglutid.</w:t>
      </w:r>
    </w:p>
    <w:bookmarkEnd w:id="2695"/>
    <w:bookmarkStart w:id="2699" w:name="bauchspeicheldrüse"/>
    <w:p>
      <w:pPr>
        <w:pStyle w:val="Heading3"/>
      </w:pPr>
      <w:r>
        <w:t xml:space="preserve">Bauchspeicheldrüse</w:t>
      </w:r>
    </w:p>
    <w:p>
      <w:pPr>
        <w:pStyle w:val="FirstParagraph"/>
      </w:pPr>
      <w:r>
        <w:t xml:space="preserve">Nach den frühen Meldungen über Bauchspeicheldrüsenentzündungen unter Exenatid und Liraglutid wurde auch ein erhöhtes Risiko für Bauchspeicheldrüsenkrebs befürchtet. Die Daten haben das bisher nicht bestätigt. Eine Meta-Analyse von 62 randomisierten Studien fand kein gesichert erhöhtes Risiko (relatives Risiko 1,30; Vertrauensbereich 0,86 bis 1,97); in einer Untergruppe von Studien mit zusätzlichen Medikamenten war es erhöht, ohne zusätzliche Medikamente nicht</w:t>
      </w:r>
      <w:r>
        <w:rPr>
          <w:rStyle w:val="FootnoteReference"/>
        </w:rPr>
        <w:footnoteReference w:id="2696"/>
      </w:r>
      <w:r>
        <w:t xml:space="preserve">. Die Autorinnen und Autoren weisen darauf hin, dass viele Studien ohne einziges Ereignis gar nicht in die Berechnung eingingen. In einer großen US-Kohortenstudie war Bauchspeicheldrüsenkrebs unter GLP-1-Rezeptor-Agonisten sogar seltener als unter Insulin (Hazard Ratio 0,41)</w:t>
      </w:r>
      <w:r>
        <w:rPr>
          <w:rStyle w:val="FootnoteReference"/>
        </w:rPr>
        <w:footnoteReference w:id="2697"/>
      </w:r>
      <w:r>
        <w:t xml:space="preserve"> </w:t>
      </w:r>
      <w:r>
        <w:t xml:space="preserve">– wobei Insulin oft bei länger bestehendem, schwererem Diabetes eingesetzt wird.</w:t>
      </w:r>
    </w:p>
    <w:p>
      <w:pPr>
        <w:pStyle w:val="BodyText"/>
      </w:pPr>
      <w:r>
        <w:t xml:space="preserve">Für neuroendokrine Tumoren, eine seltene Gruppe von Tumoren, die unter anderem in der Bauchspeicheldrüse entstehen und teils den GLP-1-Rezeptor tragen, kommt eine Übersichtsarbeit zu dem Schluss, dass die vorhandenen Daten keinen allgemeinen Anstieg zeigen, aber wichtige Lücken bestehen, etwa bei erblicher Veranlagung</w:t>
      </w:r>
      <w:r>
        <w:rPr>
          <w:rStyle w:val="FootnoteReference"/>
        </w:rPr>
        <w:footnoteReference w:id="2698"/>
      </w:r>
      <w:r>
        <w:t xml:space="preserve">.</w:t>
      </w:r>
    </w:p>
    <w:bookmarkEnd w:id="2699"/>
    <w:bookmarkStart w:id="2700" w:name="Xf9ecde3c925a25b6b7c122e1f3205262586ddd6"/>
    <w:p>
      <w:pPr>
        <w:pStyle w:val="Heading3"/>
      </w:pPr>
      <w:r>
        <w:t xml:space="preserve">Was neue Meta-Analysen und große Kohorten zu GLP-1 und Krebs zeigen</w:t>
      </w:r>
    </w:p>
    <w:p>
      <w:pPr>
        <w:pStyle w:val="FirstParagraph"/>
      </w:pPr>
      <w:r>
        <w:t xml:space="preserve">Mit der weiten Verbreitung der GLP-1-Medikamente sind seit 2024 mehrere sehr große Auswertungen erschienen. Sie zeichnen ein überwiegend beruhigendes, in Einzelpunkten aber unklares Bild.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Daten</w:t>
            </w:r>
          </w:p>
        </w:tc>
        <w:tc>
          <w:tcPr/>
          <w:p>
            <w:pPr>
              <w:pStyle w:val="Compact"/>
              <w:jc w:val="left"/>
            </w:pPr>
            <w:r>
              <w:t xml:space="preserve">Ergebnis Krebs insgesamt</w:t>
            </w:r>
          </w:p>
        </w:tc>
        <w:tc>
          <w:tcPr/>
          <w:p>
            <w:pPr>
              <w:pStyle w:val="Compact"/>
              <w:jc w:val="left"/>
            </w:pPr>
            <w:r>
              <w:t xml:space="preserve">Auffälligkeiten</w:t>
            </w:r>
          </w:p>
        </w:tc>
      </w:tr>
      <w:tr>
        <w:tc>
          <w:tcPr/>
          <w:p>
            <w:pPr>
              <w:pStyle w:val="Compact"/>
              <w:jc w:val="left"/>
            </w:pPr>
            <w:r>
              <w:t xml:space="preserve">Silverii 2025, PMID 40437949</w:t>
            </w:r>
          </w:p>
        </w:tc>
        <w:tc>
          <w:tcPr/>
          <w:p>
            <w:pPr>
              <w:pStyle w:val="Compact"/>
              <w:jc w:val="left"/>
            </w:pPr>
            <w:r>
              <w:t xml:space="preserve">50 RCTs, mind. 52 Wochen</w:t>
            </w:r>
          </w:p>
        </w:tc>
        <w:tc>
          <w:tcPr/>
          <w:p>
            <w:pPr>
              <w:pStyle w:val="Compact"/>
              <w:jc w:val="left"/>
            </w:pPr>
            <w:r>
              <w:t xml:space="preserve">kein Unterschied (Odds Ratio 1,05)</w:t>
            </w:r>
          </w:p>
        </w:tc>
        <w:tc>
          <w:tcPr/>
          <w:p>
            <w:pPr>
              <w:pStyle w:val="Compact"/>
              <w:jc w:val="left"/>
            </w:pPr>
            <w:r>
              <w:t xml:space="preserve">Schilddrüse 1,55; Gebärmutter bei Adipositas 0,24</w:t>
            </w:r>
          </w:p>
        </w:tc>
      </w:tr>
      <w:tr>
        <w:tc>
          <w:tcPr/>
          <w:p>
            <w:pPr>
              <w:pStyle w:val="Compact"/>
              <w:jc w:val="left"/>
            </w:pPr>
            <w:r>
              <w:t xml:space="preserve">Wang 2024, PMID 38967919</w:t>
            </w:r>
          </w:p>
        </w:tc>
        <w:tc>
          <w:tcPr/>
          <w:p>
            <w:pPr>
              <w:pStyle w:val="Compact"/>
              <w:jc w:val="left"/>
            </w:pPr>
            <w:r>
              <w:t xml:space="preserve">1.651.452 Menschen mit Typ-2-Diabetes</w:t>
            </w:r>
          </w:p>
        </w:tc>
        <w:tc>
          <w:tcPr/>
          <w:p>
            <w:pPr>
              <w:pStyle w:val="Compact"/>
              <w:jc w:val="left"/>
            </w:pPr>
            <w:r>
              <w:t xml:space="preserve">vs. Insulin weniger bei 10 von 13 Krebsarten</w:t>
            </w:r>
          </w:p>
        </w:tc>
        <w:tc>
          <w:tcPr/>
          <w:p>
            <w:pPr>
              <w:pStyle w:val="Compact"/>
              <w:jc w:val="left"/>
            </w:pPr>
            <w:r>
              <w:t xml:space="preserve">vs. Metformin mehr Nierenkrebs (1,54)</w:t>
            </w:r>
          </w:p>
        </w:tc>
      </w:tr>
      <w:tr>
        <w:tc>
          <w:tcPr/>
          <w:p>
            <w:pPr>
              <w:pStyle w:val="Compact"/>
              <w:jc w:val="left"/>
            </w:pPr>
            <w:r>
              <w:t xml:space="preserve">Dai 2025, PMID 40839273</w:t>
            </w:r>
          </w:p>
        </w:tc>
        <w:tc>
          <w:tcPr/>
          <w:p>
            <w:pPr>
              <w:pStyle w:val="Compact"/>
              <w:jc w:val="left"/>
            </w:pPr>
            <w:r>
              <w:t xml:space="preserve">86.632 Erwachsene mit Adipositas</w:t>
            </w:r>
          </w:p>
        </w:tc>
        <w:tc>
          <w:tcPr/>
          <w:p>
            <w:pPr>
              <w:pStyle w:val="Compact"/>
              <w:jc w:val="left"/>
            </w:pPr>
            <w:r>
              <w:t xml:space="preserve">weniger Krebs (Hazard Ratio 0,83)</w:t>
            </w:r>
          </w:p>
        </w:tc>
        <w:tc>
          <w:tcPr/>
          <w:p>
            <w:pPr>
              <w:pStyle w:val="Compact"/>
              <w:jc w:val="left"/>
            </w:pPr>
            <w:r>
              <w:t xml:space="preserve">Nierenkrebs grenzwertig erhöht (1,38)</w:t>
            </w:r>
          </w:p>
        </w:tc>
      </w:tr>
      <w:tr>
        <w:tc>
          <w:tcPr/>
          <w:p>
            <w:pPr>
              <w:pStyle w:val="Compact"/>
              <w:jc w:val="left"/>
            </w:pPr>
            <w:r>
              <w:t xml:space="preserve">Hsu 2026, PMID 42252247</w:t>
            </w:r>
          </w:p>
        </w:tc>
        <w:tc>
          <w:tcPr/>
          <w:p>
            <w:pPr>
              <w:pStyle w:val="Compact"/>
              <w:jc w:val="left"/>
            </w:pPr>
            <w:r>
              <w:t xml:space="preserve">161.798 Erwachsene mit Adipositas ohne Diabetes</w:t>
            </w:r>
          </w:p>
        </w:tc>
        <w:tc>
          <w:tcPr/>
          <w:p>
            <w:pPr>
              <w:pStyle w:val="Compact"/>
              <w:jc w:val="left"/>
            </w:pPr>
            <w:r>
              <w:t xml:space="preserve">weniger übergewichtsbedingte Krebsarten (0,59)</w:t>
            </w:r>
          </w:p>
        </w:tc>
        <w:tc>
          <w:tcPr/>
          <w:p>
            <w:pPr>
              <w:pStyle w:val="Compact"/>
              <w:jc w:val="left"/>
            </w:pPr>
            <w:r>
              <w:t xml:space="preserve">Nachbeobachtung im Median 2 Jahre</w:t>
            </w:r>
          </w:p>
        </w:tc>
      </w:tr>
    </w:tbl>
    <w:p>
      <w:pPr>
        <w:pStyle w:val="BodyText"/>
      </w:pPr>
      <w:r>
        <w:t xml:space="preserve">Wie sind diese Zahlen zu lesen?</w:t>
      </w:r>
    </w:p>
    <w:p>
      <w:pPr>
        <w:numPr>
          <w:ilvl w:val="0"/>
          <w:numId w:val="1341"/>
        </w:numPr>
        <w:pStyle w:val="Compact"/>
      </w:pPr>
      <w:r>
        <w:rPr>
          <w:bCs/>
          <w:b/>
        </w:rPr>
        <w:t xml:space="preserve">Die randomisierten Studien</w:t>
      </w:r>
      <w:r>
        <w:t xml:space="preserve"> </w:t>
      </w:r>
      <w:r>
        <w:t xml:space="preserve">zeigen insgesamt keinen Einfluss auf das Krebsrisiko. Das ist das verlässlichste Ergebnis, aber die Studien sind für Krebs zu kurz.</w:t>
      </w:r>
    </w:p>
    <w:p>
      <w:pPr>
        <w:numPr>
          <w:ilvl w:val="0"/>
          <w:numId w:val="1341"/>
        </w:numPr>
        <w:pStyle w:val="Compact"/>
      </w:pPr>
      <w:r>
        <w:rPr>
          <w:bCs/>
          <w:b/>
        </w:rPr>
        <w:t xml:space="preserve">Die großen Beobachtungsstudien</w:t>
      </w:r>
      <w:r>
        <w:t xml:space="preserve"> </w:t>
      </w:r>
      <w:r>
        <w:t xml:space="preserve">zeigen eher weniger Krebs unter GLP-1-Medikamenten. Das passt zur Vorstellung, dass Gewichtsabnahme übergewichtsbedingte Krebsarten verringert. Es kann aber auch daran liegen, dass Menschen, die solche Medikamente erhalten, sich in vielem von den Vergleichsgruppen unterscheiden. Eine Nachbeobachtung von zwei Jahren ist für eine Aussage über Krebsvorbeugung sehr kurz.</w:t>
      </w:r>
    </w:p>
    <w:p>
      <w:pPr>
        <w:numPr>
          <w:ilvl w:val="0"/>
          <w:numId w:val="1341"/>
        </w:numPr>
        <w:pStyle w:val="Compact"/>
      </w:pPr>
      <w:r>
        <w:rPr>
          <w:bCs/>
          <w:b/>
        </w:rPr>
        <w:t xml:space="preserve">Nierenkrebs</w:t>
      </w:r>
      <w:r>
        <w:t xml:space="preserve"> </w:t>
      </w:r>
      <w:r>
        <w:t xml:space="preserve">taucht in zwei Kohortenstudien als mögliches Signal auf. Ob das ein echter Effekt ist, muss sich zeigen.</w:t>
      </w:r>
    </w:p>
    <w:p>
      <w:pPr>
        <w:numPr>
          <w:ilvl w:val="0"/>
          <w:numId w:val="1341"/>
        </w:numPr>
        <w:pStyle w:val="Compact"/>
      </w:pPr>
      <w:r>
        <w:rPr>
          <w:bCs/>
          <w:b/>
        </w:rPr>
        <w:t xml:space="preserve">Schilddrüsenkrebs</w:t>
      </w:r>
      <w:r>
        <w:t xml:space="preserve"> </w:t>
      </w:r>
      <w:r>
        <w:t xml:space="preserve">bleibt die offene Frage, wie oben beschrieben.</w:t>
      </w:r>
    </w:p>
    <w:p>
      <w:pPr>
        <w:pStyle w:val="FirstParagraph"/>
      </w:pPr>
      <w:r>
        <w:t xml:space="preserve">Ob GLP-1-Medikamente tatsächlich vor Krebs schützen, lässt sich mit den vorhandenen Daten nicht sagen. Für die Frage, ob sie Krebs verursachen, gilt nach heutigem Wissen: Für die meisten Krebsarten nein, für Schilddrüse und Niere nicht abschließend geklärt. Für die neuen Mehrfach-Agonisten wie Retatrutid, Survodutid oder Mazdutid gibt es noch zu wenige Behandlungsjahre, um eigene Aussagen zu treffen.</w:t>
      </w:r>
    </w:p>
    <w:bookmarkEnd w:id="2700"/>
    <w:bookmarkStart w:id="2701" w:name="das-wichtigste-in-kürze-5"/>
    <w:p>
      <w:pPr>
        <w:pStyle w:val="Heading3"/>
      </w:pPr>
      <w:r>
        <w:t xml:space="preserve">Das Wichtigste in Kürze</w:t>
      </w:r>
    </w:p>
    <w:p>
      <w:pPr>
        <w:numPr>
          <w:ilvl w:val="0"/>
          <w:numId w:val="1342"/>
        </w:numPr>
        <w:pStyle w:val="Compact"/>
      </w:pPr>
      <w:r>
        <w:t xml:space="preserve">Die beste Datenlage zum Krebsrisiko haben ausgerechnet die Peptide, bei denen die Sorge am wenigsten begründet scheint: die zugelassenen GLP-1-Medikamente. Für die meisten Krebsarten zeigen sie kein erhöhtes Risiko; das Schilddrüsen-Signal ist ungeklärt.</w:t>
      </w:r>
    </w:p>
    <w:p>
      <w:pPr>
        <w:numPr>
          <w:ilvl w:val="0"/>
          <w:numId w:val="1342"/>
        </w:numPr>
        <w:pStyle w:val="Compact"/>
      </w:pPr>
      <w:r>
        <w:t xml:space="preserve">Bei der Wachstumshormon-IGF-1-Achse ist ein mäßiger Zusammenhang zwischen dauerhaft höheren IGF-1-Spiegeln und einigen Krebsarten gut belegt. Für Gesunde, die IGF-1 über Jahre künstlich anheben, fehlen Studien.</w:t>
      </w:r>
    </w:p>
    <w:p>
      <w:pPr>
        <w:numPr>
          <w:ilvl w:val="0"/>
          <w:numId w:val="1342"/>
        </w:numPr>
        <w:pStyle w:val="Compact"/>
      </w:pPr>
      <w:r>
        <w:t xml:space="preserve">Für BPC-157, TB-500, Epitalon, Humanin, Dihexa und ähnliche Stoffe gibt es nur theoretische und tierexperimentelle Hinweise – in beide Richtungen. Langzeitdaten zur Krebsentstehung existieren nicht.</w:t>
      </w:r>
    </w:p>
    <w:p>
      <w:pPr>
        <w:numPr>
          <w:ilvl w:val="0"/>
          <w:numId w:val="1342"/>
        </w:numPr>
        <w:pStyle w:val="Compact"/>
      </w:pPr>
      <w:r>
        <w:t xml:space="preserve">Bei Melanotan II gibt es Melanom-Fallberichte, aber keine Häufigkeitsdaten. Beim zugelassenen Afamelanotid fanden kleine Studien keine bösartigen Veränderungen.</w:t>
      </w:r>
    </w:p>
    <w:p>
      <w:pPr>
        <w:numPr>
          <w:ilvl w:val="0"/>
          <w:numId w:val="1342"/>
        </w:numPr>
        <w:pStyle w:val="Compact"/>
      </w:pPr>
      <w:r>
        <w:t xml:space="preserve">Für Menschen mit aktiver oder früherer Krebserkrankung sind alle wachstumsfördernden Peptide ohne ärztliche Begleitung besonders problematisch.</w:t>
      </w:r>
    </w:p>
    <w:bookmarkEnd w:id="2701"/>
    <w:bookmarkEnd w:id="2702"/>
    <w:bookmarkStart w:id="2733" w:name="immunreaktionen-und-antikörper"/>
    <w:p>
      <w:pPr>
        <w:pStyle w:val="Heading2"/>
      </w:pPr>
      <w:r>
        <w:t xml:space="preserve">Immunreaktionen und Antikörper</w:t>
      </w:r>
    </w:p>
    <w:p>
      <w:pPr>
        <w:pStyle w:val="FirstParagraph"/>
      </w:pPr>
      <w:r>
        <w:t xml:space="preserve">Das Immunsystem hat die Aufgabe, Fremdes zu erkennen. Peptide stehen dabei an einer Grenze: Viele sind körpereigenen Botenstoffen nachgebaut, aber chemisch verändert, damit sie länger wirken. Andere stammen aus Tieren, aus Bakterien oder aus dem Labor. Hinzu kommt, dass die meisten Peptide unter die Haut gespritzt werden – an eine Stelle, an der besonders viele Abwehrzellen auf Eindringlinge warten.</w:t>
      </w:r>
    </w:p>
    <w:p>
      <w:pPr>
        <w:pStyle w:val="BodyText"/>
      </w:pPr>
      <w:r>
        <w:t xml:space="preserve">Immunreaktionen auf Peptide reichen von harmlosen Rötungen an der Einstichstelle über Antikörper, die man nur im Labor bemerkt, bis zu seltenen lebensbedrohlichen allergischen Reaktionen. Dieses Kapitel ordnet diese Reaktionen, vergleicht die Peptide und zeigt, welche Rolle Verunreinigungen spielen.</w:t>
      </w:r>
    </w:p>
    <w:bookmarkStart w:id="2704" w:name="Xce2454e788f08aae2840c5a3c9f04cb5075971d"/>
    <w:p>
      <w:pPr>
        <w:pStyle w:val="Heading3"/>
      </w:pPr>
      <w:r>
        <w:t xml:space="preserve">Warum Peptide eine Immunreaktion auslösen können</w:t>
      </w:r>
    </w:p>
    <w:p>
      <w:pPr>
        <w:pStyle w:val="FirstParagraph"/>
      </w:pPr>
      <w:r>
        <w:t xml:space="preserve">Ob das Immunsystem ein Peptid als fremd einstuft, hängt von mehreren Faktoren ab:</w:t>
      </w:r>
    </w:p>
    <w:p>
      <w:pPr>
        <w:numPr>
          <w:ilvl w:val="0"/>
          <w:numId w:val="1343"/>
        </w:numPr>
        <w:pStyle w:val="Compact"/>
      </w:pPr>
      <w:r>
        <w:rPr>
          <w:bCs/>
          <w:b/>
        </w:rPr>
        <w:t xml:space="preserve">Herkunft und Ähnlichkeit zum Körpereigenen.</w:t>
      </w:r>
      <w:r>
        <w:t xml:space="preserve"> </w:t>
      </w:r>
      <w:r>
        <w:t xml:space="preserve">Exenatid wurde aus einem Peptid im Speichel einer Echse entwickelt und unterscheidet sich deutlich vom menschlichen GLP-1. Liraglutid und Semaglutid sind dem menschlichen Hormon dagegen weitgehend nachgebaut.</w:t>
      </w:r>
    </w:p>
    <w:p>
      <w:pPr>
        <w:numPr>
          <w:ilvl w:val="0"/>
          <w:numId w:val="1343"/>
        </w:numPr>
        <w:pStyle w:val="Compact"/>
      </w:pPr>
      <w:r>
        <w:rPr>
          <w:bCs/>
          <w:b/>
        </w:rPr>
        <w:t xml:space="preserve">Größe und Veränderungen.</w:t>
      </w:r>
      <w:r>
        <w:t xml:space="preserve"> </w:t>
      </w:r>
      <w:r>
        <w:t xml:space="preserve">Längere Moleküle, angehängte Fettsäuren, Verbindungsstücke oder Antikörper-Bestandteile (wie bei Maridebart Cafraglutid) bieten mehr Angriffsfläche.</w:t>
      </w:r>
    </w:p>
    <w:p>
      <w:pPr>
        <w:numPr>
          <w:ilvl w:val="0"/>
          <w:numId w:val="1343"/>
        </w:numPr>
        <w:pStyle w:val="Compact"/>
      </w:pPr>
      <w:r>
        <w:rPr>
          <w:bCs/>
          <w:b/>
        </w:rPr>
        <w:t xml:space="preserve">Verklumpung.</w:t>
      </w:r>
      <w:r>
        <w:t xml:space="preserve"> </w:t>
      </w:r>
      <w:r>
        <w:t xml:space="preserve">Peptide können zu größeren Aggregaten zusammenlagern, die das Immunsystem leichter erkennt.</w:t>
      </w:r>
    </w:p>
    <w:p>
      <w:pPr>
        <w:numPr>
          <w:ilvl w:val="0"/>
          <w:numId w:val="1343"/>
        </w:numPr>
        <w:pStyle w:val="Compact"/>
      </w:pPr>
      <w:r>
        <w:rPr>
          <w:bCs/>
          <w:b/>
        </w:rPr>
        <w:t xml:space="preserve">Verunreinigungen.</w:t>
      </w:r>
      <w:r>
        <w:t xml:space="preserve"> </w:t>
      </w:r>
      <w:r>
        <w:t xml:space="preserve">Schon kleine Mengen fehlerhaft hergestellter Peptidbruchstücke oder bakterieller Bestandteile können eine Abwehrreaktion anstoßen (mehr dazu unten).</w:t>
      </w:r>
    </w:p>
    <w:p>
      <w:pPr>
        <w:numPr>
          <w:ilvl w:val="0"/>
          <w:numId w:val="1343"/>
        </w:numPr>
        <w:pStyle w:val="Compact"/>
      </w:pPr>
      <w:r>
        <w:rPr>
          <w:bCs/>
          <w:b/>
        </w:rPr>
        <w:t xml:space="preserve">Häufigkeit und Dauer der Anwendung.</w:t>
      </w:r>
      <w:r>
        <w:t xml:space="preserve"> </w:t>
      </w:r>
      <w:r>
        <w:t xml:space="preserve">Wer ein Peptid über Monate wiederholt spritzt, gibt dem Immunsystem viele Gelegenheiten, darauf zu reagieren.</w:t>
      </w:r>
    </w:p>
    <w:p>
      <w:pPr>
        <w:pStyle w:val="FirstParagraph"/>
      </w:pPr>
      <w:r>
        <w:t xml:space="preserve">Für die Bewertung von Antikörpern gegen Arzneimittel – Fachleute sprechen von Anti-Drug-Antikörpern (ADA) – hat sich eine einheitliche Sprache etabliert</w:t>
      </w:r>
      <w:r>
        <w:rPr>
          <w:rStyle w:val="FootnoteReference"/>
        </w:rPr>
        <w:footnoteReference w:id="2703"/>
      </w:r>
      <w:r>
        <w:t xml:space="preserve">. Wichtig sind vier Fragen: Wie viele Behandelte bilden Antikörper? Wie hoch ist die Menge (der Titer)? Hemmen die Antikörper die Wirkung (neutralisierende Antikörper)? Und reagieren sie auch mit dem körpereigenen Hormon (Kreuzreaktivität)? Der letzte Punkt wäre der bedenklichste: Antikörper, die nicht nur das Medikament, sondern auch das eigene Hormon blockieren, könnten eine dauerhafte Störung hinterlassen.</w:t>
      </w:r>
    </w:p>
    <w:bookmarkEnd w:id="2704"/>
    <w:bookmarkStart w:id="2707" w:name="Xf1af5bcdd891ab691c718ba4dee9cc5d41a1f39"/>
    <w:p>
      <w:pPr>
        <w:pStyle w:val="Heading3"/>
      </w:pPr>
      <w:r>
        <w:t xml:space="preserve">Anti-Drug-Antikörper: was die Studien zeigen</w:t>
      </w:r>
    </w:p>
    <w:p>
      <w:pPr>
        <w:pStyle w:val="FirstParagraph"/>
      </w:pPr>
      <w:r>
        <w:t xml:space="preserve">Für die zugelassenen GLP-1-Medikamente liegen systematische Untersuchungen vor. Sie zeigen, wie unterschiedlich häufig Antikörper entstehen – und dass eine hohe Häufigkeit nicht automatisch ein klinisches Problem bedeutet.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Antikörper bei</w:t>
            </w:r>
          </w:p>
        </w:tc>
        <w:tc>
          <w:tcPr/>
          <w:p>
            <w:pPr>
              <w:pStyle w:val="Compact"/>
              <w:jc w:val="left"/>
            </w:pPr>
            <w:r>
              <w:t xml:space="preserve">Folgen</w:t>
            </w:r>
          </w:p>
        </w:tc>
        <w:tc>
          <w:tcPr/>
          <w:p>
            <w:pPr>
              <w:pStyle w:val="Compact"/>
              <w:jc w:val="left"/>
            </w:pPr>
            <w:r>
              <w:t xml:space="preserve">Quelle</w:t>
            </w:r>
          </w:p>
        </w:tc>
      </w:tr>
      <w:tr>
        <w:tc>
          <w:tcPr/>
          <w:p>
            <w:pPr>
              <w:pStyle w:val="Compact"/>
              <w:jc w:val="left"/>
            </w:pPr>
            <w:r>
              <w:t xml:space="preserve">Exenatid</w:t>
            </w:r>
          </w:p>
        </w:tc>
        <w:tc>
          <w:tcPr/>
          <w:p>
            <w:pPr>
              <w:pStyle w:val="Compact"/>
              <w:jc w:val="left"/>
            </w:pPr>
            <w:r>
              <w:t xml:space="preserve">61 % nach 26 Wochen (LEAD-6)</w:t>
            </w:r>
          </w:p>
        </w:tc>
        <w:tc>
          <w:tcPr/>
          <w:p>
            <w:pPr>
              <w:pStyle w:val="Compact"/>
              <w:jc w:val="left"/>
            </w:pPr>
            <w:r>
              <w:t xml:space="preserve">hohe Titer: geringere HbA1c-Senkung</w:t>
            </w:r>
          </w:p>
        </w:tc>
        <w:tc>
          <w:tcPr/>
          <w:p>
            <w:pPr>
              <w:pStyle w:val="Compact"/>
              <w:jc w:val="left"/>
            </w:pPr>
            <w:r>
              <w:t xml:space="preserve">Buse 2011, PMID 21450987</w:t>
            </w:r>
          </w:p>
        </w:tc>
      </w:tr>
      <w:tr>
        <w:tc>
          <w:tcPr/>
          <w:p>
            <w:pPr>
              <w:pStyle w:val="Compact"/>
              <w:jc w:val="left"/>
            </w:pPr>
            <w:r>
              <w:t xml:space="preserve">Liraglutid</w:t>
            </w:r>
          </w:p>
        </w:tc>
        <w:tc>
          <w:tcPr/>
          <w:p>
            <w:pPr>
              <w:pStyle w:val="Compact"/>
              <w:jc w:val="left"/>
            </w:pPr>
            <w:r>
              <w:t xml:space="preserve">8,3 bis 8,7 %, niedrige Titer</w:t>
            </w:r>
          </w:p>
        </w:tc>
        <w:tc>
          <w:tcPr/>
          <w:p>
            <w:pPr>
              <w:pStyle w:val="Compact"/>
              <w:jc w:val="left"/>
            </w:pPr>
            <w:r>
              <w:t xml:space="preserve">keine Wirkungsabschwächung</w:t>
            </w:r>
          </w:p>
        </w:tc>
        <w:tc>
          <w:tcPr/>
          <w:p>
            <w:pPr>
              <w:pStyle w:val="Compact"/>
              <w:jc w:val="left"/>
            </w:pPr>
            <w:r>
              <w:t xml:space="preserve">Buse 2011, PMID 21450987</w:t>
            </w:r>
          </w:p>
        </w:tc>
      </w:tr>
      <w:tr>
        <w:tc>
          <w:tcPr/>
          <w:p>
            <w:pPr>
              <w:pStyle w:val="Compact"/>
              <w:jc w:val="left"/>
            </w:pPr>
            <w:r>
              <w:t xml:space="preserve">Dulaglutid</w:t>
            </w:r>
          </w:p>
        </w:tc>
        <w:tc>
          <w:tcPr/>
          <w:p>
            <w:pPr>
              <w:pStyle w:val="Compact"/>
              <w:jc w:val="left"/>
            </w:pPr>
            <w:r>
              <w:t xml:space="preserve">1,6 %, neutralisierend 0,9 %</w:t>
            </w:r>
          </w:p>
        </w:tc>
        <w:tc>
          <w:tcPr/>
          <w:p>
            <w:pPr>
              <w:pStyle w:val="Compact"/>
              <w:jc w:val="left"/>
            </w:pPr>
            <w:r>
              <w:t xml:space="preserve">keine Überempfindlichkeit bei Antikörper-Positiven</w:t>
            </w:r>
          </w:p>
        </w:tc>
        <w:tc>
          <w:tcPr/>
          <w:p>
            <w:pPr>
              <w:pStyle w:val="Compact"/>
              <w:jc w:val="left"/>
            </w:pPr>
            <w:r>
              <w:t xml:space="preserve">Milicevic 2016, PMID 26847401</w:t>
            </w:r>
          </w:p>
        </w:tc>
      </w:tr>
      <w:tr>
        <w:tc>
          <w:tcPr/>
          <w:p>
            <w:pPr>
              <w:pStyle w:val="Compact"/>
              <w:jc w:val="left"/>
            </w:pPr>
            <w:r>
              <w:t xml:space="preserve">Tirzepatid</w:t>
            </w:r>
          </w:p>
        </w:tc>
        <w:tc>
          <w:tcPr/>
          <w:p>
            <w:pPr>
              <w:pStyle w:val="Compact"/>
              <w:jc w:val="left"/>
            </w:pPr>
            <w:r>
              <w:t xml:space="preserve">51,1 %, neutralisierend etwa 2 %</w:t>
            </w:r>
          </w:p>
        </w:tc>
        <w:tc>
          <w:tcPr/>
          <w:p>
            <w:pPr>
              <w:pStyle w:val="Compact"/>
              <w:jc w:val="left"/>
            </w:pPr>
            <w:r>
              <w:t xml:space="preserve">keine Wirkungsabschwächung; mehr Haut- und Allergiereaktionen</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von 18 Kindern</w:t>
            </w:r>
          </w:p>
        </w:tc>
        <w:tc>
          <w:tcPr/>
          <w:p>
            <w:pPr>
              <w:pStyle w:val="Compact"/>
              <w:jc w:val="left"/>
            </w:pPr>
            <w:r>
              <w:t xml:space="preserve">keine erkennbaren Folgen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keine in 12 Wochen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w:t>
      </w:r>
      <w:r>
        <w:t xml:space="preserve"> </w:t>
      </w:r>
      <w:r>
        <w:t xml:space="preserve">ist das Paradebeispiel für ein Peptid, das wegen seiner nicht menschlichen Herkunft häufig Antikörper hervorruft. In der Studie LEAD-6 hatten nach 26 Wochen 113 von 185 Behandelten Antikörper gegen Exenatid; hohe Antikörperspiegel gingen mit einer signifikant geringeren Senkung des Langzeitblutzuckers einher. Nach dem Wechsel auf Liraglutid behinderten diese Antikörper die weitere Wirkung nicht</w:t>
      </w:r>
      <w:r>
        <w:rPr>
          <w:rStyle w:val="FootnoteReference"/>
        </w:rPr>
        <w:footnoteReference w:id="2705"/>
      </w:r>
      <w:r>
        <w:t xml:space="preserve">.</w:t>
      </w:r>
    </w:p>
    <w:p>
      <w:pPr>
        <w:pStyle w:val="BodyText"/>
      </w:pPr>
      <w:r>
        <w:rPr>
          <w:bCs/>
          <w:b/>
        </w:rPr>
        <w:t xml:space="preserve">Tirzepatid</w:t>
      </w:r>
      <w:r>
        <w:t xml:space="preserve"> </w:t>
      </w:r>
      <w:r>
        <w:t xml:space="preserve">zeigt, dass auch ein dem Menschen nachgebautes Peptid häufig erkannt werden kann. In sieben Phase-3-Studien mit 5.025 auswertbaren Teilnehmenden bildeten 51,1 % während der Behandlung Antikörper. Neutralisierende Antikörper gegen die Wirkung am GIP- beziehungsweise GLP-1-Rezeptor fanden sich bei 1,9 % und 2,1 %, solche, die auch die körpereigenen Hormone neutralisierten, bei weniger als 1 %. Auf Blutspiegel und Wirkung hatte das keinen Einfluss. Allerdings erlebten Antikörper-positive Teilnehmende häufiger Überempfindlichkeitsreaktionen und Reaktionen an der Einstichstelle, meist leicht bis mittelschwer</w:t>
      </w:r>
      <w:r>
        <w:rPr>
          <w:rStyle w:val="FootnoteReference"/>
        </w:rPr>
        <w:footnoteReference w:id="2706"/>
      </w:r>
      <w:r>
        <w:t xml:space="preserve">.</w:t>
      </w:r>
    </w:p>
    <w:p>
      <w:pPr>
        <w:pStyle w:val="BodyText"/>
      </w:pPr>
      <w:r>
        <w:t xml:space="preserve">Für die neueren Wirkstoffe – Retatrutid, Survodutid, Mazdutid, Cagrilintid, Amycretin und das antikörperbasierte Maridebart Cafraglutid – sind vergleichbare zusammenfassende Auswertungen noch nicht veröffentlicht. Bei Maridebart Cafraglutid ist das besonders relevant, weil Antikörper-Medikamente eine eigene Immunogenität haben können (Kapitel Maridebart Cafraglutid).</w:t>
      </w:r>
    </w:p>
    <w:p>
      <w:pPr>
        <w:pStyle w:val="BodyText"/>
      </w:pPr>
      <w:r>
        <w:t xml:space="preserve">Für die meisten Graumarkt-Peptide gibt es überhaupt keine Antikörperdaten. Das gilt für BPC-157, TB-500, CJC-1295, Ipamorelin, MOTS-c, Humanin, Epitalon und viele weitere. In den Kapiteln zu MOTS-c, Humanin und FOXO4-DRI ist darauf hingewiesen, dass Antikörper bei wiederholter Injektion denkbar, aber nie untersucht sind. Wer solche Stoffe über Monate spritzt, kann also nicht wissen, ob sein Körper Antikörper bildet und was diese bewirken.</w:t>
      </w:r>
    </w:p>
    <w:bookmarkEnd w:id="2707"/>
    <w:bookmarkStart w:id="2711" w:name="reaktionen-an-der-einstichstelle"/>
    <w:p>
      <w:pPr>
        <w:pStyle w:val="Heading3"/>
      </w:pPr>
      <w:r>
        <w:t xml:space="preserve">Reaktionen an der Einstichstelle</w:t>
      </w:r>
    </w:p>
    <w:p>
      <w:pPr>
        <w:pStyle w:val="FirstParagraph"/>
      </w:pPr>
      <w:r>
        <w:t xml:space="preserve">Rötung, Juckreiz, Schwellung, kleine Blutergüsse oder tastbare Knötchen an der Einstichstelle sind die häufigsten Immun- und Gewebereaktionen auf gespritzte Peptide. Eine Meta-Analyse von 14 randomisierten Studien mit 4.861 Teilnehmenden fand unter GLP-1-Rezeptor-Agonisten ein etwa dreieinhalbfach erhöhtes Risiko für solche Reaktionen gegenüber den Vergleichsgruppen (relatives Risiko 3,55). In der US-Meldedatenbank fielen besonders Exenatid und Dulaglutid mit Blutungen an der Einstichstelle auf</w:t>
      </w:r>
      <w:r>
        <w:rPr>
          <w:rStyle w:val="FootnoteReference"/>
        </w:rPr>
        <w:footnoteReference w:id="2708"/>
      </w:r>
      <w:r>
        <w:t xml:space="preserve">.</w:t>
      </w:r>
    </w:p>
    <w:p>
      <w:pPr>
        <w:pStyle w:val="BodyText"/>
      </w:pPr>
      <w:r>
        <w:t xml:space="preserve">Die Häufigkeit unterscheidet sich zwischen den Peptiden erheblich: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Reaktionen an der Einstichstelle</w:t>
            </w:r>
          </w:p>
        </w:tc>
        <w:tc>
          <w:tcPr/>
          <w:p>
            <w:pPr>
              <w:pStyle w:val="Compact"/>
              <w:jc w:val="left"/>
            </w:pPr>
            <w:r>
              <w:t xml:space="preserve">Quelle</w:t>
            </w:r>
          </w:p>
        </w:tc>
      </w:tr>
      <w:tr>
        <w:tc>
          <w:tcPr/>
          <w:p>
            <w:pPr>
              <w:pStyle w:val="Compact"/>
              <w:jc w:val="left"/>
            </w:pPr>
            <w:r>
              <w:t xml:space="preserve">Setmelanotid</w:t>
            </w:r>
          </w:p>
        </w:tc>
        <w:tc>
          <w:tcPr/>
          <w:p>
            <w:pPr>
              <w:pStyle w:val="Compact"/>
              <w:jc w:val="left"/>
            </w:pPr>
            <w:r>
              <w:t xml:space="preserve">96 % (Meta-Analyse, 7 Studien)</w:t>
            </w:r>
          </w:p>
        </w:tc>
        <w:tc>
          <w:tcPr/>
          <w:p>
            <w:pPr>
              <w:pStyle w:val="Compact"/>
              <w:jc w:val="left"/>
            </w:pPr>
            <w:r>
              <w:t xml:space="preserve">Sridharan 2026, PMID 39924461</w:t>
            </w:r>
          </w:p>
        </w:tc>
      </w:tr>
      <w:tr>
        <w:tc>
          <w:tcPr/>
          <w:p>
            <w:pPr>
              <w:pStyle w:val="Compact"/>
              <w:jc w:val="left"/>
            </w:pPr>
            <w:r>
              <w:t xml:space="preserve">Elamipretid (SS-31)</w:t>
            </w:r>
          </w:p>
        </w:tc>
        <w:tc>
          <w:tcPr/>
          <w:p>
            <w:pPr>
              <w:pStyle w:val="Compact"/>
              <w:jc w:val="left"/>
            </w:pPr>
            <w:r>
              <w:t xml:space="preserve">80 %, meist leicht</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Fettgewebsveränderungen bei 32 %</w:t>
            </w:r>
          </w:p>
        </w:tc>
        <w:tc>
          <w:tcPr/>
          <w:p>
            <w:pPr>
              <w:pStyle w:val="Compact"/>
              <w:jc w:val="left"/>
            </w:pPr>
            <w:r>
              <w:t xml:space="preserve">Chernausek 2007, PMID 17192294</w:t>
            </w:r>
          </w:p>
        </w:tc>
      </w:tr>
      <w:tr>
        <w:tc>
          <w:tcPr/>
          <w:p>
            <w:pPr>
              <w:pStyle w:val="Compact"/>
              <w:jc w:val="left"/>
            </w:pPr>
            <w:r>
              <w:t xml:space="preserve">Tirzepatid</w:t>
            </w:r>
          </w:p>
        </w:tc>
        <w:tc>
          <w:tcPr/>
          <w:p>
            <w:pPr>
              <w:pStyle w:val="Compact"/>
              <w:jc w:val="left"/>
            </w:pPr>
            <w:r>
              <w:t xml:space="preserve">2 bis 7 %</w:t>
            </w:r>
          </w:p>
        </w:tc>
        <w:tc>
          <w:tcPr/>
          <w:p>
            <w:pPr>
              <w:pStyle w:val="Compact"/>
              <w:jc w:val="left"/>
            </w:pPr>
            <w:r>
              <w:t xml:space="preserve">Gupta 2026, PMID 42930571</w:t>
            </w:r>
          </w:p>
        </w:tc>
      </w:tr>
      <w:tr>
        <w:tc>
          <w:tcPr/>
          <w:p>
            <w:pPr>
              <w:pStyle w:val="Compact"/>
              <w:jc w:val="left"/>
            </w:pPr>
            <w:r>
              <w:t xml:space="preserve">Bremelanotid</w:t>
            </w:r>
          </w:p>
        </w:tc>
        <w:tc>
          <w:tcPr/>
          <w:p>
            <w:pPr>
              <w:pStyle w:val="Compact"/>
              <w:jc w:val="left"/>
            </w:pPr>
            <w:r>
              <w:t xml:space="preserve">5,4 % vs. 0,5 % unter Placebo</w:t>
            </w:r>
          </w:p>
        </w:tc>
        <w:tc>
          <w:tcPr/>
          <w:p>
            <w:pPr>
              <w:pStyle w:val="Compact"/>
              <w:jc w:val="left"/>
            </w:pPr>
            <w:r>
              <w:t xml:space="preserve">Clayton 2022, PMID 35147466</w:t>
            </w:r>
          </w:p>
        </w:tc>
      </w:tr>
    </w:tbl>
    <w:p>
      <w:pPr>
        <w:pStyle w:val="BodyText"/>
      </w:pPr>
      <w:r>
        <w:t xml:space="preserve">Bei der Wochenform von Exenatid bilden sich häufig kleine Knötchen, weil die Mikrokügelchen, die den Wirkstoff langsam freisetzen, unter der Haut abgebaut werden. In der Fünf-Jahres-Auswertung von DURATION-1 wurden solche Reaktionen mit der Zeit seltener</w:t>
      </w:r>
      <w:r>
        <w:rPr>
          <w:rStyle w:val="FootnoteReference"/>
        </w:rPr>
        <w:footnoteReference w:id="2709"/>
      </w:r>
      <w:r>
        <w:t xml:space="preserve">. Beim Mecasermin handelte es sich um eine Verdickung des Fettgewebes an der Einstichstelle (Lipohypertrophie).</w:t>
      </w:r>
    </w:p>
    <w:p>
      <w:pPr>
        <w:pStyle w:val="BodyText"/>
      </w:pPr>
      <w:r>
        <w:t xml:space="preserve">Wichtig ist die Abgrenzung zur</w:t>
      </w:r>
      <w:r>
        <w:t xml:space="preserve"> </w:t>
      </w:r>
      <w:r>
        <w:rPr>
          <w:bCs/>
          <w:b/>
        </w:rPr>
        <w:t xml:space="preserve">Infektion</w:t>
      </w:r>
      <w:r>
        <w:t xml:space="preserve">. Eine Rötung, die über Tage zunimmt, warm wird, schmerzt, eitert oder mit Fieber einhergeht, ist keine harmlose Reaktion. Nach Argireline-Injektionen in Stirn und Schläfen entwickelte eine 45-jährige Frau Knoten und Abszesse; ursächlich war das schwer behandelbare Bakterium</w:t>
      </w:r>
      <w:r>
        <w:t xml:space="preserve"> </w:t>
      </w:r>
      <w:r>
        <w:rPr>
          <w:iCs/>
          <w:i/>
        </w:rPr>
        <w:t xml:space="preserve">Mycobacterium abscessus</w:t>
      </w:r>
      <w:r>
        <w:t xml:space="preserve">, die Behandlung dauerte fünf Monate</w:t>
      </w:r>
      <w:r>
        <w:rPr>
          <w:rStyle w:val="FootnoteReference"/>
        </w:rPr>
        <w:footnoteReference w:id="2710"/>
      </w:r>
      <w:r>
        <w:t xml:space="preserve">. Solche Infektionen gehen meist nicht vom Peptid aus, sondern von unsterilen Produkten oder Verfahren – mehr dazu im Kapitel „Graumarkt-Produkte“.</w:t>
      </w:r>
    </w:p>
    <w:bookmarkEnd w:id="2711"/>
    <w:bookmarkStart w:id="2720" w:name="allergische-reaktionen-und-anaphylaxie"/>
    <w:p>
      <w:pPr>
        <w:pStyle w:val="Heading3"/>
      </w:pPr>
      <w:r>
        <w:t xml:space="preserve">Allergische Reaktionen und Anaphylaxie</w:t>
      </w:r>
    </w:p>
    <w:p>
      <w:pPr>
        <w:pStyle w:val="FirstParagraph"/>
      </w:pPr>
      <w:r>
        <w:t xml:space="preserve">Eine Anaphylaxie ist eine schwere, den ganzen Körper betreffende allergische Reaktion mit Hautausschlag, Schwellungen, Atemnot und Kreislaufversagen. Sie ist bei Peptid-Medikamenten selten, kommt aber vor.</w:t>
      </w:r>
    </w:p>
    <w:p>
      <w:pPr>
        <w:pStyle w:val="BodyText"/>
      </w:pPr>
      <w:r>
        <w:t xml:space="preserve">Für die GLP-1-Medikamente gibt es dazu große Datenbankstudien. In drei US-Versicherungsdatenbanken mit 696.089 Neuanwenderinnen und Neuanwendern lag die Häufigkeit einer Anaphylaxie je nach Wirkstoff bei 1,0 (Lixisenatid) bis 6,0 (Exenatid) Fällen pro 10.000 Personenjahre; die Autorinnen und Autoren bewerten Anaphylaxie unter GLP-1-Medikamenten als selten</w:t>
      </w:r>
      <w:r>
        <w:rPr>
          <w:rStyle w:val="FootnoteReference"/>
        </w:rPr>
        <w:footnoteReference w:id="2712"/>
      </w:r>
      <w:r>
        <w:t xml:space="preserve">. Eine Studie aus Großbritannien und den USA verglich GLP-1-Rezeptor-Agonisten mit zwei anderen Gruppen von Diabetesmitteln. Gegenüber DPP-4-Hemmern war das Risiko nicht gesichert erhöht (Hazard Ratio 1,15), gegenüber SGLT2-Hemmern um 38 % (40,7 gegenüber 29,4 Fällen pro 100.000 Personenjahre)</w:t>
      </w:r>
      <w:r>
        <w:rPr>
          <w:rStyle w:val="FootnoteReference"/>
        </w:rPr>
        <w:footnoteReference w:id="2713"/>
      </w:r>
      <w:r>
        <w:t xml:space="preserve">. Das ist ein relativer Anstieg bei einer absolut sehr seltenen Reaktion.</w:t>
      </w:r>
    </w:p>
    <w:p>
      <w:pPr>
        <w:pStyle w:val="BodyText"/>
      </w:pPr>
      <w:r>
        <w:t xml:space="preserve">Einzelfälle zeigen, wie solche Reaktionen aussehen können:</w:t>
      </w:r>
    </w:p>
    <w:p>
      <w:pPr>
        <w:numPr>
          <w:ilvl w:val="0"/>
          <w:numId w:val="1344"/>
        </w:numPr>
        <w:pStyle w:val="Compact"/>
      </w:pPr>
      <w:r>
        <w:t xml:space="preserve">Fallberichte beschreiben Anaphylaxie unter der Wochenform von Exenatid</w:t>
      </w:r>
      <w:r>
        <w:rPr>
          <w:rStyle w:val="FootnoteReference"/>
        </w:rPr>
        <w:footnoteReference w:id="2714"/>
      </w:r>
      <w:r>
        <w:t xml:space="preserve"> </w:t>
      </w:r>
      <w:r>
        <w:t xml:space="preserve">und eine allergische Reaktion auf Exenatid und Lixisenatid, aber nicht auf Liraglutid</w:t>
      </w:r>
      <w:r>
        <w:rPr>
          <w:rStyle w:val="FootnoteReference"/>
        </w:rPr>
        <w:footnoteReference w:id="2715"/>
      </w:r>
      <w:r>
        <w:t xml:space="preserve"> </w:t>
      </w:r>
      <w:r>
        <w:t xml:space="preserve">– ein Hinweis, dass die von Echsen abgeleiteten Wirkstoffe anders erkannt werden als die menschenähnlichen.</w:t>
      </w:r>
    </w:p>
    <w:p>
      <w:pPr>
        <w:numPr>
          <w:ilvl w:val="0"/>
          <w:numId w:val="1344"/>
        </w:numPr>
        <w:pStyle w:val="Compact"/>
      </w:pPr>
      <w:r>
        <w:t xml:space="preserve">Unter Tirzepatid ist eine zweiphasige Anaphylaxie beschrieben, bei der die Beschwerden nach anfänglicher Besserung erneut auftraten</w:t>
      </w:r>
      <w:r>
        <w:rPr>
          <w:rStyle w:val="FootnoteReference"/>
        </w:rPr>
        <w:footnoteReference w:id="2716"/>
      </w:r>
      <w:r>
        <w:t xml:space="preserve">.</w:t>
      </w:r>
    </w:p>
    <w:p>
      <w:pPr>
        <w:numPr>
          <w:ilvl w:val="0"/>
          <w:numId w:val="1344"/>
        </w:numPr>
        <w:pStyle w:val="Compact"/>
      </w:pPr>
      <w:r>
        <w:t xml:space="preserve">Eine 50-jährige Frau entwickelte vier Stunden nach ihrer ersten Spritze mit Semaglutid aus einer Rezepturapotheke eine massive Schwellung von Lippen, Zunge und Rachen und musste vier Tage beatmet werden. Erst danach stellte sich heraus, dass sie versehentlich die zehnfache Menge gespritzt hatte</w:t>
      </w:r>
      <w:r>
        <w:rPr>
          <w:rStyle w:val="FootnoteReference"/>
        </w:rPr>
        <w:footnoteReference w:id="2717"/>
      </w:r>
      <w:r>
        <w:t xml:space="preserve">.</w:t>
      </w:r>
    </w:p>
    <w:p>
      <w:pPr>
        <w:numPr>
          <w:ilvl w:val="0"/>
          <w:numId w:val="1344"/>
        </w:numPr>
        <w:pStyle w:val="Compact"/>
      </w:pPr>
      <w:r>
        <w:t xml:space="preserve">Nach einer Cerebrolysin-Infusion entwickelte ein 85-jähriger Mann eine lebensbedrohliche Anaphylaxie, die im Labor bestätigt wurde</w:t>
      </w:r>
      <w:r>
        <w:rPr>
          <w:rStyle w:val="FootnoteReference"/>
        </w:rPr>
        <w:footnoteReference w:id="2718"/>
      </w:r>
      <w:r>
        <w:t xml:space="preserve">. Cerebrolysin ist ein Gemisch aus Peptiden aus Schweinehirn; tierische Extrakte wie dieses oder Thymalin bringen grundsätzlich mehr fremde Eiweiße mit (Kapitel Cerebrolysin, Thymalin).</w:t>
      </w:r>
    </w:p>
    <w:p>
      <w:pPr>
        <w:pStyle w:val="FirstParagraph"/>
      </w:pPr>
      <w:r>
        <w:t xml:space="preserve">Auch bei Kosmetik-Peptiden sind Allergien möglich, wenn auch selten. In einer kleinen Studie mit einer Creme, die unter anderem Palmitoyl-Pentapeptid-4 enthielt, trat ein Verdacht auf eine allergische Reaktion auf; welcher Bestandteil verantwortlich war, blieb offen</w:t>
      </w:r>
      <w:r>
        <w:rPr>
          <w:rStyle w:val="FootnoteReference"/>
        </w:rPr>
        <w:footnoteReference w:id="2719"/>
      </w:r>
      <w:r>
        <w:t xml:space="preserve">.</w:t>
      </w:r>
    </w:p>
    <w:p>
      <w:pPr>
        <w:pStyle w:val="BodyText"/>
      </w:pPr>
      <w:r>
        <w:t xml:space="preserve">Für Graumarkt-Peptide gibt es keine Häufigkeitsdaten. Das Risiko einer schweren allergischen Reaktion besteht dort aber in besonderem Maß, weil die Anwendung meist ohne ärztliche Aufsicht stattfindet und im Ernstfall niemand mit Notfallmedikamenten bereitsteht. Atemnot, Schwellungen im Gesicht oder Rachen und Kreislaufbeschwerden nach einer Spritze sind immer ein Notfall.</w:t>
      </w:r>
    </w:p>
    <w:bookmarkEnd w:id="2720"/>
    <w:bookmarkStart w:id="2725" w:name="entzündliche-und-autoimmune-reaktionen"/>
    <w:p>
      <w:pPr>
        <w:pStyle w:val="Heading3"/>
      </w:pPr>
      <w:r>
        <w:t xml:space="preserve">Entzündliche und autoimmune Reaktionen</w:t>
      </w:r>
    </w:p>
    <w:p>
      <w:pPr>
        <w:pStyle w:val="FirstParagraph"/>
      </w:pPr>
      <w:r>
        <w:t xml:space="preserve">Einige Peptide sind selbst Teil des Immunsystems. Das macht sie interessant, aber auch riskant.</w:t>
      </w:r>
    </w:p>
    <w:p>
      <w:pPr>
        <w:pStyle w:val="BodyText"/>
      </w:pPr>
      <w:r>
        <w:rPr>
          <w:bCs/>
          <w:b/>
        </w:rPr>
        <w:t xml:space="preserve">LL-37</w:t>
      </w:r>
      <w:r>
        <w:t xml:space="preserve"> </w:t>
      </w:r>
      <w:r>
        <w:t xml:space="preserve">ist ein körpereigenes Abwehrpeptid. Bei Schuppenflechte (Psoriasis) spielt es eine Schlüsselrolle: Es verbindet sich mit körpereigener Erbsubstanz und macht sie für bestimmte Immunzellen sichtbar, die daraufhin Entzündungsbotenstoffe ausschütten</w:t>
      </w:r>
      <w:r>
        <w:rPr>
          <w:rStyle w:val="FootnoteReference"/>
        </w:rPr>
        <w:footnoteReference w:id="2721"/>
      </w:r>
      <w:r>
        <w:t xml:space="preserve">. Bei zwei Dritteln der Menschen mit mittelschwerer bis schwerer Psoriasis fanden sich T-Zellen, die gezielt LL-37 erkennen – es wirkt dort also wie ein Autoantigen</w:t>
      </w:r>
      <w:r>
        <w:rPr>
          <w:rStyle w:val="FootnoteReference"/>
        </w:rPr>
        <w:footnoteReference w:id="2722"/>
      </w:r>
      <w:r>
        <w:t xml:space="preserve">. Nach Injektionen von LL-37 in Hautmetastasen traten bei einer Patientin entzündliche, warzenartige Hautveränderungen auf</w:t>
      </w:r>
      <w:r>
        <w:rPr>
          <w:rStyle w:val="FootnoteReference"/>
        </w:rPr>
        <w:footnoteReference w:id="2723"/>
      </w:r>
      <w:r>
        <w:t xml:space="preserve">. Für Menschen mit Psoriasis, Rosazea oder anderen Autoimmunerkrankungen ist das ein ernst zu nehmender Hinweis (Kapitel LL-37).</w:t>
      </w:r>
    </w:p>
    <w:p>
      <w:pPr>
        <w:pStyle w:val="BodyText"/>
      </w:pPr>
      <w:r>
        <w:rPr>
          <w:bCs/>
          <w:b/>
        </w:rPr>
        <w:t xml:space="preserve">Immunstimulierende Peptide</w:t>
      </w:r>
      <w:r>
        <w:t xml:space="preserve"> </w:t>
      </w:r>
      <w:r>
        <w:t xml:space="preserve">wie Thymosin Alpha-1 und Thymalin sollen die Abwehr anregen. Ob das bei Autoimmunerkrankungen oder nach Organtransplantationen schadet, ist nicht untersucht (Kapitel Thymosin Alpha-1, Thymalin).</w:t>
      </w:r>
    </w:p>
    <w:p>
      <w:pPr>
        <w:pStyle w:val="BodyText"/>
      </w:pPr>
      <w:r>
        <w:t xml:space="preserve">Bei den GLP-1-Medikamenten beschreibt eine systematische Übersicht neben den häufigen leichten Hautreaktionen seltene, aber potenziell schwere immunvermittelte Erkrankungen, darunter Angioödeme, blasenbildende Autoimmunerkrankungen, Arzneimittelausschläge und Gefäßentzündungen</w:t>
      </w:r>
      <w:r>
        <w:rPr>
          <w:rStyle w:val="FootnoteReference"/>
        </w:rPr>
        <w:footnoteReference w:id="2724"/>
      </w:r>
      <w:r>
        <w:t xml:space="preserve">. Wie häufig sie sind, lässt sich aus Fallberichten nicht ablesen.</w:t>
      </w:r>
    </w:p>
    <w:bookmarkEnd w:id="2725"/>
    <w:bookmarkStart w:id="2731" w:name="verunreinigungen-als-auslöser"/>
    <w:p>
      <w:pPr>
        <w:pStyle w:val="Heading3"/>
      </w:pPr>
      <w:r>
        <w:t xml:space="preserve">Verunreinigungen als Auslöser</w:t>
      </w:r>
    </w:p>
    <w:p>
      <w:pPr>
        <w:pStyle w:val="FirstParagraph"/>
      </w:pPr>
      <w:r>
        <w:t xml:space="preserve">Ein Teil der Immunreaktionen geht nicht auf das Peptid selbst zurück, sondern auf das, was bei seiner Herstellung zusätzlich in das Fläschchen gelangt.</w:t>
      </w:r>
    </w:p>
    <w:p>
      <w:pPr>
        <w:pStyle w:val="BodyText"/>
      </w:pPr>
      <w:r>
        <w:rPr>
          <w:bCs/>
          <w:b/>
        </w:rPr>
        <w:t xml:space="preserve">Fehlerhafte Peptide.</w:t>
      </w:r>
      <w:r>
        <w:t xml:space="preserve"> </w:t>
      </w:r>
      <w:r>
        <w:t xml:space="preserve">Bei der chemischen Synthese entstehen Moleküle, bei denen ein Baustein fehlt, doppelt vorkommt oder chemisch verändert ist. Solche Verunreinigungen können neue Strukturen enthalten, die T-Zellen des Immunsystems erkennen. Deshalb verlangt die US-Arzneimittelbehörde bei Nachahmerprodukten synthetischer Peptide Angaben zu jeder neuen Verunreinigung im Vergleich zum Originalpräparat</w:t>
      </w:r>
      <w:r>
        <w:rPr>
          <w:rStyle w:val="FootnoteReference"/>
        </w:rPr>
        <w:footnoteReference w:id="2726"/>
      </w:r>
      <w:r>
        <w:t xml:space="preserve">. Wie eine solche Prüfung aussieht, zeigt eine Untersuchung an Nachahmerprodukten des Osteoporose-Peptids Teriparatid, bei der Verunreinigungen mit Computerverfahren, Bindungstests und Versuchen mit menschlichen Immunzellen bewertet wurden</w:t>
      </w:r>
      <w:r>
        <w:rPr>
          <w:rStyle w:val="FootnoteReference"/>
        </w:rPr>
        <w:footnoteReference w:id="2727"/>
      </w:r>
      <w:r>
        <w:t xml:space="preserve">.</w:t>
      </w:r>
    </w:p>
    <w:p>
      <w:pPr>
        <w:pStyle w:val="BodyText"/>
      </w:pPr>
      <w:r>
        <w:rPr>
          <w:bCs/>
          <w:b/>
        </w:rPr>
        <w:t xml:space="preserve">GLP-1-Nachahmerprodukte.</w:t>
      </w:r>
      <w:r>
        <w:t xml:space="preserve"> </w:t>
      </w:r>
      <w:r>
        <w:t xml:space="preserve">Eine herstellernahe Analyse von 16 injizierbaren und 8 oralen Semaglutid-Nachahmerprodukten fand neue Verunreinigungen, darunter größere Eiweißmoleküle, und mit Computerverfahren vorhergesagte neue Erkennungsstellen für das Immunsystem; bei Liraglutid-Nachahmern zeigte sich eine stärkere Neigung zur Verklumpung</w:t>
      </w:r>
      <w:r>
        <w:rPr>
          <w:rStyle w:val="FootnoteReference"/>
        </w:rPr>
        <w:footnoteReference w:id="2728"/>
      </w:r>
      <w:r>
        <w:t xml:space="preserve">. Ob diese Unterschiede bei Menschen tatsächlich mehr Antikörper hervorrufen, wurde nicht gemessen. Dass ein sorgfältig hergestelltes, synthetisches Nachahmerprodukt nicht automatisch problematischer ist, zeigt eine andere Untersuchung: Ein synthetisches Liraglutid-Generikum regte menschliche Immunzellen im Labor nicht stärker an als das gentechnisch hergestellte Original</w:t>
      </w:r>
      <w:r>
        <w:rPr>
          <w:rStyle w:val="FootnoteReference"/>
        </w:rPr>
        <w:footnoteReference w:id="2729"/>
      </w:r>
      <w:r>
        <w:t xml:space="preserve">. Entscheidend ist also nicht die Herstellungsart, sondern die Qualitätskontrolle.</w:t>
      </w:r>
    </w:p>
    <w:p>
      <w:pPr>
        <w:pStyle w:val="BodyText"/>
      </w:pPr>
      <w:r>
        <w:rPr>
          <w:bCs/>
          <w:b/>
        </w:rPr>
        <w:t xml:space="preserve">Endotoxine und Keime.</w:t>
      </w:r>
      <w:r>
        <w:t xml:space="preserve"> </w:t>
      </w:r>
      <w:r>
        <w:t xml:space="preserve">Endotoxine, Zellwandbestandteile von Bakterien, aktivieren das angeborene Immunsystem direkt und können Fieber, Schüttelfrost und Kreislaufreaktionen auslösen. Bei Testkäufen von Semaglutid aus illegalen Online-Apotheken waren sie in allen Proben nachweisbar (Ashraf 2024, PMID 39509151; Einzelheiten in Teil I). Ein Kontrolllabor wies in zwei illegalen Peptidpräparaten zur Injektion das Bakterium</w:t>
      </w:r>
      <w:r>
        <w:t xml:space="preserve"> </w:t>
      </w:r>
      <w:r>
        <w:rPr>
          <w:iCs/>
          <w:i/>
        </w:rPr>
        <w:t xml:space="preserve">Bacillus cereus</w:t>
      </w:r>
      <w:r>
        <w:t xml:space="preserve"> </w:t>
      </w:r>
      <w:r>
        <w:t xml:space="preserve">nach, das rote Blutkörperchen zerstören kann</w:t>
      </w:r>
      <w:r>
        <w:rPr>
          <w:rStyle w:val="FootnoteReference"/>
        </w:rPr>
        <w:footnoteReference w:id="2730"/>
      </w:r>
      <w:r>
        <w:t xml:space="preserve">.</w:t>
      </w:r>
    </w:p>
    <w:p>
      <w:pPr>
        <w:pStyle w:val="BodyText"/>
      </w:pPr>
      <w:r>
        <w:t xml:space="preserve">Für den Graumarkt bedeutet das: Selbst wenn ein Peptid an sich wenig immunogen ist, kann das Produkt es sein. Und weil für Graumarkt-Ware weder Verunreinigungsprofile noch Endotoxin-Grenzwerte geprüft werden, lässt sich eine Reaktion im Nachhinein kaum einem Bestandteil zuordnen.</w:t>
      </w:r>
    </w:p>
    <w:bookmarkEnd w:id="2731"/>
    <w:bookmarkStart w:id="2732" w:name="was-das-praktisch-bedeutet"/>
    <w:p>
      <w:pPr>
        <w:pStyle w:val="Heading3"/>
      </w:pPr>
      <w:r>
        <w:t xml:space="preserve">Was das praktisch bedeutet</w:t>
      </w:r>
    </w:p>
    <w:p>
      <w:pPr>
        <w:numPr>
          <w:ilvl w:val="0"/>
          <w:numId w:val="1345"/>
        </w:numPr>
        <w:pStyle w:val="Compact"/>
      </w:pPr>
      <w:r>
        <w:t xml:space="preserve">Antikörper gegen Peptid-Medikamente sind häufig, aber meist folgenlos. Bei Exenatid können hohe Titer die Wirkung abschwächen; bei Tirzepatid gehen sie mit etwas mehr Haut- und Überempfindlichkeitsreaktionen einher.</w:t>
      </w:r>
    </w:p>
    <w:p>
      <w:pPr>
        <w:numPr>
          <w:ilvl w:val="0"/>
          <w:numId w:val="1345"/>
        </w:numPr>
        <w:pStyle w:val="Compact"/>
      </w:pPr>
      <w:r>
        <w:t xml:space="preserve">Reaktionen an der Einstichstelle sind die häufigste Immunreaktion, bei manchen Peptiden fast die Regel. Zunehmende Rötung, Wärme, Eiter oder Fieber deuten dagegen auf eine Infektion.</w:t>
      </w:r>
    </w:p>
    <w:p>
      <w:pPr>
        <w:numPr>
          <w:ilvl w:val="0"/>
          <w:numId w:val="1345"/>
        </w:numPr>
        <w:pStyle w:val="Compact"/>
      </w:pPr>
      <w:r>
        <w:t xml:space="preserve">Anaphylaxie ist unter zugelassenen GLP-1-Medikamenten sehr selten – in der Größenordnung weniger Fälle pro 10.000 Behandlungsjahre. Fallberichte gibt es auch zu Tirzepatid, Cerebrolysin und zu einer versehentlichen Überdosierung.</w:t>
      </w:r>
    </w:p>
    <w:p>
      <w:pPr>
        <w:numPr>
          <w:ilvl w:val="0"/>
          <w:numId w:val="1345"/>
        </w:numPr>
        <w:pStyle w:val="Compact"/>
      </w:pPr>
      <w:r>
        <w:t xml:space="preserve">Für die meisten Graumarkt-Peptide fehlen Daten zu Antikörpern und Allergien vollständig. Verunreinigungen und Endotoxine sind dort ein zusätzliches, unkalkulierbares Risiko.</w:t>
      </w:r>
    </w:p>
    <w:p>
      <w:pPr>
        <w:numPr>
          <w:ilvl w:val="0"/>
          <w:numId w:val="1345"/>
        </w:numPr>
        <w:pStyle w:val="Compact"/>
      </w:pPr>
      <w:r>
        <w:t xml:space="preserve">Wer bereits auf ein Peptid allergisch reagiert hat, sollte das bei jeder ärztlichen Behandlung angeben. Ob verwandte Wirkstoffe vertragen werden, lässt sich nur ärztlich klären.</w:t>
      </w:r>
    </w:p>
    <w:bookmarkEnd w:id="2732"/>
    <w:bookmarkEnd w:id="2733"/>
    <w:bookmarkStart w:id="2777" w:name="X5a934dedb6f836a4204c14b911a0758d63e8ddc"/>
    <w:p>
      <w:pPr>
        <w:pStyle w:val="Heading2"/>
      </w:pPr>
      <w:r>
        <w:t xml:space="preserve">Graumarkt-Produkte: was Laboranalysen zeigen</w:t>
      </w:r>
    </w:p>
    <w:p>
      <w:pPr>
        <w:pStyle w:val="FirstParagraph"/>
      </w:pPr>
      <w:r>
        <w:t xml:space="preserve">Teil I hat im Kapitel „Der Graumarkt“ beschrieben, was „Research Peptides“ sind, und einzelne aufsehenerregende Funde vorgestellt: Semaglutid-Pulver mit einer Reinheit von 7,7 bis 14,4 %, Melanotan-Fläschchen mit weniger als der Hälfte der angegebenen Menge, gefälschtes Ozempic mit Insulin. Dieses Kapitel geht einen Schritt weiter. Es fragt, wer solche Produkte überhaupt analysiert, welche Fehlerarten sich über viele Untersuchungen hinweg wiederholen, was diese Analysen nicht zeigen können – und was die Daten von Giftinformationszentren über die Folgen von Fehldosierungen bei GLP-1-Medikamenten verraten.</w:t>
      </w:r>
    </w:p>
    <w:bookmarkStart w:id="2735" w:name="wer-graumarkt-produkte-analysiert"/>
    <w:p>
      <w:pPr>
        <w:pStyle w:val="Heading3"/>
      </w:pPr>
      <w:r>
        <w:t xml:space="preserve">Wer Graumarkt-Produkte analysiert</w:t>
      </w:r>
    </w:p>
    <w:p>
      <w:pPr>
        <w:pStyle w:val="FirstParagraph"/>
      </w:pPr>
      <w:r>
        <w:t xml:space="preserve">Die meisten Daten stammen aus drei Quellen.</w:t>
      </w:r>
    </w:p>
    <w:p>
      <w:pPr>
        <w:pStyle w:val="BodyText"/>
      </w:pPr>
      <w:r>
        <w:rPr>
          <w:bCs/>
          <w:b/>
        </w:rPr>
        <w:t xml:space="preserve">Amtliche Arzneimittel-Kontrolllabore.</w:t>
      </w:r>
      <w:r>
        <w:t xml:space="preserve"> </w:t>
      </w:r>
      <w:r>
        <w:t xml:space="preserve">In Europa arbeiten sie in einem Netzwerk zusammen, das vom Europäischen Direktorat für die Qualität von Arzneimitteln koordiniert wird. Sie untersuchen Proben, die Zoll, Polizei oder Gesundheitsbehörden sicherstellen. Ein belgisches Labor entwickelte zum Beispiel ein Suchverfahren, mit dem sich 25 verschiedene Peptide in unbekannten Injektionspräparaten in einem Durchgang erkennen lassen – darunter auch solche, die noch gar nicht beschlagnahmt, aber in Internetforen bereits diskutiert worden waren</w:t>
      </w:r>
      <w:r>
        <w:rPr>
          <w:rStyle w:val="FootnoteReference"/>
        </w:rPr>
        <w:footnoteReference w:id="2734"/>
      </w:r>
      <w:r>
        <w:t xml:space="preserve">.</w:t>
      </w:r>
    </w:p>
    <w:p>
      <w:pPr>
        <w:pStyle w:val="BodyText"/>
      </w:pPr>
      <w:r>
        <w:rPr>
          <w:bCs/>
          <w:b/>
        </w:rPr>
        <w:t xml:space="preserve">Anti-Doping- und Forensik-Labore.</w:t>
      </w:r>
      <w:r>
        <w:t xml:space="preserve"> </w:t>
      </w:r>
      <w:r>
        <w:t xml:space="preserve">Sie analysieren beschlagnahmte Ware aus dem Sportumfeld, um ihre Nachweisverfahren aktuell zu halten. Die Kölner, norwegischen und dänischen Befunde aus Teil I stammen aus dieser Quelle.</w:t>
      </w:r>
    </w:p>
    <w:p>
      <w:pPr>
        <w:pStyle w:val="BodyText"/>
      </w:pPr>
      <w:r>
        <w:rPr>
          <w:bCs/>
          <w:b/>
        </w:rPr>
        <w:t xml:space="preserve">Testkäufe durch Forschungsgruppen.</w:t>
      </w:r>
      <w:r>
        <w:t xml:space="preserve"> </w:t>
      </w:r>
      <w:r>
        <w:t xml:space="preserve">Sie kaufen gezielt Produkte von Online-Anbietern und prüfen, was ankommt. Diese Untersuchungen sind seltener, kommen aber der Situation von Käuferinnen und Käufern am nächsten.</w:t>
      </w:r>
    </w:p>
    <w:p>
      <w:pPr>
        <w:pStyle w:val="BodyText"/>
      </w:pPr>
      <w:r>
        <w:t xml:space="preserve">Eingesetzt werden Verfahren, die unterschiedliche Fragen beantworten: Massenspektrometrie zeigt,</w:t>
      </w:r>
      <w:r>
        <w:t xml:space="preserve"> </w:t>
      </w:r>
      <w:r>
        <w:rPr>
          <w:iCs/>
          <w:i/>
        </w:rPr>
        <w:t xml:space="preserve">welcher</w:t>
      </w:r>
      <w:r>
        <w:t xml:space="preserve"> </w:t>
      </w:r>
      <w:r>
        <w:t xml:space="preserve">Stoff vorliegt; Flüssigchromatographie misst</w:t>
      </w:r>
      <w:r>
        <w:t xml:space="preserve"> </w:t>
      </w:r>
      <w:r>
        <w:rPr>
          <w:iCs/>
          <w:i/>
        </w:rPr>
        <w:t xml:space="preserve">wie viel</w:t>
      </w:r>
      <w:r>
        <w:t xml:space="preserve"> </w:t>
      </w:r>
      <w:r>
        <w:t xml:space="preserve">und</w:t>
      </w:r>
      <w:r>
        <w:t xml:space="preserve"> </w:t>
      </w:r>
      <w:r>
        <w:rPr>
          <w:iCs/>
          <w:i/>
        </w:rPr>
        <w:t xml:space="preserve">wie rein</w:t>
      </w:r>
      <w:r>
        <w:t xml:space="preserve">; spezielle Verfahren erfassen Metalle, Lösungsmittelreste, Bakterien oder Endotoxine. Kein Labor prüft routinemäßig alles. Wenn ein Bericht nur die Identität bestimmt, sagt er nichts über Keime aus, und umgekehrt.</w:t>
      </w:r>
    </w:p>
    <w:bookmarkEnd w:id="2735"/>
    <w:bookmarkStart w:id="2755" w:name="vier-fehlerarten-die-immer-wiederkehren"/>
    <w:p>
      <w:pPr>
        <w:pStyle w:val="Heading3"/>
      </w:pPr>
      <w:r>
        <w:t xml:space="preserve">Vier Fehlerarten, die immer wiederkehren</w:t>
      </w:r>
    </w:p>
    <w:p>
      <w:pPr>
        <w:pStyle w:val="FirstParagraph"/>
      </w:pPr>
      <w:r>
        <w:t xml:space="preserve">Über die einzelnen Analysen hinweg lassen sich die Befunde in vier Gruppen 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Fehlerart</w:t>
            </w:r>
          </w:p>
        </w:tc>
        <w:tc>
          <w:tcPr/>
          <w:p>
            <w:pPr>
              <w:pStyle w:val="Compact"/>
              <w:jc w:val="left"/>
            </w:pPr>
            <w:r>
              <w:t xml:space="preserve">Beispiele aus Analysen</w:t>
            </w:r>
          </w:p>
        </w:tc>
        <w:tc>
          <w:tcPr/>
          <w:p>
            <w:pPr>
              <w:pStyle w:val="Compact"/>
              <w:jc w:val="left"/>
            </w:pPr>
            <w:r>
              <w:t xml:space="preserve">Quelle</w:t>
            </w:r>
          </w:p>
        </w:tc>
      </w:tr>
      <w:tr>
        <w:tc>
          <w:tcPr/>
          <w:p>
            <w:pPr>
              <w:pStyle w:val="Compact"/>
              <w:jc w:val="left"/>
            </w:pPr>
            <w:r>
              <w:t xml:space="preserve">Falscher oder kein Wirkstoff</w:t>
            </w:r>
          </w:p>
        </w:tc>
        <w:tc>
          <w:tcPr/>
          <w:p>
            <w:pPr>
              <w:pStyle w:val="Compact"/>
              <w:jc w:val="left"/>
            </w:pPr>
            <w:r>
              <w:t xml:space="preserve">9 von 36 beschlagnahmten Proben ohne Peptid oder Eiweiß</w:t>
            </w:r>
          </w:p>
        </w:tc>
        <w:tc>
          <w:tcPr/>
          <w:p>
            <w:pPr>
              <w:pStyle w:val="Compact"/>
              <w:jc w:val="left"/>
            </w:pPr>
            <w:r>
              <w:t xml:space="preserve">Høj 2021, PMID 33686802</w:t>
            </w:r>
          </w:p>
        </w:tc>
      </w:tr>
      <w:tr>
        <w:tc>
          <w:tcPr/>
          <w:p>
            <w:pPr>
              <w:pStyle w:val="Compact"/>
              <w:jc w:val="left"/>
            </w:pPr>
            <w:r>
              <w:t xml:space="preserve">Falsche Menge</w:t>
            </w:r>
          </w:p>
        </w:tc>
        <w:tc>
          <w:tcPr/>
          <w:p>
            <w:pPr>
              <w:pStyle w:val="Compact"/>
              <w:jc w:val="left"/>
            </w:pPr>
            <w:r>
              <w:t xml:space="preserve">nur 41 % von 44 Internetprodukten mit korrekter Wirkstoffmenge</w:t>
            </w:r>
          </w:p>
        </w:tc>
        <w:tc>
          <w:tcPr/>
          <w:p>
            <w:pPr>
              <w:pStyle w:val="Compact"/>
              <w:jc w:val="left"/>
            </w:pPr>
            <w:r>
              <w:t xml:space="preserve">Van Wagoner 2017, PMID 29183075</w:t>
            </w:r>
          </w:p>
        </w:tc>
      </w:tr>
      <w:tr>
        <w:tc>
          <w:tcPr/>
          <w:p>
            <w:pPr>
              <w:pStyle w:val="Compact"/>
              <w:jc w:val="left"/>
            </w:pPr>
            <w:r>
              <w:t xml:space="preserve">Geringe Reinheit, Abbauprodukte</w:t>
            </w:r>
          </w:p>
        </w:tc>
        <w:tc>
          <w:tcPr/>
          <w:p>
            <w:pPr>
              <w:pStyle w:val="Compact"/>
              <w:jc w:val="left"/>
            </w:pPr>
            <w:r>
              <w:t xml:space="preserve">Reinheit 5 bis 75 % bei bestimmten Peptiden</w:t>
            </w:r>
          </w:p>
        </w:tc>
        <w:tc>
          <w:tcPr/>
          <w:p>
            <w:pPr>
              <w:pStyle w:val="Compact"/>
              <w:jc w:val="left"/>
            </w:pPr>
            <w:r>
              <w:t xml:space="preserve">Janvier 2018, PMID 30029448</w:t>
            </w:r>
          </w:p>
        </w:tc>
      </w:tr>
      <w:tr>
        <w:tc>
          <w:tcPr/>
          <w:p>
            <w:pPr>
              <w:pStyle w:val="Compact"/>
              <w:jc w:val="left"/>
            </w:pPr>
            <w:r>
              <w:t xml:space="preserve">Gefährliche Begleitstoffe</w:t>
            </w:r>
          </w:p>
        </w:tc>
        <w:tc>
          <w:tcPr/>
          <w:p>
            <w:pPr>
              <w:pStyle w:val="Compact"/>
              <w:jc w:val="left"/>
            </w:pPr>
            <w:r>
              <w:t xml:space="preserve">Arsen und Blei, teils bis zum Zehnfachen des Grenzwerts</w:t>
            </w:r>
          </w:p>
        </w:tc>
        <w:tc>
          <w:tcPr/>
          <w:p>
            <w:pPr>
              <w:pStyle w:val="Compact"/>
              <w:jc w:val="left"/>
            </w:pPr>
            <w:r>
              <w:t xml:space="preserve">Janvier 2018, PMID 30029448</w:t>
            </w:r>
          </w:p>
        </w:tc>
      </w:tr>
    </w:tbl>
    <w:bookmarkStart w:id="2741" w:name="falscher-oder-gar-kein-wirkstoff"/>
    <w:p>
      <w:pPr>
        <w:pStyle w:val="Heading4"/>
      </w:pPr>
      <w:r>
        <w:t xml:space="preserve">Falscher oder gar kein Wirkstoff</w:t>
      </w:r>
    </w:p>
    <w:p>
      <w:pPr>
        <w:pStyle w:val="FirstParagraph"/>
      </w:pPr>
      <w:r>
        <w:t xml:space="preserve">Ein dänisches Forensik-Labor erhielt im Jahr 2019 36 beschlagnahmte Proben, in denen Peptide oder Eiweiße vermutet wurden. 15 enthielten ein verbotenes Dopingmittel, 12 einen Stoff, der nicht auf der dänischen Dopingliste stand, und 9 enthielten überhaupt kein Peptid oder Eiweiß</w:t>
      </w:r>
      <w:r>
        <w:rPr>
          <w:rStyle w:val="FootnoteReference"/>
        </w:rPr>
        <w:footnoteReference w:id="2736"/>
      </w:r>
      <w:r>
        <w:t xml:space="preserve">. Bei einer europaweiten Zollaktion meldeten die Labore unter den beschlagnahmten Injektionspräparaten Wachstumshormon, Sermorelin, Melanotan II und Präparate ganz ohne Wirkstoff; die Sendungen waren im Durchschnitt zu groß für den Eigenbedarf und vermutlich teilweise zum Weiterverkauf bestimmt</w:t>
      </w:r>
      <w:r>
        <w:rPr>
          <w:rStyle w:val="FootnoteReference"/>
        </w:rPr>
        <w:footnoteReference w:id="2737"/>
      </w:r>
      <w:r>
        <w:t xml:space="preserve">. In einem belgischen Fall enthielt ein Präparat, das als IGF-1 vermutet wurde, stattdessen einen anderen Wachstumsfaktor, den epidermalen Wachstumsfaktor EGF</w:t>
      </w:r>
      <w:r>
        <w:rPr>
          <w:rStyle w:val="FootnoteReference"/>
        </w:rPr>
        <w:footnoteReference w:id="2738"/>
      </w:r>
      <w:r>
        <w:t xml:space="preserve">.</w:t>
      </w:r>
    </w:p>
    <w:p>
      <w:pPr>
        <w:pStyle w:val="BodyText"/>
      </w:pPr>
      <w:r>
        <w:t xml:space="preserve">Ein Pferdedoping-Labor analysierte im Internet angebotene Produkte mit den Bezeichnungen „TB500“, „TB1000“ und „SGF1000“. Der Inhalt der TB-Produkte entsprach nicht durchgehend den früheren Beschreibungen. „SGF1000“ bestand überwiegend aus Bindegewebs- und Bluteiweißen von Schafen; die angeblich wachstumsfördernden Bestandteile waren extrem verdünnt</w:t>
      </w:r>
      <w:r>
        <w:rPr>
          <w:rStyle w:val="FootnoteReference"/>
        </w:rPr>
        <w:footnoteReference w:id="2739"/>
      </w:r>
      <w:r>
        <w:t xml:space="preserve">.</w:t>
      </w:r>
    </w:p>
    <w:p>
      <w:pPr>
        <w:pStyle w:val="BodyText"/>
      </w:pPr>
      <w:r>
        <w:t xml:space="preserve">Wie häufig Etikett und Inhalt auseinanderfallen, zeigt eine US-Untersuchung, die zwar keine Peptide, sondern sogenannte SARMs betraf, aber denselben Vertriebsweg nutzt: Von 44 Internetprodukten enthielten nur 52 % überhaupt einen Wirkstoff aus der beworbenen Stoffgruppe. 39 % enthielten andere nicht zugelassene Stoffe, darunter den Wachstumshormon-Freisetzer Ibutamoren, 9 % gar keinen Wirkstoff, und 25 % nicht deklarierte Substanzen</w:t>
      </w:r>
      <w:r>
        <w:rPr>
          <w:rStyle w:val="FootnoteReference"/>
        </w:rPr>
        <w:footnoteReference w:id="2740"/>
      </w:r>
      <w:r>
        <w:t xml:space="preserve">.</w:t>
      </w:r>
    </w:p>
    <w:bookmarkEnd w:id="2741"/>
    <w:bookmarkStart w:id="2745" w:name="falsche-menge"/>
    <w:p>
      <w:pPr>
        <w:pStyle w:val="Heading4"/>
      </w:pPr>
      <w:r>
        <w:t xml:space="preserve">Falsche Menge</w:t>
      </w:r>
    </w:p>
    <w:p>
      <w:pPr>
        <w:pStyle w:val="FirstParagraph"/>
      </w:pPr>
      <w:r>
        <w:t xml:space="preserve">Selbst wenn der richtige Stoff im Fläschchen ist, stimmt die Menge oft nicht. In der genannten US-Analyse entsprach die gemessene Wirkstoffmenge nur bei 18 von 44 Produkten (41 %) der Angabe auf dem Etikett</w:t>
      </w:r>
      <w:r>
        <w:rPr>
          <w:rStyle w:val="FootnoteReference"/>
        </w:rPr>
        <w:footnoteReference w:id="2742"/>
      </w:r>
      <w:r>
        <w:t xml:space="preserve">. Ein französisches Toxikologie-Labor untersuchte 75 auf dem Schwarzmarkt beschlagnahmte Arzneimittel aus dem Bodybuilding-Umfeld: 33 % waren minderwertig, also falsch dosiert, 32 % gefälscht, das heißt mit anderem Inhalt als angegeben, und nur 19 % entsprachen vollständig dem Original</w:t>
      </w:r>
      <w:r>
        <w:rPr>
          <w:rStyle w:val="FootnoteReference"/>
        </w:rPr>
        <w:footnoteReference w:id="2743"/>
      </w:r>
      <w:r>
        <w:t xml:space="preserve">. Eine fünfjährige europäische Marktüberwachung mit 324 Proben aus 13 Ländern kam nach den begrenzten Mengenangaben zu dem Schluss, dass die meisten Proben wirksame Mengen enthielten und manche sogar überdosiert waren</w:t>
      </w:r>
      <w:r>
        <w:rPr>
          <w:rStyle w:val="FootnoteReference"/>
        </w:rPr>
        <w:footnoteReference w:id="2744"/>
      </w:r>
      <w:r>
        <w:t xml:space="preserve">.</w:t>
      </w:r>
    </w:p>
    <w:p>
      <w:pPr>
        <w:pStyle w:val="BodyText"/>
      </w:pPr>
      <w:r>
        <w:t xml:space="preserve">Beides ist gefährlich: Zu wenig Wirkstoff verleitet dazu, „nachzudosieren“; zu viel führt direkt zu stärkeren Nebenwirkungen. Bei GLP-1-Medikamenten, deren Verträglichkeit stark vom langsamen Steigern abhängt, ist eine unbekannte Menge besonders problematisch.</w:t>
      </w:r>
    </w:p>
    <w:bookmarkEnd w:id="2745"/>
    <w:bookmarkStart w:id="2750" w:name="Xab880abfb0b9b9a144a6073a7f8683c9e1be5eb"/>
    <w:p>
      <w:pPr>
        <w:pStyle w:val="Heading4"/>
      </w:pPr>
      <w:r>
        <w:t xml:space="preserve">Geringe Reinheit, Abbauprodukte und Designer-Varianten</w:t>
      </w:r>
    </w:p>
    <w:p>
      <w:pPr>
        <w:pStyle w:val="FirstParagraph"/>
      </w:pPr>
      <w:r>
        <w:t xml:space="preserve">Die umfassendste systematische Untersuchung stammt aus Belgien. Das Kontrolllabor kaufte die zehn am häufigsten gefälschten Peptid-Arzneimittel des belgischen Markts bei drei mutmaßlich illegalen Internetapotheken und prüfte sie auf Wirkstoff, Peptid-Verunreinigungen, kleine organische Fremdstoffe, Metalle und Lösungsmittelreste. Die Menge pro Fläschchen schwankte stark, und bei Peptiden mit der Aminosäure Cystein lag die Reinheit zwischen 5 und 75 %</w:t>
      </w:r>
      <w:r>
        <w:rPr>
          <w:rStyle w:val="FootnoteReference"/>
        </w:rPr>
        <w:footnoteReference w:id="2746"/>
      </w:r>
      <w:r>
        <w:t xml:space="preserve">.</w:t>
      </w:r>
    </w:p>
    <w:p>
      <w:pPr>
        <w:pStyle w:val="BodyText"/>
      </w:pPr>
      <w:r>
        <w:t xml:space="preserve">Andere Labore fanden in Schwarzmarkt-Produkten von IGF-1-Abwandlungen zahlreiche oxidierte, also chemisch veränderte, Peptidformen</w:t>
      </w:r>
      <w:r>
        <w:rPr>
          <w:rStyle w:val="FootnoteReference"/>
        </w:rPr>
        <w:footnoteReference w:id="2747"/>
      </w:r>
      <w:r>
        <w:t xml:space="preserve"> </w:t>
      </w:r>
      <w:r>
        <w:t xml:space="preserve">und in einer beschlagnahmten Melanotan-II-Probe eine Reinheit von 30 %</w:t>
      </w:r>
      <w:r>
        <w:rPr>
          <w:rStyle w:val="FootnoteReference"/>
        </w:rPr>
        <w:footnoteReference w:id="2748"/>
      </w:r>
      <w:r>
        <w:t xml:space="preserve">. In vom dänischen Zoll beschlagnahmten Präparaten fanden sich Abwandlungen von GHRP-2, GHRP-6, Ipamorelin und einem GHRH-Fragment, denen jeweils eine zusätzliche Aminosäure Glycin vorangestellt war</w:t>
      </w:r>
      <w:r>
        <w:rPr>
          <w:rStyle w:val="FootnoteReference"/>
        </w:rPr>
        <w:footnoteReference w:id="2749"/>
      </w:r>
      <w:r>
        <w:t xml:space="preserve">. Solche „Designer-Varianten“ sollen vermutlich Dopingtests umgehen. Ihre Wirkung und Sicherheit am Menschen sind völlig unbekannt.</w:t>
      </w:r>
    </w:p>
    <w:bookmarkEnd w:id="2750"/>
    <w:bookmarkStart w:id="2754" w:name="gefährliche-begleitstoffe"/>
    <w:p>
      <w:pPr>
        <w:pStyle w:val="Heading4"/>
      </w:pPr>
      <w:r>
        <w:t xml:space="preserve">Gefährliche Begleitstoffe</w:t>
      </w:r>
    </w:p>
    <w:p>
      <w:pPr>
        <w:pStyle w:val="FirstParagraph"/>
      </w:pPr>
      <w:r>
        <w:t xml:space="preserve">In der belgischen Untersuchung fanden sich die giftigen Elemente Arsen und Blei. Eine Probe war mit Blei verunreinigt, mehrere enthielten Arsen in Konzentrationen bis zum Zehnfachen des internationalen Grenzwerts für Injektionsarzneimittel. Die genauere Analyse zeigte, dass das Arsen vollständig in der giftigeren anorganischen Form vorlag. Die Autorinnen und Autoren weisen darauf hin, dass Arsen krebserregend ist und Blei sich im Körper anreichert – bei wiederholter Anwendung über Monate ein zusätzliches, schleichendes Risiko</w:t>
      </w:r>
      <w:r>
        <w:rPr>
          <w:rStyle w:val="FootnoteReference"/>
        </w:rPr>
        <w:footnoteReference w:id="2751"/>
      </w:r>
      <w:r>
        <w:t xml:space="preserve">.</w:t>
      </w:r>
    </w:p>
    <w:p>
      <w:pPr>
        <w:pStyle w:val="BodyText"/>
      </w:pPr>
      <w:r>
        <w:t xml:space="preserve">Dazu kommen Keime und Bakterienbestandteile. Dasselbe Labor wies in zwei illegalen Peptidpräparaten zur Injektion das Bakterium</w:t>
      </w:r>
      <w:r>
        <w:t xml:space="preserve"> </w:t>
      </w:r>
      <w:r>
        <w:rPr>
          <w:iCs/>
          <w:i/>
        </w:rPr>
        <w:t xml:space="preserve">Bacillus cereus</w:t>
      </w:r>
      <w:r>
        <w:t xml:space="preserve"> </w:t>
      </w:r>
      <w:r>
        <w:t xml:space="preserve">nach</w:t>
      </w:r>
      <w:r>
        <w:rPr>
          <w:rStyle w:val="FootnoteReference"/>
        </w:rPr>
        <w:footnoteReference w:id="2752"/>
      </w:r>
      <w:r>
        <w:t xml:space="preserve">. Bei den Semaglutid-Testkäufen aus Teil I waren in allen Proben Endotoxine nachweisbar</w:t>
      </w:r>
      <w:r>
        <w:rPr>
          <w:rStyle w:val="FootnoteReference"/>
        </w:rPr>
        <w:footnoteReference w:id="2753"/>
      </w:r>
      <w:r>
        <w:t xml:space="preserve">. Warum das für das Immunsystem relevant ist, beschreibt das Kapitel „Immunreaktionen und Antikörper“.</w:t>
      </w:r>
    </w:p>
    <w:bookmarkEnd w:id="2754"/>
    <w:bookmarkEnd w:id="2755"/>
    <w:bookmarkStart w:id="2761" w:name="immer-neue-stoffe"/>
    <w:p>
      <w:pPr>
        <w:pStyle w:val="Heading3"/>
      </w:pPr>
      <w:r>
        <w:t xml:space="preserve">Immer neue Stoffe</w:t>
      </w:r>
    </w:p>
    <w:p>
      <w:pPr>
        <w:pStyle w:val="FirstParagraph"/>
      </w:pPr>
      <w:r>
        <w:t xml:space="preserve">Der Graumarkt reagiert schnell auf Trends. Eine europäische Marktüberwachung mit 1.104 gemeldeten Fällen aus 16 Ländern zwischen 2017 und 2019 fand, dass 11 % der Proben biologische Moleküle, vor allem „Research Peptides“, enthielten; das war die zweithäufigste Kategorie überhaupt</w:t>
      </w:r>
      <w:r>
        <w:rPr>
          <w:rStyle w:val="FootnoteReference"/>
        </w:rPr>
        <w:footnoteReference w:id="2756"/>
      </w:r>
      <w:r>
        <w:t xml:space="preserve">. Belgische Labore identifizierten in beschlagnahmten Präparaten das „Anti-Aging-Peptid“ Epitalon</w:t>
      </w:r>
      <w:r>
        <w:rPr>
          <w:rStyle w:val="FootnoteReference"/>
        </w:rPr>
        <w:footnoteReference w:id="2757"/>
      </w:r>
      <w:r>
        <w:t xml:space="preserve"> </w:t>
      </w:r>
      <w:r>
        <w:t xml:space="preserve">sowie die Nootropika-Peptide Selank und Semax; das Labor entwickelte daraufhin ein eigenes Nachweisverfahren für zehn solcher im Internet angebotenen Peptide</w:t>
      </w:r>
      <w:r>
        <w:rPr>
          <w:rStyle w:val="FootnoteReference"/>
        </w:rPr>
        <w:footnoteReference w:id="2758"/>
      </w:r>
      <w:r>
        <w:t xml:space="preserve">. Inzwischen werden auch Wirkstoffe angeboten, die sich noch in klinischen Studien befinden, etwa Retatrutid und Amycretin (Kapitel Retatrutid, Amycretin).</w:t>
      </w:r>
    </w:p>
    <w:p>
      <w:pPr>
        <w:pStyle w:val="BodyText"/>
      </w:pPr>
      <w:r>
        <w:t xml:space="preserve">Für die Kontrolllabore bedeutet das einen Wettlauf: Ein Stoff, für den es noch keine Referenzsubstanz gibt, kann nicht sicher identifiziert werden. Für Käuferinnen und Käufer bedeutet es, dass bei den neuesten Produkten am wenigsten über Inhalt und Qualität bekannt ist.</w:t>
      </w:r>
    </w:p>
    <w:p>
      <w:pPr>
        <w:pStyle w:val="BodyText"/>
      </w:pPr>
      <w:r>
        <w:t xml:space="preserve">Zunehmend tauchen Graumarkt-Produkte auch in Formen auf, die harmloser wirken als eine Spritze. Eine US-Untersuchung fand 24 als Nahrungsergänzung verkaufte Pflaster und ein Gel, die als „natürliches GLP-1“ beworben wurden. Keines legte ein Analysezertifikat vor, viele warben irreführend; nach US-Recht ist der Verkauf solcher Pflaster als Nahrungsergänzung unzulässig</w:t>
      </w:r>
      <w:r>
        <w:rPr>
          <w:rStyle w:val="FootnoteReference"/>
        </w:rPr>
        <w:footnoteReference w:id="2759"/>
      </w:r>
      <w:r>
        <w:t xml:space="preserve">. In der europäischen Marktüberwachung waren 24 % der Muskelaufbau-Präparate als Nahrungsergänzungsmittel aufgemacht – wer sie kauft, weiß oft nicht, dass er ein nicht zugelassenes Arzneimittel einnimmt</w:t>
      </w:r>
      <w:r>
        <w:rPr>
          <w:rStyle w:val="FootnoteReference"/>
        </w:rPr>
        <w:footnoteReference w:id="2760"/>
      </w:r>
      <w:r>
        <w:t xml:space="preserve">.</w:t>
      </w:r>
    </w:p>
    <w:bookmarkEnd w:id="2761"/>
    <w:bookmarkStart w:id="2762" w:name="was-die-analysen-nicht-zeigen"/>
    <w:p>
      <w:pPr>
        <w:pStyle w:val="Heading3"/>
      </w:pPr>
      <w:r>
        <w:t xml:space="preserve">Was die Analysen nicht zeigen</w:t>
      </w:r>
    </w:p>
    <w:p>
      <w:pPr>
        <w:pStyle w:val="FirstParagraph"/>
      </w:pPr>
      <w:r>
        <w:t xml:space="preserve">So eindeutig die Befunde sind, sie haben Grenzen.</w:t>
      </w:r>
    </w:p>
    <w:p>
      <w:pPr>
        <w:numPr>
          <w:ilvl w:val="0"/>
          <w:numId w:val="1346"/>
        </w:numPr>
        <w:pStyle w:val="Compact"/>
      </w:pPr>
      <w:r>
        <w:rPr>
          <w:bCs/>
          <w:b/>
        </w:rPr>
        <w:t xml:space="preserve">Keine repräsentative Stichprobe.</w:t>
      </w:r>
      <w:r>
        <w:t xml:space="preserve"> </w:t>
      </w:r>
      <w:r>
        <w:t xml:space="preserve">Beschlagnahmte Ware ist eine Auswahl dessen, was dem Zoll auffällt. Testkäufe umfassen meist nur wenige Anbieter. Wie groß der Anteil fehlerhafter Produkte am gesamten Markt ist, lässt sich daraus nicht berechnen.</w:t>
      </w:r>
    </w:p>
    <w:p>
      <w:pPr>
        <w:numPr>
          <w:ilvl w:val="0"/>
          <w:numId w:val="1346"/>
        </w:numPr>
        <w:pStyle w:val="Compact"/>
      </w:pPr>
      <w:r>
        <w:rPr>
          <w:bCs/>
          <w:b/>
        </w:rPr>
        <w:t xml:space="preserve">Momentaufnahmen.</w:t>
      </w:r>
      <w:r>
        <w:t xml:space="preserve"> </w:t>
      </w:r>
      <w:r>
        <w:t xml:space="preserve">Ein Anbieter, dessen Ware heute korrekt ist, kann morgen eine andere Charge liefern. Gute Ergebnisse einer Analyse gelten nicht für das nächste Fläschchen.</w:t>
      </w:r>
    </w:p>
    <w:p>
      <w:pPr>
        <w:numPr>
          <w:ilvl w:val="0"/>
          <w:numId w:val="1346"/>
        </w:numPr>
        <w:pStyle w:val="Compact"/>
      </w:pPr>
      <w:r>
        <w:rPr>
          <w:bCs/>
          <w:b/>
        </w:rPr>
        <w:t xml:space="preserve">Nicht alles wird geprüft.</w:t>
      </w:r>
      <w:r>
        <w:t xml:space="preserve"> </w:t>
      </w:r>
      <w:r>
        <w:t xml:space="preserve">Viele Berichte bestimmen nur die Identität des Wirkstoffs. Ob ein Produkt mit „richtigem“ Inhalt steril und endotoxinfrei war, bleibt dann offen.</w:t>
      </w:r>
    </w:p>
    <w:p>
      <w:pPr>
        <w:numPr>
          <w:ilvl w:val="0"/>
          <w:numId w:val="1346"/>
        </w:numPr>
        <w:pStyle w:val="Compact"/>
      </w:pPr>
      <w:r>
        <w:rPr>
          <w:bCs/>
          <w:b/>
        </w:rPr>
        <w:t xml:space="preserve">Keine Aussage über Wirkung und Sicherheit.</w:t>
      </w:r>
      <w:r>
        <w:t xml:space="preserve"> </w:t>
      </w:r>
      <w:r>
        <w:t xml:space="preserve">Auch ein reines Produkt ist nur so sicher wie der Wirkstoff selbst. Für die meisten Graumarkt-Peptide fehlen dazu Humanstudien (siehe Teil II).</w:t>
      </w:r>
    </w:p>
    <w:bookmarkEnd w:id="2762"/>
    <w:bookmarkStart w:id="2774" w:name="X2ca2e016e6c66662c308006e5251ce7a8fc7a4b"/>
    <w:p>
      <w:pPr>
        <w:pStyle w:val="Heading3"/>
      </w:pPr>
      <w:r>
        <w:t xml:space="preserve">GLP-1-Medikamente: was Giftinformationszentren berichten</w:t>
      </w:r>
    </w:p>
    <w:p>
      <w:pPr>
        <w:pStyle w:val="FirstParagraph"/>
      </w:pPr>
      <w:r>
        <w:t xml:space="preserve">Für die GLP-1-Medikamente gibt es eine zusätzliche Datenquelle, die zeigt, was bei der Anwendung tatsächlich schiefgeht: Anrufe bei Giftinformationszentren. In den USA werden sie in einer nationalen Datenbank gesammelt. Diese Daten unterscheiden nicht immer zwischen Original, Rezepturarzneimittel und Graumarkt-Ware, zeigen aber die Größenordnung der Probleme.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Zeitraum und Umfang</w:t>
            </w:r>
          </w:p>
        </w:tc>
        <w:tc>
          <w:tcPr/>
          <w:p>
            <w:pPr>
              <w:pStyle w:val="Compact"/>
              <w:jc w:val="left"/>
            </w:pPr>
            <w:r>
              <w:t xml:space="preserve">Wichtigste Befunde</w:t>
            </w:r>
          </w:p>
        </w:tc>
      </w:tr>
      <w:tr>
        <w:tc>
          <w:tcPr/>
          <w:p>
            <w:pPr>
              <w:pStyle w:val="Compact"/>
              <w:jc w:val="left"/>
            </w:pPr>
            <w:r>
              <w:t xml:space="preserve">Gaw 2024, PMID 38421490</w:t>
            </w:r>
          </w:p>
        </w:tc>
        <w:tc>
          <w:tcPr/>
          <w:p>
            <w:pPr>
              <w:pStyle w:val="Compact"/>
              <w:jc w:val="left"/>
            </w:pPr>
            <w:r>
              <w:t xml:space="preserve">USA, 2017–2022, 5.713 Fälle</w:t>
            </w:r>
          </w:p>
        </w:tc>
        <w:tc>
          <w:tcPr/>
          <w:p>
            <w:pPr>
              <w:pStyle w:val="Compact"/>
              <w:jc w:val="left"/>
            </w:pPr>
            <w:r>
              <w:t xml:space="preserve">79,9 % Anwendungsfehler; 6,2 % schwere Verläufe, ein Todesfall</w:t>
            </w:r>
          </w:p>
        </w:tc>
      </w:tr>
      <w:tr>
        <w:tc>
          <w:tcPr/>
          <w:p>
            <w:pPr>
              <w:pStyle w:val="Compact"/>
              <w:jc w:val="left"/>
            </w:pPr>
            <w:r>
              <w:t xml:space="preserve">Miller 2026, PMID 41634285</w:t>
            </w:r>
          </w:p>
        </w:tc>
        <w:tc>
          <w:tcPr/>
          <w:p>
            <w:pPr>
              <w:pStyle w:val="Compact"/>
              <w:jc w:val="left"/>
            </w:pPr>
            <w:r>
              <w:t xml:space="preserve">USA, 2012–2023, 10.033 Fälle</w:t>
            </w:r>
          </w:p>
        </w:tc>
        <w:tc>
          <w:tcPr/>
          <w:p>
            <w:pPr>
              <w:pStyle w:val="Compact"/>
              <w:jc w:val="left"/>
            </w:pPr>
            <w:r>
              <w:t xml:space="preserve">nach Adipositas-Zulassung mehr Fälle, Anteil mit Arzt- oder Klinikkontakt von 23,0 auf 33,5 %</w:t>
            </w:r>
          </w:p>
        </w:tc>
      </w:tr>
      <w:tr>
        <w:tc>
          <w:tcPr/>
          <w:p>
            <w:pPr>
              <w:pStyle w:val="Compact"/>
              <w:jc w:val="left"/>
            </w:pPr>
            <w:r>
              <w:t xml:space="preserve">Senthilkumar 2026, PMID 41784916</w:t>
            </w:r>
          </w:p>
        </w:tc>
        <w:tc>
          <w:tcPr/>
          <w:p>
            <w:pPr>
              <w:pStyle w:val="Compact"/>
              <w:jc w:val="left"/>
            </w:pPr>
            <w:r>
              <w:t xml:space="preserve">USA, 2017–2024, 13.924 Fälle</w:t>
            </w:r>
          </w:p>
        </w:tc>
        <w:tc>
          <w:tcPr/>
          <w:p>
            <w:pPr>
              <w:pStyle w:val="Compact"/>
              <w:jc w:val="left"/>
            </w:pPr>
            <w:r>
              <w:t xml:space="preserve">91,7 % ohne oder mit leichten Folgen; 42 schwere Verläufe, zwei Todesfälle</w:t>
            </w:r>
          </w:p>
        </w:tc>
      </w:tr>
      <w:tr>
        <w:tc>
          <w:tcPr/>
          <w:p>
            <w:pPr>
              <w:pStyle w:val="Compact"/>
              <w:jc w:val="left"/>
            </w:pPr>
            <w:r>
              <w:t xml:space="preserve">Ho 2025, PMID 40371098</w:t>
            </w:r>
          </w:p>
        </w:tc>
        <w:tc>
          <w:tcPr/>
          <w:p>
            <w:pPr>
              <w:pStyle w:val="Compact"/>
              <w:jc w:val="left"/>
            </w:pPr>
            <w:r>
              <w:t xml:space="preserve">Kalifornien, 2017–2023, 1.047 Fälle</w:t>
            </w:r>
          </w:p>
        </w:tc>
        <w:tc>
          <w:tcPr/>
          <w:p>
            <w:pPr>
              <w:pStyle w:val="Compact"/>
              <w:jc w:val="left"/>
            </w:pPr>
            <w:r>
              <w:t xml:space="preserve">21,0 % in der Notaufnahme, 4,4 % stationär; Unterzuckerung bei 3,8 %</w:t>
            </w:r>
          </w:p>
        </w:tc>
      </w:tr>
    </w:tbl>
    <w:p>
      <w:pPr>
        <w:pStyle w:val="BodyText"/>
      </w:pPr>
      <w:r>
        <w:t xml:space="preserve">Mehrere Muster fallen auf:</w:t>
      </w:r>
    </w:p>
    <w:p>
      <w:pPr>
        <w:pStyle w:val="BodyText"/>
      </w:pPr>
      <w:r>
        <w:rPr>
          <w:bCs/>
          <w:b/>
        </w:rPr>
        <w:t xml:space="preserve">Die Zahl der Fälle stieg mit der Verbreitung stark an.</w:t>
      </w:r>
      <w:r>
        <w:t xml:space="preserve"> </w:t>
      </w:r>
      <w:r>
        <w:t xml:space="preserve">Von 2021 auf 2022 nahm die Rate der gemeldeten Fälle pro Million Einwohner um 80,9 % zu</w:t>
      </w:r>
      <w:r>
        <w:rPr>
          <w:rStyle w:val="FootnoteReference"/>
        </w:rPr>
        <w:footnoteReference w:id="2763"/>
      </w:r>
      <w:r>
        <w:t xml:space="preserve">. Zwischen 2017 und 2024 stieg sie insgesamt um 1.830,8 %</w:t>
      </w:r>
      <w:r>
        <w:rPr>
          <w:rStyle w:val="FootnoteReference"/>
        </w:rPr>
        <w:footnoteReference w:id="2764"/>
      </w:r>
      <w:r>
        <w:t xml:space="preserve">.</w:t>
      </w:r>
    </w:p>
    <w:p>
      <w:pPr>
        <w:pStyle w:val="BodyText"/>
      </w:pPr>
      <w:r>
        <w:rPr>
          <w:bCs/>
          <w:b/>
        </w:rPr>
        <w:t xml:space="preserve">Die meisten Fälle sind Anwendungsfehler.</w:t>
      </w:r>
      <w:r>
        <w:t xml:space="preserve"> </w:t>
      </w:r>
      <w:r>
        <w:t xml:space="preserve">In allen Auswertungen dominierten unbeabsichtigte Fehler bei der Anwendung, also etwa eine doppelte oder falsch abgemessene Dosis</w:t>
      </w:r>
      <w:r>
        <w:rPr>
          <w:rStyle w:val="FootnoteReference"/>
        </w:rPr>
        <w:footnoteReference w:id="2765"/>
      </w:r>
      <w:r>
        <w:t xml:space="preserve">. In einer Auswertung eines einzelnen Zentrums gingen 21 % der Fälle auf Fehler bei der ersten Benutzung des Fertigpens zurück</w:t>
      </w:r>
      <w:r>
        <w:rPr>
          <w:rStyle w:val="FootnoteReference"/>
        </w:rPr>
        <w:footnoteReference w:id="2766"/>
      </w:r>
      <w:r>
        <w:t xml:space="preserve">. Fehler passieren also auch mit zugelassenen Produkten. In der kalifornischen Auswertung betrafen 36 Fälle Rezepturarzneimittel; bei ihnen waren in 91,7 % Fehler beim Abmessen oder Spritzen die Ursache</w:t>
      </w:r>
      <w:r>
        <w:rPr>
          <w:rStyle w:val="FootnoteReference"/>
        </w:rPr>
        <w:footnoteReference w:id="2767"/>
      </w:r>
      <w:r>
        <w:t xml:space="preserve">. Das passt zu den Fallberichten über Verwechslungen von Millilitern, „Einheiten“ und Milligramm bei Fläschchen, die in Teil I beschrieben sind.</w:t>
      </w:r>
    </w:p>
    <w:p>
      <w:pPr>
        <w:pStyle w:val="BodyText"/>
      </w:pPr>
      <w:r>
        <w:rPr>
          <w:bCs/>
          <w:b/>
        </w:rPr>
        <w:t xml:space="preserve">Die Folgen sind meist leicht, aber nicht immer.</w:t>
      </w:r>
      <w:r>
        <w:t xml:space="preserve"> </w:t>
      </w:r>
      <w:r>
        <w:t xml:space="preserve">Übelkeit und Erbrechen stehen im Vordergrund. Eine nennenswerte Minderheit braucht aber ärztliche Behandlung, und es gab Todesfälle</w:t>
      </w:r>
      <w:r>
        <w:rPr>
          <w:rStyle w:val="FootnoteReference"/>
        </w:rPr>
        <w:footnoteReference w:id="2768"/>
      </w:r>
      <w:r>
        <w:t xml:space="preserve">. Unterzuckerungen traten in 3,4 %</w:t>
      </w:r>
      <w:r>
        <w:rPr>
          <w:rStyle w:val="FootnoteReference"/>
        </w:rPr>
        <w:footnoteReference w:id="2769"/>
      </w:r>
      <w:r>
        <w:t xml:space="preserve"> </w:t>
      </w:r>
      <w:r>
        <w:t xml:space="preserve">bis 3,8 %</w:t>
      </w:r>
      <w:r>
        <w:rPr>
          <w:rStyle w:val="FootnoteReference"/>
        </w:rPr>
        <w:footnoteReference w:id="2770"/>
      </w:r>
      <w:r>
        <w:t xml:space="preserve"> </w:t>
      </w:r>
      <w:r>
        <w:t xml:space="preserve">der Fälle auf; in einer weiteren Auswertung kam sie selten, aber auch nach alleiniger Anwendung eines GLP-1-Medikaments vor</w:t>
      </w:r>
      <w:r>
        <w:rPr>
          <w:rStyle w:val="FootnoteReference"/>
        </w:rPr>
        <w:footnoteReference w:id="2771"/>
      </w:r>
      <w:r>
        <w:t xml:space="preserve">. Wie schwer eine Überdosis verlaufen kann, zeigt der im Kapitel „Immunreaktionen“ beschriebene Fall einer Frau, die nach einer versehentlich zehnfachen Dosis aus einer Rezepturapotheke mit einer massiven Schwellung im Rachen beatmet werden musste und zusätzlich eine Unterzuckerung entwickelte</w:t>
      </w:r>
      <w:r>
        <w:rPr>
          <w:rStyle w:val="FootnoteReference"/>
        </w:rPr>
        <w:footnoteReference w:id="2772"/>
      </w:r>
      <w:r>
        <w:t xml:space="preserve">.</w:t>
      </w:r>
    </w:p>
    <w:p>
      <w:pPr>
        <w:pStyle w:val="BodyText"/>
      </w:pPr>
      <w:r>
        <w:rPr>
          <w:bCs/>
          <w:b/>
        </w:rPr>
        <w:t xml:space="preserve">Jugendliche sind eine eigene Risikogruppe.</w:t>
      </w:r>
      <w:r>
        <w:t xml:space="preserve"> </w:t>
      </w:r>
      <w:r>
        <w:t xml:space="preserve">Bei Kindern und Jugendlichen zwischen 6 und 17 Jahren stieg die Rate der Fälle zwischen 2017 und 2024 am stärksten. Sie wurden häufiger stationär aufgenommen als Erwachsene (relatives Risiko 2,66), und ihre Fälle gingen deutlich häufiger auf absichtlichen Fehlgebrauch zurück (relatives Risiko 8,12)</w:t>
      </w:r>
      <w:r>
        <w:rPr>
          <w:rStyle w:val="FootnoteReference"/>
        </w:rPr>
        <w:footnoteReference w:id="2773"/>
      </w:r>
      <w:r>
        <w:t xml:space="preserve">. Mehr dazu im folgenden Kapitel.</w:t>
      </w:r>
    </w:p>
    <w:bookmarkEnd w:id="2774"/>
    <w:bookmarkStart w:id="2775" w:name="was-sich-daraus-ergibt"/>
    <w:p>
      <w:pPr>
        <w:pStyle w:val="Heading3"/>
      </w:pPr>
      <w:r>
        <w:t xml:space="preserve">Was sich daraus ergibt</w:t>
      </w:r>
    </w:p>
    <w:p>
      <w:pPr>
        <w:pStyle w:val="FirstParagraph"/>
      </w:pPr>
      <w:r>
        <w:t xml:space="preserve">Die Laboranalysen und die Daten aus Giftinformationszentren beschreiben zwei Seiten desselben Problems. Die Analysen zeigen, dass Graumarkt-Produkte in jeder denkbaren Hinsicht vom Etikett abweichen können: im Stoff, in der Menge, in der Reinheit und in giftigen Begleitstoffen. Die Giftnotruf-Daten zeigen, dass schon bei geprüften Produkten Fehler beim Abmessen häufig sind – und dass Fläschchen, die erst aufgelöst und umgerechnet werden müssen, besonders fehleranfällig sind.</w:t>
      </w:r>
    </w:p>
    <w:p>
      <w:pPr>
        <w:pStyle w:val="BodyText"/>
      </w:pPr>
      <w:r>
        <w:t xml:space="preserve">Kombiniert man beides, ergibt sich ein Risiko, das mit keiner Studie zu einem Wirkstoff beschrieben werden kann: Wer ein Graumarkt-Peptid spritzt, kennt weder den Inhalt noch die Menge, und jede Abweichung wird durch mögliche eigene Rechenfehler noch verstärkt. Die Sicherheitsdaten aus den Zulassungsstudien, die in Teil II beschrieben sind, gelten für diese Produkte nicht.</w:t>
      </w:r>
    </w:p>
    <w:bookmarkEnd w:id="2775"/>
    <w:bookmarkStart w:id="2776" w:name="das-wichtigste-in-kürze-6"/>
    <w:p>
      <w:pPr>
        <w:pStyle w:val="Heading3"/>
      </w:pPr>
      <w:r>
        <w:t xml:space="preserve">Das Wichtigste in Kürze</w:t>
      </w:r>
    </w:p>
    <w:p>
      <w:pPr>
        <w:numPr>
          <w:ilvl w:val="0"/>
          <w:numId w:val="1347"/>
        </w:numPr>
        <w:pStyle w:val="Compact"/>
      </w:pPr>
      <w:r>
        <w:t xml:space="preserve">Amtliche, forensische und Anti-Doping-Labore finden in Graumarkt-Peptiden regelmäßig falsche Wirkstoffe, falsche Mengen, geringe Reinheit und Designer-Varianten.</w:t>
      </w:r>
    </w:p>
    <w:p>
      <w:pPr>
        <w:numPr>
          <w:ilvl w:val="0"/>
          <w:numId w:val="1347"/>
        </w:numPr>
        <w:pStyle w:val="Compact"/>
      </w:pPr>
      <w:r>
        <w:t xml:space="preserve">Eine systematische belgische Analyse fand zusätzlich Arsen und Blei, teils bis zum Zehnfachen des Grenzwerts für Injektionen, sowie Bakterien in Injektionspräparaten.</w:t>
      </w:r>
    </w:p>
    <w:p>
      <w:pPr>
        <w:numPr>
          <w:ilvl w:val="0"/>
          <w:numId w:val="1347"/>
        </w:numPr>
        <w:pStyle w:val="Compact"/>
      </w:pPr>
      <w:r>
        <w:t xml:space="preserve">Neue „Research Peptides“ tauchen schneller auf, als Kontrolllabore Nachweisverfahren entwickeln können.</w:t>
      </w:r>
    </w:p>
    <w:p>
      <w:pPr>
        <w:numPr>
          <w:ilvl w:val="0"/>
          <w:numId w:val="1347"/>
        </w:numPr>
        <w:pStyle w:val="Compact"/>
      </w:pPr>
      <w:r>
        <w:t xml:space="preserve">Analysen sind Momentaufnahmen; ein gutes Ergebnis gilt nicht für die nächste Charge.</w:t>
      </w:r>
    </w:p>
    <w:p>
      <w:pPr>
        <w:numPr>
          <w:ilvl w:val="0"/>
          <w:numId w:val="1347"/>
        </w:numPr>
        <w:pStyle w:val="Compact"/>
      </w:pPr>
      <w:r>
        <w:t xml:space="preserve">In den USA ist die Zahl der Anrufe bei Giftnotrufen wegen GLP-1-Medikamenten stark gestiegen. Die meisten Fälle sind Anwendungsfehler mit leichten Folgen, eine Minderheit verläuft schwer. Bei Rezepturpräparaten gingen fast alle Fälle auf Fehler beim Abmessen zurück.</w:t>
      </w:r>
    </w:p>
    <w:bookmarkEnd w:id="2776"/>
    <w:bookmarkEnd w:id="2777"/>
    <w:bookmarkStart w:id="2822" w:name="X120f3b07731f9ae26d70d101d9285ebbbf20add"/>
    <w:p>
      <w:pPr>
        <w:pStyle w:val="Heading2"/>
      </w:pPr>
      <w:r>
        <w:t xml:space="preserve">Wechselwirkungen und besondere Risikogruppen</w:t>
      </w:r>
    </w:p>
    <w:p>
      <w:pPr>
        <w:pStyle w:val="FirstParagraph"/>
      </w:pPr>
      <w:r>
        <w:t xml:space="preserve">Die Studien, auf denen die Zulassung eines Medikaments beruht, schließen bestimmte Menschen fast immer aus: Schwangere, Kinder, sehr alte oder mehrfach erkrankte Menschen, Menschen mit Essstörungen oder schweren psychischen Erkrankungen. Was für die Studienteilnehmenden gilt, lässt sich auf diese Gruppen deshalb nur eingeschränkt übertragen. Dazu kommen Wechselwirkungen mit anderen Medikamenten und Situationen wie eine Narkose, in denen eine sonst harmlose Wirkung plötzlich gefährlich werden kann.</w:t>
      </w:r>
    </w:p>
    <w:p>
      <w:pPr>
        <w:pStyle w:val="BodyText"/>
      </w:pPr>
      <w:r>
        <w:t xml:space="preserve">Dieses Kapitel bündelt diese Fragen. Es ersetzt keine ärztliche Beratung und keine Fachinformation. Bei zugelassenen Arzneimitteln regelt die Fachinformation Gegenanzeigen und Wechselwirkungen verbindlich; bei nicht zugelassenen Peptiden gibt es zu diesen Gruppen in aller Regel gar keine Daten.</w:t>
      </w:r>
    </w:p>
    <w:bookmarkStart w:id="2783" w:name="schwangerschaft-und-stillzeit"/>
    <w:p>
      <w:pPr>
        <w:pStyle w:val="Heading3"/>
      </w:pPr>
      <w:r>
        <w:t xml:space="preserve">Schwangerschaft und Stillzeit</w:t>
      </w:r>
    </w:p>
    <w:p>
      <w:pPr>
        <w:pStyle w:val="FirstParagraph"/>
      </w:pPr>
      <w:r>
        <w:t xml:space="preserve">Für fast alle Peptide in diesem Buch gilt: In der Schwangerschaft sind sie nicht untersucht oder nicht angezeigt. Die Fachinformationen der GLP-1-Medikamente sehen vor, sie in der Schwangerschaft nicht anzuwenden und vor einer geplanten Schwangerschaft rechtzeitig abzusetzen (Kapitel Semaglutid, Tirzepatid). Bei Maridebart Cafraglutid ist das besonders bedeutsam, weil seine Wirkung in einer frühen Studie bis zu 150 Tage nach der letzten Dosis anhielt (Kapitel Maridebart Cafraglutid).</w:t>
      </w:r>
    </w:p>
    <w:p>
      <w:pPr>
        <w:pStyle w:val="BodyText"/>
      </w:pPr>
      <w:r>
        <w:t xml:space="preserve">Weil GLP-1-Medikamente bei vielen Frauen im gebärfähigen Alter eingesetzt werden und eine Gewichtsabnahme die Fruchtbarkeit verbessern kann, kommt es trotzdem zu ungeplanten Schwangerschaften unter Behandlung. Für diese Situation gibt es inzwischen Daten, die überwiegend beruhigend sind:</w:t>
      </w:r>
    </w:p>
    <w:p>
      <w:pPr>
        <w:numPr>
          <w:ilvl w:val="0"/>
          <w:numId w:val="1348"/>
        </w:numPr>
        <w:pStyle w:val="Compact"/>
      </w:pPr>
      <w:r>
        <w:t xml:space="preserve">In einer großen Studie aus vier nordischen Ländern, den USA und Israel lag die Rate schwerer Fehlbildungen bei Kindern von Frauen mit Typ-2-Diabetes, die um die Empfängnis herum GLP-1-Rezeptor-Agonisten erhalten hatten, nicht höher als unter Insulin (bereinigtes relatives Risiko 0,95)</w:t>
      </w:r>
      <w:r>
        <w:rPr>
          <w:rStyle w:val="FootnoteReference"/>
        </w:rPr>
        <w:footnoteReference w:id="2778"/>
      </w:r>
      <w:r>
        <w:t xml:space="preserve">.</w:t>
      </w:r>
    </w:p>
    <w:p>
      <w:pPr>
        <w:numPr>
          <w:ilvl w:val="0"/>
          <w:numId w:val="1348"/>
        </w:numPr>
        <w:pStyle w:val="Compact"/>
      </w:pPr>
      <w:r>
        <w:t xml:space="preserve">Eine Auswertung von sechs Beratungsstellen für Arzneimittel in der Schwangerschaft fand bei 168 Schwangerschaften mit GLP-1-Kontakt im ersten Drittel schwere Fehlbildungen bei 2,6 %, in den Vergleichsgruppen bei 2,3 % und 3,9 %</w:t>
      </w:r>
      <w:r>
        <w:rPr>
          <w:rStyle w:val="FootnoteReference"/>
        </w:rPr>
        <w:footnoteReference w:id="2779"/>
      </w:r>
      <w:r>
        <w:t xml:space="preserve">.</w:t>
      </w:r>
    </w:p>
    <w:p>
      <w:pPr>
        <w:numPr>
          <w:ilvl w:val="0"/>
          <w:numId w:val="1348"/>
        </w:numPr>
        <w:pStyle w:val="Compact"/>
      </w:pPr>
      <w:r>
        <w:t xml:space="preserve">Eine US-Studie mit 3.572 Schwangerschaften verglich Frauen, die das Medikament ins erste Schwangerschaftsdrittel hinein weiter bezogen, mit Frauen, die es absetzten. Ein klar erhöhtes Risiko für Fehl- oder Totgeburt, Wachstumsstörungen oder Fehlbildungen fand sich nicht; die Schätzungen für Fehlbildungen waren aber so ungenau, dass auch ein bedeutsamer Unterschied nicht ausgeschlossen werden kann</w:t>
      </w:r>
      <w:r>
        <w:rPr>
          <w:rStyle w:val="FootnoteReference"/>
        </w:rPr>
        <w:footnoteReference w:id="2780"/>
      </w:r>
      <w:r>
        <w:t xml:space="preserve">.</w:t>
      </w:r>
    </w:p>
    <w:p>
      <w:pPr>
        <w:numPr>
          <w:ilvl w:val="0"/>
          <w:numId w:val="1348"/>
        </w:numPr>
        <w:pStyle w:val="Compact"/>
      </w:pPr>
      <w:r>
        <w:t xml:space="preserve">Eine Meta-Analyse von sieben Kohortenstudien mit über 40.000 exponierten Schwangerschaften fand keinen statistisch gesicherten Anstieg schwerer Fehlbildungen; ein Signal für Fehlbildungen der Harnwege beruhte nur auf unbereinigten Daten. Die Gewissheit der Evidenz bewerten die Autorinnen und Autoren als gering</w:t>
      </w:r>
      <w:r>
        <w:rPr>
          <w:rStyle w:val="FootnoteReference"/>
        </w:rPr>
        <w:footnoteReference w:id="2781"/>
      </w:r>
      <w:r>
        <w:t xml:space="preserve">.</w:t>
      </w:r>
    </w:p>
    <w:p>
      <w:pPr>
        <w:pStyle w:val="FirstParagraph"/>
      </w:pPr>
      <w:r>
        <w:t xml:space="preserve">Diese Daten helfen bei der Einschätzung einer</w:t>
      </w:r>
      <w:r>
        <w:t xml:space="preserve"> </w:t>
      </w:r>
      <w:r>
        <w:rPr>
          <w:iCs/>
          <w:i/>
        </w:rPr>
        <w:t xml:space="preserve">versehentlichen</w:t>
      </w:r>
      <w:r>
        <w:t xml:space="preserve"> </w:t>
      </w:r>
      <w:r>
        <w:t xml:space="preserve">Exposition. Sie sind kein Beleg dafür, dass eine geplante Anwendung in der Schwangerschaft sicher wäre. Für die Stillzeit sind die Daten noch dünner; zum Übergang von Bremelanotid in die Muttermilch wurde eine kleine Studie mit zehn Frauen abgeschlossen</w:t>
      </w:r>
      <w:r>
        <w:rPr>
          <w:rStyle w:val="FootnoteReference"/>
        </w:rPr>
        <w:footnoteReference w:id="2782"/>
      </w:r>
      <w:r>
        <w:t xml:space="preserve">.</w:t>
      </w:r>
    </w:p>
    <w:p>
      <w:pPr>
        <w:pStyle w:val="BodyText"/>
      </w:pPr>
      <w:r>
        <w:t xml:space="preserve">Einige Peptide sind in der Schwangerschaft aus ihrem Wirkprinzip heraus gefährlich. Oxytocin löst Wehen aus; eine Anwendung als Nasenspray außerhalb ärztlicher Kontrolle ist in der Schwangerschaft riskant (Kapitel Oxytocin). Für Graumarkt-Peptide wie BPC-157, TB-500, Epitalon oder die Wachstumshormon-Freisetzer gibt es keinerlei Daten zu Schwangerschaft und Stillzeit.</w:t>
      </w:r>
    </w:p>
    <w:bookmarkEnd w:id="2783"/>
    <w:bookmarkStart w:id="2788" w:name="orale-verhütung-und-magenentleerung"/>
    <w:p>
      <w:pPr>
        <w:pStyle w:val="Heading3"/>
      </w:pPr>
      <w:r>
        <w:t xml:space="preserve">Orale Verhütung und Magenentleerung</w:t>
      </w:r>
    </w:p>
    <w:p>
      <w:pPr>
        <w:pStyle w:val="FirstParagraph"/>
      </w:pPr>
      <w:r>
        <w:t xml:space="preserve">GLP-1-Medikamente, Amylin-Analoga wie Pramlintid und auch Bremelanotid verlangsamen die Entleerung des Magens. Dadurch können Tabletten, die gleichzeitig eingenommen werden, später oder in anderer Menge ins Blut gelangen. Das betrifft vor allem Medikamente, bei denen es auf einen raschen Wirkeintritt oder auf einen gleichmäßigen Blutspiegel ankommt.</w:t>
      </w:r>
    </w:p>
    <w:p>
      <w:pPr>
        <w:pStyle w:val="BodyText"/>
      </w:pPr>
      <w:r>
        <w:t xml:space="preserve">Besonders genau untersucht ist die Pille zur Empfängnisverhütung. Für Semaglutid fand eine Studie mit 43 Frauen keine verminderte Aufnahme der beiden Hormone einer gängigen Kombinationspille; der Spiegel des Gestagens lag unter Semaglutid sogar um 20 % höher</w:t>
      </w:r>
      <w:r>
        <w:rPr>
          <w:rStyle w:val="FootnoteReference"/>
        </w:rPr>
        <w:footnoteReference w:id="2784"/>
      </w:r>
      <w:r>
        <w:t xml:space="preserve">. Bei Tirzepatid ist das anders: Eine Übersicht über sechs Studien fand nur bei Tirzepatid eine signifikante Verringerung der aufgenommenen Hormonmenge, bei den übrigen GLP-1-Rezeptor-Agonisten nicht. Als Erklärung nennen die Autorinnen und Autoren die stärkere Verzögerung der Magenentleerung nach der ersten Dosis und nach Dosissteigerungen</w:t>
      </w:r>
      <w:r>
        <w:rPr>
          <w:rStyle w:val="FootnoteReference"/>
        </w:rPr>
        <w:footnoteReference w:id="2785"/>
      </w:r>
      <w:r>
        <w:t xml:space="preserve">. Die Fachinformation von Tirzepatid enthält deshalb einen eigenen Hinweis zur Verhütung mit Tabletten; die Einzelheiten stehen dort und sollten mit der Ärztin oder dem Arzt besprochen werden.</w:t>
      </w:r>
    </w:p>
    <w:p>
      <w:pPr>
        <w:pStyle w:val="BodyText"/>
      </w:pPr>
      <w:r>
        <w:t xml:space="preserve">Unabhängig vom Wirkstoff gilt: Starkes Erbrechen oder Durchfall – bei GLP-1-Medikamenten häufig – können die Aufnahme jeder Tablette beeinträchtigen, auch die der Pille.</w:t>
      </w:r>
    </w:p>
    <w:p>
      <w:pPr>
        <w:pStyle w:val="BodyText"/>
      </w:pPr>
      <w:r>
        <w:t xml:space="preserve">Weitere bekannte Wechselwirkungen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Wechselwirkung</w:t>
            </w:r>
          </w:p>
        </w:tc>
        <w:tc>
          <w:tcPr/>
          <w:p>
            <w:pPr>
              <w:pStyle w:val="Compact"/>
              <w:jc w:val="left"/>
            </w:pPr>
            <w:r>
              <w:t xml:space="preserve">Bedeutung</w:t>
            </w:r>
          </w:p>
        </w:tc>
        <w:tc>
          <w:tcPr/>
          <w:p>
            <w:pPr>
              <w:pStyle w:val="Compact"/>
              <w:jc w:val="left"/>
            </w:pPr>
            <w:r>
              <w:t xml:space="preserve">Kapitel</w:t>
            </w:r>
          </w:p>
        </w:tc>
      </w:tr>
      <w:tr>
        <w:tc>
          <w:tcPr/>
          <w:p>
            <w:pPr>
              <w:pStyle w:val="Compact"/>
              <w:jc w:val="left"/>
            </w:pPr>
            <w:r>
              <w:t xml:space="preserve">GLP-1-Medikamente, Pramlintid</w:t>
            </w:r>
          </w:p>
        </w:tc>
        <w:tc>
          <w:tcPr/>
          <w:p>
            <w:pPr>
              <w:pStyle w:val="Compact"/>
              <w:jc w:val="left"/>
            </w:pPr>
            <w:r>
              <w:t xml:space="preserve">verzögerte Aufnahme von Tabletten</w:t>
            </w:r>
          </w:p>
        </w:tc>
        <w:tc>
          <w:tcPr/>
          <w:p>
            <w:pPr>
              <w:pStyle w:val="Compact"/>
              <w:jc w:val="left"/>
            </w:pPr>
            <w:r>
              <w:t xml:space="preserve">bei Medikamenten mit engem Wirkbereich beachten</w:t>
            </w:r>
          </w:p>
        </w:tc>
        <w:tc>
          <w:tcPr/>
          <w:p>
            <w:pPr>
              <w:pStyle w:val="Compact"/>
              <w:jc w:val="left"/>
            </w:pPr>
            <w:r>
              <w:t xml:space="preserve">Semaglutid, Pramlintid</w:t>
            </w:r>
          </w:p>
        </w:tc>
      </w:tr>
      <w:tr>
        <w:tc>
          <w:tcPr/>
          <w:p>
            <w:pPr>
              <w:pStyle w:val="Compact"/>
              <w:jc w:val="left"/>
            </w:pPr>
            <w:r>
              <w:t xml:space="preserve">Tirzepatid</w:t>
            </w:r>
          </w:p>
        </w:tc>
        <w:tc>
          <w:tcPr/>
          <w:p>
            <w:pPr>
              <w:pStyle w:val="Compact"/>
              <w:jc w:val="left"/>
            </w:pPr>
            <w:r>
              <w:t xml:space="preserve">weniger Hormon aus der Pille</w:t>
            </w:r>
          </w:p>
        </w:tc>
        <w:tc>
          <w:tcPr/>
          <w:p>
            <w:pPr>
              <w:pStyle w:val="Compact"/>
              <w:jc w:val="left"/>
            </w:pPr>
            <w:r>
              <w:t xml:space="preserve">Hinweis in der Fachinformation</w:t>
            </w:r>
          </w:p>
        </w:tc>
        <w:tc>
          <w:tcPr/>
          <w:p>
            <w:pPr>
              <w:pStyle w:val="Compact"/>
              <w:jc w:val="left"/>
            </w:pPr>
            <w:r>
              <w:t xml:space="preserve">Tirzepatid</w:t>
            </w:r>
          </w:p>
        </w:tc>
      </w:tr>
      <w:tr>
        <w:tc>
          <w:tcPr/>
          <w:p>
            <w:pPr>
              <w:pStyle w:val="Compact"/>
              <w:jc w:val="left"/>
            </w:pPr>
            <w:r>
              <w:t xml:space="preserve">Bremelanotid</w:t>
            </w:r>
          </w:p>
        </w:tc>
        <w:tc>
          <w:tcPr/>
          <w:p>
            <w:pPr>
              <w:pStyle w:val="Compact"/>
              <w:jc w:val="left"/>
            </w:pPr>
            <w:r>
              <w:t xml:space="preserve">niedrigere Spiegel von Indometacin und Naltrexon</w:t>
            </w:r>
          </w:p>
        </w:tc>
        <w:tc>
          <w:tcPr/>
          <w:p>
            <w:pPr>
              <w:pStyle w:val="Compact"/>
              <w:jc w:val="left"/>
            </w:pPr>
            <w:r>
              <w:t xml:space="preserve">Wirkung dieser Mittel kann nachlassen</w:t>
            </w:r>
          </w:p>
        </w:tc>
        <w:tc>
          <w:tcPr/>
          <w:p>
            <w:pPr>
              <w:pStyle w:val="Compact"/>
              <w:jc w:val="left"/>
            </w:pPr>
            <w:r>
              <w:t xml:space="preserve">Bremelanotid</w:t>
            </w:r>
          </w:p>
        </w:tc>
      </w:tr>
      <w:tr>
        <w:tc>
          <w:tcPr/>
          <w:p>
            <w:pPr>
              <w:pStyle w:val="Compact"/>
              <w:jc w:val="left"/>
            </w:pPr>
            <w:r>
              <w:t xml:space="preserve">Macimorelin</w:t>
            </w:r>
          </w:p>
        </w:tc>
        <w:tc>
          <w:tcPr/>
          <w:p>
            <w:pPr>
              <w:pStyle w:val="Compact"/>
              <w:jc w:val="left"/>
            </w:pPr>
            <w:r>
              <w:t xml:space="preserve">verlängert die QT-Zeit</w:t>
            </w:r>
          </w:p>
        </w:tc>
        <w:tc>
          <w:tcPr/>
          <w:p>
            <w:pPr>
              <w:pStyle w:val="Compact"/>
              <w:jc w:val="left"/>
            </w:pPr>
            <w:r>
              <w:t xml:space="preserve">Vorsicht mit anderen QT-verlängernden Mitteln</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Abbau über Leberenzyme</w:t>
            </w:r>
          </w:p>
        </w:tc>
        <w:tc>
          <w:tcPr/>
          <w:p>
            <w:pPr>
              <w:pStyle w:val="Compact"/>
              <w:jc w:val="left"/>
            </w:pPr>
            <w:r>
              <w:t xml:space="preserve">Wechselwirkungen mit anderen Medikamenten möglich</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Beruhigungs- und Schlafmittel, Alkohol</w:t>
            </w:r>
          </w:p>
        </w:tc>
        <w:tc>
          <w:tcPr/>
          <w:p>
            <w:pPr>
              <w:pStyle w:val="Compact"/>
              <w:jc w:val="left"/>
            </w:pPr>
            <w:r>
              <w:t xml:space="preserve">nicht untersucht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Blutgerinnung (nur Tierdaten)</w:t>
            </w:r>
          </w:p>
        </w:tc>
        <w:tc>
          <w:tcPr/>
          <w:p>
            <w:pPr>
              <w:pStyle w:val="Compact"/>
              <w:jc w:val="left"/>
            </w:pPr>
            <w:r>
              <w:t xml:space="preserve">bei Gerinnungshemmern unbekannt</w:t>
            </w:r>
          </w:p>
        </w:tc>
        <w:tc>
          <w:tcPr/>
          <w:p>
            <w:pPr>
              <w:pStyle w:val="Compact"/>
              <w:jc w:val="left"/>
            </w:pPr>
            <w:r>
              <w:t xml:space="preserve">BPC-157</w:t>
            </w:r>
          </w:p>
        </w:tc>
      </w:tr>
    </w:tbl>
    <w:p>
      <w:pPr>
        <w:pStyle w:val="BodyText"/>
      </w:pPr>
      <w:r>
        <w:t xml:space="preserve">Die Wechselwirkung von Bremelanotid mit Indometacin und Naltrexon ist in den Zulassungsdaten beschrieben</w:t>
      </w:r>
      <w:r>
        <w:rPr>
          <w:rStyle w:val="FootnoteReference"/>
        </w:rPr>
        <w:footnoteReference w:id="2786"/>
      </w:r>
      <w:r>
        <w:t xml:space="preserve">. Die QT-Verlängerung durch Macimorelin wurde in einer gründlichen EKG-Studie gemessen</w:t>
      </w:r>
      <w:r>
        <w:rPr>
          <w:rStyle w:val="FootnoteReference"/>
        </w:rPr>
        <w:footnoteReference w:id="2787"/>
      </w:r>
      <w:r>
        <w:t xml:space="preserve">.</w:t>
      </w:r>
    </w:p>
    <w:bookmarkEnd w:id="2788"/>
    <w:bookmarkStart w:id="2793" w:name="narkose-magenspiegelung-und-aspiration"/>
    <w:p>
      <w:pPr>
        <w:pStyle w:val="Heading3"/>
      </w:pPr>
      <w:r>
        <w:t xml:space="preserve">Narkose, Magenspiegelung und Aspiration</w:t>
      </w:r>
    </w:p>
    <w:p>
      <w:pPr>
        <w:pStyle w:val="FirstParagraph"/>
      </w:pPr>
      <w:r>
        <w:t xml:space="preserve">Vor einer Narkose soll der Magen leer sein. Der Grund: Wenn Mageninhalt während der Narkose in die Atemwege gelangt (Aspiration), kann eine schwere Lungenentzündung folgen. Da GLP-1-Medikamente die Magenentleerung verlangsamen, kann der Magen trotz vorschriftsmäßiger Nüchternzeit noch Speisereste enthalten.</w:t>
      </w:r>
    </w:p>
    <w:p>
      <w:pPr>
        <w:pStyle w:val="BodyText"/>
      </w:pPr>
      <w:r>
        <w:t xml:space="preserve">Die Studien dazu zeichnen ein zweigeteiltes Bild:</w:t>
      </w:r>
    </w:p>
    <w:p>
      <w:pPr>
        <w:numPr>
          <w:ilvl w:val="0"/>
          <w:numId w:val="1349"/>
        </w:numPr>
        <w:pStyle w:val="Compact"/>
      </w:pPr>
      <w:r>
        <w:rPr>
          <w:bCs/>
          <w:b/>
        </w:rPr>
        <w:t xml:space="preserve">Mehr Restinhalt im Magen ist gut belegt.</w:t>
      </w:r>
      <w:r>
        <w:t xml:space="preserve"> </w:t>
      </w:r>
      <w:r>
        <w:t xml:space="preserve">Eine Meta-Analyse von 23 Beobachtungsstudien mit 262.018 Menschen, die eine Magenspiegelung erhielten, fand unter GLP-1-Rezeptor-Agonisten ein etwa viereinhalbfach erhöhtes Risiko für Speisereste im Magen (Odds Ratio 4,54) und ebenso häufiger vorzeitig abgebrochene Untersuchungen. Eine Aspirationspneumonie trat nicht häufiger auf (Odds Ratio 0,96)</w:t>
      </w:r>
      <w:r>
        <w:rPr>
          <w:rStyle w:val="FootnoteReference"/>
        </w:rPr>
        <w:footnoteReference w:id="2789"/>
      </w:r>
      <w:r>
        <w:t xml:space="preserve">.</w:t>
      </w:r>
    </w:p>
    <w:p>
      <w:pPr>
        <w:numPr>
          <w:ilvl w:val="0"/>
          <w:numId w:val="1349"/>
        </w:numPr>
        <w:pStyle w:val="Compact"/>
      </w:pPr>
      <w:r>
        <w:t xml:space="preserve">In einer Studie mit Magen-Ultraschall vor geplanten Operationen hatten 49 % der Menschen unter Semaglutid einen „vollen Magen“, aber nur 18 % der vergleichbaren Kontrollpersonen; feste Speisereste fanden sich bei 42 % gegenüber 7 %. Das galt auch, obwohl eine Dosis vor der Operation ausgelassen worden war</w:t>
      </w:r>
      <w:r>
        <w:rPr>
          <w:rStyle w:val="FootnoteReference"/>
        </w:rPr>
        <w:footnoteReference w:id="2790"/>
      </w:r>
      <w:r>
        <w:t xml:space="preserve">.</w:t>
      </w:r>
    </w:p>
    <w:p>
      <w:pPr>
        <w:numPr>
          <w:ilvl w:val="0"/>
          <w:numId w:val="1349"/>
        </w:numPr>
        <w:pStyle w:val="Compact"/>
      </w:pPr>
      <w:r>
        <w:rPr>
          <w:bCs/>
          <w:b/>
        </w:rPr>
        <w:t xml:space="preserve">Tatsächliche Aspirationen sind selten.</w:t>
      </w:r>
      <w:r>
        <w:t xml:space="preserve"> </w:t>
      </w:r>
      <w:r>
        <w:t xml:space="preserve">In einer großen US-Datenbankstudie mit 296.389 Paaren von Menschen mit Typ-2-Diabetes traten Atemwegskomplikationen nach Operationen unter GLP-1-Rezeptor-Agonisten sogar seltener auf (0,09 % gegenüber 0,34 %), Aspirationen bei 0,01 % gegenüber 0,03 %. Die Autorinnen und Autoren betonen, dass unklar ist, ob in diesen Fällen bereits Vorsichtsmaßnahmen getroffen wurden</w:t>
      </w:r>
      <w:r>
        <w:rPr>
          <w:rStyle w:val="FootnoteReference"/>
        </w:rPr>
        <w:footnoteReference w:id="2791"/>
      </w:r>
      <w:r>
        <w:t xml:space="preserve">.</w:t>
      </w:r>
    </w:p>
    <w:p>
      <w:pPr>
        <w:pStyle w:val="FirstParagraph"/>
      </w:pPr>
      <w:r>
        <w:t xml:space="preserve">Möglicherweise sind die Aspirationsraten deshalb niedrig, weil Narkoseteams das Risiko kennen und ihr Vorgehen anpassen. Ob ein Pausieren des Medikaments vor einer Magenspiegelung das Problem verringert, soll eine große Studie in China klären</w:t>
      </w:r>
      <w:r>
        <w:rPr>
          <w:rStyle w:val="FootnoteReference"/>
        </w:rPr>
        <w:footnoteReference w:id="2792"/>
      </w:r>
      <w:r>
        <w:t xml:space="preserve">. Für Behandelte heißt das vor allem: Vor jeder Operation, Narkose oder Magenspiegelung angeben, dass man ein GLP-1-Medikament verwendet – auch wenn es aus einer Rezepturapotheke oder dem Graumarkt stammt. Wie mit dem Medikament vor dem Eingriff umzugehen ist, entscheidet das Behandlungsteam nach den jeweils geltenden Empfehlungen. Wer ein Graumarkt-Produkt nicht als Medikament betrachtet und es deshalb nicht erwähnt, nimmt dem Narkoseteam diese Möglichkeit.</w:t>
      </w:r>
    </w:p>
    <w:bookmarkEnd w:id="2793"/>
    <w:bookmarkStart w:id="2796" w:name="X61e694573f8f9e629b0ab36fba03367923b74fe"/>
    <w:p>
      <w:pPr>
        <w:pStyle w:val="Heading3"/>
      </w:pPr>
      <w:r>
        <w:t xml:space="preserve">Kombination mit Diabetesmitteln und Unterzuckerung</w:t>
      </w:r>
    </w:p>
    <w:p>
      <w:pPr>
        <w:pStyle w:val="FirstParagraph"/>
      </w:pPr>
      <w:r>
        <w:t xml:space="preserve">Wie im Kapitel „Nebenwirkungen nach Organsystemen“ beschrieben, verursachen GLP-1-Medikamente allein kaum gefährliche Unterzuckerungen. Das ändert sich in Kombination mit Insulin oder Sulfonylharnstoffen, die den Blutzucker unabhängig vom aktuellen Wert senken. In einer Studie mit Exenatid zusätzlich zu Metformin und einem Sulfonylharnstoff traten leichte bis mittelschwere Unterzuckerungen bei bis zu 28 % auf, unter Placebo bei 13 %; bei niedrig dosiertem Sulfonylharnstoff waren sie seltener</w:t>
      </w:r>
      <w:r>
        <w:rPr>
          <w:rStyle w:val="FootnoteReference"/>
        </w:rPr>
        <w:footnoteReference w:id="2794"/>
      </w:r>
      <w:r>
        <w:t xml:space="preserve">. Bei Pramlintid, das zusammen mit Insulin eingesetzt wird, traten schwere Unterzuckerungen häufiger auf als unter Placebo</w:t>
      </w:r>
      <w:r>
        <w:rPr>
          <w:rStyle w:val="FootnoteReference"/>
        </w:rPr>
        <w:footnoteReference w:id="2795"/>
      </w:r>
      <w:r>
        <w:t xml:space="preserve">. Deshalb sehen die Fachinformationen vor, die Dosis der anderen Diabetesmittel zu Beginn zu überprüfen; die Umsetzung gehört in ärztliche Hände.</w:t>
      </w:r>
    </w:p>
    <w:p>
      <w:pPr>
        <w:pStyle w:val="BodyText"/>
      </w:pPr>
      <w:r>
        <w:t xml:space="preserve">Für mehrere nicht zugelassene Peptide ist eine zusätzliche Blutzuckersenkung theoretisch denkbar, etwa für MOTS-c oder IGF-1 LR3 (Kapitel MOTS-c, IGF-1 LR3). Untersucht ist das nicht. Umgekehrt können die Peptide der Wachstumshormon-Achse den Blutzucker erhöhen und eine bestehende Diabetesbehandlung aus dem Gleichgewicht bringen (Kapitel Ibutamoren, Tesamorelin).</w:t>
      </w:r>
    </w:p>
    <w:bookmarkEnd w:id="2796"/>
    <w:bookmarkStart w:id="2801" w:name="kinder-und-jugendliche-3"/>
    <w:p>
      <w:pPr>
        <w:pStyle w:val="Heading3"/>
      </w:pPr>
      <w:r>
        <w:t xml:space="preserve">Kinder und Jugendliche</w:t>
      </w:r>
    </w:p>
    <w:p>
      <w:pPr>
        <w:pStyle w:val="FirstParagraph"/>
      </w:pPr>
      <w:r>
        <w:t xml:space="preserve">Semaglutid und Liraglutid sind in der EU und den USA auch für Jugendliche ab zwölf Jahren mit Adipositas zugelassen. Die Zulassungsstudien zeigen ein ähnliches Nebenwirkungsprofil wie bei Erwachsenen: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w:t>
            </w:r>
          </w:p>
        </w:tc>
        <w:tc>
          <w:tcPr/>
          <w:p>
            <w:pPr>
              <w:pStyle w:val="Compact"/>
              <w:jc w:val="left"/>
            </w:pPr>
            <w:r>
              <w:t xml:space="preserve">Magen-Darm-Beschwerden</w:t>
            </w:r>
          </w:p>
        </w:tc>
        <w:tc>
          <w:tcPr/>
          <w:p>
            <w:pPr>
              <w:pStyle w:val="Compact"/>
              <w:jc w:val="left"/>
            </w:pPr>
            <w:r>
              <w:t xml:space="preserve">Weitere Befunde</w:t>
            </w:r>
          </w:p>
        </w:tc>
      </w:tr>
      <w:tr>
        <w:tc>
          <w:tcPr/>
          <w:p>
            <w:pPr>
              <w:pStyle w:val="Compact"/>
              <w:jc w:val="left"/>
            </w:pPr>
            <w:r>
              <w:t xml:space="preserve">STEP TEENS (Weghuber 2022), PMID 36322838</w:t>
            </w:r>
          </w:p>
        </w:tc>
        <w:tc>
          <w:tcPr/>
          <w:p>
            <w:pPr>
              <w:pStyle w:val="Compact"/>
              <w:jc w:val="left"/>
            </w:pPr>
            <w:r>
              <w:t xml:space="preserve">201 Jugendliche, Semaglutid, 68 Wochen</w:t>
            </w:r>
          </w:p>
        </w:tc>
        <w:tc>
          <w:tcPr/>
          <w:p>
            <w:pPr>
              <w:pStyle w:val="Compact"/>
              <w:jc w:val="left"/>
            </w:pPr>
            <w:r>
              <w:t xml:space="preserve">62 % vs. 42 %</w:t>
            </w:r>
          </w:p>
        </w:tc>
        <w:tc>
          <w:tcPr/>
          <w:p>
            <w:pPr>
              <w:pStyle w:val="Compact"/>
              <w:jc w:val="left"/>
            </w:pPr>
            <w:r>
              <w:t xml:space="preserve">Gallensteine bei 4 %; schwere Ereignisse 11 % vs. 9 %</w:t>
            </w:r>
          </w:p>
        </w:tc>
      </w:tr>
      <w:tr>
        <w:tc>
          <w:tcPr/>
          <w:p>
            <w:pPr>
              <w:pStyle w:val="Compact"/>
              <w:jc w:val="left"/>
            </w:pPr>
            <w:r>
              <w:t xml:space="preserve">SCALE Teens (Kelly 2020), PMID 32233338</w:t>
            </w:r>
          </w:p>
        </w:tc>
        <w:tc>
          <w:tcPr/>
          <w:p>
            <w:pPr>
              <w:pStyle w:val="Compact"/>
              <w:jc w:val="left"/>
            </w:pPr>
            <w:r>
              <w:t xml:space="preserve">251 Jugendliche, Liraglutid, 56 Wochen</w:t>
            </w:r>
          </w:p>
        </w:tc>
        <w:tc>
          <w:tcPr/>
          <w:p>
            <w:pPr>
              <w:pStyle w:val="Compact"/>
              <w:jc w:val="left"/>
            </w:pPr>
            <w:r>
              <w:t xml:space="preserve">64,8 % vs. 36,5 %</w:t>
            </w:r>
          </w:p>
        </w:tc>
        <w:tc>
          <w:tcPr/>
          <w:p>
            <w:pPr>
              <w:pStyle w:val="Compact"/>
              <w:jc w:val="left"/>
            </w:pPr>
            <w:r>
              <w:t xml:space="preserve">Abbruch wegen Nebenwirkungen 10,4 % vs. 0 %</w:t>
            </w:r>
          </w:p>
        </w:tc>
      </w:tr>
    </w:tbl>
    <w:p>
      <w:pPr>
        <w:pStyle w:val="BodyText"/>
      </w:pPr>
      <w:r>
        <w:t xml:space="preserve">In der Liraglutid-Studie stieg der BMI nach dem Absetzen wieder stärker an als unter Placebo, und es kam zu einem Suizid in der Liraglutid-Gruppe, den die Prüfärzte als wahrscheinlich nicht behandlungsbedingt einstuften</w:t>
      </w:r>
      <w:r>
        <w:rPr>
          <w:rStyle w:val="FootnoteReference"/>
        </w:rPr>
        <w:footnoteReference w:id="2797"/>
      </w:r>
      <w:r>
        <w:t xml:space="preserve">. Eine Meta-Analyse von neun randomisierten und zwei Beobachtungsstudien mit Jugendlichen fand insgesamt keine Zunahme von Suizidverhalten oder Depression</w:t>
      </w:r>
      <w:r>
        <w:rPr>
          <w:rStyle w:val="FootnoteReference"/>
        </w:rPr>
        <w:footnoteReference w:id="2798"/>
      </w:r>
      <w:r>
        <w:t xml:space="preserve">.</w:t>
      </w:r>
    </w:p>
    <w:p>
      <w:pPr>
        <w:pStyle w:val="BodyText"/>
      </w:pPr>
      <w:r>
        <w:t xml:space="preserve">Ein anderes Bild ergeben die Daten der US-Giftinformationszentren. Bei Kindern und Jugendlichen zwischen 6 und 17 Jahren stiegen die gemeldeten Fälle mit GLP-1-Medikamenten zwischen 2017 und 2024 am stärksten. Sie wurden häufiger stationär aufgenommen als Erwachsene (relatives Risiko 2,66), erbrachen häufiger, und ihre Fälle gingen etwa achtmal so häufig auf absichtlichen Fehlgebrauch zurück</w:t>
      </w:r>
      <w:r>
        <w:rPr>
          <w:rStyle w:val="FootnoteReference"/>
        </w:rPr>
        <w:footnoteReference w:id="2799"/>
      </w:r>
      <w:r>
        <w:t xml:space="preserve">. Das spricht dafür, dass Jugendliche diese Medikamente teils außerhalb einer ärztlichen Behandlung verwenden.</w:t>
      </w:r>
    </w:p>
    <w:p>
      <w:pPr>
        <w:pStyle w:val="BodyText"/>
      </w:pPr>
      <w:r>
        <w:t xml:space="preserve">Bei den Peptiden aus dem Fitness- und Bodybuilding-Umfeld ist unklar, wie verbreitet sie bei Jugendlichen sind. Eine Übersicht weist auf Werbung in sozialen Medien und Hinweise auf eine wachsende Nutzung auch durch jüngere Freizeitsportler hin, betont aber, dass Studien zur Häufigkeit fehlen</w:t>
      </w:r>
      <w:r>
        <w:rPr>
          <w:rStyle w:val="FootnoteReference"/>
        </w:rPr>
        <w:footnoteReference w:id="2800"/>
      </w:r>
      <w:r>
        <w:t xml:space="preserve">. Für Jugendliche, deren Wachstum und Hormonsystem noch nicht abgeschlossen sind, ist der Eingriff in die Wachstumshormon- oder Sexualhormon-Achse mit nicht zugelassenen Stoffen besonders riskant. Die zugelassenen Peptide für Kinder – etwa Mecasermin bei schwerem IGF-1-Mangel – werden ausschließlich unter fachärztlicher Kontrolle eingesetzt (Kapitel Mecasermin).</w:t>
      </w:r>
    </w:p>
    <w:bookmarkEnd w:id="2801"/>
    <w:bookmarkStart w:id="2804" w:name="ältere-menschen"/>
    <w:p>
      <w:pPr>
        <w:pStyle w:val="Heading3"/>
      </w:pPr>
      <w:r>
        <w:t xml:space="preserve">Ältere Menschen</w:t>
      </w:r>
    </w:p>
    <w:p>
      <w:pPr>
        <w:pStyle w:val="FirstParagraph"/>
      </w:pPr>
      <w:r>
        <w:t xml:space="preserve">Mit dem Alter steigt das Risiko, dass Nebenwirkungen schwerer verlaufen. Für ältere Menschen sind bei Peptiden vor allem vier Punkte wichtig:</w:t>
      </w:r>
    </w:p>
    <w:p>
      <w:pPr>
        <w:numPr>
          <w:ilvl w:val="0"/>
          <w:numId w:val="1350"/>
        </w:numPr>
        <w:pStyle w:val="Compact"/>
      </w:pPr>
      <w:r>
        <w:rPr>
          <w:bCs/>
          <w:b/>
        </w:rPr>
        <w:t xml:space="preserve">Flüssigkeitsverlust.</w:t>
      </w:r>
      <w:r>
        <w:t xml:space="preserve"> </w:t>
      </w:r>
      <w:r>
        <w:t xml:space="preserve">Erbrechen und Durchfall unter GLP-1-Medikamenten können bei älteren Menschen schneller zu Austrocknung und Nierenproblemen führen.</w:t>
      </w:r>
    </w:p>
    <w:p>
      <w:pPr>
        <w:numPr>
          <w:ilvl w:val="0"/>
          <w:numId w:val="1350"/>
        </w:numPr>
        <w:pStyle w:val="Compact"/>
      </w:pPr>
      <w:r>
        <w:rPr>
          <w:bCs/>
          <w:b/>
        </w:rPr>
        <w:t xml:space="preserve">Muskelmasse.</w:t>
      </w:r>
      <w:r>
        <w:t xml:space="preserve"> </w:t>
      </w:r>
      <w:r>
        <w:t xml:space="preserve">Wer ohnehin wenig Muskeln hat, verträgt deren weiteren Verlust schlecht (siehe den folgenden Abschnitt).</w:t>
      </w:r>
    </w:p>
    <w:p>
      <w:pPr>
        <w:numPr>
          <w:ilvl w:val="0"/>
          <w:numId w:val="1350"/>
        </w:numPr>
        <w:pStyle w:val="Compact"/>
      </w:pPr>
      <w:r>
        <w:rPr>
          <w:bCs/>
          <w:b/>
        </w:rPr>
        <w:t xml:space="preserve">Wassereinlagerung und Herz.</w:t>
      </w:r>
      <w:r>
        <w:t xml:space="preserve"> </w:t>
      </w:r>
      <w:r>
        <w:t xml:space="preserve">Wachstumshormon führte bei gesunden älteren Menschen häufiger zu Gewebeschwellungen, Gelenkschmerzen und Karpaltunnelsyndrom</w:t>
      </w:r>
      <w:r>
        <w:rPr>
          <w:rStyle w:val="FootnoteReference"/>
        </w:rPr>
        <w:footnoteReference w:id="2802"/>
      </w:r>
      <w:r>
        <w:t xml:space="preserve">. Eine Studie mit Ibutamoren bei älteren Menschen nach Hüftbruch wurde wegen eines Signals für Herzschwäche abgebrochen</w:t>
      </w:r>
      <w:r>
        <w:rPr>
          <w:rStyle w:val="FootnoteReference"/>
        </w:rPr>
        <w:footnoteReference w:id="2803"/>
      </w:r>
      <w:r>
        <w:t xml:space="preserve">. Gerade die Peptide, die als „Anti-Aging“-Mittel beworben werden, sind für ältere Herzen also eher belastend.</w:t>
      </w:r>
    </w:p>
    <w:p>
      <w:pPr>
        <w:numPr>
          <w:ilvl w:val="0"/>
          <w:numId w:val="1350"/>
        </w:numPr>
        <w:pStyle w:val="Compact"/>
      </w:pPr>
      <w:r>
        <w:rPr>
          <w:bCs/>
          <w:b/>
        </w:rPr>
        <w:t xml:space="preserve">Mehrere Medikamente.</w:t>
      </w:r>
      <w:r>
        <w:t xml:space="preserve"> </w:t>
      </w:r>
      <w:r>
        <w:t xml:space="preserve">Ältere Menschen nehmen häufig viele Medikamente gleichzeitig ein. Die verzögerte Magenentleerung kann deren Aufnahme verändern, und Kombinationen mit blutzuckersenkenden Mitteln erhöhen das Risiko für Unterzuckerung und Stürze.</w:t>
      </w:r>
    </w:p>
    <w:bookmarkEnd w:id="2804"/>
    <w:bookmarkStart w:id="2809" w:name="X69f3f6286930a6210de5a88ac13d34d472b3ec4"/>
    <w:p>
      <w:pPr>
        <w:pStyle w:val="Heading3"/>
      </w:pPr>
      <w:r>
        <w:t xml:space="preserve">Muskelverlust bei starker Gewichtsabnahme</w:t>
      </w:r>
    </w:p>
    <w:p>
      <w:pPr>
        <w:pStyle w:val="FirstParagraph"/>
      </w:pPr>
      <w:r>
        <w:t xml:space="preserve">Bei jeder Gewichtsabnahme geht neben Fett auch fettfreie Masse verloren, zu der Muskeln, Organe und Wasser zählen. Bei den stark wirksamen GLP-1-Medikamenten ist die Frage, ob dieser Anteil ungewöhnlich hoch ist und ob er schadet.</w:t>
      </w:r>
    </w:p>
    <w:p>
      <w:pPr>
        <w:numPr>
          <w:ilvl w:val="0"/>
          <w:numId w:val="1351"/>
        </w:numPr>
        <w:pStyle w:val="Compact"/>
      </w:pPr>
      <w:r>
        <w:t xml:space="preserve">In einer Teilstudie von SURMOUNT-1 mit 160 Teilnehmenden bestand das abgenommene Gewicht unter Tirzepatid zu etwa 75 % aus Fett und zu 25 % aus fettfreier Masse – im selben Verhältnis wie unter Placebo, nur bei deutlich größerer Gesamtabnahme. Diese Anteile blieben in den meisten Untergruppen, auch nach Alter getrennt, ähnlich</w:t>
      </w:r>
      <w:r>
        <w:rPr>
          <w:rStyle w:val="FootnoteReference"/>
        </w:rPr>
        <w:footnoteReference w:id="2805"/>
      </w:r>
      <w:r>
        <w:t xml:space="preserve">.</w:t>
      </w:r>
    </w:p>
    <w:p>
      <w:pPr>
        <w:numPr>
          <w:ilvl w:val="0"/>
          <w:numId w:val="1351"/>
        </w:numPr>
        <w:pStyle w:val="Compact"/>
      </w:pPr>
      <w:r>
        <w:t xml:space="preserve">Eine Netzwerk-Meta-Analyse von 22 Studien fand ebenfalls, dass rund 25 % der Gewichtsabnahme auf fettfreie Masse entfielen. Semaglutid und Tirzepatid führten zum stärksten Gewichtsverlust, gehörten aber auch zu den Wirkstoffen, unter denen am meisten fettfreie Masse verloren ging</w:t>
      </w:r>
      <w:r>
        <w:rPr>
          <w:rStyle w:val="FootnoteReference"/>
        </w:rPr>
        <w:footnoteReference w:id="2806"/>
      </w:r>
      <w:r>
        <w:t xml:space="preserve">.</w:t>
      </w:r>
    </w:p>
    <w:p>
      <w:pPr>
        <w:numPr>
          <w:ilvl w:val="0"/>
          <w:numId w:val="1351"/>
        </w:numPr>
        <w:pStyle w:val="Compact"/>
      </w:pPr>
      <w:r>
        <w:t xml:space="preserve">Eine systematische Übersicht über 35 Studien kam auf einen etwas höheren Anteil: Im Median entfielen 28,3 % der Gewichtsabnahme auf muskelbezogene Messgrößen, und in 65 % der Studien lag der Anteil über einem Richtwert von etwa 25 %. Keine einzige Studie hatte die körperliche Leistungsfähigkeit objektiv gemessen</w:t>
      </w:r>
      <w:r>
        <w:rPr>
          <w:rStyle w:val="FootnoteReference"/>
        </w:rPr>
        <w:footnoteReference w:id="2807"/>
      </w:r>
      <w:r>
        <w:t xml:space="preserve">.</w:t>
      </w:r>
    </w:p>
    <w:p>
      <w:pPr>
        <w:numPr>
          <w:ilvl w:val="0"/>
          <w:numId w:val="1351"/>
        </w:numPr>
        <w:pStyle w:val="Compact"/>
      </w:pPr>
      <w:r>
        <w:t xml:space="preserve">Eine weitere Meta-Analyse betont die andere Seite: Weil Fett stärker abnimmt als Muskeln, stieg der</w:t>
      </w:r>
      <w:r>
        <w:t xml:space="preserve"> </w:t>
      </w:r>
      <w:r>
        <w:rPr>
          <w:iCs/>
          <w:i/>
        </w:rPr>
        <w:t xml:space="preserve">Anteil</w:t>
      </w:r>
      <w:r>
        <w:t xml:space="preserve"> </w:t>
      </w:r>
      <w:r>
        <w:t xml:space="preserve">der fettfreien Masse am Körpergewicht um 1,81 Prozentpunkte. Die Autorinnen und Autoren empfehlen, die Behandlung mit Ernährungs- und Bewegungsprogrammen zu begleiten</w:t>
      </w:r>
      <w:r>
        <w:rPr>
          <w:rStyle w:val="FootnoteReference"/>
        </w:rPr>
        <w:footnoteReference w:id="2808"/>
      </w:r>
      <w:r>
        <w:t xml:space="preserve">.</w:t>
      </w:r>
    </w:p>
    <w:p>
      <w:pPr>
        <w:pStyle w:val="FirstParagraph"/>
      </w:pPr>
      <w:r>
        <w:t xml:space="preserve">Zusammengefasst: Der Muskelverlust unter GLP-1-Medikamenten scheint im Verhältnis zur Gesamtabnahme nicht wesentlich größer zu sein als bei anderen Formen der Gewichtsreduktion – in absoluten Kilogramm ist er wegen der großen Abnahme aber erheblich. Ob das Folgen für Kraft, Stürze oder Selbstständigkeit hat, ist nicht untersucht. Für ältere Menschen, Menschen mit wenig Muskelmasse und Menschen mit Gebrechlichkeit ist das eine offene Frage. Ob Cagrilintid-Kombinationen den Muskelverlust beeinflussen, wird derzeit untersucht (Kapitel Cagrilintid).</w:t>
      </w:r>
    </w:p>
    <w:bookmarkEnd w:id="2809"/>
    <w:bookmarkStart w:id="2814" w:name="essstörungen"/>
    <w:p>
      <w:pPr>
        <w:pStyle w:val="Heading3"/>
      </w:pPr>
      <w:r>
        <w:t xml:space="preserve">Essstörungen</w:t>
      </w:r>
    </w:p>
    <w:p>
      <w:pPr>
        <w:pStyle w:val="FirstParagraph"/>
      </w:pPr>
      <w:r>
        <w:t xml:space="preserve">GLP-1-Medikamente dämpfen Appetit und Hungergefühl. Für Menschen mit Magersucht (Anorexia nervosa) oder Bulimie kann gerade diese Wirkung gefährlich sein: Sie kann restriktives Essverhalten verstärken und eine Erkrankung verschlimmern. Ein Fallbericht beschreibt den Missbrauch von Semaglutid bei einer atypischen Anorexie</w:t>
      </w:r>
      <w:r>
        <w:rPr>
          <w:rStyle w:val="FootnoteReference"/>
        </w:rPr>
        <w:footnoteReference w:id="2810"/>
      </w:r>
      <w:r>
        <w:t xml:space="preserve">, und eine US-Querschnittsstudie untersuchte, wie verbreitet Gebrauch und Missbrauch von GLP-1-Medikamenten unter Menschen mit Essstörungen sind</w:t>
      </w:r>
      <w:r>
        <w:rPr>
          <w:rStyle w:val="FootnoteReference"/>
        </w:rPr>
        <w:footnoteReference w:id="2811"/>
      </w:r>
      <w:r>
        <w:t xml:space="preserve">.</w:t>
      </w:r>
    </w:p>
    <w:p>
      <w:pPr>
        <w:pStyle w:val="BodyText"/>
      </w:pPr>
      <w:r>
        <w:t xml:space="preserve">Ein Gremium aus 45 Fachleuten und Betroffenen hat 2026 im Konsensverfahren Empfehlungen erarbeitet. Danach sollte vor Beginn einer GLP-1-Behandlung mit einem kurzen, geprüften Fragebogen nach aktuellen und früheren Essstörungen gefragt werden, Symptome sollten im Verlauf beobachtet werden, und bei aktiver Anorexie, atypischer Anorexie oder Bulimie mit starkem Einschränken des Essens sollten diese Medikamente in der Regel nicht eingesetzt werden. Auch bei früheren Essstörungen sei Vorsicht geboten</w:t>
      </w:r>
      <w:r>
        <w:rPr>
          <w:rStyle w:val="FootnoteReference"/>
        </w:rPr>
        <w:footnoteReference w:id="2812"/>
      </w:r>
      <w:r>
        <w:t xml:space="preserve">.</w:t>
      </w:r>
    </w:p>
    <w:p>
      <w:pPr>
        <w:pStyle w:val="BodyText"/>
      </w:pPr>
      <w:r>
        <w:t xml:space="preserve">Für die Binge-Eating-Störung, bei der Essanfälle ohne Gegenmaßnahmen auftreten, gibt es dagegen erste Hinweise, dass GLP-1-Medikamente Essanfälle verringern könnten</w:t>
      </w:r>
      <w:r>
        <w:rPr>
          <w:rStyle w:val="FootnoteReference"/>
        </w:rPr>
        <w:footnoteReference w:id="2813"/>
      </w:r>
      <w:r>
        <w:t xml:space="preserve">. Das zeigt, wie wichtig eine genaue Diagnose ist. Über den Graumarkt und über Online-Anbieter mit wenig ärztlicher Begleitung entfällt genau dieses Nachfragen.</w:t>
      </w:r>
    </w:p>
    <w:bookmarkEnd w:id="2814"/>
    <w:bookmarkStart w:id="2820" w:name="leistungssport-und-dopingkontrollen"/>
    <w:p>
      <w:pPr>
        <w:pStyle w:val="Heading3"/>
      </w:pPr>
      <w:r>
        <w:t xml:space="preserve">Leistungssport und Dopingkontrollen</w:t>
      </w:r>
    </w:p>
    <w:p>
      <w:pPr>
        <w:pStyle w:val="FirstParagraph"/>
      </w:pPr>
      <w:r>
        <w:t xml:space="preserve">Für Sportlerinnen und Sportler, die Dopingkontrollen unterliegen, ist die Lage bei Peptiden besonders heikel. Nach der Verbotsliste der Welt-Anti-Doping-Agentur (WADA) gilt grob:</w:t>
      </w:r>
    </w:p>
    <w:p>
      <w:pPr>
        <w:numPr>
          <w:ilvl w:val="0"/>
          <w:numId w:val="1352"/>
        </w:numPr>
        <w:pStyle w:val="Compact"/>
      </w:pPr>
      <w:r>
        <w:rPr>
          <w:bCs/>
          <w:b/>
        </w:rPr>
        <w:t xml:space="preserve">Verboten (S2, Peptidhormone und Wachstumsfaktoren):</w:t>
      </w:r>
      <w:r>
        <w:t xml:space="preserve"> </w:t>
      </w:r>
      <w:r>
        <w:t xml:space="preserve">alle Wachstumshormon-Freisetzer und IGF-1-Abwandlungen, Thymosin Beta-4 und TB-500, ARA-290, bei Männern Gonadorelin und LH-Freisetzer wie Kisspeptin.</w:t>
      </w:r>
    </w:p>
    <w:p>
      <w:pPr>
        <w:numPr>
          <w:ilvl w:val="0"/>
          <w:numId w:val="1352"/>
        </w:numPr>
        <w:pStyle w:val="Compact"/>
      </w:pPr>
      <w:r>
        <w:rPr>
          <w:bCs/>
          <w:b/>
        </w:rPr>
        <w:t xml:space="preserve">Verboten (S0, nicht zugelassene Substanzen):</w:t>
      </w:r>
      <w:r>
        <w:t xml:space="preserve"> </w:t>
      </w:r>
      <w:r>
        <w:t xml:space="preserve">Stoffe ohne Zulassung als Humanarzneimittel, etwa BPC-157, Melanotan II und die noch in Studien befindlichen GLP-1-Mehrfach-Agonisten wie Retatrutid.</w:t>
      </w:r>
    </w:p>
    <w:p>
      <w:pPr>
        <w:numPr>
          <w:ilvl w:val="0"/>
          <w:numId w:val="1352"/>
        </w:numPr>
        <w:pStyle w:val="Compact"/>
      </w:pPr>
      <w:r>
        <w:rPr>
          <w:bCs/>
          <w:b/>
        </w:rPr>
        <w:t xml:space="preserve">Verboten (S4):</w:t>
      </w:r>
      <w:r>
        <w:t xml:space="preserve"> </w:t>
      </w:r>
      <w:r>
        <w:t xml:space="preserve">MOTS-c als Aktivator des Enzyms AMPK.</w:t>
      </w:r>
    </w:p>
    <w:p>
      <w:pPr>
        <w:numPr>
          <w:ilvl w:val="0"/>
          <w:numId w:val="1352"/>
        </w:numPr>
        <w:pStyle w:val="Compact"/>
      </w:pPr>
      <w:r>
        <w:rPr>
          <w:bCs/>
          <w:b/>
        </w:rPr>
        <w:t xml:space="preserve">Nicht verboten:</w:t>
      </w:r>
      <w:r>
        <w:t xml:space="preserve"> </w:t>
      </w:r>
      <w:r>
        <w:t xml:space="preserve">die zugelassenen GLP-1-Medikamente. Semaglutid und Tirzepatid wurden aber in das Überwachungsprogramm der WADA aufgenommen, um einen möglichen Missbrauch zu erfassen; Labore haben bereits Nachweisverfahren für Blut und getrocknete Blutstropfen entwickelt</w:t>
      </w:r>
      <w:r>
        <w:rPr>
          <w:rStyle w:val="FootnoteReference"/>
        </w:rPr>
        <w:footnoteReference w:id="2815"/>
      </w:r>
      <w:r>
        <w:t xml:space="preserve">.</w:t>
      </w:r>
    </w:p>
    <w:p>
      <w:pPr>
        <w:pStyle w:val="FirstParagraph"/>
      </w:pPr>
      <w:r>
        <w:t xml:space="preserve">Die Einzelheiten stehen in den jeweiligen Kapiteln. Drei Punkte sind über alle Peptide hinweg wichtig.</w:t>
      </w:r>
    </w:p>
    <w:p>
      <w:pPr>
        <w:pStyle w:val="BodyText"/>
      </w:pPr>
      <w:r>
        <w:rPr>
          <w:bCs/>
          <w:b/>
        </w:rPr>
        <w:t xml:space="preserve">Verunreinigte Produkte.</w:t>
      </w:r>
      <w:r>
        <w:t xml:space="preserve"> </w:t>
      </w:r>
      <w:r>
        <w:t xml:space="preserve">Ein Sportler ist für jede verbotene Substanz in seinem Körper verantwortlich – auch wenn sie aus einem falsch deklarierten Produkt stammt. Die Laboranalysen im Kapitel „Graumarkt-Produkte“ zeigen, dass Graumarkt-Ware häufig andere oder zusätzliche Stoffe enthält und dass verbotene Wirkstoffe auch in Produkten auftauchen, die als Nahrungsergänzungsmittel aufgemacht sind</w:t>
      </w:r>
      <w:r>
        <w:rPr>
          <w:rStyle w:val="FootnoteReference"/>
        </w:rPr>
        <w:footnoteReference w:id="2816"/>
      </w:r>
      <w:r>
        <w:t xml:space="preserve">.</w:t>
      </w:r>
    </w:p>
    <w:p>
      <w:pPr>
        <w:pStyle w:val="BodyText"/>
      </w:pPr>
      <w:r>
        <w:rPr>
          <w:bCs/>
          <w:b/>
        </w:rPr>
        <w:t xml:space="preserve">Designer-Varianten.</w:t>
      </w:r>
      <w:r>
        <w:t xml:space="preserve"> </w:t>
      </w:r>
      <w:r>
        <w:t xml:space="preserve">Abgewandelte Peptide wie Gly-GHRP-2 oder Gly-Ipamorelin sollen vermutlich Tests umgehen</w:t>
      </w:r>
      <w:r>
        <w:rPr>
          <w:rStyle w:val="FootnoteReference"/>
        </w:rPr>
        <w:footnoteReference w:id="2817"/>
      </w:r>
      <w:r>
        <w:t xml:space="preserve">. Ihre Wirkung und Sicherheit sind völlig unbekannt. Die Erfahrung zeigt, dass Anti-Doping-Labore ihre Verfahren nachziehen; Proben werden zudem langfristig gelagert und können später erneut untersucht werden.</w:t>
      </w:r>
    </w:p>
    <w:p>
      <w:pPr>
        <w:pStyle w:val="BodyText"/>
      </w:pPr>
      <w:r>
        <w:rPr>
          <w:bCs/>
          <w:b/>
        </w:rPr>
        <w:t xml:space="preserve">Fraglicher Nutzen.</w:t>
      </w:r>
      <w:r>
        <w:t xml:space="preserve"> </w:t>
      </w:r>
      <w:r>
        <w:t xml:space="preserve">Eine Übersicht über Inkretin-Medikamente im Sport kommt zu dem Schluss, dass klinische Studien keine einheitliche Verbesserung der körperlichen Leistung beim Menschen zeigen und dass 20 bis 30 % des Gewichtsverlusts auf fettfreie Masse entfallen</w:t>
      </w:r>
      <w:r>
        <w:rPr>
          <w:rStyle w:val="FootnoteReference"/>
        </w:rPr>
        <w:footnoteReference w:id="2818"/>
      </w:r>
      <w:r>
        <w:t xml:space="preserve">. Für die regenerativen Peptide und die Wachstumshormon-Freisetzer kommt eine sportmedizinische Übersicht zu dem Ergebnis, dass sie experimentell bleiben, mit unsicherem Sicherheitsprofil, fraglicher Produktqualität und weitreichenden Dopingverboten</w:t>
      </w:r>
      <w:r>
        <w:rPr>
          <w:rStyle w:val="FootnoteReference"/>
        </w:rPr>
        <w:footnoteReference w:id="2819"/>
      </w:r>
      <w:r>
        <w:t xml:space="preserve">.</w:t>
      </w:r>
    </w:p>
    <w:bookmarkEnd w:id="2820"/>
    <w:bookmarkStart w:id="2821" w:name="das-wichtigste-in-kürze-7"/>
    <w:p>
      <w:pPr>
        <w:pStyle w:val="Heading3"/>
      </w:pPr>
      <w:r>
        <w:t xml:space="preserve">Das Wichtigste in Kürze</w:t>
      </w:r>
    </w:p>
    <w:p>
      <w:pPr>
        <w:numPr>
          <w:ilvl w:val="0"/>
          <w:numId w:val="1353"/>
        </w:numPr>
        <w:pStyle w:val="Compact"/>
      </w:pPr>
      <w:r>
        <w:t xml:space="preserve">In der Schwangerschaft sind fast alle Peptide nicht untersucht oder nicht angezeigt. Für eine versehentliche Exposition mit GLP-1-Medikamenten sind die Daten überwiegend beruhigend, aber unsicher.</w:t>
      </w:r>
    </w:p>
    <w:p>
      <w:pPr>
        <w:numPr>
          <w:ilvl w:val="0"/>
          <w:numId w:val="1353"/>
        </w:numPr>
        <w:pStyle w:val="Compact"/>
      </w:pPr>
      <w:r>
        <w:t xml:space="preserve">Tirzepatid kann die Aufnahme der Pille verringern; bei Semaglutid fand sich das nicht. Erbrechen und Durchfall beeinträchtigen jede Tabletteneinnahme.</w:t>
      </w:r>
    </w:p>
    <w:p>
      <w:pPr>
        <w:numPr>
          <w:ilvl w:val="0"/>
          <w:numId w:val="1353"/>
        </w:numPr>
        <w:pStyle w:val="Compact"/>
      </w:pPr>
      <w:r>
        <w:t xml:space="preserve">Unter GLP-1-Medikamenten bleibt der Magen häufiger gefüllt. Vor Narkosen und Magenspiegelungen muss das Behandlungsteam davon wissen.</w:t>
      </w:r>
    </w:p>
    <w:p>
      <w:pPr>
        <w:numPr>
          <w:ilvl w:val="0"/>
          <w:numId w:val="1353"/>
        </w:numPr>
        <w:pStyle w:val="Compact"/>
      </w:pPr>
      <w:r>
        <w:t xml:space="preserve">In Kombination mit Insulin oder Sulfonylharnstoffen steigt das Unterzuckerungsrisiko.</w:t>
      </w:r>
    </w:p>
    <w:p>
      <w:pPr>
        <w:numPr>
          <w:ilvl w:val="0"/>
          <w:numId w:val="1353"/>
        </w:numPr>
        <w:pStyle w:val="Compact"/>
      </w:pPr>
      <w:r>
        <w:t xml:space="preserve">Jugendliche fallen in Giftnotruf-Daten durch absichtlichen Fehlgebrauch auf; bei Essstörungen sollten GLP-1-Medikamente in der Regel nicht eingesetzt werden.</w:t>
      </w:r>
    </w:p>
    <w:p>
      <w:pPr>
        <w:numPr>
          <w:ilvl w:val="0"/>
          <w:numId w:val="1353"/>
        </w:numPr>
        <w:pStyle w:val="Compact"/>
      </w:pPr>
      <w:r>
        <w:t xml:space="preserve">Rund ein Viertel der Gewichtsabnahme unter GLP-1-Medikamenten entfällt auf fettfreie Masse; ob das funktionelle Folgen hat, ist offen.</w:t>
      </w:r>
    </w:p>
    <w:p>
      <w:pPr>
        <w:numPr>
          <w:ilvl w:val="0"/>
          <w:numId w:val="1353"/>
        </w:numPr>
        <w:pStyle w:val="Compact"/>
      </w:pPr>
      <w:r>
        <w:t xml:space="preserve">Für Sportlerinnen und Sportler sind die meisten Peptide verboten, und Graumarkt-Produkte bergen zusätzlich das Risiko nicht deklarierter Dopingmittel.</w:t>
      </w:r>
    </w:p>
    <w:bookmarkEnd w:id="2821"/>
    <w:bookmarkEnd w:id="2822"/>
    <w:bookmarkEnd w:id="2823"/>
    <w:bookmarkStart w:id="2975" w:name="teil-v-zukunft"/>
    <w:p>
      <w:pPr>
        <w:pStyle w:val="Heading1"/>
      </w:pPr>
      <w:r>
        <w:t xml:space="preserve">Teil V – Zukunft</w:t>
      </w:r>
    </w:p>
    <w:p>
      <w:pPr>
        <w:pStyle w:val="FirstParagraph"/>
      </w:pPr>
      <w:r>
        <w:t xml:space="preserve">Die vorangegangenen Teile haben beschrieben, was über Peptide heute bekannt ist. Dieser letzte Teil blickt nach vorn: Welche Wirkstoffe stecken in den großen Studien, die in den nächsten Jahren enden? Werden Spritzen durch Tabletten abgelöst? Was bedeuten auslaufende Patente für Preise und Versorgung? Und welche Entwicklungen sind bis 2035 zu erwarten?</w:t>
      </w:r>
    </w:p>
    <w:p>
      <w:pPr>
        <w:pStyle w:val="BodyText"/>
      </w:pPr>
      <w:r>
        <w:t xml:space="preserve">Zukunftsaussagen sind in diesem Buch streng getrennt.</w:t>
      </w:r>
      <w:r>
        <w:t xml:space="preserve"> </w:t>
      </w:r>
      <w:r>
        <w:rPr>
          <w:bCs/>
          <w:b/>
        </w:rPr>
        <w:t xml:space="preserve">Gesichert</w:t>
      </w:r>
      <w:r>
        <w:t xml:space="preserve"> </w:t>
      </w:r>
      <w:r>
        <w:t xml:space="preserve">ist, was in einem Studienregister eingetragen, in einer begutachteten Studie veröffentlicht oder von Behörden beschlossen ist. Auch das ist nur eine Momentaufnahme: Studien werden verlängert, verkleinert oder abgebrochen, geplante Enddaten verschieben sich oft um Jahre. Alles andere ist</w:t>
      </w:r>
      <w:r>
        <w:t xml:space="preserve"> </w:t>
      </w:r>
      <w:r>
        <w:rPr>
          <w:bCs/>
          <w:b/>
        </w:rPr>
        <w:t xml:space="preserve">Einschätzung des Autors</w:t>
      </w:r>
      <w:r>
        <w:t xml:space="preserve"> </w:t>
      </w:r>
      <w:r>
        <w:t xml:space="preserve">und wird ausdrücklich so bezeichnet. Die Recherche gibt den Stand von Oktober 2026 wieder.</w:t>
      </w:r>
    </w:p>
    <w:bookmarkStart w:id="2865" w:name="die-pipeline-was-in-phase-2-und-3-ist"/>
    <w:p>
      <w:pPr>
        <w:pStyle w:val="Heading2"/>
      </w:pPr>
      <w:r>
        <w:t xml:space="preserve">Die Pipeline: was in Phase 2 und 3 ist</w:t>
      </w:r>
    </w:p>
    <w:p>
      <w:pPr>
        <w:pStyle w:val="FirstParagraph"/>
      </w:pPr>
      <w:r>
        <w:t xml:space="preserve">Als „Pipeline“ bezeichnet die Pharmaindustrie die Gesamtheit der Wirkstoffe, die sich in Entwicklung befinden. Die Stufen sind in Teil I erklärt: In</w:t>
      </w:r>
      <w:r>
        <w:t xml:space="preserve"> </w:t>
      </w:r>
      <w:r>
        <w:rPr>
          <w:bCs/>
          <w:b/>
        </w:rPr>
        <w:t xml:space="preserve">Phase 1</w:t>
      </w:r>
      <w:r>
        <w:t xml:space="preserve"> </w:t>
      </w:r>
      <w:r>
        <w:t xml:space="preserve">wird ein Wirkstoff meist an wenigen Gesunden auf Verträglichkeit geprüft, in</w:t>
      </w:r>
      <w:r>
        <w:t xml:space="preserve"> </w:t>
      </w:r>
      <w:r>
        <w:rPr>
          <w:bCs/>
          <w:b/>
        </w:rPr>
        <w:t xml:space="preserve">Phase 2</w:t>
      </w:r>
      <w:r>
        <w:t xml:space="preserve"> </w:t>
      </w:r>
      <w:r>
        <w:t xml:space="preserve">an einigen Hundert Erkrankten auf Wirksamkeit und passende Dosis, in</w:t>
      </w:r>
      <w:r>
        <w:t xml:space="preserve"> </w:t>
      </w:r>
      <w:r>
        <w:rPr>
          <w:bCs/>
          <w:b/>
        </w:rPr>
        <w:t xml:space="preserve">Phase 3</w:t>
      </w:r>
      <w:r>
        <w:t xml:space="preserve"> </w:t>
      </w:r>
      <w:r>
        <w:t xml:space="preserve">an Tausenden für die Zulassung.</w:t>
      </w:r>
      <w:r>
        <w:t xml:space="preserve"> </w:t>
      </w:r>
      <w:r>
        <w:rPr>
          <w:bCs/>
          <w:b/>
        </w:rPr>
        <w:t xml:space="preserve">Phase 4</w:t>
      </w:r>
      <w:r>
        <w:t xml:space="preserve"> </w:t>
      </w:r>
      <w:r>
        <w:t xml:space="preserve">bezeichnet Studien mit bereits zugelassenen Medikamenten. Wer wissen will, was in den nächsten fünf Jahren auf den Markt kommen könnte, muss vor allem auf Phase 3 schauen.</w:t>
      </w:r>
    </w:p>
    <w:bookmarkStart w:id="2826" w:name="wie-die-auswertung-gemacht-wurde"/>
    <w:p>
      <w:pPr>
        <w:pStyle w:val="Heading3"/>
      </w:pPr>
      <w:r>
        <w:t xml:space="preserve">Wie die Auswertung gemacht wurde</w:t>
      </w:r>
    </w:p>
    <w:p>
      <w:pPr>
        <w:pStyle w:val="FirstParagraph"/>
      </w:pPr>
      <w:r>
        <w:t xml:space="preserve">Grundlage sind die Registerlisten von ClinicalTrials.gov, die für die 58 Wirkstoffe dieses Buches im Oktober 2026 abgefragt wurden (siehe Methodik im Anhang). Ein kleines Auswertungsprogramm hat daraus alle Einträge herausgefiltert, die</w:t>
      </w:r>
    </w:p>
    <w:p>
      <w:pPr>
        <w:numPr>
          <w:ilvl w:val="0"/>
          <w:numId w:val="1354"/>
        </w:numPr>
        <w:pStyle w:val="Compact"/>
      </w:pPr>
      <w:r>
        <w:t xml:space="preserve">eine</w:t>
      </w:r>
      <w:r>
        <w:t xml:space="preserve"> </w:t>
      </w:r>
      <w:r>
        <w:rPr>
          <w:bCs/>
          <w:b/>
        </w:rPr>
        <w:t xml:space="preserve">interventionelle</w:t>
      </w:r>
      <w:r>
        <w:t xml:space="preserve"> </w:t>
      </w:r>
      <w:r>
        <w:t xml:space="preserve">Studie beschreiben, also eine Studie, in der ein Wirkstoff gezielt gegeben wird (keine reine Beobachtung), und</w:t>
      </w:r>
    </w:p>
    <w:p>
      <w:pPr>
        <w:numPr>
          <w:ilvl w:val="0"/>
          <w:numId w:val="1354"/>
        </w:numPr>
        <w:pStyle w:val="Compact"/>
      </w:pPr>
      <w:r>
        <w:t xml:space="preserve">als</w:t>
      </w:r>
      <w:r>
        <w:t xml:space="preserve"> </w:t>
      </w:r>
      <w:r>
        <w:rPr>
          <w:bCs/>
          <w:b/>
        </w:rPr>
        <w:t xml:space="preserve">laufend</w:t>
      </w:r>
      <w:r>
        <w:t xml:space="preserve"> </w:t>
      </w:r>
      <w:r>
        <w:t xml:space="preserve">gekennzeichnet sind: rekrutierend, aktiv ohne weitere Rekrutierung, noch nicht rekrutierend oder Teilnahme nur auf Einladung.</w:t>
      </w:r>
    </w:p>
    <w:p>
      <w:pPr>
        <w:pStyle w:val="FirstParagraph"/>
      </w:pPr>
      <w:r>
        <w:t xml:space="preserve">Studien, die unter mehreren Wirkstoffen auftauchen – etwa ein Vergleich von Retatrutid mit Tirzepatid –, wurden nur einmal gezählt.</w:t>
      </w:r>
    </w:p>
    <w:p>
      <w:pPr>
        <w:pStyle w:val="BodyText"/>
      </w:pPr>
      <w:r>
        <w:rPr>
          <w:bCs/>
          <w:b/>
        </w:rPr>
        <w:t xml:space="preserve">Was ausgeschlossen wurde – und warum:</w:t>
      </w:r>
    </w:p>
    <w:p>
      <w:pPr>
        <w:numPr>
          <w:ilvl w:val="0"/>
          <w:numId w:val="1355"/>
        </w:numPr>
        <w:pStyle w:val="Compact"/>
      </w:pPr>
      <w:r>
        <w:rPr>
          <w:bCs/>
          <w:b/>
        </w:rPr>
        <w:t xml:space="preserve">Acht Einträge des Sponsors „Hudson Biotech“</w:t>
      </w:r>
      <w:r>
        <w:t xml:space="preserve"> </w:t>
      </w:r>
      <w:r>
        <w:t xml:space="preserve">(je einer zu BPC-157, GHK-Cu, Melanotan II, MOTS-c, Retatrutid, TB-500, Tesamorelin und Tirzepatid). Ein Eintrag dieses Sponsors bezeichnet sich in seiner eigenen Beschreibung als fiktives Beispiel (siehe Kapitel BPC-157 und TB-500). Keiner dieser Einträge wird in diesem Buch als echte Studie gewertet.</w:t>
      </w:r>
    </w:p>
    <w:p>
      <w:pPr>
        <w:numPr>
          <w:ilvl w:val="0"/>
          <w:numId w:val="1355"/>
        </w:numPr>
        <w:pStyle w:val="Compact"/>
      </w:pPr>
      <w:r>
        <w:rPr>
          <w:bCs/>
          <w:b/>
        </w:rPr>
        <w:t xml:space="preserve">Alle 1.000 Treffer zum Suchbegriff „Gonadorelin“.</w:t>
      </w:r>
      <w:r>
        <w:t xml:space="preserve"> </w:t>
      </w:r>
      <w:r>
        <w:t xml:space="preserve">Sie betreffen ganz überwiegend synthetische Abwandlungen des Hormons GnRH (etwa Leuprorelin oder Triptorelin) in der Behandlung von Prostata- und Brustkrebs oder in der Kinderwunschmedizin – also andere Arzneimittel. Die wenigen Einträge zu natürlichem GnRH sind im Kapitel Gonadorelin besprochen; keiner davon ist eine laufende Phase-3-Studie.</w:t>
      </w:r>
    </w:p>
    <w:p>
      <w:pPr>
        <w:pStyle w:val="FirstParagraph"/>
      </w:pPr>
      <w:r>
        <w:rPr>
          <w:bCs/>
          <w:b/>
        </w:rPr>
        <w:t xml:space="preserve">Was nicht ausgeschlossen, aber geprüft wurde:</w:t>
      </w:r>
      <w:r>
        <w:t xml:space="preserve"> </w:t>
      </w:r>
      <w:r>
        <w:t xml:space="preserve">Bei Glutathion, Kollagen und Carnosin sind die Suchbegriffe so allgemein, dass viele Treffer den Stoff nur als Bestandteil einer Mischung, als Vergleich oder als Messgröße nennen. So erscheint unter Glutathion eine große Dengue-Studie, weil darin N-Acetylcystein – eine Vorstufe von Glutathion – geprüft wird</w:t>
      </w:r>
      <w:r>
        <w:rPr>
          <w:rStyle w:val="FootnoteReference"/>
        </w:rPr>
        <w:footnoteReference w:id="2824"/>
      </w:r>
      <w:r>
        <w:t xml:space="preserve">. Unter Larazotid tauchen zwei Studien zu einem ganz anderen Wirkstoff gegen die Fabry-Krankheit auf</w:t>
      </w:r>
      <w:r>
        <w:rPr>
          <w:rStyle w:val="FootnoteReference"/>
        </w:rPr>
        <w:footnoteReference w:id="2825"/>
      </w:r>
      <w:r>
        <w:t xml:space="preserve">. Diese Treffer sind in den Gesamtzahlen enthalten, in der Bewertung aber nicht als Peptid-Studien gezählt.</w:t>
      </w:r>
    </w:p>
    <w:p>
      <w:pPr>
        <w:pStyle w:val="BodyText"/>
      </w:pPr>
      <w:r>
        <w:rPr>
          <w:bCs/>
          <w:b/>
        </w:rPr>
        <w:t xml:space="preserve">Zwei Grenzen der Auswertung:</w:t>
      </w:r>
      <w:r>
        <w:t xml:space="preserve"> </w:t>
      </w:r>
      <w:r>
        <w:t xml:space="preserve">Erstens melden nicht alle Sponsoren den Abschluss ihrer Studie zeitnah; einige Einträge mit Enddatum 2025 stehen noch als „laufend“ im Register. Zweitens erfasst die Abfrage nur die 58 Wirkstoffe dieses Buches. Neue Moleküle ohne eigenes Kapitel erscheinen nur dann, wenn sie gegen einen dieser Wirkstoffe antreten. Deshalb wurde für die neuen Wirkprinzipien weiter unten gezielt nachgesucht.</w:t>
      </w:r>
    </w:p>
    <w:bookmarkEnd w:id="2826"/>
    <w:bookmarkStart w:id="2834" w:name="das-ergebnis-in-zahlen"/>
    <w:p>
      <w:pPr>
        <w:pStyle w:val="Heading3"/>
      </w:pPr>
      <w:r>
        <w:t xml:space="preserve">Das Ergebnis in Zahlen</w:t>
      </w:r>
    </w:p>
    <w:p>
      <w:pPr>
        <w:pStyle w:val="FirstParagraph"/>
      </w:pPr>
      <w:r>
        <w:t xml:space="preserve">Nach den Ausschlüssen blieben 730 laufende interventionelle Studien. Davon betreffen 568 – gut drei Viertel – Wirkstoffe der Gruppe A (Stoffwechsel und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laufende Studien insgesamt</w:t>
            </w:r>
          </w:p>
        </w:tc>
        <w:tc>
          <w:tcPr/>
          <w:p>
            <w:pPr>
              <w:pStyle w:val="Compact"/>
              <w:jc w:val="left"/>
            </w:pPr>
            <w:r>
              <w:t xml:space="preserve">davon Gruppe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ohne Phasenangabe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Summe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Von den 157 laufenden Phase-3-Studien rekrutierten 68 noch, 54 waren aktiv ohne weitere Aufnahme, und 35 hatten noch nicht begonnen. Zählt man die kombinierten Phase-2/3-Studien hinzu, gibt es 176 späte Studien; 157 davon (142 in Phase 3, 15 in Phase 2/3) – fast neun von zehn – gehören zur Gruppe A.</w:t>
      </w:r>
    </w:p>
    <w:p>
      <w:pPr>
        <w:pStyle w:val="BodyText"/>
      </w:pPr>
      <w:r>
        <w:t xml:space="preserve">In der Gruppe A wird ungefähr jede dritte dieser späten Studien von Universitäten und Kliniken getragen, die übrigen von Unternehmen. Die geplanten Enddaten verteilen sich so: 21 Studien sollen 2026 enden, 49 im Jahr 2027, 41 im Jahr 2028 und 44 zwischen 2029 und 2033. Die eigentliche Welle neuer Ergebnisse steht also 2027 und 2028 bevor.</w:t>
      </w:r>
    </w:p>
    <w:p>
      <w:pPr>
        <w:pStyle w:val="BodyText"/>
      </w:pPr>
      <w:r>
        <w:rPr>
          <w:bCs/>
          <w:b/>
        </w:rPr>
        <w:t xml:space="preserve">Die Gruppen B bis F</w:t>
      </w:r>
      <w:r>
        <w:t xml:space="preserve"> </w:t>
      </w:r>
      <w:r>
        <w:t xml:space="preserve">sehen völlig anders aus. Nach Durchsicht der Einträge bleiben nur fünf laufende Phase-3-Studien, in denen ein Wirkstoff dieses Buches tatsächlich der Prüfstoff ist: Thymosin Alpha-1 nach Darmkrebsoperation</w:t>
      </w:r>
      <w:r>
        <w:rPr>
          <w:rStyle w:val="FootnoteReference"/>
        </w:rPr>
        <w:footnoteReference w:id="2827"/>
      </w:r>
      <w:r>
        <w:t xml:space="preserve">, Thymosin-Beta-4-Augentropfen bei neurotropher Keratopathie</w:t>
      </w:r>
      <w:r>
        <w:rPr>
          <w:rStyle w:val="FootnoteReference"/>
        </w:rPr>
        <w:footnoteReference w:id="2828"/>
      </w:r>
      <w:r>
        <w:t xml:space="preserve">, Elamipretid bei trockener Makuladegeneration</w:t>
      </w:r>
      <w:r>
        <w:rPr>
          <w:rStyle w:val="FootnoteReference"/>
        </w:rPr>
        <w:footnoteReference w:id="2829"/>
      </w:r>
      <w:r>
        <w:t xml:space="preserve">, Afamelanotid bei Vitiligo</w:t>
      </w:r>
      <w:r>
        <w:rPr>
          <w:rStyle w:val="FootnoteReference"/>
        </w:rPr>
        <w:footnoteReference w:id="2830"/>
      </w:r>
      <w:r>
        <w:t xml:space="preserve"> </w:t>
      </w:r>
      <w:r>
        <w:t xml:space="preserve">und Ibutamoren, das kein Peptid ist, bei Kindern mit Wachstumshormonmangel</w:t>
      </w:r>
      <w:r>
        <w:rPr>
          <w:rStyle w:val="FootnoteReference"/>
        </w:rPr>
        <w:footnoteReference w:id="2831"/>
      </w:r>
      <w:r>
        <w:t xml:space="preserve">. Dazu kommen einige kombinierte Phase-2/3-Studien, etwa zu Oxytocin-Nasenspray bei chronischen Schmerzen</w:t>
      </w:r>
      <w:r>
        <w:rPr>
          <w:rStyle w:val="FootnoteReference"/>
        </w:rPr>
        <w:footnoteReference w:id="2832"/>
      </w:r>
      <w:r>
        <w:t xml:space="preserve"> </w:t>
      </w:r>
      <w:r>
        <w:t xml:space="preserve">und zu Thymosin Alpha-1 bei wiederholtem Einnistungsversagen nach künstlicher Befruchtung</w:t>
      </w:r>
      <w:r>
        <w:rPr>
          <w:rStyle w:val="FootnoteReference"/>
        </w:rPr>
        <w:footnoteReference w:id="2833"/>
      </w:r>
      <w:r>
        <w:t xml:space="preserve">. Für die im Internet populärsten „Forschungspeptide“ – BPC-157, CJC-1295, Ipamorelin, Epitalon, Semax, Selank – läuft keine einzige Phase-3-Studie.</w:t>
      </w:r>
    </w:p>
    <w:bookmarkEnd w:id="2834"/>
    <w:bookmarkStart w:id="2835" w:name="X4f039dd40106d5f82d2949f8236be77f84ad24d"/>
    <w:p>
      <w:pPr>
        <w:pStyle w:val="Heading3"/>
      </w:pPr>
      <w:r>
        <w:t xml:space="preserve">Die wichtigsten laufenden Phase-3-Studien</w:t>
      </w:r>
    </w:p>
    <w:p>
      <w:pPr>
        <w:pStyle w:val="FirstParagraph"/>
      </w:pPr>
      <w:r>
        <w:t xml:space="preserve">Die folgenden Tabellen zeigen eine Auswahl nach Größe und Bedeutung. „Erwartetes Ende“ ist das im Register angegebene Studienende (Stand Oktober 2026); der Hauptendpunkt wird oft einige Monate früher ausgewertet, Veröffentlichungen folgen meist ein halbes bis ein Jahr später.</w:t>
      </w:r>
    </w:p>
    <w:p>
      <w:pPr>
        <w:pStyle w:val="BodyText"/>
      </w:pPr>
      <w:r>
        <w:rPr>
          <w:bCs/>
          <w:b/>
        </w:rPr>
        <w:t xml:space="preserve">Stoffwechsel und Gewicht (Gruppe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TRIUMPH-5, NCT06662383</w:t>
            </w:r>
          </w:p>
        </w:tc>
        <w:tc>
          <w:tcPr/>
          <w:p>
            <w:pPr>
              <w:pStyle w:val="Compact"/>
              <w:jc w:val="left"/>
            </w:pPr>
            <w:r>
              <w:t xml:space="preserve">Retatrutid vs. Tirzepatid</w:t>
            </w:r>
          </w:p>
        </w:tc>
        <w:tc>
          <w:tcPr/>
          <w:p>
            <w:pPr>
              <w:pStyle w:val="Compact"/>
              <w:jc w:val="left"/>
            </w:pPr>
            <w:r>
              <w:t xml:space="preserve">Gewichtsverlust, 800 Erwachsene</w:t>
            </w:r>
          </w:p>
        </w:tc>
        <w:tc>
          <w:tcPr/>
          <w:p>
            <w:pPr>
              <w:pStyle w:val="Compact"/>
              <w:jc w:val="left"/>
            </w:pPr>
            <w:r>
              <w:t xml:space="preserve">Dezember 2026</w:t>
            </w:r>
          </w:p>
        </w:tc>
      </w:tr>
      <w:tr>
        <w:tc>
          <w:tcPr/>
          <w:p>
            <w:pPr>
              <w:pStyle w:val="Compact"/>
              <w:jc w:val="left"/>
            </w:pPr>
            <w:r>
              <w:t xml:space="preserve">MARITIME-1, NCT06858839</w:t>
            </w:r>
          </w:p>
        </w:tc>
        <w:tc>
          <w:tcPr/>
          <w:p>
            <w:pPr>
              <w:pStyle w:val="Compact"/>
              <w:jc w:val="left"/>
            </w:pPr>
            <w:r>
              <w:t xml:space="preserve">Maridebart Cafraglutid</w:t>
            </w:r>
          </w:p>
        </w:tc>
        <w:tc>
          <w:tcPr/>
          <w:p>
            <w:pPr>
              <w:pStyle w:val="Compact"/>
              <w:jc w:val="left"/>
            </w:pPr>
            <w:r>
              <w:t xml:space="preserve">Gewichtsverlust ohne Diabetes, 3.853 Teilnehmende</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w:t>
            </w:r>
          </w:p>
        </w:tc>
        <w:tc>
          <w:tcPr/>
          <w:p>
            <w:pPr>
              <w:pStyle w:val="Compact"/>
              <w:jc w:val="left"/>
            </w:pPr>
            <w:r>
              <w:t xml:space="preserve">Herz-Kreislauf-Ereignisse und Tod, 15.374 Teilnehmende</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Herz-Kreislauf-Ereignisse, 7.101 Teilnehmende</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(höhere Dosen) vs. Semaglutid</w:t>
            </w:r>
          </w:p>
        </w:tc>
        <w:tc>
          <w:tcPr/>
          <w:p>
            <w:pPr>
              <w:pStyle w:val="Compact"/>
              <w:jc w:val="left"/>
            </w:pPr>
            <w:r>
              <w:t xml:space="preserve">Gewichtsverlust, 2.500 Teilnehmende</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w:t>
            </w:r>
          </w:p>
        </w:tc>
        <w:tc>
          <w:tcPr/>
          <w:p>
            <w:pPr>
              <w:pStyle w:val="Compact"/>
              <w:jc w:val="left"/>
            </w:pPr>
            <w:r>
              <w:t xml:space="preserve">Gewichtserhalt nach Abnahme, 643 Teilnehmende</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w:t>
            </w:r>
          </w:p>
        </w:tc>
        <w:tc>
          <w:tcPr/>
          <w:p>
            <w:pPr>
              <w:pStyle w:val="Compact"/>
              <w:jc w:val="left"/>
            </w:pPr>
            <w:r>
              <w:t xml:space="preserve">Herz- und Nierenereignisse, 10.000 Teilnehmende</w:t>
            </w:r>
          </w:p>
        </w:tc>
        <w:tc>
          <w:tcPr/>
          <w:p>
            <w:pPr>
              <w:pStyle w:val="Compact"/>
              <w:jc w:val="left"/>
            </w:pPr>
            <w:r>
              <w:t xml:space="preserve">Februar 2029</w:t>
            </w:r>
          </w:p>
        </w:tc>
      </w:tr>
      <w:tr>
        <w:tc>
          <w:tcPr/>
          <w:p>
            <w:pPr>
              <w:pStyle w:val="Compact"/>
              <w:jc w:val="left"/>
            </w:pPr>
            <w:r>
              <w:t xml:space="preserve">ESSENCE, NCT04822181</w:t>
            </w:r>
          </w:p>
        </w:tc>
        <w:tc>
          <w:tcPr/>
          <w:p>
            <w:pPr>
              <w:pStyle w:val="Compact"/>
              <w:jc w:val="left"/>
            </w:pPr>
            <w:r>
              <w:t xml:space="preserve">Semaglutid</w:t>
            </w:r>
          </w:p>
        </w:tc>
        <w:tc>
          <w:tcPr/>
          <w:p>
            <w:pPr>
              <w:pStyle w:val="Compact"/>
              <w:jc w:val="left"/>
            </w:pPr>
            <w:r>
              <w:t xml:space="preserve">Fettleber (MASH), 1.205 Teilnehmende</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w:t>
            </w:r>
          </w:p>
        </w:tc>
        <w:tc>
          <w:tcPr/>
          <w:p>
            <w:pPr>
              <w:pStyle w:val="Compact"/>
              <w:jc w:val="left"/>
            </w:pPr>
            <w:r>
              <w:t xml:space="preserve">Leberkomplikationen bei Zirrhose, 1.590 Teilnehmende</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 (Zenagamtid)</w:t>
            </w:r>
          </w:p>
        </w:tc>
        <w:tc>
          <w:tcPr/>
          <w:p>
            <w:pPr>
              <w:pStyle w:val="Compact"/>
              <w:jc w:val="left"/>
            </w:pPr>
            <w:r>
              <w:t xml:space="preserve">Gewichtsverlust, 1.150 Teilnehmende</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w:t>
            </w:r>
          </w:p>
        </w:tc>
        <w:tc>
          <w:tcPr/>
          <w:p>
            <w:pPr>
              <w:pStyle w:val="Compact"/>
              <w:jc w:val="left"/>
            </w:pPr>
            <w:r>
              <w:t xml:space="preserve">Herz-Kreislauf-Ereignisse, 12.800 Teilnehmende</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w:t>
            </w:r>
          </w:p>
        </w:tc>
        <w:tc>
          <w:tcPr/>
          <w:p>
            <w:pPr>
              <w:pStyle w:val="Compact"/>
              <w:jc w:val="left"/>
            </w:pPr>
            <w:r>
              <w:t xml:space="preserve">Herzschwäche mit Adipositas, 5.056 Teilnehmende</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w:t>
            </w:r>
          </w:p>
        </w:tc>
        <w:tc>
          <w:tcPr/>
          <w:p>
            <w:pPr>
              <w:pStyle w:val="Compact"/>
              <w:jc w:val="left"/>
            </w:pPr>
            <w:r>
              <w:t xml:space="preserve">Herz-Kreislauf-Ereignisse, 8.500 geplant</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(kein Peptid)</w:t>
            </w:r>
          </w:p>
        </w:tc>
        <w:tc>
          <w:tcPr/>
          <w:p>
            <w:pPr>
              <w:pStyle w:val="Compact"/>
              <w:jc w:val="left"/>
            </w:pPr>
            <w:r>
              <w:t xml:space="preserve">Herz-Kreislauf-Ereignisse, 7.140 Teilnehmende</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w:t>
            </w:r>
          </w:p>
        </w:tc>
        <w:tc>
          <w:tcPr/>
          <w:p>
            <w:pPr>
              <w:pStyle w:val="Compact"/>
              <w:jc w:val="left"/>
            </w:pPr>
            <w:r>
              <w:t xml:space="preserve">MASH mit Fibrose, 1.800 Teilnehmende</w:t>
            </w:r>
          </w:p>
        </w:tc>
        <w:tc>
          <w:tcPr/>
          <w:p>
            <w:pPr>
              <w:pStyle w:val="Compact"/>
              <w:jc w:val="left"/>
            </w:pPr>
            <w:r>
              <w:t xml:space="preserve">Dezember 2031</w:t>
            </w:r>
          </w:p>
        </w:tc>
      </w:tr>
      <w:tr>
        <w:tc>
          <w:tcPr/>
          <w:p>
            <w:pPr>
              <w:pStyle w:val="Compact"/>
              <w:jc w:val="left"/>
            </w:pPr>
            <w:r>
              <w:t xml:space="preserve">SYNERGY-Outcomes, NCT07165028</w:t>
            </w:r>
          </w:p>
        </w:tc>
        <w:tc>
          <w:tcPr/>
          <w:p>
            <w:pPr>
              <w:pStyle w:val="Compact"/>
              <w:jc w:val="left"/>
            </w:pPr>
            <w:r>
              <w:t xml:space="preserve">Tirzepatid und Retatrutid</w:t>
            </w:r>
          </w:p>
        </w:tc>
        <w:tc>
          <w:tcPr/>
          <w:p>
            <w:pPr>
              <w:pStyle w:val="Compact"/>
              <w:jc w:val="left"/>
            </w:pPr>
            <w:r>
              <w:t xml:space="preserve">schwere Leberereignisse, 4.500 Teilnehmende</w:t>
            </w:r>
          </w:p>
        </w:tc>
        <w:tc>
          <w:tcPr/>
          <w:p>
            <w:pPr>
              <w:pStyle w:val="Compact"/>
              <w:jc w:val="left"/>
            </w:pPr>
            <w:r>
              <w:t xml:space="preserve">August 2032</w:t>
            </w:r>
          </w:p>
        </w:tc>
      </w:tr>
    </w:tbl>
    <w:p>
      <w:pPr>
        <w:pStyle w:val="BodyText"/>
      </w:pPr>
      <w:r>
        <w:rPr>
          <w:bCs/>
          <w:b/>
        </w:rPr>
        <w:t xml:space="preserve">Andere Gruppen: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SEER-2, NCT05555589</w:t>
            </w:r>
          </w:p>
        </w:tc>
        <w:tc>
          <w:tcPr/>
          <w:p>
            <w:pPr>
              <w:pStyle w:val="Compact"/>
              <w:jc w:val="left"/>
            </w:pPr>
            <w:r>
              <w:t xml:space="preserve">Thymosin Beta-4 (Augentropfen)</w:t>
            </w:r>
          </w:p>
        </w:tc>
        <w:tc>
          <w:tcPr/>
          <w:p>
            <w:pPr>
              <w:pStyle w:val="Compact"/>
              <w:jc w:val="left"/>
            </w:pPr>
            <w:r>
              <w:t xml:space="preserve">Heilung der Hornhaut, 70 Teilnehmende</w:t>
            </w:r>
          </w:p>
        </w:tc>
        <w:tc>
          <w:tcPr/>
          <w:p>
            <w:pPr>
              <w:pStyle w:val="Compact"/>
              <w:jc w:val="left"/>
            </w:pPr>
            <w:r>
              <w:t xml:space="preserve">Mai 2026 (Ergebnis ausstehend)</w:t>
            </w:r>
          </w:p>
        </w:tc>
      </w:tr>
      <w:tr>
        <w:tc>
          <w:tcPr/>
          <w:p>
            <w:pPr>
              <w:pStyle w:val="Compact"/>
              <w:jc w:val="left"/>
            </w:pPr>
            <w:r>
              <w:t xml:space="preserve">NCT06109649</w:t>
            </w:r>
          </w:p>
        </w:tc>
        <w:tc>
          <w:tcPr/>
          <w:p>
            <w:pPr>
              <w:pStyle w:val="Compact"/>
              <w:jc w:val="left"/>
            </w:pPr>
            <w:r>
              <w:t xml:space="preserve">Afamelanotid</w:t>
            </w:r>
          </w:p>
        </w:tc>
        <w:tc>
          <w:tcPr/>
          <w:p>
            <w:pPr>
              <w:pStyle w:val="Compact"/>
              <w:jc w:val="left"/>
            </w:pPr>
            <w:r>
              <w:t xml:space="preserve">Vitiligo mit Lichttherapie, 200 Teilnehmende</w:t>
            </w:r>
          </w:p>
        </w:tc>
        <w:tc>
          <w:tcPr/>
          <w:p>
            <w:pPr>
              <w:pStyle w:val="Compact"/>
              <w:jc w:val="left"/>
            </w:pPr>
            <w:r>
              <w:t xml:space="preserve">Juni 2026 (Ergebnis ausstehend)</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krankheitsfreies Überleben nach Darmkrebs, 2.500 Teilnehmende</w:t>
            </w:r>
          </w:p>
        </w:tc>
        <w:tc>
          <w:tcPr/>
          <w:p>
            <w:pPr>
              <w:pStyle w:val="Compact"/>
              <w:jc w:val="left"/>
            </w:pPr>
            <w:r>
              <w:t xml:space="preserve">März 2027</w:t>
            </w:r>
          </w:p>
        </w:tc>
      </w:tr>
      <w:tr>
        <w:tc>
          <w:tcPr/>
          <w:p>
            <w:pPr>
              <w:pStyle w:val="Compact"/>
              <w:jc w:val="left"/>
            </w:pPr>
            <w:r>
              <w:t xml:space="preserve">ReNEW, NCT06373731</w:t>
            </w:r>
          </w:p>
        </w:tc>
        <w:tc>
          <w:tcPr/>
          <w:p>
            <w:pPr>
              <w:pStyle w:val="Compact"/>
              <w:jc w:val="left"/>
            </w:pPr>
            <w:r>
              <w:t xml:space="preserve">Elamipretid (SS-31)</w:t>
            </w:r>
          </w:p>
        </w:tc>
        <w:tc>
          <w:tcPr/>
          <w:p>
            <w:pPr>
              <w:pStyle w:val="Compact"/>
              <w:jc w:val="left"/>
            </w:pPr>
            <w:r>
              <w:t xml:space="preserve">trockene Makuladegeneration, 313 Teilnehmende</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kein Peptid)</w:t>
            </w:r>
          </w:p>
        </w:tc>
        <w:tc>
          <w:tcPr/>
          <w:p>
            <w:pPr>
              <w:pStyle w:val="Compact"/>
              <w:jc w:val="left"/>
            </w:pPr>
            <w:r>
              <w:t xml:space="preserve">Wachstum bei Kindern mit Hormonmangel, 150 Teilnehmende</w:t>
            </w:r>
          </w:p>
        </w:tc>
        <w:tc>
          <w:tcPr/>
          <w:p>
            <w:pPr>
              <w:pStyle w:val="Compact"/>
              <w:jc w:val="left"/>
            </w:pPr>
            <w:r>
              <w:t xml:space="preserve">Januar 2028</w:t>
            </w:r>
          </w:p>
        </w:tc>
      </w:tr>
    </w:tbl>
    <w:p>
      <w:pPr>
        <w:pStyle w:val="BodyText"/>
      </w:pPr>
      <w:r>
        <w:t xml:space="preserve">Einzelheiten zu jeder Studie stehen im Abschnitt „Laufende Studien und Ausblick“ des jeweiligen Kapitels.</w:t>
      </w:r>
    </w:p>
    <w:bookmarkEnd w:id="2835"/>
    <w:bookmarkStart w:id="2845" w:name="X064868db1e20e177713d1840b8178cd9be924de"/>
    <w:p>
      <w:pPr>
        <w:pStyle w:val="Heading3"/>
      </w:pPr>
      <w:r>
        <w:t xml:space="preserve">Was das Register über die Richtung verrät</w:t>
      </w:r>
    </w:p>
    <w:p>
      <w:pPr>
        <w:pStyle w:val="FirstParagraph"/>
      </w:pPr>
      <w:r>
        <w:rPr>
          <w:bCs/>
          <w:b/>
        </w:rPr>
        <w:t xml:space="preserve">Von der Waage zu harten Endpunkten.</w:t>
      </w:r>
      <w:r>
        <w:t xml:space="preserve"> </w:t>
      </w:r>
      <w:r>
        <w:t xml:space="preserve">Die erste Generation der Abnehmstudien maß vor allem Kilogramm. Die großen Studien der nächsten Jahre fragen, ob Herzinfarkte, Schlaganfälle, Herzschwäche, Nierenversagen oder Leberzirrhose seltener werden. Alle sechs laufenden Phase-3-Studien der Gruppe A mit jeweils mehr als 5.000 Teilnehmenden sind solche Endpunktstudien. Für Krankenkassen, die über die Erstattung entscheiden, sind diese Ergebnisse wichtiger als jeder Rekord beim Gewichtsverlust.</w:t>
      </w:r>
    </w:p>
    <w:p>
      <w:pPr>
        <w:pStyle w:val="BodyText"/>
      </w:pPr>
      <w:r>
        <w:rPr>
          <w:bCs/>
          <w:b/>
        </w:rPr>
        <w:t xml:space="preserve">Direkte Vergleiche.</w:t>
      </w:r>
      <w:r>
        <w:t xml:space="preserve"> </w:t>
      </w:r>
      <w:r>
        <w:t xml:space="preserve">Neue Wirkstoffe müssen sich zunehmend gegen die etablierten messen lassen, nicht nur gegen Placebo: Retatrutid gegen Tirzepatid</w:t>
      </w:r>
      <w:r>
        <w:rPr>
          <w:rStyle w:val="FootnoteReference"/>
        </w:rPr>
        <w:footnoteReference w:id="2836"/>
      </w:r>
      <w:r>
        <w:t xml:space="preserve">, Zenagamtid gegen Semaglutid (AMAZE 7, NCT07668414), Maridebart Cafraglutid gegen Semaglutid bei Typ-2-Diabetes (MARITIME-T2D-3, NCT07866066). Auch neue Anbieter treten direkt an: Roche prüft den GLP-1/GIP-Doppelagonisten Enicepatide gegen Tirzepatid</w:t>
      </w:r>
      <w:r>
        <w:rPr>
          <w:rStyle w:val="FootnoteReference"/>
        </w:rPr>
        <w:footnoteReference w:id="2837"/>
      </w:r>
      <w:r>
        <w:t xml:space="preserve">, das Unternehmen Kailera den Wirkstoff Ribupatide gegen Semaglutid (KaiNETIC-3, NCT07284979), AstraZeneca den täglich einzunehmenden Wirkstoff Elecoglipron gegen die Semaglutid-Tablette (Eluminate-2, NCT07662213).</w:t>
      </w:r>
    </w:p>
    <w:p>
      <w:pPr>
        <w:pStyle w:val="BodyText"/>
      </w:pPr>
      <w:r>
        <w:rPr>
          <w:bCs/>
          <w:b/>
        </w:rPr>
        <w:t xml:space="preserve">Gewicht halten statt nur verlieren.</w:t>
      </w:r>
      <w:r>
        <w:t xml:space="preserve"> </w:t>
      </w:r>
      <w:r>
        <w:t xml:space="preserve">Mehrere Studien prüfen ausdrücklich die Zeit nach der Abnahme: Retatrutid zum Gewichtserhalt (TRIUMPH-6, NCT06859268), eine CagriSema-Langzeitstudie über zwei Jahre plus Verlängerung</w:t>
      </w:r>
      <w:r>
        <w:rPr>
          <w:rStyle w:val="FootnoteReference"/>
        </w:rPr>
        <w:footnoteReference w:id="2838"/>
      </w:r>
      <w:r>
        <w:t xml:space="preserve">, der Umstieg von anderen GLP-1-Medikamenten auf das monatlich gegebene Maridebart Cafraglutid</w:t>
      </w:r>
      <w:r>
        <w:rPr>
          <w:rStyle w:val="FootnoteReference"/>
        </w:rPr>
        <w:footnoteReference w:id="2839"/>
      </w:r>
      <w:r>
        <w:t xml:space="preserve"> </w:t>
      </w:r>
      <w:r>
        <w:t xml:space="preserve">oder auf Berobenatide, einen monatlich zu spritzenden Prüfwirkstoff von Pfizer</w:t>
      </w:r>
      <w:r>
        <w:rPr>
          <w:rStyle w:val="FootnoteReference"/>
        </w:rPr>
        <w:footnoteReference w:id="2840"/>
      </w:r>
      <w:r>
        <w:t xml:space="preserve">. Hintergrund sind Studien wie SURMOUNT-4: Wer Tirzepatid nach 36 Wochen absetzte, nahm im folgenden Jahr im Mittel wieder 14,0 % zu, während das Gewicht unter fortgesetzter Behandlung um weitere 5,5 % sank</w:t>
      </w:r>
      <w:r>
        <w:rPr>
          <w:rStyle w:val="FootnoteReference"/>
        </w:rPr>
        <w:footnoteReference w:id="2841"/>
      </w:r>
      <w:r>
        <w:t xml:space="preserve">.</w:t>
      </w:r>
    </w:p>
    <w:p>
      <w:pPr>
        <w:pStyle w:val="BodyText"/>
      </w:pPr>
      <w:r>
        <w:rPr>
          <w:bCs/>
          <w:b/>
        </w:rPr>
        <w:t xml:space="preserve">Neue Länder, neue Moleküle.</w:t>
      </w:r>
      <w:r>
        <w:t xml:space="preserve"> </w:t>
      </w:r>
      <w:r>
        <w:t xml:space="preserve">Ein großer Teil der neuen Phase-3-Studien stammt von chinesischen Unternehmen, die eigene GLP-1-basierte Wirkstoffe gegen Semaglutid oder Dulaglutid prüfen – etwa das alle zwei Wochen gespritzte Bofanglutide (BALANCE-OBS, NCT07622810) oder das Exendin-4-Fusionsprotein JY09</w:t>
      </w:r>
      <w:r>
        <w:rPr>
          <w:rStyle w:val="FootnoteReference"/>
        </w:rPr>
        <w:footnoteReference w:id="2842"/>
      </w:r>
      <w:r>
        <w:t xml:space="preserve">. Der Markt wird also breiter, nicht nur stärker.</w:t>
      </w:r>
    </w:p>
    <w:p>
      <w:pPr>
        <w:pStyle w:val="BodyText"/>
      </w:pPr>
      <w:r>
        <w:rPr>
          <w:bCs/>
          <w:b/>
        </w:rPr>
        <w:t xml:space="preserve">Kinder und Jugendliche.</w:t>
      </w:r>
      <w:r>
        <w:t xml:space="preserve"> </w:t>
      </w:r>
      <w:r>
        <w:t xml:space="preserve">Für fast alle großen Wirkstoffe laufen Studien bei Jugendlichen, teils auch bei Kindern, etwa für Tirzepatid</w:t>
      </w:r>
      <w:r>
        <w:rPr>
          <w:rStyle w:val="FootnoteReference"/>
        </w:rPr>
        <w:footnoteReference w:id="2843"/>
      </w:r>
      <w:r>
        <w:t xml:space="preserve">, Orforglipron</w:t>
      </w:r>
      <w:r>
        <w:rPr>
          <w:rStyle w:val="FootnoteReference"/>
        </w:rPr>
        <w:footnoteReference w:id="2844"/>
      </w:r>
      <w:r>
        <w:t xml:space="preserve"> </w:t>
      </w:r>
      <w:r>
        <w:t xml:space="preserve">und CagriSema (NCT07253285, geplantes Ende 2033).</w:t>
      </w:r>
    </w:p>
    <w:p>
      <w:pPr>
        <w:pStyle w:val="BodyText"/>
      </w:pPr>
      <w:r>
        <w:rPr>
          <w:bCs/>
          <w:b/>
        </w:rPr>
        <w:t xml:space="preserve">Und außerhalb des Stoffwechsels?</w:t>
      </w:r>
      <w:r>
        <w:t xml:space="preserve"> </w:t>
      </w:r>
      <w:r>
        <w:t xml:space="preserve">Hier ist die Pipeline dünn. Wo ein Peptid nicht patentierbar ist, schon als Nahrungsergänzung verkauft wird oder nur im Graumarkt existiert, finanziert kaum jemand teure Zulassungsstudien. Das erklärt, warum ausgerechnet die im Internet meistdiskutierten Peptide in den Registern praktisch fehlen.</w:t>
      </w:r>
    </w:p>
    <w:bookmarkEnd w:id="2845"/>
    <w:bookmarkStart w:id="2863" w:name="neue-wirkprinzipien"/>
    <w:p>
      <w:pPr>
        <w:pStyle w:val="Heading3"/>
      </w:pPr>
      <w:r>
        <w:t xml:space="preserve">Neue Wirkprinzipien</w:t>
      </w:r>
    </w:p>
    <w:bookmarkStart w:id="2849" w:name="dreifach-agonisten"/>
    <w:p>
      <w:pPr>
        <w:pStyle w:val="Heading4"/>
      </w:pPr>
      <w:r>
        <w:t xml:space="preserve">Dreifach-Agonisten</w:t>
      </w:r>
    </w:p>
    <w:p>
      <w:pPr>
        <w:pStyle w:val="FirstParagraph"/>
      </w:pPr>
      <w:r>
        <w:t xml:space="preserve">Retatrutid aktiviert drei Rezeptoren zugleich: GLP-1, GIP und Glukagon. Der Glukagon-Anteil soll den Energieverbrauch und den Fettabbau in der Leber steigern. In der Phase-2-Studie mit 338 Erwachsenen sank das Gewicht nach 48 Wochen in der höchsten untersuchten Dosis um 24,2 %, unter Placebo um 2,1 %</w:t>
      </w:r>
      <w:r>
        <w:rPr>
          <w:rStyle w:val="FootnoteReference"/>
        </w:rPr>
        <w:footnoteReference w:id="2846"/>
      </w:r>
      <w:r>
        <w:t xml:space="preserve">. Die erste Phase-3-Studie TRIUMPH-1 mit 2.339 Erwachsenen bestätigte das: Nach 80 Wochen betrug der Gewichtsverlust je nach Dosis 17,6 bis 25,0 %, unter Placebo 3,9 %. Bei Teilnehmenden mit Kniearthrose verringerten sich die Schmerzen, bei Schlafapnoe die Zahl der Atemaussetzer</w:t>
      </w:r>
      <w:r>
        <w:rPr>
          <w:rStyle w:val="FootnoteReference"/>
        </w:rPr>
        <w:footnoteReference w:id="2847"/>
      </w:r>
      <w:r>
        <w:t xml:space="preserve">. Ob dieser zusätzliche Gewichtsverlust auch zu weniger Herz- und Nierenereignissen führt, soll TRIUMPH-Outcomes bis 2029 zeigen</w:t>
      </w:r>
      <w:r>
        <w:rPr>
          <w:rStyle w:val="FootnoteReference"/>
        </w:rPr>
        <w:footnoteReference w:id="2848"/>
      </w:r>
      <w:r>
        <w:t xml:space="preserve">. Einzelheiten und Nebenwirkungen beschreibt das Kapitel Retatrutid.</w:t>
      </w:r>
    </w:p>
    <w:bookmarkEnd w:id="2849"/>
    <w:bookmarkStart w:id="2854" w:name="amylin-der-vierte-hormonweg"/>
    <w:p>
      <w:pPr>
        <w:pStyle w:val="Heading4"/>
      </w:pPr>
      <w:r>
        <w:t xml:space="preserve">Amylin: der vierte Hormonweg</w:t>
      </w:r>
    </w:p>
    <w:p>
      <w:pPr>
        <w:pStyle w:val="FirstParagraph"/>
      </w:pPr>
      <w:r>
        <w:t xml:space="preserve">Amylin wird zusammen mit Insulin ausgeschüttet und wirkt im Hirnstamm sättigend. Drei Entwicklungslinien sind zu unterscheiden:</w:t>
      </w:r>
    </w:p>
    <w:p>
      <w:pPr>
        <w:numPr>
          <w:ilvl w:val="0"/>
          <w:numId w:val="1356"/>
        </w:numPr>
        <w:pStyle w:val="Compact"/>
      </w:pPr>
      <w:r>
        <w:rPr>
          <w:bCs/>
          <w:b/>
        </w:rPr>
        <w:t xml:space="preserve">Kombination in einer Spritze:</w:t>
      </w:r>
      <w:r>
        <w:t xml:space="preserve"> </w:t>
      </w:r>
      <w:r>
        <w:t xml:space="preserve">CagriSema verbindet das Amylin-Analogon Cagrilintid mit Semaglutid. In REDEFINE 1 mit 3.417 Erwachsenen sank das Gewicht nach 68 Wochen um 20,4 %, unter Placebo um 3,0 %; Magen-Darm-Beschwerden traten bei 79,6 % gegenüber 39,9 % auf</w:t>
      </w:r>
      <w:r>
        <w:rPr>
          <w:rStyle w:val="FootnoteReference"/>
        </w:rPr>
        <w:footnoteReference w:id="2850"/>
      </w:r>
      <w:r>
        <w:t xml:space="preserve">.</w:t>
      </w:r>
    </w:p>
    <w:p>
      <w:pPr>
        <w:numPr>
          <w:ilvl w:val="0"/>
          <w:numId w:val="1356"/>
        </w:numPr>
        <w:pStyle w:val="Compact"/>
      </w:pPr>
      <w:r>
        <w:rPr>
          <w:bCs/>
          <w:b/>
        </w:rPr>
        <w:t xml:space="preserve">Ein Molekül für zwei Rezeptoren:</w:t>
      </w:r>
      <w:r>
        <w:t xml:space="preserve"> </w:t>
      </w:r>
      <w:r>
        <w:t xml:space="preserve">Amycretin, seit 2026 Zenagamtid, aktiviert GLP-1- und Amylin-Rezeptoren gleichzeitig. In einer kleinen Phase-1b/2a-Studie mit 125 Teilnehmenden sank das Gewicht in der höchsten Dosisstufe nach 36 Wochen um 24,3 %</w:t>
      </w:r>
      <w:r>
        <w:rPr>
          <w:rStyle w:val="FootnoteReference"/>
        </w:rPr>
        <w:footnoteReference w:id="2851"/>
      </w:r>
      <w:r>
        <w:t xml:space="preserve">. Das Phase-3-Programm AMAZE läuft seit 2026.</w:t>
      </w:r>
    </w:p>
    <w:p>
      <w:pPr>
        <w:numPr>
          <w:ilvl w:val="0"/>
          <w:numId w:val="1356"/>
        </w:numPr>
        <w:pStyle w:val="Compact"/>
      </w:pPr>
      <w:r>
        <w:rPr>
          <w:bCs/>
          <w:b/>
        </w:rPr>
        <w:t xml:space="preserve">Amylin allein:</w:t>
      </w:r>
      <w:r>
        <w:t xml:space="preserve"> </w:t>
      </w:r>
      <w:r>
        <w:t xml:space="preserve">Hier ist die Hoffnung eine bessere Verträglichkeit. Eloralintide, ein selektiver Amylin-Rezeptor-Agonist von Lilly, führte in einer Phase-2-Studie mit 263 Erwachsenen nach 48 Wochen zu 9 bis 20 % Gewichtsverlust gegenüber 0,4 % unter Placebo; Übelkeit und Müdigkeit waren je nach Dosis deutlich häufiger als unter Placebo</w:t>
      </w:r>
      <w:r>
        <w:rPr>
          <w:rStyle w:val="FootnoteReference"/>
        </w:rPr>
        <w:footnoteReference w:id="2852"/>
      </w:r>
      <w:r>
        <w:t xml:space="preserve">. Petrelintide von Zealand Pharma senkte das Gewicht in der Phase-2-Studie ZUPREME 1 mit 493 Teilnehmenden nach 28 Wochen um 7,9 bis 9,8 % (Placebo 1,7 %). Übelkeit trat bei 20 % gegenüber 6 % auf, Erbrechen aber nicht häufiger als unter Placebo</w:t>
      </w:r>
      <w:r>
        <w:rPr>
          <w:rStyle w:val="FootnoteReference"/>
        </w:rPr>
        <w:footnoteReference w:id="2853"/>
      </w:r>
      <w:r>
        <w:t xml:space="preserve">.</w:t>
      </w:r>
    </w:p>
    <w:p>
      <w:pPr>
        <w:pStyle w:val="FirstParagraph"/>
      </w:pPr>
      <w:r>
        <w:t xml:space="preserve">Beide reinen Amylin-Wirkstoffe sind inzwischen in Phase 3: Eloralintide in ENLIGHTEN-1 mit 1.980 geplanten Teilnehmenden (NCT07321886, Ende Juli 2030), Petrelintide in ZUPREME-3 mit 3.900 geplanten Teilnehmenden unter der Leitung von Roche (NCT07843498, Ende März 2029). Lilly prüft außerdem eine Kombination aus Eloralintide und Tirzepatid (AMPLIFY-1, NCT07881432, 2.115 geplante Teilnehmende).</w:t>
      </w:r>
    </w:p>
    <w:bookmarkEnd w:id="2854"/>
    <w:bookmarkStart w:id="2857" w:name="antikörper-peptid-konjugate"/>
    <w:p>
      <w:pPr>
        <w:pStyle w:val="Heading4"/>
      </w:pPr>
      <w:r>
        <w:t xml:space="preserve">Antikörper-Peptid-Konjugate</w:t>
      </w:r>
    </w:p>
    <w:p>
      <w:pPr>
        <w:pStyle w:val="FirstParagraph"/>
      </w:pPr>
      <w:r>
        <w:t xml:space="preserve">Peptide werden im Körper schnell abgebaut und über die Nieren ausgeschieden. Eine Lösung ist, sie an einen Antikörper zu koppeln, der wochenlang im Blut bleibt. Eine Übersichtsarbeit beschreibt solche Antikörper-Peptid-Konjugate als eigene, neue Wirkstoffklasse: Anders als bei Fusionsproteinen wird das Peptid chemisch hergestellt und erst danach an den Antikörper gebunden, sodass es auch ungewöhnliche Bausteine enthalten kann</w:t>
      </w:r>
      <w:r>
        <w:rPr>
          <w:rStyle w:val="FootnoteReference"/>
        </w:rPr>
        <w:footnoteReference w:id="2855"/>
      </w:r>
      <w:r>
        <w:t xml:space="preserve">.</w:t>
      </w:r>
    </w:p>
    <w:p>
      <w:pPr>
        <w:pStyle w:val="BodyText"/>
      </w:pPr>
      <w:r>
        <w:t xml:space="preserve">Das bekannteste Beispiel ist Maridebart Cafraglutid (MariTide). Es verbindet einen Antikörper, der den GIP-Rezeptor blockiert, mit GLP-1-artigen Peptiden, die den GLP-1-Rezeptor aktivieren. In der Phase-2-Studie mit 592 Teilnehmenden wurde es alle vier oder acht Wochen gespritzt. Nach 52 Wochen betrug der Gewichtsverlust ohne Diabetes 12,3 bis 16,2 % (Placebo 2,5 %), mit Typ-2-Diabetes 8,4 bis 12,3 % (Placebo 1,7 %). Magen-Darm-Beschwerden waren häufig, aber seltener, wenn die Dosis langsam gesteigert wurde</w:t>
      </w:r>
      <w:r>
        <w:rPr>
          <w:rStyle w:val="FootnoteReference"/>
        </w:rPr>
        <w:footnoteReference w:id="2856"/>
      </w:r>
      <w:r>
        <w:t xml:space="preserve">. Das Konzept heißt: weniger Spritzen statt maximaler Wirkung.</w:t>
      </w:r>
    </w:p>
    <w:bookmarkEnd w:id="2857"/>
    <w:bookmarkStart w:id="2861" w:name="muskeln-schonen-beim-abnehmen"/>
    <w:p>
      <w:pPr>
        <w:pStyle w:val="Heading4"/>
      </w:pPr>
      <w:r>
        <w:t xml:space="preserve">Muskeln schonen beim Abnehmen</w:t>
      </w:r>
    </w:p>
    <w:p>
      <w:pPr>
        <w:pStyle w:val="FirstParagraph"/>
      </w:pPr>
      <w:r>
        <w:t xml:space="preserve">Bei jeder starken Gewichtsabnahme geht auch Muskel- und Knochenmasse verloren. Ein Ansatz ist der Antikörper</w:t>
      </w:r>
      <w:r>
        <w:t xml:space="preserve"> </w:t>
      </w:r>
      <w:r>
        <w:rPr>
          <w:bCs/>
          <w:b/>
        </w:rPr>
        <w:t xml:space="preserve">Bimagrumab</w:t>
      </w:r>
      <w:r>
        <w:t xml:space="preserve">, der Aktivin-Typ-II-Rezeptoren blockiert – Schalter, die das Muskelwachstum bremsen. Bimagrumab ist kein Peptid, wird aber gezielt mit Peptid-Medikamenten kombiniert.</w:t>
      </w:r>
    </w:p>
    <w:p>
      <w:pPr>
        <w:numPr>
          <w:ilvl w:val="0"/>
          <w:numId w:val="1357"/>
        </w:numPr>
        <w:pStyle w:val="Compact"/>
      </w:pPr>
      <w:r>
        <w:t xml:space="preserve">In einer Phase-2-Studie mit 75 Erwachsenen mit Typ-2-Diabetes und Übergewicht sank unter Bimagrumab allein nach 48 Wochen die Fettmasse um 20,5 %, während die fettfreie Masse um 3,6 % zunahm (Placebo −0,5 % und −0,8 %)</w:t>
      </w:r>
      <w:r>
        <w:rPr>
          <w:rStyle w:val="FootnoteReference"/>
        </w:rPr>
        <w:footnoteReference w:id="2858"/>
      </w:r>
      <w:r>
        <w:t xml:space="preserve">.</w:t>
      </w:r>
    </w:p>
    <w:p>
      <w:pPr>
        <w:numPr>
          <w:ilvl w:val="0"/>
          <w:numId w:val="1357"/>
        </w:numPr>
        <w:pStyle w:val="Compact"/>
      </w:pPr>
      <w:r>
        <w:t xml:space="preserve">In einer Phase-2-Studie mit 507 Erwachsenen mit Adipositas betrug der Gewichtsverlust nach 48 Wochen unter Bimagrumab allein 9,3 kg, unter Semaglutid allein 14,2 kg und unter der Kombination 17,8 kg (Placebo 3,3 kg). Häufige Nebenwirkungen von Bimagrumab waren Muskelkrämpfe, Durchfall und Akne</w:t>
      </w:r>
      <w:r>
        <w:rPr>
          <w:rStyle w:val="FootnoteReference"/>
        </w:rPr>
        <w:footnoteReference w:id="2859"/>
      </w:r>
      <w:r>
        <w:t xml:space="preserve">.</w:t>
      </w:r>
    </w:p>
    <w:p>
      <w:pPr>
        <w:pStyle w:val="FirstParagraph"/>
      </w:pPr>
      <w:r>
        <w:t xml:space="preserve">Lilly prüft Bimagrumab nun mit Tirzepatid (NCT06643728, 252 Teilnehmende, Ende Januar 2027). Eine kleinere Studie am Massachusetts General Hospital untersucht dieselbe Kombination mit Blick auf Körperzusammensetzung und Knochen</w:t>
      </w:r>
      <w:r>
        <w:rPr>
          <w:rStyle w:val="FootnoteReference"/>
        </w:rPr>
        <w:footnoteReference w:id="2860"/>
      </w:r>
      <w:r>
        <w:t xml:space="preserve">. Ob mehr Muskelmasse im Scan auch mehr Kraft, weniger Stürze oder weniger Knochenbrüche bedeutet, ist bisher nicht belegt. Phase-3-Studien sind im Register nicht verzeichnet.</w:t>
      </w:r>
    </w:p>
    <w:bookmarkEnd w:id="2861"/>
    <w:bookmarkStart w:id="2862" w:name="tabletten"/>
    <w:p>
      <w:pPr>
        <w:pStyle w:val="Heading4"/>
      </w:pPr>
      <w:r>
        <w:t xml:space="preserve">Tabletten</w:t>
      </w:r>
    </w:p>
    <w:p>
      <w:pPr>
        <w:pStyle w:val="FirstParagraph"/>
      </w:pPr>
      <w:r>
        <w:t xml:space="preserve">Der vielleicht folgenreichste Wandel betrifft nicht den Rezeptor, sondern den Weg in den Körper: Tabletten mit Peptiden und kleine Moleküle, die wie Peptide wirken. Diesem Thema ist das nächste Kapitel gewidmet.</w:t>
      </w:r>
    </w:p>
    <w:bookmarkEnd w:id="2862"/>
    <w:bookmarkEnd w:id="2863"/>
    <w:bookmarkStart w:id="2864" w:name="das-wichtigste-in-kürze-8"/>
    <w:p>
      <w:pPr>
        <w:pStyle w:val="Heading3"/>
      </w:pPr>
      <w:r>
        <w:t xml:space="preserve">Das Wichtigste in Kürze</w:t>
      </w:r>
    </w:p>
    <w:p>
      <w:pPr>
        <w:numPr>
          <w:ilvl w:val="0"/>
          <w:numId w:val="1358"/>
        </w:numPr>
        <w:pStyle w:val="Compact"/>
      </w:pPr>
      <w:r>
        <w:t xml:space="preserve">Nach Ausschluss fiktiver und fachfremder Einträge laufen 730 interventionelle Studien zu den Wirkstoffen dieses Buches, darunter 157 in Phase 3.</w:t>
      </w:r>
    </w:p>
    <w:p>
      <w:pPr>
        <w:numPr>
          <w:ilvl w:val="0"/>
          <w:numId w:val="1358"/>
        </w:numPr>
        <w:pStyle w:val="Compact"/>
      </w:pPr>
      <w:r>
        <w:t xml:space="preserve">Fast neun von zehn späten Studien betreffen Stoffwechsel und Gewicht. Für die populären Graumarkt-Peptide läuft keine einzige Phase-3-Studie.</w:t>
      </w:r>
    </w:p>
    <w:p>
      <w:pPr>
        <w:numPr>
          <w:ilvl w:val="0"/>
          <w:numId w:val="1358"/>
        </w:numPr>
        <w:pStyle w:val="Compact"/>
      </w:pPr>
      <w:r>
        <w:t xml:space="preserve">Die großen Herz-Kreislauf-, Nieren- und Leberstudien enden zwischen 2027 und 2032. Erst sie werden zeigen, ob die neuen Wirkstoffe mehr leisten als Gewicht zu senken.</w:t>
      </w:r>
    </w:p>
    <w:p>
      <w:pPr>
        <w:numPr>
          <w:ilvl w:val="0"/>
          <w:numId w:val="1358"/>
        </w:numPr>
        <w:pStyle w:val="Compact"/>
      </w:pPr>
      <w:r>
        <w:t xml:space="preserve">Neue Wirkprinzipien – Dreifach-Agonisten, Amylin, Antikörper-Peptid-Konjugate, Muskelschutz – sind in Phase-2-Studien belegt, die meisten befinden sich in Phase 3. Eine Zulassung ist für keinen dieser neuen Wirkstoffe gesichert.</w:t>
      </w:r>
    </w:p>
    <w:bookmarkEnd w:id="2864"/>
    <w:bookmarkEnd w:id="2865"/>
    <w:bookmarkStart w:id="2901" w:name="tabletten-statt-spritzen"/>
    <w:p>
      <w:pPr>
        <w:pStyle w:val="Heading2"/>
      </w:pPr>
      <w:r>
        <w:t xml:space="preserve">Tabletten statt Spritzen</w:t>
      </w:r>
    </w:p>
    <w:p>
      <w:pPr>
        <w:pStyle w:val="FirstParagraph"/>
      </w:pPr>
      <w:r>
        <w:t xml:space="preserve">Fast alle Peptid-Medikamente dieses Buches werden gespritzt. Das hat einen einfachen Grund: Der Magen-Darm-Trakt ist darauf ausgelegt, Eiweiße und Peptide in ihre Bausteine zu zerlegen. Was als Nahrung sinnvoll ist, macht ein Peptid als Arzneimittel unbrauchbar, bevor es das Blut erreicht. Teil I hat diese Hindernisse ausführlich beschrieben (Kapitel „Wie Peptide in den Körper kommen“).</w:t>
      </w:r>
    </w:p>
    <w:p>
      <w:pPr>
        <w:pStyle w:val="BodyText"/>
      </w:pPr>
      <w:r>
        <w:t xml:space="preserve">Dass trotzdem intensiv an Tabletten geforscht wird, hat mehrere Gründe. Viele Menschen spritzen sich ungern etwas. Spritzen müssen meist gekühlt werden, Pens sind aufwendig herzustellen. Und weil Medikamente gegen Adipositas nach heutigem Wissen dauerhaft genommen werden müssen, um zu wirken, zählt jede Erleichterung für die Langzeitbehandlung. Eine Übersichtsarbeit beschreibt, dass in klinischen Studien schon orale Formen von Insulin, Calcitonin, Parathormon und Vasopressin erprobt wurden und erst Semaglutid den Durchbruch für einen breit eingesetzten Wirkstoff brachte</w:t>
      </w:r>
      <w:r>
        <w:rPr>
          <w:rStyle w:val="FootnoteReference"/>
        </w:rPr>
        <w:footnoteReference w:id="2866"/>
      </w:r>
      <w:r>
        <w:t xml:space="preserve">.</w:t>
      </w:r>
    </w:p>
    <w:p>
      <w:pPr>
        <w:pStyle w:val="BodyText"/>
      </w:pPr>
      <w:r>
        <w:t xml:space="preserve">Heute gibt es zwei grundsätzlich verschiedene Wege zur Tablette: Man schützt ein</w:t>
      </w:r>
      <w:r>
        <w:t xml:space="preserve"> </w:t>
      </w:r>
      <w:r>
        <w:rPr>
          <w:bCs/>
          <w:b/>
        </w:rPr>
        <w:t xml:space="preserve">Peptid</w:t>
      </w:r>
      <w:r>
        <w:t xml:space="preserve"> </w:t>
      </w:r>
      <w:r>
        <w:t xml:space="preserve">so, dass zumindest ein kleiner Teil aufgenommen wird – oder man ersetzt das Peptid durch ein</w:t>
      </w:r>
      <w:r>
        <w:t xml:space="preserve"> </w:t>
      </w:r>
      <w:r>
        <w:rPr>
          <w:bCs/>
          <w:b/>
        </w:rPr>
        <w:t xml:space="preserve">kleines Molekül</w:t>
      </w:r>
      <w:r>
        <w:t xml:space="preserve">, das wie ein gewöhnliches Medikament aus dem Darm ins Blut gelangt und trotzdem am selben Rezeptor wirkt.</w:t>
      </w:r>
    </w:p>
    <w:bookmarkStart w:id="2881" w:name="weg-1-peptid-plus-absorptionsverstärker"/>
    <w:p>
      <w:pPr>
        <w:pStyle w:val="Heading3"/>
      </w:pPr>
      <w:r>
        <w:t xml:space="preserve">Weg 1: Peptid plus Absorptionsverstärker</w:t>
      </w:r>
    </w:p>
    <w:bookmarkStart w:id="2868" w:name="das-prinzip"/>
    <w:p>
      <w:pPr>
        <w:pStyle w:val="Heading4"/>
      </w:pPr>
      <w:r>
        <w:t xml:space="preserve">Das Prinzip</w:t>
      </w:r>
    </w:p>
    <w:p>
      <w:pPr>
        <w:pStyle w:val="FirstParagraph"/>
      </w:pPr>
      <w:r>
        <w:t xml:space="preserve">Ein</w:t>
      </w:r>
      <w:r>
        <w:t xml:space="preserve"> </w:t>
      </w:r>
      <w:r>
        <w:rPr>
          <w:bCs/>
          <w:b/>
        </w:rPr>
        <w:t xml:space="preserve">Absorptionsverstärker</w:t>
      </w:r>
      <w:r>
        <w:t xml:space="preserve"> </w:t>
      </w:r>
      <w:r>
        <w:t xml:space="preserve">(Fachbegriff: Permeationsverstärker) ist ein Hilfsstoff, der die Schleimhaut kurzzeitig durchlässiger macht oder das Peptid vor dem Abbau schützt. Bei der Semaglutid-Tablette ist das der Hilfsstoff</w:t>
      </w:r>
      <w:r>
        <w:t xml:space="preserve"> </w:t>
      </w:r>
      <w:r>
        <w:rPr>
          <w:bCs/>
          <w:b/>
        </w:rPr>
        <w:t xml:space="preserve">SNAC</w:t>
      </w:r>
      <w:r>
        <w:t xml:space="preserve">. Er hebt in der unmittelbaren Umgebung der Tablette den pH-Wert an, dämpft die Aktivierung des Verdauungsenzyms Pepsin und sorgt dafür, dass Semaglutid als Einzelmolekül vorliegt, das leichter aufgenommen wird. Trotzdem gelangen nach einer Übersichtsarbeit nur etwa 0,4 bis 1 % des Wirkstoffs ins Blut – und das nur nüchtern und mit wenig Wasser. Nach einer Mahlzeit ist praktisch kein Semaglutid im Blut nachweisbar</w:t>
      </w:r>
      <w:r>
        <w:rPr>
          <w:rStyle w:val="FootnoteReference"/>
        </w:rPr>
        <w:footnoteReference w:id="2867"/>
      </w:r>
      <w:r>
        <w:t xml:space="preserve">. Daraus ergeben sich die strengen Einnahmeregeln, die in der Fachinformation stehen.</w:t>
      </w:r>
    </w:p>
    <w:bookmarkEnd w:id="2868"/>
    <w:bookmarkStart w:id="2870" w:name="die-semaglutid-tablette-bei-adipositas"/>
    <w:p>
      <w:pPr>
        <w:pStyle w:val="Heading4"/>
      </w:pPr>
      <w:r>
        <w:t xml:space="preserve">Die Semaglutid-Tablette bei Adipositas</w:t>
      </w:r>
    </w:p>
    <w:p>
      <w:pPr>
        <w:pStyle w:val="FirstParagraph"/>
      </w:pPr>
      <w:r>
        <w:t xml:space="preserve">Für Typ-2-Diabetes ist die Semaglutid-Tablette (Rybelsus) in der EU seit 2020 zugelassen. Für Adipositas wurden höhere Dosen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Erwachsene ohne Diabetes, Tablette gegen Placebo</w:t>
            </w:r>
          </w:p>
        </w:tc>
        <w:tc>
          <w:tcPr/>
          <w:p>
            <w:pPr>
              <w:pStyle w:val="Compact"/>
              <w:jc w:val="left"/>
            </w:pPr>
            <w:r>
              <w:t xml:space="preserve">68 Wochen</w:t>
            </w:r>
          </w:p>
        </w:tc>
        <w:tc>
          <w:tcPr/>
          <w:p>
            <w:pPr>
              <w:pStyle w:val="Compact"/>
              <w:jc w:val="left"/>
            </w:pPr>
            <w:r>
              <w:t xml:space="preserve">−15,1 % Gewicht vs. −2,4 %</w:t>
            </w:r>
          </w:p>
        </w:tc>
      </w:tr>
      <w:tr>
        <w:tc>
          <w:tcPr/>
          <w:p>
            <w:pPr>
              <w:pStyle w:val="Compact"/>
              <w:jc w:val="left"/>
            </w:pPr>
            <w:r>
              <w:t xml:space="preserve">OASIS 4 (Wharton 2025), PMID 40934115</w:t>
            </w:r>
          </w:p>
        </w:tc>
        <w:tc>
          <w:tcPr/>
          <w:p>
            <w:pPr>
              <w:pStyle w:val="Compact"/>
              <w:jc w:val="left"/>
            </w:pPr>
            <w:r>
              <w:t xml:space="preserve">307 Erwachsene ohne Diabetes, niedrigere Tablettendosis gegen Placebo</w:t>
            </w:r>
          </w:p>
        </w:tc>
        <w:tc>
          <w:tcPr/>
          <w:p>
            <w:pPr>
              <w:pStyle w:val="Compact"/>
              <w:jc w:val="left"/>
            </w:pPr>
            <w:r>
              <w:t xml:space="preserve">64 Wochen</w:t>
            </w:r>
          </w:p>
        </w:tc>
        <w:tc>
          <w:tcPr/>
          <w:p>
            <w:pPr>
              <w:pStyle w:val="Compact"/>
              <w:jc w:val="left"/>
            </w:pPr>
            <w:r>
              <w:t xml:space="preserve">−13,6 % vs. −2,2 %</w:t>
            </w:r>
          </w:p>
        </w:tc>
      </w:tr>
      <w:tr>
        <w:tc>
          <w:tcPr/>
          <w:p>
            <w:pPr>
              <w:pStyle w:val="Compact"/>
              <w:jc w:val="left"/>
            </w:pPr>
            <w:r>
              <w:t xml:space="preserve">Zum Vergleich: STEP 1 (Wilding 2021), PMID 33567185</w:t>
            </w:r>
          </w:p>
        </w:tc>
        <w:tc>
          <w:tcPr/>
          <w:p>
            <w:pPr>
              <w:pStyle w:val="Compact"/>
              <w:jc w:val="left"/>
            </w:pPr>
            <w:r>
              <w:t xml:space="preserve">1.961 Erwachsene ohne Diabetes, wöchentliche Spritze gegen Placebo</w:t>
            </w:r>
          </w:p>
        </w:tc>
        <w:tc>
          <w:tcPr/>
          <w:p>
            <w:pPr>
              <w:pStyle w:val="Compact"/>
              <w:jc w:val="left"/>
            </w:pPr>
            <w:r>
              <w:t xml:space="preserve">68 Wochen</w:t>
            </w:r>
          </w:p>
        </w:tc>
        <w:tc>
          <w:tcPr/>
          <w:p>
            <w:pPr>
              <w:pStyle w:val="Compact"/>
              <w:jc w:val="left"/>
            </w:pPr>
            <w:r>
              <w:t xml:space="preserve">−14,9 % vs. −2,4 %</w:t>
            </w:r>
          </w:p>
        </w:tc>
      </w:tr>
    </w:tbl>
    <w:p>
      <w:pPr>
        <w:pStyle w:val="BodyText"/>
      </w:pPr>
      <w:r>
        <w:t xml:space="preserve">In beiden Tablettenstudien waren Magen-Darm-Beschwerden häufig: 80 % gegenüber 46 % unter Placebo in OASIS 1, 74,0 % gegenüber 42,2 % in OASIS 4. Die Studie OASIS 4 bildet nach dem Kapitel Semaglutid die Grundlage der in den USA zugelassenen Wegovy-Tablette (bitte aktuellen Zulassungsstand prüfen). Eine weitere Phase-3-Studie zur Tablette läuft (OASIS 5, NCT07770841, Ende April 2028).</w:t>
      </w:r>
    </w:p>
    <w:p>
      <w:pPr>
        <w:pStyle w:val="BodyText"/>
      </w:pPr>
      <w:r>
        <w:t xml:space="preserve">Die Zahlen liegen nahe an denen der Spritze. Ein großer direkter Vergleich zwischen Tablette und Spritze bei Adipositas fehlt allerdings, und Quervergleiche zwischen Studien sind nur eine grobe Orientierung.</w:t>
      </w:r>
    </w:p>
    <w:p>
      <w:pPr>
        <w:pStyle w:val="BodyText"/>
      </w:pPr>
      <w:r>
        <w:rPr>
          <w:bCs/>
          <w:b/>
        </w:rPr>
        <w:t xml:space="preserve">Ein Nachteil, der selten erwähnt wird:</w:t>
      </w:r>
      <w:r>
        <w:t xml:space="preserve"> </w:t>
      </w:r>
      <w:r>
        <w:t xml:space="preserve">Weil nur ein Bruchteil aufgenommen wird, braucht die Tablette ein Vielfaches an Wirkstoff. Eine Kostenschätzung für Nachahmerpräparate nach Patentablauf kam für gespritztes Semaglutid auf 28 bis 140 US-Dollar pro Person und Jahr, für die Tablette auf 186 bis 380 US-Dollar</w:t>
      </w:r>
      <w:r>
        <w:rPr>
          <w:rStyle w:val="FootnoteReference"/>
        </w:rPr>
        <w:footnoteReference w:id="2869"/>
      </w:r>
      <w:r>
        <w:t xml:space="preserve">. Die Tablette ist also nicht automatisch die günstigere Lösung (mehr dazu im Kapitel „Patente, Generika und Preise“).</w:t>
      </w:r>
    </w:p>
    <w:bookmarkEnd w:id="2870"/>
    <w:bookmarkStart w:id="2872" w:name="harte-endpunkte-soul"/>
    <w:p>
      <w:pPr>
        <w:pStyle w:val="Heading4"/>
      </w:pPr>
      <w:r>
        <w:t xml:space="preserve">Harte Endpunkte: SOUL</w:t>
      </w:r>
    </w:p>
    <w:p>
      <w:pPr>
        <w:pStyle w:val="FirstParagraph"/>
      </w:pPr>
      <w:r>
        <w:t xml:space="preserve">Für Typ-2-Diabetes ist der Nutzen der Semaglutid-Tablette über den Blutzucker hinaus belegt. In SOUL mit 9.650 Menschen mit Typ-2-Diabetes und Gefäß- oder Nierenerkrankung traten schwere Herz-Kreislauf-Ereignisse über eine mittlere Beobachtungszeit von etwa vier Jahren bei 12,0 % unter der Tablette und bei 13,8 % unter Placebo auf (Hazard Ratio 0,86). Die bestätigenden Nierenendpunkte unterschieden sich nicht signifikant</w:t>
      </w:r>
      <w:r>
        <w:rPr>
          <w:rStyle w:val="FootnoteReference"/>
        </w:rPr>
        <w:footnoteReference w:id="2871"/>
      </w:r>
      <w:r>
        <w:t xml:space="preserve">. Für Menschen mit Adipositas ohne Diabetes gibt es eine solche Studie mit der Tablette bisher nicht.</w:t>
      </w:r>
    </w:p>
    <w:bookmarkEnd w:id="2872"/>
    <w:bookmarkStart w:id="2875" w:name="amylin-und-glp-1-als-tablette"/>
    <w:p>
      <w:pPr>
        <w:pStyle w:val="Heading4"/>
      </w:pPr>
      <w:r>
        <w:t xml:space="preserve">Amylin und GLP-1 als Tablette</w:t>
      </w:r>
    </w:p>
    <w:p>
      <w:pPr>
        <w:pStyle w:val="FirstParagraph"/>
      </w:pPr>
      <w:r>
        <w:t xml:space="preserve">Novo Nordisk entwickelt auch Amycretin (seit 2026 Zenagamtid) als Tablette. Das Peptid wirkt laut der Studienveröffentlichung an GLP-1-, Amylin- und Calcitonin-Rezeptoren. In einer Phase-2-Studie mit 186 Erwachsenen mit Typ-2-Diabetes sank der HbA1c-Wert nach 36 Wochen in den drei Dosisgruppen um 0,5 bis 1,1 Prozentpunkte stärker als unter Placebo. Magen-Darm-Beschwerden traten je nach Dosis bei 26 bis 47 % auf (Placebo 23 %); schwere unerwünschte Ereignisse betrafen 4 % unter Zenagamtid und niemanden unter Placebo</w:t>
      </w:r>
      <w:r>
        <w:rPr>
          <w:rStyle w:val="FootnoteReference"/>
        </w:rPr>
        <w:footnoteReference w:id="2873"/>
      </w:r>
      <w:r>
        <w:t xml:space="preserve">. Die Phase-3-Studie AMAZE 9 prüft die Tablette bei Übergewicht mit 950 Teilnehmenden (NCT07720271, Ende August 2028). Eine Phase-1-Studie untersucht ausdrücklich, wie Wassermenge und Zeitpunkt der Mahlzeit die Aufnahme beeinflussen</w:t>
      </w:r>
      <w:r>
        <w:rPr>
          <w:rStyle w:val="FootnoteReference"/>
        </w:rPr>
        <w:footnoteReference w:id="2874"/>
      </w:r>
      <w:r>
        <w:t xml:space="preserve"> </w:t>
      </w:r>
      <w:r>
        <w:t xml:space="preserve">– ein Hinweis darauf, dass auch diese Tablette an Einnahmeregeln gebunden sein dürfte.</w:t>
      </w:r>
    </w:p>
    <w:bookmarkEnd w:id="2875"/>
    <w:bookmarkStart w:id="2880" w:name="X459f4598c9f516f227a9c51f1924753652a6a3d"/>
    <w:p>
      <w:pPr>
        <w:pStyle w:val="Heading4"/>
      </w:pPr>
      <w:r>
        <w:t xml:space="preserve">Orale Peptide außerhalb des Stoffwechsels</w:t>
      </w:r>
    </w:p>
    <w:p>
      <w:pPr>
        <w:pStyle w:val="FirstParagraph"/>
      </w:pPr>
      <w:r>
        <w:t xml:space="preserve">Der Durchbruch beschränkt sich nicht auf Abnehmmittel. Zwei Beispiele zeigen, dass orale Peptide zu einer eigenen Arzneimittelklasse werden:</w:t>
      </w:r>
    </w:p>
    <w:p>
      <w:pPr>
        <w:numPr>
          <w:ilvl w:val="0"/>
          <w:numId w:val="1359"/>
        </w:numPr>
        <w:pStyle w:val="Compact"/>
      </w:pPr>
      <w:r>
        <w:rPr>
          <w:bCs/>
          <w:b/>
        </w:rPr>
        <w:t xml:space="preserve">Enlicitide</w:t>
      </w:r>
      <w:r>
        <w:t xml:space="preserve"> </w:t>
      </w:r>
      <w:r>
        <w:t xml:space="preserve">ist ein ringförmiges (makrozyklisches) Peptid, das das Eiweiß PCSK9 hemmt und so das LDL-Cholesterin senkt. Bisher gab es solche Hemmstoffe nur als Spritze (Antikörper). Gefunden wurde der Wirkstoff mit einem Verfahren, das sehr große Peptid-Bibliotheken nach passenden Bindungspartnern durchsucht, und anschließend gezielt chemisch optimiert</w:t>
      </w:r>
      <w:r>
        <w:rPr>
          <w:rStyle w:val="FootnoteReference"/>
        </w:rPr>
        <w:footnoteReference w:id="2876"/>
      </w:r>
      <w:r>
        <w:t xml:space="preserve">. In der Phase-3-Studie CORALreef Lipids mit 2.909 Teilnehmenden sank das LDL-Cholesterin nach 24 Wochen um 57,1 %, unter Placebo stieg es um 3,0 %. Unerwünschte Ereignisse traten in beiden Gruppen ähnlich häufig auf</w:t>
      </w:r>
      <w:r>
        <w:rPr>
          <w:rStyle w:val="FootnoteReference"/>
        </w:rPr>
        <w:footnoteReference w:id="2877"/>
      </w:r>
      <w:r>
        <w:t xml:space="preserve">. Ob das auch Herzinfarkte und Schlaganfälle verhindert, soll CORALreef Outcomes mit 14.550 Teilnehmenden zeigen (NCT06008756, Ende November 2031).</w:t>
      </w:r>
    </w:p>
    <w:p>
      <w:pPr>
        <w:numPr>
          <w:ilvl w:val="0"/>
          <w:numId w:val="1359"/>
        </w:numPr>
        <w:pStyle w:val="Compact"/>
      </w:pPr>
      <w:r>
        <w:rPr>
          <w:bCs/>
          <w:b/>
        </w:rPr>
        <w:t xml:space="preserve">Icotrokinra</w:t>
      </w:r>
      <w:r>
        <w:t xml:space="preserve"> </w:t>
      </w:r>
      <w:r>
        <w:t xml:space="preserve">ist ein orales Peptid, das den Rezeptor für den Entzündungsbotenstoff Interleukin-23 blockiert. In der Phase-3-Studie ICONIC-LEAD mit 684 Erwachsenen und Jugendlichen mit mittelschwerer bis schwerer Schuppenflechte erreichten nach 16 Wochen 65 % eine (fast) erscheinungsfreie Haut gegenüber 8 % unter Placebo; unerwünschte Ereignisse waren in beiden Gruppen gleich häufig (49 %)</w:t>
      </w:r>
      <w:r>
        <w:rPr>
          <w:rStyle w:val="FootnoteReference"/>
        </w:rPr>
        <w:footnoteReference w:id="2878"/>
      </w:r>
      <w:r>
        <w:t xml:space="preserve">. Im März 2026 wurde Icotrokinra in den USA zugelassen, in der EU lief die Prüfung (Keam 2026, PMID 42243571; bitte aktuellen Stand prüfen). Bemerkenswert ist der Weg dorthin: Laut einer pharmakologischen Untersuchung kommt Icotrokinra</w:t>
      </w:r>
      <w:r>
        <w:t xml:space="preserve"> </w:t>
      </w:r>
      <w:r>
        <w:rPr>
          <w:bCs/>
          <w:b/>
        </w:rPr>
        <w:t xml:space="preserve">ohne</w:t>
      </w:r>
      <w:r>
        <w:t xml:space="preserve"> </w:t>
      </w:r>
      <w:r>
        <w:t xml:space="preserve">Absorptionsverstärker aus. Im Tierversuch gelangten nur 0,1 bis 0,3 % ins Blut, und doch war eine Wirkung im ganzen Körper messbar, weil das Peptid sehr stabil und sehr wirksam ist</w:t>
      </w:r>
      <w:r>
        <w:rPr>
          <w:rStyle w:val="FootnoteReference"/>
        </w:rPr>
        <w:footnoteReference w:id="2879"/>
      </w:r>
      <w:r>
        <w:t xml:space="preserve">. Studien bei Colitis ulcerosa laufen (ICONIC-UC, NCT07196748).</w:t>
      </w:r>
    </w:p>
    <w:p>
      <w:pPr>
        <w:pStyle w:val="FirstParagraph"/>
      </w:pPr>
      <w:r>
        <w:t xml:space="preserve">Beide Wirkstoffe sind keine Peptide aus dem Graumarkt, sondern gezielt am Reißbrett entworfene Moleküle, die über Jahre in großen Studien geprüft wurden. Mit den „oralen“ Peptiden, die im Internet angeboten werden, haben sie nichts gemeinsam.</w:t>
      </w:r>
    </w:p>
    <w:bookmarkEnd w:id="2880"/>
    <w:bookmarkEnd w:id="2881"/>
    <w:bookmarkStart w:id="2890" w:name="weg-2-kleine-moleküle-statt-peptide"/>
    <w:p>
      <w:pPr>
        <w:pStyle w:val="Heading3"/>
      </w:pPr>
      <w:r>
        <w:t xml:space="preserve">Weg 2: Kleine Moleküle statt Peptide</w:t>
      </w:r>
    </w:p>
    <w:bookmarkStart w:id="2887" w:name="orforglipron"/>
    <w:p>
      <w:pPr>
        <w:pStyle w:val="Heading4"/>
      </w:pPr>
      <w:r>
        <w:t xml:space="preserve">Orforglipron</w:t>
      </w:r>
    </w:p>
    <w:p>
      <w:pPr>
        <w:pStyle w:val="FirstParagraph"/>
      </w:pPr>
      <w:r>
        <w:t xml:space="preserve">Orforglipron ist kein Peptid, sondern ein kleines, chemisch hergestelltes Molekül, das den GLP-1-Rezeptor aktiviert (ausführlich im Kapitel Orforglipron in Teil II · A). Es wird wie eine gewöhnliche Tablette einmal täglich eingenommen, laut den Studien ohne Rücksicht auf Mahlzeiten oder Wassermenge</w:t>
      </w:r>
      <w:r>
        <w:rPr>
          <w:rStyle w:val="FootnoteReference"/>
        </w:rPr>
        <w:footnoteReference w:id="2882"/>
      </w:r>
      <w:r>
        <w:t xml:space="preserve">.</w:t>
      </w:r>
    </w:p>
    <w:p>
      <w:pPr>
        <w:numPr>
          <w:ilvl w:val="0"/>
          <w:numId w:val="1360"/>
        </w:numPr>
        <w:pStyle w:val="Compact"/>
      </w:pPr>
      <w:r>
        <w:rPr>
          <w:bCs/>
          <w:b/>
        </w:rPr>
        <w:t xml:space="preserve">Gewicht:</w:t>
      </w:r>
      <w:r>
        <w:t xml:space="preserve"> </w:t>
      </w:r>
      <w:r>
        <w:t xml:space="preserve">In ATTAIN-1 mit 3.127 Erwachsenen mit Adipositas sank das Gewicht nach 72 Wochen in der höchsten Dosis um 11,2 %, unter Placebo um 2,1 %. Wegen Nebenwirkungen brachen 5,3 bis 10,3 % ab (Placebo 2,7 %)</w:t>
      </w:r>
      <w:r>
        <w:rPr>
          <w:rStyle w:val="FootnoteReference"/>
        </w:rPr>
        <w:footnoteReference w:id="2883"/>
      </w:r>
      <w:r>
        <w:t xml:space="preserve">.</w:t>
      </w:r>
    </w:p>
    <w:p>
      <w:pPr>
        <w:numPr>
          <w:ilvl w:val="0"/>
          <w:numId w:val="1360"/>
        </w:numPr>
        <w:pStyle w:val="Compact"/>
      </w:pPr>
      <w:r>
        <w:rPr>
          <w:bCs/>
          <w:b/>
        </w:rPr>
        <w:t xml:space="preserve">Blutzucker:</w:t>
      </w:r>
      <w:r>
        <w:t xml:space="preserve"> </w:t>
      </w:r>
      <w:r>
        <w:t xml:space="preserve">Im offenen Vergleich mit der Semaglutid-Tablette (ACHIEVE-3, 1.698 Teilnehmende) senkte Orforglipron den HbA1c-Wert nach 52 Wochen stärker, in den jeweils höheren Dosen um 1,91 gegenüber 1,47 Prozentpunkten</w:t>
      </w:r>
      <w:r>
        <w:rPr>
          <w:rStyle w:val="FootnoteReference"/>
        </w:rPr>
        <w:footnoteReference w:id="2884"/>
      </w:r>
      <w:r>
        <w:t xml:space="preserve">.</w:t>
      </w:r>
    </w:p>
    <w:p>
      <w:pPr>
        <w:numPr>
          <w:ilvl w:val="0"/>
          <w:numId w:val="1360"/>
        </w:numPr>
        <w:pStyle w:val="Compact"/>
      </w:pPr>
      <w:r>
        <w:rPr>
          <w:bCs/>
          <w:b/>
        </w:rPr>
        <w:t xml:space="preserve">Gewicht halten:</w:t>
      </w:r>
      <w:r>
        <w:t xml:space="preserve"> </w:t>
      </w:r>
      <w:r>
        <w:t xml:space="preserve">In ATTAIN-MAINTAIN wechselten Teilnehmende nach einer Abnahme mit gespritztem Tirzepatid oder Semaglutid auf Orforglipron oder Placebo. Nach 52 Wochen hielten sie mit Orforglipron 74,7 % bzw. 79,3 % ihres Gewichtsverlusts, mit Placebo 49,2 % bzw. 37,6 %. Eine Gruppe, die die Spritze einfach weiter erhielt, gab es nicht; die Autorinnen und Autoren nennen das selbst als Einschränkung</w:t>
      </w:r>
      <w:r>
        <w:rPr>
          <w:rStyle w:val="FootnoteReference"/>
        </w:rPr>
        <w:footnoteReference w:id="2885"/>
      </w:r>
      <w:r>
        <w:t xml:space="preserve">.</w:t>
      </w:r>
    </w:p>
    <w:p>
      <w:pPr>
        <w:numPr>
          <w:ilvl w:val="0"/>
          <w:numId w:val="1360"/>
        </w:numPr>
        <w:pStyle w:val="Compact"/>
      </w:pPr>
      <w:r>
        <w:rPr>
          <w:bCs/>
          <w:b/>
        </w:rPr>
        <w:t xml:space="preserve">Leber:</w:t>
      </w:r>
      <w:r>
        <w:t xml:space="preserve"> </w:t>
      </w:r>
      <w:r>
        <w:t xml:space="preserve">Bei kleinen GLP-1-Molekülen waren Leberwerte eine besondere Sorge. Eine gepoolte Auswertung von sieben Phase-3-Studien mit 11.220 Teilnehmenden fand für Orforglipron keinen Fall, der die Kriterien eines arzneimittelbedingten Leberschadens erfüllte</w:t>
      </w:r>
      <w:r>
        <w:rPr>
          <w:rStyle w:val="FootnoteReference"/>
        </w:rPr>
        <w:footnoteReference w:id="2886"/>
      </w:r>
      <w:r>
        <w:t xml:space="preserve">.</w:t>
      </w:r>
    </w:p>
    <w:bookmarkEnd w:id="2887"/>
    <w:bookmarkStart w:id="2889" w:name="nicht-jedes-kleine-molekül-schafft-es"/>
    <w:p>
      <w:pPr>
        <w:pStyle w:val="Heading4"/>
      </w:pPr>
      <w:r>
        <w:t xml:space="preserve">Nicht jedes kleine Molekül schafft es</w:t>
      </w:r>
    </w:p>
    <w:p>
      <w:pPr>
        <w:pStyle w:val="FirstParagraph"/>
      </w:pPr>
      <w:r>
        <w:t xml:space="preserve">Dass der Weg schwierig ist, zeigt</w:t>
      </w:r>
      <w:r>
        <w:t xml:space="preserve"> </w:t>
      </w:r>
      <w:r>
        <w:rPr>
          <w:bCs/>
          <w:b/>
        </w:rPr>
        <w:t xml:space="preserve">Danuglipron</w:t>
      </w:r>
      <w:r>
        <w:t xml:space="preserve"> </w:t>
      </w:r>
      <w:r>
        <w:t xml:space="preserve">von Pfizer. In einer Phase-2b-Studie mit 628 Erwachsenen mit Adipositas, in der die Tabletten zweimal täglich genommen wurden, sank das Gewicht zwar deutlich stärker als unter Placebo, aber nur 39,3 % schlossen die Behandlung ab; etwa 38 % brachen wegen Nebenwirkungen ab</w:t>
      </w:r>
      <w:r>
        <w:rPr>
          <w:rStyle w:val="FootnoteReference"/>
        </w:rPr>
        <w:footnoteReference w:id="2888"/>
      </w:r>
      <w:r>
        <w:t xml:space="preserve">. Nach Mitteilungen des Herstellers wurde die Entwicklung eingestellt. Weitere Unternehmen entwickeln eigene Tabletten; AstraZeneca etwa prüft den Wirkstoff Elecoglipron in einer Phase-3-Studie gegen die Semaglutid-Tablette (Eluminate-2, NCT07662213).</w:t>
      </w:r>
    </w:p>
    <w:bookmarkEnd w:id="2889"/>
    <w:bookmarkEnd w:id="2890"/>
    <w:bookmarkStart w:id="2892" w:name="X4c828522be558c0a510d892b01c80627d6eee7d"/>
    <w:p>
      <w:pPr>
        <w:pStyle w:val="Heading3"/>
      </w:pPr>
      <w:r>
        <w:t xml:space="preserve">Peptid-Tablette oder kleines Molekül: ein Vergleich</w:t>
      </w:r>
    </w:p>
    <w:p>
      <w:pPr>
        <w:pStyle w:val="FirstParagraph"/>
      </w:pPr>
      <w:r>
        <w:t xml:space="preserve">Ein direkter Vergleich der Semaglutid-Tablette mit Orforglipron bei Adipositas fehlt. Eine Auswertung verglich die beiden indirekt, indem sie die Einzeldaten von OASIS 4 mit den veröffentlichten Gesamtdaten von ATTAIN-1 abglich. Danach war der Gewichtsverlust mit der Semaglutid-Tablette um rund 3 Prozentpunkte größer, und Abbrüche wegen Nebenwirkungen waren unter Orforglipron häufiger</w:t>
      </w:r>
      <w:r>
        <w:rPr>
          <w:rStyle w:val="FootnoteReference"/>
        </w:rPr>
        <w:footnoteReference w:id="2891"/>
      </w:r>
      <w:r>
        <w:t xml:space="preserve">. Solche indirekten Vergleiche sind mit Vorsicht zu lesen: Nur für eine der beiden Studien standen die Einzeldaten zur Verfügung, und zwar die des Semaglutid-Programms.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Merkmal</w:t>
            </w:r>
          </w:p>
        </w:tc>
        <w:tc>
          <w:tcPr/>
          <w:p>
            <w:pPr>
              <w:pStyle w:val="Compact"/>
              <w:jc w:val="left"/>
            </w:pPr>
            <w:r>
              <w:t xml:space="preserve">Peptid-Spritze</w:t>
            </w:r>
          </w:p>
        </w:tc>
        <w:tc>
          <w:tcPr/>
          <w:p>
            <w:pPr>
              <w:pStyle w:val="Compact"/>
              <w:jc w:val="left"/>
            </w:pPr>
            <w:r>
              <w:t xml:space="preserve">Peptid-Tablette</w:t>
            </w:r>
          </w:p>
        </w:tc>
        <w:tc>
          <w:tcPr/>
          <w:p>
            <w:pPr>
              <w:pStyle w:val="Compact"/>
              <w:jc w:val="left"/>
            </w:pPr>
            <w:r>
              <w:t xml:space="preserve">Kleines Molekül</w:t>
            </w:r>
          </w:p>
        </w:tc>
      </w:tr>
      <w:tr>
        <w:tc>
          <w:tcPr/>
          <w:p>
            <w:pPr>
              <w:pStyle w:val="Compact"/>
              <w:jc w:val="left"/>
            </w:pPr>
            <w:r>
              <w:t xml:space="preserve">Beispiel</w:t>
            </w:r>
          </w:p>
        </w:tc>
        <w:tc>
          <w:tcPr/>
          <w:p>
            <w:pPr>
              <w:pStyle w:val="Compact"/>
              <w:jc w:val="left"/>
            </w:pPr>
            <w:r>
              <w:t xml:space="preserve">Semaglutid, Tirzepatid</w:t>
            </w:r>
          </w:p>
        </w:tc>
        <w:tc>
          <w:tcPr/>
          <w:p>
            <w:pPr>
              <w:pStyle w:val="Compact"/>
              <w:jc w:val="left"/>
            </w:pPr>
            <w:r>
              <w:t xml:space="preserve">Semaglutid-Tablette, Zenagamtid-Tablette</w:t>
            </w:r>
          </w:p>
        </w:tc>
        <w:tc>
          <w:tcPr/>
          <w:p>
            <w:pPr>
              <w:pStyle w:val="Compact"/>
              <w:jc w:val="left"/>
            </w:pPr>
            <w:r>
              <w:t xml:space="preserve">Orforglipron</w:t>
            </w:r>
          </w:p>
        </w:tc>
      </w:tr>
      <w:tr>
        <w:tc>
          <w:tcPr/>
          <w:p>
            <w:pPr>
              <w:pStyle w:val="Compact"/>
              <w:jc w:val="left"/>
            </w:pPr>
            <w:r>
              <w:t xml:space="preserve">Einnahme</w:t>
            </w:r>
          </w:p>
        </w:tc>
        <w:tc>
          <w:tcPr/>
          <w:p>
            <w:pPr>
              <w:pStyle w:val="Compact"/>
              <w:jc w:val="left"/>
            </w:pPr>
            <w:r>
              <w:t xml:space="preserve">wöchentlich bis monatlich</w:t>
            </w:r>
          </w:p>
        </w:tc>
        <w:tc>
          <w:tcPr/>
          <w:p>
            <w:pPr>
              <w:pStyle w:val="Compact"/>
              <w:jc w:val="left"/>
            </w:pPr>
            <w:r>
              <w:t xml:space="preserve">täglich, nüchtern, mit Einnahmeregeln</w:t>
            </w:r>
          </w:p>
        </w:tc>
        <w:tc>
          <w:tcPr/>
          <w:p>
            <w:pPr>
              <w:pStyle w:val="Compact"/>
              <w:jc w:val="left"/>
            </w:pPr>
            <w:r>
              <w:t xml:space="preserve">täglich, ohne Essensregeln</w:t>
            </w:r>
          </w:p>
        </w:tc>
      </w:tr>
      <w:tr>
        <w:tc>
          <w:tcPr/>
          <w:p>
            <w:pPr>
              <w:pStyle w:val="Compact"/>
              <w:jc w:val="left"/>
            </w:pPr>
            <w:r>
              <w:t xml:space="preserve">Wirkstoffbedarf</w:t>
            </w:r>
          </w:p>
        </w:tc>
        <w:tc>
          <w:tcPr/>
          <w:p>
            <w:pPr>
              <w:pStyle w:val="Compact"/>
              <w:jc w:val="left"/>
            </w:pPr>
            <w:r>
              <w:t xml:space="preserve">gering</w:t>
            </w:r>
          </w:p>
        </w:tc>
        <w:tc>
          <w:tcPr/>
          <w:p>
            <w:pPr>
              <w:pStyle w:val="Compact"/>
              <w:jc w:val="left"/>
            </w:pPr>
            <w:r>
              <w:t xml:space="preserve">sehr hoch (Aufnahme etwa 1 %)</w:t>
            </w:r>
          </w:p>
        </w:tc>
        <w:tc>
          <w:tcPr/>
          <w:p>
            <w:pPr>
              <w:pStyle w:val="Compact"/>
              <w:jc w:val="left"/>
            </w:pPr>
            <w:r>
              <w:t xml:space="preserve">normal für Tabletten</w:t>
            </w:r>
          </w:p>
        </w:tc>
      </w:tr>
      <w:tr>
        <w:tc>
          <w:tcPr/>
          <w:p>
            <w:pPr>
              <w:pStyle w:val="Compact"/>
              <w:jc w:val="left"/>
            </w:pPr>
            <w:r>
              <w:t xml:space="preserve">Gewichtsverlust in Studien</w:t>
            </w:r>
          </w:p>
        </w:tc>
        <w:tc>
          <w:tcPr/>
          <w:p>
            <w:pPr>
              <w:pStyle w:val="Compact"/>
              <w:jc w:val="left"/>
            </w:pPr>
            <w:r>
              <w:t xml:space="preserve">am höchsten</w:t>
            </w:r>
          </w:p>
        </w:tc>
        <w:tc>
          <w:tcPr/>
          <w:p>
            <w:pPr>
              <w:pStyle w:val="Compact"/>
              <w:jc w:val="left"/>
            </w:pPr>
            <w:r>
              <w:t xml:space="preserve">ähnlich der Semaglutid-Spritze</w:t>
            </w:r>
          </w:p>
        </w:tc>
        <w:tc>
          <w:tcPr/>
          <w:p>
            <w:pPr>
              <w:pStyle w:val="Compact"/>
              <w:jc w:val="left"/>
            </w:pPr>
            <w:r>
              <w:t xml:space="preserve">etwas geringer</w:t>
            </w:r>
          </w:p>
        </w:tc>
      </w:tr>
      <w:tr>
        <w:tc>
          <w:tcPr/>
          <w:p>
            <w:pPr>
              <w:pStyle w:val="Compact"/>
              <w:jc w:val="left"/>
            </w:pPr>
            <w:r>
              <w:t xml:space="preserve">Abbau, Wechselwirkungen</w:t>
            </w:r>
          </w:p>
        </w:tc>
        <w:tc>
          <w:tcPr/>
          <w:p>
            <w:pPr>
              <w:pStyle w:val="Compact"/>
              <w:jc w:val="left"/>
            </w:pPr>
            <w:r>
              <w:t xml:space="preserve">wie Eiweiß, kaum Wechselwirkungen</w:t>
            </w:r>
          </w:p>
        </w:tc>
        <w:tc>
          <w:tcPr/>
          <w:p>
            <w:pPr>
              <w:pStyle w:val="Compact"/>
              <w:jc w:val="left"/>
            </w:pPr>
            <w:r>
              <w:t xml:space="preserve">wie Eiweiß</w:t>
            </w:r>
          </w:p>
        </w:tc>
        <w:tc>
          <w:tcPr/>
          <w:p>
            <w:pPr>
              <w:pStyle w:val="Compact"/>
              <w:jc w:val="left"/>
            </w:pPr>
            <w:r>
              <w:t xml:space="preserve">über Leberenzyme, Wechselwirkungen möglich</w:t>
            </w:r>
          </w:p>
        </w:tc>
      </w:tr>
      <w:tr>
        <w:tc>
          <w:tcPr/>
          <w:p>
            <w:pPr>
              <w:pStyle w:val="Compact"/>
              <w:jc w:val="left"/>
            </w:pPr>
            <w:r>
              <w:t xml:space="preserve">Harte Endpunkte</w:t>
            </w:r>
          </w:p>
        </w:tc>
        <w:tc>
          <w:tcPr/>
          <w:p>
            <w:pPr>
              <w:pStyle w:val="Compact"/>
              <w:jc w:val="left"/>
            </w:pPr>
            <w:r>
              <w:t xml:space="preserve">für mehrere Wirkstoffe belegt</w:t>
            </w:r>
          </w:p>
        </w:tc>
        <w:tc>
          <w:tcPr/>
          <w:p>
            <w:pPr>
              <w:pStyle w:val="Compact"/>
              <w:jc w:val="left"/>
            </w:pPr>
            <w:r>
              <w:t xml:space="preserve">bei Typ-2-Diabetes belegt (SOUL)</w:t>
            </w:r>
          </w:p>
        </w:tc>
        <w:tc>
          <w:tcPr/>
          <w:p>
            <w:pPr>
              <w:pStyle w:val="Compact"/>
              <w:jc w:val="left"/>
            </w:pPr>
            <w:r>
              <w:t xml:space="preserve">Endpunktstudie läuft bis 2031</w:t>
            </w:r>
          </w:p>
        </w:tc>
      </w:tr>
    </w:tbl>
    <w:p>
      <w:pPr>
        <w:pStyle w:val="BodyText"/>
      </w:pPr>
      <w:r>
        <w:t xml:space="preserve">Der Punkt „Wechselwirkungen“ verdient eine Erklärung: Peptide werden im Körper wie andere Eiweiße abgebaut. Kleine Moleküle wie Orforglipron werden dagegen über Leberenzyme verstoffwechselt, über die auch viele andere Medikamente laufen. Deshalb wurden für Orforglipron zahlreiche Wechselwirkungsstudien durchgeführt (siehe Kapitel Orforglipron).</w:t>
      </w:r>
    </w:p>
    <w:bookmarkEnd w:id="2892"/>
    <w:bookmarkStart w:id="2898" w:name="offene-fragen"/>
    <w:p>
      <w:pPr>
        <w:pStyle w:val="Heading3"/>
      </w:pPr>
      <w:r>
        <w:t xml:space="preserve">Offene Fragen</w:t>
      </w:r>
    </w:p>
    <w:p>
      <w:pPr>
        <w:pStyle w:val="FirstParagraph"/>
      </w:pPr>
      <w:r>
        <w:rPr>
          <w:bCs/>
          <w:b/>
        </w:rPr>
        <w:t xml:space="preserve">Nimmt man eine tägliche Tablette zuverlässiger als eine wöchentliche Spritze?</w:t>
      </w:r>
      <w:r>
        <w:t xml:space="preserve"> </w:t>
      </w:r>
      <w:r>
        <w:t xml:space="preserve">Das ist keineswegs ausgemacht. Wer eine Spritze pro Woche gegen sieben Tabletten tauscht, hat sieben Gelegenheiten pro Woche, eine Dosis zu vergessen. Bei der Semaglutid-Tablette kommt hinzu, dass schon eine Mahlzeit zu früh die Aufnahme praktisch verhindern kann</w:t>
      </w:r>
      <w:r>
        <w:rPr>
          <w:rStyle w:val="FootnoteReference"/>
        </w:rPr>
        <w:footnoteReference w:id="2893"/>
      </w:r>
      <w:r>
        <w:t xml:space="preserve">. Wie sich das im Alltag auf die Wirkung auswirkt, zeigen Zulassungsstudien mit ihren eng betreuten Teilnehmenden nicht.</w:t>
      </w:r>
    </w:p>
    <w:p>
      <w:pPr>
        <w:pStyle w:val="BodyText"/>
      </w:pPr>
      <w:r>
        <w:rPr>
          <w:bCs/>
          <w:b/>
        </w:rPr>
        <w:t xml:space="preserve">Gibt es harte Endpunkte für Tabletten bei Adipositas?</w:t>
      </w:r>
      <w:r>
        <w:t xml:space="preserve"> </w:t>
      </w:r>
      <w:r>
        <w:t xml:space="preserve">Noch nicht. SOUL betraf Menschen mit Typ-2-Diabetes. Die Herz-Kreislauf-Studie zu Orforglipron läuft bis 2031</w:t>
      </w:r>
      <w:r>
        <w:rPr>
          <w:rStyle w:val="FootnoteReference"/>
        </w:rPr>
        <w:footnoteReference w:id="2894"/>
      </w:r>
      <w:r>
        <w:t xml:space="preserve">, und Orforglipron wird sogar bei Menschen mit Übergewicht geprüft, um das Fortschreiten zur Adipositas oder zu Folgeerkrankungen zu verhindern (ATTAIN-NOW, NCT07794579, 2.001 Teilnehmende, Ende September 2030).</w:t>
      </w:r>
    </w:p>
    <w:p>
      <w:pPr>
        <w:pStyle w:val="BodyText"/>
      </w:pPr>
      <w:r>
        <w:rPr>
          <w:bCs/>
          <w:b/>
        </w:rPr>
        <w:t xml:space="preserve">Ist die Tablette das Mittel für die Erhaltung?</w:t>
      </w:r>
      <w:r>
        <w:t xml:space="preserve"> </w:t>
      </w:r>
      <w:r>
        <w:t xml:space="preserve">ATTAIN-MAINTAIN legt nahe, dass ein Umstieg von der Spritze auf eine Tablette einen großen Teil des Gewichtsverlusts erhalten kann. Ob das genauso gut ist wie die Spritze fortzusetzen, wurde nicht geprüft.</w:t>
      </w:r>
    </w:p>
    <w:p>
      <w:pPr>
        <w:pStyle w:val="BodyText"/>
      </w:pPr>
      <w:r>
        <w:rPr>
          <w:bCs/>
          <w:b/>
        </w:rPr>
        <w:t xml:space="preserve">Werden Tabletten günstiger?</w:t>
      </w:r>
      <w:r>
        <w:t xml:space="preserve"> </w:t>
      </w:r>
      <w:r>
        <w:t xml:space="preserve">Für kleine Moleküle ist das plausibel, weil sie mit Standardverfahren der Chemie hergestellt werden. Für Peptid-Tabletten spricht die Kostenschätzung eher dagegen, weil sie viel mehr Wirkstoff brauchen</w:t>
      </w:r>
      <w:r>
        <w:rPr>
          <w:rStyle w:val="FootnoteReference"/>
        </w:rPr>
        <w:footnoteReference w:id="2895"/>
      </w:r>
      <w:r>
        <w:t xml:space="preserve">. Konkrete Preise in Europa sind offen.</w:t>
      </w:r>
    </w:p>
    <w:p>
      <w:pPr>
        <w:pStyle w:val="BodyText"/>
      </w:pPr>
      <w:r>
        <w:rPr>
          <w:bCs/>
          <w:b/>
        </w:rPr>
        <w:t xml:space="preserve">Was ist mit Tropfen, Schmelztabletten und Nasensprays aus dem Internet?</w:t>
      </w:r>
      <w:r>
        <w:t xml:space="preserve"> </w:t>
      </w:r>
      <w:r>
        <w:t xml:space="preserve">Hier ist Vorsicht angebracht. Eine Untersuchung von in den USA hergestellten Apotheken-Zubereitungen fand Semaglutid- oder Tirzepatid-Zubereitungen zur Anwendung unter der Zunge und als Schmelztabletten, für die keine Belege zu Wirksamkeit und Sicherheit vorliegen</w:t>
      </w:r>
      <w:r>
        <w:rPr>
          <w:rStyle w:val="FootnoteReference"/>
        </w:rPr>
        <w:footnoteReference w:id="2896"/>
      </w:r>
      <w:r>
        <w:t xml:space="preserve">. Nachahmerprodukte von oralem Semaglutid enthielten in einer Laboranalyse teils deutlich weniger Wirkstoff als angegeben und setzten Wirkstoff und SNAC anders frei als das Original</w:t>
      </w:r>
      <w:r>
        <w:rPr>
          <w:rStyle w:val="FootnoteReference"/>
        </w:rPr>
        <w:footnoteReference w:id="2897"/>
      </w:r>
      <w:r>
        <w:t xml:space="preserve">. Ein Peptid, das „als Tablette“ verkauft wird, wird ohne eine geprüfte Rezeptur kaum aufgenommen – das gilt für Semaglutid ebenso wie für BPC-157 oder andere Graumarkt-Peptide.</w:t>
      </w:r>
    </w:p>
    <w:bookmarkEnd w:id="2898"/>
    <w:bookmarkStart w:id="2899" w:name="einschätzung-des-autors"/>
    <w:p>
      <w:pPr>
        <w:pStyle w:val="Heading3"/>
      </w:pPr>
      <w:r>
        <w:t xml:space="preserve">Einschätzung des Autors</w:t>
      </w:r>
    </w:p>
    <w:p>
      <w:pPr>
        <w:pStyle w:val="FirstParagraph"/>
      </w:pPr>
      <w:r>
        <w:t xml:space="preserve">Die Spritze wird nicht verschwinden, aber ihre Monopolstellung ist vorbei. Für die Phase der starken Abnahme dürften gespritzte Wirkstoffe in den nächsten Jahren vorn bleiben, weil sie in Studien am meisten bewirken und die Herz-Kreislauf-Daten bislang fast ausschließlich für sie vorliegen. Für die jahrelange Erhaltung, für Menschen mit Spritzenangst und für Länder ohne verlässliche Kühlkette sind Tabletten dagegen ein echter Fortschritt. Ob sich eher Peptid-Tabletten oder kleine Moleküle durchsetzen, wird weniger an der Wirkung entschieden als an Preis, Einnahmekomfort und Langzeitsicherheit. Das ist eine Einschätzung; gesichert ist nur, dass beide Wege in großen Phase-3-Studien geprüft werden.</w:t>
      </w:r>
    </w:p>
    <w:bookmarkEnd w:id="2899"/>
    <w:bookmarkStart w:id="2900" w:name="das-wichtigste-in-kürze-9"/>
    <w:p>
      <w:pPr>
        <w:pStyle w:val="Heading3"/>
      </w:pPr>
      <w:r>
        <w:t xml:space="preserve">Das Wichtigste in Kürze</w:t>
      </w:r>
    </w:p>
    <w:p>
      <w:pPr>
        <w:numPr>
          <w:ilvl w:val="0"/>
          <w:numId w:val="1361"/>
        </w:numPr>
        <w:pStyle w:val="Compact"/>
      </w:pPr>
      <w:r>
        <w:t xml:space="preserve">Peptide als Tablette funktionieren nur mit großem technischem Aufwand. Bei der Semaglutid-Tablette gelangt etwa 1 % des Wirkstoffs ins Blut, dennoch erreicht sie in Studien ähnliche Gewichtsverluste wie die Spritze.</w:t>
      </w:r>
    </w:p>
    <w:p>
      <w:pPr>
        <w:numPr>
          <w:ilvl w:val="0"/>
          <w:numId w:val="1361"/>
        </w:numPr>
        <w:pStyle w:val="Compact"/>
      </w:pPr>
      <w:r>
        <w:t xml:space="preserve">Kleine Moleküle wie Orforglipron umgehen das Problem, bewirkten in Studien aber etwas weniger Gewichtsverlust und werden über Leberenzyme abgebaut.</w:t>
      </w:r>
    </w:p>
    <w:p>
      <w:pPr>
        <w:numPr>
          <w:ilvl w:val="0"/>
          <w:numId w:val="1361"/>
        </w:numPr>
        <w:pStyle w:val="Compact"/>
      </w:pPr>
      <w:r>
        <w:t xml:space="preserve">Orale Peptide werden auch außerhalb des Stoffwechsels zur eigenen Arzneimittelklasse, etwa gegen hohes Cholesterin (Enlicitide) und Schuppenflechte (Icotrokinra).</w:t>
      </w:r>
    </w:p>
    <w:p>
      <w:pPr>
        <w:numPr>
          <w:ilvl w:val="0"/>
          <w:numId w:val="1361"/>
        </w:numPr>
        <w:pStyle w:val="Compact"/>
      </w:pPr>
      <w:r>
        <w:t xml:space="preserve">Offen sind Langzeitdaten, harte Endpunkte bei Adipositas, die Therapietreue im Alltag und die Preise.</w:t>
      </w:r>
    </w:p>
    <w:p>
      <w:pPr>
        <w:numPr>
          <w:ilvl w:val="0"/>
          <w:numId w:val="1361"/>
        </w:numPr>
        <w:pStyle w:val="Compact"/>
      </w:pPr>
      <w:r>
        <w:t xml:space="preserve">Medikamente sind nur unter ärztlicher Begleitung und nach Fachinformation anzuwenden; „orale“ Graumarkt-Peptide haben mit diesen Entwicklungen nichts zu tun.</w:t>
      </w:r>
    </w:p>
    <w:bookmarkEnd w:id="2900"/>
    <w:bookmarkEnd w:id="2901"/>
    <w:bookmarkStart w:id="2928" w:name="patente-generika-und-preise"/>
    <w:p>
      <w:pPr>
        <w:pStyle w:val="Heading2"/>
      </w:pPr>
      <w:r>
        <w:t xml:space="preserve">Patente, Generika und Preise</w:t>
      </w:r>
    </w:p>
    <w:p>
      <w:pPr>
        <w:pStyle w:val="FirstParagraph"/>
      </w:pPr>
      <w:r>
        <w:t xml:space="preserve">Ob ein Medikament wirkt, entscheiden Studien. Ob es bei den Menschen ankommt, entscheiden Patente, Preise, Lieferketten und Krankenkassen. Bei den GLP-1-Medikamenten ist dieser zweite Teil der Geschichte fast so dramatisch wie der erste: Lieferengpässe, ein Markt für Apotheken-Kopien in den USA, Fälschungen weltweit – und 2026 das Auslaufen der ersten Semaglutid-Patente in großen Ländern.</w:t>
      </w:r>
    </w:p>
    <w:p>
      <w:pPr>
        <w:pStyle w:val="BodyText"/>
      </w:pPr>
      <w:r>
        <w:rPr>
          <w:bCs/>
          <w:b/>
        </w:rPr>
        <w:t xml:space="preserve">Ein wichtiger Hinweis vorab:</w:t>
      </w:r>
      <w:r>
        <w:t xml:space="preserve"> </w:t>
      </w:r>
      <w:r>
        <w:t xml:space="preserve">Preise, Patentlaufzeiten und Erstattungsregeln ändern sich schnell und sind nur teilweise in wissenschaftlichen Arbeiten dokumentiert. Wo dieses Kapitel Angaben ohne Studienbeleg macht, sind sie mit „Stand 2026, bitte prüfen“ gekennzeichnet. Konkrete Preise in Euro werden bewusst nicht genannt, weil sie sich je nach Land, Packung und Zeitpunkt unterscheiden.</w:t>
      </w:r>
    </w:p>
    <w:bookmarkStart w:id="2903" w:name="X7e365eb0e94012bd4f3f1837d93d3a0ffb07561"/>
    <w:p>
      <w:pPr>
        <w:pStyle w:val="Heading3"/>
      </w:pPr>
      <w:r>
        <w:t xml:space="preserve">Patente, Generika und Biosimilars: die Begriffe</w:t>
      </w:r>
    </w:p>
    <w:p>
      <w:pPr>
        <w:pStyle w:val="FirstParagraph"/>
      </w:pPr>
      <w:r>
        <w:t xml:space="preserve">Ein</w:t>
      </w:r>
      <w:r>
        <w:t xml:space="preserve"> </w:t>
      </w:r>
      <w:r>
        <w:rPr>
          <w:bCs/>
          <w:b/>
        </w:rPr>
        <w:t xml:space="preserve">Patent</w:t>
      </w:r>
      <w:r>
        <w:t xml:space="preserve"> </w:t>
      </w:r>
      <w:r>
        <w:t xml:space="preserve">gibt dem Hersteller für eine begrenzte Zeit das alleinige Recht, einen Wirkstoff zu verkaufen. In der EU und den USA beträgt die Grundlaufzeit 20 Jahre ab Anmeldung; weil die Entwicklung viele Jahre dauert, kann sie für Arzneimittel durch ein ergänzendes Schutzzertifikat um bis zu fünf Jahre verlängert werden. Neben dem Patent auf den Wirkstoff selbst gibt es oft weitere Patente auf Herstellungsverfahren, Darreichungsformen oder Pens.</w:t>
      </w:r>
    </w:p>
    <w:p>
      <w:pPr>
        <w:pStyle w:val="BodyText"/>
      </w:pPr>
      <w:r>
        <w:t xml:space="preserve">Nach Ablauf des Schutzes dürfen andere Hersteller Nachahmerpräparate anbieten:</w:t>
      </w:r>
    </w:p>
    <w:p>
      <w:pPr>
        <w:numPr>
          <w:ilvl w:val="0"/>
          <w:numId w:val="1362"/>
        </w:numPr>
        <w:pStyle w:val="Compact"/>
      </w:pPr>
      <w:r>
        <w:rPr>
          <w:bCs/>
          <w:b/>
        </w:rPr>
        <w:t xml:space="preserve">Generika</w:t>
      </w:r>
      <w:r>
        <w:t xml:space="preserve"> </w:t>
      </w:r>
      <w:r>
        <w:t xml:space="preserve">sind Kopien chemisch hergestellter Wirkstoffe. Sie müssen zeigen, dass sie denselben Wirkstoff enthalten und im Körper gleich verfügbar sind; neue große Wirksamkeitsstudien sind nicht nötig.</w:t>
      </w:r>
    </w:p>
    <w:p>
      <w:pPr>
        <w:numPr>
          <w:ilvl w:val="0"/>
          <w:numId w:val="1362"/>
        </w:numPr>
        <w:pStyle w:val="Compact"/>
      </w:pPr>
      <w:r>
        <w:rPr>
          <w:bCs/>
          <w:b/>
        </w:rPr>
        <w:t xml:space="preserve">Biosimilars</w:t>
      </w:r>
      <w:r>
        <w:t xml:space="preserve"> </w:t>
      </w:r>
      <w:r>
        <w:t xml:space="preserve">sind Nachfolger biologisch hergestellter Wirkstoffe, etwa von Antikörpern oder Fusionsproteinen. Weil biologische Herstellung nie ganz identische Moleküle liefert, ist ihre Zulassung aufwendiger.</w:t>
      </w:r>
    </w:p>
    <w:p>
      <w:pPr>
        <w:pStyle w:val="FirstParagraph"/>
      </w:pPr>
      <w:r>
        <w:t xml:space="preserve">Kurze Peptide wie Liraglutid oder Semaglutid stehen dazwischen: Sie können gentechnisch oder chemisch hergestellt werden. Das hat praktische Folgen. Eine Laboranalyse verglich 16 gespritzte und 8 orale Semaglutid-Nachahmerprodukte sowie 2 Liraglutid-Nachahmerprodukte mit den Originalen. Sie fand neue Verunreinigungen, bei mehreren Semaglutid-Tabletten deutlich weniger Wirkstoff als angegeben und bei Liraglutid eine stärkere Neigung zur Verklumpung</w:t>
      </w:r>
      <w:r>
        <w:rPr>
          <w:rStyle w:val="FootnoteReference"/>
        </w:rPr>
        <w:footnoteReference w:id="2902"/>
      </w:r>
      <w:r>
        <w:t xml:space="preserve">. Ob die Unterschiede klinisch etwas bedeuten, ist laut den Autorinnen und Autoren unbekannt. Sie zeigt aber, warum Behörden bei Peptid-Nachahmern genau hinsehen.</w:t>
      </w:r>
    </w:p>
    <w:bookmarkEnd w:id="2903"/>
    <w:bookmarkStart w:id="2905" w:name="liraglutid-das-erste-glp-1-generikum"/>
    <w:p>
      <w:pPr>
        <w:pStyle w:val="Heading3"/>
      </w:pPr>
      <w:r>
        <w:t xml:space="preserve">Liraglutid: das erste GLP-1-Generikum</w:t>
      </w:r>
    </w:p>
    <w:p>
      <w:pPr>
        <w:pStyle w:val="FirstParagraph"/>
      </w:pPr>
      <w:r>
        <w:t xml:space="preserve">Liraglutid ist der erste GLP-1-Wirkstoff, dessen Schutz in großen Märkten abgelaufen ist. In den USA sind seit 2024 Generika der Diabetesform (Victoza) und seit 2025 auch der Adipositasform (Saxenda) auf dem Markt. In Europa kommen Nachahmerpräparate nach und nach hinzu; der Stand unterscheidet sich je nach Land (siehe Kapitel Liraglutid).</w:t>
      </w:r>
    </w:p>
    <w:p>
      <w:pPr>
        <w:pStyle w:val="BodyText"/>
      </w:pPr>
      <w:r>
        <w:t xml:space="preserve">Für die Versorgung hat das zwei Seiten. Einerseits wird ein Wirkstoff mit nachgewiesenem Herz-Kreislauf-Nutzen bei Typ-2-Diabetes günstiger. Andererseits muss Liraglutid täglich gespritzt werden und wirkt beim Gewicht deutlich schwächer als Semaglutid: In STEP 8 sank das Gewicht unter wöchentlichem Semaglutid im Mittel um 15,8 %, unter täglichem Liraglutid um 6,4 %; mindestens ein Fünftel ihres Gewichts verloren 38,5 % gegenüber 6,0 %</w:t>
      </w:r>
      <w:r>
        <w:rPr>
          <w:rStyle w:val="FootnoteReference"/>
        </w:rPr>
        <w:footnoteReference w:id="2904"/>
      </w:r>
      <w:r>
        <w:t xml:space="preserve">. Für Menschen, die das neuere Mittel nicht bezahlen können, kann ein günstiges älteres Mittel trotzdem die bessere Wahl sein als gar keines.</w:t>
      </w:r>
    </w:p>
    <w:bookmarkEnd w:id="2905"/>
    <w:bookmarkStart w:id="2910" w:name="semaglutid-2026-als-wendejahr"/>
    <w:p>
      <w:pPr>
        <w:pStyle w:val="Heading3"/>
      </w:pPr>
      <w:r>
        <w:t xml:space="preserve">Semaglutid: 2026 als Wendejahr</w:t>
      </w:r>
    </w:p>
    <w:p>
      <w:pPr>
        <w:pStyle w:val="FirstParagraph"/>
      </w:pPr>
      <w:r>
        <w:t xml:space="preserve">Für Semaglutid laufen die Patente in mehreren großen Ländern außerhalb der EU und der USA 2026 aus, darunter nach dem Kapitel Semaglutid Kanada, China, Indien und Brasilien. Eine Analyse von Patentdatenbanken kam zu folgendem Bild</w:t>
      </w:r>
      <w:r>
        <w:rPr>
          <w:rStyle w:val="FootnoteReference"/>
        </w:rPr>
        <w:footnoteReference w:id="2906"/>
      </w:r>
      <w:r>
        <w:t xml:space="preserve">:</w:t>
      </w:r>
    </w:p>
    <w:p>
      <w:pPr>
        <w:numPr>
          <w:ilvl w:val="0"/>
          <w:numId w:val="1363"/>
        </w:numPr>
        <w:pStyle w:val="Compact"/>
      </w:pPr>
      <w:r>
        <w:t xml:space="preserve">In zwölf Ländern endet der Patentschutz 2026. Auf sie entfallen 47 % der Menschen mit Adipositas und 49 % der Menschen mit Typ-2-Diabetes weltweit.</w:t>
      </w:r>
    </w:p>
    <w:p>
      <w:pPr>
        <w:numPr>
          <w:ilvl w:val="0"/>
          <w:numId w:val="1363"/>
        </w:numPr>
        <w:pStyle w:val="Compact"/>
      </w:pPr>
      <w:r>
        <w:t xml:space="preserve">In 150 weiteren Ländern fanden die Autorinnen und Autoren gar keine Patentanmeldung.</w:t>
      </w:r>
    </w:p>
    <w:p>
      <w:pPr>
        <w:numPr>
          <w:ilvl w:val="0"/>
          <w:numId w:val="1363"/>
        </w:numPr>
        <w:pStyle w:val="Compact"/>
      </w:pPr>
      <w:r>
        <w:t xml:space="preserve">Bis Ende 2026 könnten gespritzte Semaglutid-Nachahmer damit in 162 Ländern verfügbar sein, in denen 69 % der Menschen mit Typ-2-Diabetes und 84 % der Menschen mit klinischer Adipositas leben.</w:t>
      </w:r>
    </w:p>
    <w:p>
      <w:pPr>
        <w:numPr>
          <w:ilvl w:val="0"/>
          <w:numId w:val="1363"/>
        </w:numPr>
        <w:pStyle w:val="Compact"/>
      </w:pPr>
      <w:r>
        <w:t xml:space="preserve">Aus Daten zu Wirkstofflieferungen aus Indien schätzten sie die Produktionskosten: Ein Jahr gespritztes Semaglutid könnte als Generikum für 28 bis 140 US-Dollar pro Person angeboten werden, die Tablette für 186 bis 380 US-Dollar. Der Pen machte einen unverhältnismäßig großen Teil der Kosten aus.</w:t>
      </w:r>
    </w:p>
    <w:p>
      <w:pPr>
        <w:pStyle w:val="FirstParagraph"/>
      </w:pPr>
      <w:r>
        <w:t xml:space="preserve">Die Autorinnen und Autoren betonen selbst, dass Pen-Kosten, weitere Patente und schwache Gesundheitssysteme den Zugang trotzdem begrenzen können. Wie stark Generika Preise drücken können, zeigt eine Analyse aus Indien: Dort sanken die Preise für SGLT2-Hemmer und GLP-1-Rezeptor-Agonisten nach Patentablauf um etwa 60 bis 90 %. Zwischen indischen Generikapreisen und US-Listenpreisen fanden die Autoren Unterschiede um das 15- bis 65-Fache. Sie weisen aber auch darauf hin, dass sich Generika verschiedener Hersteller in Qualität und Aufnahme im Körper unterscheiden können</w:t>
      </w:r>
      <w:r>
        <w:rPr>
          <w:rStyle w:val="FootnoteReference"/>
        </w:rPr>
        <w:footnoteReference w:id="2907"/>
      </w:r>
      <w:r>
        <w:t xml:space="preserve">.</w:t>
      </w:r>
    </w:p>
    <w:p>
      <w:pPr>
        <w:pStyle w:val="BodyText"/>
      </w:pPr>
      <w:r>
        <w:rPr>
          <w:bCs/>
          <w:b/>
        </w:rPr>
        <w:t xml:space="preserve">In der EU und den USA</w:t>
      </w:r>
      <w:r>
        <w:t xml:space="preserve"> </w:t>
      </w:r>
      <w:r>
        <w:t xml:space="preserve">wird mit Semaglutid-Generika erst um 2031/2032 gerechnet. Für Leserinnen und Leser in Österreich und Deutschland heißt das: Ein in Kanada oder Indien legal verkauftes Semaglutid-Generikum ist hier kein zugelassenes Arzneimittel. Die Regeln zur Einfuhr für den persönlichen Bedarf sind eng (siehe Kapitel „Rechtlicher Rahmen“ in Teil I), und Online-Angebote, die sich auf solche Generika berufen, sind eine typische Einfallstür für Fälschungen (siehe Kapitel „Der Graumarkt“).</w:t>
      </w:r>
    </w:p>
    <w:p>
      <w:pPr>
        <w:pStyle w:val="BodyText"/>
      </w:pPr>
      <w:r>
        <w:rPr>
          <w:bCs/>
          <w:b/>
        </w:rPr>
        <w:t xml:space="preserve">Ein politisches Signal:</w:t>
      </w:r>
      <w:r>
        <w:t xml:space="preserve"> </w:t>
      </w:r>
      <w:r>
        <w:t xml:space="preserve">Die Weltgesundheitsorganisation hat Semaglutid, Liraglutid, Dulaglutid und Tirzepatid im September 2025 in ihre Liste der unentbehrlichen Arzneimittel aufgenommen. Eine Einordnung sieht darin einen Schritt, der Preisverhandlungen und die Entwicklung von Generika in Ländern mit niedrigem und mittlerem Einkommen erleichtern soll; zugleich nennt sie fehlende Mittel, schwache Infrastruktur und das Risiko unkritischer Anwendung als Hürden</w:t>
      </w:r>
      <w:r>
        <w:rPr>
          <w:rStyle w:val="FootnoteReference"/>
        </w:rPr>
        <w:footnoteReference w:id="2908"/>
      </w:r>
      <w:r>
        <w:t xml:space="preserve">. In ihrer ersten Leitlinie zu GLP-1-Therapien bei Adipositas spricht die WHO eine bedingte Empfehlung für die langfristige Behandlung zusammen mit intensiver Verhaltenstherapie aus. Als Gründe für die Einschränkung nennt sie unter anderem begrenzte Langzeitdaten, Kosten und die Frage des gerechten Zugangs</w:t>
      </w:r>
      <w:r>
        <w:rPr>
          <w:rStyle w:val="FootnoteReference"/>
        </w:rPr>
        <w:footnoteReference w:id="2909"/>
      </w:r>
      <w:r>
        <w:t xml:space="preserve">.</w:t>
      </w:r>
    </w:p>
    <w:bookmarkEnd w:id="2910"/>
    <w:bookmarkStart w:id="2911" w:name="tirzepatid-und-die-nachfolger"/>
    <w:p>
      <w:pPr>
        <w:pStyle w:val="Heading3"/>
      </w:pPr>
      <w:r>
        <w:t xml:space="preserve">Tirzepatid und die Nachfolger</w:t>
      </w:r>
    </w:p>
    <w:p>
      <w:pPr>
        <w:pStyle w:val="FirstParagraph"/>
      </w:pPr>
      <w:r>
        <w:t xml:space="preserve">Für Tirzepatid und alle neueren Wirkstoffe – Retatrutid, CagriSema, Amycretin, Maridebart Cafraglutid, Orforglipron – ist ein Patentablauf in diesem Jahrzehnt nicht zu erwarten. Für Tirzepatid wird nach Branchenangaben mit Generika frühestens in der zweiten Hälfte der 2030er-Jahre gerechnet. Daraus ergibt sich ein absehbares Muster: Die älteren Wirkstoffe werden billiger, die stärksten bleiben teuer.</w:t>
      </w:r>
    </w:p>
    <w:bookmarkEnd w:id="2911"/>
    <w:bookmarkStart w:id="2915" w:name="das-ende-des-compounding-in-den-usa"/>
    <w:p>
      <w:pPr>
        <w:pStyle w:val="Heading3"/>
      </w:pPr>
      <w:r>
        <w:t xml:space="preserve">Das Ende des Compounding in den USA</w:t>
      </w:r>
    </w:p>
    <w:p>
      <w:pPr>
        <w:pStyle w:val="FirstParagraph"/>
      </w:pPr>
      <w:r>
        <w:t xml:space="preserve">Während der offiziellen Lieferengpässe durften US-Apotheken Semaglutid und Tirzepatid selbst zubereiten („Compounding“, siehe Teil I). Daraus entstand ein großer Markt. Eine Untersuchung im US-Bundesstaat Colorado fand im Frühjahr 2024 93 Unternehmen mit 188 Standorten, die solche Präparate bewarben – meist als medizinische Spas oder Abnehmdienste. 41 dieser Websites verwiesen in ihren Produktbeschreibungen auf die FDA-Zulassung, obwohl die Präparate keine hatten. Ein Anbieter bewarb eine Mischung mit BPC-157, einem Stoff, den die FDA als ungeeignet für das Compounding eingestuft hat</w:t>
      </w:r>
      <w:r>
        <w:rPr>
          <w:rStyle w:val="FootnoteReference"/>
        </w:rPr>
        <w:footnoteReference w:id="2912"/>
      </w:r>
      <w:r>
        <w:t xml:space="preserve">.</w:t>
      </w:r>
    </w:p>
    <w:p>
      <w:pPr>
        <w:pStyle w:val="BodyText"/>
      </w:pPr>
      <w:r>
        <w:t xml:space="preserve">Nachdem die FDA die Engpässe für beendet erklärt hatte – für Tirzepatid Ende 2024, für Semaglutid Anfang 2025 –, liefen die Übergangsfristen für Kopien der zugelassenen Präparate im Lauf des Jahres 2025 aus. Erlaubt sind seither nur noch Zubereitungen, die sich von den zugelassenen Präparaten unterscheiden. Eine Analyse fand 33 solcher Produkte, darunter Mischungen mit Vitamin B12, Glycin oder einem Abführmittel sowie Tropfen und Schmelztabletten, deren Nutzen und Sicherheit weitgehend unbekannt sind</w:t>
      </w:r>
      <w:r>
        <w:rPr>
          <w:rStyle w:val="FootnoteReference"/>
        </w:rPr>
        <w:footnoteReference w:id="2913"/>
      </w:r>
      <w:r>
        <w:t xml:space="preserve">. Ein Labor fand in Tirzepatid-B12-Mischungen verschiedener Anbieter eine bisher unbekannte Verunreinigung, die durch eine chemische Reaktion zwischen Tirzepatid und bestimmten B12-Formen entsteht; welche Folgen sie für die Gesundheit hat, ist unbekannt</w:t>
      </w:r>
      <w:r>
        <w:rPr>
          <w:rStyle w:val="FootnoteReference"/>
        </w:rPr>
        <w:footnoteReference w:id="2914"/>
      </w:r>
      <w:r>
        <w:t xml:space="preserve">.</w:t>
      </w:r>
    </w:p>
    <w:p>
      <w:pPr>
        <w:pStyle w:val="BodyText"/>
      </w:pPr>
      <w:r>
        <w:t xml:space="preserve">Das Compounding ist damit nicht verschwunden, sondern hat sich in eine Nische verschoben, in der „personalisierte“ Zusätze die rechtliche Grundlage liefern. In Europa gibt es kein vergleichbares System.</w:t>
      </w:r>
    </w:p>
    <w:bookmarkEnd w:id="2915"/>
    <w:bookmarkStart w:id="2918" w:name="versorgungsengpässe"/>
    <w:p>
      <w:pPr>
        <w:pStyle w:val="Heading3"/>
      </w:pPr>
      <w:r>
        <w:t xml:space="preserve">Versorgungsengpässe</w:t>
      </w:r>
    </w:p>
    <w:p>
      <w:pPr>
        <w:pStyle w:val="FirstParagraph"/>
      </w:pPr>
      <w:r>
        <w:t xml:space="preserve">Ab 2022 überstieg die Nachfrage nach Semaglutid und später Tirzepatid die Produktion. Menschen mit Typ-2-Diabetes bekamen ihre Medikamente zeitweise nicht. In Deutschland und Österreich riefen Behörden und Fachgesellschaften dazu auf, Ozempic Menschen mit Typ-2-Diabetes vorzubehalten und nicht zur reinen Gewichtsabnahme zu verordnen.</w:t>
      </w:r>
    </w:p>
    <w:p>
      <w:pPr>
        <w:pStyle w:val="BodyText"/>
      </w:pPr>
      <w:r>
        <w:t xml:space="preserve">Wie groß war der Anteil der Verordnungen außerhalb der Zulassung? Eine landesweite Registerstudie aus Dänemark gibt eine Antwort. Die Zahl der neuen Ozempic-Anwendenden stieg ab 2022 stark an, auf einen Höchstwert von 10 je 1.000 Erwachsenen und Jahr Anfang 2023. Im Jahr 2022 hatte ein Drittel der neuen Anwendenden keinen dokumentierten Typ-2-Diabetes; 2023 sank dieser Anteil wieder. Die Autorinnen und Autoren folgern, dass Verordnungen zur Gewichtsabnahme nur einen kleineren Teil des Engpasses erklären</w:t>
      </w:r>
      <w:r>
        <w:rPr>
          <w:rStyle w:val="FootnoteReference"/>
        </w:rPr>
        <w:footnoteReference w:id="2916"/>
      </w:r>
      <w:r>
        <w:t xml:space="preserve">.</w:t>
      </w:r>
    </w:p>
    <w:p>
      <w:pPr>
        <w:pStyle w:val="BodyText"/>
      </w:pPr>
      <w:r>
        <w:t xml:space="preserve">Engpässe haben direkte Folgen für die Behandlung. In einer US-Untersuchung von 288 Menschen, die Semaglutid oder Tirzepatid zur Gewichtsabnahme innerhalb des ersten Jahres absetzten, nannten 11,8 % Lieferengpässe als Hauptgrund. Am häufigsten waren aber Kosten- oder Versicherungsprobleme (47,6 %), gefolgt von Nebenwirkungen (14,6 %); 2,4 % wechselten zu einem Apothekenpräparat</w:t>
      </w:r>
      <w:r>
        <w:rPr>
          <w:rStyle w:val="FootnoteReference"/>
        </w:rPr>
        <w:footnoteReference w:id="2917"/>
      </w:r>
      <w:r>
        <w:t xml:space="preserve">.</w:t>
      </w:r>
    </w:p>
    <w:p>
      <w:pPr>
        <w:pStyle w:val="BodyText"/>
      </w:pPr>
      <w:r>
        <w:t xml:space="preserve">Die Hersteller haben ihre Produktionskapazitäten seither stark ausgebaut, und die offiziellen Engpässe gelten in den USA als beendet. In Europa ist die Lage je nach Präparat und Land unterschiedlich.</w:t>
      </w:r>
    </w:p>
    <w:bookmarkEnd w:id="2918"/>
    <w:bookmarkStart w:id="2923" w:name="preise-was-ist-ein-abnehmmedikament-wert"/>
    <w:p>
      <w:pPr>
        <w:pStyle w:val="Heading3"/>
      </w:pPr>
      <w:r>
        <w:t xml:space="preserve">Preise: Was ist ein Abnehmmedikament wert?</w:t>
      </w:r>
    </w:p>
    <w:p>
      <w:pPr>
        <w:pStyle w:val="FirstParagraph"/>
      </w:pPr>
      <w:r>
        <w:t xml:space="preserve">In den USA liegen die Listenpreise für GLP-1-Medikamente deutlich höher als in Europa. Gesundheitsökonomische Arbeiten aus den USA fragen deshalb, ob der Nutzen den Preis rechtfertigt:</w:t>
      </w:r>
    </w:p>
    <w:p>
      <w:pPr>
        <w:numPr>
          <w:ilvl w:val="0"/>
          <w:numId w:val="1364"/>
        </w:numPr>
        <w:pStyle w:val="Compact"/>
      </w:pPr>
      <w:r>
        <w:t xml:space="preserve">Eine Modellrechnung für US-Erwachsene ergab, dass Tirzepatid und Semaglutid über die Lebenszeit zwar viele Fälle von Diabetes und Herz-Kreislauf-Erkrankungen verhindern würden, zu den damaligen Nettopreisen aber nicht kosteneffektiv waren. Um eine übliche Schwelle zu erreichen, hätten die Preise um weitere 30,5 % (Tirzepatid) bzw. 81,9 % (Semaglutid) sinken müssen</w:t>
      </w:r>
      <w:r>
        <w:rPr>
          <w:rStyle w:val="FootnoteReference"/>
        </w:rPr>
        <w:footnoteReference w:id="2919"/>
      </w:r>
      <w:r>
        <w:t xml:space="preserve">.</w:t>
      </w:r>
    </w:p>
    <w:p>
      <w:pPr>
        <w:numPr>
          <w:ilvl w:val="0"/>
          <w:numId w:val="1364"/>
        </w:numPr>
        <w:pStyle w:val="Compact"/>
      </w:pPr>
      <w:r>
        <w:t xml:space="preserve">Eine Meta-Analyse von neun gesundheitsökonomischen Studien aus Ländern mit hohem Einkommen kam zu dem Schluss, dass GLP-1-Rezeptor-Agonisten zur Behandlung von Adipositas ohne Diabetes aus Sicht der Kostenträger im Allgemeinen nicht kosteneffektiv sind; in Untergruppen und über längere Zeiträume könne das anders sein</w:t>
      </w:r>
      <w:r>
        <w:rPr>
          <w:rStyle w:val="FootnoteReference"/>
        </w:rPr>
        <w:footnoteReference w:id="2920"/>
      </w:r>
      <w:r>
        <w:t xml:space="preserve">.</w:t>
      </w:r>
    </w:p>
    <w:p>
      <w:pPr>
        <w:numPr>
          <w:ilvl w:val="0"/>
          <w:numId w:val="1364"/>
        </w:numPr>
        <w:pStyle w:val="Compact"/>
      </w:pPr>
      <w:r>
        <w:t xml:space="preserve">Für Menschen ohne Diabetes, die bereits einen Herzinfarkt oder Schlaganfall hatten, fiel eine Modellrechnung günstiger aus: Zu dem Preis, den Selbstzahlende in den USA zum Zeitpunkt der Analyse zahlten, wäre Semaglutid in dieser Gruppe kosteneffektiv</w:t>
      </w:r>
      <w:r>
        <w:rPr>
          <w:rStyle w:val="FootnoteReference"/>
        </w:rPr>
        <w:footnoteReference w:id="2921"/>
      </w:r>
      <w:r>
        <w:t xml:space="preserve">.</w:t>
      </w:r>
    </w:p>
    <w:p>
      <w:pPr>
        <w:pStyle w:val="FirstParagraph"/>
      </w:pPr>
      <w:r>
        <w:t xml:space="preserve">Solche Berechnungen hängen stark von Preisannahmen ab, und die Preise bewegen sich. In den USA haben die Hersteller seit 2025 deutlich günstigere Direktangebote für Selbstzahlende eingeführt und mit der Regierung Preisvereinbarungen getroffen; Semaglutid ist außerdem Gegenstand der staatlichen Preisverhandlungen für das Rentnerprogramm Medicare. Wie stark die Kostenübernahme die Nutzung beeinflusst, zeigt eine US-Auswertung: Nachdem Wegovy im März 2024 für die Senkung des Herz-Kreislauf-Risikos zugelassen und von Medicare für diese Anwendung übernommen wurde, stieg die Zahl der über Medicare abgegebenen Wegovy-Packungen relativ um 598,1 %</w:t>
      </w:r>
      <w:r>
        <w:rPr>
          <w:rStyle w:val="FootnoteReference"/>
        </w:rPr>
        <w:footnoteReference w:id="2922"/>
      </w:r>
      <w:r>
        <w:t xml:space="preserve">.</w:t>
      </w:r>
    </w:p>
    <w:p>
      <w:pPr>
        <w:pStyle w:val="BodyText"/>
      </w:pPr>
      <w:r>
        <w:rPr>
          <w:bCs/>
          <w:b/>
        </w:rPr>
        <w:t xml:space="preserve">Einschätzung des Autors:</w:t>
      </w:r>
      <w:r>
        <w:t xml:space="preserve"> </w:t>
      </w:r>
      <w:r>
        <w:t xml:space="preserve">Die Preise für GLP-1-basierte Medikamente werden in den nächsten Jahren sinken – durch Generika älterer Wirkstoffe, durch Konkurrenz zwischen den Herstellern, durch Tabletten aus kleinen Molekülen und durch politischen Druck. Am stärksten wird das in Ländern mit frühem Patentablauf spürbar sein. In der EU dürfte der große Preissprung erst mit Semaglutid-Generika Anfang der 2030er-Jahre kommen.</w:t>
      </w:r>
    </w:p>
    <w:bookmarkEnd w:id="2923"/>
    <w:bookmarkStart w:id="2924" w:name="Xaab953e09853232dcf6bdde17975c9ae4fb27d2"/>
    <w:p>
      <w:pPr>
        <w:pStyle w:val="Heading3"/>
      </w:pPr>
      <w:r>
        <w:t xml:space="preserve">Kostenerstattung in Deutschland und Österreich</w:t>
      </w:r>
    </w:p>
    <w:p>
      <w:pPr>
        <w:pStyle w:val="FirstParagraph"/>
      </w:pPr>
      <w:r>
        <w:rPr>
          <w:bCs/>
          <w:b/>
        </w:rPr>
        <w:t xml:space="preserve">Deutschland:</w:t>
      </w:r>
      <w:r>
        <w:t xml:space="preserve"> </w:t>
      </w:r>
      <w:r>
        <w:t xml:space="preserve">Bei Typ-2-Diabetes übernimmt die gesetzliche Krankenversicherung die Kosten für zugelassene GLP-1-Medikamente wie Ozempic, Rybelsus, Trulicity oder Mounjaro im Rahmen der Zulassung. Arzneimittel, die überwiegend der Gewichtsreduktion dienen, sind dagegen nach § 34 SGB V von der Erstattung ausgeschlossen; Wegovy, Saxenda und Mounjaro zum Gewichtsmanagement müssen gesetzlich Versicherte daher in der Regel selbst bezahlen. Ob diese Regel für Menschen mit hohem Herz-Kreislauf-Risiko geändert wird, wird politisch und in der Selbstverwaltung diskutiert. Private Krankenversicherungen entscheiden nach ihren eigenen Tarifbedingungen.</w:t>
      </w:r>
    </w:p>
    <w:p>
      <w:pPr>
        <w:pStyle w:val="BodyText"/>
      </w:pPr>
      <w:r>
        <w:rPr>
          <w:bCs/>
          <w:b/>
        </w:rPr>
        <w:t xml:space="preserve">Österreich:</w:t>
      </w:r>
      <w:r>
        <w:t xml:space="preserve"> </w:t>
      </w:r>
      <w:r>
        <w:t xml:space="preserve">Für Typ-2-Diabetes sind GLP-1-Medikamente erstattungsfähig, die Übernahme ist aber teils an Bedingungen oder eine Bewilligung durch die Krankenkasse geknüpft. Für das reine Gewichtsmanagement werden die Kosten in der Regel nicht oder nur in Ausnahmefällen übernommen.</w:t>
      </w:r>
    </w:p>
    <w:p>
      <w:pPr>
        <w:pStyle w:val="BodyText"/>
      </w:pPr>
      <w:r>
        <w:t xml:space="preserve">In beiden Ländern gilt: Ob eine Behandlung erstattet wird, hängt vom Anwendungsgebiet, von den Befunden und von der aktuellen Rechtslage ab. Die behandelnde Ärztin oder der behandelnde Arzt und die Krankenkasse sind die richtigen Ansprechpartner. Eine Verordnung zur Gewichtsabnahme mit einem Präparat, das nur für Diabetes zugelassen ist, ist eine Anwendung außerhalb der Zulassung und wird nicht erstattet.</w:t>
      </w:r>
    </w:p>
    <w:bookmarkEnd w:id="2924"/>
    <w:bookmarkStart w:id="2926" w:name="Xfc93a588f03f31cfc7e49f10718a25dd5ab5ccd"/>
    <w:p>
      <w:pPr>
        <w:pStyle w:val="Heading3"/>
      </w:pPr>
      <w:r>
        <w:t xml:space="preserve">Was das für Patientinnen und Patienten bedeutet</w:t>
      </w:r>
    </w:p>
    <w:p>
      <w:pPr>
        <w:numPr>
          <w:ilvl w:val="0"/>
          <w:numId w:val="1365"/>
        </w:numPr>
        <w:pStyle w:val="Compact"/>
      </w:pPr>
      <w:r>
        <w:rPr>
          <w:bCs/>
          <w:b/>
        </w:rPr>
        <w:t xml:space="preserve">Günstiger heißt nicht Graumarkt.</w:t>
      </w:r>
      <w:r>
        <w:t xml:space="preserve"> </w:t>
      </w:r>
      <w:r>
        <w:t xml:space="preserve">Mit dem Patentablauf in anderen Ländern werden Angebote zunehmen, die sich auf „Generika“ berufen. Für Österreich und Deutschland sind nur hier zugelassene Präparate aus Apotheken geprüfte Arzneimittel.</w:t>
      </w:r>
    </w:p>
    <w:p>
      <w:pPr>
        <w:numPr>
          <w:ilvl w:val="0"/>
          <w:numId w:val="1365"/>
        </w:numPr>
        <w:pStyle w:val="Compact"/>
      </w:pPr>
      <w:r>
        <w:rPr>
          <w:bCs/>
          <w:b/>
        </w:rPr>
        <w:t xml:space="preserve">Absetzen aus Kostengründen ist häufig – und hat Folgen.</w:t>
      </w:r>
      <w:r>
        <w:t xml:space="preserve"> </w:t>
      </w:r>
      <w:r>
        <w:t xml:space="preserve">In der STEP-1-Verlängerung nahmen Teilnehmende ein Jahr nach dem Absetzen von Semaglutid im Mittel zwei Drittel ihres Gewichtsverlusts wieder zu, und die Verbesserungen bei Blutdruck und Blutwerten bildeten sich weitgehend zurück</w:t>
      </w:r>
      <w:r>
        <w:rPr>
          <w:rStyle w:val="FootnoteReference"/>
        </w:rPr>
        <w:footnoteReference w:id="2925"/>
      </w:r>
      <w:r>
        <w:t xml:space="preserve">. Wer aus Kostengründen über ein Absetzen nachdenkt, sollte das ärztlich besprechen.</w:t>
      </w:r>
    </w:p>
    <w:p>
      <w:pPr>
        <w:numPr>
          <w:ilvl w:val="0"/>
          <w:numId w:val="1365"/>
        </w:numPr>
        <w:pStyle w:val="Compact"/>
      </w:pPr>
      <w:r>
        <w:rPr>
          <w:bCs/>
          <w:b/>
        </w:rPr>
        <w:t xml:space="preserve">Ältere Wirkstoffe sind nicht wertlos.</w:t>
      </w:r>
      <w:r>
        <w:t xml:space="preserve"> </w:t>
      </w:r>
      <w:r>
        <w:t xml:space="preserve">Liraglutid oder Dulaglutid sind gut untersucht und haben bei Typ-2-Diabetes einen belegten Herz-Kreislauf-Nutzen. Welcher Wirkstoff im Einzelfall infrage kommt, ist eine ärztliche Entscheidung.</w:t>
      </w:r>
    </w:p>
    <w:bookmarkEnd w:id="2926"/>
    <w:bookmarkStart w:id="2927" w:name="das-wichtigste-in-kürze-10"/>
    <w:p>
      <w:pPr>
        <w:pStyle w:val="Heading3"/>
      </w:pPr>
      <w:r>
        <w:t xml:space="preserve">Das Wichtigste in Kürze</w:t>
      </w:r>
    </w:p>
    <w:p>
      <w:pPr>
        <w:numPr>
          <w:ilvl w:val="0"/>
          <w:numId w:val="1366"/>
        </w:numPr>
        <w:pStyle w:val="Compact"/>
      </w:pPr>
      <w:r>
        <w:t xml:space="preserve">2026 endet der Patentschutz für Semaglutid in Ländern, in denen fast die Hälfte der Menschen mit Adipositas lebt. Generika könnten dort einen Bruchteil heutiger Preise kosten; in der EU und den USA wird erst um 2031/2032 damit gerechnet (bitte prüfen).</w:t>
      </w:r>
    </w:p>
    <w:p>
      <w:pPr>
        <w:numPr>
          <w:ilvl w:val="0"/>
          <w:numId w:val="1366"/>
        </w:numPr>
        <w:pStyle w:val="Compact"/>
      </w:pPr>
      <w:r>
        <w:t xml:space="preserve">Für Liraglutid gibt es bereits Generika; Tirzepatid und alle neueren Wirkstoffe bleiben voraussichtlich bis weit in die 2030er-Jahre patentgeschützt.</w:t>
      </w:r>
    </w:p>
    <w:p>
      <w:pPr>
        <w:numPr>
          <w:ilvl w:val="0"/>
          <w:numId w:val="1366"/>
        </w:numPr>
        <w:pStyle w:val="Compact"/>
      </w:pPr>
      <w:r>
        <w:t xml:space="preserve">Das US-Compounding mit Kopien zugelassener Präparate ist nach dem Ende der Engpässe weitgehend beendet; übrig sind abgewandelte Zubereitungen mit ungeprüften Zusätzen.</w:t>
      </w:r>
    </w:p>
    <w:p>
      <w:pPr>
        <w:numPr>
          <w:ilvl w:val="0"/>
          <w:numId w:val="1366"/>
        </w:numPr>
        <w:pStyle w:val="Compact"/>
      </w:pPr>
      <w:r>
        <w:t xml:space="preserve">Kosten sind in Studien der häufigste Grund, eine Behandlung abzubrechen. In Deutschland sind Abnehmmedikamente von der Erstattung ausgeschlossen, in Österreich wird nur eingeschränkt erstattet.</w:t>
      </w:r>
    </w:p>
    <w:bookmarkEnd w:id="2927"/>
    <w:bookmarkEnd w:id="2928"/>
    <w:bookmarkStart w:id="2974" w:name="prognosen-2030-bis-2035"/>
    <w:p>
      <w:pPr>
        <w:pStyle w:val="Heading2"/>
      </w:pPr>
      <w:r>
        <w:t xml:space="preserve">Prognosen 2030 bis 2035</w:t>
      </w:r>
    </w:p>
    <w:p>
      <w:pPr>
        <w:pStyle w:val="FirstParagraph"/>
      </w:pPr>
      <w:r>
        <w:t xml:space="preserve">Vorhersagen in der Medizin haben eine schlechte Erfolgsbilanz. Auch dieses Buch kennt Beispiele: Tierversuche und Beobachtungsdaten ließen hoffen, dass GLP-1-Medikamente den geistigen Abbau bei Alzheimer bremsen. In den beiden Phase-3-Studien evoke und evoke+ mit zusammen 3.808 Teilnehmenden schritt die Erkrankung unter Semaglutid-Tabletten jedoch genauso schnell voran wie unter Placebo</w:t>
      </w:r>
      <w:r>
        <w:rPr>
          <w:rStyle w:val="FootnoteReference"/>
        </w:rPr>
        <w:footnoteReference w:id="2929"/>
      </w:r>
      <w:r>
        <w:t xml:space="preserve">. Bei Parkinson fand die Phase-3-Studie Exenatide-PD3 mit 194 Teilnehmenden keinen Hinweis, dass Exenatid das Fortschreiten verlangsamt</w:t>
      </w:r>
      <w:r>
        <w:rPr>
          <w:rStyle w:val="FootnoteReference"/>
        </w:rPr>
        <w:footnoteReference w:id="2930"/>
      </w:r>
      <w:r>
        <w:t xml:space="preserve">.</w:t>
      </w:r>
    </w:p>
    <w:p>
      <w:pPr>
        <w:pStyle w:val="BodyText"/>
      </w:pPr>
      <w:r>
        <w:t xml:space="preserve">Dieses Kapitel trennt deshalb in jedem Abschnitt streng:</w:t>
      </w:r>
    </w:p>
    <w:p>
      <w:pPr>
        <w:numPr>
          <w:ilvl w:val="0"/>
          <w:numId w:val="1367"/>
        </w:numPr>
        <w:pStyle w:val="Compact"/>
      </w:pPr>
      <w:r>
        <w:rPr>
          <w:bCs/>
          <w:b/>
        </w:rPr>
        <w:t xml:space="preserve">Gesichert:</w:t>
      </w:r>
      <w:r>
        <w:t xml:space="preserve"> </w:t>
      </w:r>
      <w:r>
        <w:t xml:space="preserve">was in Studienregistern eingetragen ist (mit geplantem Enddatum), was in begutachteten Studien veröffentlicht ist und was Behörden beschlossen haben. Auch Gesichertes kann sich ändern – Enddaten verschieben sich, Studien werden abgebrochen.</w:t>
      </w:r>
    </w:p>
    <w:p>
      <w:pPr>
        <w:numPr>
          <w:ilvl w:val="0"/>
          <w:numId w:val="1367"/>
        </w:numPr>
        <w:pStyle w:val="Compact"/>
      </w:pPr>
      <w:r>
        <w:rPr>
          <w:bCs/>
          <w:b/>
        </w:rPr>
        <w:t xml:space="preserve">Einschätzung des Autors:</w:t>
      </w:r>
      <w:r>
        <w:t xml:space="preserve"> </w:t>
      </w:r>
      <w:r>
        <w:t xml:space="preserve">eine begründete Erwartung, die falsch sein kann. Sie ist als solche gekennzeichnet und wird jeweils begründet.</w:t>
      </w:r>
    </w:p>
    <w:p>
      <w:pPr>
        <w:pStyle w:val="FirstParagraph"/>
      </w:pPr>
      <w:r>
        <w:t xml:space="preserve">Die Registerdaten geben den Stand von Oktober 2026 wieder.</w:t>
      </w:r>
    </w:p>
    <w:bookmarkStart w:id="2940" w:name="gruppe-a-stoffwechsel-und-gewicht"/>
    <w:p>
      <w:pPr>
        <w:pStyle w:val="Heading3"/>
      </w:pPr>
      <w:r>
        <w:t xml:space="preserve">Gruppe A – Stoffwechsel und Gewicht</w:t>
      </w:r>
    </w:p>
    <w:p>
      <w:pPr>
        <w:pStyle w:val="FirstParagraph"/>
      </w:pPr>
      <w:r>
        <w:rPr>
          <w:bCs/>
          <w:b/>
        </w:rPr>
        <w:t xml:space="preserve">Gesichert:</w:t>
      </w:r>
    </w:p>
    <w:p>
      <w:pPr>
        <w:numPr>
          <w:ilvl w:val="0"/>
          <w:numId w:val="1368"/>
        </w:numPr>
        <w:pStyle w:val="Compact"/>
      </w:pPr>
      <w:r>
        <w:t xml:space="preserve">Bis 2032 enden mindestens neun große Endpunkt- und Leberstudien: SURMOUNT-MMO zu Tirzepatid</w:t>
      </w:r>
      <w:r>
        <w:rPr>
          <w:rStyle w:val="FootnoteReference"/>
        </w:rPr>
        <w:footnoteReference w:id="2931"/>
      </w:r>
      <w:r>
        <w:t xml:space="preserve"> </w:t>
      </w:r>
      <w:r>
        <w:t xml:space="preserve">und REDEFINE 3 zu CagriSema</w:t>
      </w:r>
      <w:r>
        <w:rPr>
          <w:rStyle w:val="FootnoteReference"/>
        </w:rPr>
        <w:footnoteReference w:id="2932"/>
      </w:r>
      <w:r>
        <w:t xml:space="preserve"> </w:t>
      </w:r>
      <w:r>
        <w:t xml:space="preserve">im Jahr 2027, TRIUMPH-Outcomes zu Retatrutid</w:t>
      </w:r>
      <w:r>
        <w:rPr>
          <w:rStyle w:val="FootnoteReference"/>
        </w:rPr>
        <w:footnoteReference w:id="2933"/>
      </w:r>
      <w:r>
        <w:t xml:space="preserve"> </w:t>
      </w:r>
      <w:r>
        <w:t xml:space="preserve">und LIVERAGE-Cirrhosis zu Survodutid</w:t>
      </w:r>
      <w:r>
        <w:rPr>
          <w:rStyle w:val="FootnoteReference"/>
        </w:rPr>
        <w:footnoteReference w:id="2934"/>
      </w:r>
      <w:r>
        <w:t xml:space="preserve"> </w:t>
      </w:r>
      <w:r>
        <w:t xml:space="preserve">im Jahr 2029, MARITIME-CV und MARITIME-HF zu Maridebart Cafraglutid</w:t>
      </w:r>
      <w:r>
        <w:rPr>
          <w:rStyle w:val="FootnoteReference"/>
        </w:rPr>
        <w:footnoteReference w:id="2935"/>
      </w:r>
      <w:r>
        <w:t xml:space="preserve"> </w:t>
      </w:r>
      <w:r>
        <w:t xml:space="preserve">sowie AMBIENCE zu Zenagamtid</w:t>
      </w:r>
      <w:r>
        <w:rPr>
          <w:rStyle w:val="FootnoteReference"/>
        </w:rPr>
        <w:footnoteReference w:id="2936"/>
      </w:r>
      <w:r>
        <w:t xml:space="preserve"> </w:t>
      </w:r>
      <w:r>
        <w:t xml:space="preserve">im Jahr 2030, ATTAIN-Outcomes zu Orforglipron</w:t>
      </w:r>
      <w:r>
        <w:rPr>
          <w:rStyle w:val="FootnoteReference"/>
        </w:rPr>
        <w:footnoteReference w:id="2937"/>
      </w:r>
      <w:r>
        <w:t xml:space="preserve"> </w:t>
      </w:r>
      <w:r>
        <w:t xml:space="preserve">im Jahr 2031 und SYNERGY-Outcomes zu Tirzepatid und Retatrutid</w:t>
      </w:r>
      <w:r>
        <w:rPr>
          <w:rStyle w:val="FootnoteReference"/>
        </w:rPr>
        <w:footnoteReference w:id="2938"/>
      </w:r>
      <w:r>
        <w:t xml:space="preserve"> </w:t>
      </w:r>
      <w:r>
        <w:t xml:space="preserve">im Jahr 2032.</w:t>
      </w:r>
    </w:p>
    <w:p>
      <w:pPr>
        <w:numPr>
          <w:ilvl w:val="0"/>
          <w:numId w:val="1368"/>
        </w:numPr>
        <w:pStyle w:val="Compact"/>
      </w:pPr>
      <w:r>
        <w:t xml:space="preserve">Reine Amylin-Wirkstoffe sind in Phase 3: Eloralintide (ENLIGHTEN-1, NCT07321886, Ende 2030) und Petrelintide (ZUPREME-3, NCT07843498, Ende 2029).</w:t>
      </w:r>
    </w:p>
    <w:p>
      <w:pPr>
        <w:numPr>
          <w:ilvl w:val="0"/>
          <w:numId w:val="1368"/>
        </w:numPr>
        <w:pStyle w:val="Compact"/>
      </w:pPr>
      <w:r>
        <w:t xml:space="preserve">Für CagriSema und Orforglipron sind nach den jeweiligen Kapiteln Zulassungsanträge gestellt oder angekündigt; für Retatrutid werden sie nach Abschluss von TRIUMPH-1 und TRIUMPH-2 erwartet (Stand Oktober 2026, bitte prüfen).</w:t>
      </w:r>
    </w:p>
    <w:p>
      <w:pPr>
        <w:numPr>
          <w:ilvl w:val="0"/>
          <w:numId w:val="1368"/>
        </w:numPr>
        <w:pStyle w:val="Compact"/>
      </w:pPr>
      <w:r>
        <w:t xml:space="preserve">In zwölf Ländern endet 2026 der Patentschutz für Semaglutid, darunter große Märkte außerhalb von EU und USA</w:t>
      </w:r>
      <w:r>
        <w:rPr>
          <w:rStyle w:val="FootnoteReference"/>
        </w:rPr>
        <w:footnoteReference w:id="2939"/>
      </w:r>
      <w:r>
        <w:t xml:space="preserve">. In der EU und den USA wird mit Generika um 2031/2032 gerechnet.</w:t>
      </w:r>
    </w:p>
    <w:p>
      <w:pPr>
        <w:pStyle w:val="FirstParagraph"/>
      </w:pPr>
      <w:r>
        <w:rPr>
          <w:bCs/>
          <w:b/>
        </w:rPr>
        <w:t xml:space="preserve">Einschätzung des Autors:</w:t>
      </w:r>
      <w:r>
        <w:t xml:space="preserve"> </w:t>
      </w:r>
      <w:r>
        <w:t xml:space="preserve">Bis 2030 werden in der EU voraussichtlich mehrere neue Wirkstoffklassen zugelassen sein – mindestens eine Amylin-Kombination, ein Dreifach-Agonist und ein kleines Molekül als Tablette. Begründung: Die Phase-3-Programme sind weit fortgeschritten, die bisher veröffentlichten Ergebnisse sind klar positiv, und die Hersteller haben Zulassungsanträge gestellt oder angekündigt. Ein mittlerer Gewichtsverlust von 20 bis 25 % in Studien dürfte dann nicht mehr die Ausnahme sein. Wichtiger als ein neuer Rekord wird aber die Frage, welcher Wirkstoff zu welcher Person passt: wer vor allem Herzschutz braucht, wer eine Fettleber hat, wer Spritzen meiden will, wer Nebenwirkungen schlecht verträgt. Zwischen 2030 und 2035 rechne ich mit deutlich sinkenden Preisen für Semaglutid in Europa durch Generika, während die neuesten Wirkstoffe teuer bleiben. Das Risiko einer Zwei-Klassen-Versorgung – die stärksten Mittel für Selbstzahlende, ältere Mittel für alle anderen – halte ich für real.</w:t>
      </w:r>
    </w:p>
    <w:bookmarkEnd w:id="2940"/>
    <w:bookmarkStart w:id="2943" w:name="X31825aa7844903dcc0f309843def9a84c4bfe78"/>
    <w:p>
      <w:pPr>
        <w:pStyle w:val="Heading3"/>
      </w:pPr>
      <w:r>
        <w:t xml:space="preserve">Gruppe B – Heilung, Regeneration und Immunsystem</w:t>
      </w:r>
    </w:p>
    <w:p>
      <w:pPr>
        <w:pStyle w:val="FirstParagraph"/>
      </w:pPr>
      <w:r>
        <w:rPr>
          <w:bCs/>
          <w:b/>
        </w:rPr>
        <w:t xml:space="preserve">Gesichert:</w:t>
      </w:r>
    </w:p>
    <w:p>
      <w:pPr>
        <w:numPr>
          <w:ilvl w:val="0"/>
          <w:numId w:val="1369"/>
        </w:numPr>
        <w:pStyle w:val="Compact"/>
      </w:pPr>
      <w:r>
        <w:t xml:space="preserve">Die Phase-3-Studie zu Thymosin Alpha-1 nach Darmkrebsoperation mit 2.500 Teilnehmenden soll im März 2027 enden</w:t>
      </w:r>
      <w:r>
        <w:rPr>
          <w:rStyle w:val="FootnoteReference"/>
        </w:rPr>
        <w:footnoteReference w:id="2941"/>
      </w:r>
      <w:r>
        <w:t xml:space="preserve">.</w:t>
      </w:r>
    </w:p>
    <w:p>
      <w:pPr>
        <w:numPr>
          <w:ilvl w:val="0"/>
          <w:numId w:val="1369"/>
        </w:numPr>
        <w:pStyle w:val="Compact"/>
      </w:pPr>
      <w:r>
        <w:t xml:space="preserve">Die Phase-3-Studie SEER-2 mit Thymosin-Beta-4-Augentropfen bei neurotropher Keratopathie war laut Register im Mai 2026 beendet; Ergebnisse lagen im Oktober 2026 nicht vor</w:t>
      </w:r>
      <w:r>
        <w:rPr>
          <w:rStyle w:val="FootnoteReference"/>
        </w:rPr>
        <w:footnoteReference w:id="2942"/>
      </w:r>
      <w:r>
        <w:t xml:space="preserve">.</w:t>
      </w:r>
    </w:p>
    <w:p>
      <w:pPr>
        <w:numPr>
          <w:ilvl w:val="0"/>
          <w:numId w:val="1369"/>
        </w:numPr>
        <w:pStyle w:val="Compact"/>
      </w:pPr>
      <w:r>
        <w:t xml:space="preserve">Eine chinesische Phase-2-Studie mit rekombinantem Thymosin Beta-4 nach Herzinfarkt ist geplant (NCT07586865, 189 Teilnehmende, Ende Mai 2028).</w:t>
      </w:r>
    </w:p>
    <w:p>
      <w:pPr>
        <w:numPr>
          <w:ilvl w:val="0"/>
          <w:numId w:val="1369"/>
        </w:numPr>
        <w:pStyle w:val="Compact"/>
      </w:pPr>
      <w:r>
        <w:t xml:space="preserve">Für BPC-157 ist eine kleine randomisierte Studie mit 30 Teilnehmenden nach Schulteroperationen registriert, die noch nicht begonnen hat (NCT07803250, Ende geplant August 2027).</w:t>
      </w:r>
    </w:p>
    <w:p>
      <w:pPr>
        <w:pStyle w:val="FirstParagraph"/>
      </w:pPr>
      <w:r>
        <w:rPr>
          <w:bCs/>
          <w:b/>
        </w:rPr>
        <w:t xml:space="preserve">Einschätzung des Autors:</w:t>
      </w:r>
      <w:r>
        <w:t xml:space="preserve"> </w:t>
      </w:r>
      <w:r>
        <w:t xml:space="preserve">Bis 2035 halte ich eine Zulassung von BPC-157, TB-500 oder KPV in der EU für sehr unwahrscheinlich. Begründung: Es gibt keine Phase-2- oder Phase-3-Programme, keinen Hersteller mit erkennbarem Zulassungsinteresse, und selbst ein positives Ergebnis der kleinen Schulterstudie wäre nur ein erster Hinweis. Realistischer ist eine Nischenzulassung für Thymosin-Beta-4-Augentropfen bei einer seltenen Hornhauterkrankung, sofern SEER-2 positiv ausfällt. Thymosin Alpha-1 könnte in China eine größere Rolle in der Krebsnachsorge spielen, wenn die Darmkrebsstudie positiv ist – wegen der fehlenden Doppelverblindung aber mit Vorbehalt.</w:t>
      </w:r>
    </w:p>
    <w:bookmarkEnd w:id="2943"/>
    <w:bookmarkStart w:id="2945" w:name="gruppe-c-wachstumshormon-achse"/>
    <w:p>
      <w:pPr>
        <w:pStyle w:val="Heading3"/>
      </w:pPr>
      <w:r>
        <w:t xml:space="preserve">Gruppe C – Wachstumshormon-Achse</w:t>
      </w:r>
    </w:p>
    <w:p>
      <w:pPr>
        <w:pStyle w:val="FirstParagraph"/>
      </w:pPr>
      <w:r>
        <w:rPr>
          <w:bCs/>
          <w:b/>
        </w:rPr>
        <w:t xml:space="preserve">Gesichert:</w:t>
      </w:r>
    </w:p>
    <w:p>
      <w:pPr>
        <w:numPr>
          <w:ilvl w:val="0"/>
          <w:numId w:val="1370"/>
        </w:numPr>
        <w:pStyle w:val="Compact"/>
      </w:pPr>
      <w:r>
        <w:t xml:space="preserve">Ibutamoren (kein Peptid) wird als LUM-201 in einer Phase-3-Studie mit 150 Kindern mit Wachstumshormonmangel geprüft (NCT06948214, Ende Januar 2028). Eine Phase-2-Studie mit 202 älteren Menschen mit Adipositas soll LUM-201 zusätzlich zu Semaglutid untersuchen (NCT07754045, Ende Februar 2028).</w:t>
      </w:r>
    </w:p>
    <w:p>
      <w:pPr>
        <w:numPr>
          <w:ilvl w:val="0"/>
          <w:numId w:val="1370"/>
        </w:numPr>
        <w:pStyle w:val="Compact"/>
      </w:pPr>
      <w:r>
        <w:t xml:space="preserve">Das Langzeitregister zu Mecasermin läuft bis Ende 2027</w:t>
      </w:r>
      <w:r>
        <w:rPr>
          <w:rStyle w:val="FootnoteReference"/>
        </w:rPr>
        <w:footnoteReference w:id="2944"/>
      </w:r>
      <w:r>
        <w:t xml:space="preserve">.</w:t>
      </w:r>
    </w:p>
    <w:p>
      <w:pPr>
        <w:numPr>
          <w:ilvl w:val="0"/>
          <w:numId w:val="1370"/>
        </w:numPr>
        <w:pStyle w:val="Compact"/>
      </w:pPr>
      <w:r>
        <w:t xml:space="preserve">Für Sermorelin, CJC-1295, Ipamorelin, GHRP-2, GHRP-6, Hexarelin und IGF-1 LR3 ist keine laufende Studie registriert (siehe jeweilige Kapitel).</w:t>
      </w:r>
    </w:p>
    <w:p>
      <w:pPr>
        <w:pStyle w:val="FirstParagraph"/>
      </w:pPr>
      <w:r>
        <w:rPr>
          <w:bCs/>
          <w:b/>
        </w:rPr>
        <w:t xml:space="preserve">Einschätzung des Autors:</w:t>
      </w:r>
      <w:r>
        <w:t xml:space="preserve"> </w:t>
      </w:r>
      <w:r>
        <w:t xml:space="preserve">Eine neue Zulassung eines Wachstumshormon-freisetzenden Peptids für Erwachsene halte ich bis 2035 für unwahrscheinlich. Begründung: Die Substanzen sind alt, kaum patentierbar, und die Sicherheitsfragen um dauerhaft erhöhte IGF-1-Spiegel (siehe Teil IV) machen große Studien teuer und riskant. Interessant ist ein anderer Trend: Weil starke Gewichtsabnahme auch Muskeln kostet, könnte die Wachstumshormon-Achse als möglicher Muskelschutz neue Aufmerksamkeit bekommen – die Studie mit LUM-201 und Semaglutid ist ein erstes Beispiel. Ob daraus ein Nutzen entsteht, ist völlig offen.</w:t>
      </w:r>
    </w:p>
    <w:bookmarkEnd w:id="2945"/>
    <w:bookmarkStart w:id="2949" w:name="gruppe-d-gehirn-schlaf-und-langlebigkeit"/>
    <w:p>
      <w:pPr>
        <w:pStyle w:val="Heading3"/>
      </w:pPr>
      <w:r>
        <w:t xml:space="preserve">Gruppe D – Gehirn, Schlaf und Langlebigkeit</w:t>
      </w:r>
    </w:p>
    <w:p>
      <w:pPr>
        <w:pStyle w:val="FirstParagraph"/>
      </w:pPr>
      <w:r>
        <w:rPr>
          <w:bCs/>
          <w:b/>
        </w:rPr>
        <w:t xml:space="preserve">Gesichert:</w:t>
      </w:r>
    </w:p>
    <w:p>
      <w:pPr>
        <w:numPr>
          <w:ilvl w:val="0"/>
          <w:numId w:val="1371"/>
        </w:numPr>
        <w:pStyle w:val="Compact"/>
      </w:pPr>
      <w:r>
        <w:t xml:space="preserve">Elamipretid (SS-31) ist in den USA seit September 2025 beschleunigt für das Barth-Syndrom zugelassen, gebunden an eine Bestätigungsstudie (4TAZPower, NCT07531251, Ende November 2029). Die Phase-3-Studie ReNEW bei trockener Makuladegeneration soll im September 2027 enden</w:t>
      </w:r>
      <w:r>
        <w:rPr>
          <w:rStyle w:val="FootnoteReference"/>
        </w:rPr>
        <w:footnoteReference w:id="2946"/>
      </w:r>
      <w:r>
        <w:t xml:space="preserve">.</w:t>
      </w:r>
    </w:p>
    <w:p>
      <w:pPr>
        <w:numPr>
          <w:ilvl w:val="0"/>
          <w:numId w:val="1371"/>
        </w:numPr>
        <w:pStyle w:val="Compact"/>
      </w:pPr>
      <w:r>
        <w:t xml:space="preserve">Zu Cerebrolysin laufen nur kleinere Studien, etwa bei CADASIL</w:t>
      </w:r>
      <w:r>
        <w:rPr>
          <w:rStyle w:val="FootnoteReference"/>
        </w:rPr>
        <w:footnoteReference w:id="2947"/>
      </w:r>
      <w:r>
        <w:t xml:space="preserve">.</w:t>
      </w:r>
    </w:p>
    <w:p>
      <w:pPr>
        <w:numPr>
          <w:ilvl w:val="0"/>
          <w:numId w:val="1371"/>
        </w:numPr>
        <w:pStyle w:val="Compact"/>
      </w:pPr>
      <w:r>
        <w:t xml:space="preserve">Für Semax, Selank, Dihexa, DSIP, Pinealon, Humanin, FOXO4-DRI und MOTS-c ist keine verlässlich registrierte Studie zur Gabe des Wirkstoffs verzeichnet. Für Epitalon gibt es nur eine unkontrollierte Studie, in der es einer von fünf Bestandteilen eines Hautserums ist</w:t>
      </w:r>
      <w:r>
        <w:rPr>
          <w:rStyle w:val="FootnoteReference"/>
        </w:rPr>
        <w:footnoteReference w:id="2948"/>
      </w:r>
      <w:r>
        <w:t xml:space="preserve">.</w:t>
      </w:r>
    </w:p>
    <w:p>
      <w:pPr>
        <w:numPr>
          <w:ilvl w:val="0"/>
          <w:numId w:val="1371"/>
        </w:numPr>
        <w:pStyle w:val="Compact"/>
      </w:pPr>
      <w:r>
        <w:t xml:space="preserve">In den USA wird die Einstufung mehrerer dieser Peptide für Apotheken-Rezepturen neu bewertet (siehe Kapitel Semax und Dihexa; Willis 2026, PMID 42752426).</w:t>
      </w:r>
    </w:p>
    <w:p>
      <w:pPr>
        <w:pStyle w:val="FirstParagraph"/>
      </w:pPr>
      <w:r>
        <w:rPr>
          <w:bCs/>
          <w:b/>
        </w:rPr>
        <w:t xml:space="preserve">Einschätzung des Autors:</w:t>
      </w:r>
      <w:r>
        <w:t xml:space="preserve"> </w:t>
      </w:r>
      <w:r>
        <w:t xml:space="preserve">Die Langlebigkeitspeptide werden bis 2035 voraussichtlich bleiben, was sie heute sind: Stoffe mit interessanten Tierdaten und großer Online-Nachfrage, aber ohne Nachweis eines Nutzens am Menschen. Begründung: Studien zu „gesundem Altern“ brauchen viele Jahre und klare Endpunkte, die es dafür noch kaum gibt; kein Hersteller hat ein erkennbares Programm. Sollten US-Behörden einzelne Peptide für Rezepturen freigeben, würde das die Verbreitung erhöhen, ohne die Datenlage zu verbessern. Elamipretid ist der einzige Wirkstoff dieser Gruppe mit einem realistischen Weg zu einer breiteren Zulassung, und auch das nur, wenn ReNEW positiv ausfällt.</w:t>
      </w:r>
    </w:p>
    <w:bookmarkEnd w:id="2949"/>
    <w:bookmarkStart w:id="2951" w:name="X87f4274df71fabf0a6d8cb2a40844406ec8f80a"/>
    <w:p>
      <w:pPr>
        <w:pStyle w:val="Heading3"/>
      </w:pPr>
      <w:r>
        <w:t xml:space="preserve">Gruppe E – Hormone, Sexualität und Pigmentierung</w:t>
      </w:r>
    </w:p>
    <w:p>
      <w:pPr>
        <w:pStyle w:val="FirstParagraph"/>
      </w:pPr>
      <w:r>
        <w:rPr>
          <w:bCs/>
          <w:b/>
        </w:rPr>
        <w:t xml:space="preserve">Gesichert:</w:t>
      </w:r>
    </w:p>
    <w:p>
      <w:pPr>
        <w:numPr>
          <w:ilvl w:val="0"/>
          <w:numId w:val="1372"/>
        </w:numPr>
        <w:pStyle w:val="Compact"/>
      </w:pPr>
      <w:r>
        <w:t xml:space="preserve">Die Phase-3-Studie zu Afamelanotid bei Vitiligo mit 200 Teilnehmenden war laut Register im Juni 2026 beendet; begutachtete Ergebnisse lagen im Oktober 2026 nicht vor</w:t>
      </w:r>
      <w:r>
        <w:rPr>
          <w:rStyle w:val="FootnoteReference"/>
        </w:rPr>
        <w:footnoteReference w:id="2950"/>
      </w:r>
      <w:r>
        <w:t xml:space="preserve">.</w:t>
      </w:r>
    </w:p>
    <w:p>
      <w:pPr>
        <w:numPr>
          <w:ilvl w:val="0"/>
          <w:numId w:val="1372"/>
        </w:numPr>
        <w:pStyle w:val="Compact"/>
      </w:pPr>
      <w:r>
        <w:t xml:space="preserve">Kisspeptin wird in kleinen Phase-2-Studien bei angeborenem Hormonmangel (NCT05896293, Ende Mai 2028) und bei hypothalamischer Amenorrhö (NCT07224438, Ende Mai 2030) untersucht.</w:t>
      </w:r>
    </w:p>
    <w:p>
      <w:pPr>
        <w:numPr>
          <w:ilvl w:val="0"/>
          <w:numId w:val="1372"/>
        </w:numPr>
        <w:pStyle w:val="Compact"/>
      </w:pPr>
      <w:r>
        <w:t xml:space="preserve">Oxytocin-Nasenspray wird als Ergänzung einer Paartherapie bei posttraumatischer Belastungsstörung mit 240 Teilnehmenden geprüft (NCT06194851, Ende September 2028).</w:t>
      </w:r>
    </w:p>
    <w:p>
      <w:pPr>
        <w:pStyle w:val="FirstParagraph"/>
      </w:pPr>
      <w:r>
        <w:rPr>
          <w:bCs/>
          <w:b/>
        </w:rPr>
        <w:t xml:space="preserve">Einschätzung des Autors:</w:t>
      </w:r>
      <w:r>
        <w:t xml:space="preserve"> </w:t>
      </w:r>
      <w:r>
        <w:t xml:space="preserve">Am ehesten ist bis 2030 eine Erweiterung der Afamelanotid-Zulassung auf Vitiligo denkbar – falls die Phase-3-Studie positiv ist. Kisspeptin dürfte ein Forschungs- und Diagnosewerkzeug bleiben; eine Zulassung bis 2035 setzt größere Vergleichsstudien voraus, die bisher fehlen. Beim Oxytocin-Nasenspray erwarte ich keine Zulassung für Autismus oder soziale Ängste, allenfalls Belege für eng umrissene Anwendungen in Kombination mit Psychotherapie. Melanotan II bleibt ein Graumarkt-Produkt.</w:t>
      </w:r>
    </w:p>
    <w:bookmarkEnd w:id="2951"/>
    <w:bookmarkStart w:id="2952" w:name="gruppe-f-kollagen-ernährung-und-kosmetik"/>
    <w:p>
      <w:pPr>
        <w:pStyle w:val="Heading3"/>
      </w:pPr>
      <w:r>
        <w:t xml:space="preserve">Gruppe F – Kollagen, Ernährung und Kosmetik</w:t>
      </w:r>
    </w:p>
    <w:p>
      <w:pPr>
        <w:pStyle w:val="FirstParagraph"/>
      </w:pPr>
      <w:r>
        <w:rPr>
          <w:bCs/>
          <w:b/>
        </w:rPr>
        <w:t xml:space="preserve">Gesichert:</w:t>
      </w:r>
    </w:p>
    <w:p>
      <w:pPr>
        <w:numPr>
          <w:ilvl w:val="0"/>
          <w:numId w:val="1373"/>
        </w:numPr>
        <w:pStyle w:val="Compact"/>
      </w:pPr>
      <w:r>
        <w:t xml:space="preserve">Eine placebokontrollierte Studie mit 204 Teilnehmenden prüft Kollagenhydrolysat bei Kniearthrose, Hauptendpunkt sind Schmerzen (NCT04998188, Ende Dezember 2027).</w:t>
      </w:r>
    </w:p>
    <w:p>
      <w:pPr>
        <w:numPr>
          <w:ilvl w:val="0"/>
          <w:numId w:val="1373"/>
        </w:numPr>
        <w:pStyle w:val="Compact"/>
      </w:pPr>
      <w:r>
        <w:t xml:space="preserve">Eine Phase-1/2-Studie mit 144 Teilnehmenden untersucht Carnosin bei peripherer arterieller Verschlusskrankheit, Hauptendpunkt ist die Gehstrecke in sechs Minuten (NCT06480760, Ende Oktober 2028).</w:t>
      </w:r>
    </w:p>
    <w:p>
      <w:pPr>
        <w:numPr>
          <w:ilvl w:val="0"/>
          <w:numId w:val="1373"/>
        </w:numPr>
        <w:pStyle w:val="Compact"/>
      </w:pPr>
      <w:r>
        <w:t xml:space="preserve">Für Lactotripeptide, Matrixyl und Argireline ist keine laufende Studie registriert.</w:t>
      </w:r>
    </w:p>
    <w:p>
      <w:pPr>
        <w:pStyle w:val="FirstParagraph"/>
      </w:pPr>
      <w:r>
        <w:rPr>
          <w:bCs/>
          <w:b/>
        </w:rPr>
        <w:t xml:space="preserve">Einschätzung des Autors:</w:t>
      </w:r>
      <w:r>
        <w:t xml:space="preserve"> </w:t>
      </w:r>
      <w:r>
        <w:t xml:space="preserve">Diese Gruppe wird Lebensmittel und Kosmetik bleiben; Arzneimittelzulassungen sind nicht zu erwarten, weil die Produkte bereits frei verkäuflich sind und niemand die Kosten eines Zulassungsprogramms tragen müsste. Was sich ändern könnte, ist die Qualität der Belege: Unabhängig finanzierte, vorab registrierte Studien wie die zur Kniearthrose werden zeigen, ob die kleinen Effekte aus herstellerfinanzierten Studien Bestand haben. Ich erwarte, dass die Effekte in solchen Studien eher kleiner ausfallen.</w:t>
      </w:r>
    </w:p>
    <w:bookmarkEnd w:id="2952"/>
    <w:bookmarkStart w:id="2971" w:name="übergreifende-themen"/>
    <w:p>
      <w:pPr>
        <w:pStyle w:val="Heading3"/>
      </w:pPr>
      <w:r>
        <w:t xml:space="preserve">Übergreifende Themen</w:t>
      </w:r>
    </w:p>
    <w:bookmarkStart w:id="2954" w:name="langzeitdaten"/>
    <w:p>
      <w:pPr>
        <w:pStyle w:val="Heading4"/>
      </w:pPr>
      <w:r>
        <w:t xml:space="preserve">Langzeitdaten</w:t>
      </w:r>
    </w:p>
    <w:p>
      <w:pPr>
        <w:pStyle w:val="FirstParagraph"/>
      </w:pPr>
      <w:r>
        <w:rPr>
          <w:bCs/>
          <w:b/>
        </w:rPr>
        <w:t xml:space="preserve">Gesichert:</w:t>
      </w:r>
      <w:r>
        <w:t xml:space="preserve"> </w:t>
      </w:r>
      <w:r>
        <w:t xml:space="preserve">Die WHO-Leitlinie zu GLP-1-Therapien bei Adipositas spricht nur eine bedingte Empfehlung aus und nennt begrenzte Langzeitdaten als einen der Gründe</w:t>
      </w:r>
      <w:r>
        <w:rPr>
          <w:rStyle w:val="FootnoteReference"/>
        </w:rPr>
        <w:footnoteReference w:id="2953"/>
      </w:r>
      <w:r>
        <w:t xml:space="preserve">. Die laufenden Endpunktstudien beobachten ihre Teilnehmenden über mehrere Jahre, aber kaum eine über zehn Jahre.</w:t>
      </w:r>
    </w:p>
    <w:p>
      <w:pPr>
        <w:pStyle w:val="BodyText"/>
      </w:pPr>
      <w:r>
        <w:rPr>
          <w:bCs/>
          <w:b/>
        </w:rPr>
        <w:t xml:space="preserve">Einschätzung des Autors:</w:t>
      </w:r>
      <w:r>
        <w:t xml:space="preserve"> </w:t>
      </w:r>
      <w:r>
        <w:t xml:space="preserve">Bis 2035 werden zehnjährige Daten vor allem aus nationalen Registern und Krankenkassendaten kommen, nicht aus randomisierten Studien. Sie werden seltene Nebenwirkungen besser erfassen, aber Ursache und Wirkung schwerer trennen können. Bei Kindern und Jugendlichen, für die mehrere Studien bis in die frühen 2030er-Jahre laufen, ist die Frage nach Langzeitfolgen besonders dringlich.</w:t>
      </w:r>
    </w:p>
    <w:bookmarkEnd w:id="2954"/>
    <w:bookmarkStart w:id="2959" w:name="erhaltungstherapie"/>
    <w:p>
      <w:pPr>
        <w:pStyle w:val="Heading4"/>
      </w:pPr>
      <w:r>
        <w:t xml:space="preserve">Erhaltungstherapie</w:t>
      </w:r>
    </w:p>
    <w:p>
      <w:pPr>
        <w:pStyle w:val="FirstParagraph"/>
      </w:pPr>
      <w:r>
        <w:rPr>
          <w:bCs/>
          <w:b/>
        </w:rPr>
        <w:t xml:space="preserve">Gesichert:</w:t>
      </w:r>
      <w:r>
        <w:t xml:space="preserve"> </w:t>
      </w:r>
      <w:r>
        <w:t xml:space="preserve">Nach dem Absetzen kehrt ein Großteil des verlorenen Gewichts zurück. In der STEP-1-Verlängerung waren es ein Jahr nach dem Ende der Semaglutid-Behandlung im Mittel zwei Drittel</w:t>
      </w:r>
      <w:r>
        <w:rPr>
          <w:rStyle w:val="FootnoteReference"/>
        </w:rPr>
        <w:footnoteReference w:id="2955"/>
      </w:r>
      <w:r>
        <w:t xml:space="preserve">. In SURMOUNT-4 nahmen Teilnehmende nach dem Wechsel von Tirzepatid auf Placebo im folgenden Jahr 14,0 % wieder zu</w:t>
      </w:r>
      <w:r>
        <w:rPr>
          <w:rStyle w:val="FootnoteReference"/>
        </w:rPr>
        <w:footnoteReference w:id="2956"/>
      </w:r>
      <w:r>
        <w:t xml:space="preserve">. Der Umstieg von der Spritze auf Orforglipron erhielt in ATTAIN-MAINTAIN einen großen Teil des Gewichtsverlusts</w:t>
      </w:r>
      <w:r>
        <w:rPr>
          <w:rStyle w:val="FootnoteReference"/>
        </w:rPr>
        <w:footnoteReference w:id="2957"/>
      </w:r>
      <w:r>
        <w:t xml:space="preserve">. Weitere Studien zum Gewichtserhalt laufen (TRIUMPH-6, NCT06859268; Umstieg auf monatliche Wirkstoffe, NCT07575399, NCT07845500). Modellrechnungen deuten an, dass seltenere Gaben einen Teil der Wirkung erhalten könnten; das ist bisher nicht in Studien geprüft und keine Grundlage für eigenmächtige Änderungen der Behandlung</w:t>
      </w:r>
      <w:r>
        <w:rPr>
          <w:rStyle w:val="FootnoteReference"/>
        </w:rPr>
        <w:footnoteReference w:id="2958"/>
      </w:r>
      <w:r>
        <w:t xml:space="preserve">.</w:t>
      </w:r>
    </w:p>
    <w:p>
      <w:pPr>
        <w:pStyle w:val="BodyText"/>
      </w:pPr>
      <w:r>
        <w:rPr>
          <w:bCs/>
          <w:b/>
        </w:rPr>
        <w:t xml:space="preserve">Einschätzung des Autors:</w:t>
      </w:r>
      <w:r>
        <w:t xml:space="preserve"> </w:t>
      </w:r>
      <w:r>
        <w:t xml:space="preserve">Bis 2030 wird sich ein Stufenmodell durchsetzen: zuerst eine Phase mit einem stark wirksamen Wirkstoff, dann eine Erhaltung mit einer Tablette, einem monatlichen Präparat oder einer niedrigeren Intensität. Begründung: Mehrere Hersteller testen genau diese Abfolge, und sie ist für Kostenträger attraktiv. Ob die Erhaltung lebenslang nötig ist oder bei manchen Menschen ein Absetzen ohne große Wiederzunahme gelingt, wird eine der wichtigsten offenen Fragen bleiben.</w:t>
      </w:r>
    </w:p>
    <w:bookmarkEnd w:id="2959"/>
    <w:bookmarkStart w:id="2961" w:name="personalisierung"/>
    <w:p>
      <w:pPr>
        <w:pStyle w:val="Heading4"/>
      </w:pPr>
      <w:r>
        <w:t xml:space="preserve">Personalisierung</w:t>
      </w:r>
    </w:p>
    <w:p>
      <w:pPr>
        <w:pStyle w:val="FirstParagraph"/>
      </w:pPr>
      <w:r>
        <w:rPr>
          <w:bCs/>
          <w:b/>
        </w:rPr>
        <w:t xml:space="preserve">Gesichert:</w:t>
      </w:r>
      <w:r>
        <w:t xml:space="preserve"> </w:t>
      </w:r>
      <w:r>
        <w:t xml:space="preserve">Präzisionsmedizin bei Adipositas gibt es bereits für seltene genetische Formen: Setmelanotid ist nur für bestimmte Gendefekte zugelassen (siehe Kapitel Setmelanotid). Orforglipron wird in einer Studie mit 2.001 Teilnehmenden bei Übergewicht geprüft, um das Fortschreiten zu Adipositas oder Folgeerkrankungen zu verhindern (ATTAIN-NOW, NCT07794579, Ende September 2030). Die WHO kündigt an, als Nächstes Kriterien zu erarbeiten, wer bei begrenzten Mitteln zuerst behandelt werden soll</w:t>
      </w:r>
      <w:r>
        <w:rPr>
          <w:rStyle w:val="FootnoteReference"/>
        </w:rPr>
        <w:footnoteReference w:id="2960"/>
      </w:r>
      <w:r>
        <w:t xml:space="preserve">.</w:t>
      </w:r>
    </w:p>
    <w:p>
      <w:pPr>
        <w:pStyle w:val="BodyText"/>
      </w:pPr>
      <w:r>
        <w:rPr>
          <w:bCs/>
          <w:b/>
        </w:rPr>
        <w:t xml:space="preserve">Einschätzung des Autors:</w:t>
      </w:r>
      <w:r>
        <w:t xml:space="preserve"> </w:t>
      </w:r>
      <w:r>
        <w:t xml:space="preserve">Ein verlässlicher Test, der vorab sagt, wer auf welchen Wirkstoff gut anspricht, ist bis 2030 nicht in Sicht. Personalisierung wird zunächst pragmatisch sein: nach Begleiterkrankungen, Verträglichkeit, Spritzenbereitschaft und Kosten. Die Frage, ob Medikamente schon vor dem Entstehen einer Adipositas eingesetzt werden sollen, wird ethisch und ökonomisch umstritten bleiben.</w:t>
      </w:r>
    </w:p>
    <w:bookmarkEnd w:id="2961"/>
    <w:bookmarkStart w:id="2965" w:name="regulierung-des-graumarkts"/>
    <w:p>
      <w:pPr>
        <w:pStyle w:val="Heading4"/>
      </w:pPr>
      <w:r>
        <w:t xml:space="preserve">Regulierung des Graumarkts</w:t>
      </w:r>
    </w:p>
    <w:p>
      <w:pPr>
        <w:pStyle w:val="FirstParagraph"/>
      </w:pPr>
      <w:r>
        <w:rPr>
          <w:bCs/>
          <w:b/>
        </w:rPr>
        <w:t xml:space="preserve">Gesichert:</w:t>
      </w:r>
      <w:r>
        <w:t xml:space="preserve"> </w:t>
      </w:r>
      <w:r>
        <w:t xml:space="preserve">Die Laboranalysen und Fallberichte aus Teil I und Teil IV zeigen Fälschungen, Fehldosierungen und Verunreinigungen. Inzwischen werden auch nicht zugelassene Wirkstoffe wie Retatrutid und Zenagamtid online verkauft</w:t>
      </w:r>
      <w:r>
        <w:rPr>
          <w:rStyle w:val="FootnoteReference"/>
        </w:rPr>
        <w:footnoteReference w:id="2962"/>
      </w:r>
      <w:r>
        <w:t xml:space="preserve">. In den USA wurden Apotheken-Kopien von Semaglutid und Tirzepatid nach dem Ende der Engpässe weitgehend beendet; abgewandelte Zubereitungen bestehen weiter</w:t>
      </w:r>
      <w:r>
        <w:rPr>
          <w:rStyle w:val="FootnoteReference"/>
        </w:rPr>
        <w:footnoteReference w:id="2963"/>
      </w:r>
      <w:r>
        <w:t xml:space="preserve">. Die Einstufung von Peptiden für Rezepturen wird in den USA neu verhandelt</w:t>
      </w:r>
      <w:r>
        <w:rPr>
          <w:rStyle w:val="FootnoteReference"/>
        </w:rPr>
        <w:footnoteReference w:id="2964"/>
      </w:r>
      <w:r>
        <w:t xml:space="preserve">.</w:t>
      </w:r>
    </w:p>
    <w:p>
      <w:pPr>
        <w:pStyle w:val="BodyText"/>
      </w:pPr>
      <w:r>
        <w:rPr>
          <w:bCs/>
          <w:b/>
        </w:rPr>
        <w:t xml:space="preserve">Einschätzung des Autors:</w:t>
      </w:r>
      <w:r>
        <w:t xml:space="preserve"> </w:t>
      </w:r>
      <w:r>
        <w:t xml:space="preserve">Der Graumarkt wird bis 2035 nicht verschwinden, aber sich verändern. Sinkende Preise für zugelassene Medikamente dürften den Anreiz für Fälschungen von Semaglutid verringern. Gleichzeitig wird jeder neue Wirkstoff, der in Studien Aufsehen erregt, schon vor seiner Zulassung als „Research Peptide“ angeboten werden. Ich erwarte strengere Kontrollen von Online-Händlern und Zahlungswegen in der EU, aber keine wirksame Lösung, solange Bestellungen aus Ländern mit schwacher Aufsicht möglich sind.</w:t>
      </w:r>
    </w:p>
    <w:bookmarkEnd w:id="2965"/>
    <w:bookmarkStart w:id="2970" w:name="künstliche-intelligenz-im-peptiddesign"/>
    <w:p>
      <w:pPr>
        <w:pStyle w:val="Heading4"/>
      </w:pPr>
      <w:r>
        <w:t xml:space="preserve">Künstliche Intelligenz im Peptiddesign</w:t>
      </w:r>
    </w:p>
    <w:p>
      <w:pPr>
        <w:pStyle w:val="FirstParagraph"/>
      </w:pPr>
      <w:r>
        <w:rPr>
          <w:bCs/>
          <w:b/>
        </w:rPr>
        <w:t xml:space="preserve">Gesichert:</w:t>
      </w:r>
      <w:r>
        <w:t xml:space="preserve"> </w:t>
      </w:r>
      <w:r>
        <w:t xml:space="preserve">Bisher stammen alle veröffentlichten Belege aus Labor- und Tierversuchen. Ein Forschungsteam entwarf mit Methoden des maschinellen Lernens 10.000 neue GLP-1-Rezeptor-Agonisten, wählte am Computer 60 aus und testete sie im Labor; zwei Kandidaten wirkten bei Mäusen etwa dreimal so lange wie Semaglutid</w:t>
      </w:r>
      <w:r>
        <w:rPr>
          <w:rStyle w:val="FootnoteReference"/>
        </w:rPr>
        <w:footnoteReference w:id="2966"/>
      </w:r>
      <w:r>
        <w:t xml:space="preserve">. Ein anderes Verfahren entwarf ringförmige Peptide, die gezielt an vorgegebene Eiweiße binden; die im Labor bestimmten Strukturen stimmten eng mit den Computermodellen überein</w:t>
      </w:r>
      <w:r>
        <w:rPr>
          <w:rStyle w:val="FootnoteReference"/>
        </w:rPr>
        <w:footnoteReference w:id="2967"/>
      </w:r>
      <w:r>
        <w:t xml:space="preserve">. Mit einem lernenden Modell wurden aus Bakterienpeptiden neue antimikrobielle Peptide abgeleitet, von denen eines bei Mäusen mit einer Infektion des Oberschenkels die Bakterienlast um über 95 % senkte</w:t>
      </w:r>
      <w:r>
        <w:rPr>
          <w:rStyle w:val="FootnoteReference"/>
        </w:rPr>
        <w:footnoteReference w:id="2968"/>
      </w:r>
      <w:r>
        <w:t xml:space="preserve">. Das orale PCSK9-Peptid Enlicitide wurde mit einem anderen Hochdurchsatzverfahren gefunden und ist bereits in Phase 3</w:t>
      </w:r>
      <w:r>
        <w:rPr>
          <w:rStyle w:val="FootnoteReference"/>
        </w:rPr>
        <w:footnoteReference w:id="2969"/>
      </w:r>
      <w:r>
        <w:t xml:space="preserve">.</w:t>
      </w:r>
    </w:p>
    <w:p>
      <w:pPr>
        <w:pStyle w:val="BodyText"/>
      </w:pPr>
      <w:r>
        <w:rPr>
          <w:bCs/>
          <w:b/>
        </w:rPr>
        <w:t xml:space="preserve">Einschätzung des Autors:</w:t>
      </w:r>
      <w:r>
        <w:t xml:space="preserve"> </w:t>
      </w:r>
      <w:r>
        <w:t xml:space="preserve">Bis 2030 werden die ersten mit KI-Methoden entworfenen Peptide in frühen Studien am Menschen sein; eine Zulassung bis 2035 ist möglich, aber nicht wahrscheinlich, weil auch ein schnell gefundenes Molekül alle klinischen Phasen durchlaufen muss. KI verkürzt die Suche nach Kandidaten, nicht die Prüfung am Menschen. Für Leserinnen und Leser heißt das: Angebote, die „KI-optimierte Peptide“ versprechen, sind Werbung, kein Wirksamkeitsnachweis.</w:t>
      </w:r>
    </w:p>
    <w:bookmarkEnd w:id="2970"/>
    <w:bookmarkEnd w:id="2971"/>
    <w:bookmarkStart w:id="2972" w:name="X924d4974aa28ba71253b30afb253645d4c802e0"/>
    <w:p>
      <w:pPr>
        <w:pStyle w:val="Heading3"/>
      </w:pPr>
      <w:r>
        <w:t xml:space="preserve">Zeitleiste: was bis 2032 im Register angekündigt 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Zeitraum</w:t>
            </w:r>
          </w:p>
        </w:tc>
        <w:tc>
          <w:tcPr/>
          <w:p>
            <w:pPr>
              <w:pStyle w:val="Compact"/>
              <w:jc w:val="left"/>
            </w:pPr>
            <w:r>
              <w:t xml:space="preserve">Erwartetes Ereignis laut Register</w:t>
            </w:r>
          </w:p>
        </w:tc>
        <w:tc>
          <w:tcPr/>
          <w:p>
            <w:pPr>
              <w:pStyle w:val="Compact"/>
              <w:jc w:val="left"/>
            </w:pPr>
            <w:r>
              <w:t xml:space="preserve">Wirkstoff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Ergebnisse Direktvergleich mit Tirzepatid</w:t>
            </w:r>
          </w:p>
        </w:tc>
        <w:tc>
          <w:tcPr/>
          <w:p>
            <w:pPr>
              <w:pStyle w:val="Compact"/>
              <w:jc w:val="left"/>
            </w:pPr>
            <w:r>
              <w:t xml:space="preserve">Retatrutid</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Herz-Kreislauf-Ergebnisse ohne Diabetes</w:t>
            </w:r>
          </w:p>
        </w:tc>
        <w:tc>
          <w:tcPr/>
          <w:p>
            <w:pPr>
              <w:pStyle w:val="Compact"/>
              <w:jc w:val="left"/>
            </w:pPr>
            <w:r>
              <w:t xml:space="preserve">Tirzepatid</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Herz-Kreislauf-Ergebnisse</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Darmkrebs-Nachsorge</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Makuladegeneration</w:t>
            </w:r>
          </w:p>
        </w:tc>
        <w:tc>
          <w:tcPr/>
          <w:p>
            <w:pPr>
              <w:pStyle w:val="Compact"/>
              <w:jc w:val="left"/>
            </w:pPr>
            <w:r>
              <w:t xml:space="preserve">Elamipretid</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Wachstum bei Kindern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Herz- und Nierenereignisse</w:t>
            </w:r>
          </w:p>
        </w:tc>
        <w:tc>
          <w:tcPr/>
          <w:p>
            <w:pPr>
              <w:pStyle w:val="Compact"/>
              <w:jc w:val="left"/>
            </w:pPr>
            <w:r>
              <w:t xml:space="preserve">Retatrutid</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Herz-Kreislauf-Ergebnisse, Herzschwäche</w:t>
            </w:r>
          </w:p>
        </w:tc>
        <w:tc>
          <w:tcPr/>
          <w:p>
            <w:pPr>
              <w:pStyle w:val="Compact"/>
              <w:jc w:val="left"/>
            </w:pPr>
            <w:r>
              <w:t xml:space="preserve">Maridebart Cafraglutid</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Herz-Kreislauf-Ergebnisse</w:t>
            </w:r>
          </w:p>
        </w:tc>
        <w:tc>
          <w:tcPr/>
          <w:p>
            <w:pPr>
              <w:pStyle w:val="Compact"/>
              <w:jc w:val="left"/>
            </w:pPr>
            <w:r>
              <w:t xml:space="preserve">Zenagamtid</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Enlicitide (orales Peptid)</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schwere Leberereignisse</w:t>
            </w:r>
          </w:p>
        </w:tc>
        <w:tc>
          <w:tcPr/>
          <w:p>
            <w:pPr>
              <w:pStyle w:val="Compact"/>
              <w:jc w:val="left"/>
            </w:pPr>
            <w:r>
              <w:t xml:space="preserve">Tirzepatid, Retatrutid</w:t>
            </w:r>
          </w:p>
        </w:tc>
        <w:tc>
          <w:tcPr/>
          <w:p>
            <w:pPr>
              <w:pStyle w:val="Compact"/>
              <w:jc w:val="left"/>
            </w:pPr>
            <w:r>
              <w:t xml:space="preserve">NCT07165028</w:t>
            </w:r>
          </w:p>
        </w:tc>
      </w:tr>
    </w:tbl>
    <w:p>
      <w:pPr>
        <w:pStyle w:val="BodyText"/>
      </w:pPr>
      <w:r>
        <w:t xml:space="preserve">Die Jahreszahlen sind die im Register angegebenen Studienenden. Veröffentlichungen folgen meist später, und Verschiebungen sind häufig.</w:t>
      </w:r>
    </w:p>
    <w:bookmarkEnd w:id="2972"/>
    <w:bookmarkStart w:id="2973" w:name="fazit-des-buches"/>
    <w:p>
      <w:pPr>
        <w:pStyle w:val="Heading3"/>
      </w:pPr>
      <w:r>
        <w:t xml:space="preserve">Fazit des Buches</w:t>
      </w:r>
    </w:p>
    <w:p>
      <w:pPr>
        <w:pStyle w:val="FirstParagraph"/>
      </w:pPr>
      <w:r>
        <w:t xml:space="preserve">Von den Peptiden in diesem Buch haben nur wenige in großen Studien am Menschen bewiesen, was sie leisten – allen voran die GLP-1-basierten Medikamente, deren Nutzen bis zu weniger Herz-Kreislauf-Ereignissen belegt ist. Für die meisten Peptide, die im Internet als Wundermittel für Heilung, Muskeln oder ein langes Leben beworben werden, gibt es dagegen nur Tierversuche, kleine Studien oder gar keine Daten – und auch keine laufende große Studie, die das bald ändern würde. Die Zukunft der Peptid-Medizin entscheidet sich deshalb nicht in Online-Shops, sondern in den Endpunktstudien, die zwischen 2027 und 2032 enden. Wer sich für ein Peptid interessiert, fährt am besten mit drei Fragen: Gibt es randomisierte Studien am Menschen, ist das Produkt ein geprüftes Arzneimittel, und begleitet eine Ärztin oder ein Arzt die Anwendung?</w:t>
      </w:r>
    </w:p>
    <w:bookmarkEnd w:id="2973"/>
    <w:bookmarkEnd w:id="2974"/>
    <w:bookmarkEnd w:id="2975"/>
    <w:bookmarkStart w:id="2998" w:name="glossar"/>
    <w:p>
      <w:pPr>
        <w:pStyle w:val="Heading1"/>
      </w:pPr>
      <w:r>
        <w:t xml:space="preserve">Glossar</w:t>
      </w:r>
    </w:p>
    <w:p>
      <w:pPr>
        <w:pStyle w:val="FirstParagraph"/>
      </w:pPr>
      <w:r>
        <w:t xml:space="preserve">Die folgenden Erklärungen sind bewusst kurz gehalten. Ausführlichere Darstellungen finden Sie in den Kapiteln von Teil I, insbesondere in „Was Peptide sind – und was nicht“ und „Studien richtig lesen“.</w:t>
      </w:r>
    </w:p>
    <w:bookmarkStart w:id="2976"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2976"/>
    <w:bookmarkStart w:id="2977"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2977"/>
    <w:bookmarkStart w:id="2978"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2978"/>
    <w:bookmarkStart w:id="2979"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2979"/>
    <w:bookmarkStart w:id="2980"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2980"/>
    <w:bookmarkStart w:id="2981"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2981"/>
    <w:bookmarkStart w:id="2982"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2982"/>
    <w:bookmarkStart w:id="2983"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2983"/>
    <w:bookmarkStart w:id="2984"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2984"/>
    <w:bookmarkStart w:id="2985"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2985"/>
    <w:bookmarkStart w:id="2986"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2986"/>
    <w:bookmarkStart w:id="2987"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2987"/>
    <w:bookmarkStart w:id="2988"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2988"/>
    <w:bookmarkStart w:id="2989"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2989"/>
    <w:bookmarkStart w:id="2990"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2990"/>
    <w:bookmarkStart w:id="2991"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2991"/>
    <w:bookmarkStart w:id="2992"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2992"/>
    <w:bookmarkStart w:id="2993"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2993"/>
    <w:bookmarkStart w:id="2994"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2994"/>
    <w:bookmarkStart w:id="2995"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2995"/>
    <w:bookmarkStart w:id="2996"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2996"/>
    <w:bookmarkStart w:id="2997"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2997"/>
    <w:bookmarkEnd w:id="2998"/>
    <w:bookmarkStart w:id="3014" w:name="methodik"/>
    <w:p>
      <w:pPr>
        <w:pStyle w:val="Heading1"/>
      </w:pPr>
      <w:r>
        <w:t xml:space="preserve">Methodik</w:t>
      </w:r>
    </w:p>
    <w:p>
      <w:pPr>
        <w:pStyle w:val="FirstParagraph"/>
      </w:pPr>
      <w:r>
        <w:t xml:space="preserve">Dieser Anhang beschreibt, wie die Studien für dieses Buch gesucht, ausgewählt und geprüft wurden. Er soll es Ihnen ermöglichen, die Recherche nachzuvollziehen und bei Bedarf selbst zu wiederholen oder zu aktualisieren.</w:t>
      </w:r>
    </w:p>
    <w:bookmarkStart w:id="2999" w:name="datenbanken"/>
    <w:p>
      <w:pPr>
        <w:pStyle w:val="Heading3"/>
      </w:pPr>
      <w:r>
        <w:t xml:space="preserve">Datenbanken</w:t>
      </w:r>
    </w:p>
    <w:p>
      <w:pPr>
        <w:pStyle w:val="FirstParagraph"/>
      </w:pPr>
      <w:r>
        <w:t xml:space="preserve">Grundlage der Recherche sind zwei frei zugängliche Datenbanken:</w:t>
      </w:r>
    </w:p>
    <w:p>
      <w:pPr>
        <w:numPr>
          <w:ilvl w:val="0"/>
          <w:numId w:val="1374"/>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74"/>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2999"/>
    <w:bookmarkStart w:id="3000"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3000"/>
    <w:bookmarkStart w:id="3001"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3001"/>
    <w:bookmarkStart w:id="3008"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3002" w:name="a.-stoffwechsel-und-gewicht-1"/>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3002"/>
    <w:bookmarkStart w:id="3003" w:name="X3015189e268379062426343c7aa82640e988236"/>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3003"/>
    <w:bookmarkStart w:id="3004" w:name="c.-wachstumshormon-achse-1"/>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3004"/>
    <w:bookmarkStart w:id="3005" w:name="d.-gehirn-schlaf-und-langlebigkeit-1"/>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5"/>
    <w:bookmarkStart w:id="3006" w:name="Xd24107054445892bde950dc5c91f31cd49ad37e"/>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3006"/>
    <w:bookmarkStart w:id="3007" w:name="f.-kollagen-ernährung-und-kosmetik-1"/>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3007"/>
    <w:bookmarkEnd w:id="3008"/>
    <w:bookmarkStart w:id="3009"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3009"/>
    <w:bookmarkStart w:id="3010"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75"/>
        </w:numPr>
        <w:pStyle w:val="Compact"/>
      </w:pPr>
      <w:r>
        <w:t xml:space="preserve">Jede genannte Studie wurde anhand ihres PubMed-Eintrags beziehungsweise Registereintrags gelesen.</w:t>
      </w:r>
    </w:p>
    <w:p>
      <w:pPr>
        <w:numPr>
          <w:ilvl w:val="0"/>
          <w:numId w:val="1375"/>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75"/>
        </w:numPr>
        <w:pStyle w:val="Compact"/>
      </w:pPr>
      <w:r>
        <w:t xml:space="preserve">Volltexte wurden nicht systematisch ausgewertet. Details, die nur im Volltext stehen, etwa einzelne Nebenwirkungsraten oder Untergruppen, fehlen daher teilweise.</w:t>
      </w:r>
    </w:p>
    <w:p>
      <w:pPr>
        <w:numPr>
          <w:ilvl w:val="0"/>
          <w:numId w:val="1375"/>
        </w:numPr>
        <w:pStyle w:val="Compact"/>
      </w:pPr>
      <w:r>
        <w:t xml:space="preserve">Tier- und Laborergebnisse werden ausdrücklich als solche gekennzeichnet.</w:t>
      </w:r>
    </w:p>
    <w:p>
      <w:pPr>
        <w:numPr>
          <w:ilvl w:val="0"/>
          <w:numId w:val="1375"/>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3010"/>
    <w:bookmarkStart w:id="3011"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3011"/>
    <w:bookmarkStart w:id="3012" w:name="grenzen-der-methodik"/>
    <w:p>
      <w:pPr>
        <w:pStyle w:val="Heading3"/>
      </w:pPr>
      <w:r>
        <w:t xml:space="preserve">Grenzen der Methodik</w:t>
      </w:r>
    </w:p>
    <w:p>
      <w:pPr>
        <w:pStyle w:val="FirstParagraph"/>
      </w:pPr>
      <w:r>
        <w:t xml:space="preserve">Wie jede Literaturrecherche hat auch diese Grenzen, die Sie bei der Lektüre berücksichtigen sollten:</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3012"/>
    <w:bookmarkStart w:id="3013" w:name="ki-unterstützung-und-qualitätsprüfung"/>
    <w:p>
      <w:pPr>
        <w:pStyle w:val="Heading3"/>
      </w:pPr>
      <w:r>
        <w:t xml:space="preserve">KI-Unterstützung und Qualitätsprüfung</w:t>
      </w:r>
    </w:p>
    <w:p>
      <w:pPr>
        <w:pStyle w:val="FirstParagraph"/>
      </w:pPr>
      <w:r>
        <w:t xml:space="preserve">Dieses Buch wurde mit Unterstützung von Künstlicher Intelligenz recherchiert und verfasst und vom Autor überarbeitet. Die KI wurde für folgende Aufgaben eingesetzt:</w:t>
      </w:r>
    </w:p>
    <w:p>
      <w:pPr>
        <w:numPr>
          <w:ilvl w:val="0"/>
          <w:numId w:val="1376"/>
        </w:numPr>
        <w:pStyle w:val="Compact"/>
      </w:pPr>
      <w:r>
        <w:t xml:space="preserve">Durchführung der Datenbankabfragen über die genannten Schnittstellen mit eigens dafür geschriebenen Hilfsprogrammen,</w:t>
      </w:r>
    </w:p>
    <w:p>
      <w:pPr>
        <w:numPr>
          <w:ilvl w:val="0"/>
          <w:numId w:val="1376"/>
        </w:numPr>
        <w:pStyle w:val="Compact"/>
      </w:pPr>
      <w:r>
        <w:t xml:space="preserve">Lesen und Auswerten der Zusammenfassungen und Registereinträge,</w:t>
      </w:r>
    </w:p>
    <w:p>
      <w:pPr>
        <w:numPr>
          <w:ilvl w:val="0"/>
          <w:numId w:val="1376"/>
        </w:numPr>
        <w:pStyle w:val="Compact"/>
      </w:pPr>
      <w:r>
        <w:t xml:space="preserve">Erstellen von Textentwürfen nach festen Stil- und Arbeitsregeln.</w:t>
      </w:r>
    </w:p>
    <w:p>
      <w:pPr>
        <w:pStyle w:val="FirstParagraph"/>
      </w:pPr>
      <w:r>
        <w:t xml:space="preserve">Um das bekannte Risiko zu vermeiden, dass KI-Systeme Quellen oder Zahlen erfinden,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Sie sie selbst nachschlagen können – wie das geht, steht im Abschnitt „Über dieses Buch“ am Anfang.</w:t>
      </w:r>
    </w:p>
    <w:bookmarkEnd w:id="3013"/>
    <w:bookmarkEnd w:id="3014"/>
    <w:bookmarkStart w:id="3073"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3015" w:name="exenatid-437"/>
    <w:p>
      <w:pPr>
        <w:pStyle w:val="Heading2"/>
      </w:pPr>
      <w:r>
        <w:t xml:space="preserve">Exenatid (437)</w:t>
      </w:r>
    </w:p>
    <w:p>
      <w:pPr>
        <w:numPr>
          <w:ilvl w:val="0"/>
          <w:numId w:val="1377"/>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7"/>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7"/>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7"/>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7"/>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7"/>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7"/>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7"/>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7"/>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7"/>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7"/>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7"/>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7"/>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7"/>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7"/>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7"/>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7"/>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7"/>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7"/>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7"/>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7"/>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7"/>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7"/>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7"/>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7"/>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7"/>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7"/>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7"/>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7"/>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7"/>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7"/>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7"/>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7"/>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7"/>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7"/>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7"/>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7"/>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7"/>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7"/>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7"/>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7"/>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7"/>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7"/>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7"/>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7"/>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7"/>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7"/>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7"/>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7"/>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7"/>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7"/>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7"/>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7"/>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7"/>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7"/>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7"/>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7"/>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7"/>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7"/>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7"/>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7"/>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7"/>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7"/>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7"/>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7"/>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7"/>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7"/>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7"/>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7"/>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7"/>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7"/>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7"/>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7"/>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7"/>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7"/>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7"/>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7"/>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7"/>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7"/>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7"/>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7"/>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7"/>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7"/>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7"/>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7"/>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7"/>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7"/>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7"/>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7"/>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7"/>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7"/>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7"/>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7"/>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7"/>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7"/>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7"/>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7"/>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7"/>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7"/>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7"/>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7"/>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7"/>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7"/>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7"/>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7"/>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7"/>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7"/>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7"/>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7"/>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7"/>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7"/>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7"/>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7"/>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7"/>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7"/>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7"/>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7"/>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7"/>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7"/>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7"/>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7"/>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7"/>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7"/>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7"/>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7"/>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7"/>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7"/>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7"/>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7"/>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7"/>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7"/>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7"/>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7"/>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7"/>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7"/>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7"/>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7"/>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7"/>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7"/>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7"/>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7"/>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7"/>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7"/>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7"/>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7"/>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7"/>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7"/>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7"/>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7"/>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7"/>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7"/>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7"/>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7"/>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7"/>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7"/>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7"/>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7"/>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7"/>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7"/>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7"/>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7"/>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7"/>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7"/>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7"/>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7"/>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7"/>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7"/>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7"/>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7"/>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7"/>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7"/>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7"/>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7"/>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7"/>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7"/>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7"/>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7"/>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7"/>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7"/>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7"/>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7"/>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7"/>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7"/>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7"/>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7"/>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7"/>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7"/>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7"/>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7"/>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7"/>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7"/>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7"/>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7"/>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7"/>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7"/>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7"/>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7"/>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7"/>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7"/>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7"/>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7"/>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7"/>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7"/>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7"/>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7"/>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7"/>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7"/>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7"/>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7"/>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7"/>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7"/>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7"/>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7"/>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7"/>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7"/>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7"/>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7"/>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7"/>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7"/>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7"/>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7"/>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7"/>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7"/>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7"/>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7"/>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7"/>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7"/>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7"/>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7"/>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7"/>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7"/>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7"/>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7"/>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7"/>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7"/>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7"/>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7"/>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7"/>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7"/>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7"/>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7"/>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7"/>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7"/>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7"/>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7"/>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7"/>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7"/>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7"/>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7"/>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7"/>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7"/>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7"/>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7"/>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7"/>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7"/>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7"/>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7"/>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7"/>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7"/>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7"/>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7"/>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7"/>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7"/>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7"/>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7"/>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7"/>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7"/>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7"/>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7"/>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7"/>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7"/>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7"/>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7"/>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7"/>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7"/>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7"/>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7"/>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7"/>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7"/>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7"/>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7"/>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7"/>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7"/>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7"/>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7"/>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7"/>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7"/>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7"/>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7"/>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7"/>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7"/>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7"/>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7"/>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7"/>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7"/>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7"/>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7"/>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7"/>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7"/>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7"/>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7"/>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7"/>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7"/>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7"/>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7"/>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7"/>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7"/>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7"/>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7"/>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7"/>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7"/>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7"/>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7"/>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7"/>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7"/>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7"/>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7"/>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7"/>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7"/>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7"/>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7"/>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7"/>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7"/>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7"/>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7"/>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7"/>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7"/>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7"/>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7"/>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7"/>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7"/>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7"/>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7"/>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7"/>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7"/>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7"/>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7"/>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7"/>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7"/>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7"/>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7"/>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7"/>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7"/>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7"/>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7"/>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7"/>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7"/>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7"/>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7"/>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7"/>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7"/>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7"/>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7"/>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7"/>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7"/>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7"/>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7"/>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7"/>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7"/>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7"/>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7"/>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7"/>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7"/>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7"/>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7"/>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7"/>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7"/>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7"/>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7"/>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7"/>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7"/>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7"/>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7"/>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5"/>
    <w:bookmarkStart w:id="3016" w:name="liraglutid-613"/>
    <w:p>
      <w:pPr>
        <w:pStyle w:val="Heading2"/>
      </w:pPr>
      <w:r>
        <w:t xml:space="preserve">Liraglutid (613)</w:t>
      </w:r>
    </w:p>
    <w:p>
      <w:pPr>
        <w:numPr>
          <w:ilvl w:val="0"/>
          <w:numId w:val="1378"/>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8"/>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8"/>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8"/>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8"/>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8"/>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8"/>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8"/>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8"/>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8"/>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8"/>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8"/>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8"/>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8"/>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8"/>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8"/>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8"/>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8"/>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8"/>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8"/>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8"/>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8"/>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8"/>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8"/>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8"/>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8"/>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8"/>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8"/>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8"/>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8"/>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8"/>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8"/>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8"/>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8"/>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8"/>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8"/>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8"/>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8"/>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8"/>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8"/>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8"/>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8"/>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8"/>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8"/>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8"/>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8"/>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8"/>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8"/>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8"/>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8"/>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8"/>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8"/>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8"/>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8"/>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8"/>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8"/>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8"/>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8"/>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8"/>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8"/>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8"/>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8"/>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8"/>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8"/>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8"/>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8"/>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8"/>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8"/>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8"/>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8"/>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8"/>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8"/>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8"/>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8"/>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8"/>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8"/>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8"/>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8"/>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8"/>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8"/>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8"/>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8"/>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8"/>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8"/>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8"/>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8"/>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8"/>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8"/>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8"/>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8"/>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8"/>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8"/>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8"/>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8"/>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8"/>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8"/>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8"/>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8"/>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8"/>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8"/>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8"/>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8"/>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8"/>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8"/>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8"/>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8"/>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8"/>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8"/>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8"/>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8"/>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8"/>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8"/>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8"/>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8"/>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8"/>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8"/>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8"/>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8"/>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8"/>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8"/>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8"/>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8"/>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8"/>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8"/>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8"/>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8"/>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8"/>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8"/>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8"/>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8"/>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8"/>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8"/>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8"/>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8"/>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8"/>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8"/>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8"/>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8"/>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8"/>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8"/>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8"/>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8"/>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8"/>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8"/>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8"/>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8"/>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8"/>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8"/>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8"/>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8"/>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8"/>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8"/>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8"/>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8"/>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8"/>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8"/>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8"/>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8"/>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8"/>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8"/>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8"/>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8"/>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8"/>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8"/>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8"/>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8"/>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8"/>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8"/>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8"/>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8"/>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8"/>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8"/>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8"/>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8"/>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8"/>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8"/>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8"/>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8"/>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8"/>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8"/>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8"/>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8"/>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8"/>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8"/>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8"/>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8"/>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8"/>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8"/>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8"/>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8"/>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8"/>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8"/>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8"/>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8"/>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8"/>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8"/>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8"/>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8"/>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8"/>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8"/>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8"/>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8"/>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8"/>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8"/>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8"/>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8"/>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8"/>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8"/>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8"/>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8"/>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8"/>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8"/>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8"/>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8"/>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8"/>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8"/>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8"/>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8"/>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8"/>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8"/>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8"/>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8"/>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8"/>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8"/>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8"/>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8"/>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8"/>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8"/>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8"/>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8"/>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8"/>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8"/>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8"/>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8"/>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8"/>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8"/>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8"/>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8"/>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8"/>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8"/>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8"/>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8"/>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8"/>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8"/>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8"/>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8"/>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8"/>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8"/>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8"/>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8"/>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8"/>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8"/>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8"/>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8"/>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8"/>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8"/>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8"/>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8"/>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8"/>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8"/>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8"/>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8"/>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8"/>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8"/>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8"/>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8"/>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8"/>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8"/>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8"/>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8"/>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8"/>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8"/>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8"/>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8"/>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8"/>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8"/>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8"/>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8"/>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8"/>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8"/>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8"/>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8"/>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8"/>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8"/>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8"/>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8"/>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8"/>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8"/>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8"/>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8"/>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8"/>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8"/>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8"/>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8"/>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8"/>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8"/>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8"/>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8"/>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8"/>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8"/>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8"/>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8"/>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8"/>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8"/>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8"/>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8"/>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8"/>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8"/>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8"/>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8"/>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8"/>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8"/>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8"/>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8"/>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8"/>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8"/>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8"/>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8"/>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8"/>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8"/>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8"/>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8"/>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8"/>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8"/>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8"/>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8"/>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8"/>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8"/>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8"/>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8"/>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8"/>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8"/>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8"/>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8"/>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8"/>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8"/>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8"/>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8"/>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8"/>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8"/>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8"/>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8"/>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8"/>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8"/>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8"/>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8"/>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8"/>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8"/>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8"/>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8"/>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8"/>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8"/>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8"/>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8"/>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8"/>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8"/>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8"/>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8"/>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8"/>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8"/>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8"/>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8"/>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8"/>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8"/>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8"/>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8"/>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8"/>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8"/>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8"/>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8"/>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8"/>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8"/>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8"/>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8"/>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8"/>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8"/>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8"/>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8"/>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8"/>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8"/>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8"/>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8"/>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8"/>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8"/>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8"/>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8"/>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8"/>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8"/>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8"/>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8"/>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8"/>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8"/>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8"/>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8"/>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8"/>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8"/>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8"/>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8"/>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8"/>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8"/>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8"/>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8"/>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8"/>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8"/>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8"/>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8"/>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8"/>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8"/>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8"/>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8"/>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8"/>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8"/>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8"/>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8"/>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8"/>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8"/>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8"/>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8"/>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8"/>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8"/>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8"/>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8"/>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8"/>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8"/>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8"/>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8"/>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8"/>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8"/>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8"/>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8"/>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8"/>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8"/>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8"/>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8"/>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8"/>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8"/>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8"/>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8"/>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8"/>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8"/>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8"/>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8"/>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8"/>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8"/>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8"/>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8"/>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8"/>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8"/>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8"/>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8"/>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8"/>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8"/>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8"/>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8"/>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8"/>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8"/>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8"/>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8"/>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8"/>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8"/>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8"/>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8"/>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8"/>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8"/>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8"/>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8"/>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8"/>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8"/>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8"/>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8"/>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8"/>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8"/>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8"/>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8"/>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8"/>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8"/>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8"/>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8"/>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8"/>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8"/>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8"/>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8"/>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8"/>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8"/>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8"/>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8"/>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8"/>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8"/>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8"/>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8"/>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8"/>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8"/>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8"/>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8"/>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8"/>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8"/>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8"/>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8"/>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8"/>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8"/>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8"/>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8"/>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8"/>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8"/>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8"/>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8"/>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8"/>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8"/>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8"/>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8"/>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8"/>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8"/>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8"/>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8"/>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8"/>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8"/>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8"/>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8"/>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8"/>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8"/>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8"/>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8"/>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8"/>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8"/>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8"/>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8"/>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8"/>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8"/>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8"/>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8"/>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8"/>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8"/>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8"/>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8"/>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8"/>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8"/>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8"/>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8"/>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8"/>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8"/>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8"/>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8"/>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8"/>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8"/>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8"/>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6"/>
    <w:bookmarkStart w:id="3017" w:name="dulaglutid-158"/>
    <w:p>
      <w:pPr>
        <w:pStyle w:val="Heading2"/>
      </w:pPr>
      <w:r>
        <w:t xml:space="preserve">Dulaglutid (158)</w:t>
      </w:r>
    </w:p>
    <w:p>
      <w:pPr>
        <w:numPr>
          <w:ilvl w:val="0"/>
          <w:numId w:val="1379"/>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9"/>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9"/>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9"/>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9"/>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9"/>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9"/>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9"/>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9"/>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9"/>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9"/>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9"/>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9"/>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9"/>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9"/>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9"/>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9"/>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9"/>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9"/>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9"/>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9"/>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9"/>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9"/>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9"/>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9"/>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9"/>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9"/>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9"/>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9"/>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9"/>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9"/>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9"/>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9"/>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9"/>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9"/>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9"/>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9"/>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9"/>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9"/>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9"/>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9"/>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9"/>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9"/>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9"/>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9"/>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9"/>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9"/>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9"/>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9"/>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9"/>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9"/>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9"/>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9"/>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9"/>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9"/>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9"/>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9"/>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9"/>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9"/>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9"/>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9"/>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9"/>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9"/>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9"/>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9"/>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9"/>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9"/>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9"/>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9"/>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9"/>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9"/>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9"/>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9"/>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9"/>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9"/>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9"/>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9"/>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9"/>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9"/>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9"/>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9"/>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9"/>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9"/>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9"/>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9"/>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9"/>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9"/>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9"/>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9"/>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9"/>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9"/>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9"/>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9"/>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9"/>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9"/>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9"/>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9"/>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9"/>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9"/>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7"/>
    <w:bookmarkStart w:id="3018" w:name="semaglutid-342"/>
    <w:p>
      <w:pPr>
        <w:pStyle w:val="Heading2"/>
      </w:pPr>
      <w:r>
        <w:t xml:space="preserve">Semaglutid (342)</w:t>
      </w:r>
    </w:p>
    <w:p>
      <w:pPr>
        <w:numPr>
          <w:ilvl w:val="0"/>
          <w:numId w:val="1380"/>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80"/>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80"/>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80"/>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80"/>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80"/>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80"/>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80"/>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80"/>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80"/>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80"/>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80"/>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80"/>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80"/>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0"/>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80"/>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80"/>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80"/>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8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0"/>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0"/>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80"/>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80"/>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80"/>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80"/>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0"/>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0"/>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0"/>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80"/>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0"/>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80"/>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80"/>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80"/>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80"/>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80"/>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80"/>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80"/>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80"/>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80"/>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80"/>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0"/>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80"/>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80"/>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80"/>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80"/>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80"/>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8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0"/>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80"/>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80"/>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80"/>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80"/>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80"/>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80"/>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80"/>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80"/>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80"/>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80"/>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80"/>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0"/>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80"/>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80"/>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80"/>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80"/>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80"/>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80"/>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80"/>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80"/>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80"/>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80"/>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80"/>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80"/>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80"/>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80"/>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80"/>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80"/>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80"/>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80"/>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80"/>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80"/>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80"/>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80"/>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80"/>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80"/>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80"/>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80"/>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80"/>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80"/>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80"/>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80"/>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80"/>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80"/>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0"/>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0"/>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80"/>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80"/>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80"/>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80"/>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80"/>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80"/>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80"/>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80"/>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80"/>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80"/>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80"/>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80"/>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80"/>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80"/>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80"/>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80"/>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80"/>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80"/>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80"/>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80"/>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80"/>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80"/>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80"/>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80"/>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80"/>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80"/>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80"/>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80"/>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80"/>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80"/>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80"/>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80"/>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80"/>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80"/>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80"/>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80"/>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80"/>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0"/>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80"/>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80"/>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80"/>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80"/>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80"/>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80"/>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80"/>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80"/>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80"/>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80"/>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80"/>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80"/>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80"/>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80"/>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80"/>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80"/>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80"/>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80"/>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80"/>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80"/>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80"/>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80"/>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80"/>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80"/>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80"/>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80"/>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80"/>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80"/>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80"/>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80"/>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80"/>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80"/>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80"/>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80"/>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80"/>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80"/>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80"/>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80"/>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80"/>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80"/>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80"/>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80"/>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80"/>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80"/>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80"/>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80"/>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80"/>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80"/>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0"/>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0"/>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80"/>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80"/>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80"/>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80"/>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80"/>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80"/>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80"/>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80"/>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80"/>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80"/>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80"/>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80"/>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80"/>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80"/>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80"/>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80"/>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80"/>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80"/>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80"/>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80"/>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80"/>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80"/>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80"/>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80"/>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80"/>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80"/>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80"/>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80"/>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80"/>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80"/>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80"/>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80"/>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80"/>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80"/>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80"/>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80"/>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80"/>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80"/>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80"/>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80"/>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80"/>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80"/>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80"/>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80"/>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80"/>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80"/>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80"/>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80"/>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80"/>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80"/>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80"/>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80"/>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80"/>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80"/>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80"/>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80"/>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80"/>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80"/>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80"/>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80"/>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80"/>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80"/>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80"/>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80"/>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80"/>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80"/>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80"/>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80"/>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80"/>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80"/>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80"/>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80"/>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80"/>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80"/>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80"/>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80"/>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80"/>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80"/>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80"/>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80"/>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80"/>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80"/>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80"/>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80"/>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80"/>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80"/>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80"/>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80"/>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80"/>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80"/>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80"/>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80"/>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80"/>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80"/>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80"/>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80"/>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80"/>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80"/>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80"/>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80"/>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80"/>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80"/>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80"/>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80"/>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80"/>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8"/>
    <w:bookmarkStart w:id="3019" w:name="tirzepatid-144"/>
    <w:p>
      <w:pPr>
        <w:pStyle w:val="Heading2"/>
      </w:pPr>
      <w:r>
        <w:t xml:space="preserve">Tirzepatid (144)</w:t>
      </w:r>
    </w:p>
    <w:p>
      <w:pPr>
        <w:numPr>
          <w:ilvl w:val="0"/>
          <w:numId w:val="1381"/>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1"/>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1"/>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1"/>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1"/>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1"/>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1"/>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1"/>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1"/>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1"/>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1"/>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1"/>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1"/>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1"/>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1"/>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1"/>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1"/>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1"/>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1"/>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1"/>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1"/>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1"/>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1"/>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1"/>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1"/>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1"/>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1"/>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1"/>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1"/>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1"/>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1"/>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1"/>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1"/>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1"/>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1"/>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1"/>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1"/>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1"/>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1"/>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1"/>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1"/>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1"/>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1"/>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1"/>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1"/>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1"/>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1"/>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1"/>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1"/>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1"/>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1"/>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1"/>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1"/>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1"/>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1"/>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1"/>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1"/>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1"/>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1"/>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1"/>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1"/>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1"/>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1"/>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1"/>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1"/>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1"/>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1"/>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1"/>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1"/>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1"/>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1"/>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1"/>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1"/>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1"/>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1"/>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1"/>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1"/>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1"/>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1"/>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1"/>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1"/>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1"/>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1"/>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1"/>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1"/>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1"/>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1"/>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1"/>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1"/>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1"/>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1"/>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1"/>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1"/>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1"/>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1"/>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1"/>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1"/>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1"/>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1"/>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1"/>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1"/>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1"/>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1"/>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1"/>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1"/>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1"/>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1"/>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1"/>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1"/>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1"/>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1"/>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1"/>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1"/>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1"/>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1"/>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1"/>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1"/>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1"/>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1"/>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1"/>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1"/>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1"/>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1"/>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1"/>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1"/>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1"/>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1"/>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1"/>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1"/>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1"/>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1"/>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1"/>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1"/>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1"/>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1"/>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1"/>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1"/>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1"/>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1"/>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1"/>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1"/>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1"/>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9"/>
    <w:bookmarkStart w:id="3020" w:name="retatrutid-10"/>
    <w:p>
      <w:pPr>
        <w:pStyle w:val="Heading2"/>
      </w:pPr>
      <w:r>
        <w:t xml:space="preserve">Retatrutid (10)</w:t>
      </w:r>
    </w:p>
    <w:p>
      <w:pPr>
        <w:numPr>
          <w:ilvl w:val="0"/>
          <w:numId w:val="1382"/>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2"/>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2"/>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2"/>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2"/>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2"/>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2"/>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2"/>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2"/>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2"/>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20"/>
    <w:bookmarkStart w:id="3021" w:name="survodutid-10"/>
    <w:p>
      <w:pPr>
        <w:pStyle w:val="Heading2"/>
      </w:pPr>
      <w:r>
        <w:t xml:space="preserve">Survodutid (10)</w:t>
      </w:r>
    </w:p>
    <w:p>
      <w:pPr>
        <w:numPr>
          <w:ilvl w:val="0"/>
          <w:numId w:val="1383"/>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3"/>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3"/>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3"/>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3"/>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3"/>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3"/>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3"/>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3"/>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3"/>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1"/>
    <w:bookmarkStart w:id="3022" w:name="mazdutid-9"/>
    <w:p>
      <w:pPr>
        <w:pStyle w:val="Heading2"/>
      </w:pPr>
      <w:r>
        <w:t xml:space="preserve">Mazdutid (9)</w:t>
      </w:r>
    </w:p>
    <w:p>
      <w:pPr>
        <w:numPr>
          <w:ilvl w:val="0"/>
          <w:numId w:val="1384"/>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4"/>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4"/>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4"/>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4"/>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4"/>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4"/>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4"/>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4"/>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2"/>
    <w:bookmarkStart w:id="3023" w:name="cagrilintid-und-cagrisema-15"/>
    <w:p>
      <w:pPr>
        <w:pStyle w:val="Heading2"/>
      </w:pPr>
      <w:r>
        <w:t xml:space="preserve">Cagrilintid und CagriSema (15)</w:t>
      </w:r>
    </w:p>
    <w:p>
      <w:pPr>
        <w:numPr>
          <w:ilvl w:val="0"/>
          <w:numId w:val="1385"/>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5"/>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5"/>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5"/>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5"/>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5"/>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5"/>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5"/>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5"/>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5"/>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5"/>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5"/>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5"/>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5"/>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5"/>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3"/>
    <w:bookmarkStart w:id="3024" w:name="amycretin-zenagamtid-4"/>
    <w:p>
      <w:pPr>
        <w:pStyle w:val="Heading2"/>
      </w:pPr>
      <w:r>
        <w:t xml:space="preserve">Amycretin (Zenagamtid) (4)</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6"/>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6"/>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4"/>
    <w:bookmarkStart w:id="3025" w:name="maridebart-cafraglutid-maritide-2"/>
    <w:p>
      <w:pPr>
        <w:pStyle w:val="Heading2"/>
      </w:pPr>
      <w:r>
        <w:t xml:space="preserve">Maridebart Cafraglutid (MariTide) (2)</w:t>
      </w:r>
    </w:p>
    <w:p>
      <w:pPr>
        <w:numPr>
          <w:ilvl w:val="0"/>
          <w:numId w:val="1387"/>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7"/>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5"/>
    <w:bookmarkStart w:id="3026" w:name="pramlintid-76"/>
    <w:p>
      <w:pPr>
        <w:pStyle w:val="Heading2"/>
      </w:pPr>
      <w:r>
        <w:t xml:space="preserve">Pramlintid (76)</w:t>
      </w:r>
    </w:p>
    <w:p>
      <w:pPr>
        <w:numPr>
          <w:ilvl w:val="0"/>
          <w:numId w:val="1388"/>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8"/>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8"/>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8"/>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8"/>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8"/>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8"/>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8"/>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8"/>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8"/>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8"/>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8"/>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8"/>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8"/>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8"/>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8"/>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8"/>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8"/>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8"/>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8"/>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8"/>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8"/>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8"/>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8"/>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8"/>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8"/>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8"/>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8"/>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8"/>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8"/>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8"/>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8"/>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8"/>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8"/>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8"/>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8"/>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8"/>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8"/>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8"/>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8"/>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8"/>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8"/>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8"/>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8"/>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8"/>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8"/>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8"/>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8"/>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8"/>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8"/>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8"/>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8"/>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8"/>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8"/>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8"/>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8"/>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8"/>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8"/>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8"/>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8"/>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8"/>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8"/>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8"/>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8"/>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8"/>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8"/>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8"/>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8"/>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8"/>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8"/>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8"/>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8"/>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8"/>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8"/>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6"/>
    <w:bookmarkStart w:id="3027" w:name="setmelanotid-15"/>
    <w:p>
      <w:pPr>
        <w:pStyle w:val="Heading2"/>
      </w:pPr>
      <w:r>
        <w:t xml:space="preserve">Setmelanotid (15)</w:t>
      </w:r>
    </w:p>
    <w:p>
      <w:pPr>
        <w:numPr>
          <w:ilvl w:val="0"/>
          <w:numId w:val="1389"/>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9"/>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9"/>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9"/>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9"/>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9"/>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9"/>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9"/>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9"/>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9"/>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9"/>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9"/>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9"/>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9"/>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9"/>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7"/>
    <w:bookmarkStart w:id="3028" w:name="aod-9604-0"/>
    <w:p>
      <w:pPr>
        <w:pStyle w:val="Heading2"/>
      </w:pPr>
      <w:r>
        <w:t xml:space="preserve">AOD-9604 (0)</w:t>
      </w:r>
    </w:p>
    <w:p>
      <w:pPr>
        <w:pStyle w:val="FirstParagraph"/>
      </w:pPr>
      <w:r>
        <w:t xml:space="preserve">Keine Veröffentlichungen klinischer Studien am Menschen gefunden.</w:t>
      </w:r>
    </w:p>
    <w:bookmarkEnd w:id="3028"/>
    <w:bookmarkStart w:id="3029" w:name="orforglipron-zum-vergleich-20"/>
    <w:p>
      <w:pPr>
        <w:pStyle w:val="Heading2"/>
      </w:pPr>
      <w:r>
        <w:t xml:space="preserve">Orforglipron (zum Vergleich) (20)</w:t>
      </w:r>
    </w:p>
    <w:p>
      <w:pPr>
        <w:numPr>
          <w:ilvl w:val="0"/>
          <w:numId w:val="1390"/>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90"/>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9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90"/>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90"/>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9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90"/>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9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90"/>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90"/>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90"/>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90"/>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90"/>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90"/>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90"/>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90"/>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9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90"/>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9"/>
    <w:bookmarkStart w:id="3030" w:name="bpc-157-0"/>
    <w:p>
      <w:pPr>
        <w:pStyle w:val="Heading2"/>
      </w:pPr>
      <w:r>
        <w:t xml:space="preserve">BPC-157 (0)</w:t>
      </w:r>
    </w:p>
    <w:p>
      <w:pPr>
        <w:pStyle w:val="FirstParagraph"/>
      </w:pPr>
      <w:r>
        <w:t xml:space="preserve">Keine Veröffentlichungen klinischer Studien am Menschen gefunden.</w:t>
      </w:r>
    </w:p>
    <w:bookmarkEnd w:id="3030"/>
    <w:bookmarkStart w:id="3031" w:name="tb-500-und-thymosin-beta-4-9"/>
    <w:p>
      <w:pPr>
        <w:pStyle w:val="Heading2"/>
      </w:pPr>
      <w:r>
        <w:t xml:space="preserve">TB-500 und Thymosin Beta-4 (9)</w:t>
      </w:r>
    </w:p>
    <w:p>
      <w:pPr>
        <w:numPr>
          <w:ilvl w:val="0"/>
          <w:numId w:val="1391"/>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1"/>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1"/>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1"/>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1"/>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1"/>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1"/>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1"/>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1"/>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1"/>
    <w:bookmarkStart w:id="3032" w:name="thymosin-alpha-1-thymalfasin-90"/>
    <w:p>
      <w:pPr>
        <w:pStyle w:val="Heading2"/>
      </w:pPr>
      <w:r>
        <w:t xml:space="preserve">Thymosin Alpha-1 (Thymalfasin) (90)</w:t>
      </w:r>
    </w:p>
    <w:p>
      <w:pPr>
        <w:numPr>
          <w:ilvl w:val="0"/>
          <w:numId w:val="1392"/>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2"/>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2"/>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2"/>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2"/>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2"/>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2"/>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2"/>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2"/>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2"/>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2"/>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2"/>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2"/>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2"/>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2"/>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2"/>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2"/>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2"/>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2"/>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2"/>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2"/>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2"/>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2"/>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2"/>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2"/>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2"/>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2"/>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2"/>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2"/>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2"/>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2"/>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2"/>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2"/>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2"/>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2"/>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2"/>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2"/>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2"/>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2"/>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2"/>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2"/>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2"/>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2"/>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2"/>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2"/>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2"/>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2"/>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2"/>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2"/>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2"/>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2"/>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2"/>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2"/>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2"/>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2"/>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2"/>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2"/>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2"/>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2"/>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2"/>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2"/>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2"/>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2"/>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2"/>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2"/>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2"/>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2"/>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2"/>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2"/>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2"/>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2"/>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2"/>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2"/>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2"/>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2"/>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2"/>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2"/>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2"/>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2"/>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2"/>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2"/>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2"/>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2"/>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2"/>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2"/>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2"/>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2"/>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2"/>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2"/>
    <w:bookmarkStart w:id="3033" w:name="kpv-0"/>
    <w:p>
      <w:pPr>
        <w:pStyle w:val="Heading2"/>
      </w:pPr>
      <w:r>
        <w:t xml:space="preserve">KPV (0)</w:t>
      </w:r>
    </w:p>
    <w:p>
      <w:pPr>
        <w:pStyle w:val="FirstParagraph"/>
      </w:pPr>
      <w:r>
        <w:t xml:space="preserve">Keine Veröffentlichungen klinischer Studien am Menschen gefunden.</w:t>
      </w:r>
    </w:p>
    <w:bookmarkEnd w:id="3033"/>
    <w:bookmarkStart w:id="3034" w:name="ll-37-91"/>
    <w:p>
      <w:pPr>
        <w:pStyle w:val="Heading2"/>
      </w:pPr>
      <w:r>
        <w:t xml:space="preserve">LL-37 (91)</w:t>
      </w:r>
    </w:p>
    <w:p>
      <w:pPr>
        <w:numPr>
          <w:ilvl w:val="0"/>
          <w:numId w:val="1393"/>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3"/>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3"/>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3"/>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3"/>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3"/>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3"/>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3"/>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3"/>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3"/>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3"/>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3"/>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3"/>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3"/>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3"/>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3"/>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3"/>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3"/>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3"/>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3"/>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3"/>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3"/>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3"/>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3"/>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3"/>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3"/>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3"/>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3"/>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3"/>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3"/>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3"/>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3"/>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3"/>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3"/>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3"/>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3"/>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3"/>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3"/>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3"/>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3"/>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3"/>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3"/>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3"/>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3"/>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3"/>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3"/>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3"/>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3"/>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3"/>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3"/>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3"/>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3"/>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3"/>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3"/>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3"/>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3"/>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3"/>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3"/>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3"/>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3"/>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3"/>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3"/>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3"/>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3"/>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3"/>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3"/>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3"/>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3"/>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3"/>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3"/>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3"/>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3"/>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3"/>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3"/>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3"/>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3"/>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3"/>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3"/>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3"/>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3"/>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3"/>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3"/>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3"/>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3"/>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3"/>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3"/>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3"/>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3"/>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3"/>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3"/>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3"/>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4"/>
    <w:bookmarkStart w:id="3035" w:name="ara-290-cibinetid-5"/>
    <w:p>
      <w:pPr>
        <w:pStyle w:val="Heading2"/>
      </w:pPr>
      <w:r>
        <w:t xml:space="preserve">ARA-290 (Cibinetid) (5)</w:t>
      </w:r>
    </w:p>
    <w:p>
      <w:pPr>
        <w:numPr>
          <w:ilvl w:val="0"/>
          <w:numId w:val="1394"/>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4"/>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4"/>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4"/>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4"/>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5"/>
    <w:bookmarkStart w:id="3036" w:name="larazotid-4"/>
    <w:p>
      <w:pPr>
        <w:pStyle w:val="Heading2"/>
      </w:pPr>
      <w:r>
        <w:t xml:space="preserve">Larazotid (4)</w:t>
      </w:r>
    </w:p>
    <w:p>
      <w:pPr>
        <w:numPr>
          <w:ilvl w:val="0"/>
          <w:numId w:val="1395"/>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5"/>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5"/>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5"/>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6"/>
    <w:bookmarkStart w:id="3037" w:name="thymalin-und-thymogen-17"/>
    <w:p>
      <w:pPr>
        <w:pStyle w:val="Heading2"/>
      </w:pPr>
      <w:r>
        <w:t xml:space="preserve">Thymalin und Thymogen (17)</w:t>
      </w:r>
    </w:p>
    <w:p>
      <w:pPr>
        <w:numPr>
          <w:ilvl w:val="0"/>
          <w:numId w:val="1396"/>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6"/>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6"/>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6"/>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6"/>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6"/>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6"/>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6"/>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6"/>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6"/>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6"/>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6"/>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6"/>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6"/>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6"/>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6"/>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6"/>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7"/>
    <w:bookmarkStart w:id="3038" w:name="sermorelin-0"/>
    <w:p>
      <w:pPr>
        <w:pStyle w:val="Heading2"/>
      </w:pPr>
      <w:r>
        <w:t xml:space="preserve">Sermorelin (0)</w:t>
      </w:r>
    </w:p>
    <w:p>
      <w:pPr>
        <w:pStyle w:val="FirstParagraph"/>
      </w:pPr>
      <w:r>
        <w:t xml:space="preserve">Keine Veröffentlichungen klinischer Studien am Menschen gefunden.</w:t>
      </w:r>
    </w:p>
    <w:bookmarkEnd w:id="3038"/>
    <w:bookmarkStart w:id="3039" w:name="tesamorelin-23"/>
    <w:p>
      <w:pPr>
        <w:pStyle w:val="Heading2"/>
      </w:pPr>
      <w:r>
        <w:t xml:space="preserve">Tesamorelin (23)</w:t>
      </w:r>
    </w:p>
    <w:p>
      <w:pPr>
        <w:numPr>
          <w:ilvl w:val="0"/>
          <w:numId w:val="1397"/>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7"/>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7"/>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7"/>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7"/>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7"/>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7"/>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7"/>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7"/>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7"/>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7"/>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7"/>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7"/>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7"/>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7"/>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7"/>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7"/>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7"/>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7"/>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7"/>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7"/>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7"/>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7"/>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9"/>
    <w:bookmarkStart w:id="3040" w:name="cjc-1295-2"/>
    <w:p>
      <w:pPr>
        <w:pStyle w:val="Heading2"/>
      </w:pPr>
      <w:r>
        <w:t xml:space="preserve">CJC-1295 (2)</w:t>
      </w:r>
    </w:p>
    <w:p>
      <w:pPr>
        <w:numPr>
          <w:ilvl w:val="0"/>
          <w:numId w:val="1398"/>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8"/>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40"/>
    <w:bookmarkStart w:id="3041" w:name="ipamorelin-2"/>
    <w:p>
      <w:pPr>
        <w:pStyle w:val="Heading2"/>
      </w:pPr>
      <w:r>
        <w:t xml:space="preserve">Ipamorelin (2)</w:t>
      </w:r>
    </w:p>
    <w:p>
      <w:pPr>
        <w:numPr>
          <w:ilvl w:val="0"/>
          <w:numId w:val="1399"/>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9"/>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1"/>
    <w:bookmarkStart w:id="3042" w:name="ghrp-2-pralmorelin-55"/>
    <w:p>
      <w:pPr>
        <w:pStyle w:val="Heading2"/>
      </w:pPr>
      <w:r>
        <w:t xml:space="preserve">GHRP-2 (Pralmorelin) (55)</w:t>
      </w:r>
    </w:p>
    <w:p>
      <w:pPr>
        <w:numPr>
          <w:ilvl w:val="0"/>
          <w:numId w:val="1400"/>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400"/>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400"/>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400"/>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400"/>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400"/>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400"/>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400"/>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400"/>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400"/>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400"/>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400"/>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400"/>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400"/>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400"/>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400"/>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400"/>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400"/>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400"/>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400"/>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400"/>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400"/>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400"/>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400"/>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400"/>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400"/>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400"/>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400"/>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400"/>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400"/>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400"/>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400"/>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400"/>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400"/>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400"/>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400"/>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400"/>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400"/>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400"/>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400"/>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400"/>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400"/>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2"/>
    <w:bookmarkStart w:id="3043" w:name="ghrp-6-40"/>
    <w:p>
      <w:pPr>
        <w:pStyle w:val="Heading2"/>
      </w:pPr>
      <w:r>
        <w:t xml:space="preserve">GHRP-6 (40)</w:t>
      </w:r>
    </w:p>
    <w:p>
      <w:pPr>
        <w:numPr>
          <w:ilvl w:val="0"/>
          <w:numId w:val="1401"/>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1"/>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1"/>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1"/>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1"/>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1"/>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1"/>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1"/>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1"/>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1"/>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1"/>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1"/>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1"/>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1"/>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1"/>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1"/>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1"/>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1"/>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1"/>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1"/>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1"/>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1"/>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1"/>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1"/>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1"/>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1"/>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1"/>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1"/>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1"/>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1"/>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3"/>
    <w:bookmarkStart w:id="3044" w:name="hexarelin-58"/>
    <w:p>
      <w:pPr>
        <w:pStyle w:val="Heading2"/>
      </w:pPr>
      <w:r>
        <w:t xml:space="preserve">Hexarelin (58)</w:t>
      </w:r>
    </w:p>
    <w:p>
      <w:pPr>
        <w:numPr>
          <w:ilvl w:val="0"/>
          <w:numId w:val="1402"/>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2"/>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2"/>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2"/>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2"/>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2"/>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2"/>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2"/>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2"/>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2"/>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2"/>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2"/>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2"/>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2"/>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2"/>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2"/>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2"/>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2"/>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2"/>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2"/>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2"/>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2"/>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2"/>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2"/>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2"/>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2"/>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2"/>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2"/>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2"/>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2"/>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2"/>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2"/>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2"/>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2"/>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2"/>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2"/>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2"/>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2"/>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2"/>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2"/>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2"/>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2"/>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2"/>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2"/>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2"/>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2"/>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2"/>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2"/>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2"/>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2"/>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2"/>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2"/>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2"/>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2"/>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2"/>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2"/>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2"/>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2"/>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4"/>
    <w:bookmarkStart w:id="3045" w:name="macimorelin-4"/>
    <w:p>
      <w:pPr>
        <w:pStyle w:val="Heading2"/>
      </w:pPr>
      <w:r>
        <w:t xml:space="preserve">Macimorelin (4)</w:t>
      </w:r>
    </w:p>
    <w:p>
      <w:pPr>
        <w:numPr>
          <w:ilvl w:val="0"/>
          <w:numId w:val="1403"/>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3"/>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3"/>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3"/>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5"/>
    <w:bookmarkStart w:id="3046" w:name="mecasermin-igf-1-21"/>
    <w:p>
      <w:pPr>
        <w:pStyle w:val="Heading2"/>
      </w:pPr>
      <w:r>
        <w:t xml:space="preserve">Mecasermin (IGF-1) (21)</w:t>
      </w:r>
    </w:p>
    <w:p>
      <w:pPr>
        <w:numPr>
          <w:ilvl w:val="0"/>
          <w:numId w:val="1404"/>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4"/>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4"/>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4"/>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4"/>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4"/>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4"/>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4"/>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4"/>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4"/>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4"/>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4"/>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4"/>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4"/>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4"/>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4"/>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4"/>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4"/>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4"/>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4"/>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4"/>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6"/>
    <w:bookmarkStart w:id="3047" w:name="igf-1-lr3-0"/>
    <w:p>
      <w:pPr>
        <w:pStyle w:val="Heading2"/>
      </w:pPr>
      <w:r>
        <w:t xml:space="preserve">IGF-1 LR3 (0)</w:t>
      </w:r>
    </w:p>
    <w:p>
      <w:pPr>
        <w:pStyle w:val="FirstParagraph"/>
      </w:pPr>
      <w:r>
        <w:t xml:space="preserve">Keine Veröffentlichungen klinischer Studien am Menschen gefunden.</w:t>
      </w:r>
    </w:p>
    <w:bookmarkEnd w:id="3047"/>
    <w:bookmarkStart w:id="3048" w:name="ibutamoren-mk-677-19"/>
    <w:p>
      <w:pPr>
        <w:pStyle w:val="Heading2"/>
      </w:pPr>
      <w:r>
        <w:t xml:space="preserve">Ibutamoren (MK-677) (19)</w:t>
      </w:r>
    </w:p>
    <w:p>
      <w:pPr>
        <w:numPr>
          <w:ilvl w:val="0"/>
          <w:numId w:val="1405"/>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5"/>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5"/>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5"/>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5"/>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5"/>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5"/>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5"/>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5"/>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5"/>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5"/>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5"/>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5"/>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5"/>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5"/>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5"/>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5"/>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5"/>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5"/>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8"/>
    <w:bookmarkStart w:id="3049" w:name="semax-4"/>
    <w:p>
      <w:pPr>
        <w:pStyle w:val="Heading2"/>
      </w:pPr>
      <w:r>
        <w:t xml:space="preserve">Semax (4)</w:t>
      </w:r>
    </w:p>
    <w:p>
      <w:pPr>
        <w:numPr>
          <w:ilvl w:val="0"/>
          <w:numId w:val="1406"/>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6"/>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6"/>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6"/>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9"/>
    <w:bookmarkStart w:id="3050" w:name="selank-3"/>
    <w:p>
      <w:pPr>
        <w:pStyle w:val="Heading2"/>
      </w:pPr>
      <w:r>
        <w:t xml:space="preserve">Selank (3)</w:t>
      </w:r>
    </w:p>
    <w:p>
      <w:pPr>
        <w:numPr>
          <w:ilvl w:val="0"/>
          <w:numId w:val="1407"/>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7"/>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7"/>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50"/>
    <w:bookmarkStart w:id="3051" w:name="cerebrolysin-88"/>
    <w:p>
      <w:pPr>
        <w:pStyle w:val="Heading2"/>
      </w:pPr>
      <w:r>
        <w:t xml:space="preserve">Cerebrolysin (88)</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8"/>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8"/>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8"/>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8"/>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8"/>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8"/>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8"/>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8"/>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8"/>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8"/>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8"/>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8"/>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8"/>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8"/>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8"/>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8"/>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8"/>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8"/>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8"/>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8"/>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8"/>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8"/>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8"/>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8"/>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8"/>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8"/>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8"/>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8"/>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8"/>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8"/>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8"/>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8"/>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8"/>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8"/>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8"/>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8"/>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8"/>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8"/>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8"/>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8"/>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8"/>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8"/>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8"/>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8"/>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8"/>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8"/>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8"/>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8"/>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8"/>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8"/>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8"/>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8"/>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8"/>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8"/>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8"/>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8"/>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8"/>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8"/>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8"/>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8"/>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8"/>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8"/>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8"/>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8"/>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8"/>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8"/>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8"/>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8"/>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8"/>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8"/>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8"/>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8"/>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8"/>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8"/>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8"/>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8"/>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8"/>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8"/>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8"/>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8"/>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8"/>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8"/>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8"/>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8"/>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1"/>
    <w:bookmarkStart w:id="3052" w:name="dihexa-0"/>
    <w:p>
      <w:pPr>
        <w:pStyle w:val="Heading2"/>
      </w:pPr>
      <w:r>
        <w:t xml:space="preserve">Dihexa (0)</w:t>
      </w:r>
    </w:p>
    <w:p>
      <w:pPr>
        <w:pStyle w:val="FirstParagraph"/>
      </w:pPr>
      <w:r>
        <w:t xml:space="preserve">Keine Veröffentlichungen klinischer Studien am Menschen gefunden.</w:t>
      </w:r>
    </w:p>
    <w:bookmarkEnd w:id="3052"/>
    <w:bookmarkStart w:id="3053" w:name="X660f7c32a74cb21325fb483ebf1c81f2a029efe"/>
    <w:p>
      <w:pPr>
        <w:pStyle w:val="Heading2"/>
      </w:pPr>
      <w:r>
        <w:t xml:space="preserve">DSIP (Delta-Schlaf-induzierendes Peptid) (18)</w:t>
      </w:r>
    </w:p>
    <w:p>
      <w:pPr>
        <w:numPr>
          <w:ilvl w:val="0"/>
          <w:numId w:val="1409"/>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9"/>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9"/>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9"/>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9"/>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9"/>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9"/>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9"/>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9"/>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9"/>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9"/>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9"/>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9"/>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9"/>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9"/>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9"/>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9"/>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9"/>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3"/>
    <w:bookmarkStart w:id="3054" w:name="epitalon-epithalon-1"/>
    <w:p>
      <w:pPr>
        <w:pStyle w:val="Heading2"/>
      </w:pPr>
      <w:r>
        <w:t xml:space="preserve">Epitalon (Epithalon) (1)</w:t>
      </w:r>
    </w:p>
    <w:p>
      <w:pPr>
        <w:numPr>
          <w:ilvl w:val="0"/>
          <w:numId w:val="1410"/>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4"/>
    <w:bookmarkStart w:id="3055" w:name="pinealon-1"/>
    <w:p>
      <w:pPr>
        <w:pStyle w:val="Heading2"/>
      </w:pPr>
      <w:r>
        <w:t xml:space="preserve">Pinealon (1)</w:t>
      </w:r>
    </w:p>
    <w:p>
      <w:pPr>
        <w:numPr>
          <w:ilvl w:val="0"/>
          <w:numId w:val="1411"/>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5"/>
    <w:bookmarkStart w:id="3056" w:name="mots-c-5"/>
    <w:p>
      <w:pPr>
        <w:pStyle w:val="Heading2"/>
      </w:pPr>
      <w:r>
        <w:t xml:space="preserve">MOTS-c (5)</w:t>
      </w:r>
    </w:p>
    <w:p>
      <w:pPr>
        <w:numPr>
          <w:ilvl w:val="0"/>
          <w:numId w:val="1412"/>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2"/>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2"/>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6"/>
    <w:bookmarkStart w:id="3057" w:name="humanin-8"/>
    <w:p>
      <w:pPr>
        <w:pStyle w:val="Heading2"/>
      </w:pPr>
      <w:r>
        <w:t xml:space="preserve">Humanin (8)</w:t>
      </w:r>
    </w:p>
    <w:p>
      <w:pPr>
        <w:numPr>
          <w:ilvl w:val="0"/>
          <w:numId w:val="1413"/>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3"/>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3"/>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3"/>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3"/>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3"/>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3"/>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3"/>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7"/>
    <w:bookmarkStart w:id="3058" w:name="ss-31-elamipretid-19"/>
    <w:p>
      <w:pPr>
        <w:pStyle w:val="Heading2"/>
      </w:pPr>
      <w:r>
        <w:t xml:space="preserve">SS-31 (Elamipretid) (19)</w:t>
      </w:r>
    </w:p>
    <w:p>
      <w:pPr>
        <w:numPr>
          <w:ilvl w:val="0"/>
          <w:numId w:val="1414"/>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4"/>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4"/>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4"/>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4"/>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4"/>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4"/>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4"/>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4"/>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4"/>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4"/>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4"/>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4"/>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4"/>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4"/>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4"/>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4"/>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4"/>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4"/>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8"/>
    <w:bookmarkStart w:id="3059" w:name="foxo4-dri-0"/>
    <w:p>
      <w:pPr>
        <w:pStyle w:val="Heading2"/>
      </w:pPr>
      <w:r>
        <w:t xml:space="preserve">FOXO4-DRI (0)</w:t>
      </w:r>
    </w:p>
    <w:p>
      <w:pPr>
        <w:pStyle w:val="FirstParagraph"/>
      </w:pPr>
      <w:r>
        <w:t xml:space="preserve">Keine Veröffentlichungen klinischer Studien am Menschen gefunden.</w:t>
      </w:r>
    </w:p>
    <w:bookmarkEnd w:id="3059"/>
    <w:bookmarkStart w:id="3060" w:name="glutathion-161"/>
    <w:p>
      <w:pPr>
        <w:pStyle w:val="Heading2"/>
      </w:pPr>
      <w:r>
        <w:t xml:space="preserve">Glutathion (161)</w:t>
      </w:r>
    </w:p>
    <w:p>
      <w:pPr>
        <w:numPr>
          <w:ilvl w:val="0"/>
          <w:numId w:val="1415"/>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5"/>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5"/>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5"/>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5"/>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5"/>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5"/>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5"/>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5"/>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5"/>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5"/>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5"/>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5"/>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5"/>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5"/>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5"/>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5"/>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5"/>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5"/>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5"/>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5"/>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5"/>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5"/>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5"/>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5"/>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5"/>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5"/>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5"/>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5"/>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5"/>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5"/>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5"/>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5"/>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5"/>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5"/>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5"/>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5"/>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5"/>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5"/>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5"/>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5"/>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5"/>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5"/>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5"/>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5"/>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5"/>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5"/>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5"/>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5"/>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5"/>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5"/>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5"/>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5"/>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5"/>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5"/>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5"/>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5"/>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5"/>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5"/>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5"/>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5"/>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5"/>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5"/>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5"/>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5"/>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5"/>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5"/>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5"/>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5"/>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5"/>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5"/>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5"/>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5"/>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5"/>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5"/>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5"/>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5"/>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5"/>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5"/>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5"/>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5"/>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5"/>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5"/>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5"/>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5"/>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5"/>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5"/>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5"/>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5"/>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5"/>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5"/>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5"/>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5"/>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5"/>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5"/>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5"/>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5"/>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5"/>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5"/>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5"/>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5"/>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5"/>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5"/>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5"/>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5"/>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5"/>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5"/>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5"/>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5"/>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5"/>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5"/>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5"/>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5"/>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5"/>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5"/>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5"/>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5"/>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5"/>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5"/>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5"/>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5"/>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5"/>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5"/>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5"/>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5"/>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5"/>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5"/>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5"/>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5"/>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5"/>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5"/>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5"/>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5"/>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5"/>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5"/>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5"/>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5"/>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5"/>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5"/>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5"/>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5"/>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5"/>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5"/>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5"/>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5"/>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5"/>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5"/>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5"/>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5"/>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5"/>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5"/>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5"/>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5"/>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5"/>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5"/>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5"/>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5"/>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5"/>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5"/>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5"/>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5"/>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60"/>
    <w:bookmarkStart w:id="3061" w:name="bremelanotid-pt-141-16"/>
    <w:p>
      <w:pPr>
        <w:pStyle w:val="Heading2"/>
      </w:pPr>
      <w:r>
        <w:t xml:space="preserve">Bremelanotid (PT-141) (16)</w:t>
      </w:r>
    </w:p>
    <w:p>
      <w:pPr>
        <w:numPr>
          <w:ilvl w:val="0"/>
          <w:numId w:val="1416"/>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6"/>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6"/>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6"/>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6"/>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6"/>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6"/>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6"/>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6"/>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6"/>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6"/>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6"/>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6"/>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6"/>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6"/>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6"/>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1"/>
    <w:bookmarkStart w:id="3062" w:name="melanotan-ii-8"/>
    <w:p>
      <w:pPr>
        <w:pStyle w:val="Heading2"/>
      </w:pPr>
      <w:r>
        <w:t xml:space="preserve">Melanotan II (8)</w:t>
      </w:r>
    </w:p>
    <w:p>
      <w:pPr>
        <w:numPr>
          <w:ilvl w:val="0"/>
          <w:numId w:val="1417"/>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7"/>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7"/>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7"/>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7"/>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7"/>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7"/>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7"/>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2"/>
    <w:bookmarkStart w:id="3063" w:name="afamelanotid-10"/>
    <w:p>
      <w:pPr>
        <w:pStyle w:val="Heading2"/>
      </w:pPr>
      <w:r>
        <w:t xml:space="preserve">Afamelanotid (10)</w:t>
      </w:r>
    </w:p>
    <w:p>
      <w:pPr>
        <w:numPr>
          <w:ilvl w:val="0"/>
          <w:numId w:val="1418"/>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8"/>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8"/>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8"/>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8"/>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8"/>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8"/>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8"/>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8"/>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8"/>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3"/>
    <w:bookmarkStart w:id="3064" w:name="kisspeptin-37"/>
    <w:p>
      <w:pPr>
        <w:pStyle w:val="Heading2"/>
      </w:pPr>
      <w:r>
        <w:t xml:space="preserve">Kisspeptin (37)</w:t>
      </w:r>
    </w:p>
    <w:p>
      <w:pPr>
        <w:numPr>
          <w:ilvl w:val="0"/>
          <w:numId w:val="1419"/>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9"/>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9"/>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9"/>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9"/>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9"/>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9"/>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9"/>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9"/>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9"/>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9"/>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9"/>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9"/>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9"/>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9"/>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9"/>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9"/>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9"/>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9"/>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9"/>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9"/>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9"/>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9"/>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9"/>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9"/>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9"/>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9"/>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9"/>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9"/>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9"/>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9"/>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9"/>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9"/>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9"/>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9"/>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9"/>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9"/>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4"/>
    <w:bookmarkStart w:id="3065" w:name="oxytocin-nasenspray-349"/>
    <w:p>
      <w:pPr>
        <w:pStyle w:val="Heading2"/>
      </w:pPr>
      <w:r>
        <w:t xml:space="preserve">Oxytocin (Nasenspray) (349)</w:t>
      </w:r>
    </w:p>
    <w:p>
      <w:pPr>
        <w:numPr>
          <w:ilvl w:val="0"/>
          <w:numId w:val="1420"/>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20"/>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20"/>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20"/>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20"/>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20"/>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20"/>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20"/>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20"/>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20"/>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20"/>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20"/>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20"/>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20"/>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20"/>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20"/>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20"/>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20"/>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20"/>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20"/>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20"/>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20"/>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20"/>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20"/>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20"/>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20"/>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20"/>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20"/>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20"/>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20"/>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20"/>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20"/>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20"/>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20"/>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20"/>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20"/>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20"/>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20"/>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20"/>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20"/>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20"/>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20"/>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20"/>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20"/>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20"/>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20"/>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20"/>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20"/>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20"/>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20"/>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20"/>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20"/>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20"/>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20"/>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20"/>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20"/>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20"/>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20"/>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20"/>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20"/>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20"/>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20"/>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20"/>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20"/>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20"/>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20"/>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20"/>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20"/>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20"/>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20"/>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20"/>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20"/>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20"/>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20"/>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20"/>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20"/>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20"/>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20"/>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20"/>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20"/>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20"/>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20"/>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20"/>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20"/>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20"/>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20"/>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20"/>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20"/>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20"/>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20"/>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20"/>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20"/>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20"/>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20"/>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20"/>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20"/>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20"/>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20"/>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20"/>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20"/>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20"/>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20"/>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20"/>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20"/>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20"/>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20"/>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20"/>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20"/>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20"/>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20"/>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20"/>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20"/>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20"/>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20"/>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20"/>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20"/>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20"/>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20"/>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20"/>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20"/>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20"/>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20"/>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20"/>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20"/>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20"/>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20"/>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20"/>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20"/>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20"/>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20"/>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20"/>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20"/>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20"/>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20"/>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20"/>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20"/>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20"/>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20"/>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20"/>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20"/>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20"/>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20"/>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20"/>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20"/>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20"/>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20"/>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20"/>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20"/>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20"/>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20"/>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20"/>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20"/>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20"/>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20"/>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20"/>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20"/>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20"/>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20"/>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20"/>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20"/>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20"/>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20"/>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20"/>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20"/>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20"/>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20"/>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20"/>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20"/>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20"/>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20"/>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20"/>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20"/>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20"/>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20"/>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20"/>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20"/>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20"/>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20"/>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20"/>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20"/>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20"/>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20"/>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20"/>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20"/>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20"/>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20"/>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20"/>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20"/>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20"/>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20"/>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20"/>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20"/>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20"/>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20"/>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20"/>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20"/>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20"/>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20"/>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20"/>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20"/>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20"/>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20"/>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20"/>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20"/>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20"/>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20"/>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20"/>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20"/>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20"/>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20"/>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20"/>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20"/>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20"/>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20"/>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20"/>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20"/>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20"/>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20"/>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20"/>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20"/>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20"/>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20"/>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20"/>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20"/>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20"/>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20"/>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20"/>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20"/>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20"/>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20"/>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20"/>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20"/>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20"/>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20"/>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20"/>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20"/>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20"/>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20"/>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20"/>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20"/>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20"/>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20"/>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20"/>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20"/>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20"/>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20"/>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20"/>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20"/>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20"/>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20"/>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20"/>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20"/>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20"/>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20"/>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20"/>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20"/>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20"/>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20"/>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20"/>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20"/>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20"/>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20"/>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20"/>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20"/>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20"/>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20"/>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20"/>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20"/>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20"/>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20"/>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20"/>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20"/>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20"/>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20"/>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20"/>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20"/>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20"/>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20"/>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20"/>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20"/>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20"/>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20"/>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20"/>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20"/>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20"/>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20"/>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20"/>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20"/>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20"/>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20"/>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20"/>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20"/>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20"/>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20"/>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20"/>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20"/>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20"/>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20"/>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20"/>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20"/>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20"/>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20"/>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20"/>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20"/>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20"/>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20"/>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20"/>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20"/>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20"/>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20"/>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20"/>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20"/>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20"/>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20"/>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20"/>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20"/>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20"/>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20"/>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20"/>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20"/>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20"/>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20"/>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20"/>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20"/>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20"/>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20"/>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20"/>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20"/>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20"/>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20"/>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20"/>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20"/>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20"/>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20"/>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20"/>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20"/>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20"/>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20"/>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20"/>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20"/>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20"/>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20"/>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20"/>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20"/>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20"/>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20"/>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20"/>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5"/>
    <w:bookmarkStart w:id="3066" w:name="gonadorelin-9"/>
    <w:p>
      <w:pPr>
        <w:pStyle w:val="Heading2"/>
      </w:pPr>
      <w:r>
        <w:t xml:space="preserve">Gonadorelin (9)</w:t>
      </w:r>
    </w:p>
    <w:p>
      <w:pPr>
        <w:numPr>
          <w:ilvl w:val="0"/>
          <w:numId w:val="1421"/>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1"/>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1"/>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1"/>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1"/>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1"/>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1"/>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1"/>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1"/>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6"/>
    <w:bookmarkStart w:id="3067" w:name="kollagenpeptide-kollagenhydrolysat-101"/>
    <w:p>
      <w:pPr>
        <w:pStyle w:val="Heading2"/>
      </w:pPr>
      <w:r>
        <w:t xml:space="preserve">Kollagenpeptide (Kollagenhydrolysat) (101)</w:t>
      </w:r>
    </w:p>
    <w:p>
      <w:pPr>
        <w:numPr>
          <w:ilvl w:val="0"/>
          <w:numId w:val="1422"/>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2"/>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2"/>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2"/>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2"/>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2"/>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2"/>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2"/>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2"/>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2"/>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2"/>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2"/>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2"/>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2"/>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2"/>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2"/>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2"/>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2"/>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2"/>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2"/>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2"/>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2"/>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2"/>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2"/>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2"/>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2"/>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2"/>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2"/>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2"/>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2"/>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2"/>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2"/>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2"/>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2"/>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2"/>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2"/>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2"/>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2"/>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2"/>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2"/>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2"/>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2"/>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2"/>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2"/>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2"/>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2"/>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2"/>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2"/>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2"/>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2"/>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2"/>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2"/>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2"/>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2"/>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2"/>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2"/>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2"/>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2"/>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2"/>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2"/>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2"/>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2"/>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2"/>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2"/>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2"/>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2"/>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2"/>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2"/>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2"/>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2"/>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2"/>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2"/>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2"/>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2"/>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2"/>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2"/>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2"/>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2"/>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2"/>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2"/>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2"/>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2"/>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2"/>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2"/>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2"/>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2"/>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2"/>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2"/>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2"/>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2"/>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2"/>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2"/>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2"/>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2"/>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2"/>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2"/>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2"/>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2"/>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2"/>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7"/>
    <w:bookmarkStart w:id="3068" w:name="lactotripeptide-vpp-und-ipp-21"/>
    <w:p>
      <w:pPr>
        <w:pStyle w:val="Heading2"/>
      </w:pPr>
      <w:r>
        <w:t xml:space="preserve">Lactotripeptide (VPP und IPP) (21)</w:t>
      </w:r>
    </w:p>
    <w:p>
      <w:pPr>
        <w:numPr>
          <w:ilvl w:val="0"/>
          <w:numId w:val="1423"/>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3"/>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3"/>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3"/>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3"/>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3"/>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3"/>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3"/>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3"/>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3"/>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3"/>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3"/>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3"/>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3"/>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3"/>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3"/>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3"/>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3"/>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3"/>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3"/>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3"/>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8"/>
    <w:bookmarkStart w:id="3069" w:name="carnosin-57"/>
    <w:p>
      <w:pPr>
        <w:pStyle w:val="Heading2"/>
      </w:pPr>
      <w:r>
        <w:t xml:space="preserve">Carnosin (57)</w:t>
      </w:r>
    </w:p>
    <w:p>
      <w:pPr>
        <w:numPr>
          <w:ilvl w:val="0"/>
          <w:numId w:val="1424"/>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4"/>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4"/>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4"/>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4"/>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4"/>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4"/>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4"/>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4"/>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4"/>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4"/>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4"/>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4"/>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4"/>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4"/>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4"/>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4"/>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4"/>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4"/>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4"/>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4"/>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4"/>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4"/>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4"/>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4"/>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4"/>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4"/>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4"/>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4"/>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4"/>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4"/>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4"/>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4"/>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4"/>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4"/>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4"/>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4"/>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4"/>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4"/>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4"/>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4"/>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4"/>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4"/>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4"/>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4"/>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4"/>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4"/>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4"/>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4"/>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4"/>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4"/>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4"/>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4"/>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4"/>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4"/>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4"/>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4"/>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9"/>
    <w:bookmarkStart w:id="3070" w:name="ghk-cu-kupferpeptid-1"/>
    <w:p>
      <w:pPr>
        <w:pStyle w:val="Heading2"/>
      </w:pPr>
      <w:r>
        <w:t xml:space="preserve">GHK-Cu (Kupferpeptid) (1)</w:t>
      </w:r>
    </w:p>
    <w:p>
      <w:pPr>
        <w:numPr>
          <w:ilvl w:val="0"/>
          <w:numId w:val="1425"/>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70"/>
    <w:bookmarkStart w:id="3071" w:name="palmitoyl-pentapeptid-4-matrixyl-1"/>
    <w:p>
      <w:pPr>
        <w:pStyle w:val="Heading2"/>
      </w:pPr>
      <w:r>
        <w:t xml:space="preserve">Palmitoyl-Pentapeptid-4 (Matrixyl) (1)</w:t>
      </w:r>
    </w:p>
    <w:p>
      <w:pPr>
        <w:numPr>
          <w:ilvl w:val="0"/>
          <w:numId w:val="1426"/>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1"/>
    <w:bookmarkStart w:id="3072" w:name="acetyl-hexapeptid-8-argireline-3"/>
    <w:p>
      <w:pPr>
        <w:pStyle w:val="Heading2"/>
      </w:pPr>
      <w:r>
        <w:t xml:space="preserve">Acetyl-Hexapeptid-8 (Argireline) (3)</w:t>
      </w:r>
    </w:p>
    <w:p>
      <w:pPr>
        <w:numPr>
          <w:ilvl w:val="0"/>
          <w:numId w:val="1427"/>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7"/>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7"/>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2"/>
    <w:bookmarkEnd w:id="30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Krug 2018, PMID 29864719.</w:t>
      </w:r>
    </w:p>
  </w:footnote>
  <w:footnote w:id="40">
    <w:p>
      <w:pPr>
        <w:pStyle w:val="FootnoteText"/>
      </w:pPr>
      <w:r>
        <w:rPr>
          <w:rStyle w:val="FootnoteReference"/>
        </w:rPr>
        <w:footnoteRef/>
      </w:r>
      <w:r>
        <w:t xml:space="preserve"> </w:t>
      </w:r>
      <w:r>
        <w:t xml:space="preserve">Eng 1992, PMID 1313797.</w:t>
      </w:r>
    </w:p>
  </w:footnote>
  <w:footnote w:id="42">
    <w:p>
      <w:pPr>
        <w:pStyle w:val="FootnoteText"/>
      </w:pPr>
      <w:r>
        <w:rPr>
          <w:rStyle w:val="FootnoteReference"/>
        </w:rPr>
        <w:footnoteRef/>
      </w:r>
      <w:r>
        <w:t xml:space="preserve"> </w:t>
      </w:r>
      <w:r>
        <w:t xml:space="preserve">Knudsen 2019, PMID 31031702.</w:t>
      </w:r>
    </w:p>
  </w:footnote>
  <w:footnote w:id="44">
    <w:p>
      <w:pPr>
        <w:pStyle w:val="FootnoteText"/>
      </w:pPr>
      <w:r>
        <w:rPr>
          <w:rStyle w:val="FootnoteReference"/>
        </w:rPr>
        <w:footnoteRef/>
      </w:r>
      <w:r>
        <w:t xml:space="preserve"> </w:t>
      </w:r>
      <w:r>
        <w:t xml:space="preserve">Deacon 1995, PMID 7883856.</w:t>
      </w:r>
    </w:p>
  </w:footnote>
  <w:footnote w:id="45">
    <w:p>
      <w:pPr>
        <w:pStyle w:val="FootnoteText"/>
      </w:pPr>
      <w:r>
        <w:rPr>
          <w:rStyle w:val="FootnoteReference"/>
        </w:rPr>
        <w:footnoteRef/>
      </w:r>
      <w:r>
        <w:t xml:space="preserve"> </w:t>
      </w:r>
      <w:r>
        <w:t xml:space="preserve">Lau 2015, PMID 26308095.</w:t>
      </w:r>
    </w:p>
  </w:footnote>
  <w:footnote w:id="46">
    <w:p>
      <w:pPr>
        <w:pStyle w:val="FootnoteText"/>
      </w:pPr>
      <w:r>
        <w:rPr>
          <w:rStyle w:val="FootnoteReference"/>
        </w:rPr>
        <w:footnoteRef/>
      </w:r>
      <w:r>
        <w:t xml:space="preserve"> </w:t>
      </w:r>
      <w:r>
        <w:t xml:space="preserve">Marso 2016, PMID 27633186.</w:t>
      </w:r>
    </w:p>
  </w:footnote>
  <w:footnote w:id="48">
    <w:p>
      <w:pPr>
        <w:pStyle w:val="FootnoteText"/>
      </w:pPr>
      <w:r>
        <w:rPr>
          <w:rStyle w:val="FootnoteReference"/>
        </w:rPr>
        <w:footnoteRef/>
      </w:r>
      <w:r>
        <w:t xml:space="preserve"> </w:t>
      </w:r>
      <w:r>
        <w:t xml:space="preserve">Merrifield 1969, PMID 4307033.</w:t>
      </w:r>
    </w:p>
  </w:footnote>
  <w:footnote w:id="49">
    <w:p>
      <w:pPr>
        <w:pStyle w:val="FootnoteText"/>
      </w:pPr>
      <w:r>
        <w:rPr>
          <w:rStyle w:val="FootnoteReference"/>
        </w:rPr>
        <w:footnoteRef/>
      </w:r>
      <w:r>
        <w:t xml:space="preserve"> </w:t>
      </w:r>
      <w:r>
        <w:t xml:space="preserve">The 1989, PMID 2690608.</w:t>
      </w:r>
    </w:p>
  </w:footnote>
  <w:footnote w:id="50">
    <w:p>
      <w:pPr>
        <w:pStyle w:val="FootnoteText"/>
      </w:pPr>
      <w:r>
        <w:rPr>
          <w:rStyle w:val="FootnoteReference"/>
        </w:rPr>
        <w:footnoteRef/>
      </w:r>
      <w:r>
        <w:t xml:space="preserve"> </w:t>
      </w:r>
      <w:r>
        <w:t xml:space="preserve">Hach 2024, PMID 39379664.</w:t>
      </w:r>
    </w:p>
  </w:footnote>
  <w:footnote w:id="52">
    <w:p>
      <w:pPr>
        <w:pStyle w:val="FootnoteText"/>
      </w:pPr>
      <w:r>
        <w:rPr>
          <w:rStyle w:val="FootnoteReference"/>
        </w:rPr>
        <w:footnoteRef/>
      </w:r>
      <w:r>
        <w:t xml:space="preserve"> </w:t>
      </w:r>
      <w:r>
        <w:t xml:space="preserve">Muttenthaler 2021, PMID 33536635.</w:t>
      </w:r>
    </w:p>
  </w:footnote>
  <w:footnote w:id="53">
    <w:p>
      <w:pPr>
        <w:pStyle w:val="FootnoteText"/>
      </w:pPr>
      <w:r>
        <w:rPr>
          <w:rStyle w:val="FootnoteReference"/>
        </w:rPr>
        <w:footnoteRef/>
      </w:r>
      <w:r>
        <w:t xml:space="preserve"> </w:t>
      </w:r>
      <w:r>
        <w:t xml:space="preserve">Lau 2018, PMID 28720325.</w:t>
      </w:r>
    </w:p>
  </w:footnote>
  <w:footnote w:id="55">
    <w:p>
      <w:pPr>
        <w:pStyle w:val="FootnoteText"/>
      </w:pPr>
      <w:r>
        <w:rPr>
          <w:rStyle w:val="FootnoteReference"/>
        </w:rPr>
        <w:footnoteRef/>
      </w:r>
      <w:r>
        <w:t xml:space="preserve"> </w:t>
      </w:r>
      <w:r>
        <w:t xml:space="preserve">Cox 2017, PMID 28035768.</w:t>
      </w:r>
    </w:p>
  </w:footnote>
  <w:footnote w:id="58">
    <w:p>
      <w:pPr>
        <w:pStyle w:val="FootnoteText"/>
      </w:pPr>
      <w:r>
        <w:rPr>
          <w:rStyle w:val="FootnoteReference"/>
        </w:rPr>
        <w:footnoteRef/>
      </w:r>
      <w:r>
        <w:t xml:space="preserve"> </w:t>
      </w:r>
      <w:r>
        <w:t xml:space="preserve">Wilding 2021, PMID 33567185.</w:t>
      </w:r>
    </w:p>
  </w:footnote>
  <w:footnote w:id="59">
    <w:p>
      <w:pPr>
        <w:pStyle w:val="FootnoteText"/>
      </w:pPr>
      <w:r>
        <w:rPr>
          <w:rStyle w:val="FootnoteReference"/>
        </w:rPr>
        <w:footnoteRef/>
      </w:r>
      <w:r>
        <w:t xml:space="preserve"> </w:t>
      </w:r>
      <w:r>
        <w:t xml:space="preserve">Hailu 2026, PMID 42437212.</w:t>
      </w:r>
    </w:p>
  </w:footnote>
  <w:footnote w:id="64">
    <w:p>
      <w:pPr>
        <w:pStyle w:val="FootnoteText"/>
      </w:pPr>
      <w:r>
        <w:rPr>
          <w:rStyle w:val="FootnoteReference"/>
        </w:rPr>
        <w:footnoteRef/>
      </w:r>
      <w:r>
        <w:t xml:space="preserve"> </w:t>
      </w:r>
      <w:r>
        <w:t xml:space="preserve">Banting 1922, PMID 20314060.</w:t>
      </w:r>
    </w:p>
  </w:footnote>
  <w:footnote w:id="65">
    <w:p>
      <w:pPr>
        <w:pStyle w:val="FootnoteText"/>
      </w:pPr>
      <w:r>
        <w:rPr>
          <w:rStyle w:val="FootnoteReference"/>
        </w:rPr>
        <w:footnoteRef/>
      </w:r>
      <w:r>
        <w:t xml:space="preserve"> </w:t>
      </w:r>
      <w:r>
        <w:t xml:space="preserve">Sims 2021, PMID 34267380.</w:t>
      </w:r>
    </w:p>
  </w:footnote>
  <w:footnote w:id="66">
    <w:p>
      <w:pPr>
        <w:pStyle w:val="FootnoteText"/>
      </w:pPr>
      <w:r>
        <w:rPr>
          <w:rStyle w:val="FootnoteReference"/>
        </w:rPr>
        <w:footnoteRef/>
      </w:r>
      <w:r>
        <w:t xml:space="preserve"> </w:t>
      </w:r>
      <w:r>
        <w:t xml:space="preserve">Owens 2022, PMID 34708913.</w:t>
      </w:r>
    </w:p>
  </w:footnote>
  <w:footnote w:id="68">
    <w:p>
      <w:pPr>
        <w:pStyle w:val="FootnoteText"/>
      </w:pPr>
      <w:r>
        <w:rPr>
          <w:rStyle w:val="FootnoteReference"/>
        </w:rPr>
        <w:footnoteRef/>
      </w:r>
      <w:r>
        <w:t xml:space="preserve"> </w:t>
      </w:r>
      <w:r>
        <w:t xml:space="preserve">Sanger 1952, PMID 13018185.</w:t>
      </w:r>
    </w:p>
  </w:footnote>
  <w:footnote w:id="69">
    <w:p>
      <w:pPr>
        <w:pStyle w:val="FootnoteText"/>
      </w:pPr>
      <w:r>
        <w:rPr>
          <w:rStyle w:val="FootnoteReference"/>
        </w:rPr>
        <w:footnoteRef/>
      </w:r>
      <w:r>
        <w:t xml:space="preserve"> </w:t>
      </w:r>
      <w:r>
        <w:t xml:space="preserve">Merrifield 1969, PMID 4307033.</w:t>
      </w:r>
    </w:p>
  </w:footnote>
  <w:footnote w:id="71">
    <w:p>
      <w:pPr>
        <w:pStyle w:val="FootnoteText"/>
      </w:pPr>
      <w:r>
        <w:rPr>
          <w:rStyle w:val="FootnoteReference"/>
        </w:rPr>
        <w:footnoteRef/>
      </w:r>
      <w:r>
        <w:t xml:space="preserve"> </w:t>
      </w:r>
      <w:r>
        <w:t xml:space="preserve">Yalow 1960, PMID 13846364.</w:t>
      </w:r>
    </w:p>
  </w:footnote>
  <w:footnote w:id="73">
    <w:p>
      <w:pPr>
        <w:pStyle w:val="FootnoteText"/>
      </w:pPr>
      <w:r>
        <w:rPr>
          <w:rStyle w:val="FootnoteReference"/>
        </w:rPr>
        <w:footnoteRef/>
      </w:r>
      <w:r>
        <w:t xml:space="preserve"> </w:t>
      </w:r>
      <w:r>
        <w:t xml:space="preserve">Ranke 2018, PMID 29546874.</w:t>
      </w:r>
    </w:p>
  </w:footnote>
  <w:footnote w:id="74">
    <w:p>
      <w:pPr>
        <w:pStyle w:val="FootnoteText"/>
      </w:pPr>
      <w:r>
        <w:rPr>
          <w:rStyle w:val="FootnoteReference"/>
        </w:rPr>
        <w:footnoteRef/>
      </w:r>
      <w:r>
        <w:t xml:space="preserve"> </w:t>
      </w:r>
      <w:r>
        <w:t xml:space="preserve">The 1989, PMID 2690608.</w:t>
      </w:r>
    </w:p>
  </w:footnote>
  <w:footnote w:id="75">
    <w:p>
      <w:pPr>
        <w:pStyle w:val="FootnoteText"/>
      </w:pPr>
      <w:r>
        <w:rPr>
          <w:rStyle w:val="FootnoteReference"/>
        </w:rPr>
        <w:footnoteRef/>
      </w:r>
      <w:r>
        <w:t xml:space="preserve"> </w:t>
      </w:r>
      <w:r>
        <w:t xml:space="preserve">Neer 2001, PMID 11346808.</w:t>
      </w:r>
    </w:p>
  </w:footnote>
  <w:footnote w:id="77">
    <w:p>
      <w:pPr>
        <w:pStyle w:val="FootnoteText"/>
      </w:pPr>
      <w:r>
        <w:rPr>
          <w:rStyle w:val="FootnoteReference"/>
        </w:rPr>
        <w:footnoteRef/>
      </w:r>
      <w:r>
        <w:t xml:space="preserve"> </w:t>
      </w:r>
      <w:r>
        <w:t xml:space="preserve">Kreymann 1987, PMID 2890903.</w:t>
      </w:r>
    </w:p>
  </w:footnote>
  <w:footnote w:id="78">
    <w:p>
      <w:pPr>
        <w:pStyle w:val="FootnoteText"/>
      </w:pPr>
      <w:r>
        <w:rPr>
          <w:rStyle w:val="FootnoteReference"/>
        </w:rPr>
        <w:footnoteRef/>
      </w:r>
      <w:r>
        <w:t xml:space="preserve"> </w:t>
      </w:r>
      <w:r>
        <w:t xml:space="preserve">Deacon 1995, PMID 7883856.</w:t>
      </w:r>
    </w:p>
  </w:footnote>
  <w:footnote w:id="80">
    <w:p>
      <w:pPr>
        <w:pStyle w:val="FootnoteText"/>
      </w:pPr>
      <w:r>
        <w:rPr>
          <w:rStyle w:val="FootnoteReference"/>
        </w:rPr>
        <w:footnoteRef/>
      </w:r>
      <w:r>
        <w:t xml:space="preserve"> </w:t>
      </w:r>
      <w:r>
        <w:t xml:space="preserve">Eng 1992, PMID 1313797.</w:t>
      </w:r>
    </w:p>
  </w:footnote>
  <w:footnote w:id="81">
    <w:p>
      <w:pPr>
        <w:pStyle w:val="FootnoteText"/>
      </w:pPr>
      <w:r>
        <w:rPr>
          <w:rStyle w:val="FootnoteReference"/>
        </w:rPr>
        <w:footnoteRef/>
      </w:r>
      <w:r>
        <w:t xml:space="preserve"> </w:t>
      </w:r>
      <w:r>
        <w:t xml:space="preserve">DeFronzo 2005, PMID 15855572.</w:t>
      </w:r>
    </w:p>
  </w:footnote>
  <w:footnote w:id="83">
    <w:p>
      <w:pPr>
        <w:pStyle w:val="FootnoteText"/>
      </w:pPr>
      <w:r>
        <w:rPr>
          <w:rStyle w:val="FootnoteReference"/>
        </w:rPr>
        <w:footnoteRef/>
      </w:r>
      <w:r>
        <w:t xml:space="preserve"> </w:t>
      </w:r>
      <w:r>
        <w:t xml:space="preserve">Knudsen 2019, PMID 31031702.</w:t>
      </w:r>
    </w:p>
  </w:footnote>
  <w:footnote w:id="84">
    <w:p>
      <w:pPr>
        <w:pStyle w:val="FootnoteText"/>
      </w:pPr>
      <w:r>
        <w:rPr>
          <w:rStyle w:val="FootnoteReference"/>
        </w:rPr>
        <w:footnoteRef/>
      </w:r>
      <w:r>
        <w:t xml:space="preserve"> </w:t>
      </w:r>
      <w:r>
        <w:t xml:space="preserve">Pi-Sunyer 2015, PMID 26132939.</w:t>
      </w:r>
    </w:p>
  </w:footnote>
  <w:footnote w:id="85">
    <w:p>
      <w:pPr>
        <w:pStyle w:val="FootnoteText"/>
      </w:pPr>
      <w:r>
        <w:rPr>
          <w:rStyle w:val="FootnoteReference"/>
        </w:rPr>
        <w:footnoteRef/>
      </w:r>
      <w:r>
        <w:t xml:space="preserve"> </w:t>
      </w:r>
      <w:r>
        <w:t xml:space="preserve">Lau 2015, PMID 26308095.</w:t>
      </w:r>
    </w:p>
  </w:footnote>
  <w:footnote w:id="86">
    <w:p>
      <w:pPr>
        <w:pStyle w:val="FootnoteText"/>
      </w:pPr>
      <w:r>
        <w:rPr>
          <w:rStyle w:val="FootnoteReference"/>
        </w:rPr>
        <w:footnoteRef/>
      </w:r>
      <w:r>
        <w:t xml:space="preserve"> </w:t>
      </w:r>
      <w:r>
        <w:t xml:space="preserve">Wilding 2021, PMID 33567185.</w:t>
      </w:r>
    </w:p>
  </w:footnote>
  <w:footnote w:id="88">
    <w:p>
      <w:pPr>
        <w:pStyle w:val="FootnoteText"/>
      </w:pPr>
      <w:r>
        <w:rPr>
          <w:rStyle w:val="FootnoteReference"/>
        </w:rPr>
        <w:footnoteRef/>
      </w:r>
      <w:r>
        <w:t xml:space="preserve"> </w:t>
      </w:r>
      <w:r>
        <w:t xml:space="preserve">Marso 2016, PMID 27295427.</w:t>
      </w:r>
    </w:p>
  </w:footnote>
  <w:footnote w:id="89">
    <w:p>
      <w:pPr>
        <w:pStyle w:val="FootnoteText"/>
      </w:pPr>
      <w:r>
        <w:rPr>
          <w:rStyle w:val="FootnoteReference"/>
        </w:rPr>
        <w:footnoteRef/>
      </w:r>
      <w:r>
        <w:t xml:space="preserve"> </w:t>
      </w:r>
      <w:r>
        <w:t xml:space="preserve">Marso 2016, PMID 27633186.</w:t>
      </w:r>
    </w:p>
  </w:footnote>
  <w:footnote w:id="90">
    <w:p>
      <w:pPr>
        <w:pStyle w:val="FootnoteText"/>
      </w:pPr>
      <w:r>
        <w:rPr>
          <w:rStyle w:val="FootnoteReference"/>
        </w:rPr>
        <w:footnoteRef/>
      </w:r>
      <w:r>
        <w:t xml:space="preserve"> </w:t>
      </w:r>
      <w:r>
        <w:t xml:space="preserve">Lincoff 2023, PMID 37952131.</w:t>
      </w:r>
    </w:p>
  </w:footnote>
  <w:footnote w:id="92">
    <w:p>
      <w:pPr>
        <w:pStyle w:val="FootnoteText"/>
      </w:pPr>
      <w:r>
        <w:rPr>
          <w:rStyle w:val="FootnoteReference"/>
        </w:rPr>
        <w:footnoteRef/>
      </w:r>
      <w:r>
        <w:t xml:space="preserve"> </w:t>
      </w:r>
      <w:r>
        <w:t xml:space="preserve">Aroda 2019, PMID 31186300.</w:t>
      </w:r>
    </w:p>
  </w:footnote>
  <w:footnote w:id="93">
    <w:p>
      <w:pPr>
        <w:pStyle w:val="FootnoteText"/>
      </w:pPr>
      <w:r>
        <w:rPr>
          <w:rStyle w:val="FootnoteReference"/>
        </w:rPr>
        <w:footnoteRef/>
      </w:r>
      <w:r>
        <w:t xml:space="preserve"> </w:t>
      </w:r>
      <w:r>
        <w:t xml:space="preserve">Jastreboff 2022, PMID 35658024.</w:t>
      </w:r>
    </w:p>
  </w:footnote>
  <w:footnote w:id="94">
    <w:p>
      <w:pPr>
        <w:pStyle w:val="FootnoteText"/>
      </w:pPr>
      <w:r>
        <w:rPr>
          <w:rStyle w:val="FootnoteReference"/>
        </w:rPr>
        <w:footnoteRef/>
      </w:r>
      <w:r>
        <w:t xml:space="preserve"> </w:t>
      </w:r>
      <w:r>
        <w:t xml:space="preserve">Kreymann 1987, PMID 2890903.</w:t>
      </w:r>
    </w:p>
  </w:footnote>
  <w:footnote w:id="100">
    <w:p>
      <w:pPr>
        <w:pStyle w:val="FootnoteText"/>
      </w:pPr>
      <w:r>
        <w:rPr>
          <w:rStyle w:val="FootnoteReference"/>
        </w:rPr>
        <w:footnoteRef/>
      </w:r>
      <w:r>
        <w:t xml:space="preserve"> </w:t>
      </w:r>
      <w:r>
        <w:t xml:space="preserve">Drucker 2020, PMID 31848464.</w:t>
      </w:r>
    </w:p>
  </w:footnote>
  <w:footnote w:id="102">
    <w:p>
      <w:pPr>
        <w:pStyle w:val="FootnoteText"/>
      </w:pPr>
      <w:r>
        <w:rPr>
          <w:rStyle w:val="FootnoteReference"/>
        </w:rPr>
        <w:footnoteRef/>
      </w:r>
      <w:r>
        <w:t xml:space="preserve"> </w:t>
      </w:r>
      <w:r>
        <w:t xml:space="preserve">Knudsen 2019, PMID 31031702.</w:t>
      </w:r>
    </w:p>
  </w:footnote>
  <w:footnote w:id="103">
    <w:p>
      <w:pPr>
        <w:pStyle w:val="FootnoteText"/>
      </w:pPr>
      <w:r>
        <w:rPr>
          <w:rStyle w:val="FootnoteReference"/>
        </w:rPr>
        <w:footnoteRef/>
      </w:r>
      <w:r>
        <w:t xml:space="preserve"> </w:t>
      </w:r>
      <w:r>
        <w:t xml:space="preserve">Marso 2016, PMID 27633186.</w:t>
      </w:r>
    </w:p>
  </w:footnote>
  <w:footnote w:id="104">
    <w:p>
      <w:pPr>
        <w:pStyle w:val="FootnoteText"/>
      </w:pPr>
      <w:r>
        <w:rPr>
          <w:rStyle w:val="FootnoteReference"/>
        </w:rPr>
        <w:footnoteRef/>
      </w:r>
      <w:r>
        <w:t xml:space="preserve"> </w:t>
      </w:r>
      <w:r>
        <w:t xml:space="preserve">Lambson 2023, PMID 37392810.</w:t>
      </w:r>
    </w:p>
  </w:footnote>
  <w:footnote w:id="106">
    <w:p>
      <w:pPr>
        <w:pStyle w:val="FootnoteText"/>
      </w:pPr>
      <w:r>
        <w:rPr>
          <w:rStyle w:val="FootnoteReference"/>
        </w:rPr>
        <w:footnoteRef/>
      </w:r>
      <w:r>
        <w:t xml:space="preserve"> </w:t>
      </w:r>
      <w:r>
        <w:t xml:space="preserve">Drucker 2020, PMID 31848464.</w:t>
      </w:r>
    </w:p>
  </w:footnote>
  <w:footnote w:id="108">
    <w:p>
      <w:pPr>
        <w:pStyle w:val="FootnoteText"/>
      </w:pPr>
      <w:r>
        <w:rPr>
          <w:rStyle w:val="FootnoteReference"/>
        </w:rPr>
        <w:footnoteRef/>
      </w:r>
      <w:r>
        <w:t xml:space="preserve"> </w:t>
      </w:r>
      <w:r>
        <w:t xml:space="preserve">Buckley 2018, PMID 30429357.</w:t>
      </w:r>
    </w:p>
  </w:footnote>
  <w:footnote w:id="109">
    <w:p>
      <w:pPr>
        <w:pStyle w:val="FootnoteText"/>
      </w:pPr>
      <w:r>
        <w:rPr>
          <w:rStyle w:val="FootnoteReference"/>
        </w:rPr>
        <w:footnoteRef/>
      </w:r>
      <w:r>
        <w:t xml:space="preserve"> </w:t>
      </w:r>
      <w:r>
        <w:t xml:space="preserve">Vahora 2026, PMID 42687069.</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Marso 2016, PMID 27633186.</w:t>
      </w:r>
    </w:p>
  </w:footnote>
  <w:footnote w:id="112">
    <w:p>
      <w:pPr>
        <w:pStyle w:val="FootnoteText"/>
      </w:pPr>
      <w:r>
        <w:rPr>
          <w:rStyle w:val="FootnoteReference"/>
        </w:rPr>
        <w:footnoteRef/>
      </w:r>
      <w:r>
        <w:t xml:space="preserve"> </w:t>
      </w:r>
      <w:r>
        <w:t xml:space="preserve">Aroda 2019, PMID 31186300.</w:t>
      </w:r>
    </w:p>
  </w:footnote>
  <w:footnote w:id="113">
    <w:p>
      <w:pPr>
        <w:pStyle w:val="FootnoteText"/>
      </w:pPr>
      <w:r>
        <w:rPr>
          <w:rStyle w:val="FootnoteReference"/>
        </w:rPr>
        <w:footnoteRef/>
      </w:r>
      <w:r>
        <w:t xml:space="preserve"> </w:t>
      </w:r>
      <w:r>
        <w:t xml:space="preserve">Vahora 2026, PMID 42687069.</w:t>
      </w:r>
    </w:p>
  </w:footnote>
  <w:footnote w:id="114">
    <w:p>
      <w:pPr>
        <w:pStyle w:val="FootnoteText"/>
      </w:pPr>
      <w:r>
        <w:rPr>
          <w:rStyle w:val="FootnoteReference"/>
        </w:rPr>
        <w:footnoteRef/>
      </w:r>
      <w:r>
        <w:t xml:space="preserve"> </w:t>
      </w:r>
      <w:r>
        <w:t xml:space="preserve">Aroda 2019, PMID 31186300.</w:t>
      </w:r>
    </w:p>
  </w:footnote>
  <w:footnote w:id="115">
    <w:p>
      <w:pPr>
        <w:pStyle w:val="FootnoteText"/>
      </w:pPr>
      <w:r>
        <w:rPr>
          <w:rStyle w:val="FootnoteReference"/>
        </w:rPr>
        <w:footnoteRef/>
      </w:r>
      <w:r>
        <w:t xml:space="preserve"> </w:t>
      </w:r>
      <w:r>
        <w:t xml:space="preserve">Knop 2023, PMID 37385278.</w:t>
      </w:r>
    </w:p>
  </w:footnote>
  <w:footnote w:id="116">
    <w:p>
      <w:pPr>
        <w:pStyle w:val="FootnoteText"/>
      </w:pPr>
      <w:r>
        <w:rPr>
          <w:rStyle w:val="FootnoteReference"/>
        </w:rPr>
        <w:footnoteRef/>
      </w:r>
      <w:r>
        <w:t xml:space="preserve"> </w:t>
      </w:r>
      <w:r>
        <w:t xml:space="preserve">Hach 2024, PMID 39379664.</w:t>
      </w:r>
    </w:p>
  </w:footnote>
  <w:footnote w:id="118">
    <w:p>
      <w:pPr>
        <w:pStyle w:val="FootnoteText"/>
      </w:pPr>
      <w:r>
        <w:rPr>
          <w:rStyle w:val="FootnoteReference"/>
        </w:rPr>
        <w:footnoteRef/>
      </w:r>
      <w:r>
        <w:t xml:space="preserve"> </w:t>
      </w:r>
      <w:r>
        <w:t xml:space="preserve">Sugihara 2012, PMID 22040651.</w:t>
      </w:r>
    </w:p>
  </w:footnote>
  <w:footnote w:id="120">
    <w:p>
      <w:pPr>
        <w:pStyle w:val="FootnoteText"/>
      </w:pPr>
      <w:r>
        <w:rPr>
          <w:rStyle w:val="FootnoteReference"/>
        </w:rPr>
        <w:footnoteRef/>
      </w:r>
      <w:r>
        <w:t xml:space="preserve"> </w:t>
      </w:r>
      <w:r>
        <w:t xml:space="preserve">Belcourt 2026, PMID 41689811.</w:t>
      </w:r>
    </w:p>
  </w:footnote>
  <w:footnote w:id="122">
    <w:p>
      <w:pPr>
        <w:pStyle w:val="FootnoteText"/>
      </w:pPr>
      <w:r>
        <w:rPr>
          <w:rStyle w:val="FootnoteReference"/>
        </w:rPr>
        <w:footnoteRef/>
      </w:r>
      <w:r>
        <w:t xml:space="preserve"> </w:t>
      </w:r>
      <w:r>
        <w:t xml:space="preserve">Leng 2016, PMID 26049207.</w:t>
      </w:r>
    </w:p>
  </w:footnote>
  <w:footnote w:id="124">
    <w:p>
      <w:pPr>
        <w:pStyle w:val="FootnoteText"/>
      </w:pPr>
      <w:r>
        <w:rPr>
          <w:rStyle w:val="FootnoteReference"/>
        </w:rPr>
        <w:footnoteRef/>
      </w:r>
      <w:r>
        <w:t xml:space="preserve"> </w:t>
      </w:r>
      <w:r>
        <w:t xml:space="preserve">Heinemann 2008, PMID 19885220.</w:t>
      </w:r>
    </w:p>
  </w:footnote>
  <w:footnote w:id="126">
    <w:p>
      <w:pPr>
        <w:pStyle w:val="FootnoteText"/>
      </w:pPr>
      <w:r>
        <w:rPr>
          <w:rStyle w:val="FootnoteReference"/>
        </w:rPr>
        <w:footnoteRef/>
      </w:r>
      <w:r>
        <w:t xml:space="preserve"> </w:t>
      </w:r>
      <w:r>
        <w:t xml:space="preserve">Bos 2000, PMID 10839713.</w:t>
      </w:r>
    </w:p>
  </w:footnote>
  <w:footnote w:id="128">
    <w:p>
      <w:pPr>
        <w:pStyle w:val="FootnoteText"/>
      </w:pPr>
      <w:r>
        <w:rPr>
          <w:rStyle w:val="FootnoteReference"/>
        </w:rPr>
        <w:footnoteRef/>
      </w:r>
      <w:r>
        <w:t xml:space="preserve"> </w:t>
      </w:r>
      <w:r>
        <w:t xml:space="preserve">Hach 2024, PMID 39379664.</w:t>
      </w:r>
    </w:p>
  </w:footnote>
  <w:footnote w:id="130">
    <w:p>
      <w:pPr>
        <w:pStyle w:val="FootnoteText"/>
      </w:pPr>
      <w:r>
        <w:rPr>
          <w:rStyle w:val="FootnoteReference"/>
        </w:rPr>
        <w:footnoteRef/>
      </w:r>
      <w:r>
        <w:t xml:space="preserve"> </w:t>
      </w:r>
      <w:r>
        <w:t xml:space="preserve">Hach 2024, PMID 39379664.</w:t>
      </w:r>
    </w:p>
  </w:footnote>
  <w:footnote w:id="137">
    <w:p>
      <w:pPr>
        <w:pStyle w:val="FootnoteText"/>
      </w:pPr>
      <w:r>
        <w:rPr>
          <w:rStyle w:val="FootnoteReference"/>
        </w:rPr>
        <w:footnoteRef/>
      </w:r>
      <w:r>
        <w:t xml:space="preserve"> </w:t>
      </w:r>
      <w:r>
        <w:t xml:space="preserve">Perel 2007, PMID 17175568.</w:t>
      </w:r>
    </w:p>
  </w:footnote>
  <w:footnote w:id="141">
    <w:p>
      <w:pPr>
        <w:pStyle w:val="FootnoteText"/>
      </w:pPr>
      <w:r>
        <w:rPr>
          <w:rStyle w:val="FootnoteReference"/>
        </w:rPr>
        <w:footnoteRef/>
      </w:r>
      <w:r>
        <w:t xml:space="preserve"> </w:t>
      </w:r>
      <w:r>
        <w:t xml:space="preserve">Wilding 2021, PMID 33567185.</w:t>
      </w:r>
    </w:p>
  </w:footnote>
  <w:footnote w:id="142">
    <w:p>
      <w:pPr>
        <w:pStyle w:val="FootnoteText"/>
      </w:pPr>
      <w:r>
        <w:rPr>
          <w:rStyle w:val="FootnoteReference"/>
        </w:rPr>
        <w:footnoteRef/>
      </w:r>
      <w:r>
        <w:t xml:space="preserve"> </w:t>
      </w:r>
      <w:r>
        <w:t xml:space="preserve">Mendias 2026, PMID 41966639.</w:t>
      </w:r>
    </w:p>
  </w:footnote>
  <w:footnote w:id="145">
    <w:p>
      <w:pPr>
        <w:pStyle w:val="FootnoteText"/>
      </w:pPr>
      <w:r>
        <w:rPr>
          <w:rStyle w:val="FootnoteReference"/>
        </w:rPr>
        <w:footnoteRef/>
      </w:r>
      <w:r>
        <w:t xml:space="preserve"> </w:t>
      </w:r>
      <w:r>
        <w:t xml:space="preserve">Echt 1991, PMID 1900101.</w:t>
      </w:r>
    </w:p>
  </w:footnote>
  <w:footnote w:id="147">
    <w:p>
      <w:pPr>
        <w:pStyle w:val="FootnoteText"/>
      </w:pPr>
      <w:r>
        <w:rPr>
          <w:rStyle w:val="FootnoteReference"/>
        </w:rPr>
        <w:footnoteRef/>
      </w:r>
      <w:r>
        <w:t xml:space="preserve"> </w:t>
      </w:r>
      <w:r>
        <w:t xml:space="preserve">Lincoff 2023, PMID 37952131.</w:t>
      </w:r>
    </w:p>
  </w:footnote>
  <w:footnote w:id="148">
    <w:p>
      <w:pPr>
        <w:pStyle w:val="FootnoteText"/>
      </w:pPr>
      <w:r>
        <w:rPr>
          <w:rStyle w:val="FootnoteReference"/>
        </w:rPr>
        <w:footnoteRef/>
      </w:r>
      <w:r>
        <w:t xml:space="preserve"> </w:t>
      </w:r>
      <w:r>
        <w:t xml:space="preserve">Lincoff 2023, PMID 37952131.</w:t>
      </w:r>
    </w:p>
  </w:footnote>
  <w:footnote w:id="150">
    <w:p>
      <w:pPr>
        <w:pStyle w:val="FootnoteText"/>
      </w:pPr>
      <w:r>
        <w:rPr>
          <w:rStyle w:val="FootnoteReference"/>
        </w:rPr>
        <w:footnoteRef/>
      </w:r>
      <w:r>
        <w:t xml:space="preserve"> </w:t>
      </w:r>
      <w:r>
        <w:t xml:space="preserve">Wilding 2021, PMID 33567185.</w:t>
      </w:r>
    </w:p>
  </w:footnote>
  <w:footnote w:id="152">
    <w:p>
      <w:pPr>
        <w:pStyle w:val="FootnoteText"/>
      </w:pPr>
      <w:r>
        <w:rPr>
          <w:rStyle w:val="FootnoteReference"/>
        </w:rPr>
        <w:footnoteRef/>
      </w:r>
      <w:r>
        <w:t xml:space="preserve"> </w:t>
      </w:r>
      <w:r>
        <w:t xml:space="preserve">Aroda 2019, PMID 31186300.</w:t>
      </w:r>
    </w:p>
  </w:footnote>
  <w:footnote w:id="154">
    <w:p>
      <w:pPr>
        <w:pStyle w:val="FootnoteText"/>
      </w:pPr>
      <w:r>
        <w:rPr>
          <w:rStyle w:val="FootnoteReference"/>
        </w:rPr>
        <w:footnoteRef/>
      </w:r>
      <w:r>
        <w:t xml:space="preserve"> </w:t>
      </w:r>
      <w:r>
        <w:t xml:space="preserve">Ioannidis 2005, PMID 16060722.</w:t>
      </w:r>
    </w:p>
  </w:footnote>
  <w:footnote w:id="156">
    <w:p>
      <w:pPr>
        <w:pStyle w:val="FootnoteText"/>
      </w:pPr>
      <w:r>
        <w:rPr>
          <w:rStyle w:val="FootnoteReference"/>
        </w:rPr>
        <w:footnoteRef/>
      </w:r>
      <w:r>
        <w:t xml:space="preserve"> </w:t>
      </w:r>
      <w:r>
        <w:t xml:space="preserve">Lundh 2017, PMID 28207928.</w:t>
      </w:r>
    </w:p>
  </w:footnote>
  <w:footnote w:id="158">
    <w:p>
      <w:pPr>
        <w:pStyle w:val="FootnoteText"/>
      </w:pPr>
      <w:r>
        <w:rPr>
          <w:rStyle w:val="FootnoteReference"/>
        </w:rPr>
        <w:footnoteRef/>
      </w:r>
      <w:r>
        <w:t xml:space="preserve"> </w:t>
      </w:r>
      <w:r>
        <w:t xml:space="preserve">Turner 2008, PMID 18199864.</w:t>
      </w:r>
    </w:p>
  </w:footnote>
  <w:footnote w:id="160">
    <w:p>
      <w:pPr>
        <w:pStyle w:val="FootnoteText"/>
      </w:pPr>
      <w:r>
        <w:rPr>
          <w:rStyle w:val="FootnoteReference"/>
        </w:rPr>
        <w:footnoteRef/>
      </w:r>
      <w:r>
        <w:t xml:space="preserve"> </w:t>
      </w:r>
      <w:r>
        <w:t xml:space="preserve">DeAngelis 2004, PMID 15355936.</w:t>
      </w:r>
    </w:p>
  </w:footnote>
  <w:footnote w:id="167">
    <w:p>
      <w:pPr>
        <w:pStyle w:val="FootnoteText"/>
      </w:pPr>
      <w:r>
        <w:rPr>
          <w:rStyle w:val="FootnoteReference"/>
        </w:rPr>
        <w:footnoteRef/>
      </w:r>
      <w:r>
        <w:t xml:space="preserve"> </w:t>
      </w:r>
      <w:r>
        <w:t xml:space="preserve">Belcourt 2025, PMID 39285774.</w:t>
      </w:r>
    </w:p>
  </w:footnote>
  <w:footnote w:id="168">
    <w:p>
      <w:pPr>
        <w:pStyle w:val="FootnoteText"/>
      </w:pPr>
      <w:r>
        <w:rPr>
          <w:rStyle w:val="FootnoteReference"/>
        </w:rPr>
        <w:footnoteRef/>
      </w:r>
      <w:r>
        <w:t xml:space="preserve"> </w:t>
      </w:r>
      <w:r>
        <w:t xml:space="preserve">Sedensky 2026, PMID 42541373.</w:t>
      </w:r>
    </w:p>
  </w:footnote>
  <w:footnote w:id="170">
    <w:p>
      <w:pPr>
        <w:pStyle w:val="FootnoteText"/>
      </w:pPr>
      <w:r>
        <w:rPr>
          <w:rStyle w:val="FootnoteReference"/>
        </w:rPr>
        <w:footnoteRef/>
      </w:r>
      <w:r>
        <w:t xml:space="preserve"> </w:t>
      </w:r>
      <w:r>
        <w:t xml:space="preserve">Ashraf 2024, PMID 39509151.</w:t>
      </w:r>
    </w:p>
  </w:footnote>
  <w:footnote w:id="172">
    <w:p>
      <w:pPr>
        <w:pStyle w:val="FootnoteText"/>
      </w:pPr>
      <w:r>
        <w:rPr>
          <w:rStyle w:val="FootnoteReference"/>
        </w:rPr>
        <w:footnoteRef/>
      </w:r>
      <w:r>
        <w:t xml:space="preserve"> </w:t>
      </w:r>
      <w:r>
        <w:t xml:space="preserve">Hach 2024, PMID 39379664.</w:t>
      </w:r>
    </w:p>
  </w:footnote>
  <w:footnote w:id="174">
    <w:p>
      <w:pPr>
        <w:pStyle w:val="FootnoteText"/>
      </w:pPr>
      <w:r>
        <w:rPr>
          <w:rStyle w:val="FootnoteReference"/>
        </w:rPr>
        <w:footnoteRef/>
      </w:r>
      <w:r>
        <w:t xml:space="preserve"> </w:t>
      </w:r>
      <w:r>
        <w:t xml:space="preserve">Breindahl 2015, PMID 24771717.</w:t>
      </w:r>
    </w:p>
  </w:footnote>
  <w:footnote w:id="176">
    <w:p>
      <w:pPr>
        <w:pStyle w:val="FootnoteText"/>
      </w:pPr>
      <w:r>
        <w:rPr>
          <w:rStyle w:val="FootnoteReference"/>
        </w:rPr>
        <w:footnoteRef/>
      </w:r>
      <w:r>
        <w:t xml:space="preserve"> </w:t>
      </w:r>
      <w:r>
        <w:t xml:space="preserve">Kohler 2010, PMID 21204286.</w:t>
      </w:r>
    </w:p>
  </w:footnote>
  <w:footnote w:id="177">
    <w:p>
      <w:pPr>
        <w:pStyle w:val="FootnoteText"/>
      </w:pPr>
      <w:r>
        <w:rPr>
          <w:rStyle w:val="FootnoteReference"/>
        </w:rPr>
        <w:footnoteRef/>
      </w:r>
      <w:r>
        <w:t xml:space="preserve"> </w:t>
      </w:r>
      <w:r>
        <w:t xml:space="preserve">Thomas 2010, PMID 20878896.</w:t>
      </w:r>
    </w:p>
  </w:footnote>
  <w:footnote w:id="178">
    <w:p>
      <w:pPr>
        <w:pStyle w:val="FootnoteText"/>
      </w:pPr>
      <w:r>
        <w:rPr>
          <w:rStyle w:val="FootnoteReference"/>
        </w:rPr>
        <w:footnoteRef/>
      </w:r>
      <w:r>
        <w:t xml:space="preserve"> </w:t>
      </w:r>
      <w:r>
        <w:t xml:space="preserve">Krug 2014, PMID 25168622.</w:t>
      </w:r>
    </w:p>
  </w:footnote>
  <w:footnote w:id="179">
    <w:p>
      <w:pPr>
        <w:pStyle w:val="FootnoteText"/>
      </w:pPr>
      <w:r>
        <w:rPr>
          <w:rStyle w:val="FootnoteReference"/>
        </w:rPr>
        <w:footnoteRef/>
      </w:r>
      <w:r>
        <w:t xml:space="preserve"> </w:t>
      </w:r>
      <w:r>
        <w:t xml:space="preserve">Hullstein 2015, PMID 26607218.</w:t>
      </w:r>
    </w:p>
  </w:footnote>
  <w:footnote w:id="180">
    <w:p>
      <w:pPr>
        <w:pStyle w:val="FootnoteText"/>
      </w:pPr>
      <w:r>
        <w:rPr>
          <w:rStyle w:val="FootnoteReference"/>
        </w:rPr>
        <w:footnoteRef/>
      </w:r>
      <w:r>
        <w:t xml:space="preserve"> </w:t>
      </w:r>
      <w:r>
        <w:t xml:space="preserve">Krug 2018, PMID 29864719.</w:t>
      </w:r>
    </w:p>
  </w:footnote>
  <w:footnote w:id="181">
    <w:p>
      <w:pPr>
        <w:pStyle w:val="FootnoteText"/>
      </w:pPr>
      <w:r>
        <w:rPr>
          <w:rStyle w:val="FootnoteReference"/>
        </w:rPr>
        <w:footnoteRef/>
      </w:r>
      <w:r>
        <w:t xml:space="preserve"> </w:t>
      </w:r>
      <w:r>
        <w:t xml:space="preserve">Cox 2017, PMID 28035768.</w:t>
      </w:r>
    </w:p>
  </w:footnote>
  <w:footnote w:id="182">
    <w:p>
      <w:pPr>
        <w:pStyle w:val="FootnoteText"/>
      </w:pPr>
      <w:r>
        <w:rPr>
          <w:rStyle w:val="FootnoteReference"/>
        </w:rPr>
        <w:footnoteRef/>
      </w:r>
      <w:r>
        <w:t xml:space="preserve"> </w:t>
      </w:r>
      <w:r>
        <w:t xml:space="preserve">Janvier 2018, PMID 30165334.</w:t>
      </w:r>
    </w:p>
  </w:footnote>
  <w:footnote w:id="186">
    <w:p>
      <w:pPr>
        <w:pStyle w:val="FootnoteText"/>
      </w:pPr>
      <w:r>
        <w:rPr>
          <w:rStyle w:val="FootnoteReference"/>
        </w:rPr>
        <w:footnoteRef/>
      </w:r>
      <w:r>
        <w:t xml:space="preserve"> </w:t>
      </w:r>
      <w:r>
        <w:t xml:space="preserve">Ashraf 2024, PMID 39509151.</w:t>
      </w:r>
    </w:p>
  </w:footnote>
  <w:footnote w:id="188">
    <w:p>
      <w:pPr>
        <w:pStyle w:val="FootnoteText"/>
      </w:pPr>
      <w:r>
        <w:rPr>
          <w:rStyle w:val="FootnoteReference"/>
        </w:rPr>
        <w:footnoteRef/>
      </w:r>
      <w:r>
        <w:t xml:space="preserve"> </w:t>
      </w:r>
      <w:r>
        <w:t xml:space="preserve">Ashraf 2024, PMID 39509151.</w:t>
      </w:r>
    </w:p>
  </w:footnote>
  <w:footnote w:id="190">
    <w:p>
      <w:pPr>
        <w:pStyle w:val="FootnoteText"/>
      </w:pPr>
      <w:r>
        <w:rPr>
          <w:rStyle w:val="FootnoteReference"/>
        </w:rPr>
        <w:footnoteRef/>
      </w:r>
      <w:r>
        <w:t xml:space="preserve"> </w:t>
      </w:r>
      <w:r>
        <w:t xml:space="preserve">Lambson 2023, PMID 37392810.</w:t>
      </w:r>
    </w:p>
  </w:footnote>
  <w:footnote w:id="192">
    <w:p>
      <w:pPr>
        <w:pStyle w:val="FootnoteText"/>
      </w:pPr>
      <w:r>
        <w:rPr>
          <w:rStyle w:val="FootnoteReference"/>
        </w:rPr>
        <w:footnoteRef/>
      </w:r>
      <w:r>
        <w:t xml:space="preserve"> </w:t>
      </w:r>
      <w:r>
        <w:t xml:space="preserve">Ruder 2024, PMID 39028647.</w:t>
      </w:r>
    </w:p>
  </w:footnote>
  <w:footnote w:id="193">
    <w:p>
      <w:pPr>
        <w:pStyle w:val="FootnoteText"/>
      </w:pPr>
      <w:r>
        <w:rPr>
          <w:rStyle w:val="FootnoteReference"/>
        </w:rPr>
        <w:footnoteRef/>
      </w:r>
      <w:r>
        <w:t xml:space="preserve"> </w:t>
      </w:r>
      <w:r>
        <w:t xml:space="preserve">Antonacci 2026, PMID 41125326.</w:t>
      </w:r>
    </w:p>
  </w:footnote>
  <w:footnote w:id="194">
    <w:p>
      <w:pPr>
        <w:pStyle w:val="FootnoteText"/>
      </w:pPr>
      <w:r>
        <w:rPr>
          <w:rStyle w:val="FootnoteReference"/>
        </w:rPr>
        <w:footnoteRef/>
      </w:r>
      <w:r>
        <w:t xml:space="preserve"> </w:t>
      </w:r>
      <w:r>
        <w:t xml:space="preserve">Stammers 2026, PMID 42390457.</w:t>
      </w:r>
    </w:p>
  </w:footnote>
  <w:footnote w:id="195">
    <w:p>
      <w:pPr>
        <w:pStyle w:val="FootnoteText"/>
      </w:pPr>
      <w:r>
        <w:rPr>
          <w:rStyle w:val="FootnoteReference"/>
        </w:rPr>
        <w:footnoteRef/>
      </w:r>
      <w:r>
        <w:t xml:space="preserve"> </w:t>
      </w:r>
      <w:r>
        <w:t xml:space="preserve">Zinzi 2026, PMID 42137313.</w:t>
      </w:r>
    </w:p>
  </w:footnote>
  <w:footnote w:id="197">
    <w:p>
      <w:pPr>
        <w:pStyle w:val="FootnoteText"/>
      </w:pPr>
      <w:r>
        <w:rPr>
          <w:rStyle w:val="FootnoteReference"/>
        </w:rPr>
        <w:footnoteRef/>
      </w:r>
      <w:r>
        <w:t xml:space="preserve"> </w:t>
      </w:r>
      <w:r>
        <w:t xml:space="preserve">Rubin 2026, PMID 42853576.</w:t>
      </w:r>
    </w:p>
  </w:footnote>
  <w:footnote w:id="198">
    <w:p>
      <w:pPr>
        <w:pStyle w:val="FootnoteText"/>
      </w:pPr>
      <w:r>
        <w:rPr>
          <w:rStyle w:val="FootnoteReference"/>
        </w:rPr>
        <w:footnoteRef/>
      </w:r>
      <w:r>
        <w:t xml:space="preserve"> </w:t>
      </w:r>
      <w:r>
        <w:t xml:space="preserve">Buzzi 2026, PMID 42843917.</w:t>
      </w:r>
    </w:p>
  </w:footnote>
  <w:footnote w:id="200">
    <w:p>
      <w:pPr>
        <w:pStyle w:val="FootnoteText"/>
      </w:pPr>
      <w:r>
        <w:rPr>
          <w:rStyle w:val="FootnoteReference"/>
        </w:rPr>
        <w:footnoteRef/>
      </w:r>
      <w:r>
        <w:t xml:space="preserve"> </w:t>
      </w:r>
      <w:r>
        <w:t xml:space="preserve">Nelson 2012, PMID 23121206.</w:t>
      </w:r>
    </w:p>
  </w:footnote>
  <w:footnote w:id="201">
    <w:p>
      <w:pPr>
        <w:pStyle w:val="FootnoteText"/>
      </w:pPr>
      <w:r>
        <w:rPr>
          <w:rStyle w:val="FootnoteReference"/>
        </w:rPr>
        <w:footnoteRef/>
      </w:r>
      <w:r>
        <w:t xml:space="preserve"> </w:t>
      </w:r>
      <w:r>
        <w:t xml:space="preserve">Moiz 2026, PMID 42757290.</w:t>
      </w:r>
    </w:p>
  </w:footnote>
  <w:footnote w:id="202">
    <w:p>
      <w:pPr>
        <w:pStyle w:val="FootnoteText"/>
      </w:pPr>
      <w:r>
        <w:rPr>
          <w:rStyle w:val="FootnoteReference"/>
        </w:rPr>
        <w:footnoteRef/>
      </w:r>
      <w:r>
        <w:t xml:space="preserve"> </w:t>
      </w:r>
      <w:r>
        <w:t xml:space="preserve">Mendias 2026, PMID 41966639.</w:t>
      </w:r>
    </w:p>
  </w:footnote>
  <w:footnote w:id="204">
    <w:p>
      <w:pPr>
        <w:pStyle w:val="FootnoteText"/>
      </w:pPr>
      <w:r>
        <w:rPr>
          <w:rStyle w:val="FootnoteReference"/>
        </w:rPr>
        <w:footnoteRef/>
      </w:r>
      <w:r>
        <w:t xml:space="preserve"> </w:t>
      </w:r>
      <w:r>
        <w:t xml:space="preserve">McCall 2026, PMID 40285721.</w:t>
      </w:r>
    </w:p>
  </w:footnote>
  <w:footnote w:id="205">
    <w:p>
      <w:pPr>
        <w:pStyle w:val="FootnoteText"/>
      </w:pPr>
      <w:r>
        <w:rPr>
          <w:rStyle w:val="FootnoteReference"/>
        </w:rPr>
        <w:footnoteRef/>
      </w:r>
      <w:r>
        <w:t xml:space="preserve"> </w:t>
      </w:r>
      <w:r>
        <w:t xml:space="preserve">Belcourt 2026, PMID 41689811.</w:t>
      </w:r>
    </w:p>
  </w:footnote>
  <w:footnote w:id="207">
    <w:p>
      <w:pPr>
        <w:pStyle w:val="FootnoteText"/>
      </w:pPr>
      <w:r>
        <w:rPr>
          <w:rStyle w:val="FootnoteReference"/>
        </w:rPr>
        <w:footnoteRef/>
      </w:r>
      <w:r>
        <w:t xml:space="preserve"> </w:t>
      </w:r>
      <w:r>
        <w:t xml:space="preserve">Hailu 2026, PMID 42437212.</w:t>
      </w:r>
    </w:p>
  </w:footnote>
  <w:footnote w:id="215">
    <w:p>
      <w:pPr>
        <w:pStyle w:val="FootnoteText"/>
      </w:pPr>
      <w:r>
        <w:rPr>
          <w:rStyle w:val="FootnoteReference"/>
        </w:rPr>
        <w:footnoteRef/>
      </w:r>
      <w:r>
        <w:t xml:space="preserve"> </w:t>
      </w:r>
      <w:r>
        <w:t xml:space="preserve">Thomas 2010, PMID 20878896.</w:t>
      </w:r>
    </w:p>
  </w:footnote>
  <w:footnote w:id="221">
    <w:p>
      <w:pPr>
        <w:pStyle w:val="FootnoteText"/>
      </w:pPr>
      <w:r>
        <w:rPr>
          <w:rStyle w:val="FootnoteReference"/>
        </w:rPr>
        <w:footnoteRef/>
      </w:r>
      <w:r>
        <w:t xml:space="preserve"> </w:t>
      </w:r>
      <w:r>
        <w:t xml:space="preserve">Belcourt 2026, PMID 41689811.</w:t>
      </w:r>
    </w:p>
  </w:footnote>
  <w:footnote w:id="222">
    <w:p>
      <w:pPr>
        <w:pStyle w:val="FootnoteText"/>
      </w:pPr>
      <w:r>
        <w:rPr>
          <w:rStyle w:val="FootnoteReference"/>
        </w:rPr>
        <w:footnoteRef/>
      </w:r>
      <w:r>
        <w:t xml:space="preserve"> </w:t>
      </w:r>
      <w:r>
        <w:t xml:space="preserve">Belcourt 2025, PMID 39285774.</w:t>
      </w:r>
    </w:p>
  </w:footnote>
  <w:footnote w:id="224">
    <w:p>
      <w:pPr>
        <w:pStyle w:val="FootnoteText"/>
      </w:pPr>
      <w:r>
        <w:rPr>
          <w:rStyle w:val="FootnoteReference"/>
        </w:rPr>
        <w:footnoteRef/>
      </w:r>
      <w:r>
        <w:t xml:space="preserve"> </w:t>
      </w:r>
      <w:r>
        <w:t xml:space="preserve">Cox 2017, PMID 28035768.</w:t>
      </w:r>
    </w:p>
  </w:footnote>
  <w:footnote w:id="234">
    <w:p>
      <w:pPr>
        <w:pStyle w:val="FootnoteText"/>
      </w:pPr>
      <w:r>
        <w:rPr>
          <w:rStyle w:val="FootnoteReference"/>
        </w:rPr>
        <w:footnoteRef/>
      </w:r>
      <w:r>
        <w:t xml:space="preserve"> </w:t>
      </w:r>
      <w:r>
        <w:t xml:space="preserve">Eng 1992, PMID 1313797.</w:t>
      </w:r>
    </w:p>
  </w:footnote>
  <w:footnote w:id="237">
    <w:p>
      <w:pPr>
        <w:pStyle w:val="FootnoteText"/>
      </w:pPr>
      <w:r>
        <w:rPr>
          <w:rStyle w:val="FootnoteReference"/>
        </w:rPr>
        <w:footnoteRef/>
      </w:r>
      <w:r>
        <w:t xml:space="preserve"> </w:t>
      </w:r>
      <w:r>
        <w:t xml:space="preserve">Heine 2005, PMID 16230722.</w:t>
      </w:r>
    </w:p>
  </w:footnote>
  <w:footnote w:id="239">
    <w:p>
      <w:pPr>
        <w:pStyle w:val="FootnoteText"/>
      </w:pPr>
      <w:r>
        <w:rPr>
          <w:rStyle w:val="FootnoteReference"/>
        </w:rPr>
        <w:footnoteRef/>
      </w:r>
      <w:r>
        <w:t xml:space="preserve"> </w:t>
      </w:r>
      <w:r>
        <w:t xml:space="preserve">Wysham 2015, PMID 25744115.</w:t>
      </w:r>
    </w:p>
  </w:footnote>
  <w:footnote w:id="240">
    <w:p>
      <w:pPr>
        <w:pStyle w:val="FootnoteText"/>
      </w:pPr>
      <w:r>
        <w:rPr>
          <w:rStyle w:val="FootnoteReference"/>
        </w:rPr>
        <w:footnoteRef/>
      </w:r>
      <w:r>
        <w:t xml:space="preserve"> </w:t>
      </w:r>
      <w:r>
        <w:t xml:space="preserve">Bergenstal 2010, PMID 20580422.</w:t>
      </w:r>
    </w:p>
  </w:footnote>
  <w:footnote w:id="241">
    <w:p>
      <w:pPr>
        <w:pStyle w:val="FootnoteText"/>
      </w:pPr>
      <w:r>
        <w:rPr>
          <w:rStyle w:val="FootnoteReference"/>
        </w:rPr>
        <w:footnoteRef/>
      </w:r>
      <w:r>
        <w:t xml:space="preserve"> </w:t>
      </w:r>
      <w:r>
        <w:t xml:space="preserve">Diamant 2010, PMID 20609969.</w:t>
      </w:r>
    </w:p>
  </w:footnote>
  <w:footnote w:id="243">
    <w:p>
      <w:pPr>
        <w:pStyle w:val="FootnoteText"/>
      </w:pPr>
      <w:r>
        <w:rPr>
          <w:rStyle w:val="FootnoteReference"/>
        </w:rPr>
        <w:footnoteRef/>
      </w:r>
      <w:r>
        <w:t xml:space="preserve"> </w:t>
      </w:r>
      <w:r>
        <w:t xml:space="preserve">Buse 2013, PMID 23141817.</w:t>
      </w:r>
    </w:p>
  </w:footnote>
  <w:footnote w:id="244">
    <w:p>
      <w:pPr>
        <w:pStyle w:val="FootnoteText"/>
      </w:pPr>
      <w:r>
        <w:rPr>
          <w:rStyle w:val="FootnoteReference"/>
        </w:rPr>
        <w:footnoteRef/>
      </w:r>
      <w:r>
        <w:t xml:space="preserve"> </w:t>
      </w:r>
      <w:r>
        <w:t xml:space="preserve">Ahmann 2018, PMID 29246950.</w:t>
      </w:r>
    </w:p>
  </w:footnote>
  <w:footnote w:id="246">
    <w:p>
      <w:pPr>
        <w:pStyle w:val="FootnoteText"/>
      </w:pPr>
      <w:r>
        <w:rPr>
          <w:rStyle w:val="FootnoteReference"/>
        </w:rPr>
        <w:footnoteRef/>
      </w:r>
      <w:r>
        <w:t xml:space="preserve"> </w:t>
      </w:r>
      <w:r>
        <w:t xml:space="preserve">Holman 2017, PMID 28910237.</w:t>
      </w:r>
    </w:p>
  </w:footnote>
  <w:footnote w:id="247">
    <w:p>
      <w:pPr>
        <w:pStyle w:val="FootnoteText"/>
      </w:pPr>
      <w:r>
        <w:rPr>
          <w:rStyle w:val="FootnoteReference"/>
        </w:rPr>
        <w:footnoteRef/>
      </w:r>
      <w:r>
        <w:t xml:space="preserve"> </w:t>
      </w:r>
      <w:r>
        <w:t xml:space="preserve">Kristensen 2019, PMID 31422062.</w:t>
      </w:r>
    </w:p>
  </w:footnote>
  <w:footnote w:id="248">
    <w:p>
      <w:pPr>
        <w:pStyle w:val="FootnoteText"/>
      </w:pPr>
      <w:r>
        <w:rPr>
          <w:rStyle w:val="FootnoteReference"/>
        </w:rPr>
        <w:footnoteRef/>
      </w:r>
      <w:r>
        <w:t xml:space="preserve"> </w:t>
      </w:r>
      <w:r>
        <w:t xml:space="preserve">Ruff 2022, PMID 34873344.</w:t>
      </w:r>
    </w:p>
  </w:footnote>
  <w:footnote w:id="250">
    <w:p>
      <w:pPr>
        <w:pStyle w:val="FootnoteText"/>
      </w:pPr>
      <w:r>
        <w:rPr>
          <w:rStyle w:val="FootnoteReference"/>
        </w:rPr>
        <w:footnoteRef/>
      </w:r>
      <w:r>
        <w:t xml:space="preserve"> </w:t>
      </w:r>
      <w:r>
        <w:t xml:space="preserve">Rosenstock 2010, PMID 20332357.</w:t>
      </w:r>
    </w:p>
  </w:footnote>
  <w:footnote w:id="251">
    <w:p>
      <w:pPr>
        <w:pStyle w:val="FootnoteText"/>
      </w:pPr>
      <w:r>
        <w:rPr>
          <w:rStyle w:val="FootnoteReference"/>
        </w:rPr>
        <w:footnoteRef/>
      </w:r>
      <w:r>
        <w:t xml:space="preserve"> </w:t>
      </w:r>
      <w:r>
        <w:t xml:space="preserve">Su 2016, PMID 27343423.</w:t>
      </w:r>
    </w:p>
  </w:footnote>
  <w:footnote w:id="252">
    <w:p>
      <w:pPr>
        <w:pStyle w:val="FootnoteText"/>
      </w:pPr>
      <w:r>
        <w:rPr>
          <w:rStyle w:val="FootnoteReference"/>
        </w:rPr>
        <w:footnoteRef/>
      </w:r>
      <w:r>
        <w:t xml:space="preserve"> </w:t>
      </w:r>
      <w:r>
        <w:t xml:space="preserve">Tamborlane 2022, PMID 35679098.</w:t>
      </w:r>
    </w:p>
  </w:footnote>
  <w:footnote w:id="254">
    <w:p>
      <w:pPr>
        <w:pStyle w:val="FootnoteText"/>
      </w:pPr>
      <w:r>
        <w:rPr>
          <w:rStyle w:val="FootnoteReference"/>
        </w:rPr>
        <w:footnoteRef/>
      </w:r>
      <w:r>
        <w:t xml:space="preserve"> </w:t>
      </w:r>
      <w:r>
        <w:t xml:space="preserve">PMID 28781108.</w:t>
      </w:r>
    </w:p>
  </w:footnote>
  <w:footnote w:id="255">
    <w:p>
      <w:pPr>
        <w:pStyle w:val="FootnoteText"/>
      </w:pPr>
      <w:r>
        <w:rPr>
          <w:rStyle w:val="FootnoteReference"/>
        </w:rPr>
        <w:footnoteRef/>
      </w:r>
      <w:r>
        <w:t xml:space="preserve"> </w:t>
      </w:r>
      <w:r>
        <w:t xml:space="preserve">Vijiaratnam 2025, PMID 39919773.</w:t>
      </w:r>
    </w:p>
  </w:footnote>
  <w:footnote w:id="256">
    <w:p>
      <w:pPr>
        <w:pStyle w:val="FootnoteText"/>
      </w:pPr>
      <w:r>
        <w:rPr>
          <w:rStyle w:val="FootnoteReference"/>
        </w:rPr>
        <w:footnoteRef/>
      </w:r>
      <w:r>
        <w:t xml:space="preserve"> </w:t>
      </w:r>
      <w:r>
        <w:t xml:space="preserve">McGarry 2024, PMID 38101901.</w:t>
      </w:r>
    </w:p>
  </w:footnote>
  <w:footnote w:id="257">
    <w:p>
      <w:pPr>
        <w:pStyle w:val="FootnoteText"/>
      </w:pPr>
      <w:r>
        <w:rPr>
          <w:rStyle w:val="FootnoteReference"/>
        </w:rPr>
        <w:footnoteRef/>
      </w:r>
      <w:r>
        <w:t xml:space="preserve"> </w:t>
      </w:r>
      <w:r>
        <w:t xml:space="preserve">Vijiaratnam 2025, PMID 40727970.</w:t>
      </w:r>
    </w:p>
  </w:footnote>
  <w:footnote w:id="259">
    <w:p>
      <w:pPr>
        <w:pStyle w:val="FootnoteText"/>
      </w:pPr>
      <w:r>
        <w:rPr>
          <w:rStyle w:val="FootnoteReference"/>
        </w:rPr>
        <w:footnoteRef/>
      </w:r>
      <w:r>
        <w:t xml:space="preserve"> </w:t>
      </w:r>
      <w:r>
        <w:t xml:space="preserve">Mullins 2019, PMID 31518224.</w:t>
      </w:r>
    </w:p>
  </w:footnote>
  <w:footnote w:id="260">
    <w:p>
      <w:pPr>
        <w:pStyle w:val="FootnoteText"/>
      </w:pPr>
      <w:r>
        <w:rPr>
          <w:rStyle w:val="FootnoteReference"/>
        </w:rPr>
        <w:footnoteRef/>
      </w:r>
      <w:r>
        <w:t xml:space="preserve"> </w:t>
      </w:r>
      <w:r>
        <w:t xml:space="preserve">Dei Cas 2024, PMID 38565814.</w:t>
      </w:r>
    </w:p>
  </w:footnote>
  <w:footnote w:id="261">
    <w:p>
      <w:pPr>
        <w:pStyle w:val="FootnoteText"/>
      </w:pPr>
      <w:r>
        <w:rPr>
          <w:rStyle w:val="FootnoteReference"/>
        </w:rPr>
        <w:footnoteRef/>
      </w:r>
      <w:r>
        <w:t xml:space="preserve"> </w:t>
      </w:r>
      <w:r>
        <w:t xml:space="preserve">Klausen 2022, PMID 36066977.</w:t>
      </w:r>
    </w:p>
  </w:footnote>
  <w:footnote w:id="262">
    <w:p>
      <w:pPr>
        <w:pStyle w:val="FootnoteText"/>
      </w:pPr>
      <w:r>
        <w:rPr>
          <w:rStyle w:val="FootnoteReference"/>
        </w:rPr>
        <w:footnoteRef/>
      </w:r>
      <w:r>
        <w:t xml:space="preserve"> </w:t>
      </w:r>
      <w:r>
        <w:t xml:space="preserve">Mitchell 2023, PMID 36907221.</w:t>
      </w:r>
    </w:p>
  </w:footnote>
  <w:footnote w:id="265">
    <w:p>
      <w:pPr>
        <w:pStyle w:val="FootnoteText"/>
      </w:pPr>
      <w:r>
        <w:rPr>
          <w:rStyle w:val="FootnoteReference"/>
        </w:rPr>
        <w:footnoteRef/>
      </w:r>
      <w:r>
        <w:t xml:space="preserve"> </w:t>
      </w:r>
      <w:r>
        <w:t xml:space="preserve">Eng 1992, PMID 1313797.</w:t>
      </w:r>
    </w:p>
  </w:footnote>
  <w:footnote w:id="266">
    <w:p>
      <w:pPr>
        <w:pStyle w:val="FootnoteText"/>
      </w:pPr>
      <w:r>
        <w:rPr>
          <w:rStyle w:val="FootnoteReference"/>
        </w:rPr>
        <w:footnoteRef/>
      </w:r>
      <w:r>
        <w:t xml:space="preserve"> </w:t>
      </w:r>
      <w:r>
        <w:t xml:space="preserve">Xu 1999, PMID 10580413.</w:t>
      </w:r>
    </w:p>
  </w:footnote>
  <w:footnote w:id="267">
    <w:p>
      <w:pPr>
        <w:pStyle w:val="FootnoteText"/>
      </w:pPr>
      <w:r>
        <w:rPr>
          <w:rStyle w:val="FootnoteReference"/>
        </w:rPr>
        <w:footnoteRef/>
      </w:r>
      <w:r>
        <w:t xml:space="preserve"> </w:t>
      </w:r>
      <w:r>
        <w:t xml:space="preserve">Bjerre Knudsen 2010, PMID 20203154.</w:t>
      </w:r>
    </w:p>
  </w:footnote>
  <w:footnote w:id="269">
    <w:p>
      <w:pPr>
        <w:pStyle w:val="FootnoteText"/>
      </w:pPr>
      <w:r>
        <w:rPr>
          <w:rStyle w:val="FootnoteReference"/>
        </w:rPr>
        <w:footnoteRef/>
      </w:r>
      <w:r>
        <w:t xml:space="preserve"> </w:t>
      </w:r>
      <w:r>
        <w:t xml:space="preserve">Heine 2005, PMID 16230722.</w:t>
      </w:r>
    </w:p>
  </w:footnote>
  <w:footnote w:id="270">
    <w:p>
      <w:pPr>
        <w:pStyle w:val="FootnoteText"/>
      </w:pPr>
      <w:r>
        <w:rPr>
          <w:rStyle w:val="FootnoteReference"/>
        </w:rPr>
        <w:footnoteRef/>
      </w:r>
      <w:r>
        <w:t xml:space="preserve"> </w:t>
      </w:r>
      <w:r>
        <w:t xml:space="preserve">Buse 2013, PMID 23141817.</w:t>
      </w:r>
    </w:p>
  </w:footnote>
  <w:footnote w:id="271">
    <w:p>
      <w:pPr>
        <w:pStyle w:val="FootnoteText"/>
      </w:pPr>
      <w:r>
        <w:rPr>
          <w:rStyle w:val="FootnoteReference"/>
        </w:rPr>
        <w:footnoteRef/>
      </w:r>
      <w:r>
        <w:t xml:space="preserve"> </w:t>
      </w:r>
      <w:r>
        <w:t xml:space="preserve">Kendall 2005, PMID 15855571.</w:t>
      </w:r>
    </w:p>
  </w:footnote>
  <w:footnote w:id="272">
    <w:p>
      <w:pPr>
        <w:pStyle w:val="FootnoteText"/>
      </w:pPr>
      <w:r>
        <w:rPr>
          <w:rStyle w:val="FootnoteReference"/>
        </w:rPr>
        <w:footnoteRef/>
      </w:r>
      <w:r>
        <w:t xml:space="preserve"> </w:t>
      </w:r>
      <w:r>
        <w:t xml:space="preserve">Wysham 2015, PMID 25744115.</w:t>
      </w:r>
    </w:p>
  </w:footnote>
  <w:footnote w:id="273">
    <w:p>
      <w:pPr>
        <w:pStyle w:val="FootnoteText"/>
      </w:pPr>
      <w:r>
        <w:rPr>
          <w:rStyle w:val="FootnoteReference"/>
        </w:rPr>
        <w:footnoteRef/>
      </w:r>
      <w:r>
        <w:t xml:space="preserve"> </w:t>
      </w:r>
      <w:r>
        <w:t xml:space="preserve">Dore 2013, PMID 23981106.</w:t>
      </w:r>
    </w:p>
  </w:footnote>
  <w:footnote w:id="274">
    <w:p>
      <w:pPr>
        <w:pStyle w:val="FootnoteText"/>
      </w:pPr>
      <w:r>
        <w:rPr>
          <w:rStyle w:val="FootnoteReference"/>
        </w:rPr>
        <w:footnoteRef/>
      </w:r>
      <w:r>
        <w:t xml:space="preserve"> </w:t>
      </w:r>
      <w:r>
        <w:t xml:space="preserve">Holman 2017, PMID 28910237.</w:t>
      </w:r>
    </w:p>
  </w:footnote>
  <w:footnote w:id="275">
    <w:p>
      <w:pPr>
        <w:pStyle w:val="FootnoteText"/>
      </w:pPr>
      <w:r>
        <w:rPr>
          <w:rStyle w:val="FootnoteReference"/>
        </w:rPr>
        <w:footnoteRef/>
      </w:r>
      <w:r>
        <w:t xml:space="preserve"> </w:t>
      </w:r>
      <w:r>
        <w:t xml:space="preserve">Liang 2019, PMID 30474347.</w:t>
      </w:r>
    </w:p>
  </w:footnote>
  <w:footnote w:id="276">
    <w:p>
      <w:pPr>
        <w:pStyle w:val="FootnoteText"/>
      </w:pPr>
      <w:r>
        <w:rPr>
          <w:rStyle w:val="FootnoteReference"/>
        </w:rPr>
        <w:footnoteRef/>
      </w:r>
      <w:r>
        <w:t xml:space="preserve"> </w:t>
      </w:r>
      <w:r>
        <w:t xml:space="preserve">Silverii 2025, PMID 40437949.</w:t>
      </w:r>
    </w:p>
  </w:footnote>
  <w:footnote w:id="277">
    <w:p>
      <w:pPr>
        <w:pStyle w:val="FootnoteText"/>
      </w:pPr>
      <w:r>
        <w:rPr>
          <w:rStyle w:val="FootnoteReference"/>
        </w:rPr>
        <w:footnoteRef/>
      </w:r>
      <w:r>
        <w:t xml:space="preserve"> </w:t>
      </w:r>
      <w:r>
        <w:t xml:space="preserve">NCT05663515.</w:t>
      </w:r>
    </w:p>
  </w:footnote>
  <w:footnote w:id="280">
    <w:p>
      <w:pPr>
        <w:pStyle w:val="FootnoteText"/>
      </w:pPr>
      <w:r>
        <w:rPr>
          <w:rStyle w:val="FootnoteReference"/>
        </w:rPr>
        <w:footnoteRef/>
      </w:r>
      <w:r>
        <w:t xml:space="preserve"> </w:t>
      </w:r>
      <w:r>
        <w:t xml:space="preserve">Ji 2021, PMID 33687487.</w:t>
      </w:r>
    </w:p>
  </w:footnote>
  <w:footnote w:id="281">
    <w:p>
      <w:pPr>
        <w:pStyle w:val="FootnoteText"/>
      </w:pPr>
      <w:r>
        <w:rPr>
          <w:rStyle w:val="FootnoteReference"/>
        </w:rPr>
        <w:footnoteRef/>
      </w:r>
      <w:r>
        <w:t xml:space="preserve"> </w:t>
      </w:r>
      <w:r>
        <w:t xml:space="preserve">NCT06254014, NCT06257966.</w:t>
      </w:r>
    </w:p>
  </w:footnote>
  <w:footnote w:id="282">
    <w:p>
      <w:pPr>
        <w:pStyle w:val="FootnoteText"/>
      </w:pPr>
      <w:r>
        <w:rPr>
          <w:rStyle w:val="FootnoteReference"/>
        </w:rPr>
        <w:footnoteRef/>
      </w:r>
      <w:r>
        <w:t xml:space="preserve"> </w:t>
      </w:r>
      <w:r>
        <w:t xml:space="preserve">NCT07497399.</w:t>
      </w:r>
    </w:p>
  </w:footnote>
  <w:footnote w:id="283">
    <w:p>
      <w:pPr>
        <w:pStyle w:val="FootnoteText"/>
      </w:pPr>
      <w:r>
        <w:rPr>
          <w:rStyle w:val="FootnoteReference"/>
        </w:rPr>
        <w:footnoteRef/>
      </w:r>
      <w:r>
        <w:t xml:space="preserve"> </w:t>
      </w:r>
      <w:r>
        <w:t xml:space="preserve">NCT05663515.</w:t>
      </w:r>
    </w:p>
  </w:footnote>
  <w:footnote w:id="284">
    <w:p>
      <w:pPr>
        <w:pStyle w:val="FootnoteText"/>
      </w:pPr>
      <w:r>
        <w:rPr>
          <w:rStyle w:val="FootnoteReference"/>
        </w:rPr>
        <w:footnoteRef/>
      </w:r>
      <w:r>
        <w:t xml:space="preserve"> </w:t>
      </w:r>
      <w:r>
        <w:t xml:space="preserve">NCT01511393.</w:t>
      </w:r>
    </w:p>
  </w:footnote>
  <w:footnote w:id="285">
    <w:p>
      <w:pPr>
        <w:pStyle w:val="FootnoteText"/>
      </w:pPr>
      <w:r>
        <w:rPr>
          <w:rStyle w:val="FootnoteReference"/>
        </w:rPr>
        <w:footnoteRef/>
      </w:r>
      <w:r>
        <w:t xml:space="preserve"> </w:t>
      </w:r>
      <w:r>
        <w:t xml:space="preserve">NCT07808879.</w:t>
      </w:r>
    </w:p>
  </w:footnote>
  <w:footnote w:id="289">
    <w:p>
      <w:pPr>
        <w:pStyle w:val="FootnoteText"/>
      </w:pPr>
      <w:r>
        <w:rPr>
          <w:rStyle w:val="FootnoteReference"/>
        </w:rPr>
        <w:footnoteRef/>
      </w:r>
      <w:r>
        <w:t xml:space="preserve"> </w:t>
      </w:r>
      <w:r>
        <w:t xml:space="preserve">Knudsen 2019, PMID 31031702.</w:t>
      </w:r>
    </w:p>
  </w:footnote>
  <w:footnote w:id="291">
    <w:p>
      <w:pPr>
        <w:pStyle w:val="FootnoteText"/>
      </w:pPr>
      <w:r>
        <w:rPr>
          <w:rStyle w:val="FootnoteReference"/>
        </w:rPr>
        <w:footnoteRef/>
      </w:r>
      <w:r>
        <w:t xml:space="preserve"> </w:t>
      </w:r>
      <w:r>
        <w:t xml:space="preserve">Secher 2014, PMID 25202980.</w:t>
      </w:r>
    </w:p>
  </w:footnote>
  <w:footnote w:id="292">
    <w:p>
      <w:pPr>
        <w:pStyle w:val="FootnoteText"/>
      </w:pPr>
      <w:r>
        <w:rPr>
          <w:rStyle w:val="FootnoteReference"/>
        </w:rPr>
        <w:footnoteRef/>
      </w:r>
      <w:r>
        <w:t xml:space="preserve"> </w:t>
      </w:r>
      <w:r>
        <w:t xml:space="preserve">Knudsen 2019, PMID 31031702.</w:t>
      </w:r>
    </w:p>
  </w:footnote>
  <w:footnote w:id="294">
    <w:p>
      <w:pPr>
        <w:pStyle w:val="FootnoteText"/>
      </w:pPr>
      <w:r>
        <w:rPr>
          <w:rStyle w:val="FootnoteReference"/>
        </w:rPr>
        <w:footnoteRef/>
      </w:r>
      <w:r>
        <w:t xml:space="preserve"> </w:t>
      </w:r>
      <w:r>
        <w:t xml:space="preserve">Garber 2009, PMID 18819705.</w:t>
      </w:r>
    </w:p>
  </w:footnote>
  <w:footnote w:id="295">
    <w:p>
      <w:pPr>
        <w:pStyle w:val="FootnoteText"/>
      </w:pPr>
      <w:r>
        <w:rPr>
          <w:rStyle w:val="FootnoteReference"/>
        </w:rPr>
        <w:footnoteRef/>
      </w:r>
      <w:r>
        <w:t xml:space="preserve"> </w:t>
      </w:r>
      <w:r>
        <w:t xml:space="preserve">Pratley 2010, PMID 20417856.</w:t>
      </w:r>
    </w:p>
  </w:footnote>
  <w:footnote w:id="297">
    <w:p>
      <w:pPr>
        <w:pStyle w:val="FootnoteText"/>
      </w:pPr>
      <w:r>
        <w:rPr>
          <w:rStyle w:val="FootnoteReference"/>
        </w:rPr>
        <w:footnoteRef/>
      </w:r>
      <w:r>
        <w:t xml:space="preserve"> </w:t>
      </w:r>
      <w:r>
        <w:t xml:space="preserve">Buse 2009, PMID 19515413.</w:t>
      </w:r>
    </w:p>
  </w:footnote>
  <w:footnote w:id="298">
    <w:p>
      <w:pPr>
        <w:pStyle w:val="FootnoteText"/>
      </w:pPr>
      <w:r>
        <w:rPr>
          <w:rStyle w:val="FootnoteReference"/>
        </w:rPr>
        <w:footnoteRef/>
      </w:r>
      <w:r>
        <w:t xml:space="preserve"> </w:t>
      </w:r>
      <w:r>
        <w:t xml:space="preserve">Dungan 2014, PMID 25018121.</w:t>
      </w:r>
    </w:p>
  </w:footnote>
  <w:footnote w:id="299">
    <w:p>
      <w:pPr>
        <w:pStyle w:val="FootnoteText"/>
      </w:pPr>
      <w:r>
        <w:rPr>
          <w:rStyle w:val="FootnoteReference"/>
        </w:rPr>
        <w:footnoteRef/>
      </w:r>
      <w:r>
        <w:t xml:space="preserve"> </w:t>
      </w:r>
      <w:r>
        <w:t xml:space="preserve">Rubino 2022, PMID 35015037.</w:t>
      </w:r>
    </w:p>
  </w:footnote>
  <w:footnote w:id="300">
    <w:p>
      <w:pPr>
        <w:pStyle w:val="FootnoteText"/>
      </w:pPr>
      <w:r>
        <w:rPr>
          <w:rStyle w:val="FootnoteReference"/>
        </w:rPr>
        <w:footnoteRef/>
      </w:r>
      <w:r>
        <w:t xml:space="preserve"> </w:t>
      </w:r>
      <w:r>
        <w:t xml:space="preserve">Pratley 2019, PMID 31186120.</w:t>
      </w:r>
    </w:p>
  </w:footnote>
  <w:footnote w:id="302">
    <w:p>
      <w:pPr>
        <w:pStyle w:val="FootnoteText"/>
      </w:pPr>
      <w:r>
        <w:rPr>
          <w:rStyle w:val="FootnoteReference"/>
        </w:rPr>
        <w:footnoteRef/>
      </w:r>
      <w:r>
        <w:t xml:space="preserve"> </w:t>
      </w:r>
      <w:r>
        <w:t xml:space="preserve">Marso 2016, PMID 27295427.</w:t>
      </w:r>
    </w:p>
  </w:footnote>
  <w:footnote w:id="303">
    <w:p>
      <w:pPr>
        <w:pStyle w:val="FootnoteText"/>
      </w:pPr>
      <w:r>
        <w:rPr>
          <w:rStyle w:val="FootnoteReference"/>
        </w:rPr>
        <w:footnoteRef/>
      </w:r>
      <w:r>
        <w:t xml:space="preserve"> </w:t>
      </w:r>
      <w:r>
        <w:t xml:space="preserve">Mann 2017, PMID 28854085.</w:t>
      </w:r>
    </w:p>
  </w:footnote>
  <w:footnote w:id="304">
    <w:p>
      <w:pPr>
        <w:pStyle w:val="FootnoteText"/>
      </w:pPr>
      <w:r>
        <w:rPr>
          <w:rStyle w:val="FootnoteReference"/>
        </w:rPr>
        <w:footnoteRef/>
      </w:r>
      <w:r>
        <w:t xml:space="preserve"> </w:t>
      </w:r>
      <w:r>
        <w:t xml:space="preserve">Margulies 2016, PMID 27483064.</w:t>
      </w:r>
    </w:p>
  </w:footnote>
  <w:footnote w:id="306">
    <w:p>
      <w:pPr>
        <w:pStyle w:val="FootnoteText"/>
      </w:pPr>
      <w:r>
        <w:rPr>
          <w:rStyle w:val="FootnoteReference"/>
        </w:rPr>
        <w:footnoteRef/>
      </w:r>
      <w:r>
        <w:t xml:space="preserve"> </w:t>
      </w:r>
      <w:r>
        <w:t xml:space="preserve">Pi-Sunyer 2015, PMID 26132939.</w:t>
      </w:r>
    </w:p>
  </w:footnote>
  <w:footnote w:id="307">
    <w:p>
      <w:pPr>
        <w:pStyle w:val="FootnoteText"/>
      </w:pPr>
      <w:r>
        <w:rPr>
          <w:rStyle w:val="FootnoteReference"/>
        </w:rPr>
        <w:footnoteRef/>
      </w:r>
      <w:r>
        <w:t xml:space="preserve"> </w:t>
      </w:r>
      <w:r>
        <w:t xml:space="preserve">le Roux 2017, PMID 28237263.</w:t>
      </w:r>
    </w:p>
  </w:footnote>
  <w:footnote w:id="308">
    <w:p>
      <w:pPr>
        <w:pStyle w:val="FootnoteText"/>
      </w:pPr>
      <w:r>
        <w:rPr>
          <w:rStyle w:val="FootnoteReference"/>
        </w:rPr>
        <w:footnoteRef/>
      </w:r>
      <w:r>
        <w:t xml:space="preserve"> </w:t>
      </w:r>
      <w:r>
        <w:t xml:space="preserve">Davies 2015, PMID 26284720.</w:t>
      </w:r>
    </w:p>
  </w:footnote>
  <w:footnote w:id="309">
    <w:p>
      <w:pPr>
        <w:pStyle w:val="FootnoteText"/>
      </w:pPr>
      <w:r>
        <w:rPr>
          <w:rStyle w:val="FootnoteReference"/>
        </w:rPr>
        <w:footnoteRef/>
      </w:r>
      <w:r>
        <w:t xml:space="preserve"> </w:t>
      </w:r>
      <w:r>
        <w:t xml:space="preserve">Wadden 2013, PMID 23812094.</w:t>
      </w:r>
    </w:p>
  </w:footnote>
  <w:footnote w:id="311">
    <w:p>
      <w:pPr>
        <w:pStyle w:val="FootnoteText"/>
      </w:pPr>
      <w:r>
        <w:rPr>
          <w:rStyle w:val="FootnoteReference"/>
        </w:rPr>
        <w:footnoteRef/>
      </w:r>
      <w:r>
        <w:t xml:space="preserve"> </w:t>
      </w:r>
      <w:r>
        <w:t xml:space="preserve">Kelly 2020, PMID 32233338.</w:t>
      </w:r>
    </w:p>
  </w:footnote>
  <w:footnote w:id="312">
    <w:p>
      <w:pPr>
        <w:pStyle w:val="FootnoteText"/>
      </w:pPr>
      <w:r>
        <w:rPr>
          <w:rStyle w:val="FootnoteReference"/>
        </w:rPr>
        <w:footnoteRef/>
      </w:r>
      <w:r>
        <w:t xml:space="preserve"> </w:t>
      </w:r>
      <w:r>
        <w:t xml:space="preserve">Fox 2025, PMID 39258838.</w:t>
      </w:r>
    </w:p>
  </w:footnote>
  <w:footnote w:id="313">
    <w:p>
      <w:pPr>
        <w:pStyle w:val="FootnoteText"/>
      </w:pPr>
      <w:r>
        <w:rPr>
          <w:rStyle w:val="FootnoteReference"/>
        </w:rPr>
        <w:footnoteRef/>
      </w:r>
      <w:r>
        <w:t xml:space="preserve"> </w:t>
      </w:r>
      <w:r>
        <w:t xml:space="preserve">NCT06903923.</w:t>
      </w:r>
    </w:p>
  </w:footnote>
  <w:footnote w:id="315">
    <w:p>
      <w:pPr>
        <w:pStyle w:val="FootnoteText"/>
      </w:pPr>
      <w:r>
        <w:rPr>
          <w:rStyle w:val="FootnoteReference"/>
        </w:rPr>
        <w:footnoteRef/>
      </w:r>
      <w:r>
        <w:t xml:space="preserve"> </w:t>
      </w:r>
      <w:r>
        <w:t xml:space="preserve">Armstrong 2016, PMID 26608256.</w:t>
      </w:r>
    </w:p>
  </w:footnote>
  <w:footnote w:id="316">
    <w:p>
      <w:pPr>
        <w:pStyle w:val="FootnoteText"/>
      </w:pPr>
      <w:r>
        <w:rPr>
          <w:rStyle w:val="FootnoteReference"/>
        </w:rPr>
        <w:footnoteRef/>
      </w:r>
      <w:r>
        <w:t xml:space="preserve"> </w:t>
      </w:r>
      <w:r>
        <w:t xml:space="preserve">Edison 2026, PMID 41326666.</w:t>
      </w:r>
    </w:p>
  </w:footnote>
  <w:footnote w:id="317">
    <w:p>
      <w:pPr>
        <w:pStyle w:val="FootnoteText"/>
      </w:pPr>
      <w:r>
        <w:rPr>
          <w:rStyle w:val="FootnoteReference"/>
        </w:rPr>
        <w:footnoteRef/>
      </w:r>
      <w:r>
        <w:t xml:space="preserve"> </w:t>
      </w:r>
      <w:r>
        <w:t xml:space="preserve">Lähteenvuo 2025, PMID 39535805.</w:t>
      </w:r>
    </w:p>
  </w:footnote>
  <w:footnote w:id="320">
    <w:p>
      <w:pPr>
        <w:pStyle w:val="FootnoteText"/>
      </w:pPr>
      <w:r>
        <w:rPr>
          <w:rStyle w:val="FootnoteReference"/>
        </w:rPr>
        <w:footnoteRef/>
      </w:r>
      <w:r>
        <w:t xml:space="preserve"> </w:t>
      </w:r>
      <w:r>
        <w:t xml:space="preserve">Secher 2014, PMID 25202980.</w:t>
      </w:r>
    </w:p>
  </w:footnote>
  <w:footnote w:id="321">
    <w:p>
      <w:pPr>
        <w:pStyle w:val="FootnoteText"/>
      </w:pPr>
      <w:r>
        <w:rPr>
          <w:rStyle w:val="FootnoteReference"/>
        </w:rPr>
        <w:footnoteRef/>
      </w:r>
      <w:r>
        <w:t xml:space="preserve"> </w:t>
      </w:r>
      <w:r>
        <w:t xml:space="preserve">Bjerre Knudsen 2010, PMID 20203154.</w:t>
      </w:r>
    </w:p>
  </w:footnote>
  <w:footnote w:id="323">
    <w:p>
      <w:pPr>
        <w:pStyle w:val="FootnoteText"/>
      </w:pPr>
      <w:r>
        <w:rPr>
          <w:rStyle w:val="FootnoteReference"/>
        </w:rPr>
        <w:footnoteRef/>
      </w:r>
      <w:r>
        <w:t xml:space="preserve"> </w:t>
      </w:r>
      <w:r>
        <w:t xml:space="preserve">Marso 2016, PMID 27295427.</w:t>
      </w:r>
    </w:p>
  </w:footnote>
  <w:footnote w:id="324">
    <w:p>
      <w:pPr>
        <w:pStyle w:val="FootnoteText"/>
      </w:pPr>
      <w:r>
        <w:rPr>
          <w:rStyle w:val="FootnoteReference"/>
        </w:rPr>
        <w:footnoteRef/>
      </w:r>
      <w:r>
        <w:t xml:space="preserve"> </w:t>
      </w:r>
      <w:r>
        <w:t xml:space="preserve">Davies 2015, PMID 26284720.</w:t>
      </w:r>
    </w:p>
  </w:footnote>
  <w:footnote w:id="325">
    <w:p>
      <w:pPr>
        <w:pStyle w:val="FootnoteText"/>
      </w:pPr>
      <w:r>
        <w:rPr>
          <w:rStyle w:val="FootnoteReference"/>
        </w:rPr>
        <w:footnoteRef/>
      </w:r>
      <w:r>
        <w:t xml:space="preserve"> </w:t>
      </w:r>
      <w:r>
        <w:t xml:space="preserve">He 2022, PMID 35344001.</w:t>
      </w:r>
    </w:p>
  </w:footnote>
  <w:footnote w:id="326">
    <w:p>
      <w:pPr>
        <w:pStyle w:val="FootnoteText"/>
      </w:pPr>
      <w:r>
        <w:rPr>
          <w:rStyle w:val="FootnoteReference"/>
        </w:rPr>
        <w:footnoteRef/>
      </w:r>
      <w:r>
        <w:t xml:space="preserve"> </w:t>
      </w:r>
      <w:r>
        <w:t xml:space="preserve">Marso 2016, PMID 27295427.</w:t>
      </w:r>
    </w:p>
  </w:footnote>
  <w:footnote w:id="327">
    <w:p>
      <w:pPr>
        <w:pStyle w:val="FootnoteText"/>
      </w:pPr>
      <w:r>
        <w:rPr>
          <w:rStyle w:val="FootnoteReference"/>
        </w:rPr>
        <w:footnoteRef/>
      </w:r>
      <w:r>
        <w:t xml:space="preserve"> </w:t>
      </w:r>
      <w:r>
        <w:t xml:space="preserve">Alves 2012, PMID 23010561.</w:t>
      </w:r>
    </w:p>
  </w:footnote>
  <w:footnote w:id="328">
    <w:p>
      <w:pPr>
        <w:pStyle w:val="FootnoteText"/>
      </w:pPr>
      <w:r>
        <w:rPr>
          <w:rStyle w:val="FootnoteReference"/>
        </w:rPr>
        <w:footnoteRef/>
      </w:r>
      <w:r>
        <w:t xml:space="preserve"> </w:t>
      </w:r>
      <w:r>
        <w:t xml:space="preserve">Bezin 2023, PMID 36356111.</w:t>
      </w:r>
    </w:p>
  </w:footnote>
  <w:footnote w:id="329">
    <w:p>
      <w:pPr>
        <w:pStyle w:val="FootnoteText"/>
      </w:pPr>
      <w:r>
        <w:rPr>
          <w:rStyle w:val="FootnoteReference"/>
        </w:rPr>
        <w:footnoteRef/>
      </w:r>
      <w:r>
        <w:t xml:space="preserve"> </w:t>
      </w:r>
      <w:r>
        <w:t xml:space="preserve">Silverii 2025, PMID 40437949.</w:t>
      </w:r>
    </w:p>
  </w:footnote>
  <w:footnote w:id="330">
    <w:p>
      <w:pPr>
        <w:pStyle w:val="FootnoteText"/>
      </w:pPr>
      <w:r>
        <w:rPr>
          <w:rStyle w:val="FootnoteReference"/>
        </w:rPr>
        <w:footnoteRef/>
      </w:r>
      <w:r>
        <w:t xml:space="preserve"> </w:t>
      </w:r>
      <w:r>
        <w:t xml:space="preserve">Ueda 2024, PMID 39226030.</w:t>
      </w:r>
    </w:p>
  </w:footnote>
  <w:footnote w:id="331">
    <w:p>
      <w:pPr>
        <w:pStyle w:val="FootnoteText"/>
      </w:pPr>
      <w:r>
        <w:rPr>
          <w:rStyle w:val="FootnoteReference"/>
        </w:rPr>
        <w:footnoteRef/>
      </w:r>
      <w:r>
        <w:t xml:space="preserve"> </w:t>
      </w:r>
      <w:r>
        <w:t xml:space="preserve">Choudhury 2026, PMID 41862354.</w:t>
      </w:r>
    </w:p>
  </w:footnote>
  <w:footnote w:id="334">
    <w:p>
      <w:pPr>
        <w:pStyle w:val="FootnoteText"/>
      </w:pPr>
      <w:r>
        <w:rPr>
          <w:rStyle w:val="FootnoteReference"/>
        </w:rPr>
        <w:footnoteRef/>
      </w:r>
      <w:r>
        <w:t xml:space="preserve"> </w:t>
      </w:r>
      <w:r>
        <w:t xml:space="preserve">NCT06742710.</w:t>
      </w:r>
    </w:p>
  </w:footnote>
  <w:footnote w:id="335">
    <w:p>
      <w:pPr>
        <w:pStyle w:val="FootnoteText"/>
      </w:pPr>
      <w:r>
        <w:rPr>
          <w:rStyle w:val="FootnoteReference"/>
        </w:rPr>
        <w:footnoteRef/>
      </w:r>
      <w:r>
        <w:t xml:space="preserve"> </w:t>
      </w:r>
      <w:r>
        <w:t xml:space="preserve">NCT06361238.</w:t>
      </w:r>
    </w:p>
  </w:footnote>
  <w:footnote w:id="336">
    <w:p>
      <w:pPr>
        <w:pStyle w:val="FootnoteText"/>
      </w:pPr>
      <w:r>
        <w:rPr>
          <w:rStyle w:val="FootnoteReference"/>
        </w:rPr>
        <w:footnoteRef/>
      </w:r>
      <w:r>
        <w:t xml:space="preserve"> </w:t>
      </w:r>
      <w:r>
        <w:t xml:space="preserve">NCT07029009.</w:t>
      </w:r>
    </w:p>
  </w:footnote>
  <w:footnote w:id="337">
    <w:p>
      <w:pPr>
        <w:pStyle w:val="FootnoteText"/>
      </w:pPr>
      <w:r>
        <w:rPr>
          <w:rStyle w:val="FootnoteReference"/>
        </w:rPr>
        <w:footnoteRef/>
      </w:r>
      <w:r>
        <w:t xml:space="preserve"> </w:t>
      </w:r>
      <w:r>
        <w:t xml:space="preserve">NCT05390892.</w:t>
      </w:r>
    </w:p>
  </w:footnote>
  <w:footnote w:id="338">
    <w:p>
      <w:pPr>
        <w:pStyle w:val="FootnoteText"/>
      </w:pPr>
      <w:r>
        <w:rPr>
          <w:rStyle w:val="FootnoteReference"/>
        </w:rPr>
        <w:footnoteRef/>
      </w:r>
      <w:r>
        <w:t xml:space="preserve"> </w:t>
      </w:r>
      <w:r>
        <w:t xml:space="preserve">NCT04775082.</w:t>
      </w:r>
    </w:p>
  </w:footnote>
  <w:footnote w:id="342">
    <w:p>
      <w:pPr>
        <w:pStyle w:val="FootnoteText"/>
      </w:pPr>
      <w:r>
        <w:rPr>
          <w:rStyle w:val="FootnoteReference"/>
        </w:rPr>
        <w:footnoteRef/>
      </w:r>
      <w:r>
        <w:t xml:space="preserve"> </w:t>
      </w:r>
      <w:r>
        <w:t xml:space="preserve">Glaesner 2010, PMID 20503261.</w:t>
      </w:r>
    </w:p>
  </w:footnote>
  <w:footnote w:id="344">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Milicevic 2016, PMID 26847401.</w:t>
      </w:r>
    </w:p>
  </w:footnote>
  <w:footnote w:id="347">
    <w:p>
      <w:pPr>
        <w:pStyle w:val="FootnoteText"/>
      </w:pPr>
      <w:r>
        <w:rPr>
          <w:rStyle w:val="FootnoteReference"/>
        </w:rPr>
        <w:footnoteRef/>
      </w:r>
      <w:r>
        <w:t xml:space="preserve"> </w:t>
      </w:r>
      <w:r>
        <w:t xml:space="preserve">Giorgino 2015, PMID 26089386; Blonde 2015, PMID 26009229.</w:t>
      </w:r>
    </w:p>
  </w:footnote>
  <w:footnote w:id="348">
    <w:p>
      <w:pPr>
        <w:pStyle w:val="FootnoteText"/>
      </w:pPr>
      <w:r>
        <w:rPr>
          <w:rStyle w:val="FootnoteReference"/>
        </w:rPr>
        <w:footnoteRef/>
      </w:r>
      <w:r>
        <w:t xml:space="preserve"> </w:t>
      </w:r>
      <w:r>
        <w:t xml:space="preserve">Tuttle 2018, PMID 29910024.</w:t>
      </w:r>
    </w:p>
  </w:footnote>
  <w:footnote w:id="349">
    <w:p>
      <w:pPr>
        <w:pStyle w:val="FootnoteText"/>
      </w:pPr>
      <w:r>
        <w:rPr>
          <w:rStyle w:val="FootnoteReference"/>
        </w:rPr>
        <w:footnoteRef/>
      </w:r>
      <w:r>
        <w:t xml:space="preserve"> </w:t>
      </w:r>
      <w:r>
        <w:t xml:space="preserve">Dungan 2016, PMID 26799540.</w:t>
      </w:r>
    </w:p>
  </w:footnote>
  <w:footnote w:id="350">
    <w:p>
      <w:pPr>
        <w:pStyle w:val="FootnoteText"/>
      </w:pPr>
      <w:r>
        <w:rPr>
          <w:rStyle w:val="FootnoteReference"/>
        </w:rPr>
        <w:footnoteRef/>
      </w:r>
      <w:r>
        <w:t xml:space="preserve"> </w:t>
      </w:r>
      <w:r>
        <w:t xml:space="preserve">Frias 2021, PMID 33397768.</w:t>
      </w:r>
    </w:p>
  </w:footnote>
  <w:footnote w:id="352">
    <w:p>
      <w:pPr>
        <w:pStyle w:val="FootnoteText"/>
      </w:pPr>
      <w:r>
        <w:rPr>
          <w:rStyle w:val="FootnoteReference"/>
        </w:rPr>
        <w:footnoteRef/>
      </w:r>
      <w:r>
        <w:t xml:space="preserve"> </w:t>
      </w:r>
      <w:r>
        <w:t xml:space="preserve">Wysham 2014, PMID 24879836.</w:t>
      </w:r>
    </w:p>
  </w:footnote>
  <w:footnote w:id="353">
    <w:p>
      <w:pPr>
        <w:pStyle w:val="FootnoteText"/>
      </w:pPr>
      <w:r>
        <w:rPr>
          <w:rStyle w:val="FootnoteReference"/>
        </w:rPr>
        <w:footnoteRef/>
      </w:r>
      <w:r>
        <w:t xml:space="preserve"> </w:t>
      </w:r>
      <w:r>
        <w:t xml:space="preserve">Dungan 2014, PMID 25018121.</w:t>
      </w:r>
    </w:p>
  </w:footnote>
  <w:footnote w:id="354">
    <w:p>
      <w:pPr>
        <w:pStyle w:val="FootnoteText"/>
      </w:pPr>
      <w:r>
        <w:rPr>
          <w:rStyle w:val="FootnoteReference"/>
        </w:rPr>
        <w:footnoteRef/>
      </w:r>
      <w:r>
        <w:t xml:space="preserve"> </w:t>
      </w:r>
      <w:r>
        <w:t xml:space="preserve">Pratley 2018, PMID 29397376.</w:t>
      </w:r>
    </w:p>
  </w:footnote>
  <w:footnote w:id="356">
    <w:p>
      <w:pPr>
        <w:pStyle w:val="FootnoteText"/>
      </w:pPr>
      <w:r>
        <w:rPr>
          <w:rStyle w:val="FootnoteReference"/>
        </w:rPr>
        <w:footnoteRef/>
      </w:r>
      <w:r>
        <w:t xml:space="preserve"> </w:t>
      </w:r>
      <w:r>
        <w:t xml:space="preserve">Gerstein 2019, PMID 31189511.</w:t>
      </w:r>
    </w:p>
  </w:footnote>
  <w:footnote w:id="357">
    <w:p>
      <w:pPr>
        <w:pStyle w:val="FootnoteText"/>
      </w:pPr>
      <w:r>
        <w:rPr>
          <w:rStyle w:val="FootnoteReference"/>
        </w:rPr>
        <w:footnoteRef/>
      </w:r>
      <w:r>
        <w:t xml:space="preserve"> </w:t>
      </w:r>
      <w:r>
        <w:t xml:space="preserve">Gerstein 2019, PMID 31189509.</w:t>
      </w:r>
    </w:p>
  </w:footnote>
  <w:footnote w:id="358">
    <w:p>
      <w:pPr>
        <w:pStyle w:val="FootnoteText"/>
      </w:pPr>
      <w:r>
        <w:rPr>
          <w:rStyle w:val="FootnoteReference"/>
        </w:rPr>
        <w:footnoteRef/>
      </w:r>
      <w:r>
        <w:t xml:space="preserve"> </w:t>
      </w:r>
      <w:r>
        <w:t xml:space="preserve">Cukierman-Yaffe 2020, PMID 32562683.</w:t>
      </w:r>
    </w:p>
  </w:footnote>
  <w:footnote w:id="359">
    <w:p>
      <w:pPr>
        <w:pStyle w:val="FootnoteText"/>
      </w:pPr>
      <w:r>
        <w:rPr>
          <w:rStyle w:val="FootnoteReference"/>
        </w:rPr>
        <w:footnoteRef/>
      </w:r>
      <w:r>
        <w:t xml:space="preserve"> </w:t>
      </w:r>
      <w:r>
        <w:t xml:space="preserve">Kristensen 2019, PMID 31422062.</w:t>
      </w:r>
    </w:p>
  </w:footnote>
  <w:footnote w:id="361">
    <w:p>
      <w:pPr>
        <w:pStyle w:val="FootnoteText"/>
      </w:pPr>
      <w:r>
        <w:rPr>
          <w:rStyle w:val="FootnoteReference"/>
        </w:rPr>
        <w:footnoteRef/>
      </w:r>
      <w:r>
        <w:t xml:space="preserve"> </w:t>
      </w:r>
      <w:r>
        <w:t xml:space="preserve">Raubenheimer 2022, PMID 34984808.</w:t>
      </w:r>
    </w:p>
  </w:footnote>
  <w:footnote w:id="362">
    <w:p>
      <w:pPr>
        <w:pStyle w:val="FootnoteText"/>
      </w:pPr>
      <w:r>
        <w:rPr>
          <w:rStyle w:val="FootnoteReference"/>
        </w:rPr>
        <w:footnoteRef/>
      </w:r>
      <w:r>
        <w:t xml:space="preserve"> </w:t>
      </w:r>
      <w:r>
        <w:t xml:space="preserve">PMID 34563178.</w:t>
      </w:r>
    </w:p>
  </w:footnote>
  <w:footnote w:id="363">
    <w:p>
      <w:pPr>
        <w:pStyle w:val="FootnoteText"/>
      </w:pPr>
      <w:r>
        <w:rPr>
          <w:rStyle w:val="FootnoteReference"/>
        </w:rPr>
        <w:footnoteRef/>
      </w:r>
      <w:r>
        <w:t xml:space="preserve"> </w:t>
      </w:r>
      <w:r>
        <w:t xml:space="preserve">Branch 2022, PMID 36073143.</w:t>
      </w:r>
    </w:p>
  </w:footnote>
  <w:footnote w:id="364">
    <w:p>
      <w:pPr>
        <w:pStyle w:val="FootnoteText"/>
      </w:pPr>
      <w:r>
        <w:rPr>
          <w:rStyle w:val="FootnoteReference"/>
        </w:rPr>
        <w:footnoteRef/>
      </w:r>
      <w:r>
        <w:t xml:space="preserve"> </w:t>
      </w:r>
      <w:r>
        <w:t xml:space="preserve">Raubenheimer 2022, PMID 34984808.</w:t>
      </w:r>
    </w:p>
  </w:footnote>
  <w:footnote w:id="366">
    <w:p>
      <w:pPr>
        <w:pStyle w:val="FootnoteText"/>
      </w:pPr>
      <w:r>
        <w:rPr>
          <w:rStyle w:val="FootnoteReference"/>
        </w:rPr>
        <w:footnoteRef/>
      </w:r>
      <w:r>
        <w:t xml:space="preserve"> </w:t>
      </w:r>
      <w:r>
        <w:t xml:space="preserve">Nicholls 2025, PMID 41406444.</w:t>
      </w:r>
    </w:p>
  </w:footnote>
  <w:footnote w:id="367">
    <w:p>
      <w:pPr>
        <w:pStyle w:val="FootnoteText"/>
      </w:pPr>
      <w:r>
        <w:rPr>
          <w:rStyle w:val="FootnoteReference"/>
        </w:rPr>
        <w:footnoteRef/>
      </w:r>
      <w:r>
        <w:t xml:space="preserve"> </w:t>
      </w:r>
      <w:r>
        <w:t xml:space="preserve">Nissen 2026, PMID 41903177.</w:t>
      </w:r>
    </w:p>
  </w:footnote>
  <w:footnote w:id="369">
    <w:p>
      <w:pPr>
        <w:pStyle w:val="FootnoteText"/>
      </w:pPr>
      <w:r>
        <w:rPr>
          <w:rStyle w:val="FootnoteReference"/>
        </w:rPr>
        <w:footnoteRef/>
      </w:r>
      <w:r>
        <w:t xml:space="preserve"> </w:t>
      </w:r>
      <w:r>
        <w:t xml:space="preserve">Matfin 2015, PMID 25901022.</w:t>
      </w:r>
    </w:p>
  </w:footnote>
  <w:footnote w:id="370">
    <w:p>
      <w:pPr>
        <w:pStyle w:val="FootnoteText"/>
      </w:pPr>
      <w:r>
        <w:rPr>
          <w:rStyle w:val="FootnoteReference"/>
        </w:rPr>
        <w:footnoteRef/>
      </w:r>
      <w:r>
        <w:t xml:space="preserve"> </w:t>
      </w:r>
      <w:r>
        <w:t xml:space="preserve">Matza 2020, PMID 31646727.</w:t>
      </w:r>
    </w:p>
  </w:footnote>
  <w:footnote w:id="372">
    <w:p>
      <w:pPr>
        <w:pStyle w:val="FootnoteText"/>
      </w:pPr>
      <w:r>
        <w:rPr>
          <w:rStyle w:val="FootnoteReference"/>
        </w:rPr>
        <w:footnoteRef/>
      </w:r>
      <w:r>
        <w:t xml:space="preserve"> </w:t>
      </w:r>
      <w:r>
        <w:t xml:space="preserve">Arslanian 2022, PMID 35658022.</w:t>
      </w:r>
    </w:p>
  </w:footnote>
  <w:footnote w:id="374">
    <w:p>
      <w:pPr>
        <w:pStyle w:val="FootnoteText"/>
      </w:pPr>
      <w:r>
        <w:rPr>
          <w:rStyle w:val="FootnoteReference"/>
        </w:rPr>
        <w:footnoteRef/>
      </w:r>
      <w:r>
        <w:t xml:space="preserve"> </w:t>
      </w:r>
      <w:r>
        <w:t xml:space="preserve">Lüthi 2024, PMID 38371479.</w:t>
      </w:r>
    </w:p>
  </w:footnote>
  <w:footnote w:id="375">
    <w:p>
      <w:pPr>
        <w:pStyle w:val="FootnoteText"/>
      </w:pPr>
      <w:r>
        <w:rPr>
          <w:rStyle w:val="FootnoteReference"/>
        </w:rPr>
        <w:footnoteRef/>
      </w:r>
      <w:r>
        <w:t xml:space="preserve"> </w:t>
      </w:r>
      <w:r>
        <w:t xml:space="preserve">Probst 2023, PMID 37991022.</w:t>
      </w:r>
    </w:p>
  </w:footnote>
  <w:footnote w:id="376">
    <w:p>
      <w:pPr>
        <w:pStyle w:val="FootnoteText"/>
      </w:pPr>
      <w:r>
        <w:rPr>
          <w:rStyle w:val="FootnoteReference"/>
        </w:rPr>
        <w:footnoteRef/>
      </w:r>
      <w:r>
        <w:t xml:space="preserve"> </w:t>
      </w:r>
      <w:r>
        <w:t xml:space="preserve">Winzeler 2021, PMID 34473645.</w:t>
      </w:r>
    </w:p>
  </w:footnote>
  <w:footnote w:id="379">
    <w:p>
      <w:pPr>
        <w:pStyle w:val="FootnoteText"/>
      </w:pPr>
      <w:r>
        <w:rPr>
          <w:rStyle w:val="FootnoteReference"/>
        </w:rPr>
        <w:footnoteRef/>
      </w:r>
      <w:r>
        <w:t xml:space="preserve"> </w:t>
      </w:r>
      <w:r>
        <w:t xml:space="preserve">Glaesner 2010, PMID 20503261.</w:t>
      </w:r>
    </w:p>
  </w:footnote>
  <w:footnote w:id="380">
    <w:p>
      <w:pPr>
        <w:pStyle w:val="FootnoteText"/>
      </w:pPr>
      <w:r>
        <w:rPr>
          <w:rStyle w:val="FootnoteReference"/>
        </w:rPr>
        <w:footnoteRef/>
      </w:r>
      <w:r>
        <w:t xml:space="preserve"> </w:t>
      </w:r>
      <w:r>
        <w:t xml:space="preserve">Bjerre Knudsen 2010, PMID 20203154.</w:t>
      </w:r>
    </w:p>
  </w:footnote>
  <w:footnote w:id="382">
    <w:p>
      <w:pPr>
        <w:pStyle w:val="FootnoteText"/>
      </w:pPr>
      <w:r>
        <w:rPr>
          <w:rStyle w:val="FootnoteReference"/>
        </w:rPr>
        <w:footnoteRef/>
      </w:r>
      <w:r>
        <w:t xml:space="preserve"> </w:t>
      </w:r>
      <w:r>
        <w:t xml:space="preserve">Gerstein 2019, PMID 31189511.</w:t>
      </w:r>
    </w:p>
  </w:footnote>
  <w:footnote w:id="383">
    <w:p>
      <w:pPr>
        <w:pStyle w:val="FootnoteText"/>
      </w:pPr>
      <w:r>
        <w:rPr>
          <w:rStyle w:val="FootnoteReference"/>
        </w:rPr>
        <w:footnoteRef/>
      </w:r>
      <w:r>
        <w:t xml:space="preserve"> </w:t>
      </w:r>
      <w:r>
        <w:t xml:space="preserve">Frias 2021, PMID 33397768.</w:t>
      </w:r>
    </w:p>
  </w:footnote>
  <w:footnote w:id="384">
    <w:p>
      <w:pPr>
        <w:pStyle w:val="FootnoteText"/>
      </w:pPr>
      <w:r>
        <w:rPr>
          <w:rStyle w:val="FootnoteReference"/>
        </w:rPr>
        <w:footnoteRef/>
      </w:r>
      <w:r>
        <w:t xml:space="preserve"> </w:t>
      </w:r>
      <w:r>
        <w:t xml:space="preserve">Giorgino 2015, PMID 26089386.</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Milicevic 2016, PMID 26847401.</w:t>
      </w:r>
    </w:p>
  </w:footnote>
  <w:footnote w:id="387">
    <w:p>
      <w:pPr>
        <w:pStyle w:val="FootnoteText"/>
      </w:pPr>
      <w:r>
        <w:rPr>
          <w:rStyle w:val="FootnoteReference"/>
        </w:rPr>
        <w:footnoteRef/>
      </w:r>
      <w:r>
        <w:t xml:space="preserve"> </w:t>
      </w:r>
      <w:r>
        <w:t xml:space="preserve">He 2022, PMID 35344001.</w:t>
      </w:r>
    </w:p>
  </w:footnote>
  <w:footnote w:id="388">
    <w:p>
      <w:pPr>
        <w:pStyle w:val="FootnoteText"/>
      </w:pPr>
      <w:r>
        <w:rPr>
          <w:rStyle w:val="FootnoteReference"/>
        </w:rPr>
        <w:footnoteRef/>
      </w:r>
      <w:r>
        <w:t xml:space="preserve"> </w:t>
      </w:r>
      <w:r>
        <w:t xml:space="preserve">Kristensen 2019, PMID 31422062.</w:t>
      </w:r>
    </w:p>
  </w:footnote>
  <w:footnote w:id="389">
    <w:p>
      <w:pPr>
        <w:pStyle w:val="FootnoteText"/>
      </w:pPr>
      <w:r>
        <w:rPr>
          <w:rStyle w:val="FootnoteReference"/>
        </w:rPr>
        <w:footnoteRef/>
      </w:r>
      <w:r>
        <w:t xml:space="preserve"> </w:t>
      </w:r>
      <w:r>
        <w:t xml:space="preserve">Silverii 2025, PMID 40437949.</w:t>
      </w:r>
    </w:p>
  </w:footnote>
  <w:footnote w:id="390">
    <w:p>
      <w:pPr>
        <w:pStyle w:val="FootnoteText"/>
      </w:pPr>
      <w:r>
        <w:rPr>
          <w:rStyle w:val="FootnoteReference"/>
        </w:rPr>
        <w:footnoteRef/>
      </w:r>
      <w:r>
        <w:t xml:space="preserve"> </w:t>
      </w:r>
      <w:r>
        <w:t xml:space="preserve">NCT07276763.</w:t>
      </w:r>
    </w:p>
  </w:footnote>
  <w:footnote w:id="393">
    <w:p>
      <w:pPr>
        <w:pStyle w:val="FootnoteText"/>
      </w:pPr>
      <w:r>
        <w:rPr>
          <w:rStyle w:val="FootnoteReference"/>
        </w:rPr>
        <w:footnoteRef/>
      </w:r>
      <w:r>
        <w:t xml:space="preserve"> </w:t>
      </w:r>
      <w:r>
        <w:t xml:space="preserve">NCT06739122.</w:t>
      </w:r>
    </w:p>
  </w:footnote>
  <w:footnote w:id="394">
    <w:p>
      <w:pPr>
        <w:pStyle w:val="FootnoteText"/>
      </w:pPr>
      <w:r>
        <w:rPr>
          <w:rStyle w:val="FootnoteReference"/>
        </w:rPr>
        <w:footnoteRef/>
      </w:r>
      <w:r>
        <w:t xml:space="preserve"> </w:t>
      </w:r>
      <w:r>
        <w:t xml:space="preserve">NCT07668336.</w:t>
      </w:r>
    </w:p>
  </w:footnote>
  <w:footnote w:id="395">
    <w:p>
      <w:pPr>
        <w:pStyle w:val="FootnoteText"/>
      </w:pPr>
      <w:r>
        <w:rPr>
          <w:rStyle w:val="FootnoteReference"/>
        </w:rPr>
        <w:footnoteRef/>
      </w:r>
      <w:r>
        <w:t xml:space="preserve"> </w:t>
      </w:r>
      <w:r>
        <w:t xml:space="preserve">NCT07282041.</w:t>
      </w:r>
    </w:p>
  </w:footnote>
  <w:footnote w:id="396">
    <w:p>
      <w:pPr>
        <w:pStyle w:val="FootnoteText"/>
      </w:pPr>
      <w:r>
        <w:rPr>
          <w:rStyle w:val="FootnoteReference"/>
        </w:rPr>
        <w:footnoteRef/>
      </w:r>
      <w:r>
        <w:t xml:space="preserve"> </w:t>
      </w:r>
      <w:r>
        <w:t xml:space="preserve">NCT06324461.</w:t>
      </w:r>
    </w:p>
  </w:footnote>
  <w:footnote w:id="397">
    <w:p>
      <w:pPr>
        <w:pStyle w:val="FootnoteText"/>
      </w:pPr>
      <w:r>
        <w:rPr>
          <w:rStyle w:val="FootnoteReference"/>
        </w:rPr>
        <w:footnoteRef/>
      </w:r>
      <w:r>
        <w:t xml:space="preserve"> </w:t>
      </w:r>
      <w:r>
        <w:t xml:space="preserve">NCT04731272.</w:t>
      </w:r>
    </w:p>
  </w:footnote>
  <w:footnote w:id="398">
    <w:p>
      <w:pPr>
        <w:pStyle w:val="FootnoteText"/>
      </w:pPr>
      <w:r>
        <w:rPr>
          <w:rStyle w:val="FootnoteReference"/>
        </w:rPr>
        <w:footnoteRef/>
      </w:r>
      <w:r>
        <w:t xml:space="preserve"> </w:t>
      </w:r>
      <w:r>
        <w:t xml:space="preserve">NCT06257966.</w:t>
      </w:r>
    </w:p>
  </w:footnote>
  <w:footnote w:id="402">
    <w:p>
      <w:pPr>
        <w:pStyle w:val="FootnoteText"/>
      </w:pPr>
      <w:r>
        <w:rPr>
          <w:rStyle w:val="FootnoteReference"/>
        </w:rPr>
        <w:footnoteRef/>
      </w:r>
      <w:r>
        <w:t xml:space="preserve"> </w:t>
      </w:r>
      <w:r>
        <w:t xml:space="preserve">Lau 2015, PMID 26308095.</w:t>
      </w:r>
    </w:p>
  </w:footnote>
  <w:footnote w:id="404">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Buckley 2018, PMID 30429357.</w:t>
      </w:r>
    </w:p>
  </w:footnote>
  <w:footnote w:id="407">
    <w:p>
      <w:pPr>
        <w:pStyle w:val="FootnoteText"/>
      </w:pPr>
      <w:r>
        <w:rPr>
          <w:rStyle w:val="FootnoteReference"/>
        </w:rPr>
        <w:footnoteRef/>
      </w:r>
      <w:r>
        <w:t xml:space="preserve"> </w:t>
      </w:r>
      <w:r>
        <w:t xml:space="preserve">Sorli 2017, PMID 28110911.</w:t>
      </w:r>
    </w:p>
  </w:footnote>
  <w:footnote w:id="408">
    <w:p>
      <w:pPr>
        <w:pStyle w:val="FootnoteText"/>
      </w:pPr>
      <w:r>
        <w:rPr>
          <w:rStyle w:val="FootnoteReference"/>
        </w:rPr>
        <w:footnoteRef/>
      </w:r>
      <w:r>
        <w:t xml:space="preserve"> </w:t>
      </w:r>
      <w:r>
        <w:t xml:space="preserve">Frías 2021, PMID 34293304.</w:t>
      </w:r>
    </w:p>
  </w:footnote>
  <w:footnote w:id="409">
    <w:p>
      <w:pPr>
        <w:pStyle w:val="FootnoteText"/>
      </w:pPr>
      <w:r>
        <w:rPr>
          <w:rStyle w:val="FootnoteReference"/>
        </w:rPr>
        <w:footnoteRef/>
      </w:r>
      <w:r>
        <w:t xml:space="preserve"> </w:t>
      </w:r>
      <w:r>
        <w:t xml:space="preserve">Marso 2016, PMID 27633186.</w:t>
      </w:r>
    </w:p>
  </w:footnote>
  <w:footnote w:id="411">
    <w:p>
      <w:pPr>
        <w:pStyle w:val="FootnoteText"/>
      </w:pPr>
      <w:r>
        <w:rPr>
          <w:rStyle w:val="FootnoteReference"/>
        </w:rPr>
        <w:footnoteRef/>
      </w:r>
      <w:r>
        <w:t xml:space="preserve"> </w:t>
      </w:r>
      <w:r>
        <w:t xml:space="preserve">Rubino 2022, PMID 35015037.</w:t>
      </w:r>
    </w:p>
  </w:footnote>
  <w:footnote w:id="412">
    <w:p>
      <w:pPr>
        <w:pStyle w:val="FootnoteText"/>
      </w:pPr>
      <w:r>
        <w:rPr>
          <w:rStyle w:val="FootnoteReference"/>
        </w:rPr>
        <w:footnoteRef/>
      </w:r>
      <w:r>
        <w:t xml:space="preserve"> </w:t>
      </w:r>
      <w:r>
        <w:t xml:space="preserve">Capehorn 2020, PMID 31539622.</w:t>
      </w:r>
    </w:p>
  </w:footnote>
  <w:footnote w:id="413">
    <w:p>
      <w:pPr>
        <w:pStyle w:val="FootnoteText"/>
      </w:pPr>
      <w:r>
        <w:rPr>
          <w:rStyle w:val="FootnoteReference"/>
        </w:rPr>
        <w:footnoteRef/>
      </w:r>
      <w:r>
        <w:t xml:space="preserve"> </w:t>
      </w:r>
      <w:r>
        <w:t xml:space="preserve">Ahmann 2018, PMID 29246950.</w:t>
      </w:r>
    </w:p>
  </w:footnote>
  <w:footnote w:id="414">
    <w:p>
      <w:pPr>
        <w:pStyle w:val="FootnoteText"/>
      </w:pPr>
      <w:r>
        <w:rPr>
          <w:rStyle w:val="FootnoteReference"/>
        </w:rPr>
        <w:footnoteRef/>
      </w:r>
      <w:r>
        <w:t xml:space="preserve"> </w:t>
      </w:r>
      <w:r>
        <w:t xml:space="preserve">Pratley 2019, PMID 31186120.</w:t>
      </w:r>
    </w:p>
  </w:footnote>
  <w:footnote w:id="415">
    <w:p>
      <w:pPr>
        <w:pStyle w:val="FootnoteText"/>
      </w:pPr>
      <w:r>
        <w:rPr>
          <w:rStyle w:val="FootnoteReference"/>
        </w:rPr>
        <w:footnoteRef/>
      </w:r>
      <w:r>
        <w:t xml:space="preserve"> </w:t>
      </w:r>
      <w:r>
        <w:t xml:space="preserve">Aronne 2025, PMID 40353578.</w:t>
      </w:r>
    </w:p>
  </w:footnote>
  <w:footnote w:id="417">
    <w:p>
      <w:pPr>
        <w:pStyle w:val="FootnoteText"/>
      </w:pPr>
      <w:r>
        <w:rPr>
          <w:rStyle w:val="FootnoteReference"/>
        </w:rPr>
        <w:footnoteRef/>
      </w:r>
      <w:r>
        <w:t xml:space="preserve"> </w:t>
      </w:r>
      <w:r>
        <w:t xml:space="preserve">Aroda 2023, PMID 37385279.</w:t>
      </w:r>
    </w:p>
  </w:footnote>
  <w:footnote w:id="418">
    <w:p>
      <w:pPr>
        <w:pStyle w:val="FootnoteText"/>
      </w:pPr>
      <w:r>
        <w:rPr>
          <w:rStyle w:val="FootnoteReference"/>
        </w:rPr>
        <w:footnoteRef/>
      </w:r>
      <w:r>
        <w:t xml:space="preserve"> </w:t>
      </w:r>
      <w:r>
        <w:t xml:space="preserve">Husain 2019, PMID 31185157.</w:t>
      </w:r>
    </w:p>
  </w:footnote>
  <w:footnote w:id="419">
    <w:p>
      <w:pPr>
        <w:pStyle w:val="FootnoteText"/>
      </w:pPr>
      <w:r>
        <w:rPr>
          <w:rStyle w:val="FootnoteReference"/>
        </w:rPr>
        <w:footnoteRef/>
      </w:r>
      <w:r>
        <w:t xml:space="preserve"> </w:t>
      </w:r>
      <w:r>
        <w:t xml:space="preserve">McGuire 2025, PMID 40162642.</w:t>
      </w:r>
    </w:p>
  </w:footnote>
  <w:footnote w:id="421">
    <w:p>
      <w:pPr>
        <w:pStyle w:val="FootnoteText"/>
      </w:pPr>
      <w:r>
        <w:rPr>
          <w:rStyle w:val="FootnoteReference"/>
        </w:rPr>
        <w:footnoteRef/>
      </w:r>
      <w:r>
        <w:t xml:space="preserve"> </w:t>
      </w:r>
      <w:r>
        <w:t xml:space="preserve">Wilding 2021, PMID 33567185.</w:t>
      </w:r>
    </w:p>
  </w:footnote>
  <w:footnote w:id="422">
    <w:p>
      <w:pPr>
        <w:pStyle w:val="FootnoteText"/>
      </w:pPr>
      <w:r>
        <w:rPr>
          <w:rStyle w:val="FootnoteReference"/>
        </w:rPr>
        <w:footnoteRef/>
      </w:r>
      <w:r>
        <w:t xml:space="preserve"> </w:t>
      </w:r>
      <w:r>
        <w:t xml:space="preserve">Garvey 2022, PMID 36216945.</w:t>
      </w:r>
    </w:p>
  </w:footnote>
  <w:footnote w:id="423">
    <w:p>
      <w:pPr>
        <w:pStyle w:val="FootnoteText"/>
      </w:pPr>
      <w:r>
        <w:rPr>
          <w:rStyle w:val="FootnoteReference"/>
        </w:rPr>
        <w:footnoteRef/>
      </w:r>
      <w:r>
        <w:t xml:space="preserve"> </w:t>
      </w:r>
      <w:r>
        <w:t xml:space="preserve">Rubino 2021, PMID 33755728.</w:t>
      </w:r>
    </w:p>
  </w:footnote>
  <w:footnote w:id="424">
    <w:p>
      <w:pPr>
        <w:pStyle w:val="FootnoteText"/>
      </w:pPr>
      <w:r>
        <w:rPr>
          <w:rStyle w:val="FootnoteReference"/>
        </w:rPr>
        <w:footnoteRef/>
      </w:r>
      <w:r>
        <w:t xml:space="preserve"> </w:t>
      </w:r>
      <w:r>
        <w:t xml:space="preserve">Wilding 2022, PMID 35441470.</w:t>
      </w:r>
    </w:p>
  </w:footnote>
  <w:footnote w:id="425">
    <w:p>
      <w:pPr>
        <w:pStyle w:val="FootnoteText"/>
      </w:pPr>
      <w:r>
        <w:rPr>
          <w:rStyle w:val="FootnoteReference"/>
        </w:rPr>
        <w:footnoteRef/>
      </w:r>
      <w:r>
        <w:t xml:space="preserve"> </w:t>
      </w:r>
      <w:r>
        <w:t xml:space="preserve">Wharton 2025, PMID 40961952.</w:t>
      </w:r>
    </w:p>
  </w:footnote>
  <w:footnote w:id="427">
    <w:p>
      <w:pPr>
        <w:pStyle w:val="FootnoteText"/>
      </w:pPr>
      <w:r>
        <w:rPr>
          <w:rStyle w:val="FootnoteReference"/>
        </w:rPr>
        <w:footnoteRef/>
      </w:r>
      <w:r>
        <w:t xml:space="preserve"> </w:t>
      </w:r>
      <w:r>
        <w:t xml:space="preserve">Knop 2023, PMID 37385278; Wharton 2025, PMID 40934115.</w:t>
      </w:r>
    </w:p>
  </w:footnote>
  <w:footnote w:id="429">
    <w:p>
      <w:pPr>
        <w:pStyle w:val="FootnoteText"/>
      </w:pPr>
      <w:r>
        <w:rPr>
          <w:rStyle w:val="FootnoteReference"/>
        </w:rPr>
        <w:footnoteRef/>
      </w:r>
      <w:r>
        <w:t xml:space="preserve"> </w:t>
      </w:r>
      <w:r>
        <w:t xml:space="preserve">Weghuber 2022, PMID 36322838.</w:t>
      </w:r>
    </w:p>
  </w:footnote>
  <w:footnote w:id="430">
    <w:p>
      <w:pPr>
        <w:pStyle w:val="FootnoteText"/>
      </w:pPr>
      <w:r>
        <w:rPr>
          <w:rStyle w:val="FootnoteReference"/>
        </w:rPr>
        <w:footnoteRef/>
      </w:r>
      <w:r>
        <w:t xml:space="preserve"> </w:t>
      </w:r>
      <w:r>
        <w:t xml:space="preserve">NCT05726227.</w:t>
      </w:r>
    </w:p>
  </w:footnote>
  <w:footnote w:id="432">
    <w:p>
      <w:pPr>
        <w:pStyle w:val="FootnoteText"/>
      </w:pPr>
      <w:r>
        <w:rPr>
          <w:rStyle w:val="FootnoteReference"/>
        </w:rPr>
        <w:footnoteRef/>
      </w:r>
      <w:r>
        <w:t xml:space="preserve"> </w:t>
      </w:r>
      <w:r>
        <w:t xml:space="preserve">Lincoff 2023, PMID 37952131.</w:t>
      </w:r>
    </w:p>
  </w:footnote>
  <w:footnote w:id="434">
    <w:p>
      <w:pPr>
        <w:pStyle w:val="FootnoteText"/>
      </w:pPr>
      <w:r>
        <w:rPr>
          <w:rStyle w:val="FootnoteReference"/>
        </w:rPr>
        <w:footnoteRef/>
      </w:r>
      <w:r>
        <w:t xml:space="preserve"> </w:t>
      </w:r>
      <w:r>
        <w:t xml:space="preserve">Perkovic 2024, PMID 38785209.</w:t>
      </w:r>
    </w:p>
  </w:footnote>
  <w:footnote w:id="436">
    <w:p>
      <w:pPr>
        <w:pStyle w:val="FootnoteText"/>
      </w:pPr>
      <w:r>
        <w:rPr>
          <w:rStyle w:val="FootnoteReference"/>
        </w:rPr>
        <w:footnoteRef/>
      </w:r>
      <w:r>
        <w:t xml:space="preserve"> </w:t>
      </w:r>
      <w:r>
        <w:t xml:space="preserve">Sanyal 2025, PMID 40305708.</w:t>
      </w:r>
    </w:p>
  </w:footnote>
  <w:footnote w:id="437">
    <w:p>
      <w:pPr>
        <w:pStyle w:val="FootnoteText"/>
      </w:pPr>
      <w:r>
        <w:rPr>
          <w:rStyle w:val="FootnoteReference"/>
        </w:rPr>
        <w:footnoteRef/>
      </w:r>
      <w:r>
        <w:t xml:space="preserve"> </w:t>
      </w:r>
      <w:r>
        <w:t xml:space="preserve">NCT04822181.</w:t>
      </w:r>
    </w:p>
  </w:footnote>
  <w:footnote w:id="438">
    <w:p>
      <w:pPr>
        <w:pStyle w:val="FootnoteText"/>
      </w:pPr>
      <w:r>
        <w:rPr>
          <w:rStyle w:val="FootnoteReference"/>
        </w:rPr>
        <w:footnoteRef/>
      </w:r>
      <w:r>
        <w:t xml:space="preserve"> </w:t>
      </w:r>
      <w:r>
        <w:t xml:space="preserve">Kosiborod 2023, PMID 37622681.</w:t>
      </w:r>
    </w:p>
  </w:footnote>
  <w:footnote w:id="439">
    <w:p>
      <w:pPr>
        <w:pStyle w:val="FootnoteText"/>
      </w:pPr>
      <w:r>
        <w:rPr>
          <w:rStyle w:val="FootnoteReference"/>
        </w:rPr>
        <w:footnoteRef/>
      </w:r>
      <w:r>
        <w:t xml:space="preserve"> </w:t>
      </w:r>
      <w:r>
        <w:t xml:space="preserve">Bonaca 2025, PMID 40169145.</w:t>
      </w:r>
    </w:p>
  </w:footnote>
  <w:footnote w:id="440">
    <w:p>
      <w:pPr>
        <w:pStyle w:val="FootnoteText"/>
      </w:pPr>
      <w:r>
        <w:rPr>
          <w:rStyle w:val="FootnoteReference"/>
        </w:rPr>
        <w:footnoteRef/>
      </w:r>
      <w:r>
        <w:t xml:space="preserve"> </w:t>
      </w:r>
      <w:r>
        <w:t xml:space="preserve">Bliddal 2024, PMID 39476339.</w:t>
      </w:r>
    </w:p>
  </w:footnote>
  <w:footnote w:id="442">
    <w:p>
      <w:pPr>
        <w:pStyle w:val="FootnoteText"/>
      </w:pPr>
      <w:r>
        <w:rPr>
          <w:rStyle w:val="FootnoteReference"/>
        </w:rPr>
        <w:footnoteRef/>
      </w:r>
      <w:r>
        <w:t xml:space="preserve"> </w:t>
      </w:r>
      <w:r>
        <w:t xml:space="preserve">Cummings 2026, PMID 41865758.</w:t>
      </w:r>
    </w:p>
  </w:footnote>
  <w:footnote w:id="443">
    <w:p>
      <w:pPr>
        <w:pStyle w:val="FootnoteText"/>
      </w:pPr>
      <w:r>
        <w:rPr>
          <w:rStyle w:val="FootnoteReference"/>
        </w:rPr>
        <w:footnoteRef/>
      </w:r>
      <w:r>
        <w:t xml:space="preserve"> </w:t>
      </w:r>
      <w:r>
        <w:t xml:space="preserve">Schneider 2026, PMID 41865757.</w:t>
      </w:r>
    </w:p>
  </w:footnote>
  <w:footnote w:id="444">
    <w:p>
      <w:pPr>
        <w:pStyle w:val="FootnoteText"/>
      </w:pPr>
      <w:r>
        <w:rPr>
          <w:rStyle w:val="FootnoteReference"/>
        </w:rPr>
        <w:footnoteRef/>
      </w:r>
      <w:r>
        <w:t xml:space="preserve"> </w:t>
      </w:r>
      <w:r>
        <w:t xml:space="preserve">Hendershot 2025, PMID 39937469.</w:t>
      </w:r>
    </w:p>
  </w:footnote>
  <w:footnote w:id="445">
    <w:p>
      <w:pPr>
        <w:pStyle w:val="FootnoteText"/>
      </w:pPr>
      <w:r>
        <w:rPr>
          <w:rStyle w:val="FootnoteReference"/>
        </w:rPr>
        <w:footnoteRef/>
      </w:r>
      <w:r>
        <w:t xml:space="preserve"> </w:t>
      </w:r>
      <w:r>
        <w:t xml:space="preserve">Lähteenvuo 2025, PMID 39535805.</w:t>
      </w:r>
    </w:p>
  </w:footnote>
  <w:footnote w:id="448">
    <w:p>
      <w:pPr>
        <w:pStyle w:val="FootnoteText"/>
      </w:pPr>
      <w:r>
        <w:rPr>
          <w:rStyle w:val="FootnoteReference"/>
        </w:rPr>
        <w:footnoteRef/>
      </w:r>
      <w:r>
        <w:t xml:space="preserve"> </w:t>
      </w:r>
      <w:r>
        <w:t xml:space="preserve">Lau 2015, PMID 26308095.</w:t>
      </w:r>
    </w:p>
  </w:footnote>
  <w:footnote w:id="449">
    <w:p>
      <w:pPr>
        <w:pStyle w:val="FootnoteText"/>
      </w:pPr>
      <w:r>
        <w:rPr>
          <w:rStyle w:val="FootnoteReference"/>
        </w:rPr>
        <w:footnoteRef/>
      </w:r>
      <w:r>
        <w:t xml:space="preserve"> </w:t>
      </w:r>
      <w:r>
        <w:t xml:space="preserve">Buckley 2018, PMID 30429357.</w:t>
      </w:r>
    </w:p>
  </w:footnote>
  <w:footnote w:id="450">
    <w:p>
      <w:pPr>
        <w:pStyle w:val="FootnoteText"/>
      </w:pPr>
      <w:r>
        <w:rPr>
          <w:rStyle w:val="FootnoteReference"/>
        </w:rPr>
        <w:footnoteRef/>
      </w:r>
      <w:r>
        <w:t xml:space="preserve"> </w:t>
      </w:r>
      <w:r>
        <w:t xml:space="preserve">Bjerre Knudsen 2010, PMID 20203154.</w:t>
      </w:r>
    </w:p>
  </w:footnote>
  <w:footnote w:id="452">
    <w:p>
      <w:pPr>
        <w:pStyle w:val="FootnoteText"/>
      </w:pPr>
      <w:r>
        <w:rPr>
          <w:rStyle w:val="FootnoteReference"/>
        </w:rPr>
        <w:footnoteRef/>
      </w:r>
      <w:r>
        <w:t xml:space="preserve"> </w:t>
      </w:r>
      <w:r>
        <w:t xml:space="preserve">Wilding 2021, PMID 33567185.</w:t>
      </w:r>
    </w:p>
  </w:footnote>
  <w:footnote w:id="453">
    <w:p>
      <w:pPr>
        <w:pStyle w:val="FootnoteText"/>
      </w:pPr>
      <w:r>
        <w:rPr>
          <w:rStyle w:val="FootnoteReference"/>
        </w:rPr>
        <w:footnoteRef/>
      </w:r>
      <w:r>
        <w:t xml:space="preserve"> </w:t>
      </w:r>
      <w:r>
        <w:t xml:space="preserve">He 2022, PMID 35344001.</w:t>
      </w:r>
    </w:p>
  </w:footnote>
  <w:footnote w:id="454">
    <w:p>
      <w:pPr>
        <w:pStyle w:val="FootnoteText"/>
      </w:pPr>
      <w:r>
        <w:rPr>
          <w:rStyle w:val="FootnoteReference"/>
        </w:rPr>
        <w:footnoteRef/>
      </w:r>
      <w:r>
        <w:t xml:space="preserve"> </w:t>
      </w:r>
      <w:r>
        <w:t xml:space="preserve">Weghuber 2022, PMID 36322838.</w:t>
      </w:r>
    </w:p>
  </w:footnote>
  <w:footnote w:id="455">
    <w:p>
      <w:pPr>
        <w:pStyle w:val="FootnoteText"/>
      </w:pPr>
      <w:r>
        <w:rPr>
          <w:rStyle w:val="FootnoteReference"/>
        </w:rPr>
        <w:footnoteRef/>
      </w:r>
      <w:r>
        <w:t xml:space="preserve"> </w:t>
      </w:r>
      <w:r>
        <w:t xml:space="preserve">Marso 2016, PMID 27633186.</w:t>
      </w:r>
    </w:p>
  </w:footnote>
  <w:footnote w:id="456">
    <w:p>
      <w:pPr>
        <w:pStyle w:val="FootnoteText"/>
      </w:pPr>
      <w:r>
        <w:rPr>
          <w:rStyle w:val="FootnoteReference"/>
        </w:rPr>
        <w:footnoteRef/>
      </w:r>
      <w:r>
        <w:t xml:space="preserve"> </w:t>
      </w:r>
      <w:r>
        <w:t xml:space="preserve">NCT03811561.</w:t>
      </w:r>
    </w:p>
  </w:footnote>
  <w:footnote w:id="457">
    <w:p>
      <w:pPr>
        <w:pStyle w:val="FootnoteText"/>
      </w:pPr>
      <w:r>
        <w:rPr>
          <w:rStyle w:val="FootnoteReference"/>
        </w:rPr>
        <w:footnoteRef/>
      </w:r>
      <w:r>
        <w:t xml:space="preserve"> </w:t>
      </w:r>
      <w:r>
        <w:t xml:space="preserve">Hathaway 2024, PMID 38958939.</w:t>
      </w:r>
    </w:p>
  </w:footnote>
  <w:footnote w:id="458">
    <w:p>
      <w:pPr>
        <w:pStyle w:val="FootnoteText"/>
      </w:pPr>
      <w:r>
        <w:rPr>
          <w:rStyle w:val="FootnoteReference"/>
        </w:rPr>
        <w:footnoteRef/>
      </w:r>
      <w:r>
        <w:t xml:space="preserve"> </w:t>
      </w:r>
      <w:r>
        <w:t xml:space="preserve">Simonsen 2025, PMID 40098249.</w:t>
      </w:r>
    </w:p>
  </w:footnote>
  <w:footnote w:id="459">
    <w:p>
      <w:pPr>
        <w:pStyle w:val="FootnoteText"/>
      </w:pPr>
      <w:r>
        <w:rPr>
          <w:rStyle w:val="FootnoteReference"/>
        </w:rPr>
        <w:footnoteRef/>
      </w:r>
      <w:r>
        <w:t xml:space="preserve"> </w:t>
      </w:r>
      <w:r>
        <w:t xml:space="preserve">Liu 2026, PMID 41475544.</w:t>
      </w:r>
    </w:p>
  </w:footnote>
  <w:footnote w:id="460">
    <w:p>
      <w:pPr>
        <w:pStyle w:val="FootnoteText"/>
      </w:pPr>
      <w:r>
        <w:rPr>
          <w:rStyle w:val="FootnoteReference"/>
        </w:rPr>
        <w:footnoteRef/>
      </w:r>
      <w:r>
        <w:t xml:space="preserve"> </w:t>
      </w:r>
      <w:r>
        <w:t xml:space="preserve">Sodhi 2023, PMID 37796527.</w:t>
      </w:r>
    </w:p>
  </w:footnote>
  <w:footnote w:id="461">
    <w:p>
      <w:pPr>
        <w:pStyle w:val="FootnoteText"/>
      </w:pPr>
      <w:r>
        <w:rPr>
          <w:rStyle w:val="FootnoteReference"/>
        </w:rPr>
        <w:footnoteRef/>
      </w:r>
      <w:r>
        <w:t xml:space="preserve"> </w:t>
      </w:r>
      <w:r>
        <w:t xml:space="preserve">Bezin 2023, PMID 36356111; Silverii 2025, PMID 40437949.</w:t>
      </w:r>
    </w:p>
  </w:footnote>
  <w:footnote w:id="462">
    <w:p>
      <w:pPr>
        <w:pStyle w:val="FootnoteText"/>
      </w:pPr>
      <w:r>
        <w:rPr>
          <w:rStyle w:val="FootnoteReference"/>
        </w:rPr>
        <w:footnoteRef/>
      </w:r>
      <w:r>
        <w:t xml:space="preserve"> </w:t>
      </w:r>
      <w:r>
        <w:t xml:space="preserve">Wang 2024, PMID 38182782.</w:t>
      </w:r>
    </w:p>
  </w:footnote>
  <w:footnote w:id="464">
    <w:p>
      <w:pPr>
        <w:pStyle w:val="FootnoteText"/>
      </w:pPr>
      <w:r>
        <w:rPr>
          <w:rStyle w:val="FootnoteReference"/>
        </w:rPr>
        <w:footnoteRef/>
      </w:r>
      <w:r>
        <w:t xml:space="preserve"> </w:t>
      </w:r>
      <w:r>
        <w:t xml:space="preserve">Lambson 2023, PMID 37392810.</w:t>
      </w:r>
    </w:p>
  </w:footnote>
  <w:footnote w:id="465">
    <w:p>
      <w:pPr>
        <w:pStyle w:val="FootnoteText"/>
      </w:pPr>
      <w:r>
        <w:rPr>
          <w:rStyle w:val="FootnoteReference"/>
        </w:rPr>
        <w:footnoteRef/>
      </w:r>
      <w:r>
        <w:t xml:space="preserve"> </w:t>
      </w:r>
      <w:r>
        <w:t xml:space="preserve">McCall 2026, PMID 40285721.</w:t>
      </w:r>
    </w:p>
  </w:footnote>
  <w:footnote w:id="466">
    <w:p>
      <w:pPr>
        <w:pStyle w:val="FootnoteText"/>
      </w:pPr>
      <w:r>
        <w:rPr>
          <w:rStyle w:val="FootnoteReference"/>
        </w:rPr>
        <w:footnoteRef/>
      </w:r>
      <w:r>
        <w:t xml:space="preserve"> </w:t>
      </w:r>
      <w:r>
        <w:t xml:space="preserve">Ashraf 2024, PMID 39509151.</w:t>
      </w:r>
    </w:p>
  </w:footnote>
  <w:footnote w:id="469">
    <w:p>
      <w:pPr>
        <w:pStyle w:val="FootnoteText"/>
      </w:pPr>
      <w:r>
        <w:rPr>
          <w:rStyle w:val="FootnoteReference"/>
        </w:rPr>
        <w:footnoteRef/>
      </w:r>
      <w:r>
        <w:t xml:space="preserve"> </w:t>
      </w:r>
      <w:r>
        <w:t xml:space="preserve">NCT03811561.</w:t>
      </w:r>
    </w:p>
  </w:footnote>
  <w:footnote w:id="470">
    <w:p>
      <w:pPr>
        <w:pStyle w:val="FootnoteText"/>
      </w:pPr>
      <w:r>
        <w:rPr>
          <w:rStyle w:val="FootnoteReference"/>
        </w:rPr>
        <w:footnoteRef/>
      </w:r>
      <w:r>
        <w:t xml:space="preserve"> </w:t>
      </w:r>
      <w:r>
        <w:t xml:space="preserve">NCT04822181.</w:t>
      </w:r>
    </w:p>
  </w:footnote>
  <w:footnote w:id="471">
    <w:p>
      <w:pPr>
        <w:pStyle w:val="FootnoteText"/>
      </w:pPr>
      <w:r>
        <w:rPr>
          <w:rStyle w:val="FootnoteReference"/>
        </w:rPr>
        <w:footnoteRef/>
      </w:r>
      <w:r>
        <w:t xml:space="preserve"> </w:t>
      </w:r>
      <w:r>
        <w:t xml:space="preserve">NCT05726227.</w:t>
      </w:r>
    </w:p>
  </w:footnote>
  <w:footnote w:id="472">
    <w:p>
      <w:pPr>
        <w:pStyle w:val="FootnoteText"/>
      </w:pPr>
      <w:r>
        <w:rPr>
          <w:rStyle w:val="FootnoteReference"/>
        </w:rPr>
        <w:footnoteRef/>
      </w:r>
      <w:r>
        <w:t xml:space="preserve"> </w:t>
      </w:r>
      <w:r>
        <w:t xml:space="preserve">NCT07770841.</w:t>
      </w:r>
    </w:p>
  </w:footnote>
  <w:footnote w:id="473">
    <w:p>
      <w:pPr>
        <w:pStyle w:val="FootnoteText"/>
      </w:pPr>
      <w:r>
        <w:rPr>
          <w:rStyle w:val="FootnoteReference"/>
        </w:rPr>
        <w:footnoteRef/>
      </w:r>
      <w:r>
        <w:t xml:space="preserve"> </w:t>
      </w:r>
      <w:r>
        <w:t xml:space="preserve">NCT05669755.</w:t>
      </w:r>
    </w:p>
  </w:footnote>
  <w:footnote w:id="478">
    <w:p>
      <w:pPr>
        <w:pStyle w:val="FootnoteText"/>
      </w:pPr>
      <w:r>
        <w:rPr>
          <w:rStyle w:val="FootnoteReference"/>
        </w:rPr>
        <w:footnoteRef/>
      </w:r>
      <w:r>
        <w:t xml:space="preserve"> </w:t>
      </w:r>
      <w:r>
        <w:t xml:space="preserve">Willard 2020, PMID 32730231.</w:t>
      </w:r>
    </w:p>
  </w:footnote>
  <w:footnote w:id="479">
    <w:p>
      <w:pPr>
        <w:pStyle w:val="FootnoteText"/>
      </w:pPr>
      <w:r>
        <w:rPr>
          <w:rStyle w:val="FootnoteReference"/>
        </w:rPr>
        <w:footnoteRef/>
      </w:r>
      <w:r>
        <w:t xml:space="preserve"> </w:t>
      </w:r>
      <w:r>
        <w:t xml:space="preserve">Samms 2021, PMID 34003802.</w:t>
      </w:r>
    </w:p>
  </w:footnote>
  <w:footnote w:id="480">
    <w:p>
      <w:pPr>
        <w:pStyle w:val="FootnoteText"/>
      </w:pPr>
      <w:r>
        <w:rPr>
          <w:rStyle w:val="FootnoteReference"/>
        </w:rPr>
        <w:footnoteRef/>
      </w:r>
      <w:r>
        <w:t xml:space="preserve"> </w:t>
      </w:r>
      <w:r>
        <w:t xml:space="preserve">Heise 2023, PMID 36857477.</w:t>
      </w:r>
    </w:p>
  </w:footnote>
  <w:footnote w:id="482">
    <w:p>
      <w:pPr>
        <w:pStyle w:val="FootnoteText"/>
      </w:pPr>
      <w:r>
        <w:rPr>
          <w:rStyle w:val="FootnoteReference"/>
        </w:rPr>
        <w:footnoteRef/>
      </w:r>
      <w:r>
        <w:t xml:space="preserve"> </w:t>
      </w:r>
      <w:r>
        <w:t xml:space="preserve">Coskun 2018, PMID 30473097.</w:t>
      </w:r>
    </w:p>
  </w:footnote>
  <w:footnote w:id="483">
    <w:p>
      <w:pPr>
        <w:pStyle w:val="FootnoteText"/>
      </w:pPr>
      <w:r>
        <w:rPr>
          <w:rStyle w:val="FootnoteReference"/>
        </w:rPr>
        <w:footnoteRef/>
      </w:r>
      <w:r>
        <w:t xml:space="preserve"> </w:t>
      </w:r>
      <w:r>
        <w:t xml:space="preserve">Frias 2018, PMID 30293770.</w:t>
      </w:r>
    </w:p>
  </w:footnote>
  <w:footnote w:id="485">
    <w:p>
      <w:pPr>
        <w:pStyle w:val="FootnoteText"/>
      </w:pPr>
      <w:r>
        <w:rPr>
          <w:rStyle w:val="FootnoteReference"/>
        </w:rPr>
        <w:footnoteRef/>
      </w:r>
      <w:r>
        <w:t xml:space="preserve"> </w:t>
      </w:r>
      <w:r>
        <w:t xml:space="preserve">Frías 2021, PMID 34170647.</w:t>
      </w:r>
    </w:p>
  </w:footnote>
  <w:footnote w:id="486">
    <w:p>
      <w:pPr>
        <w:pStyle w:val="FootnoteText"/>
      </w:pPr>
      <w:r>
        <w:rPr>
          <w:rStyle w:val="FootnoteReference"/>
        </w:rPr>
        <w:footnoteRef/>
      </w:r>
      <w:r>
        <w:t xml:space="preserve"> </w:t>
      </w:r>
      <w:r>
        <w:t xml:space="preserve">Ludvik 2021, PMID 34370970.</w:t>
      </w:r>
    </w:p>
  </w:footnote>
  <w:footnote w:id="487">
    <w:p>
      <w:pPr>
        <w:pStyle w:val="FootnoteText"/>
      </w:pPr>
      <w:r>
        <w:rPr>
          <w:rStyle w:val="FootnoteReference"/>
        </w:rPr>
        <w:footnoteRef/>
      </w:r>
      <w:r>
        <w:t xml:space="preserve"> </w:t>
      </w:r>
      <w:r>
        <w:t xml:space="preserve">Hannon 2025, PMID 40975112.</w:t>
      </w:r>
    </w:p>
  </w:footnote>
  <w:footnote w:id="488">
    <w:p>
      <w:pPr>
        <w:pStyle w:val="FootnoteText"/>
      </w:pPr>
      <w:r>
        <w:rPr>
          <w:rStyle w:val="FootnoteReference"/>
        </w:rPr>
        <w:footnoteRef/>
      </w:r>
      <w:r>
        <w:t xml:space="preserve"> </w:t>
      </w:r>
      <w:r>
        <w:t xml:space="preserve">Snaith 2026, PMID 41264593.</w:t>
      </w:r>
    </w:p>
  </w:footnote>
  <w:footnote w:id="489">
    <w:p>
      <w:pPr>
        <w:pStyle w:val="FootnoteText"/>
      </w:pPr>
      <w:r>
        <w:rPr>
          <w:rStyle w:val="FootnoteReference"/>
        </w:rPr>
        <w:footnoteRef/>
      </w:r>
      <w:r>
        <w:t xml:space="preserve"> </w:t>
      </w:r>
      <w:r>
        <w:t xml:space="preserve">Sattar 2022, PMID 35210595.</w:t>
      </w:r>
    </w:p>
  </w:footnote>
  <w:footnote w:id="491">
    <w:p>
      <w:pPr>
        <w:pStyle w:val="FootnoteText"/>
      </w:pPr>
      <w:r>
        <w:rPr>
          <w:rStyle w:val="FootnoteReference"/>
        </w:rPr>
        <w:footnoteRef/>
      </w:r>
      <w:r>
        <w:t xml:space="preserve"> </w:t>
      </w:r>
      <w:r>
        <w:t xml:space="preserve">Nicholls 2025, PMID 41406444.</w:t>
      </w:r>
    </w:p>
  </w:footnote>
  <w:footnote w:id="492">
    <w:p>
      <w:pPr>
        <w:pStyle w:val="FootnoteText"/>
      </w:pPr>
      <w:r>
        <w:rPr>
          <w:rStyle w:val="FootnoteReference"/>
        </w:rPr>
        <w:footnoteRef/>
      </w:r>
      <w:r>
        <w:t xml:space="preserve"> </w:t>
      </w:r>
      <w:r>
        <w:t xml:space="preserve">Nissen 2026, PMID 41903177.</w:t>
      </w:r>
    </w:p>
  </w:footnote>
  <w:footnote w:id="493">
    <w:p>
      <w:pPr>
        <w:pStyle w:val="FootnoteText"/>
      </w:pPr>
      <w:r>
        <w:rPr>
          <w:rStyle w:val="FootnoteReference"/>
        </w:rPr>
        <w:footnoteRef/>
      </w:r>
      <w:r>
        <w:t xml:space="preserve"> </w:t>
      </w:r>
      <w:r>
        <w:t xml:space="preserve">Sattar 2026, PMID 41940793.</w:t>
      </w:r>
    </w:p>
  </w:footnote>
  <w:footnote w:id="495">
    <w:p>
      <w:pPr>
        <w:pStyle w:val="FootnoteText"/>
      </w:pPr>
      <w:r>
        <w:rPr>
          <w:rStyle w:val="FootnoteReference"/>
        </w:rPr>
        <w:footnoteRef/>
      </w:r>
      <w:r>
        <w:t xml:space="preserve"> </w:t>
      </w:r>
      <w:r>
        <w:t xml:space="preserve">Jastreboff 2022, PMID 35658024.</w:t>
      </w:r>
    </w:p>
  </w:footnote>
  <w:footnote w:id="496">
    <w:p>
      <w:pPr>
        <w:pStyle w:val="FootnoteText"/>
      </w:pPr>
      <w:r>
        <w:rPr>
          <w:rStyle w:val="FootnoteReference"/>
        </w:rPr>
        <w:footnoteRef/>
      </w:r>
      <w:r>
        <w:t xml:space="preserve"> </w:t>
      </w:r>
      <w:r>
        <w:t xml:space="preserve">Garvey 2023, PMID 37385275.</w:t>
      </w:r>
    </w:p>
  </w:footnote>
  <w:footnote w:id="497">
    <w:p>
      <w:pPr>
        <w:pStyle w:val="FootnoteText"/>
      </w:pPr>
      <w:r>
        <w:rPr>
          <w:rStyle w:val="FootnoteReference"/>
        </w:rPr>
        <w:footnoteRef/>
      </w:r>
      <w:r>
        <w:t xml:space="preserve"> </w:t>
      </w:r>
      <w:r>
        <w:t xml:space="preserve">Aronne 2024, PMID 38078870.</w:t>
      </w:r>
    </w:p>
  </w:footnote>
  <w:footnote w:id="498">
    <w:p>
      <w:pPr>
        <w:pStyle w:val="FootnoteText"/>
      </w:pPr>
      <w:r>
        <w:rPr>
          <w:rStyle w:val="FootnoteReference"/>
        </w:rPr>
        <w:footnoteRef/>
      </w:r>
      <w:r>
        <w:t xml:space="preserve"> </w:t>
      </w:r>
      <w:r>
        <w:t xml:space="preserve">Horn 2026, PMID 42119587.</w:t>
      </w:r>
    </w:p>
  </w:footnote>
  <w:footnote w:id="499">
    <w:p>
      <w:pPr>
        <w:pStyle w:val="FootnoteText"/>
      </w:pPr>
      <w:r>
        <w:rPr>
          <w:rStyle w:val="FootnoteReference"/>
        </w:rPr>
        <w:footnoteRef/>
      </w:r>
      <w:r>
        <w:t xml:space="preserve"> </w:t>
      </w:r>
      <w:r>
        <w:t xml:space="preserve">Jastreboff 2025, PMID 39536238.</w:t>
      </w:r>
    </w:p>
  </w:footnote>
  <w:footnote w:id="501">
    <w:p>
      <w:pPr>
        <w:pStyle w:val="FootnoteText"/>
      </w:pPr>
      <w:r>
        <w:rPr>
          <w:rStyle w:val="FootnoteReference"/>
        </w:rPr>
        <w:footnoteRef/>
      </w:r>
      <w:r>
        <w:t xml:space="preserve"> </w:t>
      </w:r>
      <w:r>
        <w:t xml:space="preserve">Aronne 2025, PMID 40353578.</w:t>
      </w:r>
    </w:p>
  </w:footnote>
  <w:footnote w:id="502">
    <w:p>
      <w:pPr>
        <w:pStyle w:val="FootnoteText"/>
      </w:pPr>
      <w:r>
        <w:rPr>
          <w:rStyle w:val="FootnoteReference"/>
        </w:rPr>
        <w:footnoteRef/>
      </w:r>
      <w:r>
        <w:t xml:space="preserve"> </w:t>
      </w:r>
      <w:r>
        <w:t xml:space="preserve">Aronne 2026, PMID 41865857.</w:t>
      </w:r>
    </w:p>
  </w:footnote>
  <w:footnote w:id="504">
    <w:p>
      <w:pPr>
        <w:pStyle w:val="FootnoteText"/>
      </w:pPr>
      <w:r>
        <w:rPr>
          <w:rStyle w:val="FootnoteReference"/>
        </w:rPr>
        <w:footnoteRef/>
      </w:r>
      <w:r>
        <w:t xml:space="preserve"> </w:t>
      </w:r>
      <w:r>
        <w:t xml:space="preserve">Packer 2025, PMID 39555826.</w:t>
      </w:r>
    </w:p>
  </w:footnote>
  <w:footnote w:id="505">
    <w:p>
      <w:pPr>
        <w:pStyle w:val="FootnoteText"/>
      </w:pPr>
      <w:r>
        <w:rPr>
          <w:rStyle w:val="FootnoteReference"/>
        </w:rPr>
        <w:footnoteRef/>
      </w:r>
      <w:r>
        <w:t xml:space="preserve"> </w:t>
      </w:r>
      <w:r>
        <w:t xml:space="preserve">Kramer 2025, PMID 39566869.</w:t>
      </w:r>
    </w:p>
  </w:footnote>
  <w:footnote w:id="507">
    <w:p>
      <w:pPr>
        <w:pStyle w:val="FootnoteText"/>
      </w:pPr>
      <w:r>
        <w:rPr>
          <w:rStyle w:val="FootnoteReference"/>
        </w:rPr>
        <w:footnoteRef/>
      </w:r>
      <w:r>
        <w:t xml:space="preserve"> </w:t>
      </w:r>
      <w:r>
        <w:t xml:space="preserve">Malhotra 2024, PMID 38912654.</w:t>
      </w:r>
    </w:p>
  </w:footnote>
  <w:footnote w:id="509">
    <w:p>
      <w:pPr>
        <w:pStyle w:val="FootnoteText"/>
      </w:pPr>
      <w:r>
        <w:rPr>
          <w:rStyle w:val="FootnoteReference"/>
        </w:rPr>
        <w:footnoteRef/>
      </w:r>
      <w:r>
        <w:t xml:space="preserve"> </w:t>
      </w:r>
      <w:r>
        <w:t xml:space="preserve">Loomba 2024, PMID 38856224.</w:t>
      </w:r>
    </w:p>
  </w:footnote>
  <w:footnote w:id="511">
    <w:p>
      <w:pPr>
        <w:pStyle w:val="FootnoteText"/>
      </w:pPr>
      <w:r>
        <w:rPr>
          <w:rStyle w:val="FootnoteReference"/>
        </w:rPr>
        <w:footnoteRef/>
      </w:r>
      <w:r>
        <w:t xml:space="preserve"> </w:t>
      </w:r>
      <w:r>
        <w:t xml:space="preserve">Lebwohl 2026, PMID 42139049.</w:t>
      </w:r>
    </w:p>
  </w:footnote>
  <w:footnote w:id="512">
    <w:p>
      <w:pPr>
        <w:pStyle w:val="FootnoteText"/>
      </w:pPr>
      <w:r>
        <w:rPr>
          <w:rStyle w:val="FootnoteReference"/>
        </w:rPr>
        <w:footnoteRef/>
      </w:r>
      <w:r>
        <w:t xml:space="preserve"> </w:t>
      </w:r>
      <w:r>
        <w:t xml:space="preserve">Look 2025, PMID 39996356.</w:t>
      </w:r>
    </w:p>
  </w:footnote>
  <w:footnote w:id="515">
    <w:p>
      <w:pPr>
        <w:pStyle w:val="FootnoteText"/>
      </w:pPr>
      <w:r>
        <w:rPr>
          <w:rStyle w:val="FootnoteReference"/>
        </w:rPr>
        <w:footnoteRef/>
      </w:r>
      <w:r>
        <w:t xml:space="preserve"> </w:t>
      </w:r>
      <w:r>
        <w:t xml:space="preserve">Coskun 2018, PMID 30473097.</w:t>
      </w:r>
    </w:p>
  </w:footnote>
  <w:footnote w:id="516">
    <w:p>
      <w:pPr>
        <w:pStyle w:val="FootnoteText"/>
      </w:pPr>
      <w:r>
        <w:rPr>
          <w:rStyle w:val="FootnoteReference"/>
        </w:rPr>
        <w:footnoteRef/>
      </w:r>
      <w:r>
        <w:t xml:space="preserve"> </w:t>
      </w:r>
      <w:r>
        <w:t xml:space="preserve">Samms 2021, PMID 34003802.</w:t>
      </w:r>
    </w:p>
  </w:footnote>
  <w:footnote w:id="517">
    <w:p>
      <w:pPr>
        <w:pStyle w:val="FootnoteText"/>
      </w:pPr>
      <w:r>
        <w:rPr>
          <w:rStyle w:val="FootnoteReference"/>
        </w:rPr>
        <w:footnoteRef/>
      </w:r>
      <w:r>
        <w:t xml:space="preserve"> </w:t>
      </w:r>
      <w:r>
        <w:t xml:space="preserve">Martin 2024, PMID 39243911.</w:t>
      </w:r>
    </w:p>
  </w:footnote>
  <w:footnote w:id="519">
    <w:p>
      <w:pPr>
        <w:pStyle w:val="FootnoteText"/>
      </w:pPr>
      <w:r>
        <w:rPr>
          <w:rStyle w:val="FootnoteReference"/>
        </w:rPr>
        <w:footnoteRef/>
      </w:r>
      <w:r>
        <w:t xml:space="preserve"> </w:t>
      </w:r>
      <w:r>
        <w:t xml:space="preserve">Ludvik 2021, PMID 34370970.</w:t>
      </w:r>
    </w:p>
  </w:footnote>
  <w:footnote w:id="520">
    <w:p>
      <w:pPr>
        <w:pStyle w:val="FootnoteText"/>
      </w:pPr>
      <w:r>
        <w:rPr>
          <w:rStyle w:val="FootnoteReference"/>
        </w:rPr>
        <w:footnoteRef/>
      </w:r>
      <w:r>
        <w:t xml:space="preserve"> </w:t>
      </w:r>
      <w:r>
        <w:t xml:space="preserve">Zeng 2023, PMID 37908750.</w:t>
      </w:r>
    </w:p>
  </w:footnote>
  <w:footnote w:id="521">
    <w:p>
      <w:pPr>
        <w:pStyle w:val="FootnoteText"/>
      </w:pPr>
      <w:r>
        <w:rPr>
          <w:rStyle w:val="FootnoteReference"/>
        </w:rPr>
        <w:footnoteRef/>
      </w:r>
      <w:r>
        <w:t xml:space="preserve"> </w:t>
      </w:r>
      <w:r>
        <w:t xml:space="preserve">Del Prato 2021, PMID 34672967.</w:t>
      </w:r>
    </w:p>
  </w:footnote>
  <w:footnote w:id="522">
    <w:p>
      <w:pPr>
        <w:pStyle w:val="FootnoteText"/>
      </w:pPr>
      <w:r>
        <w:rPr>
          <w:rStyle w:val="FootnoteReference"/>
        </w:rPr>
        <w:footnoteRef/>
      </w:r>
      <w:r>
        <w:t xml:space="preserve"> </w:t>
      </w:r>
      <w:r>
        <w:t xml:space="preserve">Wadden 2026, PMID 41537305.</w:t>
      </w:r>
    </w:p>
  </w:footnote>
  <w:footnote w:id="523">
    <w:p>
      <w:pPr>
        <w:pStyle w:val="FootnoteText"/>
      </w:pPr>
      <w:r>
        <w:rPr>
          <w:rStyle w:val="FootnoteReference"/>
        </w:rPr>
        <w:footnoteRef/>
      </w:r>
      <w:r>
        <w:t xml:space="preserve"> </w:t>
      </w:r>
      <w:r>
        <w:t xml:space="preserve">Look 2025, PMID 39996356.</w:t>
      </w:r>
    </w:p>
  </w:footnote>
  <w:footnote w:id="524">
    <w:p>
      <w:pPr>
        <w:pStyle w:val="FootnoteText"/>
      </w:pPr>
      <w:r>
        <w:rPr>
          <w:rStyle w:val="FootnoteReference"/>
        </w:rPr>
        <w:footnoteRef/>
      </w:r>
      <w:r>
        <w:t xml:space="preserve"> </w:t>
      </w:r>
      <w:r>
        <w:t xml:space="preserve">Caruso 2024, PMID 39141075.</w:t>
      </w:r>
    </w:p>
  </w:footnote>
  <w:footnote w:id="525">
    <w:p>
      <w:pPr>
        <w:pStyle w:val="FootnoteText"/>
      </w:pPr>
      <w:r>
        <w:rPr>
          <w:rStyle w:val="FootnoteReference"/>
        </w:rPr>
        <w:footnoteRef/>
      </w:r>
      <w:r>
        <w:t xml:space="preserve"> </w:t>
      </w:r>
      <w:r>
        <w:t xml:space="preserve">Crisafulli 2026, PMID 41183330.</w:t>
      </w:r>
    </w:p>
  </w:footnote>
  <w:footnote w:id="526">
    <w:p>
      <w:pPr>
        <w:pStyle w:val="FootnoteText"/>
      </w:pPr>
      <w:r>
        <w:rPr>
          <w:rStyle w:val="FootnoteReference"/>
        </w:rPr>
        <w:footnoteRef/>
      </w:r>
      <w:r>
        <w:t xml:space="preserve"> </w:t>
      </w:r>
      <w:r>
        <w:t xml:space="preserve">Belcourt 2026, PMID 41689811.</w:t>
      </w:r>
    </w:p>
  </w:footnote>
  <w:footnote w:id="529">
    <w:p>
      <w:pPr>
        <w:pStyle w:val="FootnoteText"/>
      </w:pPr>
      <w:r>
        <w:rPr>
          <w:rStyle w:val="FootnoteReference"/>
        </w:rPr>
        <w:footnoteRef/>
      </w:r>
      <w:r>
        <w:t xml:space="preserve"> </w:t>
      </w:r>
      <w:r>
        <w:t xml:space="preserve">NCT05556512.</w:t>
      </w:r>
    </w:p>
  </w:footnote>
  <w:footnote w:id="530">
    <w:p>
      <w:pPr>
        <w:pStyle w:val="FootnoteText"/>
      </w:pPr>
      <w:r>
        <w:rPr>
          <w:rStyle w:val="FootnoteReference"/>
        </w:rPr>
        <w:footnoteRef/>
      </w:r>
      <w:r>
        <w:t xml:space="preserve"> </w:t>
      </w:r>
      <w:r>
        <w:t xml:space="preserve">Lam 2025, PMID 40545827.</w:t>
      </w:r>
    </w:p>
  </w:footnote>
  <w:footnote w:id="531">
    <w:p>
      <w:pPr>
        <w:pStyle w:val="FootnoteText"/>
      </w:pPr>
      <w:r>
        <w:rPr>
          <w:rStyle w:val="FootnoteReference"/>
        </w:rPr>
        <w:footnoteRef/>
      </w:r>
      <w:r>
        <w:t xml:space="preserve"> </w:t>
      </w:r>
      <w:r>
        <w:t xml:space="preserve">NCT07165028.</w:t>
      </w:r>
    </w:p>
  </w:footnote>
  <w:footnote w:id="532">
    <w:p>
      <w:pPr>
        <w:pStyle w:val="FootnoteText"/>
      </w:pPr>
      <w:r>
        <w:rPr>
          <w:rStyle w:val="FootnoteReference"/>
        </w:rPr>
        <w:footnoteRef/>
      </w:r>
      <w:r>
        <w:t xml:space="preserve"> </w:t>
      </w:r>
      <w:r>
        <w:t xml:space="preserve">NCT06914895, NCT06962280.</w:t>
      </w:r>
    </w:p>
  </w:footnote>
  <w:footnote w:id="533">
    <w:p>
      <w:pPr>
        <w:pStyle w:val="FootnoteText"/>
      </w:pPr>
      <w:r>
        <w:rPr>
          <w:rStyle w:val="FootnoteReference"/>
        </w:rPr>
        <w:footnoteRef/>
      </w:r>
      <w:r>
        <w:t xml:space="preserve"> </w:t>
      </w:r>
      <w:r>
        <w:t xml:space="preserve">NCT07817875.</w:t>
      </w:r>
    </w:p>
  </w:footnote>
  <w:footnote w:id="538">
    <w:p>
      <w:pPr>
        <w:pStyle w:val="FootnoteText"/>
      </w:pPr>
      <w:r>
        <w:rPr>
          <w:rStyle w:val="FootnoteReference"/>
        </w:rPr>
        <w:footnoteRef/>
      </w:r>
      <w:r>
        <w:t xml:space="preserve"> </w:t>
      </w:r>
      <w:r>
        <w:t xml:space="preserve">Coskun 2022, PMID 35985340.</w:t>
      </w:r>
    </w:p>
  </w:footnote>
  <w:footnote w:id="539">
    <w:p>
      <w:pPr>
        <w:pStyle w:val="FootnoteText"/>
      </w:pPr>
      <w:r>
        <w:rPr>
          <w:rStyle w:val="FootnoteReference"/>
        </w:rPr>
        <w:footnoteRef/>
      </w:r>
      <w:r>
        <w:t xml:space="preserve"> </w:t>
      </w:r>
      <w:r>
        <w:t xml:space="preserve">NCT06313528.</w:t>
      </w:r>
    </w:p>
  </w:footnote>
  <w:footnote w:id="540">
    <w:p>
      <w:pPr>
        <w:pStyle w:val="FootnoteText"/>
      </w:pPr>
      <w:r>
        <w:rPr>
          <w:rStyle w:val="FootnoteReference"/>
        </w:rPr>
        <w:footnoteRef/>
      </w:r>
      <w:r>
        <w:t xml:space="preserve"> </w:t>
      </w:r>
      <w:r>
        <w:t xml:space="preserve">Kanu 2025, PMID 40916752.</w:t>
      </w:r>
    </w:p>
  </w:footnote>
  <w:footnote w:id="542">
    <w:p>
      <w:pPr>
        <w:pStyle w:val="FootnoteText"/>
      </w:pPr>
      <w:r>
        <w:rPr>
          <w:rStyle w:val="FootnoteReference"/>
        </w:rPr>
        <w:footnoteRef/>
      </w:r>
      <w:r>
        <w:t xml:space="preserve"> </w:t>
      </w:r>
      <w:r>
        <w:t xml:space="preserve">Coskun 2022, PMID 35985340.</w:t>
      </w:r>
    </w:p>
  </w:footnote>
  <w:footnote w:id="543">
    <w:p>
      <w:pPr>
        <w:pStyle w:val="FootnoteText"/>
      </w:pPr>
      <w:r>
        <w:rPr>
          <w:rStyle w:val="FootnoteReference"/>
        </w:rPr>
        <w:footnoteRef/>
      </w:r>
      <w:r>
        <w:t xml:space="preserve"> </w:t>
      </w:r>
      <w:r>
        <w:t xml:space="preserve">Urva 2022, PMID 36354040.</w:t>
      </w:r>
    </w:p>
  </w:footnote>
  <w:footnote w:id="545">
    <w:p>
      <w:pPr>
        <w:pStyle w:val="FootnoteText"/>
      </w:pPr>
      <w:r>
        <w:rPr>
          <w:rStyle w:val="FootnoteReference"/>
        </w:rPr>
        <w:footnoteRef/>
      </w:r>
      <w:r>
        <w:t xml:space="preserve"> </w:t>
      </w:r>
      <w:r>
        <w:t xml:space="preserve">Jastreboff 2023, PMID 37366315.</w:t>
      </w:r>
    </w:p>
  </w:footnote>
  <w:footnote w:id="546">
    <w:p>
      <w:pPr>
        <w:pStyle w:val="FootnoteText"/>
      </w:pPr>
      <w:r>
        <w:rPr>
          <w:rStyle w:val="FootnoteReference"/>
        </w:rPr>
        <w:footnoteRef/>
      </w:r>
      <w:r>
        <w:t xml:space="preserve"> </w:t>
      </w:r>
      <w:r>
        <w:t xml:space="preserve">Rosenstock 2023, PMID 37385280.</w:t>
      </w:r>
    </w:p>
  </w:footnote>
  <w:footnote w:id="547">
    <w:p>
      <w:pPr>
        <w:pStyle w:val="FootnoteText"/>
      </w:pPr>
      <w:r>
        <w:rPr>
          <w:rStyle w:val="FootnoteReference"/>
        </w:rPr>
        <w:footnoteRef/>
      </w:r>
      <w:r>
        <w:t xml:space="preserve"> </w:t>
      </w:r>
      <w:r>
        <w:t xml:space="preserve">Coskun 2025, PMID 40609566.</w:t>
      </w:r>
    </w:p>
  </w:footnote>
  <w:footnote w:id="548">
    <w:p>
      <w:pPr>
        <w:pStyle w:val="FootnoteText"/>
      </w:pPr>
      <w:r>
        <w:rPr>
          <w:rStyle w:val="FootnoteReference"/>
        </w:rPr>
        <w:footnoteRef/>
      </w:r>
      <w:r>
        <w:t xml:space="preserve"> </w:t>
      </w:r>
      <w:r>
        <w:t xml:space="preserve">Sanyal 2024, PMID 38858523.</w:t>
      </w:r>
    </w:p>
  </w:footnote>
  <w:footnote w:id="549">
    <w:p>
      <w:pPr>
        <w:pStyle w:val="FootnoteText"/>
      </w:pPr>
      <w:r>
        <w:rPr>
          <w:rStyle w:val="FootnoteReference"/>
        </w:rPr>
        <w:footnoteRef/>
      </w:r>
      <w:r>
        <w:t xml:space="preserve"> </w:t>
      </w:r>
      <w:r>
        <w:t xml:space="preserve">Ruotolo 2026, PMID 42608321.</w:t>
      </w:r>
    </w:p>
  </w:footnote>
  <w:footnote w:id="551">
    <w:p>
      <w:pPr>
        <w:pStyle w:val="FootnoteText"/>
      </w:pPr>
      <w:r>
        <w:rPr>
          <w:rStyle w:val="FootnoteReference"/>
        </w:rPr>
        <w:footnoteRef/>
      </w:r>
      <w:r>
        <w:t xml:space="preserve"> </w:t>
      </w:r>
      <w:r>
        <w:t xml:space="preserve">Giblin 2026, PMID 41090431.</w:t>
      </w:r>
    </w:p>
  </w:footnote>
  <w:footnote w:id="552">
    <w:p>
      <w:pPr>
        <w:pStyle w:val="FootnoteText"/>
      </w:pPr>
      <w:r>
        <w:rPr>
          <w:rStyle w:val="FootnoteReference"/>
        </w:rPr>
        <w:footnoteRef/>
      </w:r>
      <w:r>
        <w:t xml:space="preserve"> </w:t>
      </w:r>
      <w:r>
        <w:t xml:space="preserve">Jastreboff 2026, PMID 42814954.</w:t>
      </w:r>
    </w:p>
  </w:footnote>
  <w:footnote w:id="553">
    <w:p>
      <w:pPr>
        <w:pStyle w:val="FootnoteText"/>
      </w:pPr>
      <w:r>
        <w:rPr>
          <w:rStyle w:val="FootnoteReference"/>
        </w:rPr>
        <w:footnoteRef/>
      </w:r>
      <w:r>
        <w:t xml:space="preserve"> </w:t>
      </w:r>
      <w:r>
        <w:t xml:space="preserve">Bellido 2026, PMID 42810372.</w:t>
      </w:r>
    </w:p>
  </w:footnote>
  <w:footnote w:id="554">
    <w:p>
      <w:pPr>
        <w:pStyle w:val="FootnoteText"/>
      </w:pPr>
      <w:r>
        <w:rPr>
          <w:rStyle w:val="FootnoteReference"/>
        </w:rPr>
        <w:footnoteRef/>
      </w:r>
      <w:r>
        <w:t xml:space="preserve"> </w:t>
      </w:r>
      <w:r>
        <w:t xml:space="preserve">Bajaj 2026, PMID 42250575.</w:t>
      </w:r>
    </w:p>
  </w:footnote>
  <w:footnote w:id="557">
    <w:p>
      <w:pPr>
        <w:pStyle w:val="FootnoteText"/>
      </w:pPr>
      <w:r>
        <w:rPr>
          <w:rStyle w:val="FootnoteReference"/>
        </w:rPr>
        <w:footnoteRef/>
      </w:r>
      <w:r>
        <w:t xml:space="preserve"> </w:t>
      </w:r>
      <w:r>
        <w:t xml:space="preserve">Coskun 2022, PMID 35985340.</w:t>
      </w:r>
    </w:p>
  </w:footnote>
  <w:footnote w:id="558">
    <w:p>
      <w:pPr>
        <w:pStyle w:val="FootnoteText"/>
      </w:pPr>
      <w:r>
        <w:rPr>
          <w:rStyle w:val="FootnoteReference"/>
        </w:rPr>
        <w:footnoteRef/>
      </w:r>
      <w:r>
        <w:t xml:space="preserve"> </w:t>
      </w:r>
      <w:r>
        <w:t xml:space="preserve">Marathe 2025, PMID 40094000.</w:t>
      </w:r>
    </w:p>
  </w:footnote>
  <w:footnote w:id="559">
    <w:p>
      <w:pPr>
        <w:pStyle w:val="FootnoteText"/>
      </w:pPr>
      <w:r>
        <w:rPr>
          <w:rStyle w:val="FootnoteReference"/>
        </w:rPr>
        <w:footnoteRef/>
      </w:r>
      <w:r>
        <w:t xml:space="preserve"> </w:t>
      </w:r>
      <w:r>
        <w:t xml:space="preserve">Carneiro 2026, PMID 42745421.</w:t>
      </w:r>
    </w:p>
  </w:footnote>
  <w:footnote w:id="561">
    <w:p>
      <w:pPr>
        <w:pStyle w:val="FootnoteText"/>
      </w:pPr>
      <w:r>
        <w:rPr>
          <w:rStyle w:val="FootnoteReference"/>
        </w:rPr>
        <w:footnoteRef/>
      </w:r>
      <w:r>
        <w:t xml:space="preserve"> </w:t>
      </w:r>
      <w:r>
        <w:t xml:space="preserve">Bellido 2026, PMID 42810372.</w:t>
      </w:r>
    </w:p>
  </w:footnote>
  <w:footnote w:id="562">
    <w:p>
      <w:pPr>
        <w:pStyle w:val="FootnoteText"/>
      </w:pPr>
      <w:r>
        <w:rPr>
          <w:rStyle w:val="FootnoteReference"/>
        </w:rPr>
        <w:footnoteRef/>
      </w:r>
      <w:r>
        <w:t xml:space="preserve"> </w:t>
      </w:r>
      <w:r>
        <w:t xml:space="preserve">Jastreboff 2023, PMID 37366315.</w:t>
      </w:r>
    </w:p>
  </w:footnote>
  <w:footnote w:id="563">
    <w:p>
      <w:pPr>
        <w:pStyle w:val="FootnoteText"/>
      </w:pPr>
      <w:r>
        <w:rPr>
          <w:rStyle w:val="FootnoteReference"/>
        </w:rPr>
        <w:footnoteRef/>
      </w:r>
      <w:r>
        <w:t xml:space="preserve"> </w:t>
      </w:r>
      <w:r>
        <w:t xml:space="preserve">Rubin 2026, PMID 42853576.</w:t>
      </w:r>
    </w:p>
  </w:footnote>
  <w:footnote w:id="565">
    <w:p>
      <w:pPr>
        <w:pStyle w:val="FootnoteText"/>
      </w:pPr>
      <w:r>
        <w:rPr>
          <w:rStyle w:val="FootnoteReference"/>
        </w:rPr>
        <w:footnoteRef/>
      </w:r>
      <w:r>
        <w:t xml:space="preserve"> </w:t>
      </w:r>
      <w:r>
        <w:t xml:space="preserve">NCT07629401.</w:t>
      </w:r>
    </w:p>
  </w:footnote>
  <w:footnote w:id="567">
    <w:p>
      <w:pPr>
        <w:pStyle w:val="FootnoteText"/>
      </w:pPr>
      <w:r>
        <w:rPr>
          <w:rStyle w:val="FootnoteReference"/>
        </w:rPr>
        <w:footnoteRef/>
      </w:r>
      <w:r>
        <w:t xml:space="preserve"> </w:t>
      </w:r>
      <w:r>
        <w:t xml:space="preserve">NCT06383390.</w:t>
      </w:r>
    </w:p>
  </w:footnote>
  <w:footnote w:id="568">
    <w:p>
      <w:pPr>
        <w:pStyle w:val="FootnoteText"/>
      </w:pPr>
      <w:r>
        <w:rPr>
          <w:rStyle w:val="FootnoteReference"/>
        </w:rPr>
        <w:footnoteRef/>
      </w:r>
      <w:r>
        <w:t xml:space="preserve"> </w:t>
      </w:r>
      <w:r>
        <w:t xml:space="preserve">NCT06662383.</w:t>
      </w:r>
    </w:p>
  </w:footnote>
  <w:footnote w:id="569">
    <w:p>
      <w:pPr>
        <w:pStyle w:val="FootnoteText"/>
      </w:pPr>
      <w:r>
        <w:rPr>
          <w:rStyle w:val="FootnoteReference"/>
        </w:rPr>
        <w:footnoteRef/>
      </w:r>
      <w:r>
        <w:t xml:space="preserve"> </w:t>
      </w:r>
      <w:r>
        <w:t xml:space="preserve">NCT06260722.</w:t>
      </w:r>
    </w:p>
  </w:footnote>
  <w:footnote w:id="570">
    <w:p>
      <w:pPr>
        <w:pStyle w:val="FootnoteText"/>
      </w:pPr>
      <w:r>
        <w:rPr>
          <w:rStyle w:val="FootnoteReference"/>
        </w:rPr>
        <w:footnoteRef/>
      </w:r>
      <w:r>
        <w:t xml:space="preserve"> </w:t>
      </w:r>
      <w:r>
        <w:t xml:space="preserve">NCT06859268.</w:t>
      </w:r>
    </w:p>
  </w:footnote>
  <w:footnote w:id="571">
    <w:p>
      <w:pPr>
        <w:pStyle w:val="FootnoteText"/>
      </w:pPr>
      <w:r>
        <w:rPr>
          <w:rStyle w:val="FootnoteReference"/>
        </w:rPr>
        <w:footnoteRef/>
      </w:r>
      <w:r>
        <w:t xml:space="preserve"> </w:t>
      </w:r>
      <w:r>
        <w:t xml:space="preserve">NCT06297603.</w:t>
      </w:r>
    </w:p>
  </w:footnote>
  <w:footnote w:id="572">
    <w:p>
      <w:pPr>
        <w:pStyle w:val="FootnoteText"/>
      </w:pPr>
      <w:r>
        <w:rPr>
          <w:rStyle w:val="FootnoteReference"/>
        </w:rPr>
        <w:footnoteRef/>
      </w:r>
      <w:r>
        <w:t xml:space="preserve"> </w:t>
      </w:r>
      <w:r>
        <w:t xml:space="preserve">NCT07035093.</w:t>
      </w:r>
    </w:p>
  </w:footnote>
  <w:footnote w:id="573">
    <w:p>
      <w:pPr>
        <w:pStyle w:val="FootnoteText"/>
      </w:pPr>
      <w:r>
        <w:rPr>
          <w:rStyle w:val="FootnoteReference"/>
        </w:rPr>
        <w:footnoteRef/>
      </w:r>
      <w:r>
        <w:t xml:space="preserve"> </w:t>
      </w:r>
      <w:r>
        <w:t xml:space="preserve">NCT07165028.</w:t>
      </w:r>
    </w:p>
  </w:footnote>
  <w:footnote w:id="578">
    <w:p>
      <w:pPr>
        <w:pStyle w:val="FootnoteText"/>
      </w:pPr>
      <w:r>
        <w:rPr>
          <w:rStyle w:val="FootnoteReference"/>
        </w:rPr>
        <w:footnoteRef/>
      </w:r>
      <w:r>
        <w:t xml:space="preserve"> </w:t>
      </w:r>
      <w:r>
        <w:t xml:space="preserve">Thomas 2024, PMID 38560764.</w:t>
      </w:r>
    </w:p>
  </w:footnote>
  <w:footnote w:id="579">
    <w:p>
      <w:pPr>
        <w:pStyle w:val="FootnoteText"/>
      </w:pPr>
      <w:r>
        <w:rPr>
          <w:rStyle w:val="FootnoteReference"/>
        </w:rPr>
        <w:footnoteRef/>
      </w:r>
      <w:r>
        <w:t xml:space="preserve"> </w:t>
      </w:r>
      <w:r>
        <w:t xml:space="preserve">Zimmermann 2026, PMID 41638399.</w:t>
      </w:r>
    </w:p>
  </w:footnote>
  <w:footnote w:id="580">
    <w:p>
      <w:pPr>
        <w:pStyle w:val="FootnoteText"/>
      </w:pPr>
      <w:r>
        <w:rPr>
          <w:rStyle w:val="FootnoteReference"/>
        </w:rPr>
        <w:footnoteRef/>
      </w:r>
      <w:r>
        <w:t xml:space="preserve"> </w:t>
      </w:r>
      <w:r>
        <w:t xml:space="preserve">NCT06745284.</w:t>
      </w:r>
    </w:p>
  </w:footnote>
  <w:footnote w:id="582">
    <w:p>
      <w:pPr>
        <w:pStyle w:val="FootnoteText"/>
      </w:pPr>
      <w:r>
        <w:rPr>
          <w:rStyle w:val="FootnoteReference"/>
        </w:rPr>
        <w:footnoteRef/>
      </w:r>
      <w:r>
        <w:t xml:space="preserve"> </w:t>
      </w:r>
      <w:r>
        <w:t xml:space="preserve">le Roux 2024, PMID 38330987.</w:t>
      </w:r>
    </w:p>
  </w:footnote>
  <w:footnote w:id="583">
    <w:p>
      <w:pPr>
        <w:pStyle w:val="FootnoteText"/>
      </w:pPr>
      <w:r>
        <w:rPr>
          <w:rStyle w:val="FootnoteReference"/>
        </w:rPr>
        <w:footnoteRef/>
      </w:r>
      <w:r>
        <w:t xml:space="preserve"> </w:t>
      </w:r>
      <w:r>
        <w:t xml:space="preserve">le Roux 2026, PMID 42253238.</w:t>
      </w:r>
    </w:p>
  </w:footnote>
  <w:footnote w:id="584">
    <w:p>
      <w:pPr>
        <w:pStyle w:val="FootnoteText"/>
      </w:pPr>
      <w:r>
        <w:rPr>
          <w:rStyle w:val="FootnoteReference"/>
        </w:rPr>
        <w:footnoteRef/>
      </w:r>
      <w:r>
        <w:t xml:space="preserve"> </w:t>
      </w:r>
      <w:r>
        <w:t xml:space="preserve">Wharton 2026, PMID 42820639.</w:t>
      </w:r>
    </w:p>
  </w:footnote>
  <w:footnote w:id="585">
    <w:p>
      <w:pPr>
        <w:pStyle w:val="FootnoteText"/>
      </w:pPr>
      <w:r>
        <w:rPr>
          <w:rStyle w:val="FootnoteReference"/>
        </w:rPr>
        <w:footnoteRef/>
      </w:r>
      <w:r>
        <w:t xml:space="preserve"> </w:t>
      </w:r>
      <w:r>
        <w:t xml:space="preserve">Blüher 2024, PMID 38095657.</w:t>
      </w:r>
    </w:p>
  </w:footnote>
  <w:footnote w:id="587">
    <w:p>
      <w:pPr>
        <w:pStyle w:val="FootnoteText"/>
      </w:pPr>
      <w:r>
        <w:rPr>
          <w:rStyle w:val="FootnoteReference"/>
        </w:rPr>
        <w:footnoteRef/>
      </w:r>
      <w:r>
        <w:t xml:space="preserve"> </w:t>
      </w:r>
      <w:r>
        <w:t xml:space="preserve">Sanyal 2024, PMID 38847460.</w:t>
      </w:r>
    </w:p>
  </w:footnote>
  <w:footnote w:id="588">
    <w:p>
      <w:pPr>
        <w:pStyle w:val="FootnoteText"/>
      </w:pPr>
      <w:r>
        <w:rPr>
          <w:rStyle w:val="FootnoteReference"/>
        </w:rPr>
        <w:footnoteRef/>
      </w:r>
      <w:r>
        <w:t xml:space="preserve"> </w:t>
      </w:r>
      <w:r>
        <w:t xml:space="preserve">Kaplan 2026, PMID 42252333.</w:t>
      </w:r>
    </w:p>
  </w:footnote>
  <w:footnote w:id="589">
    <w:p>
      <w:pPr>
        <w:pStyle w:val="FootnoteText"/>
      </w:pPr>
      <w:r>
        <w:rPr>
          <w:rStyle w:val="FootnoteReference"/>
        </w:rPr>
        <w:footnoteRef/>
      </w:r>
      <w:r>
        <w:t xml:space="preserve"> </w:t>
      </w:r>
      <w:r>
        <w:t xml:space="preserve">Lawitz 2024, PMID 38857788.</w:t>
      </w:r>
    </w:p>
  </w:footnote>
  <w:footnote w:id="592">
    <w:p>
      <w:pPr>
        <w:pStyle w:val="FootnoteText"/>
      </w:pPr>
      <w:r>
        <w:rPr>
          <w:rStyle w:val="FootnoteReference"/>
        </w:rPr>
        <w:footnoteRef/>
      </w:r>
      <w:r>
        <w:t xml:space="preserve"> </w:t>
      </w:r>
      <w:r>
        <w:t xml:space="preserve">Thomas 2024, PMID 38560764.</w:t>
      </w:r>
    </w:p>
  </w:footnote>
  <w:footnote w:id="593">
    <w:p>
      <w:pPr>
        <w:pStyle w:val="FootnoteText"/>
      </w:pPr>
      <w:r>
        <w:rPr>
          <w:rStyle w:val="FootnoteReference"/>
        </w:rPr>
        <w:footnoteRef/>
      </w:r>
      <w:r>
        <w:t xml:space="preserve"> </w:t>
      </w:r>
      <w:r>
        <w:t xml:space="preserve">Zimmermann 2026, PMID 41638399.</w:t>
      </w:r>
    </w:p>
  </w:footnote>
  <w:footnote w:id="595">
    <w:p>
      <w:pPr>
        <w:pStyle w:val="FootnoteText"/>
      </w:pPr>
      <w:r>
        <w:rPr>
          <w:rStyle w:val="FootnoteReference"/>
        </w:rPr>
        <w:footnoteRef/>
      </w:r>
      <w:r>
        <w:t xml:space="preserve"> </w:t>
      </w:r>
      <w:r>
        <w:t xml:space="preserve">Sanyal 2024, PMID 38847460.</w:t>
      </w:r>
    </w:p>
  </w:footnote>
  <w:footnote w:id="596">
    <w:p>
      <w:pPr>
        <w:pStyle w:val="FootnoteText"/>
      </w:pPr>
      <w:r>
        <w:rPr>
          <w:rStyle w:val="FootnoteReference"/>
        </w:rPr>
        <w:footnoteRef/>
      </w:r>
      <w:r>
        <w:t xml:space="preserve"> </w:t>
      </w:r>
      <w:r>
        <w:t xml:space="preserve">le Roux 2026, PMID 42253238.</w:t>
      </w:r>
    </w:p>
  </w:footnote>
  <w:footnote w:id="597">
    <w:p>
      <w:pPr>
        <w:pStyle w:val="FootnoteText"/>
      </w:pPr>
      <w:r>
        <w:rPr>
          <w:rStyle w:val="FootnoteReference"/>
        </w:rPr>
        <w:footnoteRef/>
      </w:r>
      <w:r>
        <w:t xml:space="preserve"> </w:t>
      </w:r>
      <w:r>
        <w:t xml:space="preserve">NCT06200467.</w:t>
      </w:r>
    </w:p>
  </w:footnote>
  <w:footnote w:id="600">
    <w:p>
      <w:pPr>
        <w:pStyle w:val="FootnoteText"/>
      </w:pPr>
      <w:r>
        <w:rPr>
          <w:rStyle w:val="FootnoteReference"/>
        </w:rPr>
        <w:footnoteRef/>
      </w:r>
      <w:r>
        <w:t xml:space="preserve"> </w:t>
      </w:r>
      <w:r>
        <w:t xml:space="preserve">NCT06077864.</w:t>
      </w:r>
    </w:p>
  </w:footnote>
  <w:footnote w:id="601">
    <w:p>
      <w:pPr>
        <w:pStyle w:val="FootnoteText"/>
      </w:pPr>
      <w:r>
        <w:rPr>
          <w:rStyle w:val="FootnoteReference"/>
        </w:rPr>
        <w:footnoteRef/>
      </w:r>
      <w:r>
        <w:t xml:space="preserve"> </w:t>
      </w:r>
      <w:r>
        <w:t xml:space="preserve">PMID 39453356.</w:t>
      </w:r>
    </w:p>
  </w:footnote>
  <w:footnote w:id="602">
    <w:p>
      <w:pPr>
        <w:pStyle w:val="FootnoteText"/>
      </w:pPr>
      <w:r>
        <w:rPr>
          <w:rStyle w:val="FootnoteReference"/>
        </w:rPr>
        <w:footnoteRef/>
      </w:r>
      <w:r>
        <w:t xml:space="preserve"> </w:t>
      </w:r>
      <w:r>
        <w:t xml:space="preserve">NCT06632444.</w:t>
      </w:r>
    </w:p>
  </w:footnote>
  <w:footnote w:id="603">
    <w:p>
      <w:pPr>
        <w:pStyle w:val="FootnoteText"/>
      </w:pPr>
      <w:r>
        <w:rPr>
          <w:rStyle w:val="FootnoteReference"/>
        </w:rPr>
        <w:footnoteRef/>
      </w:r>
      <w:r>
        <w:t xml:space="preserve"> </w:t>
      </w:r>
      <w:r>
        <w:t xml:space="preserve">NCT06632457.</w:t>
      </w:r>
    </w:p>
  </w:footnote>
  <w:footnote w:id="604">
    <w:p>
      <w:pPr>
        <w:pStyle w:val="FootnoteText"/>
      </w:pPr>
      <w:r>
        <w:rPr>
          <w:rStyle w:val="FootnoteReference"/>
        </w:rPr>
        <w:footnoteRef/>
      </w:r>
      <w:r>
        <w:t xml:space="preserve"> </w:t>
      </w:r>
      <w:r>
        <w:t xml:space="preserve">NCT07754461.</w:t>
      </w:r>
    </w:p>
  </w:footnote>
  <w:footnote w:id="605">
    <w:p>
      <w:pPr>
        <w:pStyle w:val="FootnoteText"/>
      </w:pPr>
      <w:r>
        <w:rPr>
          <w:rStyle w:val="FootnoteReference"/>
        </w:rPr>
        <w:footnoteRef/>
      </w:r>
      <w:r>
        <w:t xml:space="preserve"> </w:t>
      </w:r>
      <w:r>
        <w:t xml:space="preserve">NCT07850050.</w:t>
      </w:r>
    </w:p>
  </w:footnote>
  <w:footnote w:id="606">
    <w:p>
      <w:pPr>
        <w:pStyle w:val="FootnoteText"/>
      </w:pPr>
      <w:r>
        <w:rPr>
          <w:rStyle w:val="FootnoteReference"/>
        </w:rPr>
        <w:footnoteRef/>
      </w:r>
      <w:r>
        <w:t xml:space="preserve"> </w:t>
      </w:r>
      <w:r>
        <w:t xml:space="preserve">NCT07850063.</w:t>
      </w:r>
    </w:p>
  </w:footnote>
  <w:footnote w:id="607">
    <w:p>
      <w:pPr>
        <w:pStyle w:val="FootnoteText"/>
      </w:pPr>
      <w:r>
        <w:rPr>
          <w:rStyle w:val="FootnoteReference"/>
        </w:rPr>
        <w:footnoteRef/>
      </w:r>
      <w:r>
        <w:t xml:space="preserve"> </w:t>
      </w:r>
      <w:r>
        <w:t xml:space="preserve">NCT07855900.</w:t>
      </w:r>
    </w:p>
  </w:footnote>
  <w:footnote w:id="608">
    <w:p>
      <w:pPr>
        <w:pStyle w:val="FootnoteText"/>
      </w:pPr>
      <w:r>
        <w:rPr>
          <w:rStyle w:val="FootnoteReference"/>
        </w:rPr>
        <w:footnoteRef/>
      </w:r>
      <w:r>
        <w:t xml:space="preserve"> </w:t>
      </w:r>
      <w:r>
        <w:t xml:space="preserve">NCT06214741.</w:t>
      </w:r>
    </w:p>
  </w:footnote>
  <w:footnote w:id="609">
    <w:p>
      <w:pPr>
        <w:pStyle w:val="FootnoteText"/>
      </w:pPr>
      <w:r>
        <w:rPr>
          <w:rStyle w:val="FootnoteReference"/>
        </w:rPr>
        <w:footnoteRef/>
      </w:r>
      <w:r>
        <w:t xml:space="preserve"> </w:t>
      </w:r>
      <w:r>
        <w:t xml:space="preserve">NCT06176365.</w:t>
      </w:r>
    </w:p>
  </w:footnote>
  <w:footnote w:id="615">
    <w:p>
      <w:pPr>
        <w:pStyle w:val="FootnoteText"/>
      </w:pPr>
      <w:r>
        <w:rPr>
          <w:rStyle w:val="FootnoteReference"/>
        </w:rPr>
        <w:footnoteRef/>
      </w:r>
      <w:r>
        <w:t xml:space="preserve"> </w:t>
      </w:r>
      <w:r>
        <w:t xml:space="preserve">Ji 2025, PMID 40421736.</w:t>
      </w:r>
    </w:p>
  </w:footnote>
  <w:footnote w:id="616">
    <w:p>
      <w:pPr>
        <w:pStyle w:val="FootnoteText"/>
      </w:pPr>
      <w:r>
        <w:rPr>
          <w:rStyle w:val="FootnoteReference"/>
        </w:rPr>
        <w:footnoteRef/>
      </w:r>
      <w:r>
        <w:t xml:space="preserve"> </w:t>
      </w:r>
      <w:r>
        <w:t xml:space="preserve">Gao 2026, PMID 42251595.</w:t>
      </w:r>
    </w:p>
  </w:footnote>
  <w:footnote w:id="618">
    <w:p>
      <w:pPr>
        <w:pStyle w:val="FootnoteText"/>
      </w:pPr>
      <w:r>
        <w:rPr>
          <w:rStyle w:val="FootnoteReference"/>
        </w:rPr>
        <w:footnoteRef/>
      </w:r>
      <w:r>
        <w:t xml:space="preserve"> </w:t>
      </w:r>
      <w:r>
        <w:t xml:space="preserve">Zhu 2026, PMID 41407859.</w:t>
      </w:r>
    </w:p>
  </w:footnote>
  <w:footnote w:id="619">
    <w:p>
      <w:pPr>
        <w:pStyle w:val="FootnoteText"/>
      </w:pPr>
      <w:r>
        <w:rPr>
          <w:rStyle w:val="FootnoteReference"/>
        </w:rPr>
        <w:footnoteRef/>
      </w:r>
      <w:r>
        <w:t xml:space="preserve"> </w:t>
      </w:r>
      <w:r>
        <w:t xml:space="preserve">Guo 2026, PMID 41407860.</w:t>
      </w:r>
    </w:p>
  </w:footnote>
  <w:footnote w:id="620">
    <w:p>
      <w:pPr>
        <w:pStyle w:val="FootnoteText"/>
      </w:pPr>
      <w:r>
        <w:rPr>
          <w:rStyle w:val="FootnoteReference"/>
        </w:rPr>
        <w:footnoteRef/>
      </w:r>
      <w:r>
        <w:t xml:space="preserve"> </w:t>
      </w:r>
      <w:r>
        <w:t xml:space="preserve">NCT06184568.</w:t>
      </w:r>
    </w:p>
  </w:footnote>
  <w:footnote w:id="621">
    <w:p>
      <w:pPr>
        <w:pStyle w:val="FootnoteText"/>
      </w:pPr>
      <w:r>
        <w:rPr>
          <w:rStyle w:val="FootnoteReference"/>
        </w:rPr>
        <w:footnoteRef/>
      </w:r>
      <w:r>
        <w:t xml:space="preserve"> </w:t>
      </w:r>
      <w:r>
        <w:t xml:space="preserve">Luo 2026, PMID 41260459.</w:t>
      </w:r>
    </w:p>
  </w:footnote>
  <w:footnote w:id="623">
    <w:p>
      <w:pPr>
        <w:pStyle w:val="FootnoteText"/>
      </w:pPr>
      <w:r>
        <w:rPr>
          <w:rStyle w:val="FootnoteReference"/>
        </w:rPr>
        <w:footnoteRef/>
      </w:r>
      <w:r>
        <w:t xml:space="preserve"> </w:t>
      </w:r>
      <w:r>
        <w:t xml:space="preserve">Bhattachar 2025, PMID 40832785.</w:t>
      </w:r>
    </w:p>
  </w:footnote>
  <w:footnote w:id="624">
    <w:p>
      <w:pPr>
        <w:pStyle w:val="FootnoteText"/>
      </w:pPr>
      <w:r>
        <w:rPr>
          <w:rStyle w:val="FootnoteReference"/>
        </w:rPr>
        <w:footnoteRef/>
      </w:r>
      <w:r>
        <w:t xml:space="preserve"> </w:t>
      </w:r>
      <w:r>
        <w:t xml:space="preserve">Hsia 2026, PMID 42628555.</w:t>
      </w:r>
    </w:p>
  </w:footnote>
  <w:footnote w:id="626">
    <w:p>
      <w:pPr>
        <w:pStyle w:val="FootnoteText"/>
      </w:pPr>
      <w:r>
        <w:rPr>
          <w:rStyle w:val="FootnoteReference"/>
        </w:rPr>
        <w:footnoteRef/>
      </w:r>
      <w:r>
        <w:t xml:space="preserve"> </w:t>
      </w:r>
      <w:r>
        <w:t xml:space="preserve">Cheng 2025, PMID 41030857.</w:t>
      </w:r>
    </w:p>
  </w:footnote>
  <w:footnote w:id="627">
    <w:p>
      <w:pPr>
        <w:pStyle w:val="FootnoteText"/>
      </w:pPr>
      <w:r>
        <w:rPr>
          <w:rStyle w:val="FootnoteReference"/>
        </w:rPr>
        <w:footnoteRef/>
      </w:r>
      <w:r>
        <w:t xml:space="preserve"> </w:t>
      </w:r>
      <w:r>
        <w:t xml:space="preserve">NCT07255209.</w:t>
      </w:r>
    </w:p>
  </w:footnote>
  <w:footnote w:id="630">
    <w:p>
      <w:pPr>
        <w:pStyle w:val="FootnoteText"/>
      </w:pPr>
      <w:r>
        <w:rPr>
          <w:rStyle w:val="FootnoteReference"/>
        </w:rPr>
        <w:footnoteRef/>
      </w:r>
      <w:r>
        <w:t xml:space="preserve"> </w:t>
      </w:r>
      <w:r>
        <w:t xml:space="preserve">Dong 2025, PMID 40479843.</w:t>
      </w:r>
    </w:p>
  </w:footnote>
  <w:footnote w:id="631">
    <w:p>
      <w:pPr>
        <w:pStyle w:val="FootnoteText"/>
      </w:pPr>
      <w:r>
        <w:rPr>
          <w:rStyle w:val="FootnoteReference"/>
        </w:rPr>
        <w:footnoteRef/>
      </w:r>
      <w:r>
        <w:t xml:space="preserve"> </w:t>
      </w:r>
      <w:r>
        <w:t xml:space="preserve">Gan 2026, PMID 41901218.</w:t>
      </w:r>
    </w:p>
  </w:footnote>
  <w:footnote w:id="632">
    <w:p>
      <w:pPr>
        <w:pStyle w:val="FootnoteText"/>
      </w:pPr>
      <w:r>
        <w:rPr>
          <w:rStyle w:val="FootnoteReference"/>
        </w:rPr>
        <w:footnoteRef/>
      </w:r>
      <w:r>
        <w:t xml:space="preserve"> </w:t>
      </w:r>
      <w:r>
        <w:t xml:space="preserve">NCT07083154.</w:t>
      </w:r>
    </w:p>
  </w:footnote>
  <w:footnote w:id="634">
    <w:p>
      <w:pPr>
        <w:pStyle w:val="FootnoteText"/>
      </w:pPr>
      <w:r>
        <w:rPr>
          <w:rStyle w:val="FootnoteReference"/>
        </w:rPr>
        <w:footnoteRef/>
      </w:r>
      <w:r>
        <w:t xml:space="preserve"> </w:t>
      </w:r>
      <w:r>
        <w:t xml:space="preserve">Zhang 2024, PMID 37943529.</w:t>
      </w:r>
    </w:p>
  </w:footnote>
  <w:footnote w:id="635">
    <w:p>
      <w:pPr>
        <w:pStyle w:val="FootnoteText"/>
      </w:pPr>
      <w:r>
        <w:rPr>
          <w:rStyle w:val="FootnoteReference"/>
        </w:rPr>
        <w:footnoteRef/>
      </w:r>
      <w:r>
        <w:t xml:space="preserve"> </w:t>
      </w:r>
      <w:r>
        <w:t xml:space="preserve">Gao 2026, PMID 42251595.</w:t>
      </w:r>
    </w:p>
  </w:footnote>
  <w:footnote w:id="636">
    <w:p>
      <w:pPr>
        <w:pStyle w:val="FootnoteText"/>
      </w:pPr>
      <w:r>
        <w:rPr>
          <w:rStyle w:val="FootnoteReference"/>
        </w:rPr>
        <w:footnoteRef/>
      </w:r>
      <w:r>
        <w:t xml:space="preserve"> </w:t>
      </w:r>
      <w:r>
        <w:t xml:space="preserve">Zhang 2024, PMID 37943529.</w:t>
      </w:r>
    </w:p>
  </w:footnote>
  <w:footnote w:id="637">
    <w:p>
      <w:pPr>
        <w:pStyle w:val="FootnoteText"/>
      </w:pPr>
      <w:r>
        <w:rPr>
          <w:rStyle w:val="FootnoteReference"/>
        </w:rPr>
        <w:footnoteRef/>
      </w:r>
      <w:r>
        <w:t xml:space="preserve"> </w:t>
      </w:r>
      <w:r>
        <w:t xml:space="preserve">Hsia 2026, PMID 42628555.</w:t>
      </w:r>
    </w:p>
  </w:footnote>
  <w:footnote w:id="639">
    <w:p>
      <w:pPr>
        <w:pStyle w:val="FootnoteText"/>
      </w:pPr>
      <w:r>
        <w:rPr>
          <w:rStyle w:val="FootnoteReference"/>
        </w:rPr>
        <w:footnoteRef/>
      </w:r>
      <w:r>
        <w:t xml:space="preserve"> </w:t>
      </w:r>
      <w:r>
        <w:t xml:space="preserve">Shirley 2025, PMID 41028652.</w:t>
      </w:r>
    </w:p>
  </w:footnote>
  <w:footnote w:id="641">
    <w:p>
      <w:pPr>
        <w:pStyle w:val="FootnoteText"/>
      </w:pPr>
      <w:r>
        <w:rPr>
          <w:rStyle w:val="FootnoteReference"/>
        </w:rPr>
        <w:footnoteRef/>
      </w:r>
      <w:r>
        <w:t xml:space="preserve"> </w:t>
      </w:r>
      <w:r>
        <w:t xml:space="preserve">NCT06884293.</w:t>
      </w:r>
    </w:p>
  </w:footnote>
  <w:footnote w:id="642">
    <w:p>
      <w:pPr>
        <w:pStyle w:val="FootnoteText"/>
      </w:pPr>
      <w:r>
        <w:rPr>
          <w:rStyle w:val="FootnoteReference"/>
        </w:rPr>
        <w:footnoteRef/>
      </w:r>
      <w:r>
        <w:t xml:space="preserve"> </w:t>
      </w:r>
      <w:r>
        <w:t xml:space="preserve">NCT06931028.</w:t>
      </w:r>
    </w:p>
  </w:footnote>
  <w:footnote w:id="643">
    <w:p>
      <w:pPr>
        <w:pStyle w:val="FootnoteText"/>
      </w:pPr>
      <w:r>
        <w:rPr>
          <w:rStyle w:val="FootnoteReference"/>
        </w:rPr>
        <w:footnoteRef/>
      </w:r>
      <w:r>
        <w:t xml:space="preserve"> </w:t>
      </w:r>
      <w:r>
        <w:t xml:space="preserve">NCT07469800.</w:t>
      </w:r>
    </w:p>
  </w:footnote>
  <w:footnote w:id="644">
    <w:p>
      <w:pPr>
        <w:pStyle w:val="FootnoteText"/>
      </w:pPr>
      <w:r>
        <w:rPr>
          <w:rStyle w:val="FootnoteReference"/>
        </w:rPr>
        <w:footnoteRef/>
      </w:r>
      <w:r>
        <w:t xml:space="preserve"> </w:t>
      </w:r>
      <w:r>
        <w:t xml:space="preserve">NCT07255209.</w:t>
      </w:r>
    </w:p>
  </w:footnote>
  <w:footnote w:id="645">
    <w:p>
      <w:pPr>
        <w:pStyle w:val="FootnoteText"/>
      </w:pPr>
      <w:r>
        <w:rPr>
          <w:rStyle w:val="FootnoteReference"/>
        </w:rPr>
        <w:footnoteRef/>
      </w:r>
      <w:r>
        <w:t xml:space="preserve"> </w:t>
      </w:r>
      <w:r>
        <w:t xml:space="preserve">NCT06937749.</w:t>
      </w:r>
    </w:p>
  </w:footnote>
  <w:footnote w:id="646">
    <w:p>
      <w:pPr>
        <w:pStyle w:val="FootnoteText"/>
      </w:pPr>
      <w:r>
        <w:rPr>
          <w:rStyle w:val="FootnoteReference"/>
        </w:rPr>
        <w:footnoteRef/>
      </w:r>
      <w:r>
        <w:t xml:space="preserve"> </w:t>
      </w:r>
      <w:r>
        <w:t xml:space="preserve">NCT06862908.</w:t>
      </w:r>
    </w:p>
  </w:footnote>
  <w:footnote w:id="647">
    <w:p>
      <w:pPr>
        <w:pStyle w:val="FootnoteText"/>
      </w:pPr>
      <w:r>
        <w:rPr>
          <w:rStyle w:val="FootnoteReference"/>
        </w:rPr>
        <w:footnoteRef/>
      </w:r>
      <w:r>
        <w:t xml:space="preserve"> </w:t>
      </w:r>
      <w:r>
        <w:t xml:space="preserve">NCT06143956.</w:t>
      </w:r>
    </w:p>
  </w:footnote>
  <w:footnote w:id="652">
    <w:p>
      <w:pPr>
        <w:pStyle w:val="FootnoteText"/>
      </w:pPr>
      <w:r>
        <w:rPr>
          <w:rStyle w:val="FootnoteReference"/>
        </w:rPr>
        <w:footnoteRef/>
      </w:r>
      <w:r>
        <w:t xml:space="preserve"> </w:t>
      </w:r>
      <w:r>
        <w:t xml:space="preserve">Kruse 2021, PMID 34288673.</w:t>
      </w:r>
    </w:p>
  </w:footnote>
  <w:footnote w:id="653">
    <w:p>
      <w:pPr>
        <w:pStyle w:val="FootnoteText"/>
      </w:pPr>
      <w:r>
        <w:rPr>
          <w:rStyle w:val="FootnoteReference"/>
        </w:rPr>
        <w:footnoteRef/>
      </w:r>
      <w:r>
        <w:t xml:space="preserve"> </w:t>
      </w:r>
      <w:r>
        <w:t xml:space="preserve">Enebo 2021, PMID 33894838.</w:t>
      </w:r>
    </w:p>
  </w:footnote>
  <w:footnote w:id="654">
    <w:p>
      <w:pPr>
        <w:pStyle w:val="FootnoteText"/>
      </w:pPr>
      <w:r>
        <w:rPr>
          <w:rStyle w:val="FootnoteReference"/>
        </w:rPr>
        <w:footnoteRef/>
      </w:r>
      <w:r>
        <w:t xml:space="preserve"> </w:t>
      </w:r>
      <w:r>
        <w:t xml:space="preserve">Carvas 2025, PMID 40609154.</w:t>
      </w:r>
    </w:p>
  </w:footnote>
  <w:footnote w:id="655">
    <w:p>
      <w:pPr>
        <w:pStyle w:val="FootnoteText"/>
      </w:pPr>
      <w:r>
        <w:rPr>
          <w:rStyle w:val="FootnoteReference"/>
        </w:rPr>
        <w:footnoteRef/>
      </w:r>
      <w:r>
        <w:t xml:space="preserve"> </w:t>
      </w:r>
      <w:r>
        <w:t xml:space="preserve">Jacobsen 2025, PMID 40629149.</w:t>
      </w:r>
    </w:p>
  </w:footnote>
  <w:footnote w:id="657">
    <w:p>
      <w:pPr>
        <w:pStyle w:val="FootnoteText"/>
      </w:pPr>
      <w:r>
        <w:rPr>
          <w:rStyle w:val="FootnoteReference"/>
        </w:rPr>
        <w:footnoteRef/>
      </w:r>
      <w:r>
        <w:t xml:space="preserve"> </w:t>
      </w:r>
      <w:r>
        <w:t xml:space="preserve">Lau 2021, PMID 34798060.</w:t>
      </w:r>
    </w:p>
  </w:footnote>
  <w:footnote w:id="658">
    <w:p>
      <w:pPr>
        <w:pStyle w:val="FootnoteText"/>
      </w:pPr>
      <w:r>
        <w:rPr>
          <w:rStyle w:val="FootnoteReference"/>
        </w:rPr>
        <w:footnoteRef/>
      </w:r>
      <w:r>
        <w:t xml:space="preserve"> </w:t>
      </w:r>
      <w:r>
        <w:t xml:space="preserve">NCT07220642.</w:t>
      </w:r>
    </w:p>
  </w:footnote>
  <w:footnote w:id="660">
    <w:p>
      <w:pPr>
        <w:pStyle w:val="FootnoteText"/>
      </w:pPr>
      <w:r>
        <w:rPr>
          <w:rStyle w:val="FootnoteReference"/>
        </w:rPr>
        <w:footnoteRef/>
      </w:r>
      <w:r>
        <w:t xml:space="preserve"> </w:t>
      </w:r>
      <w:r>
        <w:t xml:space="preserve">Enebo 2021, PMID 33894838.</w:t>
      </w:r>
    </w:p>
  </w:footnote>
  <w:footnote w:id="661">
    <w:p>
      <w:pPr>
        <w:pStyle w:val="FootnoteText"/>
      </w:pPr>
      <w:r>
        <w:rPr>
          <w:rStyle w:val="FootnoteReference"/>
        </w:rPr>
        <w:footnoteRef/>
      </w:r>
      <w:r>
        <w:t xml:space="preserve"> </w:t>
      </w:r>
      <w:r>
        <w:t xml:space="preserve">Frias 2023, PMID 37364590.</w:t>
      </w:r>
    </w:p>
  </w:footnote>
  <w:footnote w:id="663">
    <w:p>
      <w:pPr>
        <w:pStyle w:val="FootnoteText"/>
      </w:pPr>
      <w:r>
        <w:rPr>
          <w:rStyle w:val="FootnoteReference"/>
        </w:rPr>
        <w:footnoteRef/>
      </w:r>
      <w:r>
        <w:t xml:space="preserve"> </w:t>
      </w:r>
      <w:r>
        <w:t xml:space="preserve">Garvey 2025, PMID 40544433.</w:t>
      </w:r>
    </w:p>
  </w:footnote>
  <w:footnote w:id="664">
    <w:p>
      <w:pPr>
        <w:pStyle w:val="FootnoteText"/>
      </w:pPr>
      <w:r>
        <w:rPr>
          <w:rStyle w:val="FootnoteReference"/>
        </w:rPr>
        <w:footnoteRef/>
      </w:r>
      <w:r>
        <w:t xml:space="preserve"> </w:t>
      </w:r>
      <w:r>
        <w:t xml:space="preserve">Busetto 2026, PMID 42503495.</w:t>
      </w:r>
    </w:p>
  </w:footnote>
  <w:footnote w:id="665">
    <w:p>
      <w:pPr>
        <w:pStyle w:val="FootnoteText"/>
      </w:pPr>
      <w:r>
        <w:rPr>
          <w:rStyle w:val="FootnoteReference"/>
        </w:rPr>
        <w:footnoteRef/>
      </w:r>
      <w:r>
        <w:t xml:space="preserve"> </w:t>
      </w:r>
      <w:r>
        <w:t xml:space="preserve">Verma 2026, PMID 41328546.</w:t>
      </w:r>
    </w:p>
  </w:footnote>
  <w:footnote w:id="666">
    <w:p>
      <w:pPr>
        <w:pStyle w:val="FootnoteText"/>
      </w:pPr>
      <w:r>
        <w:rPr>
          <w:rStyle w:val="FootnoteReference"/>
        </w:rPr>
        <w:footnoteRef/>
      </w:r>
      <w:r>
        <w:t xml:space="preserve"> </w:t>
      </w:r>
      <w:r>
        <w:t xml:space="preserve">Davies 2025, PMID 40544432.</w:t>
      </w:r>
    </w:p>
  </w:footnote>
  <w:footnote w:id="667">
    <w:p>
      <w:pPr>
        <w:pStyle w:val="FootnoteText"/>
      </w:pPr>
      <w:r>
        <w:rPr>
          <w:rStyle w:val="FootnoteReference"/>
        </w:rPr>
        <w:footnoteRef/>
      </w:r>
      <w:r>
        <w:t xml:space="preserve"> </w:t>
      </w:r>
      <w:r>
        <w:t xml:space="preserve">Yamauchi 2026, PMID 42009015.</w:t>
      </w:r>
    </w:p>
  </w:footnote>
  <w:footnote w:id="668">
    <w:p>
      <w:pPr>
        <w:pStyle w:val="FootnoteText"/>
      </w:pPr>
      <w:r>
        <w:rPr>
          <w:rStyle w:val="FootnoteReference"/>
        </w:rPr>
        <w:footnoteRef/>
      </w:r>
      <w:r>
        <w:t xml:space="preserve"> </w:t>
      </w:r>
      <w:r>
        <w:t xml:space="preserve">Buse 2026, PMID 42251859.</w:t>
      </w:r>
    </w:p>
  </w:footnote>
  <w:footnote w:id="669">
    <w:p>
      <w:pPr>
        <w:pStyle w:val="FootnoteText"/>
      </w:pPr>
      <w:r>
        <w:rPr>
          <w:rStyle w:val="FootnoteReference"/>
        </w:rPr>
        <w:footnoteRef/>
      </w:r>
      <w:r>
        <w:t xml:space="preserve"> </w:t>
      </w:r>
      <w:r>
        <w:t xml:space="preserve">NCT06221969, NCT06534411.</w:t>
      </w:r>
    </w:p>
  </w:footnote>
  <w:footnote w:id="672">
    <w:p>
      <w:pPr>
        <w:pStyle w:val="FootnoteText"/>
      </w:pPr>
      <w:r>
        <w:rPr>
          <w:rStyle w:val="FootnoteReference"/>
        </w:rPr>
        <w:footnoteRef/>
      </w:r>
      <w:r>
        <w:t xml:space="preserve"> </w:t>
      </w:r>
      <w:r>
        <w:t xml:space="preserve">Cao 2025, PMID 40204768.</w:t>
      </w:r>
    </w:p>
  </w:footnote>
  <w:footnote w:id="673">
    <w:p>
      <w:pPr>
        <w:pStyle w:val="FootnoteText"/>
      </w:pPr>
      <w:r>
        <w:rPr>
          <w:rStyle w:val="FootnoteReference"/>
        </w:rPr>
        <w:footnoteRef/>
      </w:r>
      <w:r>
        <w:t xml:space="preserve"> </w:t>
      </w:r>
      <w:r>
        <w:t xml:space="preserve">Carvas 2025, PMID 40609154.</w:t>
      </w:r>
    </w:p>
  </w:footnote>
  <w:footnote w:id="674">
    <w:p>
      <w:pPr>
        <w:pStyle w:val="FootnoteText"/>
      </w:pPr>
      <w:r>
        <w:rPr>
          <w:rStyle w:val="FootnoteReference"/>
        </w:rPr>
        <w:footnoteRef/>
      </w:r>
      <w:r>
        <w:t xml:space="preserve"> </w:t>
      </w:r>
      <w:r>
        <w:t xml:space="preserve">Jacobsen 2025, PMID 40629149.</w:t>
      </w:r>
    </w:p>
  </w:footnote>
  <w:footnote w:id="675">
    <w:p>
      <w:pPr>
        <w:pStyle w:val="FootnoteText"/>
      </w:pPr>
      <w:r>
        <w:rPr>
          <w:rStyle w:val="FootnoteReference"/>
        </w:rPr>
        <w:footnoteRef/>
      </w:r>
      <w:r>
        <w:t xml:space="preserve"> </w:t>
      </w:r>
      <w:r>
        <w:t xml:space="preserve">Petersen 2026, PMID 42744908.</w:t>
      </w:r>
    </w:p>
  </w:footnote>
  <w:footnote w:id="677">
    <w:p>
      <w:pPr>
        <w:pStyle w:val="FootnoteText"/>
      </w:pPr>
      <w:r>
        <w:rPr>
          <w:rStyle w:val="FootnoteReference"/>
        </w:rPr>
        <w:footnoteRef/>
      </w:r>
      <w:r>
        <w:t xml:space="preserve"> </w:t>
      </w:r>
      <w:r>
        <w:t xml:space="preserve">Garvey 2025, PMID 40544433.</w:t>
      </w:r>
    </w:p>
  </w:footnote>
  <w:footnote w:id="678">
    <w:p>
      <w:pPr>
        <w:pStyle w:val="FootnoteText"/>
      </w:pPr>
      <w:r>
        <w:rPr>
          <w:rStyle w:val="FootnoteReference"/>
        </w:rPr>
        <w:footnoteRef/>
      </w:r>
      <w:r>
        <w:t xml:space="preserve"> </w:t>
      </w:r>
      <w:r>
        <w:t xml:space="preserve">Davies 2025, PMID 40544432.</w:t>
      </w:r>
    </w:p>
  </w:footnote>
  <w:footnote w:id="679">
    <w:p>
      <w:pPr>
        <w:pStyle w:val="FootnoteText"/>
      </w:pPr>
      <w:r>
        <w:rPr>
          <w:rStyle w:val="FootnoteReference"/>
        </w:rPr>
        <w:footnoteRef/>
      </w:r>
      <w:r>
        <w:t xml:space="preserve"> </w:t>
      </w:r>
      <w:r>
        <w:t xml:space="preserve">Rosenstock 2026, PMID 42251856.</w:t>
      </w:r>
    </w:p>
  </w:footnote>
  <w:footnote w:id="680">
    <w:p>
      <w:pPr>
        <w:pStyle w:val="FootnoteText"/>
      </w:pPr>
      <w:r>
        <w:rPr>
          <w:rStyle w:val="FootnoteReference"/>
        </w:rPr>
        <w:footnoteRef/>
      </w:r>
      <w:r>
        <w:t xml:space="preserve"> </w:t>
      </w:r>
      <w:r>
        <w:t xml:space="preserve">Gabe 2024, PMID 39279639.</w:t>
      </w:r>
    </w:p>
  </w:footnote>
  <w:footnote w:id="681">
    <w:p>
      <w:pPr>
        <w:pStyle w:val="FootnoteText"/>
      </w:pPr>
      <w:r>
        <w:rPr>
          <w:rStyle w:val="FootnoteReference"/>
        </w:rPr>
        <w:footnoteRef/>
      </w:r>
      <w:r>
        <w:t xml:space="preserve"> </w:t>
      </w:r>
      <w:r>
        <w:t xml:space="preserve">Nielsen 2026, PMID 42228334.</w:t>
      </w:r>
    </w:p>
  </w:footnote>
  <w:footnote w:id="682">
    <w:p>
      <w:pPr>
        <w:pStyle w:val="FootnoteText"/>
      </w:pPr>
      <w:r>
        <w:rPr>
          <w:rStyle w:val="FootnoteReference"/>
        </w:rPr>
        <w:footnoteRef/>
      </w:r>
      <w:r>
        <w:t xml:space="preserve"> </w:t>
      </w:r>
      <w:r>
        <w:t xml:space="preserve">NCT07010432.</w:t>
      </w:r>
    </w:p>
  </w:footnote>
  <w:footnote w:id="683">
    <w:p>
      <w:pPr>
        <w:pStyle w:val="FootnoteText"/>
      </w:pPr>
      <w:r>
        <w:rPr>
          <w:rStyle w:val="FootnoteReference"/>
        </w:rPr>
        <w:footnoteRef/>
      </w:r>
      <w:r>
        <w:t xml:space="preserve"> </w:t>
      </w:r>
      <w:r>
        <w:t xml:space="preserve">NCT07527195.</w:t>
      </w:r>
    </w:p>
  </w:footnote>
  <w:footnote w:id="686">
    <w:p>
      <w:pPr>
        <w:pStyle w:val="FootnoteText"/>
      </w:pPr>
      <w:r>
        <w:rPr>
          <w:rStyle w:val="FootnoteReference"/>
        </w:rPr>
        <w:footnoteRef/>
      </w:r>
      <w:r>
        <w:t xml:space="preserve"> </w:t>
      </w:r>
      <w:r>
        <w:t xml:space="preserve">NCT05669755.</w:t>
      </w:r>
    </w:p>
  </w:footnote>
  <w:footnote w:id="687">
    <w:p>
      <w:pPr>
        <w:pStyle w:val="FootnoteText"/>
      </w:pPr>
      <w:r>
        <w:rPr>
          <w:rStyle w:val="FootnoteReference"/>
        </w:rPr>
        <w:footnoteRef/>
      </w:r>
      <w:r>
        <w:t xml:space="preserve"> </w:t>
      </w:r>
      <w:r>
        <w:t xml:space="preserve">Cavender 2026, PMID 42838477.</w:t>
      </w:r>
    </w:p>
  </w:footnote>
  <w:footnote w:id="688">
    <w:p>
      <w:pPr>
        <w:pStyle w:val="FootnoteText"/>
      </w:pPr>
      <w:r>
        <w:rPr>
          <w:rStyle w:val="FootnoteReference"/>
        </w:rPr>
        <w:footnoteRef/>
      </w:r>
      <w:r>
        <w:t xml:space="preserve"> </w:t>
      </w:r>
      <w:r>
        <w:t xml:space="preserve">NCT06131437, NCT06221969, NCT06534411.</w:t>
      </w:r>
    </w:p>
  </w:footnote>
  <w:footnote w:id="689">
    <w:p>
      <w:pPr>
        <w:pStyle w:val="FootnoteText"/>
      </w:pPr>
      <w:r>
        <w:rPr>
          <w:rStyle w:val="FootnoteReference"/>
        </w:rPr>
        <w:footnoteRef/>
      </w:r>
      <w:r>
        <w:t xml:space="preserve"> </w:t>
      </w:r>
      <w:r>
        <w:t xml:space="preserve">NCT07564414.</w:t>
      </w:r>
    </w:p>
  </w:footnote>
  <w:footnote w:id="690">
    <w:p>
      <w:pPr>
        <w:pStyle w:val="FootnoteText"/>
      </w:pPr>
      <w:r>
        <w:rPr>
          <w:rStyle w:val="FootnoteReference"/>
        </w:rPr>
        <w:footnoteRef/>
      </w:r>
      <w:r>
        <w:t xml:space="preserve"> </w:t>
      </w:r>
      <w:r>
        <w:t xml:space="preserve">NCT06780449.</w:t>
      </w:r>
    </w:p>
  </w:footnote>
  <w:footnote w:id="691">
    <w:p>
      <w:pPr>
        <w:pStyle w:val="FootnoteText"/>
      </w:pPr>
      <w:r>
        <w:rPr>
          <w:rStyle w:val="FootnoteReference"/>
        </w:rPr>
        <w:footnoteRef/>
      </w:r>
      <w:r>
        <w:t xml:space="preserve"> </w:t>
      </w:r>
      <w:r>
        <w:t xml:space="preserve">NCT07253285.</w:t>
      </w:r>
    </w:p>
  </w:footnote>
  <w:footnote w:id="692">
    <w:p>
      <w:pPr>
        <w:pStyle w:val="FootnoteText"/>
      </w:pPr>
      <w:r>
        <w:rPr>
          <w:rStyle w:val="FootnoteReference"/>
        </w:rPr>
        <w:footnoteRef/>
      </w:r>
      <w:r>
        <w:t xml:space="preserve"> </w:t>
      </w:r>
      <w:r>
        <w:t xml:space="preserve">NCT07220642.</w:t>
      </w:r>
    </w:p>
  </w:footnote>
  <w:footnote w:id="693">
    <w:p>
      <w:pPr>
        <w:pStyle w:val="FootnoteText"/>
      </w:pPr>
      <w:r>
        <w:rPr>
          <w:rStyle w:val="FootnoteReference"/>
        </w:rPr>
        <w:footnoteRef/>
      </w:r>
      <w:r>
        <w:t xml:space="preserve"> </w:t>
      </w:r>
      <w:r>
        <w:t xml:space="preserve">NCT07010432.</w:t>
      </w:r>
    </w:p>
  </w:footnote>
  <w:footnote w:id="694">
    <w:p>
      <w:pPr>
        <w:pStyle w:val="FootnoteText"/>
      </w:pPr>
      <w:r>
        <w:rPr>
          <w:rStyle w:val="FootnoteReference"/>
        </w:rPr>
        <w:footnoteRef/>
      </w:r>
      <w:r>
        <w:t xml:space="preserve"> </w:t>
      </w:r>
      <w:r>
        <w:t xml:space="preserve">NCT07527195.</w:t>
      </w:r>
    </w:p>
  </w:footnote>
  <w:footnote w:id="695">
    <w:p>
      <w:pPr>
        <w:pStyle w:val="FootnoteText"/>
      </w:pPr>
      <w:r>
        <w:rPr>
          <w:rStyle w:val="FootnoteReference"/>
        </w:rPr>
        <w:footnoteRef/>
      </w:r>
      <w:r>
        <w:t xml:space="preserve"> </w:t>
      </w:r>
      <w:r>
        <w:t xml:space="preserve">NCT07607587.</w:t>
      </w:r>
    </w:p>
  </w:footnote>
  <w:footnote w:id="700">
    <w:p>
      <w:pPr>
        <w:pStyle w:val="FootnoteText"/>
      </w:pPr>
      <w:r>
        <w:rPr>
          <w:rStyle w:val="FootnoteReference"/>
        </w:rPr>
        <w:footnoteRef/>
      </w:r>
      <w:r>
        <w:t xml:space="preserve"> </w:t>
      </w:r>
      <w:r>
        <w:t xml:space="preserve">Kuhre 2025, PMID 40706446.</w:t>
      </w:r>
    </w:p>
  </w:footnote>
  <w:footnote w:id="702">
    <w:p>
      <w:pPr>
        <w:pStyle w:val="FootnoteText"/>
      </w:pPr>
      <w:r>
        <w:rPr>
          <w:rStyle w:val="FootnoteReference"/>
        </w:rPr>
        <w:footnoteRef/>
      </w:r>
      <w:r>
        <w:t xml:space="preserve"> </w:t>
      </w:r>
      <w:r>
        <w:t xml:space="preserve">Gasiorek 2025, PMID 40550229.</w:t>
      </w:r>
    </w:p>
  </w:footnote>
  <w:footnote w:id="704">
    <w:p>
      <w:pPr>
        <w:pStyle w:val="FootnoteText"/>
      </w:pPr>
      <w:r>
        <w:rPr>
          <w:rStyle w:val="FootnoteReference"/>
        </w:rPr>
        <w:footnoteRef/>
      </w:r>
      <w:r>
        <w:t xml:space="preserve"> </w:t>
      </w:r>
      <w:r>
        <w:t xml:space="preserve">Dahl 2025, PMID 40550231.</w:t>
      </w:r>
    </w:p>
  </w:footnote>
  <w:footnote w:id="706">
    <w:p>
      <w:pPr>
        <w:pStyle w:val="FootnoteText"/>
      </w:pPr>
      <w:r>
        <w:rPr>
          <w:rStyle w:val="FootnoteReference"/>
        </w:rPr>
        <w:footnoteRef/>
      </w:r>
      <w:r>
        <w:t xml:space="preserve"> </w:t>
      </w:r>
      <w:r>
        <w:t xml:space="preserve">Mora 2026, PMID 42532079.</w:t>
      </w:r>
    </w:p>
  </w:footnote>
  <w:footnote w:id="707">
    <w:p>
      <w:pPr>
        <w:pStyle w:val="FootnoteText"/>
      </w:pPr>
      <w:r>
        <w:rPr>
          <w:rStyle w:val="FootnoteReference"/>
        </w:rPr>
        <w:footnoteRef/>
      </w:r>
      <w:r>
        <w:t xml:space="preserve"> </w:t>
      </w:r>
      <w:r>
        <w:t xml:space="preserve">Mora 2026, PMID 42532080.</w:t>
      </w:r>
    </w:p>
  </w:footnote>
  <w:footnote w:id="710">
    <w:p>
      <w:pPr>
        <w:pStyle w:val="FootnoteText"/>
      </w:pPr>
      <w:r>
        <w:rPr>
          <w:rStyle w:val="FootnoteReference"/>
        </w:rPr>
        <w:footnoteRef/>
      </w:r>
      <w:r>
        <w:t xml:space="preserve"> </w:t>
      </w:r>
      <w:r>
        <w:t xml:space="preserve">Kuhre 2025, PMID 40706446.</w:t>
      </w:r>
    </w:p>
  </w:footnote>
  <w:footnote w:id="712">
    <w:p>
      <w:pPr>
        <w:pStyle w:val="FootnoteText"/>
      </w:pPr>
      <w:r>
        <w:rPr>
          <w:rStyle w:val="FootnoteReference"/>
        </w:rPr>
        <w:footnoteRef/>
      </w:r>
      <w:r>
        <w:t xml:space="preserve"> </w:t>
      </w:r>
      <w:r>
        <w:t xml:space="preserve">Gasiorek 2025, PMID 40550229; Dahl 2025, PMID 40550231.</w:t>
      </w:r>
    </w:p>
  </w:footnote>
  <w:footnote w:id="713">
    <w:p>
      <w:pPr>
        <w:pStyle w:val="FootnoteText"/>
      </w:pPr>
      <w:r>
        <w:rPr>
          <w:rStyle w:val="FootnoteReference"/>
        </w:rPr>
        <w:footnoteRef/>
      </w:r>
      <w:r>
        <w:t xml:space="preserve"> </w:t>
      </w:r>
      <w:r>
        <w:t xml:space="preserve">Mora 2026, PMID 42532079; PMID 42532080.</w:t>
      </w:r>
    </w:p>
  </w:footnote>
  <w:footnote w:id="714">
    <w:p>
      <w:pPr>
        <w:pStyle w:val="FootnoteText"/>
      </w:pPr>
      <w:r>
        <w:rPr>
          <w:rStyle w:val="FootnoteReference"/>
        </w:rPr>
        <w:footnoteRef/>
      </w:r>
      <w:r>
        <w:t xml:space="preserve"> </w:t>
      </w:r>
      <w:r>
        <w:t xml:space="preserve">Oldenburg 2026, PMID 42443140.</w:t>
      </w:r>
    </w:p>
  </w:footnote>
  <w:footnote w:id="715">
    <w:p>
      <w:pPr>
        <w:pStyle w:val="FootnoteText"/>
      </w:pPr>
      <w:r>
        <w:rPr>
          <w:rStyle w:val="FootnoteReference"/>
        </w:rPr>
        <w:footnoteRef/>
      </w:r>
      <w:r>
        <w:t xml:space="preserve"> </w:t>
      </w:r>
      <w:r>
        <w:t xml:space="preserve">Rubin 2026, PMID 42853576.</w:t>
      </w:r>
    </w:p>
  </w:footnote>
  <w:footnote w:id="718">
    <w:p>
      <w:pPr>
        <w:pStyle w:val="FootnoteText"/>
      </w:pPr>
      <w:r>
        <w:rPr>
          <w:rStyle w:val="FootnoteReference"/>
        </w:rPr>
        <w:footnoteRef/>
      </w:r>
      <w:r>
        <w:t xml:space="preserve"> </w:t>
      </w:r>
      <w:r>
        <w:t xml:space="preserve">NCT07339423.</w:t>
      </w:r>
    </w:p>
  </w:footnote>
  <w:footnote w:id="719">
    <w:p>
      <w:pPr>
        <w:pStyle w:val="FootnoteText"/>
      </w:pPr>
      <w:r>
        <w:rPr>
          <w:rStyle w:val="FootnoteReference"/>
        </w:rPr>
        <w:footnoteRef/>
      </w:r>
      <w:r>
        <w:t xml:space="preserve"> </w:t>
      </w:r>
      <w:r>
        <w:t xml:space="preserve">NCT07533175.</w:t>
      </w:r>
    </w:p>
  </w:footnote>
  <w:footnote w:id="720">
    <w:p>
      <w:pPr>
        <w:pStyle w:val="FootnoteText"/>
      </w:pPr>
      <w:r>
        <w:rPr>
          <w:rStyle w:val="FootnoteReference"/>
        </w:rPr>
        <w:footnoteRef/>
      </w:r>
      <w:r>
        <w:t xml:space="preserve"> </w:t>
      </w:r>
      <w:r>
        <w:t xml:space="preserve">NCT07571005, NCT07571109.</w:t>
      </w:r>
    </w:p>
  </w:footnote>
  <w:footnote w:id="721">
    <w:p>
      <w:pPr>
        <w:pStyle w:val="FootnoteText"/>
      </w:pPr>
      <w:r>
        <w:rPr>
          <w:rStyle w:val="FootnoteReference"/>
        </w:rPr>
        <w:footnoteRef/>
      </w:r>
      <w:r>
        <w:t xml:space="preserve"> </w:t>
      </w:r>
      <w:r>
        <w:t xml:space="preserve">NCT07509307.</w:t>
      </w:r>
    </w:p>
  </w:footnote>
  <w:footnote w:id="722">
    <w:p>
      <w:pPr>
        <w:pStyle w:val="FootnoteText"/>
      </w:pPr>
      <w:r>
        <w:rPr>
          <w:rStyle w:val="FootnoteReference"/>
        </w:rPr>
        <w:footnoteRef/>
      </w:r>
      <w:r>
        <w:t xml:space="preserve"> </w:t>
      </w:r>
      <w:r>
        <w:t xml:space="preserve">NCT07481630.</w:t>
      </w:r>
    </w:p>
  </w:footnote>
  <w:footnote w:id="723">
    <w:p>
      <w:pPr>
        <w:pStyle w:val="FootnoteText"/>
      </w:pPr>
      <w:r>
        <w:rPr>
          <w:rStyle w:val="FootnoteReference"/>
        </w:rPr>
        <w:footnoteRef/>
      </w:r>
      <w:r>
        <w:t xml:space="preserve"> </w:t>
      </w:r>
      <w:r>
        <w:t xml:space="preserve">NCT07720271.</w:t>
      </w:r>
    </w:p>
  </w:footnote>
  <w:footnote w:id="724">
    <w:p>
      <w:pPr>
        <w:pStyle w:val="FootnoteText"/>
      </w:pPr>
      <w:r>
        <w:rPr>
          <w:rStyle w:val="FootnoteReference"/>
        </w:rPr>
        <w:footnoteRef/>
      </w:r>
      <w:r>
        <w:t xml:space="preserve"> </w:t>
      </w:r>
      <w:r>
        <w:t xml:space="preserve">NCT07503210.</w:t>
      </w:r>
    </w:p>
  </w:footnote>
  <w:footnote w:id="729">
    <w:p>
      <w:pPr>
        <w:pStyle w:val="FootnoteText"/>
      </w:pPr>
      <w:r>
        <w:rPr>
          <w:rStyle w:val="FootnoteReference"/>
        </w:rPr>
        <w:footnoteRef/>
      </w:r>
      <w:r>
        <w:t xml:space="preserve"> </w:t>
      </w:r>
      <w:r>
        <w:t xml:space="preserve">Davies 2026, PMID 41287212.</w:t>
      </w:r>
    </w:p>
  </w:footnote>
  <w:footnote w:id="730">
    <w:p>
      <w:pPr>
        <w:pStyle w:val="FootnoteText"/>
      </w:pPr>
      <w:r>
        <w:rPr>
          <w:rStyle w:val="FootnoteReference"/>
        </w:rPr>
        <w:footnoteRef/>
      </w:r>
      <w:r>
        <w:t xml:space="preserve"> </w:t>
      </w:r>
      <w:r>
        <w:t xml:space="preserve">Véniant 2024, PMID 38316982.</w:t>
      </w:r>
    </w:p>
  </w:footnote>
  <w:footnote w:id="731">
    <w:p>
      <w:pPr>
        <w:pStyle w:val="FootnoteText"/>
      </w:pPr>
      <w:r>
        <w:rPr>
          <w:rStyle w:val="FootnoteReference"/>
        </w:rPr>
        <w:footnoteRef/>
      </w:r>
      <w:r>
        <w:t xml:space="preserve"> </w:t>
      </w:r>
      <w:r>
        <w:t xml:space="preserve">Wu 2026, PMID 41941715.</w:t>
      </w:r>
    </w:p>
  </w:footnote>
  <w:footnote w:id="733">
    <w:p>
      <w:pPr>
        <w:pStyle w:val="FootnoteText"/>
      </w:pPr>
      <w:r>
        <w:rPr>
          <w:rStyle w:val="FootnoteReference"/>
        </w:rPr>
        <w:footnoteRef/>
      </w:r>
      <w:r>
        <w:t xml:space="preserve"> </w:t>
      </w:r>
      <w:r>
        <w:t xml:space="preserve">Véniant 2024, PMID 38316982; NCT04478708.</w:t>
      </w:r>
    </w:p>
  </w:footnote>
  <w:footnote w:id="735">
    <w:p>
      <w:pPr>
        <w:pStyle w:val="FootnoteText"/>
      </w:pPr>
      <w:r>
        <w:rPr>
          <w:rStyle w:val="FootnoteReference"/>
        </w:rPr>
        <w:footnoteRef/>
      </w:r>
      <w:r>
        <w:t xml:space="preserve"> </w:t>
      </w:r>
      <w:r>
        <w:t xml:space="preserve">Jastreboff 2025, PMID 40549887.</w:t>
      </w:r>
    </w:p>
  </w:footnote>
  <w:footnote w:id="738">
    <w:p>
      <w:pPr>
        <w:pStyle w:val="FootnoteText"/>
      </w:pPr>
      <w:r>
        <w:rPr>
          <w:rStyle w:val="FootnoteReference"/>
        </w:rPr>
        <w:footnoteRef/>
      </w:r>
      <w:r>
        <w:t xml:space="preserve"> </w:t>
      </w:r>
      <w:r>
        <w:t xml:space="preserve">Véniant 2024, PMID 38316982; Wu 2026, PMID 41941715.</w:t>
      </w:r>
    </w:p>
  </w:footnote>
  <w:footnote w:id="739">
    <w:p>
      <w:pPr>
        <w:pStyle w:val="FootnoteText"/>
      </w:pPr>
      <w:r>
        <w:rPr>
          <w:rStyle w:val="FootnoteReference"/>
        </w:rPr>
        <w:footnoteRef/>
      </w:r>
      <w:r>
        <w:t xml:space="preserve"> </w:t>
      </w:r>
      <w:r>
        <w:t xml:space="preserve">Davies 2026, PMID 41287212.</w:t>
      </w:r>
    </w:p>
  </w:footnote>
  <w:footnote w:id="741">
    <w:p>
      <w:pPr>
        <w:pStyle w:val="FootnoteText"/>
      </w:pPr>
      <w:r>
        <w:rPr>
          <w:rStyle w:val="FootnoteReference"/>
        </w:rPr>
        <w:footnoteRef/>
      </w:r>
      <w:r>
        <w:t xml:space="preserve"> </w:t>
      </w:r>
      <w:r>
        <w:t xml:space="preserve">Jastreboff 2025, PMID 40549887.</w:t>
      </w:r>
    </w:p>
  </w:footnote>
  <w:footnote w:id="742">
    <w:p>
      <w:pPr>
        <w:pStyle w:val="FootnoteText"/>
      </w:pPr>
      <w:r>
        <w:rPr>
          <w:rStyle w:val="FootnoteReference"/>
        </w:rPr>
        <w:footnoteRef/>
      </w:r>
      <w:r>
        <w:t xml:space="preserve"> </w:t>
      </w:r>
      <w:r>
        <w:t xml:space="preserve">Véniant 2024, PMID 38316982.</w:t>
      </w:r>
    </w:p>
  </w:footnote>
  <w:footnote w:id="743">
    <w:p>
      <w:pPr>
        <w:pStyle w:val="FootnoteText"/>
      </w:pPr>
      <w:r>
        <w:rPr>
          <w:rStyle w:val="FootnoteReference"/>
        </w:rPr>
        <w:footnoteRef/>
      </w:r>
      <w:r>
        <w:t xml:space="preserve"> </w:t>
      </w:r>
      <w:r>
        <w:t xml:space="preserve">Davies 2026, PMID 41287212.</w:t>
      </w:r>
    </w:p>
  </w:footnote>
  <w:footnote w:id="746">
    <w:p>
      <w:pPr>
        <w:pStyle w:val="FootnoteText"/>
      </w:pPr>
      <w:r>
        <w:rPr>
          <w:rStyle w:val="FootnoteReference"/>
        </w:rPr>
        <w:footnoteRef/>
      </w:r>
      <w:r>
        <w:t xml:space="preserve"> </w:t>
      </w:r>
      <w:r>
        <w:t xml:space="preserve">NCT06858839.</w:t>
      </w:r>
    </w:p>
  </w:footnote>
  <w:footnote w:id="747">
    <w:p>
      <w:pPr>
        <w:pStyle w:val="FootnoteText"/>
      </w:pPr>
      <w:r>
        <w:rPr>
          <w:rStyle w:val="FootnoteReference"/>
        </w:rPr>
        <w:footnoteRef/>
      </w:r>
      <w:r>
        <w:t xml:space="preserve"> </w:t>
      </w:r>
      <w:r>
        <w:t xml:space="preserve">NCT06858878.</w:t>
      </w:r>
    </w:p>
  </w:footnote>
  <w:footnote w:id="748">
    <w:p>
      <w:pPr>
        <w:pStyle w:val="FootnoteText"/>
      </w:pPr>
      <w:r>
        <w:rPr>
          <w:rStyle w:val="FootnoteReference"/>
        </w:rPr>
        <w:footnoteRef/>
      </w:r>
      <w:r>
        <w:t xml:space="preserve"> </w:t>
      </w:r>
      <w:r>
        <w:t xml:space="preserve">NCT07037433.</w:t>
      </w:r>
    </w:p>
  </w:footnote>
  <w:footnote w:id="749">
    <w:p>
      <w:pPr>
        <w:pStyle w:val="FootnoteText"/>
      </w:pPr>
      <w:r>
        <w:rPr>
          <w:rStyle w:val="FootnoteReference"/>
        </w:rPr>
        <w:footnoteRef/>
      </w:r>
      <w:r>
        <w:t xml:space="preserve"> </w:t>
      </w:r>
      <w:r>
        <w:t xml:space="preserve">NCT07037459.</w:t>
      </w:r>
    </w:p>
  </w:footnote>
  <w:footnote w:id="750">
    <w:p>
      <w:pPr>
        <w:pStyle w:val="FootnoteText"/>
      </w:pPr>
      <w:r>
        <w:rPr>
          <w:rStyle w:val="FootnoteReference"/>
        </w:rPr>
        <w:footnoteRef/>
      </w:r>
      <w:r>
        <w:t xml:space="preserve"> </w:t>
      </w:r>
      <w:r>
        <w:t xml:space="preserve">NCT07226765, NCT07225686.</w:t>
      </w:r>
    </w:p>
  </w:footnote>
  <w:footnote w:id="751">
    <w:p>
      <w:pPr>
        <w:pStyle w:val="FootnoteText"/>
      </w:pPr>
      <w:r>
        <w:rPr>
          <w:rStyle w:val="FootnoteReference"/>
        </w:rPr>
        <w:footnoteRef/>
      </w:r>
      <w:r>
        <w:t xml:space="preserve"> </w:t>
      </w:r>
      <w:r>
        <w:t xml:space="preserve">NCT07866066.</w:t>
      </w:r>
    </w:p>
  </w:footnote>
  <w:footnote w:id="752">
    <w:p>
      <w:pPr>
        <w:pStyle w:val="FootnoteText"/>
      </w:pPr>
      <w:r>
        <w:rPr>
          <w:rStyle w:val="FootnoteReference"/>
        </w:rPr>
        <w:footnoteRef/>
      </w:r>
      <w:r>
        <w:t xml:space="preserve"> </w:t>
      </w:r>
      <w:r>
        <w:t xml:space="preserve">NCT07575399.</w:t>
      </w:r>
    </w:p>
  </w:footnote>
  <w:footnote w:id="753">
    <w:p>
      <w:pPr>
        <w:pStyle w:val="FootnoteText"/>
      </w:pPr>
      <w:r>
        <w:rPr>
          <w:rStyle w:val="FootnoteReference"/>
        </w:rPr>
        <w:footnoteRef/>
      </w:r>
      <w:r>
        <w:t xml:space="preserve"> </w:t>
      </w:r>
      <w:r>
        <w:t xml:space="preserve">NCT06987695.</w:t>
      </w:r>
    </w:p>
  </w:footnote>
  <w:footnote w:id="754">
    <w:p>
      <w:pPr>
        <w:pStyle w:val="FootnoteText"/>
      </w:pPr>
      <w:r>
        <w:rPr>
          <w:rStyle w:val="FootnoteReference"/>
        </w:rPr>
        <w:footnoteRef/>
      </w:r>
      <w:r>
        <w:t xml:space="preserve"> </w:t>
      </w:r>
      <w:r>
        <w:t xml:space="preserve">NCT07429032.</w:t>
      </w:r>
    </w:p>
  </w:footnote>
  <w:footnote w:id="755">
    <w:p>
      <w:pPr>
        <w:pStyle w:val="FootnoteText"/>
      </w:pPr>
      <w:r>
        <w:rPr>
          <w:rStyle w:val="FootnoteReference"/>
        </w:rPr>
        <w:footnoteRef/>
      </w:r>
      <w:r>
        <w:t xml:space="preserve"> </w:t>
      </w:r>
      <w:r>
        <w:t xml:space="preserve">NCT07229157.</w:t>
      </w:r>
    </w:p>
  </w:footnote>
  <w:footnote w:id="756">
    <w:p>
      <w:pPr>
        <w:pStyle w:val="FootnoteText"/>
      </w:pPr>
      <w:r>
        <w:rPr>
          <w:rStyle w:val="FootnoteReference"/>
        </w:rPr>
        <w:footnoteRef/>
      </w:r>
      <w:r>
        <w:t xml:space="preserve"> </w:t>
      </w:r>
      <w:r>
        <w:t xml:space="preserve">NCT07523711.</w:t>
      </w:r>
    </w:p>
  </w:footnote>
  <w:footnote w:id="761">
    <w:p>
      <w:pPr>
        <w:pStyle w:val="FootnoteText"/>
      </w:pPr>
      <w:r>
        <w:rPr>
          <w:rStyle w:val="FootnoteReference"/>
        </w:rPr>
        <w:footnoteRef/>
      </w:r>
      <w:r>
        <w:t xml:space="preserve"> </w:t>
      </w:r>
      <w:r>
        <w:t xml:space="preserve">Vella 2002, PMID 11975712.</w:t>
      </w:r>
    </w:p>
  </w:footnote>
  <w:footnote w:id="763">
    <w:p>
      <w:pPr>
        <w:pStyle w:val="FootnoteText"/>
      </w:pPr>
      <w:r>
        <w:rPr>
          <w:rStyle w:val="FootnoteReference"/>
        </w:rPr>
        <w:footnoteRef/>
      </w:r>
      <w:r>
        <w:t xml:space="preserve"> </w:t>
      </w:r>
      <w:r>
        <w:t xml:space="preserve">Avgerinos 2021, PMID 33300282.</w:t>
      </w:r>
    </w:p>
  </w:footnote>
  <w:footnote w:id="765">
    <w:p>
      <w:pPr>
        <w:pStyle w:val="FootnoteText"/>
      </w:pPr>
      <w:r>
        <w:rPr>
          <w:rStyle w:val="FootnoteReference"/>
        </w:rPr>
        <w:footnoteRef/>
      </w:r>
      <w:r>
        <w:t xml:space="preserve"> </w:t>
      </w:r>
      <w:r>
        <w:t xml:space="preserve">Hollander 2003, PMID 12610038.</w:t>
      </w:r>
    </w:p>
  </w:footnote>
  <w:footnote w:id="766">
    <w:p>
      <w:pPr>
        <w:pStyle w:val="FootnoteText"/>
      </w:pPr>
      <w:r>
        <w:rPr>
          <w:rStyle w:val="FootnoteReference"/>
        </w:rPr>
        <w:footnoteRef/>
      </w:r>
      <w:r>
        <w:t xml:space="preserve"> </w:t>
      </w:r>
      <w:r>
        <w:t xml:space="preserve">Riddle 2009, PMID 19502544.</w:t>
      </w:r>
    </w:p>
  </w:footnote>
  <w:footnote w:id="767">
    <w:p>
      <w:pPr>
        <w:pStyle w:val="FootnoteText"/>
      </w:pPr>
      <w:r>
        <w:rPr>
          <w:rStyle w:val="FootnoteReference"/>
        </w:rPr>
        <w:footnoteRef/>
      </w:r>
      <w:r>
        <w:t xml:space="preserve"> </w:t>
      </w:r>
      <w:r>
        <w:t xml:space="preserve">Singh-Franco 2011, PMID 21199269.</w:t>
      </w:r>
    </w:p>
  </w:footnote>
  <w:footnote w:id="769">
    <w:p>
      <w:pPr>
        <w:pStyle w:val="FootnoteText"/>
      </w:pPr>
      <w:r>
        <w:rPr>
          <w:rStyle w:val="FootnoteReference"/>
        </w:rPr>
        <w:footnoteRef/>
      </w:r>
      <w:r>
        <w:t xml:space="preserve"> </w:t>
      </w:r>
      <w:r>
        <w:t xml:space="preserve">Aronne 2007, PMID 17504894.</w:t>
      </w:r>
    </w:p>
  </w:footnote>
  <w:footnote w:id="770">
    <w:p>
      <w:pPr>
        <w:pStyle w:val="FootnoteText"/>
      </w:pPr>
      <w:r>
        <w:rPr>
          <w:rStyle w:val="FootnoteReference"/>
        </w:rPr>
        <w:footnoteRef/>
      </w:r>
      <w:r>
        <w:t xml:space="preserve"> </w:t>
      </w:r>
      <w:r>
        <w:t xml:space="preserve">Smith 2008, PMID 18753666.</w:t>
      </w:r>
    </w:p>
  </w:footnote>
  <w:footnote w:id="771">
    <w:p>
      <w:pPr>
        <w:pStyle w:val="FootnoteText"/>
      </w:pPr>
      <w:r>
        <w:rPr>
          <w:rStyle w:val="FootnoteReference"/>
        </w:rPr>
        <w:footnoteRef/>
      </w:r>
      <w:r>
        <w:t xml:space="preserve"> </w:t>
      </w:r>
      <w:r>
        <w:t xml:space="preserve">Ravussin 2009, PMID 19521351.</w:t>
      </w:r>
    </w:p>
  </w:footnote>
  <w:footnote w:id="773">
    <w:p>
      <w:pPr>
        <w:pStyle w:val="FootnoteText"/>
      </w:pPr>
      <w:r>
        <w:rPr>
          <w:rStyle w:val="FootnoteReference"/>
        </w:rPr>
        <w:footnoteRef/>
      </w:r>
      <w:r>
        <w:t xml:space="preserve"> </w:t>
      </w:r>
      <w:r>
        <w:t xml:space="preserve">Haidar 2020, PMID 31974099.</w:t>
      </w:r>
    </w:p>
  </w:footnote>
  <w:footnote w:id="774">
    <w:p>
      <w:pPr>
        <w:pStyle w:val="FootnoteText"/>
      </w:pPr>
      <w:r>
        <w:rPr>
          <w:rStyle w:val="FootnoteReference"/>
        </w:rPr>
        <w:footnoteRef/>
      </w:r>
      <w:r>
        <w:t xml:space="preserve"> </w:t>
      </w:r>
      <w:r>
        <w:t xml:space="preserve">Odabassian 2025, PMID 41174925.</w:t>
      </w:r>
    </w:p>
  </w:footnote>
  <w:footnote w:id="775">
    <w:p>
      <w:pPr>
        <w:pStyle w:val="FootnoteText"/>
      </w:pPr>
      <w:r>
        <w:rPr>
          <w:rStyle w:val="FootnoteReference"/>
        </w:rPr>
        <w:footnoteRef/>
      </w:r>
      <w:r>
        <w:t xml:space="preserve"> </w:t>
      </w:r>
      <w:r>
        <w:t xml:space="preserve">Andersen 2024, PMID 39109464.</w:t>
      </w:r>
    </w:p>
  </w:footnote>
  <w:footnote w:id="778">
    <w:p>
      <w:pPr>
        <w:pStyle w:val="FootnoteText"/>
      </w:pPr>
      <w:r>
        <w:rPr>
          <w:rStyle w:val="FootnoteReference"/>
        </w:rPr>
        <w:footnoteRef/>
      </w:r>
      <w:r>
        <w:t xml:space="preserve"> </w:t>
      </w:r>
      <w:r>
        <w:t xml:space="preserve">Ghanizada 2021, PMID 33772845.</w:t>
      </w:r>
    </w:p>
  </w:footnote>
  <w:footnote w:id="780">
    <w:p>
      <w:pPr>
        <w:pStyle w:val="FootnoteText"/>
      </w:pPr>
      <w:r>
        <w:rPr>
          <w:rStyle w:val="FootnoteReference"/>
        </w:rPr>
        <w:footnoteRef/>
      </w:r>
      <w:r>
        <w:t xml:space="preserve"> </w:t>
      </w:r>
      <w:r>
        <w:t xml:space="preserve">Smith 2008, PMID 18753666; Edelman 2006, PMID 17003291.</w:t>
      </w:r>
    </w:p>
  </w:footnote>
  <w:footnote w:id="781">
    <w:p>
      <w:pPr>
        <w:pStyle w:val="FootnoteText"/>
      </w:pPr>
      <w:r>
        <w:rPr>
          <w:rStyle w:val="FootnoteReference"/>
        </w:rPr>
        <w:footnoteRef/>
      </w:r>
      <w:r>
        <w:t xml:space="preserve"> </w:t>
      </w:r>
      <w:r>
        <w:t xml:space="preserve">Edelman 2006, PMID 17003291.</w:t>
      </w:r>
    </w:p>
  </w:footnote>
  <w:footnote w:id="782">
    <w:p>
      <w:pPr>
        <w:pStyle w:val="FootnoteText"/>
      </w:pPr>
      <w:r>
        <w:rPr>
          <w:rStyle w:val="FootnoteReference"/>
        </w:rPr>
        <w:footnoteRef/>
      </w:r>
      <w:r>
        <w:t xml:space="preserve"> </w:t>
      </w:r>
      <w:r>
        <w:t xml:space="preserve">Ghanizada 2021, PMID 33772845.</w:t>
      </w:r>
    </w:p>
  </w:footnote>
  <w:footnote w:id="785">
    <w:p>
      <w:pPr>
        <w:pStyle w:val="FootnoteText"/>
      </w:pPr>
      <w:r>
        <w:rPr>
          <w:rStyle w:val="FootnoteReference"/>
        </w:rPr>
        <w:footnoteRef/>
      </w:r>
      <w:r>
        <w:t xml:space="preserve"> </w:t>
      </w:r>
      <w:r>
        <w:t xml:space="preserve">NCT07340788.</w:t>
      </w:r>
    </w:p>
  </w:footnote>
  <w:footnote w:id="786">
    <w:p>
      <w:pPr>
        <w:pStyle w:val="FootnoteText"/>
      </w:pPr>
      <w:r>
        <w:rPr>
          <w:rStyle w:val="FootnoteReference"/>
        </w:rPr>
        <w:footnoteRef/>
      </w:r>
      <w:r>
        <w:t xml:space="preserve"> </w:t>
      </w:r>
      <w:r>
        <w:t xml:space="preserve">NCT07340775.</w:t>
      </w:r>
    </w:p>
  </w:footnote>
  <w:footnote w:id="787">
    <w:p>
      <w:pPr>
        <w:pStyle w:val="FootnoteText"/>
      </w:pPr>
      <w:r>
        <w:rPr>
          <w:rStyle w:val="FootnoteReference"/>
        </w:rPr>
        <w:footnoteRef/>
      </w:r>
      <w:r>
        <w:t xml:space="preserve"> </w:t>
      </w:r>
      <w:r>
        <w:t xml:space="preserve">NCT07506369.</w:t>
      </w:r>
    </w:p>
  </w:footnote>
  <w:footnote w:id="788">
    <w:p>
      <w:pPr>
        <w:pStyle w:val="FootnoteText"/>
      </w:pPr>
      <w:r>
        <w:rPr>
          <w:rStyle w:val="FootnoteReference"/>
        </w:rPr>
        <w:footnoteRef/>
      </w:r>
      <w:r>
        <w:t xml:space="preserve"> </w:t>
      </w:r>
      <w:r>
        <w:t xml:space="preserve">Odabassian 2025, PMID 41174925.</w:t>
      </w:r>
    </w:p>
  </w:footnote>
  <w:footnote w:id="792">
    <w:p>
      <w:pPr>
        <w:pStyle w:val="FootnoteText"/>
      </w:pPr>
      <w:r>
        <w:rPr>
          <w:rStyle w:val="FootnoteReference"/>
        </w:rPr>
        <w:footnoteRef/>
      </w:r>
      <w:r>
        <w:t xml:space="preserve"> </w:t>
      </w:r>
      <w:r>
        <w:t xml:space="preserve">Markham 2021, PMID 33638809.</w:t>
      </w:r>
    </w:p>
  </w:footnote>
  <w:footnote w:id="795">
    <w:p>
      <w:pPr>
        <w:pStyle w:val="FootnoteText"/>
      </w:pPr>
      <w:r>
        <w:rPr>
          <w:rStyle w:val="FootnoteReference"/>
        </w:rPr>
        <w:footnoteRef/>
      </w:r>
      <w:r>
        <w:t xml:space="preserve"> </w:t>
      </w:r>
      <w:r>
        <w:t xml:space="preserve">Kühnen 2016, PMID 27468060.</w:t>
      </w:r>
    </w:p>
  </w:footnote>
  <w:footnote w:id="796">
    <w:p>
      <w:pPr>
        <w:pStyle w:val="FootnoteText"/>
      </w:pPr>
      <w:r>
        <w:rPr>
          <w:rStyle w:val="FootnoteReference"/>
        </w:rPr>
        <w:footnoteRef/>
      </w:r>
      <w:r>
        <w:t xml:space="preserve"> </w:t>
      </w:r>
      <w:r>
        <w:t xml:space="preserve">Clément 2018, PMID 29736023.</w:t>
      </w:r>
    </w:p>
  </w:footnote>
  <w:footnote w:id="797">
    <w:p>
      <w:pPr>
        <w:pStyle w:val="FootnoteText"/>
      </w:pPr>
      <w:r>
        <w:rPr>
          <w:rStyle w:val="FootnoteReference"/>
        </w:rPr>
        <w:footnoteRef/>
      </w:r>
      <w:r>
        <w:t xml:space="preserve"> </w:t>
      </w:r>
      <w:r>
        <w:t xml:space="preserve">Clément 2020, PMID 33137293.</w:t>
      </w:r>
    </w:p>
  </w:footnote>
  <w:footnote w:id="799">
    <w:p>
      <w:pPr>
        <w:pStyle w:val="FootnoteText"/>
      </w:pPr>
      <w:r>
        <w:rPr>
          <w:rStyle w:val="FootnoteReference"/>
        </w:rPr>
        <w:footnoteRef/>
      </w:r>
      <w:r>
        <w:t xml:space="preserve"> </w:t>
      </w:r>
      <w:r>
        <w:t xml:space="preserve">Haqq 2022, PMID 36356613.</w:t>
      </w:r>
    </w:p>
  </w:footnote>
  <w:footnote w:id="800">
    <w:p>
      <w:pPr>
        <w:pStyle w:val="FootnoteText"/>
      </w:pPr>
      <w:r>
        <w:rPr>
          <w:rStyle w:val="FootnoteReference"/>
        </w:rPr>
        <w:footnoteRef/>
      </w:r>
      <w:r>
        <w:t xml:space="preserve"> </w:t>
      </w:r>
      <w:r>
        <w:t xml:space="preserve">Argente 2026, PMID 41703984.</w:t>
      </w:r>
    </w:p>
  </w:footnote>
  <w:footnote w:id="802">
    <w:p>
      <w:pPr>
        <w:pStyle w:val="FootnoteText"/>
      </w:pPr>
      <w:r>
        <w:rPr>
          <w:rStyle w:val="FootnoteReference"/>
        </w:rPr>
        <w:footnoteRef/>
      </w:r>
      <w:r>
        <w:t xml:space="preserve"> </w:t>
      </w:r>
      <w:r>
        <w:t xml:space="preserve">Argente 2025, PMID 39549719.</w:t>
      </w:r>
    </w:p>
  </w:footnote>
  <w:footnote w:id="804">
    <w:p>
      <w:pPr>
        <w:pStyle w:val="FootnoteText"/>
      </w:pPr>
      <w:r>
        <w:rPr>
          <w:rStyle w:val="FootnoteReference"/>
        </w:rPr>
        <w:footnoteRef/>
      </w:r>
      <w:r>
        <w:t xml:space="preserve"> </w:t>
      </w:r>
      <w:r>
        <w:t xml:space="preserve">Roth 2024, PMID 38697184.</w:t>
      </w:r>
    </w:p>
  </w:footnote>
  <w:footnote w:id="805">
    <w:p>
      <w:pPr>
        <w:pStyle w:val="FootnoteText"/>
      </w:pPr>
      <w:r>
        <w:rPr>
          <w:rStyle w:val="FootnoteReference"/>
        </w:rPr>
        <w:footnoteRef/>
      </w:r>
      <w:r>
        <w:t xml:space="preserve"> </w:t>
      </w:r>
      <w:r>
        <w:t xml:space="preserve">Miller 2026, PMID 42418774.</w:t>
      </w:r>
    </w:p>
  </w:footnote>
  <w:footnote w:id="807">
    <w:p>
      <w:pPr>
        <w:pStyle w:val="FootnoteText"/>
      </w:pPr>
      <w:r>
        <w:rPr>
          <w:rStyle w:val="FootnoteReference"/>
        </w:rPr>
        <w:footnoteRef/>
      </w:r>
      <w:r>
        <w:t xml:space="preserve"> </w:t>
      </w:r>
      <w:r>
        <w:t xml:space="preserve">Collet 2017, PMID 29031731.</w:t>
      </w:r>
    </w:p>
  </w:footnote>
  <w:footnote w:id="808">
    <w:p>
      <w:pPr>
        <w:pStyle w:val="FootnoteText"/>
      </w:pPr>
      <w:r>
        <w:rPr>
          <w:rStyle w:val="FootnoteReference"/>
        </w:rPr>
        <w:footnoteRef/>
      </w:r>
      <w:r>
        <w:t xml:space="preserve"> </w:t>
      </w:r>
      <w:r>
        <w:t xml:space="preserve">NCT05093634.</w:t>
      </w:r>
    </w:p>
  </w:footnote>
  <w:footnote w:id="811">
    <w:p>
      <w:pPr>
        <w:pStyle w:val="FootnoteText"/>
      </w:pPr>
      <w:r>
        <w:rPr>
          <w:rStyle w:val="FootnoteReference"/>
        </w:rPr>
        <w:footnoteRef/>
      </w:r>
      <w:r>
        <w:t xml:space="preserve"> </w:t>
      </w:r>
      <w:r>
        <w:t xml:space="preserve">Collet 2017, PMID 29031731.</w:t>
      </w:r>
    </w:p>
  </w:footnote>
  <w:footnote w:id="813">
    <w:p>
      <w:pPr>
        <w:pStyle w:val="FootnoteText"/>
      </w:pPr>
      <w:r>
        <w:rPr>
          <w:rStyle w:val="FootnoteReference"/>
        </w:rPr>
        <w:footnoteRef/>
      </w:r>
      <w:r>
        <w:t xml:space="preserve"> </w:t>
      </w:r>
      <w:r>
        <w:t xml:space="preserve">Sridharan 2026, PMID 39924461.</w:t>
      </w:r>
    </w:p>
  </w:footnote>
  <w:footnote w:id="814">
    <w:p>
      <w:pPr>
        <w:pStyle w:val="FootnoteText"/>
      </w:pPr>
      <w:r>
        <w:rPr>
          <w:rStyle w:val="FootnoteReference"/>
        </w:rPr>
        <w:footnoteRef/>
      </w:r>
      <w:r>
        <w:t xml:space="preserve"> </w:t>
      </w:r>
      <w:r>
        <w:t xml:space="preserve">Kanti 2021, PMID 34058738.</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Miller 2026, PMID 42418774.</w:t>
      </w:r>
    </w:p>
  </w:footnote>
  <w:footnote w:id="817">
    <w:p>
      <w:pPr>
        <w:pStyle w:val="FootnoteText"/>
      </w:pPr>
      <w:r>
        <w:rPr>
          <w:rStyle w:val="FootnoteReference"/>
        </w:rPr>
        <w:footnoteRef/>
      </w:r>
      <w:r>
        <w:t xml:space="preserve"> </w:t>
      </w:r>
      <w:r>
        <w:t xml:space="preserve">Haqq 2022, PMID 36356613.</w:t>
      </w:r>
    </w:p>
  </w:footnote>
  <w:footnote w:id="820">
    <w:p>
      <w:pPr>
        <w:pStyle w:val="FootnoteText"/>
      </w:pPr>
      <w:r>
        <w:rPr>
          <w:rStyle w:val="FootnoteReference"/>
        </w:rPr>
        <w:footnoteRef/>
      </w:r>
      <w:r>
        <w:t xml:space="preserve"> </w:t>
      </w:r>
      <w:r>
        <w:t xml:space="preserve">NCT05774756.</w:t>
      </w:r>
    </w:p>
  </w:footnote>
  <w:footnote w:id="821">
    <w:p>
      <w:pPr>
        <w:pStyle w:val="FootnoteText"/>
      </w:pPr>
      <w:r>
        <w:rPr>
          <w:rStyle w:val="FootnoteReference"/>
        </w:rPr>
        <w:footnoteRef/>
      </w:r>
      <w:r>
        <w:t xml:space="preserve"> </w:t>
      </w:r>
      <w:r>
        <w:t xml:space="preserve">NCT06760546.</w:t>
      </w:r>
    </w:p>
  </w:footnote>
  <w:footnote w:id="822">
    <w:p>
      <w:pPr>
        <w:pStyle w:val="FootnoteText"/>
      </w:pPr>
      <w:r>
        <w:rPr>
          <w:rStyle w:val="FootnoteReference"/>
        </w:rPr>
        <w:footnoteRef/>
      </w:r>
      <w:r>
        <w:t xml:space="preserve"> </w:t>
      </w:r>
      <w:r>
        <w:t xml:space="preserve">NCT06772597.</w:t>
      </w:r>
    </w:p>
  </w:footnote>
  <w:footnote w:id="823">
    <w:p>
      <w:pPr>
        <w:pStyle w:val="FootnoteText"/>
      </w:pPr>
      <w:r>
        <w:rPr>
          <w:rStyle w:val="FootnoteReference"/>
        </w:rPr>
        <w:footnoteRef/>
      </w:r>
      <w:r>
        <w:t xml:space="preserve"> </w:t>
      </w:r>
      <w:r>
        <w:t xml:space="preserve">NCT07674290.</w:t>
      </w:r>
    </w:p>
  </w:footnote>
  <w:footnote w:id="824">
    <w:p>
      <w:pPr>
        <w:pStyle w:val="FootnoteText"/>
      </w:pPr>
      <w:r>
        <w:rPr>
          <w:rStyle w:val="FootnoteReference"/>
        </w:rPr>
        <w:footnoteRef/>
      </w:r>
      <w:r>
        <w:t xml:space="preserve"> </w:t>
      </w:r>
      <w:r>
        <w:t xml:space="preserve">NCT05093634.</w:t>
      </w:r>
    </w:p>
  </w:footnote>
  <w:footnote w:id="825">
    <w:p>
      <w:pPr>
        <w:pStyle w:val="FootnoteText"/>
      </w:pPr>
      <w:r>
        <w:rPr>
          <w:rStyle w:val="FootnoteReference"/>
        </w:rPr>
        <w:footnoteRef/>
      </w:r>
      <w:r>
        <w:t xml:space="preserve"> </w:t>
      </w:r>
      <w:r>
        <w:t xml:space="preserve">NCT04963231.</w:t>
      </w:r>
    </w:p>
  </w:footnote>
  <w:footnote w:id="829">
    <w:p>
      <w:pPr>
        <w:pStyle w:val="FootnoteText"/>
      </w:pPr>
      <w:r>
        <w:rPr>
          <w:rStyle w:val="FootnoteReference"/>
        </w:rPr>
        <w:footnoteRef/>
      </w:r>
      <w:r>
        <w:t xml:space="preserve"> </w:t>
      </w:r>
      <w:r>
        <w:t xml:space="preserve">Cox 2015, PMID 25208511.</w:t>
      </w:r>
    </w:p>
  </w:footnote>
  <w:footnote w:id="831">
    <w:p>
      <w:pPr>
        <w:pStyle w:val="FootnoteText"/>
      </w:pPr>
      <w:r>
        <w:rPr>
          <w:rStyle w:val="FootnoteReference"/>
        </w:rPr>
        <w:footnoteRef/>
      </w:r>
      <w:r>
        <w:t xml:space="preserve"> </w:t>
      </w:r>
      <w:r>
        <w:t xml:space="preserve">Wade 1982, PMID 6751009.</w:t>
      </w:r>
    </w:p>
  </w:footnote>
  <w:footnote w:id="832">
    <w:p>
      <w:pPr>
        <w:pStyle w:val="FootnoteText"/>
      </w:pPr>
      <w:r>
        <w:rPr>
          <w:rStyle w:val="FootnoteReference"/>
        </w:rPr>
        <w:footnoteRef/>
      </w:r>
      <w:r>
        <w:t xml:space="preserve"> </w:t>
      </w:r>
      <w:r>
        <w:t xml:space="preserve">Heffernan 2001, PMID 11673763.</w:t>
      </w:r>
    </w:p>
  </w:footnote>
  <w:footnote w:id="833">
    <w:p>
      <w:pPr>
        <w:pStyle w:val="FootnoteText"/>
      </w:pPr>
      <w:r>
        <w:rPr>
          <w:rStyle w:val="FootnoteReference"/>
        </w:rPr>
        <w:footnoteRef/>
      </w:r>
      <w:r>
        <w:t xml:space="preserve"> </w:t>
      </w:r>
      <w:r>
        <w:t xml:space="preserve">Heffernan 2001, PMID 11713213.</w:t>
      </w:r>
    </w:p>
  </w:footnote>
  <w:footnote w:id="835">
    <w:p>
      <w:pPr>
        <w:pStyle w:val="FootnoteText"/>
      </w:pPr>
      <w:r>
        <w:rPr>
          <w:rStyle w:val="FootnoteReference"/>
        </w:rPr>
        <w:footnoteRef/>
      </w:r>
      <w:r>
        <w:t xml:space="preserve"> </w:t>
      </w:r>
      <w:r>
        <w:t xml:space="preserve">Wilding 2004, PMID 15134286; Halford 2006, PMID 16625817.</w:t>
      </w:r>
    </w:p>
  </w:footnote>
  <w:footnote w:id="837">
    <w:p>
      <w:pPr>
        <w:pStyle w:val="FootnoteText"/>
      </w:pPr>
      <w:r>
        <w:rPr>
          <w:rStyle w:val="FootnoteReference"/>
        </w:rPr>
        <w:footnoteRef/>
      </w:r>
      <w:r>
        <w:t xml:space="preserve"> </w:t>
      </w:r>
      <w:r>
        <w:t xml:space="preserve">Ng 2000, PMID 11146367.</w:t>
      </w:r>
    </w:p>
  </w:footnote>
  <w:footnote w:id="838">
    <w:p>
      <w:pPr>
        <w:pStyle w:val="FootnoteText"/>
      </w:pPr>
      <w:r>
        <w:rPr>
          <w:rStyle w:val="FootnoteReference"/>
        </w:rPr>
        <w:footnoteRef/>
      </w:r>
      <w:r>
        <w:t xml:space="preserve"> </w:t>
      </w:r>
      <w:r>
        <w:t xml:space="preserve">Heffernan 2001, PMID 11673763.</w:t>
      </w:r>
    </w:p>
  </w:footnote>
  <w:footnote w:id="839">
    <w:p>
      <w:pPr>
        <w:pStyle w:val="FootnoteText"/>
      </w:pPr>
      <w:r>
        <w:rPr>
          <w:rStyle w:val="FootnoteReference"/>
        </w:rPr>
        <w:footnoteRef/>
      </w:r>
      <w:r>
        <w:t xml:space="preserve"> </w:t>
      </w:r>
      <w:r>
        <w:t xml:space="preserve">Natera 1994, PMID 7987248.</w:t>
      </w:r>
    </w:p>
  </w:footnote>
  <w:footnote w:id="840">
    <w:p>
      <w:pPr>
        <w:pStyle w:val="FootnoteText"/>
      </w:pPr>
      <w:r>
        <w:rPr>
          <w:rStyle w:val="FootnoteReference"/>
        </w:rPr>
        <w:footnoteRef/>
      </w:r>
      <w:r>
        <w:t xml:space="preserve"> </w:t>
      </w:r>
      <w:r>
        <w:t xml:space="preserve">Kwon 2015, PMID 26275694.</w:t>
      </w:r>
    </w:p>
  </w:footnote>
  <w:footnote w:id="842">
    <w:p>
      <w:pPr>
        <w:pStyle w:val="FootnoteText"/>
      </w:pPr>
      <w:r>
        <w:rPr>
          <w:rStyle w:val="FootnoteReference"/>
        </w:rPr>
        <w:footnoteRef/>
      </w:r>
      <w:r>
        <w:t xml:space="preserve"> </w:t>
      </w:r>
      <w:r>
        <w:t xml:space="preserve">Cox 2015, PMID 25208511.</w:t>
      </w:r>
    </w:p>
  </w:footnote>
  <w:footnote w:id="843">
    <w:p>
      <w:pPr>
        <w:pStyle w:val="FootnoteText"/>
      </w:pPr>
      <w:r>
        <w:rPr>
          <w:rStyle w:val="FootnoteReference"/>
        </w:rPr>
        <w:footnoteRef/>
      </w:r>
      <w:r>
        <w:t xml:space="preserve"> </w:t>
      </w:r>
      <w:r>
        <w:t xml:space="preserve">Vanhee 2014, PMID 24976118.</w:t>
      </w:r>
    </w:p>
  </w:footnote>
  <w:footnote w:id="844">
    <w:p>
      <w:pPr>
        <w:pStyle w:val="FootnoteText"/>
      </w:pPr>
      <w:r>
        <w:rPr>
          <w:rStyle w:val="FootnoteReference"/>
        </w:rPr>
        <w:footnoteRef/>
      </w:r>
      <w:r>
        <w:t xml:space="preserve"> </w:t>
      </w:r>
      <w:r>
        <w:t xml:space="preserve">Mendias 2026, PMID 41966639; Dominikowski 2026, PMID 42395176.</w:t>
      </w:r>
    </w:p>
  </w:footnote>
  <w:footnote w:id="845">
    <w:p>
      <w:pPr>
        <w:pStyle w:val="FootnoteText"/>
      </w:pPr>
      <w:r>
        <w:rPr>
          <w:rStyle w:val="FootnoteReference"/>
        </w:rPr>
        <w:footnoteRef/>
      </w:r>
      <w:r>
        <w:t xml:space="preserve"> </w:t>
      </w:r>
      <w:r>
        <w:t xml:space="preserve">Coutinho 2026, PMID 41880199.</w:t>
      </w:r>
    </w:p>
  </w:footnote>
  <w:footnote w:id="846">
    <w:p>
      <w:pPr>
        <w:pStyle w:val="FootnoteText"/>
      </w:pPr>
      <w:r>
        <w:rPr>
          <w:rStyle w:val="FootnoteReference"/>
        </w:rPr>
        <w:footnoteRef/>
      </w:r>
      <w:r>
        <w:t xml:space="preserve"> </w:t>
      </w:r>
      <w:r>
        <w:t xml:space="preserve">Heffernan 2001, PMID 11673763.</w:t>
      </w:r>
    </w:p>
  </w:footnote>
  <w:footnote w:id="848">
    <w:p>
      <w:pPr>
        <w:pStyle w:val="FootnoteText"/>
      </w:pPr>
      <w:r>
        <w:rPr>
          <w:rStyle w:val="FootnoteReference"/>
        </w:rPr>
        <w:footnoteRef/>
      </w:r>
      <w:r>
        <w:t xml:space="preserve"> </w:t>
      </w:r>
      <w:r>
        <w:t xml:space="preserve">Cox 2015, PMID 25208511.</w:t>
      </w:r>
    </w:p>
  </w:footnote>
  <w:footnote w:id="849">
    <w:p>
      <w:pPr>
        <w:pStyle w:val="FootnoteText"/>
      </w:pPr>
      <w:r>
        <w:rPr>
          <w:rStyle w:val="FootnoteReference"/>
        </w:rPr>
        <w:footnoteRef/>
      </w:r>
      <w:r>
        <w:t xml:space="preserve"> </w:t>
      </w:r>
      <w:r>
        <w:t xml:space="preserve">Orlovius 2013, PMID 24124033.</w:t>
      </w:r>
    </w:p>
  </w:footnote>
  <w:footnote w:id="855">
    <w:p>
      <w:pPr>
        <w:pStyle w:val="FootnoteText"/>
      </w:pPr>
      <w:r>
        <w:rPr>
          <w:rStyle w:val="FootnoteReference"/>
        </w:rPr>
        <w:footnoteRef/>
      </w:r>
      <w:r>
        <w:t xml:space="preserve"> </w:t>
      </w:r>
      <w:r>
        <w:t xml:space="preserve">Rosenstock 2026, PMID 41765029.</w:t>
      </w:r>
    </w:p>
  </w:footnote>
  <w:footnote w:id="857">
    <w:p>
      <w:pPr>
        <w:pStyle w:val="FootnoteText"/>
      </w:pPr>
      <w:r>
        <w:rPr>
          <w:rStyle w:val="FootnoteReference"/>
        </w:rPr>
        <w:footnoteRef/>
      </w:r>
      <w:r>
        <w:t xml:space="preserve"> </w:t>
      </w:r>
      <w:r>
        <w:t xml:space="preserve">Rosenstock 2025, PMID 40808573.</w:t>
      </w:r>
    </w:p>
  </w:footnote>
  <w:footnote w:id="859">
    <w:p>
      <w:pPr>
        <w:pStyle w:val="FootnoteText"/>
      </w:pPr>
      <w:r>
        <w:rPr>
          <w:rStyle w:val="FootnoteReference"/>
        </w:rPr>
        <w:footnoteRef/>
      </w:r>
      <w:r>
        <w:t xml:space="preserve"> </w:t>
      </w:r>
      <w:r>
        <w:t xml:space="preserve">Wharton 2025, PMID 40960239.</w:t>
      </w:r>
    </w:p>
  </w:footnote>
  <w:footnote w:id="860">
    <w:p>
      <w:pPr>
        <w:pStyle w:val="FootnoteText"/>
      </w:pPr>
      <w:r>
        <w:rPr>
          <w:rStyle w:val="FootnoteReference"/>
        </w:rPr>
        <w:footnoteRef/>
      </w:r>
      <w:r>
        <w:t xml:space="preserve"> </w:t>
      </w:r>
      <w:r>
        <w:t xml:space="preserve">Wharton 2023, PMID 37351564.</w:t>
      </w:r>
    </w:p>
  </w:footnote>
  <w:footnote w:id="861">
    <w:p>
      <w:pPr>
        <w:pStyle w:val="FootnoteText"/>
      </w:pPr>
      <w:r>
        <w:rPr>
          <w:rStyle w:val="FootnoteReference"/>
        </w:rPr>
        <w:footnoteRef/>
      </w:r>
      <w:r>
        <w:t xml:space="preserve"> </w:t>
      </w:r>
      <w:r>
        <w:t xml:space="preserve">Horn 2026, PMID 41275875.</w:t>
      </w:r>
    </w:p>
  </w:footnote>
  <w:footnote w:id="862">
    <w:p>
      <w:pPr>
        <w:pStyle w:val="FootnoteText"/>
      </w:pPr>
      <w:r>
        <w:rPr>
          <w:rStyle w:val="FootnoteReference"/>
        </w:rPr>
        <w:footnoteRef/>
      </w:r>
      <w:r>
        <w:t xml:space="preserve"> </w:t>
      </w:r>
      <w:r>
        <w:t xml:space="preserve">Aronne 2026, PMID 42120723.</w:t>
      </w:r>
    </w:p>
  </w:footnote>
  <w:footnote w:id="864">
    <w:p>
      <w:pPr>
        <w:pStyle w:val="FootnoteText"/>
      </w:pPr>
      <w:r>
        <w:rPr>
          <w:rStyle w:val="FootnoteReference"/>
        </w:rPr>
        <w:footnoteRef/>
      </w:r>
      <w:r>
        <w:t xml:space="preserve"> </w:t>
      </w:r>
      <w:r>
        <w:t xml:space="preserve">Rosenstock 2025, PMID 40544435.</w:t>
      </w:r>
    </w:p>
  </w:footnote>
  <w:footnote w:id="865">
    <w:p>
      <w:pPr>
        <w:pStyle w:val="FootnoteText"/>
      </w:pPr>
      <w:r>
        <w:rPr>
          <w:rStyle w:val="FootnoteReference"/>
        </w:rPr>
        <w:footnoteRef/>
      </w:r>
      <w:r>
        <w:t xml:space="preserve"> </w:t>
      </w:r>
      <w:r>
        <w:t xml:space="preserve">Welch 2026, PMID 42259339.</w:t>
      </w:r>
    </w:p>
  </w:footnote>
  <w:footnote w:id="866">
    <w:p>
      <w:pPr>
        <w:pStyle w:val="FootnoteText"/>
      </w:pPr>
      <w:r>
        <w:rPr>
          <w:rStyle w:val="FootnoteReference"/>
        </w:rPr>
        <w:footnoteRef/>
      </w:r>
      <w:r>
        <w:t xml:space="preserve"> </w:t>
      </w:r>
      <w:r>
        <w:t xml:space="preserve">Rosenstock 2026, PMID 41765029.</w:t>
      </w:r>
    </w:p>
  </w:footnote>
  <w:footnote w:id="867">
    <w:p>
      <w:pPr>
        <w:pStyle w:val="FootnoteText"/>
      </w:pPr>
      <w:r>
        <w:rPr>
          <w:rStyle w:val="FootnoteReference"/>
        </w:rPr>
        <w:footnoteRef/>
      </w:r>
      <w:r>
        <w:t xml:space="preserve"> </w:t>
      </w:r>
      <w:r>
        <w:t xml:space="preserve">Klein 2026, PMID 42815506.</w:t>
      </w:r>
    </w:p>
  </w:footnote>
  <w:footnote w:id="870">
    <w:p>
      <w:pPr>
        <w:pStyle w:val="FootnoteText"/>
      </w:pPr>
      <w:r>
        <w:rPr>
          <w:rStyle w:val="FootnoteReference"/>
        </w:rPr>
        <w:footnoteRef/>
      </w:r>
      <w:r>
        <w:t xml:space="preserve"> </w:t>
      </w:r>
      <w:r>
        <w:t xml:space="preserve">NCT05469126, NCT05573230, NCT06370728, NCT06704763.</w:t>
      </w:r>
    </w:p>
  </w:footnote>
  <w:footnote w:id="872">
    <w:p>
      <w:pPr>
        <w:pStyle w:val="FootnoteText"/>
      </w:pPr>
      <w:r>
        <w:rPr>
          <w:rStyle w:val="FootnoteReference"/>
        </w:rPr>
        <w:footnoteRef/>
      </w:r>
      <w:r>
        <w:t xml:space="preserve"> </w:t>
      </w:r>
      <w:r>
        <w:t xml:space="preserve">Klein 2026, PMID 42815506.</w:t>
      </w:r>
    </w:p>
  </w:footnote>
  <w:footnote w:id="873">
    <w:p>
      <w:pPr>
        <w:pStyle w:val="FootnoteText"/>
      </w:pPr>
      <w:r>
        <w:rPr>
          <w:rStyle w:val="FootnoteReference"/>
        </w:rPr>
        <w:footnoteRef/>
      </w:r>
      <w:r>
        <w:t xml:space="preserve"> </w:t>
      </w:r>
      <w:r>
        <w:t xml:space="preserve">Wharton 2025, PMID 40960239.</w:t>
      </w:r>
    </w:p>
  </w:footnote>
  <w:footnote w:id="874">
    <w:p>
      <w:pPr>
        <w:pStyle w:val="FootnoteText"/>
      </w:pPr>
      <w:r>
        <w:rPr>
          <w:rStyle w:val="FootnoteReference"/>
        </w:rPr>
        <w:footnoteRef/>
      </w:r>
      <w:r>
        <w:t xml:space="preserve"> </w:t>
      </w:r>
      <w:r>
        <w:t xml:space="preserve">Rosenstock 2026, PMID 41765029.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Klein 2026, PMID 42815506.</w:t>
      </w:r>
    </w:p>
  </w:footnote>
  <w:footnote w:id="877">
    <w:p>
      <w:pPr>
        <w:pStyle w:val="FootnoteText"/>
      </w:pPr>
      <w:r>
        <w:rPr>
          <w:rStyle w:val="FootnoteReference"/>
        </w:rPr>
        <w:footnoteRef/>
      </w:r>
      <w:r>
        <w:t xml:space="preserve"> </w:t>
      </w:r>
      <w:r>
        <w:t xml:space="preserve">NCT07241390.</w:t>
      </w:r>
    </w:p>
  </w:footnote>
  <w:footnote w:id="878">
    <w:p>
      <w:pPr>
        <w:pStyle w:val="FootnoteText"/>
      </w:pPr>
      <w:r>
        <w:rPr>
          <w:rStyle w:val="FootnoteReference"/>
        </w:rPr>
        <w:footnoteRef/>
      </w:r>
      <w:r>
        <w:t xml:space="preserve"> </w:t>
      </w:r>
      <w:r>
        <w:t xml:space="preserve">Wharton 2026, PMID 42338042.</w:t>
      </w:r>
    </w:p>
  </w:footnote>
  <w:footnote w:id="881">
    <w:p>
      <w:pPr>
        <w:pStyle w:val="FootnoteText"/>
      </w:pPr>
      <w:r>
        <w:rPr>
          <w:rStyle w:val="FootnoteReference"/>
        </w:rPr>
        <w:footnoteRef/>
      </w:r>
      <w:r>
        <w:t xml:space="preserve"> </w:t>
      </w:r>
      <w:r>
        <w:t xml:space="preserve">NCT07223593.</w:t>
      </w:r>
    </w:p>
  </w:footnote>
  <w:footnote w:id="882">
    <w:p>
      <w:pPr>
        <w:pStyle w:val="FootnoteText"/>
      </w:pPr>
      <w:r>
        <w:rPr>
          <w:rStyle w:val="FootnoteReference"/>
        </w:rPr>
        <w:footnoteRef/>
      </w:r>
      <w:r>
        <w:t xml:space="preserve"> </w:t>
      </w:r>
      <w:r>
        <w:t xml:space="preserve">NCT06948422, NCT06948435, NCT06952530.</w:t>
      </w:r>
    </w:p>
  </w:footnote>
  <w:footnote w:id="883">
    <w:p>
      <w:pPr>
        <w:pStyle w:val="FootnoteText"/>
      </w:pPr>
      <w:r>
        <w:rPr>
          <w:rStyle w:val="FootnoteReference"/>
        </w:rPr>
        <w:footnoteRef/>
      </w:r>
      <w:r>
        <w:t xml:space="preserve"> </w:t>
      </w:r>
      <w:r>
        <w:t xml:space="preserve">NCT07153471.</w:t>
      </w:r>
    </w:p>
  </w:footnote>
  <w:footnote w:id="884">
    <w:p>
      <w:pPr>
        <w:pStyle w:val="FootnoteText"/>
      </w:pPr>
      <w:r>
        <w:rPr>
          <w:rStyle w:val="FootnoteReference"/>
        </w:rPr>
        <w:footnoteRef/>
      </w:r>
      <w:r>
        <w:t xml:space="preserve"> </w:t>
      </w:r>
      <w:r>
        <w:t xml:space="preserve">NCT07202884.</w:t>
      </w:r>
    </w:p>
  </w:footnote>
  <w:footnote w:id="885">
    <w:p>
      <w:pPr>
        <w:pStyle w:val="FootnoteText"/>
      </w:pPr>
      <w:r>
        <w:rPr>
          <w:rStyle w:val="FootnoteReference"/>
        </w:rPr>
        <w:footnoteRef/>
      </w:r>
      <w:r>
        <w:t xml:space="preserve"> </w:t>
      </w:r>
      <w:r>
        <w:t xml:space="preserve">NCT06672939.</w:t>
      </w:r>
    </w:p>
  </w:footnote>
  <w:footnote w:id="886">
    <w:p>
      <w:pPr>
        <w:pStyle w:val="FootnoteText"/>
      </w:pPr>
      <w:r>
        <w:rPr>
          <w:rStyle w:val="FootnoteReference"/>
        </w:rPr>
        <w:footnoteRef/>
      </w:r>
      <w:r>
        <w:t xml:space="preserve"> </w:t>
      </w:r>
      <w:r>
        <w:t xml:space="preserve">NCT07668336.</w:t>
      </w:r>
    </w:p>
  </w:footnote>
  <w:footnote w:id="887">
    <w:p>
      <w:pPr>
        <w:pStyle w:val="FootnoteText"/>
      </w:pPr>
      <w:r>
        <w:rPr>
          <w:rStyle w:val="FootnoteReference"/>
        </w:rPr>
        <w:footnoteRef/>
      </w:r>
      <w:r>
        <w:t xml:space="preserve"> </w:t>
      </w:r>
      <w:r>
        <w:t xml:space="preserve">NCT06649045.</w:t>
      </w:r>
    </w:p>
  </w:footnote>
  <w:footnote w:id="895">
    <w:p>
      <w:pPr>
        <w:pStyle w:val="FootnoteText"/>
      </w:pPr>
      <w:r>
        <w:rPr>
          <w:rStyle w:val="FootnoteReference"/>
        </w:rPr>
        <w:footnoteRef/>
      </w:r>
      <w:r>
        <w:t xml:space="preserve"> </w:t>
      </w:r>
      <w:r>
        <w:t xml:space="preserve">Cox 2017, PMID 28035768.</w:t>
      </w:r>
    </w:p>
  </w:footnote>
  <w:footnote w:id="897">
    <w:p>
      <w:pPr>
        <w:pStyle w:val="FootnoteText"/>
      </w:pPr>
      <w:r>
        <w:rPr>
          <w:rStyle w:val="FootnoteReference"/>
        </w:rPr>
        <w:footnoteRef/>
      </w:r>
      <w:r>
        <w:t xml:space="preserve"> </w:t>
      </w:r>
      <w:r>
        <w:t xml:space="preserve">Hsieh 2017, PMID 27847966.</w:t>
      </w:r>
    </w:p>
  </w:footnote>
  <w:footnote w:id="898">
    <w:p>
      <w:pPr>
        <w:pStyle w:val="FootnoteText"/>
      </w:pPr>
      <w:r>
        <w:rPr>
          <w:rStyle w:val="FootnoteReference"/>
        </w:rPr>
        <w:footnoteRef/>
      </w:r>
      <w:r>
        <w:t xml:space="preserve"> </w:t>
      </w:r>
      <w:r>
        <w:t xml:space="preserve">Zhang 2026, PMID 41606641.</w:t>
      </w:r>
    </w:p>
  </w:footnote>
  <w:footnote w:id="899">
    <w:p>
      <w:pPr>
        <w:pStyle w:val="FootnoteText"/>
      </w:pPr>
      <w:r>
        <w:rPr>
          <w:rStyle w:val="FootnoteReference"/>
        </w:rPr>
        <w:footnoteRef/>
      </w:r>
      <w:r>
        <w:t xml:space="preserve"> </w:t>
      </w:r>
      <w:r>
        <w:t xml:space="preserve">Chang 2011, PMID 21030672.</w:t>
      </w:r>
    </w:p>
  </w:footnote>
  <w:footnote w:id="900">
    <w:p>
      <w:pPr>
        <w:pStyle w:val="FootnoteText"/>
      </w:pPr>
      <w:r>
        <w:rPr>
          <w:rStyle w:val="FootnoteReference"/>
        </w:rPr>
        <w:footnoteRef/>
      </w:r>
      <w:r>
        <w:t xml:space="preserve"> </w:t>
      </w:r>
      <w:r>
        <w:t xml:space="preserve">Chang 2014, PMID 25415472.</w:t>
      </w:r>
    </w:p>
  </w:footnote>
  <w:footnote w:id="901">
    <w:p>
      <w:pPr>
        <w:pStyle w:val="FootnoteText"/>
      </w:pPr>
      <w:r>
        <w:rPr>
          <w:rStyle w:val="FootnoteReference"/>
        </w:rPr>
        <w:footnoteRef/>
      </w:r>
      <w:r>
        <w:t xml:space="preserve"> </w:t>
      </w:r>
      <w:r>
        <w:t xml:space="preserve">Sikiric 2025, PMID 40573323.</w:t>
      </w:r>
    </w:p>
  </w:footnote>
  <w:footnote w:id="902">
    <w:p>
      <w:pPr>
        <w:pStyle w:val="FootnoteText"/>
      </w:pPr>
      <w:r>
        <w:rPr>
          <w:rStyle w:val="FootnoteReference"/>
        </w:rPr>
        <w:footnoteRef/>
      </w:r>
      <w:r>
        <w:t xml:space="preserve"> </w:t>
      </w:r>
      <w:r>
        <w:t xml:space="preserve">Mateescu 2026, PMID 42198317.</w:t>
      </w:r>
    </w:p>
  </w:footnote>
  <w:footnote w:id="904">
    <w:p>
      <w:pPr>
        <w:pStyle w:val="FootnoteText"/>
      </w:pPr>
      <w:r>
        <w:rPr>
          <w:rStyle w:val="FootnoteReference"/>
        </w:rPr>
        <w:footnoteRef/>
      </w:r>
      <w:r>
        <w:t xml:space="preserve"> </w:t>
      </w:r>
      <w:r>
        <w:t xml:space="preserve">Poolton 2026, PMID 42885452.</w:t>
      </w:r>
    </w:p>
  </w:footnote>
  <w:footnote w:id="905">
    <w:p>
      <w:pPr>
        <w:pStyle w:val="FootnoteText"/>
      </w:pPr>
      <w:r>
        <w:rPr>
          <w:rStyle w:val="FootnoteReference"/>
        </w:rPr>
        <w:footnoteRef/>
      </w:r>
      <w:r>
        <w:t xml:space="preserve"> </w:t>
      </w:r>
      <w:r>
        <w:t xml:space="preserve">Lee 2021, PMID 34324435.</w:t>
      </w:r>
    </w:p>
  </w:footnote>
  <w:footnote w:id="906">
    <w:p>
      <w:pPr>
        <w:pStyle w:val="FootnoteText"/>
      </w:pPr>
      <w:r>
        <w:rPr>
          <w:rStyle w:val="FootnoteReference"/>
        </w:rPr>
        <w:footnoteRef/>
      </w:r>
      <w:r>
        <w:t xml:space="preserve"> </w:t>
      </w:r>
      <w:r>
        <w:t xml:space="preserve">Lee 2024, PMID 39325560.</w:t>
      </w:r>
    </w:p>
  </w:footnote>
  <w:footnote w:id="907">
    <w:p>
      <w:pPr>
        <w:pStyle w:val="FootnoteText"/>
      </w:pPr>
      <w:r>
        <w:rPr>
          <w:rStyle w:val="FootnoteReference"/>
        </w:rPr>
        <w:footnoteRef/>
      </w:r>
      <w:r>
        <w:t xml:space="preserve"> </w:t>
      </w:r>
      <w:r>
        <w:t xml:space="preserve">Lee 2025, PMID 40131143.</w:t>
      </w:r>
    </w:p>
  </w:footnote>
  <w:footnote w:id="908">
    <w:p>
      <w:pPr>
        <w:pStyle w:val="FootnoteText"/>
      </w:pPr>
      <w:r>
        <w:rPr>
          <w:rStyle w:val="FootnoteReference"/>
        </w:rPr>
        <w:footnoteRef/>
      </w:r>
      <w:r>
        <w:t xml:space="preserve"> </w:t>
      </w:r>
      <w:r>
        <w:t xml:space="preserve">Poolton 2026, PMID 42885452.</w:t>
      </w:r>
    </w:p>
  </w:footnote>
  <w:footnote w:id="909">
    <w:p>
      <w:pPr>
        <w:pStyle w:val="FootnoteText"/>
      </w:pPr>
      <w:r>
        <w:rPr>
          <w:rStyle w:val="FootnoteReference"/>
        </w:rPr>
        <w:footnoteRef/>
      </w:r>
      <w:r>
        <w:t xml:space="preserve"> </w:t>
      </w:r>
      <w:r>
        <w:t xml:space="preserve">Vasireddi 2025, PMID 40756949.</w:t>
      </w:r>
    </w:p>
  </w:footnote>
  <w:footnote w:id="910">
    <w:p>
      <w:pPr>
        <w:pStyle w:val="FootnoteText"/>
      </w:pPr>
      <w:r>
        <w:rPr>
          <w:rStyle w:val="FootnoteReference"/>
        </w:rPr>
        <w:footnoteRef/>
      </w:r>
      <w:r>
        <w:t xml:space="preserve"> </w:t>
      </w:r>
      <w:r>
        <w:t xml:space="preserve">Tham 2026, PMID 42937313; Tewari 2026, PMID 42578445.</w:t>
      </w:r>
    </w:p>
  </w:footnote>
  <w:footnote w:id="912">
    <w:p>
      <w:pPr>
        <w:pStyle w:val="FootnoteText"/>
      </w:pPr>
      <w:r>
        <w:rPr>
          <w:rStyle w:val="FootnoteReference"/>
        </w:rPr>
        <w:footnoteRef/>
      </w:r>
      <w:r>
        <w:t xml:space="preserve"> </w:t>
      </w:r>
      <w:r>
        <w:t xml:space="preserve">Staresinic 2003, PMID 14554208.</w:t>
      </w:r>
    </w:p>
  </w:footnote>
  <w:footnote w:id="913">
    <w:p>
      <w:pPr>
        <w:pStyle w:val="FootnoteText"/>
      </w:pPr>
      <w:r>
        <w:rPr>
          <w:rStyle w:val="FootnoteReference"/>
        </w:rPr>
        <w:footnoteRef/>
      </w:r>
      <w:r>
        <w:t xml:space="preserve"> </w:t>
      </w:r>
      <w:r>
        <w:t xml:space="preserve">Seiwerth 2021, PMID 34267654.</w:t>
      </w:r>
    </w:p>
  </w:footnote>
  <w:footnote w:id="914">
    <w:p>
      <w:pPr>
        <w:pStyle w:val="FootnoteText"/>
      </w:pPr>
      <w:r>
        <w:rPr>
          <w:rStyle w:val="FootnoteReference"/>
        </w:rPr>
        <w:footnoteRef/>
      </w:r>
      <w:r>
        <w:t xml:space="preserve"> </w:t>
      </w:r>
      <w:r>
        <w:t xml:space="preserve">NCT02637284.</w:t>
      </w:r>
    </w:p>
  </w:footnote>
  <w:footnote w:id="917">
    <w:p>
      <w:pPr>
        <w:pStyle w:val="FootnoteText"/>
      </w:pPr>
      <w:r>
        <w:rPr>
          <w:rStyle w:val="FootnoteReference"/>
        </w:rPr>
        <w:footnoteRef/>
      </w:r>
      <w:r>
        <w:t xml:space="preserve"> </w:t>
      </w:r>
      <w:r>
        <w:t xml:space="preserve">Gwyer 2019, PMID 30915550.</w:t>
      </w:r>
    </w:p>
  </w:footnote>
  <w:footnote w:id="918">
    <w:p>
      <w:pPr>
        <w:pStyle w:val="FootnoteText"/>
      </w:pPr>
      <w:r>
        <w:rPr>
          <w:rStyle w:val="FootnoteReference"/>
        </w:rPr>
        <w:footnoteRef/>
      </w:r>
      <w:r>
        <w:t xml:space="preserve"> </w:t>
      </w:r>
      <w:r>
        <w:t xml:space="preserve">Demirtaş 2026, PMID 42794771.</w:t>
      </w:r>
    </w:p>
  </w:footnote>
  <w:footnote w:id="919">
    <w:p>
      <w:pPr>
        <w:pStyle w:val="FootnoteText"/>
      </w:pPr>
      <w:r>
        <w:rPr>
          <w:rStyle w:val="FootnoteReference"/>
        </w:rPr>
        <w:footnoteRef/>
      </w:r>
      <w:r>
        <w:t xml:space="preserve"> </w:t>
      </w:r>
      <w:r>
        <w:t xml:space="preserve">Whitehouse 2025, PMID 40759852.</w:t>
      </w:r>
    </w:p>
  </w:footnote>
  <w:footnote w:id="922">
    <w:p>
      <w:pPr>
        <w:pStyle w:val="FootnoteText"/>
      </w:pPr>
      <w:r>
        <w:rPr>
          <w:rStyle w:val="FootnoteReference"/>
        </w:rPr>
        <w:footnoteRef/>
      </w:r>
      <w:r>
        <w:t xml:space="preserve"> </w:t>
      </w:r>
      <w:r>
        <w:t xml:space="preserve">He 2022, PMID 36588717.</w:t>
      </w:r>
    </w:p>
  </w:footnote>
  <w:footnote w:id="923">
    <w:p>
      <w:pPr>
        <w:pStyle w:val="FootnoteText"/>
      </w:pPr>
      <w:r>
        <w:rPr>
          <w:rStyle w:val="FootnoteReference"/>
        </w:rPr>
        <w:footnoteRef/>
      </w:r>
      <w:r>
        <w:t xml:space="preserve"> </w:t>
      </w:r>
      <w:r>
        <w:t xml:space="preserve">Xu 2020, PMID 32334036.</w:t>
      </w:r>
    </w:p>
  </w:footnote>
  <w:footnote w:id="926">
    <w:p>
      <w:pPr>
        <w:pStyle w:val="FootnoteText"/>
      </w:pPr>
      <w:r>
        <w:rPr>
          <w:rStyle w:val="FootnoteReference"/>
        </w:rPr>
        <w:footnoteRef/>
      </w:r>
      <w:r>
        <w:t xml:space="preserve"> </w:t>
      </w:r>
      <w:r>
        <w:t xml:space="preserve">Poolton 2026, PMID 42885452.</w:t>
      </w:r>
    </w:p>
  </w:footnote>
  <w:footnote w:id="928">
    <w:p>
      <w:pPr>
        <w:pStyle w:val="FootnoteText"/>
      </w:pPr>
      <w:r>
        <w:rPr>
          <w:rStyle w:val="FootnoteReference"/>
        </w:rPr>
        <w:footnoteRef/>
      </w:r>
      <w:r>
        <w:t xml:space="preserve"> </w:t>
      </w:r>
      <w:r>
        <w:t xml:space="preserve">Hsieh 2017, PMID 27847966.</w:t>
      </w:r>
    </w:p>
  </w:footnote>
  <w:footnote w:id="929">
    <w:p>
      <w:pPr>
        <w:pStyle w:val="FootnoteText"/>
      </w:pPr>
      <w:r>
        <w:rPr>
          <w:rStyle w:val="FootnoteReference"/>
        </w:rPr>
        <w:footnoteRef/>
      </w:r>
      <w:r>
        <w:t xml:space="preserve"> </w:t>
      </w:r>
      <w:r>
        <w:t xml:space="preserve">Moiz 2026, PMID 42757290.</w:t>
      </w:r>
    </w:p>
  </w:footnote>
  <w:footnote w:id="930">
    <w:p>
      <w:pPr>
        <w:pStyle w:val="FootnoteText"/>
      </w:pPr>
      <w:r>
        <w:rPr>
          <w:rStyle w:val="FootnoteReference"/>
        </w:rPr>
        <w:footnoteRef/>
      </w:r>
      <w:r>
        <w:t xml:space="preserve"> </w:t>
      </w:r>
      <w:r>
        <w:t xml:space="preserve">Sikiric 2025, PMID 40573323.</w:t>
      </w:r>
    </w:p>
  </w:footnote>
  <w:footnote w:id="932">
    <w:p>
      <w:pPr>
        <w:pStyle w:val="FootnoteText"/>
      </w:pPr>
      <w:r>
        <w:rPr>
          <w:rStyle w:val="FootnoteReference"/>
        </w:rPr>
        <w:footnoteRef/>
      </w:r>
      <w:r>
        <w:t xml:space="preserve"> </w:t>
      </w:r>
      <w:r>
        <w:t xml:space="preserve">Tham 2026, PMID 42937313; Mendias 2026, PMID 41966639.</w:t>
      </w:r>
    </w:p>
  </w:footnote>
  <w:footnote w:id="933">
    <w:p>
      <w:pPr>
        <w:pStyle w:val="FootnoteText"/>
      </w:pPr>
      <w:r>
        <w:rPr>
          <w:rStyle w:val="FootnoteReference"/>
        </w:rPr>
        <w:footnoteRef/>
      </w:r>
      <w:r>
        <w:t xml:space="preserve"> </w:t>
      </w:r>
      <w:r>
        <w:t xml:space="preserve">Cox 2017, PMID 28035768.</w:t>
      </w:r>
    </w:p>
  </w:footnote>
  <w:footnote w:id="935">
    <w:p>
      <w:pPr>
        <w:pStyle w:val="FootnoteText"/>
      </w:pPr>
      <w:r>
        <w:rPr>
          <w:rStyle w:val="FootnoteReference"/>
        </w:rPr>
        <w:footnoteRef/>
      </w:r>
      <w:r>
        <w:t xml:space="preserve"> </w:t>
      </w:r>
      <w:r>
        <w:t xml:space="preserve">Sikiric 2025, PMID 40573323.</w:t>
      </w:r>
    </w:p>
  </w:footnote>
  <w:footnote w:id="936">
    <w:p>
      <w:pPr>
        <w:pStyle w:val="FootnoteText"/>
      </w:pPr>
      <w:r>
        <w:rPr>
          <w:rStyle w:val="FootnoteReference"/>
        </w:rPr>
        <w:footnoteRef/>
      </w:r>
      <w:r>
        <w:t xml:space="preserve"> </w:t>
      </w:r>
      <w:r>
        <w:t xml:space="preserve">Mendias 2026, PMID 41966639.</w:t>
      </w:r>
    </w:p>
  </w:footnote>
  <w:footnote w:id="939">
    <w:p>
      <w:pPr>
        <w:pStyle w:val="FootnoteText"/>
      </w:pPr>
      <w:r>
        <w:rPr>
          <w:rStyle w:val="FootnoteReference"/>
        </w:rPr>
        <w:footnoteRef/>
      </w:r>
      <w:r>
        <w:t xml:space="preserve"> </w:t>
      </w:r>
      <w:r>
        <w:t xml:space="preserve">Willis 2026, PMID 42752426.</w:t>
      </w:r>
    </w:p>
  </w:footnote>
  <w:footnote w:id="940">
    <w:p>
      <w:pPr>
        <w:pStyle w:val="FootnoteText"/>
      </w:pPr>
      <w:r>
        <w:rPr>
          <w:rStyle w:val="FootnoteReference"/>
        </w:rPr>
        <w:footnoteRef/>
      </w:r>
      <w:r>
        <w:t xml:space="preserve"> </w:t>
      </w:r>
      <w:r>
        <w:t xml:space="preserve">Józwiak 2025, PMID 40005999.</w:t>
      </w:r>
    </w:p>
  </w:footnote>
  <w:footnote w:id="941">
    <w:p>
      <w:pPr>
        <w:pStyle w:val="FootnoteText"/>
      </w:pPr>
      <w:r>
        <w:rPr>
          <w:rStyle w:val="FootnoteReference"/>
        </w:rPr>
        <w:footnoteRef/>
      </w:r>
      <w:r>
        <w:t xml:space="preserve"> </w:t>
      </w:r>
      <w:r>
        <w:t xml:space="preserve">Tian 2023, PMID 37959764.</w:t>
      </w:r>
    </w:p>
  </w:footnote>
  <w:footnote w:id="943">
    <w:p>
      <w:pPr>
        <w:pStyle w:val="FootnoteText"/>
      </w:pPr>
      <w:r>
        <w:rPr>
          <w:rStyle w:val="FootnoteReference"/>
        </w:rPr>
        <w:footnoteRef/>
      </w:r>
      <w:r>
        <w:t xml:space="preserve"> </w:t>
      </w:r>
      <w:r>
        <w:t xml:space="preserve">NCT07437547.</w:t>
      </w:r>
    </w:p>
  </w:footnote>
  <w:footnote w:id="944">
    <w:p>
      <w:pPr>
        <w:pStyle w:val="FootnoteText"/>
      </w:pPr>
      <w:r>
        <w:rPr>
          <w:rStyle w:val="FootnoteReference"/>
        </w:rPr>
        <w:footnoteRef/>
      </w:r>
      <w:r>
        <w:t xml:space="preserve"> </w:t>
      </w:r>
      <w:r>
        <w:t xml:space="preserve">NCT07487363.</w:t>
      </w:r>
    </w:p>
  </w:footnote>
  <w:footnote w:id="945">
    <w:p>
      <w:pPr>
        <w:pStyle w:val="FootnoteText"/>
      </w:pPr>
      <w:r>
        <w:rPr>
          <w:rStyle w:val="FootnoteReference"/>
        </w:rPr>
        <w:footnoteRef/>
      </w:r>
      <w:r>
        <w:t xml:space="preserve"> </w:t>
      </w:r>
      <w:r>
        <w:t xml:space="preserve">NCT07803250.</w:t>
      </w:r>
    </w:p>
  </w:footnote>
  <w:footnote w:id="946">
    <w:p>
      <w:pPr>
        <w:pStyle w:val="FootnoteText"/>
      </w:pPr>
      <w:r>
        <w:rPr>
          <w:rStyle w:val="FootnoteReference"/>
        </w:rPr>
        <w:footnoteRef/>
      </w:r>
      <w:r>
        <w:t xml:space="preserve"> </w:t>
      </w:r>
      <w:r>
        <w:t xml:space="preserve">NCT07752381.</w:t>
      </w:r>
    </w:p>
  </w:footnote>
  <w:footnote w:id="947">
    <w:p>
      <w:pPr>
        <w:pStyle w:val="FootnoteText"/>
      </w:pPr>
      <w:r>
        <w:rPr>
          <w:rStyle w:val="FootnoteReference"/>
        </w:rPr>
        <w:footnoteRef/>
      </w:r>
      <w:r>
        <w:t xml:space="preserve"> </w:t>
      </w:r>
      <w:r>
        <w:t xml:space="preserve">Mateescu 2026, PMID 42198317.</w:t>
      </w:r>
    </w:p>
  </w:footnote>
  <w:footnote w:id="949">
    <w:p>
      <w:pPr>
        <w:pStyle w:val="FootnoteText"/>
      </w:pPr>
      <w:r>
        <w:rPr>
          <w:rStyle w:val="FootnoteReference"/>
        </w:rPr>
        <w:footnoteRef/>
      </w:r>
      <w:r>
        <w:t xml:space="preserve"> </w:t>
      </w:r>
      <w:r>
        <w:t xml:space="preserve">Poolton 2026, PMID 42885452.</w:t>
      </w:r>
    </w:p>
  </w:footnote>
  <w:footnote w:id="950">
    <w:p>
      <w:pPr>
        <w:pStyle w:val="FootnoteText"/>
      </w:pPr>
      <w:r>
        <w:rPr>
          <w:rStyle w:val="FootnoteReference"/>
        </w:rPr>
        <w:footnoteRef/>
      </w:r>
      <w:r>
        <w:t xml:space="preserve"> </w:t>
      </w:r>
      <w:r>
        <w:t xml:space="preserve">NCT07803250.</w:t>
      </w:r>
    </w:p>
  </w:footnote>
  <w:footnote w:id="953">
    <w:p>
      <w:pPr>
        <w:pStyle w:val="FootnoteText"/>
      </w:pPr>
      <w:r>
        <w:rPr>
          <w:rStyle w:val="FootnoteReference"/>
        </w:rPr>
        <w:footnoteRef/>
      </w:r>
      <w:r>
        <w:t xml:space="preserve"> </w:t>
      </w:r>
      <w:r>
        <w:t xml:space="preserve">Esposito 2012, PMID 22962027.</w:t>
      </w:r>
    </w:p>
  </w:footnote>
  <w:footnote w:id="955">
    <w:p>
      <w:pPr>
        <w:pStyle w:val="FootnoteText"/>
      </w:pPr>
      <w:r>
        <w:rPr>
          <w:rStyle w:val="FootnoteReference"/>
        </w:rPr>
        <w:footnoteRef/>
      </w:r>
      <w:r>
        <w:t xml:space="preserve"> </w:t>
      </w:r>
      <w:r>
        <w:t xml:space="preserve">Sosne 2010, PMID 20179146.</w:t>
      </w:r>
    </w:p>
  </w:footnote>
  <w:footnote w:id="956">
    <w:p>
      <w:pPr>
        <w:pStyle w:val="FootnoteText"/>
      </w:pPr>
      <w:r>
        <w:rPr>
          <w:rStyle w:val="FootnoteReference"/>
        </w:rPr>
        <w:footnoteRef/>
      </w:r>
      <w:r>
        <w:t xml:space="preserve"> </w:t>
      </w:r>
      <w:r>
        <w:t xml:space="preserve">Philp 2003, PMID 14500546.</w:t>
      </w:r>
    </w:p>
  </w:footnote>
  <w:footnote w:id="957">
    <w:p>
      <w:pPr>
        <w:pStyle w:val="FootnoteText"/>
      </w:pPr>
      <w:r>
        <w:rPr>
          <w:rStyle w:val="FootnoteReference"/>
        </w:rPr>
        <w:footnoteRef/>
      </w:r>
      <w:r>
        <w:t xml:space="preserve"> </w:t>
      </w:r>
      <w:r>
        <w:t xml:space="preserve">Rahaman 2024, PMID 38382158.</w:t>
      </w:r>
    </w:p>
  </w:footnote>
  <w:footnote w:id="958">
    <w:p>
      <w:pPr>
        <w:pStyle w:val="FootnoteText"/>
      </w:pPr>
      <w:r>
        <w:rPr>
          <w:rStyle w:val="FootnoteReference"/>
        </w:rPr>
        <w:footnoteRef/>
      </w:r>
      <w:r>
        <w:t xml:space="preserve"> </w:t>
      </w:r>
      <w:r>
        <w:t xml:space="preserve">Tham 2026, PMID 42937313.</w:t>
      </w:r>
    </w:p>
  </w:footnote>
  <w:footnote w:id="960">
    <w:p>
      <w:pPr>
        <w:pStyle w:val="FootnoteText"/>
      </w:pPr>
      <w:r>
        <w:rPr>
          <w:rStyle w:val="FootnoteReference"/>
        </w:rPr>
        <w:footnoteRef/>
      </w:r>
      <w:r>
        <w:t xml:space="preserve"> </w:t>
      </w:r>
      <w:r>
        <w:t xml:space="preserve">Sosne 2015, PMID 25826322.</w:t>
      </w:r>
    </w:p>
  </w:footnote>
  <w:footnote w:id="961">
    <w:p>
      <w:pPr>
        <w:pStyle w:val="FootnoteText"/>
      </w:pPr>
      <w:r>
        <w:rPr>
          <w:rStyle w:val="FootnoteReference"/>
        </w:rPr>
        <w:footnoteRef/>
      </w:r>
      <w:r>
        <w:t xml:space="preserve"> </w:t>
      </w:r>
      <w:r>
        <w:t xml:space="preserve">Sosne 2015, PMID 26056426.</w:t>
      </w:r>
    </w:p>
  </w:footnote>
  <w:footnote w:id="962">
    <w:p>
      <w:pPr>
        <w:pStyle w:val="FootnoteText"/>
      </w:pPr>
      <w:r>
        <w:rPr>
          <w:rStyle w:val="FootnoteReference"/>
        </w:rPr>
        <w:footnoteRef/>
      </w:r>
      <w:r>
        <w:t xml:space="preserve"> </w:t>
      </w:r>
      <w:r>
        <w:t xml:space="preserve">NCT02974907; NCT03937882.</w:t>
      </w:r>
    </w:p>
  </w:footnote>
  <w:footnote w:id="963">
    <w:p>
      <w:pPr>
        <w:pStyle w:val="FootnoteText"/>
      </w:pPr>
      <w:r>
        <w:rPr>
          <w:rStyle w:val="FootnoteReference"/>
        </w:rPr>
        <w:footnoteRef/>
      </w:r>
      <w:r>
        <w:t xml:space="preserve"> </w:t>
      </w:r>
      <w:r>
        <w:t xml:space="preserve">Sosne 2022, PMID 36613994.</w:t>
      </w:r>
    </w:p>
  </w:footnote>
  <w:footnote w:id="964">
    <w:p>
      <w:pPr>
        <w:pStyle w:val="FootnoteText"/>
      </w:pPr>
      <w:r>
        <w:rPr>
          <w:rStyle w:val="FootnoteReference"/>
        </w:rPr>
        <w:footnoteRef/>
      </w:r>
      <w:r>
        <w:t xml:space="preserve"> </w:t>
      </w:r>
      <w:r>
        <w:t xml:space="preserve">Kruoch 2025, PMID 41347649.</w:t>
      </w:r>
    </w:p>
  </w:footnote>
  <w:footnote w:id="966">
    <w:p>
      <w:pPr>
        <w:pStyle w:val="FootnoteText"/>
      </w:pPr>
      <w:r>
        <w:rPr>
          <w:rStyle w:val="FootnoteReference"/>
        </w:rPr>
        <w:footnoteRef/>
      </w:r>
      <w:r>
        <w:t xml:space="preserve"> </w:t>
      </w:r>
      <w:r>
        <w:t xml:space="preserve">Zhang 2025, PMID 41229390.</w:t>
      </w:r>
    </w:p>
  </w:footnote>
  <w:footnote w:id="968">
    <w:p>
      <w:pPr>
        <w:pStyle w:val="FootnoteText"/>
      </w:pPr>
      <w:r>
        <w:rPr>
          <w:rStyle w:val="FootnoteReference"/>
        </w:rPr>
        <w:footnoteRef/>
      </w:r>
      <w:r>
        <w:t xml:space="preserve"> </w:t>
      </w:r>
      <w:r>
        <w:t xml:space="preserve">Guarnera 2010, PMID 20536470.</w:t>
      </w:r>
    </w:p>
  </w:footnote>
  <w:footnote w:id="969">
    <w:p>
      <w:pPr>
        <w:pStyle w:val="FootnoteText"/>
      </w:pPr>
      <w:r>
        <w:rPr>
          <w:rStyle w:val="FootnoteReference"/>
        </w:rPr>
        <w:footnoteRef/>
      </w:r>
      <w:r>
        <w:t xml:space="preserve"> </w:t>
      </w:r>
      <w:r>
        <w:t xml:space="preserve">NCT00311766.</w:t>
      </w:r>
    </w:p>
  </w:footnote>
  <w:footnote w:id="971">
    <w:p>
      <w:pPr>
        <w:pStyle w:val="FootnoteText"/>
      </w:pPr>
      <w:r>
        <w:rPr>
          <w:rStyle w:val="FootnoteReference"/>
        </w:rPr>
        <w:footnoteRef/>
      </w:r>
      <w:r>
        <w:t xml:space="preserve"> </w:t>
      </w:r>
      <w:r>
        <w:t xml:space="preserve">NCT07487363.</w:t>
      </w:r>
    </w:p>
  </w:footnote>
  <w:footnote w:id="972">
    <w:p>
      <w:pPr>
        <w:pStyle w:val="FootnoteText"/>
      </w:pPr>
      <w:r>
        <w:rPr>
          <w:rStyle w:val="FootnoteReference"/>
        </w:rPr>
        <w:footnoteRef/>
      </w:r>
      <w:r>
        <w:t xml:space="preserve"> </w:t>
      </w:r>
      <w:r>
        <w:t xml:space="preserve">Lee 2021, PMID 34324435.</w:t>
      </w:r>
    </w:p>
  </w:footnote>
  <w:footnote w:id="975">
    <w:p>
      <w:pPr>
        <w:pStyle w:val="FootnoteText"/>
      </w:pPr>
      <w:r>
        <w:rPr>
          <w:rStyle w:val="FootnoteReference"/>
        </w:rPr>
        <w:footnoteRef/>
      </w:r>
      <w:r>
        <w:t xml:space="preserve"> </w:t>
      </w:r>
      <w:r>
        <w:t xml:space="preserve">Bock-Marquette 2004, PMID 15565145.</w:t>
      </w:r>
    </w:p>
  </w:footnote>
  <w:footnote w:id="976">
    <w:p>
      <w:pPr>
        <w:pStyle w:val="FootnoteText"/>
      </w:pPr>
      <w:r>
        <w:rPr>
          <w:rStyle w:val="FootnoteReference"/>
        </w:rPr>
        <w:footnoteRef/>
      </w:r>
      <w:r>
        <w:t xml:space="preserve"> </w:t>
      </w:r>
      <w:r>
        <w:t xml:space="preserve">Smart 2007, PMID 17108969.</w:t>
      </w:r>
    </w:p>
  </w:footnote>
  <w:footnote w:id="977">
    <w:p>
      <w:pPr>
        <w:pStyle w:val="FootnoteText"/>
      </w:pPr>
      <w:r>
        <w:rPr>
          <w:rStyle w:val="FootnoteReference"/>
        </w:rPr>
        <w:footnoteRef/>
      </w:r>
      <w:r>
        <w:t xml:space="preserve"> </w:t>
      </w:r>
      <w:r>
        <w:t xml:space="preserve">Kispert 2012, PMID 22019445.</w:t>
      </w:r>
    </w:p>
  </w:footnote>
  <w:footnote w:id="978">
    <w:p>
      <w:pPr>
        <w:pStyle w:val="FootnoteText"/>
      </w:pPr>
      <w:r>
        <w:rPr>
          <w:rStyle w:val="FootnoteReference"/>
        </w:rPr>
        <w:footnoteRef/>
      </w:r>
      <w:r>
        <w:t xml:space="preserve"> </w:t>
      </w:r>
      <w:r>
        <w:t xml:space="preserve">Tao 2024, PMID 38757041.</w:t>
      </w:r>
    </w:p>
  </w:footnote>
  <w:footnote w:id="979">
    <w:p>
      <w:pPr>
        <w:pStyle w:val="FootnoteText"/>
      </w:pPr>
      <w:r>
        <w:rPr>
          <w:rStyle w:val="FootnoteReference"/>
        </w:rPr>
        <w:footnoteRef/>
      </w:r>
      <w:r>
        <w:t xml:space="preserve"> </w:t>
      </w:r>
      <w:r>
        <w:t xml:space="preserve">Brady 2014, PMID 25042765.</w:t>
      </w:r>
    </w:p>
  </w:footnote>
  <w:footnote w:id="980">
    <w:p>
      <w:pPr>
        <w:pStyle w:val="FootnoteText"/>
      </w:pPr>
      <w:r>
        <w:rPr>
          <w:rStyle w:val="FootnoteReference"/>
        </w:rPr>
        <w:footnoteRef/>
      </w:r>
      <w:r>
        <w:t xml:space="preserve"> </w:t>
      </w:r>
      <w:r>
        <w:t xml:space="preserve">Tham 2026, PMID 42937313.</w:t>
      </w:r>
    </w:p>
  </w:footnote>
  <w:footnote w:id="981">
    <w:p>
      <w:pPr>
        <w:pStyle w:val="FootnoteText"/>
      </w:pPr>
      <w:r>
        <w:rPr>
          <w:rStyle w:val="FootnoteReference"/>
        </w:rPr>
        <w:footnoteRef/>
      </w:r>
      <w:r>
        <w:t xml:space="preserve"> </w:t>
      </w:r>
      <w:r>
        <w:t xml:space="preserve">Biçer 2026, PMID 42542926.</w:t>
      </w:r>
    </w:p>
  </w:footnote>
  <w:footnote w:id="983">
    <w:p>
      <w:pPr>
        <w:pStyle w:val="FootnoteText"/>
      </w:pPr>
      <w:r>
        <w:rPr>
          <w:rStyle w:val="FootnoteReference"/>
        </w:rPr>
        <w:footnoteRef/>
      </w:r>
      <w:r>
        <w:t xml:space="preserve"> </w:t>
      </w:r>
      <w:r>
        <w:t xml:space="preserve">Ruff 2010, PMID 20536472.</w:t>
      </w:r>
    </w:p>
  </w:footnote>
  <w:footnote w:id="984">
    <w:p>
      <w:pPr>
        <w:pStyle w:val="FootnoteText"/>
      </w:pPr>
      <w:r>
        <w:rPr>
          <w:rStyle w:val="FootnoteReference"/>
        </w:rPr>
        <w:footnoteRef/>
      </w:r>
      <w:r>
        <w:t xml:space="preserve"> </w:t>
      </w:r>
      <w:r>
        <w:t xml:space="preserve">Wang 2021, PMID 34346165.</w:t>
      </w:r>
    </w:p>
  </w:footnote>
  <w:footnote w:id="986">
    <w:p>
      <w:pPr>
        <w:pStyle w:val="FootnoteText"/>
      </w:pPr>
      <w:r>
        <w:rPr>
          <w:rStyle w:val="FootnoteReference"/>
        </w:rPr>
        <w:footnoteRef/>
      </w:r>
      <w:r>
        <w:t xml:space="preserve"> </w:t>
      </w:r>
      <w:r>
        <w:t xml:space="preserve">Wang 2016, PMID 27596300.</w:t>
      </w:r>
    </w:p>
  </w:footnote>
  <w:footnote w:id="987">
    <w:p>
      <w:pPr>
        <w:pStyle w:val="FootnoteText"/>
      </w:pPr>
      <w:r>
        <w:rPr>
          <w:rStyle w:val="FootnoteReference"/>
        </w:rPr>
        <w:footnoteRef/>
      </w:r>
      <w:r>
        <w:t xml:space="preserve"> </w:t>
      </w:r>
      <w:r>
        <w:t xml:space="preserve">Larsson 2007, PMID 17495241.</w:t>
      </w:r>
    </w:p>
  </w:footnote>
  <w:footnote w:id="989">
    <w:p>
      <w:pPr>
        <w:pStyle w:val="FootnoteText"/>
      </w:pPr>
      <w:r>
        <w:rPr>
          <w:rStyle w:val="FootnoteReference"/>
        </w:rPr>
        <w:footnoteRef/>
      </w:r>
      <w:r>
        <w:t xml:space="preserve"> </w:t>
      </w:r>
      <w:r>
        <w:t xml:space="preserve">Delcourt 2023, PMID 36482504.</w:t>
      </w:r>
    </w:p>
  </w:footnote>
  <w:footnote w:id="990">
    <w:p>
      <w:pPr>
        <w:pStyle w:val="FootnoteText"/>
      </w:pPr>
      <w:r>
        <w:rPr>
          <w:rStyle w:val="FootnoteReference"/>
        </w:rPr>
        <w:footnoteRef/>
      </w:r>
      <w:r>
        <w:t xml:space="preserve"> </w:t>
      </w:r>
      <w:r>
        <w:t xml:space="preserve">Ho 2012, PMID 23084823.</w:t>
      </w:r>
    </w:p>
  </w:footnote>
  <w:footnote w:id="993">
    <w:p>
      <w:pPr>
        <w:pStyle w:val="FootnoteText"/>
      </w:pPr>
      <w:r>
        <w:rPr>
          <w:rStyle w:val="FootnoteReference"/>
        </w:rPr>
        <w:footnoteRef/>
      </w:r>
      <w:r>
        <w:t xml:space="preserve"> </w:t>
      </w:r>
      <w:r>
        <w:t xml:space="preserve">Willis 2026, PMID 42752426.</w:t>
      </w:r>
    </w:p>
  </w:footnote>
  <w:footnote w:id="994">
    <w:p>
      <w:pPr>
        <w:pStyle w:val="FootnoteText"/>
      </w:pPr>
      <w:r>
        <w:rPr>
          <w:rStyle w:val="FootnoteReference"/>
        </w:rPr>
        <w:footnoteRef/>
      </w:r>
      <w:r>
        <w:t xml:space="preserve"> </w:t>
      </w:r>
      <w:r>
        <w:t xml:space="preserve">Delcourt 2025, PMID 39314109.</w:t>
      </w:r>
    </w:p>
  </w:footnote>
  <w:footnote w:id="996">
    <w:p>
      <w:pPr>
        <w:pStyle w:val="FootnoteText"/>
      </w:pPr>
      <w:r>
        <w:rPr>
          <w:rStyle w:val="FootnoteReference"/>
        </w:rPr>
        <w:footnoteRef/>
      </w:r>
      <w:r>
        <w:t xml:space="preserve"> </w:t>
      </w:r>
      <w:r>
        <w:t xml:space="preserve">NCT05555589.</w:t>
      </w:r>
    </w:p>
  </w:footnote>
  <w:footnote w:id="997">
    <w:p>
      <w:pPr>
        <w:pStyle w:val="FootnoteText"/>
      </w:pPr>
      <w:r>
        <w:rPr>
          <w:rStyle w:val="FootnoteReference"/>
        </w:rPr>
        <w:footnoteRef/>
      </w:r>
      <w:r>
        <w:t xml:space="preserve"> </w:t>
      </w:r>
      <w:r>
        <w:t xml:space="preserve">NCT07586865.</w:t>
      </w:r>
    </w:p>
  </w:footnote>
  <w:footnote w:id="998">
    <w:p>
      <w:pPr>
        <w:pStyle w:val="FootnoteText"/>
      </w:pPr>
      <w:r>
        <w:rPr>
          <w:rStyle w:val="FootnoteReference"/>
        </w:rPr>
        <w:footnoteRef/>
      </w:r>
      <w:r>
        <w:t xml:space="preserve"> </w:t>
      </w:r>
      <w:r>
        <w:t xml:space="preserve">NCT05485818; NCT05984134.</w:t>
      </w:r>
    </w:p>
  </w:footnote>
  <w:footnote w:id="1000">
    <w:p>
      <w:pPr>
        <w:pStyle w:val="FootnoteText"/>
      </w:pPr>
      <w:r>
        <w:rPr>
          <w:rStyle w:val="FootnoteReference"/>
        </w:rPr>
        <w:footnoteRef/>
      </w:r>
      <w:r>
        <w:t xml:space="preserve"> </w:t>
      </w:r>
      <w:r>
        <w:t xml:space="preserve">Zhang 2025, PMID 41229390.</w:t>
      </w:r>
    </w:p>
  </w:footnote>
  <w:footnote w:id="1003">
    <w:p>
      <w:pPr>
        <w:pStyle w:val="FootnoteText"/>
      </w:pPr>
      <w:r>
        <w:rPr>
          <w:rStyle w:val="FootnoteReference"/>
        </w:rPr>
        <w:footnoteRef/>
      </w:r>
      <w:r>
        <w:t xml:space="preserve"> </w:t>
      </w:r>
      <w:r>
        <w:t xml:space="preserve">Iino 2005, PMID 15850471.</w:t>
      </w:r>
    </w:p>
  </w:footnote>
  <w:footnote w:id="1004">
    <w:p>
      <w:pPr>
        <w:pStyle w:val="FootnoteText"/>
      </w:pPr>
      <w:r>
        <w:rPr>
          <w:rStyle w:val="FootnoteReference"/>
        </w:rPr>
        <w:footnoteRef/>
      </w:r>
      <w:r>
        <w:t xml:space="preserve"> </w:t>
      </w:r>
      <w:r>
        <w:t xml:space="preserve">Dinetz 2024, PMID 38308608.</w:t>
      </w:r>
    </w:p>
  </w:footnote>
  <w:footnote w:id="1006">
    <w:p>
      <w:pPr>
        <w:pStyle w:val="FootnoteText"/>
      </w:pPr>
      <w:r>
        <w:rPr>
          <w:rStyle w:val="FootnoteReference"/>
        </w:rPr>
        <w:footnoteRef/>
      </w:r>
      <w:r>
        <w:t xml:space="preserve"> </w:t>
      </w:r>
      <w:r>
        <w:t xml:space="preserve">Garaci 2007, PMID 17600290.</w:t>
      </w:r>
    </w:p>
  </w:footnote>
  <w:footnote w:id="1007">
    <w:p>
      <w:pPr>
        <w:pStyle w:val="FootnoteText"/>
      </w:pPr>
      <w:r>
        <w:rPr>
          <w:rStyle w:val="FootnoteReference"/>
        </w:rPr>
        <w:footnoteRef/>
      </w:r>
      <w:r>
        <w:t xml:space="preserve"> </w:t>
      </w:r>
      <w:r>
        <w:t xml:space="preserve">Ancell 2001, PMID 11381492.</w:t>
      </w:r>
    </w:p>
  </w:footnote>
  <w:footnote w:id="1009">
    <w:p>
      <w:pPr>
        <w:pStyle w:val="FootnoteText"/>
      </w:pPr>
      <w:r>
        <w:rPr>
          <w:rStyle w:val="FootnoteReference"/>
        </w:rPr>
        <w:footnoteRef/>
      </w:r>
      <w:r>
        <w:t xml:space="preserve"> </w:t>
      </w:r>
      <w:r>
        <w:t xml:space="preserve">Dinetz 2024, PMID 38308608.</w:t>
      </w:r>
    </w:p>
  </w:footnote>
  <w:footnote w:id="1011">
    <w:p>
      <w:pPr>
        <w:pStyle w:val="FootnoteText"/>
      </w:pPr>
      <w:r>
        <w:rPr>
          <w:rStyle w:val="FootnoteReference"/>
        </w:rPr>
        <w:footnoteRef/>
      </w:r>
      <w:r>
        <w:t xml:space="preserve"> </w:t>
      </w:r>
      <w:r>
        <w:t xml:space="preserve">Chien 1998, PMID 9581695.</w:t>
      </w:r>
    </w:p>
  </w:footnote>
  <w:footnote w:id="1012">
    <w:p>
      <w:pPr>
        <w:pStyle w:val="FootnoteText"/>
      </w:pPr>
      <w:r>
        <w:rPr>
          <w:rStyle w:val="FootnoteReference"/>
        </w:rPr>
        <w:footnoteRef/>
      </w:r>
      <w:r>
        <w:t xml:space="preserve"> </w:t>
      </w:r>
      <w:r>
        <w:t xml:space="preserve">Mutchnick 1999, PMID 10607256.</w:t>
      </w:r>
    </w:p>
  </w:footnote>
  <w:footnote w:id="1013">
    <w:p>
      <w:pPr>
        <w:pStyle w:val="FootnoteText"/>
      </w:pPr>
      <w:r>
        <w:rPr>
          <w:rStyle w:val="FootnoteReference"/>
        </w:rPr>
        <w:footnoteRef/>
      </w:r>
      <w:r>
        <w:t xml:space="preserve"> </w:t>
      </w:r>
      <w:r>
        <w:t xml:space="preserve">Yang 2008, PMID 18078676.</w:t>
      </w:r>
    </w:p>
  </w:footnote>
  <w:footnote w:id="1014">
    <w:p>
      <w:pPr>
        <w:pStyle w:val="FootnoteText"/>
      </w:pPr>
      <w:r>
        <w:rPr>
          <w:rStyle w:val="FootnoteReference"/>
        </w:rPr>
        <w:footnoteRef/>
      </w:r>
      <w:r>
        <w:t xml:space="preserve"> </w:t>
      </w:r>
      <w:r>
        <w:t xml:space="preserve">Wu 2018, PMID 30063860.</w:t>
      </w:r>
    </w:p>
  </w:footnote>
  <w:footnote w:id="1015">
    <w:p>
      <w:pPr>
        <w:pStyle w:val="FootnoteText"/>
      </w:pPr>
      <w:r>
        <w:rPr>
          <w:rStyle w:val="FootnoteReference"/>
        </w:rPr>
        <w:footnoteRef/>
      </w:r>
      <w:r>
        <w:t xml:space="preserve"> </w:t>
      </w:r>
      <w:r>
        <w:t xml:space="preserve">Peng 2020, PMID 33076834.</w:t>
      </w:r>
    </w:p>
  </w:footnote>
  <w:footnote w:id="1016">
    <w:p>
      <w:pPr>
        <w:pStyle w:val="FootnoteText"/>
      </w:pPr>
      <w:r>
        <w:rPr>
          <w:rStyle w:val="FootnoteReference"/>
        </w:rPr>
        <w:footnoteRef/>
      </w:r>
      <w:r>
        <w:t xml:space="preserve"> </w:t>
      </w:r>
      <w:r>
        <w:t xml:space="preserve">Chen 2022, PMID 35616850.</w:t>
      </w:r>
    </w:p>
  </w:footnote>
  <w:footnote w:id="1017">
    <w:p>
      <w:pPr>
        <w:pStyle w:val="FootnoteText"/>
      </w:pPr>
      <w:r>
        <w:rPr>
          <w:rStyle w:val="FootnoteReference"/>
        </w:rPr>
        <w:footnoteRef/>
      </w:r>
      <w:r>
        <w:t xml:space="preserve"> </w:t>
      </w:r>
      <w:r>
        <w:t xml:space="preserve">Sherman 1998, PMID 9537454; Andreone 2004, PMID 14738560.</w:t>
      </w:r>
    </w:p>
  </w:footnote>
  <w:footnote w:id="1019">
    <w:p>
      <w:pPr>
        <w:pStyle w:val="FootnoteText"/>
      </w:pPr>
      <w:r>
        <w:rPr>
          <w:rStyle w:val="FootnoteReference"/>
        </w:rPr>
        <w:footnoteRef/>
      </w:r>
      <w:r>
        <w:t xml:space="preserve"> </w:t>
      </w:r>
      <w:r>
        <w:t xml:space="preserve">Wu 2013, PMID 23327199.</w:t>
      </w:r>
    </w:p>
  </w:footnote>
  <w:footnote w:id="1020">
    <w:p>
      <w:pPr>
        <w:pStyle w:val="FootnoteText"/>
      </w:pPr>
      <w:r>
        <w:rPr>
          <w:rStyle w:val="FootnoteReference"/>
        </w:rPr>
        <w:footnoteRef/>
      </w:r>
      <w:r>
        <w:t xml:space="preserve"> </w:t>
      </w:r>
      <w:r>
        <w:t xml:space="preserve">Wu 2025, PMID 39814420.</w:t>
      </w:r>
    </w:p>
  </w:footnote>
  <w:footnote w:id="1021">
    <w:p>
      <w:pPr>
        <w:pStyle w:val="FootnoteText"/>
      </w:pPr>
      <w:r>
        <w:rPr>
          <w:rStyle w:val="FootnoteReference"/>
        </w:rPr>
        <w:footnoteRef/>
      </w:r>
      <w:r>
        <w:t xml:space="preserve"> </w:t>
      </w:r>
      <w:r>
        <w:t xml:space="preserve">Gu 2025, PMID 40969554.</w:t>
      </w:r>
    </w:p>
  </w:footnote>
  <w:footnote w:id="1022">
    <w:p>
      <w:pPr>
        <w:pStyle w:val="FootnoteText"/>
      </w:pPr>
      <w:r>
        <w:rPr>
          <w:rStyle w:val="FootnoteReference"/>
        </w:rPr>
        <w:footnoteRef/>
      </w:r>
      <w:r>
        <w:t xml:space="preserve"> </w:t>
      </w:r>
      <w:r>
        <w:t xml:space="preserve">Luo 2026, PMID 42205841.</w:t>
      </w:r>
    </w:p>
  </w:footnote>
  <w:footnote w:id="1024">
    <w:p>
      <w:pPr>
        <w:pStyle w:val="FootnoteText"/>
      </w:pPr>
      <w:r>
        <w:rPr>
          <w:rStyle w:val="FootnoteReference"/>
        </w:rPr>
        <w:footnoteRef/>
      </w:r>
      <w:r>
        <w:t xml:space="preserve"> </w:t>
      </w:r>
      <w:r>
        <w:t xml:space="preserve">Liu 2020, PMID 32442287.</w:t>
      </w:r>
    </w:p>
  </w:footnote>
  <w:footnote w:id="1025">
    <w:p>
      <w:pPr>
        <w:pStyle w:val="FootnoteText"/>
      </w:pPr>
      <w:r>
        <w:rPr>
          <w:rStyle w:val="FootnoteReference"/>
        </w:rPr>
        <w:footnoteRef/>
      </w:r>
      <w:r>
        <w:t xml:space="preserve"> </w:t>
      </w:r>
      <w:r>
        <w:t xml:space="preserve">Liu 2021, PMID 34408744.</w:t>
      </w:r>
    </w:p>
  </w:footnote>
  <w:footnote w:id="1026">
    <w:p>
      <w:pPr>
        <w:pStyle w:val="FootnoteText"/>
      </w:pPr>
      <w:r>
        <w:rPr>
          <w:rStyle w:val="FootnoteReference"/>
        </w:rPr>
        <w:footnoteRef/>
      </w:r>
      <w:r>
        <w:t xml:space="preserve"> </w:t>
      </w:r>
      <w:r>
        <w:t xml:space="preserve">Shehadeh 2023, PMID 36056913.</w:t>
      </w:r>
    </w:p>
  </w:footnote>
  <w:footnote w:id="1027">
    <w:p>
      <w:pPr>
        <w:pStyle w:val="FootnoteText"/>
      </w:pPr>
      <w:r>
        <w:rPr>
          <w:rStyle w:val="FootnoteReference"/>
        </w:rPr>
        <w:footnoteRef/>
      </w:r>
      <w:r>
        <w:t xml:space="preserve"> </w:t>
      </w:r>
      <w:r>
        <w:t xml:space="preserve">Shang 2023, PMID 36527881.</w:t>
      </w:r>
    </w:p>
  </w:footnote>
  <w:footnote w:id="1028">
    <w:p>
      <w:pPr>
        <w:pStyle w:val="FootnoteText"/>
      </w:pPr>
      <w:r>
        <w:rPr>
          <w:rStyle w:val="FootnoteReference"/>
        </w:rPr>
        <w:footnoteRef/>
      </w:r>
      <w:r>
        <w:t xml:space="preserve"> </w:t>
      </w:r>
      <w:r>
        <w:t xml:space="preserve">Soeroto 2023, PMID 37845598.</w:t>
      </w:r>
    </w:p>
  </w:footnote>
  <w:footnote w:id="1030">
    <w:p>
      <w:pPr>
        <w:pStyle w:val="FootnoteText"/>
      </w:pPr>
      <w:r>
        <w:rPr>
          <w:rStyle w:val="FootnoteReference"/>
        </w:rPr>
        <w:footnoteRef/>
      </w:r>
      <w:r>
        <w:t xml:space="preserve"> </w:t>
      </w:r>
      <w:r>
        <w:t xml:space="preserve">Maio 2010, PMID 20194853.</w:t>
      </w:r>
    </w:p>
  </w:footnote>
  <w:footnote w:id="1031">
    <w:p>
      <w:pPr>
        <w:pStyle w:val="FootnoteText"/>
      </w:pPr>
      <w:r>
        <w:rPr>
          <w:rStyle w:val="FootnoteReference"/>
        </w:rPr>
        <w:footnoteRef/>
      </w:r>
      <w:r>
        <w:t xml:space="preserve"> </w:t>
      </w:r>
      <w:r>
        <w:t xml:space="preserve">Kim 2026, PMID 42797537.</w:t>
      </w:r>
    </w:p>
  </w:footnote>
  <w:footnote w:id="1032">
    <w:p>
      <w:pPr>
        <w:pStyle w:val="FootnoteText"/>
      </w:pPr>
      <w:r>
        <w:rPr>
          <w:rStyle w:val="FootnoteReference"/>
        </w:rPr>
        <w:footnoteRef/>
      </w:r>
      <w:r>
        <w:t xml:space="preserve"> </w:t>
      </w:r>
      <w:r>
        <w:t xml:space="preserve">Xu 2026, PMID 41749205.</w:t>
      </w:r>
    </w:p>
  </w:footnote>
  <w:footnote w:id="1034">
    <w:p>
      <w:pPr>
        <w:pStyle w:val="FootnoteText"/>
      </w:pPr>
      <w:r>
        <w:rPr>
          <w:rStyle w:val="FootnoteReference"/>
        </w:rPr>
        <w:footnoteRef/>
      </w:r>
      <w:r>
        <w:t xml:space="preserve"> </w:t>
      </w:r>
      <w:r>
        <w:t xml:space="preserve">Gravenstein 1989, PMID 2642497.</w:t>
      </w:r>
    </w:p>
  </w:footnote>
  <w:footnote w:id="1035">
    <w:p>
      <w:pPr>
        <w:pStyle w:val="FootnoteText"/>
      </w:pPr>
      <w:r>
        <w:rPr>
          <w:rStyle w:val="FootnoteReference"/>
        </w:rPr>
        <w:footnoteRef/>
      </w:r>
      <w:r>
        <w:t xml:space="preserve"> </w:t>
      </w:r>
      <w:r>
        <w:t xml:space="preserve">Tuthill 2023, PMID 36881981.</w:t>
      </w:r>
    </w:p>
  </w:footnote>
  <w:footnote w:id="1036">
    <w:p>
      <w:pPr>
        <w:pStyle w:val="FootnoteText"/>
      </w:pPr>
      <w:r>
        <w:rPr>
          <w:rStyle w:val="FootnoteReference"/>
        </w:rPr>
        <w:footnoteRef/>
      </w:r>
      <w:r>
        <w:t xml:space="preserve"> </w:t>
      </w:r>
      <w:r>
        <w:t xml:space="preserve">NCT06821100.</w:t>
      </w:r>
    </w:p>
  </w:footnote>
  <w:footnote w:id="1039">
    <w:p>
      <w:pPr>
        <w:pStyle w:val="FootnoteText"/>
      </w:pPr>
      <w:r>
        <w:rPr>
          <w:rStyle w:val="FootnoteReference"/>
        </w:rPr>
        <w:footnoteRef/>
      </w:r>
      <w:r>
        <w:t xml:space="preserve"> </w:t>
      </w:r>
      <w:r>
        <w:t xml:space="preserve">Garaci 2007, PMID 17600290.</w:t>
      </w:r>
    </w:p>
  </w:footnote>
  <w:footnote w:id="1041">
    <w:p>
      <w:pPr>
        <w:pStyle w:val="FootnoteText"/>
      </w:pPr>
      <w:r>
        <w:rPr>
          <w:rStyle w:val="FootnoteReference"/>
        </w:rPr>
        <w:footnoteRef/>
      </w:r>
      <w:r>
        <w:t xml:space="preserve"> </w:t>
      </w:r>
      <w:r>
        <w:t xml:space="preserve">Ancell 2001, PMID 11381492.</w:t>
      </w:r>
    </w:p>
  </w:footnote>
  <w:footnote w:id="1042">
    <w:p>
      <w:pPr>
        <w:pStyle w:val="FootnoteText"/>
      </w:pPr>
      <w:r>
        <w:rPr>
          <w:rStyle w:val="FootnoteReference"/>
        </w:rPr>
        <w:footnoteRef/>
      </w:r>
      <w:r>
        <w:t xml:space="preserve"> </w:t>
      </w:r>
      <w:r>
        <w:t xml:space="preserve">Wu 2025, PMID 39814420.</w:t>
      </w:r>
    </w:p>
  </w:footnote>
  <w:footnote w:id="1043">
    <w:p>
      <w:pPr>
        <w:pStyle w:val="FootnoteText"/>
      </w:pPr>
      <w:r>
        <w:rPr>
          <w:rStyle w:val="FootnoteReference"/>
        </w:rPr>
        <w:footnoteRef/>
      </w:r>
      <w:r>
        <w:t xml:space="preserve"> </w:t>
      </w:r>
      <w:r>
        <w:t xml:space="preserve">Iino 2005, PMID 15850471.</w:t>
      </w:r>
    </w:p>
  </w:footnote>
  <w:footnote w:id="1045">
    <w:p>
      <w:pPr>
        <w:pStyle w:val="FootnoteText"/>
      </w:pPr>
      <w:r>
        <w:rPr>
          <w:rStyle w:val="FootnoteReference"/>
        </w:rPr>
        <w:footnoteRef/>
      </w:r>
      <w:r>
        <w:t xml:space="preserve"> </w:t>
      </w:r>
      <w:r>
        <w:t xml:space="preserve">Wu 2025, PMID 39814420.</w:t>
      </w:r>
    </w:p>
  </w:footnote>
  <w:footnote w:id="1046">
    <w:p>
      <w:pPr>
        <w:pStyle w:val="FootnoteText"/>
      </w:pPr>
      <w:r>
        <w:rPr>
          <w:rStyle w:val="FootnoteReference"/>
        </w:rPr>
        <w:footnoteRef/>
      </w:r>
      <w:r>
        <w:t xml:space="preserve"> </w:t>
      </w:r>
      <w:r>
        <w:t xml:space="preserve">Liu 2021, PMID 34408744.</w:t>
      </w:r>
    </w:p>
  </w:footnote>
  <w:footnote w:id="1047">
    <w:p>
      <w:pPr>
        <w:pStyle w:val="FootnoteText"/>
      </w:pPr>
      <w:r>
        <w:rPr>
          <w:rStyle w:val="FootnoteReference"/>
        </w:rPr>
        <w:footnoteRef/>
      </w:r>
      <w:r>
        <w:t xml:space="preserve"> </w:t>
      </w:r>
      <w:r>
        <w:t xml:space="preserve">Kim 2026, PMID 42797537.</w:t>
      </w:r>
    </w:p>
  </w:footnote>
  <w:footnote w:id="1050">
    <w:p>
      <w:pPr>
        <w:pStyle w:val="FootnoteText"/>
      </w:pPr>
      <w:r>
        <w:rPr>
          <w:rStyle w:val="FootnoteReference"/>
        </w:rPr>
        <w:footnoteRef/>
      </w:r>
      <w:r>
        <w:t xml:space="preserve"> </w:t>
      </w:r>
      <w:r>
        <w:t xml:space="preserve">Dinetz 2024, PMID 38308608.</w:t>
      </w:r>
    </w:p>
  </w:footnote>
  <w:footnote w:id="1051">
    <w:p>
      <w:pPr>
        <w:pStyle w:val="FootnoteText"/>
      </w:pPr>
      <w:r>
        <w:rPr>
          <w:rStyle w:val="FootnoteReference"/>
        </w:rPr>
        <w:footnoteRef/>
      </w:r>
      <w:r>
        <w:t xml:space="preserve"> </w:t>
      </w:r>
      <w:r>
        <w:t xml:space="preserve">Willis 2026, PMID 42752426.</w:t>
      </w:r>
    </w:p>
  </w:footnote>
  <w:footnote w:id="1053">
    <w:p>
      <w:pPr>
        <w:pStyle w:val="FootnoteText"/>
      </w:pPr>
      <w:r>
        <w:rPr>
          <w:rStyle w:val="FootnoteReference"/>
        </w:rPr>
        <w:footnoteRef/>
      </w:r>
      <w:r>
        <w:t xml:space="preserve"> </w:t>
      </w:r>
      <w:r>
        <w:t xml:space="preserve">NCT05086614.</w:t>
      </w:r>
    </w:p>
  </w:footnote>
  <w:footnote w:id="1054">
    <w:p>
      <w:pPr>
        <w:pStyle w:val="FootnoteText"/>
      </w:pPr>
      <w:r>
        <w:rPr>
          <w:rStyle w:val="FootnoteReference"/>
        </w:rPr>
        <w:footnoteRef/>
      </w:r>
      <w:r>
        <w:t xml:space="preserve"> </w:t>
      </w:r>
      <w:r>
        <w:t xml:space="preserve">NCT07884201.</w:t>
      </w:r>
    </w:p>
  </w:footnote>
  <w:footnote w:id="1055">
    <w:p>
      <w:pPr>
        <w:pStyle w:val="FootnoteText"/>
      </w:pPr>
      <w:r>
        <w:rPr>
          <w:rStyle w:val="FootnoteReference"/>
        </w:rPr>
        <w:footnoteRef/>
      </w:r>
      <w:r>
        <w:t xml:space="preserve"> </w:t>
      </w:r>
      <w:r>
        <w:t xml:space="preserve">NCT07866118.</w:t>
      </w:r>
    </w:p>
  </w:footnote>
  <w:footnote w:id="1056">
    <w:p>
      <w:pPr>
        <w:pStyle w:val="FootnoteText"/>
      </w:pPr>
      <w:r>
        <w:rPr>
          <w:rStyle w:val="FootnoteReference"/>
        </w:rPr>
        <w:footnoteRef/>
      </w:r>
      <w:r>
        <w:t xml:space="preserve"> </w:t>
      </w:r>
      <w:r>
        <w:t xml:space="preserve">NCT06821100.</w:t>
      </w:r>
    </w:p>
  </w:footnote>
  <w:footnote w:id="1058">
    <w:p>
      <w:pPr>
        <w:pStyle w:val="FootnoteText"/>
      </w:pPr>
      <w:r>
        <w:rPr>
          <w:rStyle w:val="FootnoteReference"/>
        </w:rPr>
        <w:footnoteRef/>
      </w:r>
      <w:r>
        <w:t xml:space="preserve"> </w:t>
      </w:r>
      <w:r>
        <w:t xml:space="preserve">Wu 2025, PMID 39814420.</w:t>
      </w:r>
    </w:p>
  </w:footnote>
  <w:footnote w:id="1059">
    <w:p>
      <w:pPr>
        <w:pStyle w:val="FootnoteText"/>
      </w:pPr>
      <w:r>
        <w:rPr>
          <w:rStyle w:val="FootnoteReference"/>
        </w:rPr>
        <w:footnoteRef/>
      </w:r>
      <w:r>
        <w:t xml:space="preserve"> </w:t>
      </w:r>
      <w:r>
        <w:t xml:space="preserve">Ke 2022, PMID 35713670.</w:t>
      </w:r>
    </w:p>
  </w:footnote>
  <w:footnote w:id="1060">
    <w:p>
      <w:pPr>
        <w:pStyle w:val="FootnoteText"/>
      </w:pPr>
      <w:r>
        <w:rPr>
          <w:rStyle w:val="FootnoteReference"/>
        </w:rPr>
        <w:footnoteRef/>
      </w:r>
      <w:r>
        <w:t xml:space="preserve"> </w:t>
      </w:r>
      <w:r>
        <w:t xml:space="preserve">Wu 2018, PMID 30063860.</w:t>
      </w:r>
    </w:p>
  </w:footnote>
  <w:footnote w:id="1063">
    <w:p>
      <w:pPr>
        <w:pStyle w:val="FootnoteText"/>
      </w:pPr>
      <w:r>
        <w:rPr>
          <w:rStyle w:val="FootnoteReference"/>
        </w:rPr>
        <w:footnoteRef/>
      </w:r>
      <w:r>
        <w:t xml:space="preserve"> </w:t>
      </w:r>
      <w:r>
        <w:t xml:space="preserve">Cutuli 2000, PMID 10670585.</w:t>
      </w:r>
    </w:p>
  </w:footnote>
  <w:footnote w:id="1065">
    <w:p>
      <w:pPr>
        <w:pStyle w:val="FootnoteText"/>
      </w:pPr>
      <w:r>
        <w:rPr>
          <w:rStyle w:val="FootnoteReference"/>
        </w:rPr>
        <w:footnoteRef/>
      </w:r>
      <w:r>
        <w:t xml:space="preserve"> </w:t>
      </w:r>
      <w:r>
        <w:t xml:space="preserve">Catania 1998, PMID 9700761.</w:t>
      </w:r>
    </w:p>
  </w:footnote>
  <w:footnote w:id="1066">
    <w:p>
      <w:pPr>
        <w:pStyle w:val="FootnoteText"/>
      </w:pPr>
      <w:r>
        <w:rPr>
          <w:rStyle w:val="FootnoteReference"/>
        </w:rPr>
        <w:footnoteRef/>
      </w:r>
      <w:r>
        <w:t xml:space="preserve"> </w:t>
      </w:r>
      <w:r>
        <w:t xml:space="preserve">Getting 2003, PMID 12750433.</w:t>
      </w:r>
    </w:p>
  </w:footnote>
  <w:footnote w:id="1067">
    <w:p>
      <w:pPr>
        <w:pStyle w:val="FootnoteText"/>
      </w:pPr>
      <w:r>
        <w:rPr>
          <w:rStyle w:val="FootnoteReference"/>
        </w:rPr>
        <w:footnoteRef/>
      </w:r>
      <w:r>
        <w:t xml:space="preserve"> </w:t>
      </w:r>
      <w:r>
        <w:t xml:space="preserve">Dalmasso 2008, PMID 18061177.</w:t>
      </w:r>
    </w:p>
  </w:footnote>
  <w:footnote w:id="1068">
    <w:p>
      <w:pPr>
        <w:pStyle w:val="FootnoteText"/>
      </w:pPr>
      <w:r>
        <w:rPr>
          <w:rStyle w:val="FootnoteReference"/>
        </w:rPr>
        <w:footnoteRef/>
      </w:r>
      <w:r>
        <w:t xml:space="preserve"> </w:t>
      </w:r>
      <w:r>
        <w:t xml:space="preserve">Cutuli 2000, PMID 10670585.</w:t>
      </w:r>
    </w:p>
  </w:footnote>
  <w:footnote w:id="1070">
    <w:p>
      <w:pPr>
        <w:pStyle w:val="FootnoteText"/>
      </w:pPr>
      <w:r>
        <w:rPr>
          <w:rStyle w:val="FootnoteReference"/>
        </w:rPr>
        <w:footnoteRef/>
      </w:r>
      <w:r>
        <w:t xml:space="preserve"> </w:t>
      </w:r>
      <w:r>
        <w:t xml:space="preserve">Catania 1998, PMID 9700761.</w:t>
      </w:r>
    </w:p>
  </w:footnote>
  <w:footnote w:id="1071">
    <w:p>
      <w:pPr>
        <w:pStyle w:val="FootnoteText"/>
      </w:pPr>
      <w:r>
        <w:rPr>
          <w:rStyle w:val="FootnoteReference"/>
        </w:rPr>
        <w:footnoteRef/>
      </w:r>
      <w:r>
        <w:t xml:space="preserve"> </w:t>
      </w:r>
      <w:r>
        <w:t xml:space="preserve">Elliott 2004, PMID 15102092.</w:t>
      </w:r>
    </w:p>
  </w:footnote>
  <w:footnote w:id="1072">
    <w:p>
      <w:pPr>
        <w:pStyle w:val="FootnoteText"/>
      </w:pPr>
      <w:r>
        <w:rPr>
          <w:rStyle w:val="FootnoteReference"/>
        </w:rPr>
        <w:footnoteRef/>
      </w:r>
      <w:r>
        <w:t xml:space="preserve"> </w:t>
      </w:r>
      <w:r>
        <w:t xml:space="preserve">Pawar 2017, PMID 28343991.</w:t>
      </w:r>
    </w:p>
  </w:footnote>
  <w:footnote w:id="1073">
    <w:p>
      <w:pPr>
        <w:pStyle w:val="FootnoteText"/>
      </w:pPr>
      <w:r>
        <w:rPr>
          <w:rStyle w:val="FootnoteReference"/>
        </w:rPr>
        <w:footnoteRef/>
      </w:r>
      <w:r>
        <w:t xml:space="preserve"> </w:t>
      </w:r>
      <w:r>
        <w:t xml:space="preserve">Gatti 2006, PMID 16413580.</w:t>
      </w:r>
    </w:p>
  </w:footnote>
  <w:footnote w:id="1077">
    <w:p>
      <w:pPr>
        <w:pStyle w:val="FootnoteText"/>
      </w:pPr>
      <w:r>
        <w:rPr>
          <w:rStyle w:val="FootnoteReference"/>
        </w:rPr>
        <w:footnoteRef/>
      </w:r>
      <w:r>
        <w:t xml:space="preserve"> </w:t>
      </w:r>
      <w:r>
        <w:t xml:space="preserve">Cutuli 2000, PMID 10670585.</w:t>
      </w:r>
    </w:p>
  </w:footnote>
  <w:footnote w:id="1078">
    <w:p>
      <w:pPr>
        <w:pStyle w:val="FootnoteText"/>
      </w:pPr>
      <w:r>
        <w:rPr>
          <w:rStyle w:val="FootnoteReference"/>
        </w:rPr>
        <w:footnoteRef/>
      </w:r>
      <w:r>
        <w:t xml:space="preserve"> </w:t>
      </w:r>
      <w:r>
        <w:t xml:space="preserve">Coutinho 2026, PMID 41880199.</w:t>
      </w:r>
    </w:p>
  </w:footnote>
  <w:footnote w:id="1083">
    <w:p>
      <w:pPr>
        <w:pStyle w:val="FootnoteText"/>
      </w:pPr>
      <w:r>
        <w:rPr>
          <w:rStyle w:val="FootnoteReference"/>
        </w:rPr>
        <w:footnoteRef/>
      </w:r>
      <w:r>
        <w:t xml:space="preserve"> </w:t>
      </w:r>
      <w:r>
        <w:t xml:space="preserve">Dalmasso 2008, PMID 18061177; Kannengiesser 2008, PMID 18092346.</w:t>
      </w:r>
    </w:p>
  </w:footnote>
  <w:footnote w:id="1086">
    <w:p>
      <w:pPr>
        <w:pStyle w:val="FootnoteText"/>
      </w:pPr>
      <w:r>
        <w:rPr>
          <w:rStyle w:val="FootnoteReference"/>
        </w:rPr>
        <w:footnoteRef/>
      </w:r>
      <w:r>
        <w:t xml:space="preserve"> </w:t>
      </w:r>
      <w:r>
        <w:t xml:space="preserve">Gombart 2005, PMID 15985530.</w:t>
      </w:r>
    </w:p>
  </w:footnote>
  <w:footnote w:id="1088">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Lande 2007, PMID 17873860.</w:t>
      </w:r>
    </w:p>
  </w:footnote>
  <w:footnote w:id="1090">
    <w:p>
      <w:pPr>
        <w:pStyle w:val="FootnoteText"/>
      </w:pPr>
      <w:r>
        <w:rPr>
          <w:rStyle w:val="FootnoteReference"/>
        </w:rPr>
        <w:footnoteRef/>
      </w:r>
      <w:r>
        <w:t xml:space="preserve"> </w:t>
      </w:r>
      <w:r>
        <w:t xml:space="preserve">Lande 2014, PMID 25470744.</w:t>
      </w:r>
    </w:p>
  </w:footnote>
  <w:footnote w:id="1091">
    <w:p>
      <w:pPr>
        <w:pStyle w:val="FootnoteText"/>
      </w:pPr>
      <w:r>
        <w:rPr>
          <w:rStyle w:val="FootnoteReference"/>
        </w:rPr>
        <w:footnoteRef/>
      </w:r>
      <w:r>
        <w:t xml:space="preserve"> </w:t>
      </w:r>
      <w:r>
        <w:t xml:space="preserve">Yamasaki 2007, PMID 17676051.</w:t>
      </w:r>
    </w:p>
  </w:footnote>
  <w:footnote w:id="1093">
    <w:p>
      <w:pPr>
        <w:pStyle w:val="FootnoteText"/>
      </w:pPr>
      <w:r>
        <w:rPr>
          <w:rStyle w:val="FootnoteReference"/>
        </w:rPr>
        <w:footnoteRef/>
      </w:r>
      <w:r>
        <w:t xml:space="preserve"> </w:t>
      </w:r>
      <w:r>
        <w:t xml:space="preserve">Grönberg 2014, PMID 25041740.</w:t>
      </w:r>
    </w:p>
  </w:footnote>
  <w:footnote w:id="1094">
    <w:p>
      <w:pPr>
        <w:pStyle w:val="FootnoteText"/>
      </w:pPr>
      <w:r>
        <w:rPr>
          <w:rStyle w:val="FootnoteReference"/>
        </w:rPr>
        <w:footnoteRef/>
      </w:r>
      <w:r>
        <w:t xml:space="preserve"> </w:t>
      </w:r>
      <w:r>
        <w:t xml:space="preserve">Mahlapuu 2021, PMID 34687253.</w:t>
      </w:r>
    </w:p>
  </w:footnote>
  <w:footnote w:id="1095">
    <w:p>
      <w:pPr>
        <w:pStyle w:val="FootnoteText"/>
      </w:pPr>
      <w:r>
        <w:rPr>
          <w:rStyle w:val="FootnoteReference"/>
        </w:rPr>
        <w:footnoteRef/>
      </w:r>
      <w:r>
        <w:t xml:space="preserve"> </w:t>
      </w:r>
      <w:r>
        <w:t xml:space="preserve">Miranda 2023, PMID 37480520.</w:t>
      </w:r>
    </w:p>
  </w:footnote>
  <w:footnote w:id="1096">
    <w:p>
      <w:pPr>
        <w:pStyle w:val="FootnoteText"/>
      </w:pPr>
      <w:r>
        <w:rPr>
          <w:rStyle w:val="FootnoteReference"/>
        </w:rPr>
        <w:footnoteRef/>
      </w:r>
      <w:r>
        <w:t xml:space="preserve"> </w:t>
      </w:r>
      <w:r>
        <w:t xml:space="preserve">Zhao 2023, PMID 37605995.</w:t>
      </w:r>
    </w:p>
  </w:footnote>
  <w:footnote w:id="1098">
    <w:p>
      <w:pPr>
        <w:pStyle w:val="FootnoteText"/>
      </w:pPr>
      <w:r>
        <w:rPr>
          <w:rStyle w:val="FootnoteReference"/>
        </w:rPr>
        <w:footnoteRef/>
      </w:r>
      <w:r>
        <w:t xml:space="preserve"> </w:t>
      </w:r>
      <w:r>
        <w:t xml:space="preserve">Majewski 2017, PMID 28956425.</w:t>
      </w:r>
    </w:p>
  </w:footnote>
  <w:footnote w:id="1099">
    <w:p>
      <w:pPr>
        <w:pStyle w:val="FootnoteText"/>
      </w:pPr>
      <w:r>
        <w:rPr>
          <w:rStyle w:val="FootnoteReference"/>
        </w:rPr>
        <w:footnoteRef/>
      </w:r>
      <w:r>
        <w:t xml:space="preserve"> </w:t>
      </w:r>
      <w:r>
        <w:t xml:space="preserve">Savonius 2018, PMID 28827496.</w:t>
      </w:r>
    </w:p>
  </w:footnote>
  <w:footnote w:id="1100">
    <w:p>
      <w:pPr>
        <w:pStyle w:val="FootnoteText"/>
      </w:pPr>
      <w:r>
        <w:rPr>
          <w:rStyle w:val="FootnoteReference"/>
        </w:rPr>
        <w:footnoteRef/>
      </w:r>
      <w:r>
        <w:t xml:space="preserve"> </w:t>
      </w:r>
      <w:r>
        <w:t xml:space="preserve">Quraishi 2015, PMID 26086941.</w:t>
      </w:r>
    </w:p>
  </w:footnote>
  <w:footnote w:id="1102">
    <w:p>
      <w:pPr>
        <w:pStyle w:val="FootnoteText"/>
      </w:pPr>
      <w:r>
        <w:rPr>
          <w:rStyle w:val="FootnoteReference"/>
        </w:rPr>
        <w:footnoteRef/>
      </w:r>
      <w:r>
        <w:t xml:space="preserve"> </w:t>
      </w:r>
      <w:r>
        <w:t xml:space="preserve">Mily 2015, PMID 26394045.</w:t>
      </w:r>
    </w:p>
  </w:footnote>
  <w:footnote w:id="1105">
    <w:p>
      <w:pPr>
        <w:pStyle w:val="FootnoteText"/>
      </w:pPr>
      <w:r>
        <w:rPr>
          <w:rStyle w:val="FootnoteReference"/>
        </w:rPr>
        <w:footnoteRef/>
      </w:r>
      <w:r>
        <w:t xml:space="preserve"> </w:t>
      </w:r>
      <w:r>
        <w:t xml:space="preserve">Chen 2018, PMID 29843147.</w:t>
      </w:r>
    </w:p>
  </w:footnote>
  <w:footnote w:id="1106">
    <w:p>
      <w:pPr>
        <w:pStyle w:val="FootnoteText"/>
      </w:pPr>
      <w:r>
        <w:rPr>
          <w:rStyle w:val="FootnoteReference"/>
        </w:rPr>
        <w:footnoteRef/>
      </w:r>
      <w:r>
        <w:t xml:space="preserve"> </w:t>
      </w:r>
      <w:r>
        <w:t xml:space="preserve">Gombart 2005, PMID 15985530.</w:t>
      </w:r>
    </w:p>
  </w:footnote>
  <w:footnote w:id="1108">
    <w:p>
      <w:pPr>
        <w:pStyle w:val="FootnoteText"/>
      </w:pPr>
      <w:r>
        <w:rPr>
          <w:rStyle w:val="FootnoteReference"/>
        </w:rPr>
        <w:footnoteRef/>
      </w:r>
      <w:r>
        <w:t xml:space="preserve"> </w:t>
      </w:r>
      <w:r>
        <w:t xml:space="preserve">Grönberg 2014, PMID 25041740; Mahlapuu 2021, PMID 34687253.</w:t>
      </w:r>
    </w:p>
  </w:footnote>
  <w:footnote w:id="1109">
    <w:p>
      <w:pPr>
        <w:pStyle w:val="FootnoteText"/>
      </w:pPr>
      <w:r>
        <w:rPr>
          <w:rStyle w:val="FootnoteReference"/>
        </w:rPr>
        <w:footnoteRef/>
      </w:r>
      <w:r>
        <w:t xml:space="preserve"> </w:t>
      </w:r>
      <w:r>
        <w:t xml:space="preserve">Dolkar 2018, PMID 29665030.</w:t>
      </w:r>
    </w:p>
  </w:footnote>
  <w:footnote w:id="1111">
    <w:p>
      <w:pPr>
        <w:pStyle w:val="FootnoteText"/>
      </w:pPr>
      <w:r>
        <w:rPr>
          <w:rStyle w:val="FootnoteReference"/>
        </w:rPr>
        <w:footnoteRef/>
      </w:r>
      <w:r>
        <w:t xml:space="preserve"> </w:t>
      </w:r>
      <w:r>
        <w:t xml:space="preserve">Lande 2007, PMID 17873860; Lande 2014, PMID 25470744.</w:t>
      </w:r>
    </w:p>
  </w:footnote>
  <w:footnote w:id="1112">
    <w:p>
      <w:pPr>
        <w:pStyle w:val="FootnoteText"/>
      </w:pPr>
      <w:r>
        <w:rPr>
          <w:rStyle w:val="FootnoteReference"/>
        </w:rPr>
        <w:footnoteRef/>
      </w:r>
      <w:r>
        <w:t xml:space="preserve"> </w:t>
      </w:r>
      <w:r>
        <w:t xml:space="preserve">Yamasaki 2007, PMID 17676051.</w:t>
      </w:r>
    </w:p>
  </w:footnote>
  <w:footnote w:id="1113">
    <w:p>
      <w:pPr>
        <w:pStyle w:val="FootnoteText"/>
      </w:pPr>
      <w:r>
        <w:rPr>
          <w:rStyle w:val="FootnoteReference"/>
        </w:rPr>
        <w:footnoteRef/>
      </w:r>
      <w:r>
        <w:t xml:space="preserve"> </w:t>
      </w:r>
      <w:r>
        <w:t xml:space="preserve">Chen 2018, PMID 29843147.</w:t>
      </w:r>
    </w:p>
  </w:footnote>
  <w:footnote w:id="1118">
    <w:p>
      <w:pPr>
        <w:pStyle w:val="FootnoteText"/>
      </w:pPr>
      <w:r>
        <w:rPr>
          <w:rStyle w:val="FootnoteReference"/>
        </w:rPr>
        <w:footnoteRef/>
      </w:r>
      <w:r>
        <w:t xml:space="preserve"> </w:t>
      </w:r>
      <w:r>
        <w:t xml:space="preserve">Mahlapuu 2021, PMID 34687253.</w:t>
      </w:r>
    </w:p>
  </w:footnote>
  <w:footnote w:id="1121">
    <w:p>
      <w:pPr>
        <w:pStyle w:val="FootnoteText"/>
      </w:pPr>
      <w:r>
        <w:rPr>
          <w:rStyle w:val="FootnoteReference"/>
        </w:rPr>
        <w:footnoteRef/>
      </w:r>
      <w:r>
        <w:t xml:space="preserve"> </w:t>
      </w:r>
      <w:r>
        <w:t xml:space="preserve">Winicki 2022, PMID 36741836.</w:t>
      </w:r>
    </w:p>
  </w:footnote>
  <w:footnote w:id="1122">
    <w:p>
      <w:pPr>
        <w:pStyle w:val="FootnoteText"/>
      </w:pPr>
      <w:r>
        <w:rPr>
          <w:rStyle w:val="FootnoteReference"/>
        </w:rPr>
        <w:footnoteRef/>
      </w:r>
      <w:r>
        <w:t xml:space="preserve"> </w:t>
      </w:r>
      <w:r>
        <w:t xml:space="preserve">Thomas 2017, PMID 28941172.</w:t>
      </w:r>
    </w:p>
  </w:footnote>
  <w:footnote w:id="1124">
    <w:p>
      <w:pPr>
        <w:pStyle w:val="FootnoteText"/>
      </w:pPr>
      <w:r>
        <w:rPr>
          <w:rStyle w:val="FootnoteReference"/>
        </w:rPr>
        <w:footnoteRef/>
      </w:r>
      <w:r>
        <w:t xml:space="preserve"> </w:t>
      </w:r>
      <w:r>
        <w:t xml:space="preserve">Swartjes 2014, PMID 24529189.</w:t>
      </w:r>
    </w:p>
  </w:footnote>
  <w:footnote w:id="1125">
    <w:p>
      <w:pPr>
        <w:pStyle w:val="FootnoteText"/>
      </w:pPr>
      <w:r>
        <w:rPr>
          <w:rStyle w:val="FootnoteReference"/>
        </w:rPr>
        <w:footnoteRef/>
      </w:r>
      <w:r>
        <w:t xml:space="preserve"> </w:t>
      </w:r>
      <w:r>
        <w:t xml:space="preserve">Thomas 2017, PMID 28941172.</w:t>
      </w:r>
    </w:p>
  </w:footnote>
  <w:footnote w:id="1127">
    <w:p>
      <w:pPr>
        <w:pStyle w:val="FootnoteText"/>
      </w:pPr>
      <w:r>
        <w:rPr>
          <w:rStyle w:val="FootnoteReference"/>
        </w:rPr>
        <w:footnoteRef/>
      </w:r>
      <w:r>
        <w:t xml:space="preserve"> </w:t>
      </w:r>
      <w:r>
        <w:t xml:space="preserve">Heij 2012, PMID 23168581.</w:t>
      </w:r>
    </w:p>
  </w:footnote>
  <w:footnote w:id="1128">
    <w:p>
      <w:pPr>
        <w:pStyle w:val="FootnoteText"/>
      </w:pPr>
      <w:r>
        <w:rPr>
          <w:rStyle w:val="FootnoteReference"/>
        </w:rPr>
        <w:footnoteRef/>
      </w:r>
      <w:r>
        <w:t xml:space="preserve"> </w:t>
      </w:r>
      <w:r>
        <w:t xml:space="preserve">Culver 2017, PMID 28475703.</w:t>
      </w:r>
    </w:p>
  </w:footnote>
  <w:footnote w:id="1129">
    <w:p>
      <w:pPr>
        <w:pStyle w:val="FootnoteText"/>
      </w:pPr>
      <w:r>
        <w:rPr>
          <w:rStyle w:val="FootnoteReference"/>
        </w:rPr>
        <w:footnoteRef/>
      </w:r>
      <w:r>
        <w:t xml:space="preserve"> </w:t>
      </w:r>
      <w:r>
        <w:t xml:space="preserve">van Velzen 2014, PMID 24555851.</w:t>
      </w:r>
    </w:p>
  </w:footnote>
  <w:footnote w:id="1131">
    <w:p>
      <w:pPr>
        <w:pStyle w:val="FootnoteText"/>
      </w:pPr>
      <w:r>
        <w:rPr>
          <w:rStyle w:val="FootnoteReference"/>
        </w:rPr>
        <w:footnoteRef/>
      </w:r>
      <w:r>
        <w:t xml:space="preserve"> </w:t>
      </w:r>
      <w:r>
        <w:t xml:space="preserve">Brines 2015, PMID 25387363.</w:t>
      </w:r>
    </w:p>
  </w:footnote>
  <w:footnote w:id="1132">
    <w:p>
      <w:pPr>
        <w:pStyle w:val="FootnoteText"/>
      </w:pPr>
      <w:r>
        <w:rPr>
          <w:rStyle w:val="FootnoteReference"/>
        </w:rPr>
        <w:footnoteRef/>
      </w:r>
      <w:r>
        <w:t xml:space="preserve"> </w:t>
      </w:r>
      <w:r>
        <w:t xml:space="preserve">NCT01933529.</w:t>
      </w:r>
    </w:p>
  </w:footnote>
  <w:footnote w:id="1133">
    <w:p>
      <w:pPr>
        <w:pStyle w:val="FootnoteText"/>
      </w:pPr>
      <w:r>
        <w:rPr>
          <w:rStyle w:val="FootnoteReference"/>
        </w:rPr>
        <w:footnoteRef/>
      </w:r>
      <w:r>
        <w:t xml:space="preserve"> </w:t>
      </w:r>
      <w:r>
        <w:t xml:space="preserve">Lois 2020, PMID 32674280.</w:t>
      </w:r>
    </w:p>
  </w:footnote>
  <w:footnote w:id="1136">
    <w:p>
      <w:pPr>
        <w:pStyle w:val="FootnoteText"/>
      </w:pPr>
      <w:r>
        <w:rPr>
          <w:rStyle w:val="FootnoteReference"/>
        </w:rPr>
        <w:footnoteRef/>
      </w:r>
      <w:r>
        <w:t xml:space="preserve"> </w:t>
      </w:r>
      <w:r>
        <w:t xml:space="preserve">Swartjes 2014, PMID 24529189; Pulman 2013, PMID 23262243.</w:t>
      </w:r>
    </w:p>
  </w:footnote>
  <w:footnote w:id="1137">
    <w:p>
      <w:pPr>
        <w:pStyle w:val="FootnoteText"/>
      </w:pPr>
      <w:r>
        <w:rPr>
          <w:rStyle w:val="FootnoteReference"/>
        </w:rPr>
        <w:footnoteRef/>
      </w:r>
      <w:r>
        <w:t xml:space="preserve"> </w:t>
      </w:r>
      <w:r>
        <w:t xml:space="preserve">van Rijt 2013, PMID 23302512.</w:t>
      </w:r>
    </w:p>
  </w:footnote>
  <w:footnote w:id="1138">
    <w:p>
      <w:pPr>
        <w:pStyle w:val="FootnoteText"/>
      </w:pPr>
      <w:r>
        <w:rPr>
          <w:rStyle w:val="FootnoteReference"/>
        </w:rPr>
        <w:footnoteRef/>
      </w:r>
      <w:r>
        <w:t xml:space="preserve"> </w:t>
      </w:r>
      <w:r>
        <w:t xml:space="preserve">Muller 2016, PMID 26736179.</w:t>
      </w:r>
    </w:p>
  </w:footnote>
  <w:footnote w:id="1139">
    <w:p>
      <w:pPr>
        <w:pStyle w:val="FootnoteText"/>
      </w:pPr>
      <w:r>
        <w:rPr>
          <w:rStyle w:val="FootnoteReference"/>
        </w:rPr>
        <w:footnoteRef/>
      </w:r>
      <w:r>
        <w:t xml:space="preserve"> </w:t>
      </w:r>
      <w:r>
        <w:t xml:space="preserve">Al-Onaizi 2022, PMID 34343617.</w:t>
      </w:r>
    </w:p>
  </w:footnote>
  <w:footnote w:id="1140">
    <w:p>
      <w:pPr>
        <w:pStyle w:val="FootnoteText"/>
      </w:pPr>
      <w:r>
        <w:rPr>
          <w:rStyle w:val="FootnoteReference"/>
        </w:rPr>
        <w:footnoteRef/>
      </w:r>
      <w:r>
        <w:t xml:space="preserve"> </w:t>
      </w:r>
      <w:r>
        <w:t xml:space="preserve">Winicki 2022, PMID 36741836.</w:t>
      </w:r>
    </w:p>
  </w:footnote>
  <w:footnote w:id="1142">
    <w:p>
      <w:pPr>
        <w:pStyle w:val="FootnoteText"/>
      </w:pPr>
      <w:r>
        <w:rPr>
          <w:rStyle w:val="FootnoteReference"/>
        </w:rPr>
        <w:footnoteRef/>
      </w:r>
      <w:r>
        <w:t xml:space="preserve"> </w:t>
      </w:r>
      <w:r>
        <w:t xml:space="preserve">Heij 2012, PMID 23168581; Brines 2015, PMID 25387363.</w:t>
      </w:r>
    </w:p>
  </w:footnote>
  <w:footnote w:id="1143">
    <w:p>
      <w:pPr>
        <w:pStyle w:val="FootnoteText"/>
      </w:pPr>
      <w:r>
        <w:rPr>
          <w:rStyle w:val="FootnoteReference"/>
        </w:rPr>
        <w:footnoteRef/>
      </w:r>
      <w:r>
        <w:t xml:space="preserve"> </w:t>
      </w:r>
      <w:r>
        <w:t xml:space="preserve">Lois 2020, PMID 32674280.</w:t>
      </w:r>
    </w:p>
  </w:footnote>
  <w:footnote w:id="1148">
    <w:p>
      <w:pPr>
        <w:pStyle w:val="FootnoteText"/>
      </w:pPr>
      <w:r>
        <w:rPr>
          <w:rStyle w:val="FootnoteReference"/>
        </w:rPr>
        <w:footnoteRef/>
      </w:r>
      <w:r>
        <w:t xml:space="preserve"> </w:t>
      </w:r>
      <w:r>
        <w:t xml:space="preserve">NCT02039687.</w:t>
      </w:r>
    </w:p>
  </w:footnote>
  <w:footnote w:id="1149">
    <w:p>
      <w:pPr>
        <w:pStyle w:val="FootnoteText"/>
      </w:pPr>
      <w:r>
        <w:rPr>
          <w:rStyle w:val="FootnoteReference"/>
        </w:rPr>
        <w:footnoteRef/>
      </w:r>
      <w:r>
        <w:t xml:space="preserve"> </w:t>
      </w:r>
      <w:r>
        <w:t xml:space="preserve">NCT06626971.</w:t>
      </w:r>
    </w:p>
  </w:footnote>
  <w:footnote w:id="1151">
    <w:p>
      <w:pPr>
        <w:pStyle w:val="FootnoteText"/>
      </w:pPr>
      <w:r>
        <w:rPr>
          <w:rStyle w:val="FootnoteReference"/>
        </w:rPr>
        <w:footnoteRef/>
      </w:r>
      <w:r>
        <w:t xml:space="preserve"> </w:t>
      </w:r>
      <w:r>
        <w:t xml:space="preserve">Culver 2017, PMID 28475703.</w:t>
      </w:r>
    </w:p>
  </w:footnote>
  <w:footnote w:id="1154">
    <w:p>
      <w:pPr>
        <w:pStyle w:val="FootnoteText"/>
      </w:pPr>
      <w:r>
        <w:rPr>
          <w:rStyle w:val="FootnoteReference"/>
        </w:rPr>
        <w:footnoteRef/>
      </w:r>
      <w:r>
        <w:t xml:space="preserve"> </w:t>
      </w:r>
      <w:r>
        <w:t xml:space="preserve">Gopalakrishnan 2012, PMID 22401908.</w:t>
      </w:r>
    </w:p>
  </w:footnote>
  <w:footnote w:id="1156">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Slifer 2021, PMID 33881350.</w:t>
      </w:r>
    </w:p>
  </w:footnote>
  <w:footnote w:id="1159">
    <w:p>
      <w:pPr>
        <w:pStyle w:val="FootnoteText"/>
      </w:pPr>
      <w:r>
        <w:rPr>
          <w:rStyle w:val="FootnoteReference"/>
        </w:rPr>
        <w:footnoteRef/>
      </w:r>
      <w:r>
        <w:t xml:space="preserve"> </w:t>
      </w:r>
      <w:r>
        <w:t xml:space="preserve">Hoilat 2022, PMID 34339872.</w:t>
      </w:r>
    </w:p>
  </w:footnote>
  <w:footnote w:id="1160">
    <w:p>
      <w:pPr>
        <w:pStyle w:val="FootnoteText"/>
      </w:pPr>
      <w:r>
        <w:rPr>
          <w:rStyle w:val="FootnoteReference"/>
        </w:rPr>
        <w:footnoteRef/>
      </w:r>
      <w:r>
        <w:t xml:space="preserve"> </w:t>
      </w:r>
      <w:r>
        <w:t xml:space="preserve">Leffler 2012, PMID 22825365; Kelly 2013, PMID 23163616.</w:t>
      </w:r>
    </w:p>
  </w:footnote>
  <w:footnote w:id="1161">
    <w:p>
      <w:pPr>
        <w:pStyle w:val="FootnoteText"/>
      </w:pPr>
      <w:r>
        <w:rPr>
          <w:rStyle w:val="FootnoteReference"/>
        </w:rPr>
        <w:footnoteRef/>
      </w:r>
      <w:r>
        <w:t xml:space="preserve"> </w:t>
      </w:r>
      <w:r>
        <w:t xml:space="preserve">Kelly 2013, PMID 23163616.</w:t>
      </w:r>
    </w:p>
  </w:footnote>
  <w:footnote w:id="1162">
    <w:p>
      <w:pPr>
        <w:pStyle w:val="FootnoteText"/>
      </w:pPr>
      <w:r>
        <w:rPr>
          <w:rStyle w:val="FootnoteReference"/>
        </w:rPr>
        <w:footnoteRef/>
      </w:r>
      <w:r>
        <w:t xml:space="preserve"> </w:t>
      </w:r>
      <w:r>
        <w:t xml:space="preserve">Leffler 2015, PMID 25683116.</w:t>
      </w:r>
    </w:p>
  </w:footnote>
  <w:footnote w:id="1163">
    <w:p>
      <w:pPr>
        <w:pStyle w:val="FootnoteText"/>
      </w:pPr>
      <w:r>
        <w:rPr>
          <w:rStyle w:val="FootnoteReference"/>
        </w:rPr>
        <w:footnoteRef/>
      </w:r>
      <w:r>
        <w:t xml:space="preserve"> </w:t>
      </w:r>
      <w:r>
        <w:t xml:space="preserve">Hoilat 2022, PMID 34339872.</w:t>
      </w:r>
    </w:p>
  </w:footnote>
  <w:footnote w:id="1165">
    <w:p>
      <w:pPr>
        <w:pStyle w:val="FootnoteText"/>
      </w:pPr>
      <w:r>
        <w:rPr>
          <w:rStyle w:val="FootnoteReference"/>
        </w:rPr>
        <w:footnoteRef/>
      </w:r>
      <w:r>
        <w:t xml:space="preserve"> </w:t>
      </w:r>
      <w:r>
        <w:t xml:space="preserve">NCT03569007.</w:t>
      </w:r>
    </w:p>
  </w:footnote>
  <w:footnote w:id="1166">
    <w:p>
      <w:pPr>
        <w:pStyle w:val="FootnoteText"/>
      </w:pPr>
      <w:r>
        <w:rPr>
          <w:rStyle w:val="FootnoteReference"/>
        </w:rPr>
        <w:footnoteRef/>
      </w:r>
      <w:r>
        <w:t xml:space="preserve"> </w:t>
      </w:r>
      <w:r>
        <w:t xml:space="preserve">D’heedene 2024, PMID 38648685.</w:t>
      </w:r>
    </w:p>
  </w:footnote>
  <w:footnote w:id="1167">
    <w:p>
      <w:pPr>
        <w:pStyle w:val="FootnoteText"/>
      </w:pPr>
      <w:r>
        <w:rPr>
          <w:rStyle w:val="FootnoteReference"/>
        </w:rPr>
        <w:footnoteRef/>
      </w:r>
      <w:r>
        <w:t xml:space="preserve"> </w:t>
      </w:r>
      <w:r>
        <w:t xml:space="preserve">Girbal-González 2025, PMID 41010485.</w:t>
      </w:r>
    </w:p>
  </w:footnote>
  <w:footnote w:id="1169">
    <w:p>
      <w:pPr>
        <w:pStyle w:val="FootnoteText"/>
      </w:pPr>
      <w:r>
        <w:rPr>
          <w:rStyle w:val="FootnoteReference"/>
        </w:rPr>
        <w:footnoteRef/>
      </w:r>
      <w:r>
        <w:t xml:space="preserve"> </w:t>
      </w:r>
      <w:r>
        <w:t xml:space="preserve">Yonker 2022, PMID 35211683.</w:t>
      </w:r>
    </w:p>
  </w:footnote>
  <w:footnote w:id="1170">
    <w:p>
      <w:pPr>
        <w:pStyle w:val="FootnoteText"/>
      </w:pPr>
      <w:r>
        <w:rPr>
          <w:rStyle w:val="FootnoteReference"/>
        </w:rPr>
        <w:footnoteRef/>
      </w:r>
      <w:r>
        <w:t xml:space="preserve"> </w:t>
      </w:r>
      <w:r>
        <w:t xml:space="preserve">Yonker 2025, PMID 40737433.</w:t>
      </w:r>
    </w:p>
  </w:footnote>
  <w:footnote w:id="1171">
    <w:p>
      <w:pPr>
        <w:pStyle w:val="FootnoteText"/>
      </w:pPr>
      <w:r>
        <w:rPr>
          <w:rStyle w:val="FootnoteReference"/>
        </w:rPr>
        <w:footnoteRef/>
      </w:r>
      <w:r>
        <w:t xml:space="preserve"> </w:t>
      </w:r>
      <w:r>
        <w:t xml:space="preserve">NCT05022303.</w:t>
      </w:r>
    </w:p>
  </w:footnote>
  <w:footnote w:id="1172">
    <w:p>
      <w:pPr>
        <w:pStyle w:val="FootnoteText"/>
      </w:pPr>
      <w:r>
        <w:rPr>
          <w:rStyle w:val="FootnoteReference"/>
        </w:rPr>
        <w:footnoteRef/>
      </w:r>
      <w:r>
        <w:t xml:space="preserve"> </w:t>
      </w:r>
      <w:r>
        <w:t xml:space="preserve">NCT05747534.</w:t>
      </w:r>
    </w:p>
  </w:footnote>
  <w:footnote w:id="1175">
    <w:p>
      <w:pPr>
        <w:pStyle w:val="FootnoteText"/>
      </w:pPr>
      <w:r>
        <w:rPr>
          <w:rStyle w:val="FootnoteReference"/>
        </w:rPr>
        <w:footnoteRef/>
      </w:r>
      <w:r>
        <w:t xml:space="preserve"> </w:t>
      </w:r>
      <w:r>
        <w:t xml:space="preserve">Tajik 2020, PMID 32332732.</w:t>
      </w:r>
    </w:p>
  </w:footnote>
  <w:footnote w:id="1176">
    <w:p>
      <w:pPr>
        <w:pStyle w:val="FootnoteText"/>
      </w:pPr>
      <w:r>
        <w:rPr>
          <w:rStyle w:val="FootnoteReference"/>
        </w:rPr>
        <w:footnoteRef/>
      </w:r>
      <w:r>
        <w:t xml:space="preserve"> </w:t>
      </w:r>
      <w:r>
        <w:t xml:space="preserve">Slifer 2021, PMID 33881350.</w:t>
      </w:r>
    </w:p>
  </w:footnote>
  <w:footnote w:id="1177">
    <w:p>
      <w:pPr>
        <w:pStyle w:val="FootnoteText"/>
      </w:pPr>
      <w:r>
        <w:rPr>
          <w:rStyle w:val="FootnoteReference"/>
        </w:rPr>
        <w:footnoteRef/>
      </w:r>
      <w:r>
        <w:t xml:space="preserve"> </w:t>
      </w:r>
      <w:r>
        <w:t xml:space="preserve">Karahan 2024, PMID 38441784; Caliskan 2021, PMID 34791921.</w:t>
      </w:r>
    </w:p>
  </w:footnote>
  <w:footnote w:id="1179">
    <w:p>
      <w:pPr>
        <w:pStyle w:val="FootnoteText"/>
      </w:pPr>
      <w:r>
        <w:rPr>
          <w:rStyle w:val="FootnoteReference"/>
        </w:rPr>
        <w:footnoteRef/>
      </w:r>
      <w:r>
        <w:t xml:space="preserve"> </w:t>
      </w:r>
      <w:r>
        <w:t xml:space="preserve">Leffler 2012, PMID 22825365.</w:t>
      </w:r>
    </w:p>
  </w:footnote>
  <w:footnote w:id="1180">
    <w:p>
      <w:pPr>
        <w:pStyle w:val="FootnoteText"/>
      </w:pPr>
      <w:r>
        <w:rPr>
          <w:rStyle w:val="FootnoteReference"/>
        </w:rPr>
        <w:footnoteRef/>
      </w:r>
      <w:r>
        <w:t xml:space="preserve"> </w:t>
      </w:r>
      <w:r>
        <w:t xml:space="preserve">Leffler 2015, PMID 25683116.</w:t>
      </w:r>
    </w:p>
  </w:footnote>
  <w:footnote w:id="1181">
    <w:p>
      <w:pPr>
        <w:pStyle w:val="FootnoteText"/>
      </w:pPr>
      <w:r>
        <w:rPr>
          <w:rStyle w:val="FootnoteReference"/>
        </w:rPr>
        <w:footnoteRef/>
      </w:r>
      <w:r>
        <w:t xml:space="preserve"> </w:t>
      </w:r>
      <w:r>
        <w:t xml:space="preserve">Hoilat 2022, PMID 34339872.</w:t>
      </w:r>
    </w:p>
  </w:footnote>
  <w:footnote w:id="1186">
    <w:p>
      <w:pPr>
        <w:pStyle w:val="FootnoteText"/>
      </w:pPr>
      <w:r>
        <w:rPr>
          <w:rStyle w:val="FootnoteReference"/>
        </w:rPr>
        <w:footnoteRef/>
      </w:r>
      <w:r>
        <w:t xml:space="preserve"> </w:t>
      </w:r>
      <w:r>
        <w:t xml:space="preserve">NCT05747534.</w:t>
      </w:r>
    </w:p>
  </w:footnote>
  <w:footnote w:id="1187">
    <w:p>
      <w:pPr>
        <w:pStyle w:val="FootnoteText"/>
      </w:pPr>
      <w:r>
        <w:rPr>
          <w:rStyle w:val="FootnoteReference"/>
        </w:rPr>
        <w:footnoteRef/>
      </w:r>
      <w:r>
        <w:t xml:space="preserve"> </w:t>
      </w:r>
      <w:r>
        <w:t xml:space="preserve">D’heedene 2024, PMID 38648685.</w:t>
      </w:r>
    </w:p>
  </w:footnote>
  <w:footnote w:id="1189">
    <w:p>
      <w:pPr>
        <w:pStyle w:val="FootnoteText"/>
      </w:pPr>
      <w:r>
        <w:rPr>
          <w:rStyle w:val="FootnoteReference"/>
        </w:rPr>
        <w:footnoteRef/>
      </w:r>
      <w:r>
        <w:t xml:space="preserve"> </w:t>
      </w:r>
      <w:r>
        <w:t xml:space="preserve">Leffler 2015, PMID 25683116.</w:t>
      </w:r>
    </w:p>
  </w:footnote>
  <w:footnote w:id="1192">
    <w:p>
      <w:pPr>
        <w:pStyle w:val="FootnoteText"/>
      </w:pPr>
      <w:r>
        <w:rPr>
          <w:rStyle w:val="FootnoteReference"/>
        </w:rPr>
        <w:footnoteRef/>
      </w:r>
      <w:r>
        <w:t xml:space="preserve"> </w:t>
      </w:r>
      <w:r>
        <w:t xml:space="preserve">Morozov 1997, PMID 9637345.</w:t>
      </w:r>
    </w:p>
  </w:footnote>
  <w:footnote w:id="1193">
    <w:p>
      <w:pPr>
        <w:pStyle w:val="FootnoteText"/>
      </w:pPr>
      <w:r>
        <w:rPr>
          <w:rStyle w:val="FootnoteReference"/>
        </w:rPr>
        <w:footnoteRef/>
      </w:r>
      <w:r>
        <w:t xml:space="preserve"> </w:t>
      </w:r>
      <w:r>
        <w:t xml:space="preserve">Linkova 2023, PMID 37686182.</w:t>
      </w:r>
    </w:p>
  </w:footnote>
  <w:footnote w:id="1194">
    <w:p>
      <w:pPr>
        <w:pStyle w:val="FootnoteText"/>
      </w:pPr>
      <w:r>
        <w:rPr>
          <w:rStyle w:val="FootnoteReference"/>
        </w:rPr>
        <w:footnoteRef/>
      </w:r>
      <w:r>
        <w:t xml:space="preserve"> </w:t>
      </w:r>
      <w:r>
        <w:t xml:space="preserve">Anisimov 2000, PMID 11707921.</w:t>
      </w:r>
    </w:p>
  </w:footnote>
  <w:footnote w:id="1196">
    <w:p>
      <w:pPr>
        <w:pStyle w:val="FootnoteText"/>
      </w:pPr>
      <w:r>
        <w:rPr>
          <w:rStyle w:val="FootnoteReference"/>
        </w:rPr>
        <w:footnoteRef/>
      </w:r>
      <w:r>
        <w:t xml:space="preserve"> </w:t>
      </w:r>
      <w:r>
        <w:t xml:space="preserve">Morozov 1997, PMID 9637345.</w:t>
      </w:r>
    </w:p>
  </w:footnote>
  <w:footnote w:id="1197">
    <w:p>
      <w:pPr>
        <w:pStyle w:val="FootnoteText"/>
      </w:pPr>
      <w:r>
        <w:rPr>
          <w:rStyle w:val="FootnoteReference"/>
        </w:rPr>
        <w:footnoteRef/>
      </w:r>
      <w:r>
        <w:t xml:space="preserve"> </w:t>
      </w:r>
      <w:r>
        <w:t xml:space="preserve">Khavinson 2002, PMID 12374906.</w:t>
      </w:r>
    </w:p>
  </w:footnote>
  <w:footnote w:id="1198">
    <w:p>
      <w:pPr>
        <w:pStyle w:val="FootnoteText"/>
      </w:pPr>
      <w:r>
        <w:rPr>
          <w:rStyle w:val="FootnoteReference"/>
        </w:rPr>
        <w:footnoteRef/>
      </w:r>
      <w:r>
        <w:t xml:space="preserve"> </w:t>
      </w:r>
      <w:r>
        <w:t xml:space="preserve">Linkova 2023, PMID 37686182.</w:t>
      </w:r>
    </w:p>
  </w:footnote>
  <w:footnote w:id="1200">
    <w:p>
      <w:pPr>
        <w:pStyle w:val="FootnoteText"/>
      </w:pPr>
      <w:r>
        <w:rPr>
          <w:rStyle w:val="FootnoteReference"/>
        </w:rPr>
        <w:footnoteRef/>
      </w:r>
      <w:r>
        <w:t xml:space="preserve"> </w:t>
      </w:r>
      <w:r>
        <w:t xml:space="preserve">Khavinson 2003, PMID 14523363.</w:t>
      </w:r>
    </w:p>
  </w:footnote>
  <w:footnote w:id="1202">
    <w:p>
      <w:pPr>
        <w:pStyle w:val="FootnoteText"/>
      </w:pPr>
      <w:r>
        <w:rPr>
          <w:rStyle w:val="FootnoteReference"/>
        </w:rPr>
        <w:footnoteRef/>
      </w:r>
      <w:r>
        <w:t xml:space="preserve"> </w:t>
      </w:r>
      <w:r>
        <w:t xml:space="preserve">Kuznik 2022, PMID 36169363.</w:t>
      </w:r>
    </w:p>
  </w:footnote>
  <w:footnote w:id="1203">
    <w:p>
      <w:pPr>
        <w:pStyle w:val="FootnoteText"/>
      </w:pPr>
      <w:r>
        <w:rPr>
          <w:rStyle w:val="FootnoteReference"/>
        </w:rPr>
        <w:footnoteRef/>
      </w:r>
      <w:r>
        <w:t xml:space="preserve"> </w:t>
      </w:r>
      <w:r>
        <w:t xml:space="preserve">Khavinson 2021, PMID 33575961.</w:t>
      </w:r>
    </w:p>
  </w:footnote>
  <w:footnote w:id="1205">
    <w:p>
      <w:pPr>
        <w:pStyle w:val="FootnoteText"/>
      </w:pPr>
      <w:r>
        <w:rPr>
          <w:rStyle w:val="FootnoteReference"/>
        </w:rPr>
        <w:footnoteRef/>
      </w:r>
      <w:r>
        <w:t xml:space="preserve"> </w:t>
      </w:r>
      <w:r>
        <w:t xml:space="preserve">Smirnov 2011, PMID 21957588.</w:t>
      </w:r>
    </w:p>
  </w:footnote>
  <w:footnote w:id="1209">
    <w:p>
      <w:pPr>
        <w:pStyle w:val="FootnoteText"/>
      </w:pPr>
      <w:r>
        <w:rPr>
          <w:rStyle w:val="FootnoteReference"/>
        </w:rPr>
        <w:footnoteRef/>
      </w:r>
      <w:r>
        <w:t xml:space="preserve"> </w:t>
      </w:r>
      <w:r>
        <w:t xml:space="preserve">Anisimov 2000, PMID 11707921.</w:t>
      </w:r>
    </w:p>
  </w:footnote>
  <w:footnote w:id="1210">
    <w:p>
      <w:pPr>
        <w:pStyle w:val="FootnoteText"/>
      </w:pPr>
      <w:r>
        <w:rPr>
          <w:rStyle w:val="FootnoteReference"/>
        </w:rPr>
        <w:footnoteRef/>
      </w:r>
      <w:r>
        <w:t xml:space="preserve"> </w:t>
      </w:r>
      <w:r>
        <w:t xml:space="preserve">Khavinson 2020, PMID 33237528.</w:t>
      </w:r>
    </w:p>
  </w:footnote>
  <w:footnote w:id="1218">
    <w:p>
      <w:pPr>
        <w:pStyle w:val="FootnoteText"/>
      </w:pPr>
      <w:r>
        <w:rPr>
          <w:rStyle w:val="FootnoteReference"/>
        </w:rPr>
        <w:footnoteRef/>
      </w:r>
      <w:r>
        <w:t xml:space="preserve"> </w:t>
      </w:r>
      <w:r>
        <w:t xml:space="preserve">Khavinson 2003, PMID 14523363.</w:t>
      </w:r>
    </w:p>
  </w:footnote>
  <w:footnote w:id="1222">
    <w:p>
      <w:pPr>
        <w:pStyle w:val="FootnoteText"/>
      </w:pPr>
      <w:r>
        <w:rPr>
          <w:rStyle w:val="FootnoteReference"/>
        </w:rPr>
        <w:footnoteRef/>
      </w:r>
      <w:r>
        <w:t xml:space="preserve"> </w:t>
      </w:r>
      <w:r>
        <w:t xml:space="preserve">Kojima 1999, PMID 10604470.</w:t>
      </w:r>
    </w:p>
  </w:footnote>
  <w:footnote w:id="1224">
    <w:p>
      <w:pPr>
        <w:pStyle w:val="FootnoteText"/>
      </w:pPr>
      <w:r>
        <w:rPr>
          <w:rStyle w:val="FootnoteReference"/>
        </w:rPr>
        <w:footnoteRef/>
      </w:r>
      <w:r>
        <w:t xml:space="preserve"> </w:t>
      </w:r>
      <w:r>
        <w:t xml:space="preserve">Liu 2008, PMID 18347346.</w:t>
      </w:r>
    </w:p>
  </w:footnote>
  <w:footnote w:id="1225">
    <w:p>
      <w:pPr>
        <w:pStyle w:val="FootnoteText"/>
      </w:pPr>
      <w:r>
        <w:rPr>
          <w:rStyle w:val="FootnoteReference"/>
        </w:rPr>
        <w:footnoteRef/>
      </w:r>
      <w:r>
        <w:t xml:space="preserve"> </w:t>
      </w:r>
      <w:r>
        <w:t xml:space="preserve">Liu 2007, PMID 17227934.</w:t>
      </w:r>
    </w:p>
  </w:footnote>
  <w:footnote w:id="1227">
    <w:p>
      <w:pPr>
        <w:pStyle w:val="FootnoteText"/>
      </w:pPr>
      <w:r>
        <w:rPr>
          <w:rStyle w:val="FootnoteReference"/>
        </w:rPr>
        <w:footnoteRef/>
      </w:r>
      <w:r>
        <w:t xml:space="preserve"> </w:t>
      </w:r>
      <w:r>
        <w:t xml:space="preserve">Renehan 2004, PMID 15110491.</w:t>
      </w:r>
    </w:p>
  </w:footnote>
  <w:footnote w:id="1228">
    <w:p>
      <w:pPr>
        <w:pStyle w:val="FootnoteText"/>
      </w:pPr>
      <w:r>
        <w:rPr>
          <w:rStyle w:val="FootnoteReference"/>
        </w:rPr>
        <w:footnoteRef/>
      </w:r>
      <w:r>
        <w:t xml:space="preserve"> </w:t>
      </w:r>
      <w:r>
        <w:t xml:space="preserve">Murphy 2020, PMID 32169310; Murphy 2020, PMID 31884074.</w:t>
      </w:r>
    </w:p>
  </w:footnote>
  <w:footnote w:id="1229">
    <w:p>
      <w:pPr>
        <w:pStyle w:val="FootnoteText"/>
      </w:pPr>
      <w:r>
        <w:rPr>
          <w:rStyle w:val="FootnoteReference"/>
        </w:rPr>
        <w:footnoteRef/>
      </w:r>
      <w:r>
        <w:t xml:space="preserve"> </w:t>
      </w:r>
      <w:r>
        <w:t xml:space="preserve">Dal 2018, PMID 29590449.</w:t>
      </w:r>
    </w:p>
  </w:footnote>
  <w:footnote w:id="1230">
    <w:p>
      <w:pPr>
        <w:pStyle w:val="FootnoteText"/>
      </w:pPr>
      <w:r>
        <w:rPr>
          <w:rStyle w:val="FootnoteReference"/>
        </w:rPr>
        <w:footnoteRef/>
      </w:r>
      <w:r>
        <w:t xml:space="preserve"> </w:t>
      </w:r>
      <w:r>
        <w:t xml:space="preserve">Guevara-Aguirre 2011, PMID 21325617.</w:t>
      </w:r>
    </w:p>
  </w:footnote>
  <w:footnote w:id="1231">
    <w:p>
      <w:pPr>
        <w:pStyle w:val="FootnoteText"/>
      </w:pPr>
      <w:r>
        <w:rPr>
          <w:rStyle w:val="FootnoteReference"/>
        </w:rPr>
        <w:footnoteRef/>
      </w:r>
      <w:r>
        <w:t xml:space="preserve"> </w:t>
      </w:r>
      <w:r>
        <w:t xml:space="preserve">Swerdlow 2017, PMID 28187225.</w:t>
      </w:r>
    </w:p>
  </w:footnote>
  <w:footnote w:id="1232">
    <w:p>
      <w:pPr>
        <w:pStyle w:val="FootnoteText"/>
      </w:pPr>
      <w:r>
        <w:rPr>
          <w:rStyle w:val="FootnoteReference"/>
        </w:rPr>
        <w:footnoteRef/>
      </w:r>
      <w:r>
        <w:t xml:space="preserve"> </w:t>
      </w:r>
      <w:r>
        <w:t xml:space="preserve">Child 2015, PMID 25810462.</w:t>
      </w:r>
    </w:p>
  </w:footnote>
  <w:footnote w:id="1236">
    <w:p>
      <w:pPr>
        <w:pStyle w:val="FootnoteText"/>
      </w:pPr>
      <w:r>
        <w:rPr>
          <w:rStyle w:val="FootnoteReference"/>
        </w:rPr>
        <w:footnoteRef/>
      </w:r>
      <w:r>
        <w:t xml:space="preserve"> </w:t>
      </w:r>
      <w:r>
        <w:t xml:space="preserve">Prakash 1999, PMID 18031173.</w:t>
      </w:r>
    </w:p>
  </w:footnote>
  <w:footnote w:id="1238">
    <w:p>
      <w:pPr>
        <w:pStyle w:val="FootnoteText"/>
      </w:pPr>
      <w:r>
        <w:rPr>
          <w:rStyle w:val="FootnoteReference"/>
        </w:rPr>
        <w:footnoteRef/>
      </w:r>
      <w:r>
        <w:t xml:space="preserve"> </w:t>
      </w:r>
      <w:r>
        <w:t xml:space="preserve">Esposito 2003, PMID 14499707.</w:t>
      </w:r>
    </w:p>
  </w:footnote>
  <w:footnote w:id="1240">
    <w:p>
      <w:pPr>
        <w:pStyle w:val="FootnoteText"/>
      </w:pPr>
      <w:r>
        <w:rPr>
          <w:rStyle w:val="FootnoteReference"/>
        </w:rPr>
        <w:footnoteRef/>
      </w:r>
      <w:r>
        <w:t xml:space="preserve"> </w:t>
      </w:r>
      <w:r>
        <w:t xml:space="preserve">Thorner 1996, PMID 8772599.</w:t>
      </w:r>
    </w:p>
  </w:footnote>
  <w:footnote w:id="1241">
    <w:p>
      <w:pPr>
        <w:pStyle w:val="FootnoteText"/>
      </w:pPr>
      <w:r>
        <w:rPr>
          <w:rStyle w:val="FootnoteReference"/>
        </w:rPr>
        <w:footnoteRef/>
      </w:r>
      <w:r>
        <w:t xml:space="preserve"> </w:t>
      </w:r>
      <w:r>
        <w:t xml:space="preserve">Ross 1987, PMID 2879138.</w:t>
      </w:r>
    </w:p>
  </w:footnote>
  <w:footnote w:id="1242">
    <w:p>
      <w:pPr>
        <w:pStyle w:val="FootnoteText"/>
      </w:pPr>
      <w:r>
        <w:rPr>
          <w:rStyle w:val="FootnoteReference"/>
        </w:rPr>
        <w:footnoteRef/>
      </w:r>
      <w:r>
        <w:t xml:space="preserve"> </w:t>
      </w:r>
      <w:r>
        <w:t xml:space="preserve">Neyzi 1993, PMID 8329826.</w:t>
      </w:r>
    </w:p>
  </w:footnote>
  <w:footnote w:id="1243">
    <w:p>
      <w:pPr>
        <w:pStyle w:val="FootnoteText"/>
      </w:pPr>
      <w:r>
        <w:rPr>
          <w:rStyle w:val="FootnoteReference"/>
        </w:rPr>
        <w:footnoteRef/>
      </w:r>
      <w:r>
        <w:t xml:space="preserve"> </w:t>
      </w:r>
      <w:r>
        <w:t xml:space="preserve">Prakash 1999, PMID 18031173.</w:t>
      </w:r>
    </w:p>
  </w:footnote>
  <w:footnote w:id="1244">
    <w:p>
      <w:pPr>
        <w:pStyle w:val="FootnoteText"/>
      </w:pPr>
      <w:r>
        <w:rPr>
          <w:rStyle w:val="FootnoteReference"/>
        </w:rPr>
        <w:footnoteRef/>
      </w:r>
      <w:r>
        <w:t xml:space="preserve"> </w:t>
      </w:r>
      <w:r>
        <w:t xml:space="preserve">Kirk 1994, PMID 7955460.</w:t>
      </w:r>
    </w:p>
  </w:footnote>
  <w:footnote w:id="1246">
    <w:p>
      <w:pPr>
        <w:pStyle w:val="FootnoteText"/>
      </w:pPr>
      <w:r>
        <w:rPr>
          <w:rStyle w:val="FootnoteReference"/>
        </w:rPr>
        <w:footnoteRef/>
      </w:r>
      <w:r>
        <w:t xml:space="preserve"> </w:t>
      </w:r>
      <w:r>
        <w:t xml:space="preserve">Khorram 1997, PMID 9141536.</w:t>
      </w:r>
    </w:p>
  </w:footnote>
  <w:footnote w:id="1247">
    <w:p>
      <w:pPr>
        <w:pStyle w:val="FootnoteText"/>
      </w:pPr>
      <w:r>
        <w:rPr>
          <w:rStyle w:val="FootnoteReference"/>
        </w:rPr>
        <w:footnoteRef/>
      </w:r>
      <w:r>
        <w:t xml:space="preserve"> </w:t>
      </w:r>
      <w:r>
        <w:t xml:space="preserve">Khorram 1997, PMID 9360512.</w:t>
      </w:r>
    </w:p>
  </w:footnote>
  <w:footnote w:id="1248">
    <w:p>
      <w:pPr>
        <w:pStyle w:val="FootnoteText"/>
      </w:pPr>
      <w:r>
        <w:rPr>
          <w:rStyle w:val="FootnoteReference"/>
        </w:rPr>
        <w:footnoteRef/>
      </w:r>
      <w:r>
        <w:t xml:space="preserve"> </w:t>
      </w:r>
      <w:r>
        <w:t xml:space="preserve">Vittone 1997, PMID 9005976.</w:t>
      </w:r>
    </w:p>
  </w:footnote>
  <w:footnote w:id="1249">
    <w:p>
      <w:pPr>
        <w:pStyle w:val="FootnoteText"/>
      </w:pPr>
      <w:r>
        <w:rPr>
          <w:rStyle w:val="FootnoteReference"/>
        </w:rPr>
        <w:footnoteRef/>
      </w:r>
      <w:r>
        <w:t xml:space="preserve"> </w:t>
      </w:r>
      <w:r>
        <w:t xml:space="preserve">NCT00807365, NCT01410799.</w:t>
      </w:r>
    </w:p>
  </w:footnote>
  <w:footnote w:id="1251">
    <w:p>
      <w:pPr>
        <w:pStyle w:val="FootnoteText"/>
      </w:pPr>
      <w:r>
        <w:rPr>
          <w:rStyle w:val="FootnoteReference"/>
        </w:rPr>
        <w:footnoteRef/>
      </w:r>
      <w:r>
        <w:t xml:space="preserve"> </w:t>
      </w:r>
      <w:r>
        <w:t xml:space="preserve">Prakash 1999, PMID 18031173.</w:t>
      </w:r>
    </w:p>
  </w:footnote>
  <w:footnote w:id="1252">
    <w:p>
      <w:pPr>
        <w:pStyle w:val="FootnoteText"/>
      </w:pPr>
      <w:r>
        <w:rPr>
          <w:rStyle w:val="FootnoteReference"/>
        </w:rPr>
        <w:footnoteRef/>
      </w:r>
      <w:r>
        <w:t xml:space="preserve"> </w:t>
      </w:r>
      <w:r>
        <w:t xml:space="preserve">Garcia 2013, PMID 23559086.</w:t>
      </w:r>
    </w:p>
  </w:footnote>
  <w:footnote w:id="1254">
    <w:p>
      <w:pPr>
        <w:pStyle w:val="FootnoteText"/>
      </w:pPr>
      <w:r>
        <w:rPr>
          <w:rStyle w:val="FootnoteReference"/>
        </w:rPr>
        <w:footnoteRef/>
      </w:r>
      <w:r>
        <w:t xml:space="preserve"> </w:t>
      </w:r>
      <w:r>
        <w:t xml:space="preserve">Sigalos 2017, PMID 28830317.</w:t>
      </w:r>
    </w:p>
  </w:footnote>
  <w:footnote w:id="1257">
    <w:p>
      <w:pPr>
        <w:pStyle w:val="FootnoteText"/>
      </w:pPr>
      <w:r>
        <w:rPr>
          <w:rStyle w:val="FootnoteReference"/>
        </w:rPr>
        <w:footnoteRef/>
      </w:r>
      <w:r>
        <w:t xml:space="preserve"> </w:t>
      </w:r>
      <w:r>
        <w:t xml:space="preserve">Esposito 2003, PMID 14499707.</w:t>
      </w:r>
    </w:p>
  </w:footnote>
  <w:footnote w:id="1258">
    <w:p>
      <w:pPr>
        <w:pStyle w:val="FootnoteText"/>
      </w:pPr>
      <w:r>
        <w:rPr>
          <w:rStyle w:val="FootnoteReference"/>
        </w:rPr>
        <w:footnoteRef/>
      </w:r>
      <w:r>
        <w:t xml:space="preserve"> </w:t>
      </w:r>
      <w:r>
        <w:t xml:space="preserve">Chang 2021, PMID 33842627.</w:t>
      </w:r>
    </w:p>
  </w:footnote>
  <w:footnote w:id="1260">
    <w:p>
      <w:pPr>
        <w:pStyle w:val="FootnoteText"/>
      </w:pPr>
      <w:r>
        <w:rPr>
          <w:rStyle w:val="FootnoteReference"/>
        </w:rPr>
        <w:footnoteRef/>
      </w:r>
      <w:r>
        <w:t xml:space="preserve"> </w:t>
      </w:r>
      <w:r>
        <w:t xml:space="preserve">Prakash 1999, PMID 18031173.</w:t>
      </w:r>
    </w:p>
  </w:footnote>
  <w:footnote w:id="1261">
    <w:p>
      <w:pPr>
        <w:pStyle w:val="FootnoteText"/>
      </w:pPr>
      <w:r>
        <w:rPr>
          <w:rStyle w:val="FootnoteReference"/>
        </w:rPr>
        <w:footnoteRef/>
      </w:r>
      <w:r>
        <w:t xml:space="preserve"> </w:t>
      </w:r>
      <w:r>
        <w:t xml:space="preserve">Ross 1987, PMID 2879138.</w:t>
      </w:r>
    </w:p>
  </w:footnote>
  <w:footnote w:id="1262">
    <w:p>
      <w:pPr>
        <w:pStyle w:val="FootnoteText"/>
      </w:pPr>
      <w:r>
        <w:rPr>
          <w:rStyle w:val="FootnoteReference"/>
        </w:rPr>
        <w:footnoteRef/>
      </w:r>
      <w:r>
        <w:t xml:space="preserve"> </w:t>
      </w:r>
      <w:r>
        <w:t xml:space="preserve">Kirk 1994, PMID 7955460; Khorram 1997, PMID 9141536.</w:t>
      </w:r>
    </w:p>
  </w:footnote>
  <w:footnote w:id="1263">
    <w:p>
      <w:pPr>
        <w:pStyle w:val="FootnoteText"/>
      </w:pPr>
      <w:r>
        <w:rPr>
          <w:rStyle w:val="FootnoteReference"/>
        </w:rPr>
        <w:footnoteRef/>
      </w:r>
      <w:r>
        <w:t xml:space="preserve"> </w:t>
      </w:r>
      <w:r>
        <w:t xml:space="preserve">Perez 2026, PMID 42465868.</w:t>
      </w:r>
    </w:p>
  </w:footnote>
  <w:footnote w:id="1264">
    <w:p>
      <w:pPr>
        <w:pStyle w:val="FootnoteText"/>
      </w:pPr>
      <w:r>
        <w:rPr>
          <w:rStyle w:val="FootnoteReference"/>
        </w:rPr>
        <w:footnoteRef/>
      </w:r>
      <w:r>
        <w:t xml:space="preserve"> </w:t>
      </w:r>
      <w:r>
        <w:t xml:space="preserve">Venhuis 2016, PMID 26456392.</w:t>
      </w:r>
    </w:p>
  </w:footnote>
  <w:footnote w:id="1266">
    <w:p>
      <w:pPr>
        <w:pStyle w:val="FootnoteText"/>
      </w:pPr>
      <w:r>
        <w:rPr>
          <w:rStyle w:val="FootnoteReference"/>
        </w:rPr>
        <w:footnoteRef/>
      </w:r>
      <w:r>
        <w:t xml:space="preserve"> </w:t>
      </w:r>
      <w:r>
        <w:t xml:space="preserve">Garcia 2013, PMID 23559086.</w:t>
      </w:r>
    </w:p>
  </w:footnote>
  <w:footnote w:id="1267">
    <w:p>
      <w:pPr>
        <w:pStyle w:val="FootnoteText"/>
      </w:pPr>
      <w:r>
        <w:rPr>
          <w:rStyle w:val="FootnoteReference"/>
        </w:rPr>
        <w:footnoteRef/>
      </w:r>
      <w:r>
        <w:t xml:space="preserve"> </w:t>
      </w:r>
      <w:r>
        <w:t xml:space="preserve">Willis 2026, PMID 42752426.</w:t>
      </w:r>
    </w:p>
  </w:footnote>
  <w:footnote w:id="1268">
    <w:p>
      <w:pPr>
        <w:pStyle w:val="FootnoteText"/>
      </w:pPr>
      <w:r>
        <w:rPr>
          <w:rStyle w:val="FootnoteReference"/>
        </w:rPr>
        <w:footnoteRef/>
      </w:r>
      <w:r>
        <w:t xml:space="preserve"> </w:t>
      </w:r>
      <w:r>
        <w:t xml:space="preserve">Memdouh 2021, PMID 34665524.</w:t>
      </w:r>
    </w:p>
  </w:footnote>
  <w:footnote w:id="1273">
    <w:p>
      <w:pPr>
        <w:pStyle w:val="FootnoteText"/>
      </w:pPr>
      <w:r>
        <w:rPr>
          <w:rStyle w:val="FootnoteReference"/>
        </w:rPr>
        <w:footnoteRef/>
      </w:r>
      <w:r>
        <w:t xml:space="preserve"> </w:t>
      </w:r>
      <w:r>
        <w:t xml:space="preserve">Falutz 2010, PMID 20101189.</w:t>
      </w:r>
    </w:p>
  </w:footnote>
  <w:footnote w:id="1274">
    <w:p>
      <w:pPr>
        <w:pStyle w:val="FootnoteText"/>
      </w:pPr>
      <w:r>
        <w:rPr>
          <w:rStyle w:val="FootnoteReference"/>
        </w:rPr>
        <w:footnoteRef/>
      </w:r>
      <w:r>
        <w:t xml:space="preserve"> </w:t>
      </w:r>
      <w:r>
        <w:t xml:space="preserve">FDA-Zulassung berichtet bei Traynor 2010, PMID 21115997.</w:t>
      </w:r>
    </w:p>
  </w:footnote>
  <w:footnote w:id="1277">
    <w:p>
      <w:pPr>
        <w:pStyle w:val="FootnoteText"/>
      </w:pPr>
      <w:r>
        <w:rPr>
          <w:rStyle w:val="FootnoteReference"/>
        </w:rPr>
        <w:footnoteRef/>
      </w:r>
      <w:r>
        <w:t xml:space="preserve"> </w:t>
      </w:r>
      <w:r>
        <w:t xml:space="preserve">Falutz 2007, PMID 18057338.</w:t>
      </w:r>
    </w:p>
  </w:footnote>
  <w:footnote w:id="1278">
    <w:p>
      <w:pPr>
        <w:pStyle w:val="FootnoteText"/>
      </w:pPr>
      <w:r>
        <w:rPr>
          <w:rStyle w:val="FootnoteReference"/>
        </w:rPr>
        <w:footnoteRef/>
      </w:r>
      <w:r>
        <w:t xml:space="preserve"> </w:t>
      </w:r>
      <w:r>
        <w:t xml:space="preserve">Falutz 2008, PMID 18690162.</w:t>
      </w:r>
    </w:p>
  </w:footnote>
  <w:footnote w:id="1279">
    <w:p>
      <w:pPr>
        <w:pStyle w:val="FootnoteText"/>
      </w:pPr>
      <w:r>
        <w:rPr>
          <w:rStyle w:val="FootnoteReference"/>
        </w:rPr>
        <w:footnoteRef/>
      </w:r>
      <w:r>
        <w:t xml:space="preserve"> </w:t>
      </w:r>
      <w:r>
        <w:t xml:space="preserve">Falutz 2010, PMID 20101189.</w:t>
      </w:r>
    </w:p>
  </w:footnote>
  <w:footnote w:id="1280">
    <w:p>
      <w:pPr>
        <w:pStyle w:val="FootnoteText"/>
      </w:pPr>
      <w:r>
        <w:rPr>
          <w:rStyle w:val="FootnoteReference"/>
        </w:rPr>
        <w:footnoteRef/>
      </w:r>
      <w:r>
        <w:t xml:space="preserve"> </w:t>
      </w:r>
      <w:r>
        <w:t xml:space="preserve">Falutz 2010, PMID 20554713.</w:t>
      </w:r>
    </w:p>
  </w:footnote>
  <w:footnote w:id="1281">
    <w:p>
      <w:pPr>
        <w:pStyle w:val="FootnoteText"/>
      </w:pPr>
      <w:r>
        <w:rPr>
          <w:rStyle w:val="FootnoteReference"/>
        </w:rPr>
        <w:footnoteRef/>
      </w:r>
      <w:r>
        <w:t xml:space="preserve"> </w:t>
      </w:r>
      <w:r>
        <w:t xml:space="preserve">Stanley 2012, PMID 22495074.</w:t>
      </w:r>
    </w:p>
  </w:footnote>
  <w:footnote w:id="1283">
    <w:p>
      <w:pPr>
        <w:pStyle w:val="FootnoteText"/>
      </w:pPr>
      <w:r>
        <w:rPr>
          <w:rStyle w:val="FootnoteReference"/>
        </w:rPr>
        <w:footnoteRef/>
      </w:r>
      <w:r>
        <w:t xml:space="preserve"> </w:t>
      </w:r>
      <w:r>
        <w:t xml:space="preserve">Stanley 2014, PMID 25038357.</w:t>
      </w:r>
    </w:p>
  </w:footnote>
  <w:footnote w:id="1284">
    <w:p>
      <w:pPr>
        <w:pStyle w:val="FootnoteText"/>
      </w:pPr>
      <w:r>
        <w:rPr>
          <w:rStyle w:val="FootnoteReference"/>
        </w:rPr>
        <w:footnoteRef/>
      </w:r>
      <w:r>
        <w:t xml:space="preserve"> </w:t>
      </w:r>
      <w:r>
        <w:t xml:space="preserve">Stanley 2019, PMID 31611038.</w:t>
      </w:r>
    </w:p>
  </w:footnote>
  <w:footnote w:id="1286">
    <w:p>
      <w:pPr>
        <w:pStyle w:val="FootnoteText"/>
      </w:pPr>
      <w:r>
        <w:rPr>
          <w:rStyle w:val="FootnoteReference"/>
        </w:rPr>
        <w:footnoteRef/>
      </w:r>
      <w:r>
        <w:t xml:space="preserve"> </w:t>
      </w:r>
      <w:r>
        <w:t xml:space="preserve">Makimura 2012, PMID 23015655.</w:t>
      </w:r>
    </w:p>
  </w:footnote>
  <w:footnote w:id="1287">
    <w:p>
      <w:pPr>
        <w:pStyle w:val="FootnoteText"/>
      </w:pPr>
      <w:r>
        <w:rPr>
          <w:rStyle w:val="FootnoteReference"/>
        </w:rPr>
        <w:footnoteRef/>
      </w:r>
      <w:r>
        <w:t xml:space="preserve"> </w:t>
      </w:r>
      <w:r>
        <w:t xml:space="preserve">Clemmons 2017, PMID 28617838.</w:t>
      </w:r>
    </w:p>
  </w:footnote>
  <w:footnote w:id="1288">
    <w:p>
      <w:pPr>
        <w:pStyle w:val="FootnoteText"/>
      </w:pPr>
      <w:r>
        <w:rPr>
          <w:rStyle w:val="FootnoteReference"/>
        </w:rPr>
        <w:footnoteRef/>
      </w:r>
      <w:r>
        <w:t xml:space="preserve"> </w:t>
      </w:r>
      <w:r>
        <w:t xml:space="preserve">Baker 2012, PMID 22869065.</w:t>
      </w:r>
    </w:p>
  </w:footnote>
  <w:footnote w:id="1289">
    <w:p>
      <w:pPr>
        <w:pStyle w:val="FootnoteText"/>
      </w:pPr>
      <w:r>
        <w:rPr>
          <w:rStyle w:val="FootnoteReference"/>
        </w:rPr>
        <w:footnoteRef/>
      </w:r>
      <w:r>
        <w:t xml:space="preserve"> </w:t>
      </w:r>
      <w:r>
        <w:t xml:space="preserve">Ellis 2025, PMID 39813152.</w:t>
      </w:r>
    </w:p>
  </w:footnote>
  <w:footnote w:id="1291">
    <w:p>
      <w:pPr>
        <w:pStyle w:val="FootnoteText"/>
      </w:pPr>
      <w:r>
        <w:rPr>
          <w:rStyle w:val="FootnoteReference"/>
        </w:rPr>
        <w:footnoteRef/>
      </w:r>
      <w:r>
        <w:t xml:space="preserve"> </w:t>
      </w:r>
      <w:r>
        <w:t xml:space="preserve">Ditta 2026, PMID 42538058.</w:t>
      </w:r>
    </w:p>
  </w:footnote>
  <w:footnote w:id="1292">
    <w:p>
      <w:pPr>
        <w:pStyle w:val="FootnoteText"/>
      </w:pPr>
      <w:r>
        <w:rPr>
          <w:rStyle w:val="FootnoteReference"/>
        </w:rPr>
        <w:footnoteRef/>
      </w:r>
      <w:r>
        <w:t xml:space="preserve"> </w:t>
      </w:r>
      <w:r>
        <w:t xml:space="preserve">Badran 2026, PMID 41545261.</w:t>
      </w:r>
    </w:p>
  </w:footnote>
  <w:footnote w:id="1295">
    <w:p>
      <w:pPr>
        <w:pStyle w:val="FootnoteText"/>
      </w:pPr>
      <w:r>
        <w:rPr>
          <w:rStyle w:val="FootnoteReference"/>
        </w:rPr>
        <w:footnoteRef/>
      </w:r>
      <w:r>
        <w:t xml:space="preserve"> </w:t>
      </w:r>
      <w:r>
        <w:t xml:space="preserve">Tuffaha 2016, PMID 27192539.</w:t>
      </w:r>
    </w:p>
  </w:footnote>
  <w:footnote w:id="1296">
    <w:p>
      <w:pPr>
        <w:pStyle w:val="FootnoteText"/>
      </w:pPr>
      <w:r>
        <w:rPr>
          <w:rStyle w:val="FootnoteReference"/>
        </w:rPr>
        <w:footnoteRef/>
      </w:r>
      <w:r>
        <w:t xml:space="preserve"> </w:t>
      </w:r>
      <w:r>
        <w:t xml:space="preserve">NCT03150511.</w:t>
      </w:r>
    </w:p>
  </w:footnote>
  <w:footnote w:id="1297">
    <w:p>
      <w:pPr>
        <w:pStyle w:val="FootnoteText"/>
      </w:pPr>
      <w:r>
        <w:rPr>
          <w:rStyle w:val="FootnoteReference"/>
        </w:rPr>
        <w:footnoteRef/>
      </w:r>
      <w:r>
        <w:t xml:space="preserve"> </w:t>
      </w:r>
      <w:r>
        <w:t xml:space="preserve">Fourman 2020, PMID 32701508.</w:t>
      </w:r>
    </w:p>
  </w:footnote>
  <w:footnote w:id="1299">
    <w:p>
      <w:pPr>
        <w:pStyle w:val="FootnoteText"/>
      </w:pPr>
      <w:r>
        <w:rPr>
          <w:rStyle w:val="FootnoteReference"/>
        </w:rPr>
        <w:footnoteRef/>
      </w:r>
      <w:r>
        <w:t xml:space="preserve"> </w:t>
      </w:r>
      <w:r>
        <w:t xml:space="preserve">Stanley 2019, PMID 31611038.</w:t>
      </w:r>
    </w:p>
  </w:footnote>
  <w:footnote w:id="1300">
    <w:p>
      <w:pPr>
        <w:pStyle w:val="FootnoteText"/>
      </w:pPr>
      <w:r>
        <w:rPr>
          <w:rStyle w:val="FootnoteReference"/>
        </w:rPr>
        <w:footnoteRef/>
      </w:r>
      <w:r>
        <w:t xml:space="preserve"> </w:t>
      </w:r>
      <w:r>
        <w:t xml:space="preserve">Badran 2026, PMID 41545261.</w:t>
      </w:r>
    </w:p>
  </w:footnote>
  <w:footnote w:id="1301">
    <w:p>
      <w:pPr>
        <w:pStyle w:val="FootnoteText"/>
      </w:pPr>
      <w:r>
        <w:rPr>
          <w:rStyle w:val="FootnoteReference"/>
        </w:rPr>
        <w:footnoteRef/>
      </w:r>
      <w:r>
        <w:t xml:space="preserve"> </w:t>
      </w:r>
      <w:r>
        <w:t xml:space="preserve">Stanley 2014, PMID 25038357.</w:t>
      </w:r>
    </w:p>
  </w:footnote>
  <w:footnote w:id="1302">
    <w:p>
      <w:pPr>
        <w:pStyle w:val="FootnoteText"/>
      </w:pPr>
      <w:r>
        <w:rPr>
          <w:rStyle w:val="FootnoteReference"/>
        </w:rPr>
        <w:footnoteRef/>
      </w:r>
      <w:r>
        <w:t xml:space="preserve"> </w:t>
      </w:r>
      <w:r>
        <w:t xml:space="preserve">Stanley 2012, PMID 22495074.</w:t>
      </w:r>
    </w:p>
  </w:footnote>
  <w:footnote w:id="1303">
    <w:p>
      <w:pPr>
        <w:pStyle w:val="FootnoteText"/>
      </w:pPr>
      <w:r>
        <w:rPr>
          <w:rStyle w:val="FootnoteReference"/>
        </w:rPr>
        <w:footnoteRef/>
      </w:r>
      <w:r>
        <w:t xml:space="preserve"> </w:t>
      </w:r>
      <w:r>
        <w:t xml:space="preserve">Falutz 2007, PMID 18057338.</w:t>
      </w:r>
    </w:p>
  </w:footnote>
  <w:footnote w:id="1304">
    <w:p>
      <w:pPr>
        <w:pStyle w:val="FootnoteText"/>
      </w:pPr>
      <w:r>
        <w:rPr>
          <w:rStyle w:val="FootnoteReference"/>
        </w:rPr>
        <w:footnoteRef/>
      </w:r>
      <w:r>
        <w:t xml:space="preserve"> </w:t>
      </w:r>
      <w:r>
        <w:t xml:space="preserve">Falutz 2008, PMID 18690162.</w:t>
      </w:r>
    </w:p>
  </w:footnote>
  <w:footnote w:id="1305">
    <w:p>
      <w:pPr>
        <w:pStyle w:val="FootnoteText"/>
      </w:pPr>
      <w:r>
        <w:rPr>
          <w:rStyle w:val="FootnoteReference"/>
        </w:rPr>
        <w:footnoteRef/>
      </w:r>
      <w:r>
        <w:t xml:space="preserve"> </w:t>
      </w:r>
      <w:r>
        <w:t xml:space="preserve">NCT01579695.</w:t>
      </w:r>
    </w:p>
  </w:footnote>
  <w:footnote w:id="1306">
    <w:p>
      <w:pPr>
        <w:pStyle w:val="FootnoteText"/>
      </w:pPr>
      <w:r>
        <w:rPr>
          <w:rStyle w:val="FootnoteReference"/>
        </w:rPr>
        <w:footnoteRef/>
      </w:r>
      <w:r>
        <w:t xml:space="preserve"> </w:t>
      </w:r>
      <w:r>
        <w:t xml:space="preserve">NCT01591902.</w:t>
      </w:r>
    </w:p>
  </w:footnote>
  <w:footnote w:id="1308">
    <w:p>
      <w:pPr>
        <w:pStyle w:val="FootnoteText"/>
      </w:pPr>
      <w:r>
        <w:rPr>
          <w:rStyle w:val="FootnoteReference"/>
        </w:rPr>
        <w:footnoteRef/>
      </w:r>
      <w:r>
        <w:t xml:space="preserve"> </w:t>
      </w:r>
      <w:r>
        <w:t xml:space="preserve">Memdouh 2021, PMID 34665524.</w:t>
      </w:r>
    </w:p>
  </w:footnote>
  <w:footnote w:id="1313">
    <w:p>
      <w:pPr>
        <w:pStyle w:val="FootnoteText"/>
      </w:pPr>
      <w:r>
        <w:rPr>
          <w:rStyle w:val="FootnoteReference"/>
        </w:rPr>
        <w:footnoteRef/>
      </w:r>
      <w:r>
        <w:t xml:space="preserve"> </w:t>
      </w:r>
      <w:r>
        <w:t xml:space="preserve">Jetté 2005, PMID 15817669.</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Teichman 2006, PMID 16352683.</w:t>
      </w:r>
    </w:p>
  </w:footnote>
  <w:footnote w:id="1318">
    <w:p>
      <w:pPr>
        <w:pStyle w:val="FootnoteText"/>
      </w:pPr>
      <w:r>
        <w:rPr>
          <w:rStyle w:val="FootnoteReference"/>
        </w:rPr>
        <w:footnoteRef/>
      </w:r>
      <w:r>
        <w:t xml:space="preserve"> </w:t>
      </w:r>
      <w:r>
        <w:t xml:space="preserve">Ionescu 2006, PMID 17018654.</w:t>
      </w:r>
    </w:p>
  </w:footnote>
  <w:footnote w:id="1319">
    <w:p>
      <w:pPr>
        <w:pStyle w:val="FootnoteText"/>
      </w:pPr>
      <w:r>
        <w:rPr>
          <w:rStyle w:val="FootnoteReference"/>
        </w:rPr>
        <w:footnoteRef/>
      </w:r>
      <w:r>
        <w:t xml:space="preserve"> </w:t>
      </w:r>
      <w:r>
        <w:t xml:space="preserve">Sackmann-Sala 2009, PMID 19386527.</w:t>
      </w:r>
    </w:p>
  </w:footnote>
  <w:footnote w:id="1320">
    <w:p>
      <w:pPr>
        <w:pStyle w:val="FootnoteText"/>
      </w:pPr>
      <w:r>
        <w:rPr>
          <w:rStyle w:val="FootnoteReference"/>
        </w:rPr>
        <w:footnoteRef/>
      </w:r>
      <w:r>
        <w:t xml:space="preserve"> </w:t>
      </w:r>
      <w:r>
        <w:t xml:space="preserve">NCT00267527.</w:t>
      </w:r>
    </w:p>
  </w:footnote>
  <w:footnote w:id="1323">
    <w:p>
      <w:pPr>
        <w:pStyle w:val="FootnoteText"/>
      </w:pPr>
      <w:r>
        <w:rPr>
          <w:rStyle w:val="FootnoteReference"/>
        </w:rPr>
        <w:footnoteRef/>
      </w:r>
      <w:r>
        <w:t xml:space="preserve"> </w:t>
      </w:r>
      <w:r>
        <w:t xml:space="preserve">Jetté 2005, PMID 15817669.</w:t>
      </w:r>
    </w:p>
  </w:footnote>
  <w:footnote w:id="1324">
    <w:p>
      <w:pPr>
        <w:pStyle w:val="FootnoteText"/>
      </w:pPr>
      <w:r>
        <w:rPr>
          <w:rStyle w:val="FootnoteReference"/>
        </w:rPr>
        <w:footnoteRef/>
      </w:r>
      <w:r>
        <w:t xml:space="preserve"> </w:t>
      </w:r>
      <w:r>
        <w:t xml:space="preserve">Alba 2006, PMID 16822960.</w:t>
      </w:r>
    </w:p>
  </w:footnote>
  <w:footnote w:id="1326">
    <w:p>
      <w:pPr>
        <w:pStyle w:val="FootnoteText"/>
      </w:pPr>
      <w:r>
        <w:rPr>
          <w:rStyle w:val="FootnoteReference"/>
        </w:rPr>
        <w:footnoteRef/>
      </w:r>
      <w:r>
        <w:t xml:space="preserve"> </w:t>
      </w:r>
      <w:r>
        <w:t xml:space="preserve">Teichman 2006, PMID 16352683.</w:t>
      </w:r>
    </w:p>
  </w:footnote>
  <w:footnote w:id="1327">
    <w:p>
      <w:pPr>
        <w:pStyle w:val="FootnoteText"/>
      </w:pPr>
      <w:r>
        <w:rPr>
          <w:rStyle w:val="FootnoteReference"/>
        </w:rPr>
        <w:footnoteRef/>
      </w:r>
      <w:r>
        <w:t xml:space="preserve"> </w:t>
      </w:r>
      <w:r>
        <w:t xml:space="preserve">Henninge 2010, PMID 21204297.</w:t>
      </w:r>
    </w:p>
  </w:footnote>
  <w:footnote w:id="1328">
    <w:p>
      <w:pPr>
        <w:pStyle w:val="FootnoteText"/>
      </w:pPr>
      <w:r>
        <w:rPr>
          <w:rStyle w:val="FootnoteReference"/>
        </w:rPr>
        <w:footnoteRef/>
      </w:r>
      <w:r>
        <w:t xml:space="preserve"> </w:t>
      </w:r>
      <w:r>
        <w:t xml:space="preserve">Gajda 2019, PMID 30136411.</w:t>
      </w:r>
    </w:p>
  </w:footnote>
  <w:footnote w:id="1329">
    <w:p>
      <w:pPr>
        <w:pStyle w:val="FootnoteText"/>
      </w:pPr>
      <w:r>
        <w:rPr>
          <w:rStyle w:val="FootnoteReference"/>
        </w:rPr>
        <w:footnoteRef/>
      </w:r>
      <w:r>
        <w:t xml:space="preserve"> </w:t>
      </w:r>
      <w:r>
        <w:t xml:space="preserve">Van Hout 2016, PMID 26771670.</w:t>
      </w:r>
    </w:p>
  </w:footnote>
  <w:footnote w:id="1331">
    <w:p>
      <w:pPr>
        <w:pStyle w:val="FootnoteText"/>
      </w:pPr>
      <w:r>
        <w:rPr>
          <w:rStyle w:val="FootnoteReference"/>
        </w:rPr>
        <w:footnoteRef/>
      </w:r>
      <w:r>
        <w:t xml:space="preserve"> </w:t>
      </w:r>
      <w:r>
        <w:t xml:space="preserve">Willis 2026, PMID 42752426.</w:t>
      </w:r>
    </w:p>
  </w:footnote>
  <w:footnote w:id="1332">
    <w:p>
      <w:pPr>
        <w:pStyle w:val="FootnoteText"/>
      </w:pPr>
      <w:r>
        <w:rPr>
          <w:rStyle w:val="FootnoteReference"/>
        </w:rPr>
        <w:footnoteRef/>
      </w:r>
      <w:r>
        <w:t xml:space="preserve"> </w:t>
      </w:r>
      <w:r>
        <w:t xml:space="preserve">Memdouh 2021, PMID 34665524.</w:t>
      </w:r>
    </w:p>
  </w:footnote>
  <w:footnote w:id="1333">
    <w:p>
      <w:pPr>
        <w:pStyle w:val="FootnoteText"/>
      </w:pPr>
      <w:r>
        <w:rPr>
          <w:rStyle w:val="FootnoteReference"/>
        </w:rPr>
        <w:footnoteRef/>
      </w:r>
      <w:r>
        <w:t xml:space="preserve"> </w:t>
      </w:r>
      <w:r>
        <w:t xml:space="preserve">Timms 2019, PMID 30938069.</w:t>
      </w:r>
    </w:p>
  </w:footnote>
  <w:footnote w:id="1338">
    <w:p>
      <w:pPr>
        <w:pStyle w:val="FootnoteText"/>
      </w:pPr>
      <w:r>
        <w:rPr>
          <w:rStyle w:val="FootnoteReference"/>
        </w:rPr>
        <w:footnoteRef/>
      </w:r>
      <w:r>
        <w:t xml:space="preserve"> </w:t>
      </w:r>
      <w:r>
        <w:t xml:space="preserve">Raun 1998, PMID 9849822.</w:t>
      </w:r>
    </w:p>
  </w:footnote>
  <w:footnote w:id="1340">
    <w:p>
      <w:pPr>
        <w:pStyle w:val="FootnoteText"/>
      </w:pPr>
      <w:r>
        <w:rPr>
          <w:rStyle w:val="FootnoteReference"/>
        </w:rPr>
        <w:footnoteRef/>
      </w:r>
      <w:r>
        <w:t xml:space="preserve"> </w:t>
      </w:r>
      <w:r>
        <w:t xml:space="preserve">Kojima 1999, PMID 10604470.</w:t>
      </w:r>
    </w:p>
  </w:footnote>
  <w:footnote w:id="1341">
    <w:p>
      <w:pPr>
        <w:pStyle w:val="FootnoteText"/>
      </w:pPr>
      <w:r>
        <w:rPr>
          <w:rStyle w:val="FootnoteReference"/>
        </w:rPr>
        <w:footnoteRef/>
      </w:r>
      <w:r>
        <w:t xml:space="preserve"> </w:t>
      </w:r>
      <w:r>
        <w:t xml:space="preserve">Raun 1998, PMID 9849822.</w:t>
      </w:r>
    </w:p>
  </w:footnote>
  <w:footnote w:id="1343">
    <w:p>
      <w:pPr>
        <w:pStyle w:val="FootnoteText"/>
      </w:pPr>
      <w:r>
        <w:rPr>
          <w:rStyle w:val="FootnoteReference"/>
        </w:rPr>
        <w:footnoteRef/>
      </w:r>
      <w:r>
        <w:t xml:space="preserve"> </w:t>
      </w:r>
      <w:r>
        <w:t xml:space="preserve">NCT07717866.</w:t>
      </w:r>
    </w:p>
  </w:footnote>
  <w:footnote w:id="1344">
    <w:p>
      <w:pPr>
        <w:pStyle w:val="FootnoteText"/>
      </w:pPr>
      <w:r>
        <w:rPr>
          <w:rStyle w:val="FootnoteReference"/>
        </w:rPr>
        <w:footnoteRef/>
      </w:r>
      <w:r>
        <w:t xml:space="preserve"> </w:t>
      </w:r>
      <w:r>
        <w:t xml:space="preserve">Gobburu 1999, PMID 10496658.</w:t>
      </w:r>
    </w:p>
  </w:footnote>
  <w:footnote w:id="1345">
    <w:p>
      <w:pPr>
        <w:pStyle w:val="FootnoteText"/>
      </w:pPr>
      <w:r>
        <w:rPr>
          <w:rStyle w:val="FootnoteReference"/>
        </w:rPr>
        <w:footnoteRef/>
      </w:r>
      <w:r>
        <w:t xml:space="preserve"> </w:t>
      </w:r>
      <w:r>
        <w:t xml:space="preserve">Beck 2014, PMID 25331030.</w:t>
      </w:r>
    </w:p>
  </w:footnote>
  <w:footnote w:id="1346">
    <w:p>
      <w:pPr>
        <w:pStyle w:val="FootnoteText"/>
      </w:pPr>
      <w:r>
        <w:rPr>
          <w:rStyle w:val="FootnoteReference"/>
        </w:rPr>
        <w:footnoteRef/>
      </w:r>
      <w:r>
        <w:t xml:space="preserve"> </w:t>
      </w:r>
      <w:r>
        <w:t xml:space="preserve">NCT01280344.</w:t>
      </w:r>
    </w:p>
  </w:footnote>
  <w:footnote w:id="1348">
    <w:p>
      <w:pPr>
        <w:pStyle w:val="FootnoteText"/>
      </w:pPr>
      <w:r>
        <w:rPr>
          <w:rStyle w:val="FootnoteReference"/>
        </w:rPr>
        <w:footnoteRef/>
      </w:r>
      <w:r>
        <w:t xml:space="preserve"> </w:t>
      </w:r>
      <w:r>
        <w:t xml:space="preserve">Venkova 2009, PMID 19289567.</w:t>
      </w:r>
    </w:p>
  </w:footnote>
  <w:footnote w:id="1349">
    <w:p>
      <w:pPr>
        <w:pStyle w:val="FootnoteText"/>
      </w:pPr>
      <w:r>
        <w:rPr>
          <w:rStyle w:val="FootnoteReference"/>
        </w:rPr>
        <w:footnoteRef/>
      </w:r>
      <w:r>
        <w:t xml:space="preserve"> </w:t>
      </w:r>
      <w:r>
        <w:t xml:space="preserve">Johansen 1999, PMID 10373343.</w:t>
      </w:r>
    </w:p>
  </w:footnote>
  <w:footnote w:id="1350">
    <w:p>
      <w:pPr>
        <w:pStyle w:val="FootnoteText"/>
      </w:pPr>
      <w:r>
        <w:rPr>
          <w:rStyle w:val="FootnoteReference"/>
        </w:rPr>
        <w:footnoteRef/>
      </w:r>
      <w:r>
        <w:t xml:space="preserve"> </w:t>
      </w:r>
      <w:r>
        <w:t xml:space="preserve">Raun 1998, PMID 9849822.</w:t>
      </w:r>
    </w:p>
  </w:footnote>
  <w:footnote w:id="1352">
    <w:p>
      <w:pPr>
        <w:pStyle w:val="FootnoteText"/>
      </w:pPr>
      <w:r>
        <w:rPr>
          <w:rStyle w:val="FootnoteReference"/>
        </w:rPr>
        <w:footnoteRef/>
      </w:r>
      <w:r>
        <w:t xml:space="preserve"> </w:t>
      </w:r>
      <w:r>
        <w:t xml:space="preserve">Beck 2014, PMID 25331030.</w:t>
      </w:r>
    </w:p>
  </w:footnote>
  <w:footnote w:id="1353">
    <w:p>
      <w:pPr>
        <w:pStyle w:val="FootnoteText"/>
      </w:pPr>
      <w:r>
        <w:rPr>
          <w:rStyle w:val="FootnoteReference"/>
        </w:rPr>
        <w:footnoteRef/>
      </w:r>
      <w:r>
        <w:t xml:space="preserve"> </w:t>
      </w:r>
      <w:r>
        <w:t xml:space="preserve">Krug 2018, PMID 29864719; Gajda 2019, PMID 30136411.</w:t>
      </w:r>
    </w:p>
  </w:footnote>
  <w:footnote w:id="1355">
    <w:p>
      <w:pPr>
        <w:pStyle w:val="FootnoteText"/>
      </w:pPr>
      <w:r>
        <w:rPr>
          <w:rStyle w:val="FootnoteReference"/>
        </w:rPr>
        <w:footnoteRef/>
      </w:r>
      <w:r>
        <w:t xml:space="preserve"> </w:t>
      </w:r>
      <w:r>
        <w:t xml:space="preserve">Willis 2026, PMID 42752426.</w:t>
      </w:r>
    </w:p>
  </w:footnote>
  <w:footnote w:id="1356">
    <w:p>
      <w:pPr>
        <w:pStyle w:val="FootnoteText"/>
      </w:pPr>
      <w:r>
        <w:rPr>
          <w:rStyle w:val="FootnoteReference"/>
        </w:rPr>
        <w:footnoteRef/>
      </w:r>
      <w:r>
        <w:t xml:space="preserve"> </w:t>
      </w:r>
      <w:r>
        <w:t xml:space="preserve">Semenistaya 2015, PMID 25869809.</w:t>
      </w:r>
    </w:p>
  </w:footnote>
  <w:footnote w:id="1361">
    <w:p>
      <w:pPr>
        <w:pStyle w:val="FootnoteText"/>
      </w:pPr>
      <w:r>
        <w:rPr>
          <w:rStyle w:val="FootnoteReference"/>
        </w:rPr>
        <w:footnoteRef/>
      </w:r>
      <w:r>
        <w:t xml:space="preserve"> </w:t>
      </w:r>
      <w:r>
        <w:t xml:space="preserve">Doi 2004, PMID 15646370.</w:t>
      </w:r>
    </w:p>
  </w:footnote>
  <w:footnote w:id="1362">
    <w:p>
      <w:pPr>
        <w:pStyle w:val="FootnoteText"/>
      </w:pPr>
      <w:r>
        <w:rPr>
          <w:rStyle w:val="FootnoteReference"/>
        </w:rPr>
        <w:footnoteRef/>
      </w:r>
      <w:r>
        <w:t xml:space="preserve"> </w:t>
      </w:r>
      <w:r>
        <w:t xml:space="preserve">anonymes Wirkstoffprofil in Drugs R D 2004, PMID 15230633.</w:t>
      </w:r>
    </w:p>
  </w:footnote>
  <w:footnote w:id="1364">
    <w:p>
      <w:pPr>
        <w:pStyle w:val="FootnoteText"/>
      </w:pPr>
      <w:r>
        <w:rPr>
          <w:rStyle w:val="FootnoteReference"/>
        </w:rPr>
        <w:footnoteRef/>
      </w:r>
      <w:r>
        <w:t xml:space="preserve"> </w:t>
      </w:r>
      <w:r>
        <w:t xml:space="preserve">Kojima 1999, PMID 10604470.</w:t>
      </w:r>
    </w:p>
  </w:footnote>
  <w:footnote w:id="1365">
    <w:p>
      <w:pPr>
        <w:pStyle w:val="FootnoteText"/>
      </w:pPr>
      <w:r>
        <w:rPr>
          <w:rStyle w:val="FootnoteReference"/>
        </w:rPr>
        <w:footnoteRef/>
      </w:r>
      <w:r>
        <w:t xml:space="preserve"> </w:t>
      </w:r>
      <w:r>
        <w:t xml:space="preserve">Doi 2004, PMID 15646370.</w:t>
      </w:r>
    </w:p>
  </w:footnote>
  <w:footnote w:id="1367">
    <w:p>
      <w:pPr>
        <w:pStyle w:val="FootnoteText"/>
      </w:pPr>
      <w:r>
        <w:rPr>
          <w:rStyle w:val="FootnoteReference"/>
        </w:rPr>
        <w:footnoteRef/>
      </w:r>
      <w:r>
        <w:t xml:space="preserve"> </w:t>
      </w:r>
      <w:r>
        <w:t xml:space="preserve">Chihara 2007, PMID 17609397.</w:t>
      </w:r>
    </w:p>
  </w:footnote>
  <w:footnote w:id="1368">
    <w:p>
      <w:pPr>
        <w:pStyle w:val="FootnoteText"/>
      </w:pPr>
      <w:r>
        <w:rPr>
          <w:rStyle w:val="FootnoteReference"/>
        </w:rPr>
        <w:footnoteRef/>
      </w:r>
      <w:r>
        <w:t xml:space="preserve"> </w:t>
      </w:r>
      <w:r>
        <w:t xml:space="preserve">Kinoshita 2013, PMID 23079545.</w:t>
      </w:r>
    </w:p>
  </w:footnote>
  <w:footnote w:id="1369">
    <w:p>
      <w:pPr>
        <w:pStyle w:val="FootnoteText"/>
      </w:pPr>
      <w:r>
        <w:rPr>
          <w:rStyle w:val="FootnoteReference"/>
        </w:rPr>
        <w:footnoteRef/>
      </w:r>
      <w:r>
        <w:t xml:space="preserve"> </w:t>
      </w:r>
      <w:r>
        <w:t xml:space="preserve">Arimura 2016, PMID 27020037.</w:t>
      </w:r>
    </w:p>
  </w:footnote>
  <w:footnote w:id="1370">
    <w:p>
      <w:pPr>
        <w:pStyle w:val="FootnoteText"/>
      </w:pPr>
      <w:r>
        <w:rPr>
          <w:rStyle w:val="FootnoteReference"/>
        </w:rPr>
        <w:footnoteRef/>
      </w:r>
      <w:r>
        <w:t xml:space="preserve"> </w:t>
      </w:r>
      <w:r>
        <w:t xml:space="preserve">Hayakawa 2018, PMID 30324179.</w:t>
      </w:r>
    </w:p>
  </w:footnote>
  <w:footnote w:id="1372">
    <w:p>
      <w:pPr>
        <w:pStyle w:val="FootnoteText"/>
      </w:pPr>
      <w:r>
        <w:rPr>
          <w:rStyle w:val="FootnoteReference"/>
        </w:rPr>
        <w:footnoteRef/>
      </w:r>
      <w:r>
        <w:t xml:space="preserve"> </w:t>
      </w:r>
      <w:r>
        <w:t xml:space="preserve">Mericq 1998, PMID 9661608.</w:t>
      </w:r>
    </w:p>
  </w:footnote>
  <w:footnote w:id="1373">
    <w:p>
      <w:pPr>
        <w:pStyle w:val="FootnoteText"/>
      </w:pPr>
      <w:r>
        <w:rPr>
          <w:rStyle w:val="FootnoteReference"/>
        </w:rPr>
        <w:footnoteRef/>
      </w:r>
      <w:r>
        <w:t xml:space="preserve"> </w:t>
      </w:r>
      <w:r>
        <w:t xml:space="preserve">Pihoker 1997, PMID 9390009.</w:t>
      </w:r>
    </w:p>
  </w:footnote>
  <w:footnote w:id="1374">
    <w:p>
      <w:pPr>
        <w:pStyle w:val="FootnoteText"/>
      </w:pPr>
      <w:r>
        <w:rPr>
          <w:rStyle w:val="FootnoteReference"/>
        </w:rPr>
        <w:footnoteRef/>
      </w:r>
      <w:r>
        <w:t xml:space="preserve"> </w:t>
      </w:r>
      <w:r>
        <w:t xml:space="preserve">Mericq 2003, PMID 14513874.</w:t>
      </w:r>
    </w:p>
  </w:footnote>
  <w:footnote w:id="1375">
    <w:p>
      <w:pPr>
        <w:pStyle w:val="FootnoteText"/>
      </w:pPr>
      <w:r>
        <w:rPr>
          <w:rStyle w:val="FootnoteReference"/>
        </w:rPr>
        <w:footnoteRef/>
      </w:r>
      <w:r>
        <w:t xml:space="preserve"> </w:t>
      </w:r>
      <w:r>
        <w:t xml:space="preserve">anonymes Wirkstoffprofil in Drugs R D 2004, PMID 15230633.</w:t>
      </w:r>
    </w:p>
  </w:footnote>
  <w:footnote w:id="1377">
    <w:p>
      <w:pPr>
        <w:pStyle w:val="FootnoteText"/>
      </w:pPr>
      <w:r>
        <w:rPr>
          <w:rStyle w:val="FootnoteReference"/>
        </w:rPr>
        <w:footnoteRef/>
      </w:r>
      <w:r>
        <w:t xml:space="preserve"> </w:t>
      </w:r>
      <w:r>
        <w:t xml:space="preserve">Laferrère 2006, PMID 16861611.</w:t>
      </w:r>
    </w:p>
  </w:footnote>
  <w:footnote w:id="1378">
    <w:p>
      <w:pPr>
        <w:pStyle w:val="FootnoteText"/>
      </w:pPr>
      <w:r>
        <w:rPr>
          <w:rStyle w:val="FootnoteReference"/>
        </w:rPr>
        <w:footnoteRef/>
      </w:r>
      <w:r>
        <w:t xml:space="preserve"> </w:t>
      </w:r>
      <w:r>
        <w:t xml:space="preserve">Van den Berghe 1999, PMID 10199772.</w:t>
      </w:r>
    </w:p>
  </w:footnote>
  <w:footnote w:id="1381">
    <w:p>
      <w:pPr>
        <w:pStyle w:val="FootnoteText"/>
      </w:pPr>
      <w:r>
        <w:rPr>
          <w:rStyle w:val="FootnoteReference"/>
        </w:rPr>
        <w:footnoteRef/>
      </w:r>
      <w:r>
        <w:t xml:space="preserve"> </w:t>
      </w:r>
      <w:r>
        <w:t xml:space="preserve">Doi 2004, PMID 15646370.</w:t>
      </w:r>
    </w:p>
  </w:footnote>
  <w:footnote w:id="1382">
    <w:p>
      <w:pPr>
        <w:pStyle w:val="FootnoteText"/>
      </w:pPr>
      <w:r>
        <w:rPr>
          <w:rStyle w:val="FootnoteReference"/>
        </w:rPr>
        <w:footnoteRef/>
      </w:r>
      <w:r>
        <w:t xml:space="preserve"> </w:t>
      </w:r>
      <w:r>
        <w:t xml:space="preserve">Raun 1998, PMID 9849822.</w:t>
      </w:r>
    </w:p>
  </w:footnote>
  <w:footnote w:id="1384">
    <w:p>
      <w:pPr>
        <w:pStyle w:val="FootnoteText"/>
      </w:pPr>
      <w:r>
        <w:rPr>
          <w:rStyle w:val="FootnoteReference"/>
        </w:rPr>
        <w:footnoteRef/>
      </w:r>
      <w:r>
        <w:t xml:space="preserve"> </w:t>
      </w:r>
      <w:r>
        <w:t xml:space="preserve">Mericq 2003, PMID 14513874; Laferrère 2006, PMID 16861611.</w:t>
      </w:r>
    </w:p>
  </w:footnote>
  <w:footnote w:id="1385">
    <w:p>
      <w:pPr>
        <w:pStyle w:val="FootnoteText"/>
      </w:pPr>
      <w:r>
        <w:rPr>
          <w:rStyle w:val="FootnoteReference"/>
        </w:rPr>
        <w:footnoteRef/>
      </w:r>
      <w:r>
        <w:t xml:space="preserve"> </w:t>
      </w:r>
      <w:r>
        <w:t xml:space="preserve">Arimura 2016, PMID 27020037.</w:t>
      </w:r>
    </w:p>
  </w:footnote>
  <w:footnote w:id="1386">
    <w:p>
      <w:pPr>
        <w:pStyle w:val="FootnoteText"/>
      </w:pPr>
      <w:r>
        <w:rPr>
          <w:rStyle w:val="FootnoteReference"/>
        </w:rPr>
        <w:footnoteRef/>
      </w:r>
      <w:r>
        <w:t xml:space="preserve"> </w:t>
      </w:r>
      <w:r>
        <w:t xml:space="preserve">Sigalos 2018, PMID 28400207.</w:t>
      </w:r>
    </w:p>
  </w:footnote>
  <w:footnote w:id="1387">
    <w:p>
      <w:pPr>
        <w:pStyle w:val="FootnoteText"/>
      </w:pPr>
      <w:r>
        <w:rPr>
          <w:rStyle w:val="FootnoteReference"/>
        </w:rPr>
        <w:footnoteRef/>
      </w:r>
      <w:r>
        <w:t xml:space="preserve"> </w:t>
      </w:r>
      <w:r>
        <w:t xml:space="preserve">Krug 2018, PMID 29864719; Gajda 2019, PMID 30136411.</w:t>
      </w:r>
    </w:p>
  </w:footnote>
  <w:footnote w:id="1389">
    <w:p>
      <w:pPr>
        <w:pStyle w:val="FootnoteText"/>
      </w:pPr>
      <w:r>
        <w:rPr>
          <w:rStyle w:val="FootnoteReference"/>
        </w:rPr>
        <w:footnoteRef/>
      </w:r>
      <w:r>
        <w:t xml:space="preserve"> </w:t>
      </w:r>
      <w:r>
        <w:t xml:space="preserve">Semenistaya 2015, PMID 25869809.</w:t>
      </w:r>
    </w:p>
  </w:footnote>
  <w:footnote w:id="1394">
    <w:p>
      <w:pPr>
        <w:pStyle w:val="FootnoteText"/>
      </w:pPr>
      <w:r>
        <w:rPr>
          <w:rStyle w:val="FootnoteReference"/>
        </w:rPr>
        <w:footnoteRef/>
      </w:r>
      <w:r>
        <w:t xml:space="preserve"> </w:t>
      </w:r>
      <w:r>
        <w:t xml:space="preserve">Bowers 1984, PMID 6714155.</w:t>
      </w:r>
    </w:p>
  </w:footnote>
  <w:footnote w:id="1396">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Kojima 1999, PMID 10604470.</w:t>
      </w:r>
    </w:p>
  </w:footnote>
  <w:footnote w:id="1399">
    <w:p>
      <w:pPr>
        <w:pStyle w:val="FootnoteText"/>
      </w:pPr>
      <w:r>
        <w:rPr>
          <w:rStyle w:val="FootnoteReference"/>
        </w:rPr>
        <w:footnoteRef/>
      </w:r>
      <w:r>
        <w:t xml:space="preserve"> </w:t>
      </w:r>
      <w:r>
        <w:t xml:space="preserve">Popovic 2000, PMID 11030292.</w:t>
      </w:r>
    </w:p>
  </w:footnote>
  <w:footnote w:id="1400">
    <w:p>
      <w:pPr>
        <w:pStyle w:val="FootnoteText"/>
      </w:pPr>
      <w:r>
        <w:rPr>
          <w:rStyle w:val="FootnoteReference"/>
        </w:rPr>
        <w:footnoteRef/>
      </w:r>
      <w:r>
        <w:t xml:space="preserve"> </w:t>
      </w:r>
      <w:r>
        <w:t xml:space="preserve">Petersenn 2002, PMID 11980622.</w:t>
      </w:r>
    </w:p>
  </w:footnote>
  <w:footnote w:id="1401">
    <w:p>
      <w:pPr>
        <w:pStyle w:val="FootnoteText"/>
      </w:pPr>
      <w:r>
        <w:rPr>
          <w:rStyle w:val="FootnoteReference"/>
        </w:rPr>
        <w:footnoteRef/>
      </w:r>
      <w:r>
        <w:t xml:space="preserve"> </w:t>
      </w:r>
      <w:r>
        <w:t xml:space="preserve">Leal-Cerro 1995, PMID 7788011.</w:t>
      </w:r>
    </w:p>
  </w:footnote>
  <w:footnote w:id="1402">
    <w:p>
      <w:pPr>
        <w:pStyle w:val="FootnoteText"/>
      </w:pPr>
      <w:r>
        <w:rPr>
          <w:rStyle w:val="FootnoteReference"/>
        </w:rPr>
        <w:footnoteRef/>
      </w:r>
      <w:r>
        <w:t xml:space="preserve"> </w:t>
      </w:r>
      <w:r>
        <w:t xml:space="preserve">Alaioubi 2010, PMID 19946832.</w:t>
      </w:r>
    </w:p>
  </w:footnote>
  <w:footnote w:id="1404">
    <w:p>
      <w:pPr>
        <w:pStyle w:val="FootnoteText"/>
      </w:pPr>
      <w:r>
        <w:rPr>
          <w:rStyle w:val="FootnoteReference"/>
        </w:rPr>
        <w:footnoteRef/>
      </w:r>
      <w:r>
        <w:t xml:space="preserve"> </w:t>
      </w:r>
      <w:r>
        <w:t xml:space="preserve">Cabrales 2013, PMID 23099431.</w:t>
      </w:r>
    </w:p>
  </w:footnote>
  <w:footnote w:id="1405">
    <w:p>
      <w:pPr>
        <w:pStyle w:val="FootnoteText"/>
      </w:pPr>
      <w:r>
        <w:rPr>
          <w:rStyle w:val="FootnoteReference"/>
        </w:rPr>
        <w:footnoteRef/>
      </w:r>
      <w:r>
        <w:t xml:space="preserve"> </w:t>
      </w:r>
      <w:r>
        <w:t xml:space="preserve">Frieboes 1995, PMID 7617137.</w:t>
      </w:r>
    </w:p>
  </w:footnote>
  <w:footnote w:id="1406">
    <w:p>
      <w:pPr>
        <w:pStyle w:val="FootnoteText"/>
      </w:pPr>
      <w:r>
        <w:rPr>
          <w:rStyle w:val="FootnoteReference"/>
        </w:rPr>
        <w:footnoteRef/>
      </w:r>
      <w:r>
        <w:t xml:space="preserve"> </w:t>
      </w:r>
      <w:r>
        <w:t xml:space="preserve">Micic 1995, PMID 7734029.</w:t>
      </w:r>
    </w:p>
  </w:footnote>
  <w:footnote w:id="1407">
    <w:p>
      <w:pPr>
        <w:pStyle w:val="FootnoteText"/>
      </w:pPr>
      <w:r>
        <w:rPr>
          <w:rStyle w:val="FootnoteReference"/>
        </w:rPr>
        <w:footnoteRef/>
      </w:r>
      <w:r>
        <w:t xml:space="preserve"> </w:t>
      </w:r>
      <w:r>
        <w:t xml:space="preserve">Bellone 1995, PMID 7581965.</w:t>
      </w:r>
    </w:p>
  </w:footnote>
  <w:footnote w:id="1410">
    <w:p>
      <w:pPr>
        <w:pStyle w:val="FootnoteText"/>
      </w:pPr>
      <w:r>
        <w:rPr>
          <w:rStyle w:val="FootnoteReference"/>
        </w:rPr>
        <w:footnoteRef/>
      </w:r>
      <w:r>
        <w:t xml:space="preserve"> </w:t>
      </w:r>
      <w:r>
        <w:t xml:space="preserve">Berlanga-Acosta 2024, PMID 38873418.</w:t>
      </w:r>
    </w:p>
  </w:footnote>
  <w:footnote w:id="1411">
    <w:p>
      <w:pPr>
        <w:pStyle w:val="FootnoteText"/>
      </w:pPr>
      <w:r>
        <w:rPr>
          <w:rStyle w:val="FootnoteReference"/>
        </w:rPr>
        <w:footnoteRef/>
      </w:r>
      <w:r>
        <w:t xml:space="preserve"> </w:t>
      </w:r>
      <w:r>
        <w:t xml:space="preserve">Cibrián 2006, PMID 16417467.</w:t>
      </w:r>
    </w:p>
  </w:footnote>
  <w:footnote w:id="1412">
    <w:p>
      <w:pPr>
        <w:pStyle w:val="FootnoteText"/>
      </w:pPr>
      <w:r>
        <w:rPr>
          <w:rStyle w:val="FootnoteReference"/>
        </w:rPr>
        <w:footnoteRef/>
      </w:r>
      <w:r>
        <w:t xml:space="preserve"> </w:t>
      </w:r>
      <w:r>
        <w:t xml:space="preserve">del Barco 2011, PMID 21697595.</w:t>
      </w:r>
    </w:p>
  </w:footnote>
  <w:footnote w:id="1414">
    <w:p>
      <w:pPr>
        <w:pStyle w:val="FootnoteText"/>
      </w:pPr>
      <w:r>
        <w:rPr>
          <w:rStyle w:val="FootnoteReference"/>
        </w:rPr>
        <w:footnoteRef/>
      </w:r>
      <w:r>
        <w:t xml:space="preserve"> </w:t>
      </w:r>
      <w:r>
        <w:t xml:space="preserve">Petersenn 2002, PMID 11980622.</w:t>
      </w:r>
    </w:p>
  </w:footnote>
  <w:footnote w:id="1415">
    <w:p>
      <w:pPr>
        <w:pStyle w:val="FootnoteText"/>
      </w:pPr>
      <w:r>
        <w:rPr>
          <w:rStyle w:val="FootnoteReference"/>
        </w:rPr>
        <w:footnoteRef/>
      </w:r>
      <w:r>
        <w:t xml:space="preserve"> </w:t>
      </w:r>
      <w:r>
        <w:t xml:space="preserve">Frieboes 1995, PMID 7617137.</w:t>
      </w:r>
    </w:p>
  </w:footnote>
  <w:footnote w:id="1416">
    <w:p>
      <w:pPr>
        <w:pStyle w:val="FootnoteText"/>
      </w:pPr>
      <w:r>
        <w:rPr>
          <w:rStyle w:val="FootnoteReference"/>
        </w:rPr>
        <w:footnoteRef/>
      </w:r>
      <w:r>
        <w:t xml:space="preserve"> </w:t>
      </w:r>
      <w:r>
        <w:t xml:space="preserve">Perez 2026, PMID 42465868.</w:t>
      </w:r>
    </w:p>
  </w:footnote>
  <w:footnote w:id="1417">
    <w:p>
      <w:pPr>
        <w:pStyle w:val="FootnoteText"/>
      </w:pPr>
      <w:r>
        <w:rPr>
          <w:rStyle w:val="FootnoteReference"/>
        </w:rPr>
        <w:footnoteRef/>
      </w:r>
      <w:r>
        <w:t xml:space="preserve"> </w:t>
      </w:r>
      <w:r>
        <w:t xml:space="preserve">Krug 2018, PMID 29864719.</w:t>
      </w:r>
    </w:p>
  </w:footnote>
  <w:footnote w:id="1419">
    <w:p>
      <w:pPr>
        <w:pStyle w:val="FootnoteText"/>
      </w:pPr>
      <w:r>
        <w:rPr>
          <w:rStyle w:val="FootnoteReference"/>
        </w:rPr>
        <w:footnoteRef/>
      </w:r>
      <w:r>
        <w:t xml:space="preserve"> </w:t>
      </w:r>
      <w:r>
        <w:t xml:space="preserve">Semenistaya 2015, PMID 25869809.</w:t>
      </w:r>
    </w:p>
  </w:footnote>
  <w:footnote w:id="1424">
    <w:p>
      <w:pPr>
        <w:pStyle w:val="FootnoteText"/>
      </w:pPr>
      <w:r>
        <w:rPr>
          <w:rStyle w:val="FootnoteReference"/>
        </w:rPr>
        <w:footnoteRef/>
      </w:r>
      <w:r>
        <w:t xml:space="preserve"> </w:t>
      </w:r>
      <w:r>
        <w:t xml:space="preserve">Imbimbo 1994, PMID 7957536.</w:t>
      </w:r>
    </w:p>
  </w:footnote>
  <w:footnote w:id="1425">
    <w:p>
      <w:pPr>
        <w:pStyle w:val="FootnoteText"/>
      </w:pPr>
      <w:r>
        <w:rPr>
          <w:rStyle w:val="FootnoteReference"/>
        </w:rPr>
        <w:footnoteRef/>
      </w:r>
      <w:r>
        <w:t xml:space="preserve"> </w:t>
      </w:r>
      <w:r>
        <w:t xml:space="preserve">Mao 2014, PMID 25278975.</w:t>
      </w:r>
    </w:p>
  </w:footnote>
  <w:footnote w:id="1427">
    <w:p>
      <w:pPr>
        <w:pStyle w:val="FootnoteText"/>
      </w:pPr>
      <w:r>
        <w:rPr>
          <w:rStyle w:val="FootnoteReference"/>
        </w:rPr>
        <w:footnoteRef/>
      </w:r>
      <w:r>
        <w:t xml:space="preserve"> </w:t>
      </w:r>
      <w:r>
        <w:t xml:space="preserve">Loche 1995, PMID 7673411.</w:t>
      </w:r>
    </w:p>
  </w:footnote>
  <w:footnote w:id="1429">
    <w:p>
      <w:pPr>
        <w:pStyle w:val="FootnoteText"/>
      </w:pPr>
      <w:r>
        <w:rPr>
          <w:rStyle w:val="FootnoteReference"/>
        </w:rPr>
        <w:footnoteRef/>
      </w:r>
      <w:r>
        <w:t xml:space="preserve"> </w:t>
      </w:r>
      <w:r>
        <w:t xml:space="preserve">Imbimbo 1994, PMID 7957536.</w:t>
      </w:r>
    </w:p>
  </w:footnote>
  <w:footnote w:id="1430">
    <w:p>
      <w:pPr>
        <w:pStyle w:val="FootnoteText"/>
      </w:pPr>
      <w:r>
        <w:rPr>
          <w:rStyle w:val="FootnoteReference"/>
        </w:rPr>
        <w:footnoteRef/>
      </w:r>
      <w:r>
        <w:t xml:space="preserve"> </w:t>
      </w:r>
      <w:r>
        <w:t xml:space="preserve">Massoud 1996, PMID 8954038.</w:t>
      </w:r>
    </w:p>
  </w:footnote>
  <w:footnote w:id="1431">
    <w:p>
      <w:pPr>
        <w:pStyle w:val="FootnoteText"/>
      </w:pPr>
      <w:r>
        <w:rPr>
          <w:rStyle w:val="FootnoteReference"/>
        </w:rPr>
        <w:footnoteRef/>
      </w:r>
      <w:r>
        <w:t xml:space="preserve"> </w:t>
      </w:r>
      <w:r>
        <w:t xml:space="preserve">Korbonits 1999, PMID 10404825.</w:t>
      </w:r>
    </w:p>
  </w:footnote>
  <w:footnote w:id="1433">
    <w:p>
      <w:pPr>
        <w:pStyle w:val="FootnoteText"/>
      </w:pPr>
      <w:r>
        <w:rPr>
          <w:rStyle w:val="FootnoteReference"/>
        </w:rPr>
        <w:footnoteRef/>
      </w:r>
      <w:r>
        <w:t xml:space="preserve"> </w:t>
      </w:r>
      <w:r>
        <w:t xml:space="preserve">Rahim 1998, PMID 9589671.</w:t>
      </w:r>
    </w:p>
  </w:footnote>
  <w:footnote w:id="1434">
    <w:p>
      <w:pPr>
        <w:pStyle w:val="FootnoteText"/>
      </w:pPr>
      <w:r>
        <w:rPr>
          <w:rStyle w:val="FootnoteReference"/>
        </w:rPr>
        <w:footnoteRef/>
      </w:r>
      <w:r>
        <w:t xml:space="preserve"> </w:t>
      </w:r>
      <w:r>
        <w:t xml:space="preserve">Rahim 1999, PMID 10341859.</w:t>
      </w:r>
    </w:p>
  </w:footnote>
  <w:footnote w:id="1435">
    <w:p>
      <w:pPr>
        <w:pStyle w:val="FootnoteText"/>
      </w:pPr>
      <w:r>
        <w:rPr>
          <w:rStyle w:val="FootnoteReference"/>
        </w:rPr>
        <w:footnoteRef/>
      </w:r>
      <w:r>
        <w:t xml:space="preserve"> </w:t>
      </w:r>
      <w:r>
        <w:t xml:space="preserve">Laron 1995, PMID 8548949.</w:t>
      </w:r>
    </w:p>
  </w:footnote>
  <w:footnote w:id="1436">
    <w:p>
      <w:pPr>
        <w:pStyle w:val="FootnoteText"/>
      </w:pPr>
      <w:r>
        <w:rPr>
          <w:rStyle w:val="FootnoteReference"/>
        </w:rPr>
        <w:footnoteRef/>
      </w:r>
      <w:r>
        <w:t xml:space="preserve"> </w:t>
      </w:r>
      <w:r>
        <w:t xml:space="preserve">Klinger 1996, PMID 8766941.</w:t>
      </w:r>
    </w:p>
  </w:footnote>
  <w:footnote w:id="1438">
    <w:p>
      <w:pPr>
        <w:pStyle w:val="FootnoteText"/>
      </w:pPr>
      <w:r>
        <w:rPr>
          <w:rStyle w:val="FootnoteReference"/>
        </w:rPr>
        <w:footnoteRef/>
      </w:r>
      <w:r>
        <w:t xml:space="preserve"> </w:t>
      </w:r>
      <w:r>
        <w:t xml:space="preserve">Bisi 1999, PMID 10528131.</w:t>
      </w:r>
    </w:p>
  </w:footnote>
  <w:footnote w:id="1439">
    <w:p>
      <w:pPr>
        <w:pStyle w:val="FootnoteText"/>
      </w:pPr>
      <w:r>
        <w:rPr>
          <w:rStyle w:val="FootnoteReference"/>
        </w:rPr>
        <w:footnoteRef/>
      </w:r>
      <w:r>
        <w:t xml:space="preserve"> </w:t>
      </w:r>
      <w:r>
        <w:t xml:space="preserve">Broglio 2001, PMID 11322491.</w:t>
      </w:r>
    </w:p>
  </w:footnote>
  <w:footnote w:id="1440">
    <w:p>
      <w:pPr>
        <w:pStyle w:val="FootnoteText"/>
      </w:pPr>
      <w:r>
        <w:rPr>
          <w:rStyle w:val="FootnoteReference"/>
        </w:rPr>
        <w:footnoteRef/>
      </w:r>
      <w:r>
        <w:t xml:space="preserve"> </w:t>
      </w:r>
      <w:r>
        <w:t xml:space="preserve">Broglio 2002, PMID 12144941.</w:t>
      </w:r>
    </w:p>
  </w:footnote>
  <w:footnote w:id="1443">
    <w:p>
      <w:pPr>
        <w:pStyle w:val="FootnoteText"/>
      </w:pPr>
      <w:r>
        <w:rPr>
          <w:rStyle w:val="FootnoteReference"/>
        </w:rPr>
        <w:footnoteRef/>
      </w:r>
      <w:r>
        <w:t xml:space="preserve"> </w:t>
      </w:r>
      <w:r>
        <w:t xml:space="preserve">Tivesten 2000, PMID 10614623.</w:t>
      </w:r>
    </w:p>
  </w:footnote>
  <w:footnote w:id="1444">
    <w:p>
      <w:pPr>
        <w:pStyle w:val="FootnoteText"/>
      </w:pPr>
      <w:r>
        <w:rPr>
          <w:rStyle w:val="FootnoteReference"/>
        </w:rPr>
        <w:footnoteRef/>
      </w:r>
      <w:r>
        <w:t xml:space="preserve"> </w:t>
      </w:r>
      <w:r>
        <w:t xml:space="preserve">McDonald 2018, PMID 29756411.</w:t>
      </w:r>
    </w:p>
  </w:footnote>
  <w:footnote w:id="1445">
    <w:p>
      <w:pPr>
        <w:pStyle w:val="FootnoteText"/>
      </w:pPr>
      <w:r>
        <w:rPr>
          <w:rStyle w:val="FootnoteReference"/>
        </w:rPr>
        <w:footnoteRef/>
      </w:r>
      <w:r>
        <w:t xml:space="preserve"> </w:t>
      </w:r>
      <w:r>
        <w:t xml:space="preserve">Mao 2014, PMID 25278975.</w:t>
      </w:r>
    </w:p>
  </w:footnote>
  <w:footnote w:id="1447">
    <w:p>
      <w:pPr>
        <w:pStyle w:val="FootnoteText"/>
      </w:pPr>
      <w:r>
        <w:rPr>
          <w:rStyle w:val="FootnoteReference"/>
        </w:rPr>
        <w:footnoteRef/>
      </w:r>
      <w:r>
        <w:t xml:space="preserve"> </w:t>
      </w:r>
      <w:r>
        <w:t xml:space="preserve">Massoud 1996, PMID 8954038; Korbonits 1999, PMID 10404825.</w:t>
      </w:r>
    </w:p>
  </w:footnote>
  <w:footnote w:id="1448">
    <w:p>
      <w:pPr>
        <w:pStyle w:val="FootnoteText"/>
      </w:pPr>
      <w:r>
        <w:rPr>
          <w:rStyle w:val="FootnoteReference"/>
        </w:rPr>
        <w:footnoteRef/>
      </w:r>
      <w:r>
        <w:t xml:space="preserve"> </w:t>
      </w:r>
      <w:r>
        <w:t xml:space="preserve">Korbonits 1999, PMID 10404825.</w:t>
      </w:r>
    </w:p>
  </w:footnote>
  <w:footnote w:id="1449">
    <w:p>
      <w:pPr>
        <w:pStyle w:val="FootnoteText"/>
      </w:pPr>
      <w:r>
        <w:rPr>
          <w:rStyle w:val="FootnoteReference"/>
        </w:rPr>
        <w:footnoteRef/>
      </w:r>
      <w:r>
        <w:t xml:space="preserve"> </w:t>
      </w:r>
      <w:r>
        <w:t xml:space="preserve">Rahim 1998, PMID 9589671; Klinger 1996, PMID 8766941.</w:t>
      </w:r>
    </w:p>
  </w:footnote>
  <w:footnote w:id="1450">
    <w:p>
      <w:pPr>
        <w:pStyle w:val="FootnoteText"/>
      </w:pPr>
      <w:r>
        <w:rPr>
          <w:rStyle w:val="FootnoteReference"/>
        </w:rPr>
        <w:footnoteRef/>
      </w:r>
      <w:r>
        <w:t xml:space="preserve"> </w:t>
      </w:r>
      <w:r>
        <w:t xml:space="preserve">Laron 1995, PMID 8548949.</w:t>
      </w:r>
    </w:p>
  </w:footnote>
  <w:footnote w:id="1452">
    <w:p>
      <w:pPr>
        <w:pStyle w:val="FootnoteText"/>
      </w:pPr>
      <w:r>
        <w:rPr>
          <w:rStyle w:val="FootnoteReference"/>
        </w:rPr>
        <w:footnoteRef/>
      </w:r>
      <w:r>
        <w:t xml:space="preserve"> </w:t>
      </w:r>
      <w:r>
        <w:t xml:space="preserve">Semenistaya 2015, PMID 25869809.</w:t>
      </w:r>
    </w:p>
  </w:footnote>
  <w:footnote w:id="1457">
    <w:p>
      <w:pPr>
        <w:pStyle w:val="FootnoteText"/>
      </w:pPr>
      <w:r>
        <w:rPr>
          <w:rStyle w:val="FootnoteReference"/>
        </w:rPr>
        <w:footnoteRef/>
      </w:r>
      <w:r>
        <w:t xml:space="preserve"> </w:t>
      </w:r>
      <w:r>
        <w:t xml:space="preserve">Piccoli 2007, PMID 17284637.</w:t>
      </w:r>
    </w:p>
  </w:footnote>
  <w:footnote w:id="1460">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Klaus 2020, PMID 32325373.</w:t>
      </w:r>
    </w:p>
  </w:footnote>
  <w:footnote w:id="1463">
    <w:p>
      <w:pPr>
        <w:pStyle w:val="FootnoteText"/>
      </w:pPr>
      <w:r>
        <w:rPr>
          <w:rStyle w:val="FootnoteReference"/>
        </w:rPr>
        <w:footnoteRef/>
      </w:r>
      <w:r>
        <w:t xml:space="preserve"> </w:t>
      </w:r>
      <w:r>
        <w:t xml:space="preserve">Garcia 2013, PMID 23559086.</w:t>
      </w:r>
    </w:p>
  </w:footnote>
  <w:footnote w:id="1464">
    <w:p>
      <w:pPr>
        <w:pStyle w:val="FootnoteText"/>
      </w:pPr>
      <w:r>
        <w:rPr>
          <w:rStyle w:val="FootnoteReference"/>
        </w:rPr>
        <w:footnoteRef/>
      </w:r>
      <w:r>
        <w:t xml:space="preserve"> </w:t>
      </w:r>
      <w:r>
        <w:t xml:space="preserve">Garcia 2018, PMID 29860473; NCT02558829.</w:t>
      </w:r>
    </w:p>
  </w:footnote>
  <w:footnote w:id="1465">
    <w:p>
      <w:pPr>
        <w:pStyle w:val="FootnoteText"/>
      </w:pPr>
      <w:r>
        <w:rPr>
          <w:rStyle w:val="FootnoteReference"/>
        </w:rPr>
        <w:footnoteRef/>
      </w:r>
      <w:r>
        <w:t xml:space="preserve"> </w:t>
      </w:r>
      <w:r>
        <w:t xml:space="preserve">Garcia 2021, PMID 33320108.</w:t>
      </w:r>
    </w:p>
  </w:footnote>
  <w:footnote w:id="1467">
    <w:p>
      <w:pPr>
        <w:pStyle w:val="FootnoteText"/>
      </w:pPr>
      <w:r>
        <w:rPr>
          <w:rStyle w:val="FootnoteReference"/>
        </w:rPr>
        <w:footnoteRef/>
      </w:r>
      <w:r>
        <w:t xml:space="preserve"> </w:t>
      </w:r>
      <w:r>
        <w:t xml:space="preserve">Yadav 2026, PMID 41793495.</w:t>
      </w:r>
    </w:p>
  </w:footnote>
  <w:footnote w:id="1469">
    <w:p>
      <w:pPr>
        <w:pStyle w:val="FootnoteText"/>
      </w:pPr>
      <w:r>
        <w:rPr>
          <w:rStyle w:val="FootnoteReference"/>
        </w:rPr>
        <w:footnoteRef/>
      </w:r>
      <w:r>
        <w:t xml:space="preserve"> </w:t>
      </w:r>
      <w:r>
        <w:t xml:space="preserve">Csákváry 2021, PMID 34438400.</w:t>
      </w:r>
    </w:p>
  </w:footnote>
  <w:footnote w:id="1470">
    <w:p>
      <w:pPr>
        <w:pStyle w:val="FootnoteText"/>
      </w:pPr>
      <w:r>
        <w:rPr>
          <w:rStyle w:val="FootnoteReference"/>
        </w:rPr>
        <w:footnoteRef/>
      </w:r>
      <w:r>
        <w:t xml:space="preserve"> </w:t>
      </w:r>
      <w:r>
        <w:t xml:space="preserve">NCT04786873.</w:t>
      </w:r>
    </w:p>
  </w:footnote>
  <w:footnote w:id="1471">
    <w:p>
      <w:pPr>
        <w:pStyle w:val="FootnoteText"/>
      </w:pPr>
      <w:r>
        <w:rPr>
          <w:rStyle w:val="FootnoteReference"/>
        </w:rPr>
        <w:footnoteRef/>
      </w:r>
      <w:r>
        <w:t xml:space="preserve"> </w:t>
      </w:r>
      <w:r>
        <w:t xml:space="preserve">Herodes 2023, PMID 36860137.</w:t>
      </w:r>
    </w:p>
  </w:footnote>
  <w:footnote w:id="1474">
    <w:p>
      <w:pPr>
        <w:pStyle w:val="FootnoteText"/>
      </w:pPr>
      <w:r>
        <w:rPr>
          <w:rStyle w:val="FootnoteReference"/>
        </w:rPr>
        <w:footnoteRef/>
      </w:r>
      <w:r>
        <w:t xml:space="preserve"> </w:t>
      </w:r>
      <w:r>
        <w:t xml:space="preserve">Buckinx 2021, PMID 34157194.</w:t>
      </w:r>
    </w:p>
  </w:footnote>
  <w:footnote w:id="1475">
    <w:p>
      <w:pPr>
        <w:pStyle w:val="FootnoteText"/>
      </w:pPr>
      <w:r>
        <w:rPr>
          <w:rStyle w:val="FootnoteReference"/>
        </w:rPr>
        <w:footnoteRef/>
      </w:r>
      <w:r>
        <w:t xml:space="preserve"> </w:t>
      </w:r>
      <w:r>
        <w:t xml:space="preserve">Wang 2025, PMID 40542284.</w:t>
      </w:r>
    </w:p>
  </w:footnote>
  <w:footnote w:id="1477">
    <w:p>
      <w:pPr>
        <w:pStyle w:val="FootnoteText"/>
      </w:pPr>
      <w:r>
        <w:rPr>
          <w:rStyle w:val="FootnoteReference"/>
        </w:rPr>
        <w:footnoteRef/>
      </w:r>
      <w:r>
        <w:t xml:space="preserve"> </w:t>
      </w:r>
      <w:r>
        <w:t xml:space="preserve">Garcia 2018, PMID 29860473.</w:t>
      </w:r>
    </w:p>
  </w:footnote>
  <w:footnote w:id="1478">
    <w:p>
      <w:pPr>
        <w:pStyle w:val="FootnoteText"/>
      </w:pPr>
      <w:r>
        <w:rPr>
          <w:rStyle w:val="FootnoteReference"/>
        </w:rPr>
        <w:footnoteRef/>
      </w:r>
      <w:r>
        <w:t xml:space="preserve"> </w:t>
      </w:r>
      <w:r>
        <w:t xml:space="preserve">Klaus 2020, PMID 32325373.</w:t>
      </w:r>
    </w:p>
  </w:footnote>
  <w:footnote w:id="1479">
    <w:p>
      <w:pPr>
        <w:pStyle w:val="FootnoteText"/>
      </w:pPr>
      <w:r>
        <w:rPr>
          <w:rStyle w:val="FootnoteReference"/>
        </w:rPr>
        <w:footnoteRef/>
      </w:r>
      <w:r>
        <w:t xml:space="preserve"> </w:t>
      </w:r>
      <w:r>
        <w:t xml:space="preserve">Lissy 2021, PMID 32961034.</w:t>
      </w:r>
    </w:p>
  </w:footnote>
  <w:footnote w:id="1480">
    <w:p>
      <w:pPr>
        <w:pStyle w:val="FootnoteText"/>
      </w:pPr>
      <w:r>
        <w:rPr>
          <w:rStyle w:val="FootnoteReference"/>
        </w:rPr>
        <w:footnoteRef/>
      </w:r>
      <w:r>
        <w:t xml:space="preserve"> </w:t>
      </w:r>
      <w:r>
        <w:t xml:space="preserve">Yadav 2026, PMID 41793495.</w:t>
      </w:r>
    </w:p>
  </w:footnote>
  <w:footnote w:id="1482">
    <w:p>
      <w:pPr>
        <w:pStyle w:val="FootnoteText"/>
      </w:pPr>
      <w:r>
        <w:rPr>
          <w:rStyle w:val="FootnoteReference"/>
        </w:rPr>
        <w:footnoteRef/>
      </w:r>
      <w:r>
        <w:t xml:space="preserve"> </w:t>
      </w:r>
      <w:r>
        <w:t xml:space="preserve">Lange 2021, PMID 33458843.</w:t>
      </w:r>
    </w:p>
  </w:footnote>
  <w:footnote w:id="1484">
    <w:p>
      <w:pPr>
        <w:pStyle w:val="FootnoteText"/>
      </w:pPr>
      <w:r>
        <w:rPr>
          <w:rStyle w:val="FootnoteReference"/>
        </w:rPr>
        <w:footnoteRef/>
      </w:r>
      <w:r>
        <w:t xml:space="preserve"> </w:t>
      </w:r>
      <w:r>
        <w:t xml:space="preserve">NCT04786873.</w:t>
      </w:r>
    </w:p>
  </w:footnote>
  <w:footnote w:id="1485">
    <w:p>
      <w:pPr>
        <w:pStyle w:val="FootnoteText"/>
      </w:pPr>
      <w:r>
        <w:rPr>
          <w:rStyle w:val="FootnoteReference"/>
        </w:rPr>
        <w:footnoteRef/>
      </w:r>
      <w:r>
        <w:t xml:space="preserve"> </w:t>
      </w:r>
      <w:r>
        <w:t xml:space="preserve">NCT03844217.</w:t>
      </w:r>
    </w:p>
  </w:footnote>
  <w:footnote w:id="1490">
    <w:p>
      <w:pPr>
        <w:pStyle w:val="FootnoteText"/>
      </w:pPr>
      <w:r>
        <w:rPr>
          <w:rStyle w:val="FootnoteReference"/>
        </w:rPr>
        <w:footnoteRef/>
      </w:r>
      <w:r>
        <w:t xml:space="preserve"> </w:t>
      </w:r>
      <w:r>
        <w:t xml:space="preserve">Saavedra 2026, PMID 42341624.</w:t>
      </w:r>
    </w:p>
  </w:footnote>
  <w:footnote w:id="1492">
    <w:p>
      <w:pPr>
        <w:pStyle w:val="FootnoteText"/>
      </w:pPr>
      <w:r>
        <w:rPr>
          <w:rStyle w:val="FootnoteReference"/>
        </w:rPr>
        <w:footnoteRef/>
      </w:r>
      <w:r>
        <w:t xml:space="preserve"> </w:t>
      </w:r>
      <w:r>
        <w:t xml:space="preserve">Chernausek 2007, PMID 17192294.</w:t>
      </w:r>
    </w:p>
  </w:footnote>
  <w:footnote w:id="1493">
    <w:p>
      <w:pPr>
        <w:pStyle w:val="FootnoteText"/>
      </w:pPr>
      <w:r>
        <w:rPr>
          <w:rStyle w:val="FootnoteReference"/>
        </w:rPr>
        <w:footnoteRef/>
      </w:r>
      <w:r>
        <w:t xml:space="preserve"> </w:t>
      </w:r>
      <w:r>
        <w:t xml:space="preserve">NCT00903110.</w:t>
      </w:r>
    </w:p>
  </w:footnote>
  <w:footnote w:id="1494">
    <w:p>
      <w:pPr>
        <w:pStyle w:val="FootnoteText"/>
      </w:pPr>
      <w:r>
        <w:rPr>
          <w:rStyle w:val="FootnoteReference"/>
        </w:rPr>
        <w:footnoteRef/>
      </w:r>
      <w:r>
        <w:t xml:space="preserve"> </w:t>
      </w:r>
      <w:r>
        <w:t xml:space="preserve">Bang 2021, PMID 33434161.</w:t>
      </w:r>
    </w:p>
  </w:footnote>
  <w:footnote w:id="1495">
    <w:p>
      <w:pPr>
        <w:pStyle w:val="FootnoteText"/>
      </w:pPr>
      <w:r>
        <w:rPr>
          <w:rStyle w:val="FootnoteReference"/>
        </w:rPr>
        <w:footnoteRef/>
      </w:r>
      <w:r>
        <w:t xml:space="preserve"> </w:t>
      </w:r>
      <w:r>
        <w:t xml:space="preserve">Ramon-Krauel 2026, PMID 40626687.</w:t>
      </w:r>
    </w:p>
  </w:footnote>
  <w:footnote w:id="1496">
    <w:p>
      <w:pPr>
        <w:pStyle w:val="FootnoteText"/>
      </w:pPr>
      <w:r>
        <w:rPr>
          <w:rStyle w:val="FootnoteReference"/>
        </w:rPr>
        <w:footnoteRef/>
      </w:r>
      <w:r>
        <w:t xml:space="preserve"> </w:t>
      </w:r>
      <w:r>
        <w:t xml:space="preserve">Bang 2023, PMID 37579214.</w:t>
      </w:r>
    </w:p>
  </w:footnote>
  <w:footnote w:id="1498">
    <w:p>
      <w:pPr>
        <w:pStyle w:val="FootnoteText"/>
      </w:pPr>
      <w:r>
        <w:rPr>
          <w:rStyle w:val="FootnoteReference"/>
        </w:rPr>
        <w:footnoteRef/>
      </w:r>
      <w:r>
        <w:t xml:space="preserve"> </w:t>
      </w:r>
      <w:r>
        <w:t xml:space="preserve">Sorenson 2008, PMID 19029516.</w:t>
      </w:r>
    </w:p>
  </w:footnote>
  <w:footnote w:id="1499">
    <w:p>
      <w:pPr>
        <w:pStyle w:val="FootnoteText"/>
      </w:pPr>
      <w:r>
        <w:rPr>
          <w:rStyle w:val="FootnoteReference"/>
        </w:rPr>
        <w:footnoteRef/>
      </w:r>
      <w:r>
        <w:t xml:space="preserve"> </w:t>
      </w:r>
      <w:r>
        <w:t xml:space="preserve">Rutter 2020, PMID 32108355.</w:t>
      </w:r>
    </w:p>
  </w:footnote>
  <w:footnote w:id="1500">
    <w:p>
      <w:pPr>
        <w:pStyle w:val="FootnoteText"/>
      </w:pPr>
      <w:r>
        <w:rPr>
          <w:rStyle w:val="FootnoteReference"/>
        </w:rPr>
        <w:footnoteRef/>
      </w:r>
      <w:r>
        <w:t xml:space="preserve"> </w:t>
      </w:r>
      <w:r>
        <w:t xml:space="preserve">Ribeiro 2025, PMID 41174329.</w:t>
      </w:r>
    </w:p>
  </w:footnote>
  <w:footnote w:id="1501">
    <w:p>
      <w:pPr>
        <w:pStyle w:val="FootnoteText"/>
      </w:pPr>
      <w:r>
        <w:rPr>
          <w:rStyle w:val="FootnoteReference"/>
        </w:rPr>
        <w:footnoteRef/>
      </w:r>
      <w:r>
        <w:t xml:space="preserve"> </w:t>
      </w:r>
      <w:r>
        <w:t xml:space="preserve">Ley 2019, PMID 30471715.</w:t>
      </w:r>
    </w:p>
  </w:footnote>
  <w:footnote w:id="1502">
    <w:p>
      <w:pPr>
        <w:pStyle w:val="FootnoteText"/>
      </w:pPr>
      <w:r>
        <w:rPr>
          <w:rStyle w:val="FootnoteReference"/>
        </w:rPr>
        <w:footnoteRef/>
      </w:r>
      <w:r>
        <w:t xml:space="preserve"> </w:t>
      </w:r>
      <w:r>
        <w:t xml:space="preserve">NCT03253263.</w:t>
      </w:r>
    </w:p>
  </w:footnote>
  <w:footnote w:id="1503">
    <w:p>
      <w:pPr>
        <w:pStyle w:val="FootnoteText"/>
      </w:pPr>
      <w:r>
        <w:rPr>
          <w:rStyle w:val="FootnoteReference"/>
        </w:rPr>
        <w:footnoteRef/>
      </w:r>
      <w:r>
        <w:t xml:space="preserve"> </w:t>
      </w:r>
      <w:r>
        <w:t xml:space="preserve">Haines 2021, PMID 34355814.</w:t>
      </w:r>
    </w:p>
  </w:footnote>
  <w:footnote w:id="1504">
    <w:p>
      <w:pPr>
        <w:pStyle w:val="FootnoteText"/>
      </w:pPr>
      <w:r>
        <w:rPr>
          <w:rStyle w:val="FootnoteReference"/>
        </w:rPr>
        <w:footnoteRef/>
      </w:r>
      <w:r>
        <w:t xml:space="preserve"> </w:t>
      </w:r>
      <w:r>
        <w:t xml:space="preserve">Mauras 2000, PMID 10999782.</w:t>
      </w:r>
    </w:p>
  </w:footnote>
  <w:footnote w:id="1505">
    <w:p>
      <w:pPr>
        <w:pStyle w:val="FootnoteText"/>
      </w:pPr>
      <w:r>
        <w:rPr>
          <w:rStyle w:val="FootnoteReference"/>
        </w:rPr>
        <w:footnoteRef/>
      </w:r>
      <w:r>
        <w:t xml:space="preserve"> </w:t>
      </w:r>
      <w:r>
        <w:t xml:space="preserve">Guha 2021, PMID 33249593.</w:t>
      </w:r>
    </w:p>
  </w:footnote>
  <w:footnote w:id="1508">
    <w:p>
      <w:pPr>
        <w:pStyle w:val="FootnoteText"/>
      </w:pPr>
      <w:r>
        <w:rPr>
          <w:rStyle w:val="FootnoteReference"/>
        </w:rPr>
        <w:footnoteRef/>
      </w:r>
      <w:r>
        <w:t xml:space="preserve"> </w:t>
      </w:r>
      <w:r>
        <w:t xml:space="preserve">Guevara-Aguirre 2011, PMID 21325617.</w:t>
      </w:r>
    </w:p>
  </w:footnote>
  <w:footnote w:id="1509">
    <w:p>
      <w:pPr>
        <w:pStyle w:val="FootnoteText"/>
      </w:pPr>
      <w:r>
        <w:rPr>
          <w:rStyle w:val="FootnoteReference"/>
        </w:rPr>
        <w:footnoteRef/>
      </w:r>
      <w:r>
        <w:t xml:space="preserve"> </w:t>
      </w:r>
      <w:r>
        <w:t xml:space="preserve">Guevara-Aguirre 2015, PMID 25316432.</w:t>
      </w:r>
    </w:p>
  </w:footnote>
  <w:footnote w:id="1511">
    <w:p>
      <w:pPr>
        <w:pStyle w:val="FootnoteText"/>
      </w:pPr>
      <w:r>
        <w:rPr>
          <w:rStyle w:val="FootnoteReference"/>
        </w:rPr>
        <w:footnoteRef/>
      </w:r>
      <w:r>
        <w:t xml:space="preserve"> </w:t>
      </w:r>
      <w:r>
        <w:t xml:space="preserve">Chernausek 2007, PMID 17192294; Bang 2023, PMID 37579214.</w:t>
      </w:r>
    </w:p>
  </w:footnote>
  <w:footnote w:id="1512">
    <w:p>
      <w:pPr>
        <w:pStyle w:val="FootnoteText"/>
      </w:pPr>
      <w:r>
        <w:rPr>
          <w:rStyle w:val="FootnoteReference"/>
        </w:rPr>
        <w:footnoteRef/>
      </w:r>
      <w:r>
        <w:t xml:space="preserve"> </w:t>
      </w:r>
      <w:r>
        <w:t xml:space="preserve">Chernausek 2007, PMID 17192294.</w:t>
      </w:r>
    </w:p>
  </w:footnote>
  <w:footnote w:id="1513">
    <w:p>
      <w:pPr>
        <w:pStyle w:val="FootnoteText"/>
      </w:pPr>
      <w:r>
        <w:rPr>
          <w:rStyle w:val="FootnoteReference"/>
        </w:rPr>
        <w:footnoteRef/>
      </w:r>
      <w:r>
        <w:t xml:space="preserve"> </w:t>
      </w:r>
      <w:r>
        <w:t xml:space="preserve">Ley 2019, PMID 30471715.</w:t>
      </w:r>
    </w:p>
  </w:footnote>
  <w:footnote w:id="1514">
    <w:p>
      <w:pPr>
        <w:pStyle w:val="FootnoteText"/>
      </w:pPr>
      <w:r>
        <w:rPr>
          <w:rStyle w:val="FootnoteReference"/>
        </w:rPr>
        <w:footnoteRef/>
      </w:r>
      <w:r>
        <w:t xml:space="preserve"> </w:t>
      </w:r>
      <w:r>
        <w:t xml:space="preserve">Renehan 2004, PMID 15110491.</w:t>
      </w:r>
    </w:p>
  </w:footnote>
  <w:footnote w:id="1515">
    <w:p>
      <w:pPr>
        <w:pStyle w:val="FootnoteText"/>
      </w:pPr>
      <w:r>
        <w:rPr>
          <w:rStyle w:val="FootnoteReference"/>
        </w:rPr>
        <w:footnoteRef/>
      </w:r>
      <w:r>
        <w:t xml:space="preserve"> </w:t>
      </w:r>
      <w:r>
        <w:t xml:space="preserve">Murphy 2020, PMID 32169310.</w:t>
      </w:r>
    </w:p>
  </w:footnote>
  <w:footnote w:id="1516">
    <w:p>
      <w:pPr>
        <w:pStyle w:val="FootnoteText"/>
      </w:pPr>
      <w:r>
        <w:rPr>
          <w:rStyle w:val="FootnoteReference"/>
        </w:rPr>
        <w:footnoteRef/>
      </w:r>
      <w:r>
        <w:t xml:space="preserve"> </w:t>
      </w:r>
      <w:r>
        <w:t xml:space="preserve">Murphy 2020, PMID 31884074.</w:t>
      </w:r>
    </w:p>
  </w:footnote>
  <w:footnote w:id="1517">
    <w:p>
      <w:pPr>
        <w:pStyle w:val="FootnoteText"/>
      </w:pPr>
      <w:r>
        <w:rPr>
          <w:rStyle w:val="FootnoteReference"/>
        </w:rPr>
        <w:footnoteRef/>
      </w:r>
      <w:r>
        <w:t xml:space="preserve"> </w:t>
      </w:r>
      <w:r>
        <w:t xml:space="preserve">Watts 2023, PMID 35726641.</w:t>
      </w:r>
    </w:p>
  </w:footnote>
  <w:footnote w:id="1518">
    <w:p>
      <w:pPr>
        <w:pStyle w:val="FootnoteText"/>
      </w:pPr>
      <w:r>
        <w:rPr>
          <w:rStyle w:val="FootnoteReference"/>
        </w:rPr>
        <w:footnoteRef/>
      </w:r>
      <w:r>
        <w:t xml:space="preserve"> </w:t>
      </w:r>
      <w:r>
        <w:t xml:space="preserve">Murphy 2020, PMID 32169310; Murphy 2020, PMID 31884074.</w:t>
      </w:r>
    </w:p>
  </w:footnote>
  <w:footnote w:id="1519">
    <w:p>
      <w:pPr>
        <w:pStyle w:val="FootnoteText"/>
      </w:pPr>
      <w:r>
        <w:rPr>
          <w:rStyle w:val="FootnoteReference"/>
        </w:rPr>
        <w:footnoteRef/>
      </w:r>
      <w:r>
        <w:t xml:space="preserve"> </w:t>
      </w:r>
      <w:r>
        <w:t xml:space="preserve">Guevara-Aguirre 2011, PMID 21325617.</w:t>
      </w:r>
    </w:p>
  </w:footnote>
  <w:footnote w:id="1520">
    <w:p>
      <w:pPr>
        <w:pStyle w:val="FootnoteText"/>
      </w:pPr>
      <w:r>
        <w:rPr>
          <w:rStyle w:val="FootnoteReference"/>
        </w:rPr>
        <w:footnoteRef/>
      </w:r>
      <w:r>
        <w:t xml:space="preserve"> </w:t>
      </w:r>
      <w:r>
        <w:t xml:space="preserve">NCT00903110.</w:t>
      </w:r>
    </w:p>
  </w:footnote>
  <w:footnote w:id="1522">
    <w:p>
      <w:pPr>
        <w:pStyle w:val="FootnoteText"/>
      </w:pPr>
      <w:r>
        <w:rPr>
          <w:rStyle w:val="FootnoteReference"/>
        </w:rPr>
        <w:footnoteRef/>
      </w:r>
      <w:r>
        <w:t xml:space="preserve"> </w:t>
      </w:r>
      <w:r>
        <w:t xml:space="preserve">Saavedra 2026, PMID 42341624.</w:t>
      </w:r>
    </w:p>
  </w:footnote>
  <w:footnote w:id="1523">
    <w:p>
      <w:pPr>
        <w:pStyle w:val="FootnoteText"/>
      </w:pPr>
      <w:r>
        <w:rPr>
          <w:rStyle w:val="FootnoteReference"/>
        </w:rPr>
        <w:footnoteRef/>
      </w:r>
      <w:r>
        <w:t xml:space="preserve"> </w:t>
      </w:r>
      <w:r>
        <w:t xml:space="preserve">Guha 2013, PMID 23934394.</w:t>
      </w:r>
    </w:p>
  </w:footnote>
  <w:footnote w:id="1525">
    <w:p>
      <w:pPr>
        <w:pStyle w:val="FootnoteText"/>
      </w:pPr>
      <w:r>
        <w:rPr>
          <w:rStyle w:val="FootnoteReference"/>
        </w:rPr>
        <w:footnoteRef/>
      </w:r>
      <w:r>
        <w:t xml:space="preserve"> </w:t>
      </w:r>
      <w:r>
        <w:t xml:space="preserve">NCT00903110.</w:t>
      </w:r>
    </w:p>
  </w:footnote>
  <w:footnote w:id="1529">
    <w:p>
      <w:pPr>
        <w:pStyle w:val="FootnoteText"/>
      </w:pPr>
      <w:r>
        <w:rPr>
          <w:rStyle w:val="FootnoteReference"/>
        </w:rPr>
        <w:footnoteRef/>
      </w:r>
      <w:r>
        <w:t xml:space="preserve"> </w:t>
      </w:r>
      <w:r>
        <w:t xml:space="preserve">Bastian 1993, PMID 7693845; Tomas 1993, PMID 7683875.</w:t>
      </w:r>
    </w:p>
  </w:footnote>
  <w:footnote w:id="1531">
    <w:p>
      <w:pPr>
        <w:pStyle w:val="FootnoteText"/>
      </w:pPr>
      <w:r>
        <w:rPr>
          <w:rStyle w:val="FootnoteReference"/>
        </w:rPr>
        <w:footnoteRef/>
      </w:r>
      <w:r>
        <w:t xml:space="preserve"> </w:t>
      </w:r>
      <w:r>
        <w:t xml:space="preserve">Devi 2001, PMID 11735239.</w:t>
      </w:r>
    </w:p>
  </w:footnote>
  <w:footnote w:id="1532">
    <w:p>
      <w:pPr>
        <w:pStyle w:val="FootnoteText"/>
      </w:pPr>
      <w:r>
        <w:rPr>
          <w:rStyle w:val="FootnoteReference"/>
        </w:rPr>
        <w:footnoteRef/>
      </w:r>
      <w:r>
        <w:t xml:space="preserve"> </w:t>
      </w:r>
      <w:r>
        <w:t xml:space="preserve">Bastian 1993, PMID 7693845.</w:t>
      </w:r>
    </w:p>
  </w:footnote>
  <w:footnote w:id="1533">
    <w:p>
      <w:pPr>
        <w:pStyle w:val="FootnoteText"/>
      </w:pPr>
      <w:r>
        <w:rPr>
          <w:rStyle w:val="FootnoteReference"/>
        </w:rPr>
        <w:footnoteRef/>
      </w:r>
      <w:r>
        <w:t xml:space="preserve"> </w:t>
      </w:r>
      <w:r>
        <w:t xml:space="preserve">Tomas 1993, PMID 7683875.</w:t>
      </w:r>
    </w:p>
  </w:footnote>
  <w:footnote w:id="1535">
    <w:p>
      <w:pPr>
        <w:pStyle w:val="FootnoteText"/>
      </w:pPr>
      <w:r>
        <w:rPr>
          <w:rStyle w:val="FootnoteReference"/>
        </w:rPr>
        <w:footnoteRef/>
      </w:r>
      <w:r>
        <w:t xml:space="preserve"> </w:t>
      </w:r>
      <w:r>
        <w:t xml:space="preserve">Kohler 2010, PMID 20675162.</w:t>
      </w:r>
    </w:p>
  </w:footnote>
  <w:footnote w:id="1536">
    <w:p>
      <w:pPr>
        <w:pStyle w:val="FootnoteText"/>
      </w:pPr>
      <w:r>
        <w:rPr>
          <w:rStyle w:val="FootnoteReference"/>
        </w:rPr>
        <w:footnoteRef/>
      </w:r>
      <w:r>
        <w:t xml:space="preserve"> </w:t>
      </w:r>
      <w:r>
        <w:t xml:space="preserve">Mongongu 2021, PMID 33587816.</w:t>
      </w:r>
    </w:p>
  </w:footnote>
  <w:footnote w:id="1537">
    <w:p>
      <w:pPr>
        <w:pStyle w:val="FootnoteText"/>
      </w:pPr>
      <w:r>
        <w:rPr>
          <w:rStyle w:val="FootnoteReference"/>
        </w:rPr>
        <w:footnoteRef/>
      </w:r>
      <w:r>
        <w:t xml:space="preserve"> </w:t>
      </w:r>
      <w:r>
        <w:t xml:space="preserve">Guha 2013, PMID 23934394.</w:t>
      </w:r>
    </w:p>
  </w:footnote>
  <w:footnote w:id="1539">
    <w:p>
      <w:pPr>
        <w:pStyle w:val="FootnoteText"/>
      </w:pPr>
      <w:r>
        <w:rPr>
          <w:rStyle w:val="FootnoteReference"/>
        </w:rPr>
        <w:footnoteRef/>
      </w:r>
      <w:r>
        <w:t xml:space="preserve"> </w:t>
      </w:r>
      <w:r>
        <w:t xml:space="preserve">Bastian 1993, PMID 7693845.</w:t>
      </w:r>
    </w:p>
  </w:footnote>
  <w:footnote w:id="1540">
    <w:p>
      <w:pPr>
        <w:pStyle w:val="FootnoteText"/>
      </w:pPr>
      <w:r>
        <w:rPr>
          <w:rStyle w:val="FootnoteReference"/>
        </w:rPr>
        <w:footnoteRef/>
      </w:r>
      <w:r>
        <w:t xml:space="preserve"> </w:t>
      </w:r>
      <w:r>
        <w:t xml:space="preserve">Tomas 1993, PMID 7683875.</w:t>
      </w:r>
    </w:p>
  </w:footnote>
  <w:footnote w:id="1541">
    <w:p>
      <w:pPr>
        <w:pStyle w:val="FootnoteText"/>
      </w:pPr>
      <w:r>
        <w:rPr>
          <w:rStyle w:val="FootnoteReference"/>
        </w:rPr>
        <w:footnoteRef/>
      </w:r>
      <w:r>
        <w:t xml:space="preserve"> </w:t>
      </w:r>
      <w:r>
        <w:t xml:space="preserve">Dunaiski 1997, PMID 9488001.</w:t>
      </w:r>
    </w:p>
  </w:footnote>
  <w:footnote w:id="1542">
    <w:p>
      <w:pPr>
        <w:pStyle w:val="FootnoteText"/>
      </w:pPr>
      <w:r>
        <w:rPr>
          <w:rStyle w:val="FootnoteReference"/>
        </w:rPr>
        <w:footnoteRef/>
      </w:r>
      <w:r>
        <w:t xml:space="preserve"> </w:t>
      </w:r>
      <w:r>
        <w:t xml:space="preserve">Conlon 1995, PMID 7561636.</w:t>
      </w:r>
    </w:p>
  </w:footnote>
  <w:footnote w:id="1543">
    <w:p>
      <w:pPr>
        <w:pStyle w:val="FootnoteText"/>
      </w:pPr>
      <w:r>
        <w:rPr>
          <w:rStyle w:val="FootnoteReference"/>
        </w:rPr>
        <w:footnoteRef/>
      </w:r>
      <w:r>
        <w:t xml:space="preserve"> </w:t>
      </w:r>
      <w:r>
        <w:t xml:space="preserve">White 2023, PMID 37114757.</w:t>
      </w:r>
    </w:p>
  </w:footnote>
  <w:footnote w:id="1544">
    <w:p>
      <w:pPr>
        <w:pStyle w:val="FootnoteText"/>
      </w:pPr>
      <w:r>
        <w:rPr>
          <w:rStyle w:val="FootnoteReference"/>
        </w:rPr>
        <w:footnoteRef/>
      </w:r>
      <w:r>
        <w:t xml:space="preserve"> </w:t>
      </w:r>
      <w:r>
        <w:t xml:space="preserve">White 2025, PMID 39679943.</w:t>
      </w:r>
    </w:p>
  </w:footnote>
  <w:footnote w:id="1545">
    <w:p>
      <w:pPr>
        <w:pStyle w:val="FootnoteText"/>
      </w:pPr>
      <w:r>
        <w:rPr>
          <w:rStyle w:val="FootnoteReference"/>
        </w:rPr>
        <w:footnoteRef/>
      </w:r>
      <w:r>
        <w:t xml:space="preserve"> </w:t>
      </w:r>
      <w:r>
        <w:t xml:space="preserve">Engel 2025, PMID 39610283.</w:t>
      </w:r>
    </w:p>
  </w:footnote>
  <w:footnote w:id="1547">
    <w:p>
      <w:pPr>
        <w:pStyle w:val="FootnoteText"/>
      </w:pPr>
      <w:r>
        <w:rPr>
          <w:rStyle w:val="FootnoteReference"/>
        </w:rPr>
        <w:footnoteRef/>
      </w:r>
      <w:r>
        <w:t xml:space="preserve"> </w:t>
      </w:r>
      <w:r>
        <w:t xml:space="preserve">Chernausek 2007, PMID 17192294.</w:t>
      </w:r>
    </w:p>
  </w:footnote>
  <w:footnote w:id="1548">
    <w:p>
      <w:pPr>
        <w:pStyle w:val="FootnoteText"/>
      </w:pPr>
      <w:r>
        <w:rPr>
          <w:rStyle w:val="FootnoteReference"/>
        </w:rPr>
        <w:footnoteRef/>
      </w:r>
      <w:r>
        <w:t xml:space="preserve"> </w:t>
      </w:r>
      <w:r>
        <w:t xml:space="preserve">Dunaiski 1997, PMID 9488001; White 2023, PMID 37114757.</w:t>
      </w:r>
    </w:p>
  </w:footnote>
  <w:footnote w:id="1549">
    <w:p>
      <w:pPr>
        <w:pStyle w:val="FootnoteText"/>
      </w:pPr>
      <w:r>
        <w:rPr>
          <w:rStyle w:val="FootnoteReference"/>
        </w:rPr>
        <w:footnoteRef/>
      </w:r>
      <w:r>
        <w:t xml:space="preserve"> </w:t>
      </w:r>
      <w:r>
        <w:t xml:space="preserve">Conlon 1995, PMID 7561636.</w:t>
      </w:r>
    </w:p>
  </w:footnote>
  <w:footnote w:id="1550">
    <w:p>
      <w:pPr>
        <w:pStyle w:val="FootnoteText"/>
      </w:pPr>
      <w:r>
        <w:rPr>
          <w:rStyle w:val="FootnoteReference"/>
        </w:rPr>
        <w:footnoteRef/>
      </w:r>
      <w:r>
        <w:t xml:space="preserve"> </w:t>
      </w:r>
      <w:r>
        <w:t xml:space="preserve">Renehan 2004, PMID 15110491; Murphy 2020, PMID 32169310; Watts 2023, PMID 35726641.</w:t>
      </w:r>
    </w:p>
  </w:footnote>
  <w:footnote w:id="1551">
    <w:p>
      <w:pPr>
        <w:pStyle w:val="FootnoteText"/>
      </w:pPr>
      <w:r>
        <w:rPr>
          <w:rStyle w:val="FootnoteReference"/>
        </w:rPr>
        <w:footnoteRef/>
      </w:r>
      <w:r>
        <w:t xml:space="preserve"> </w:t>
      </w:r>
      <w:r>
        <w:t xml:space="preserve">Guevara-Aguirre 2011, PMID 21325617.</w:t>
      </w:r>
    </w:p>
  </w:footnote>
  <w:footnote w:id="1552">
    <w:p>
      <w:pPr>
        <w:pStyle w:val="FootnoteText"/>
      </w:pPr>
      <w:r>
        <w:rPr>
          <w:rStyle w:val="FootnoteReference"/>
        </w:rPr>
        <w:footnoteRef/>
      </w:r>
      <w:r>
        <w:t xml:space="preserve"> </w:t>
      </w:r>
      <w:r>
        <w:t xml:space="preserve">Kohler 2010, PMID 20675162; Mongongu 2021, PMID 33587816.</w:t>
      </w:r>
    </w:p>
  </w:footnote>
  <w:footnote w:id="1554">
    <w:p>
      <w:pPr>
        <w:pStyle w:val="FootnoteText"/>
      </w:pPr>
      <w:r>
        <w:rPr>
          <w:rStyle w:val="FootnoteReference"/>
        </w:rPr>
        <w:footnoteRef/>
      </w:r>
      <w:r>
        <w:t xml:space="preserve"> </w:t>
      </w:r>
      <w:r>
        <w:t xml:space="preserve">Mongongu 2021, PMID 33587816.</w:t>
      </w:r>
    </w:p>
  </w:footnote>
  <w:footnote w:id="1559">
    <w:p>
      <w:pPr>
        <w:pStyle w:val="FootnoteText"/>
      </w:pPr>
      <w:r>
        <w:rPr>
          <w:rStyle w:val="FootnoteReference"/>
        </w:rPr>
        <w:footnoteRef/>
      </w:r>
      <w:r>
        <w:t xml:space="preserve"> </w:t>
      </w:r>
      <w:r>
        <w:t xml:space="preserve">Bright 2022, PMID 35354138.</w:t>
      </w:r>
    </w:p>
  </w:footnote>
  <w:footnote w:id="1561">
    <w:p>
      <w:pPr>
        <w:pStyle w:val="FootnoteText"/>
      </w:pPr>
      <w:r>
        <w:rPr>
          <w:rStyle w:val="FootnoteReference"/>
        </w:rPr>
        <w:footnoteRef/>
      </w:r>
      <w:r>
        <w:t xml:space="preserve"> </w:t>
      </w:r>
      <w:r>
        <w:t xml:space="preserve">Chapman 1996, PMID 8954023.</w:t>
      </w:r>
    </w:p>
  </w:footnote>
  <w:footnote w:id="1563">
    <w:p>
      <w:pPr>
        <w:pStyle w:val="FootnoteText"/>
      </w:pPr>
      <w:r>
        <w:rPr>
          <w:rStyle w:val="FootnoteReference"/>
        </w:rPr>
        <w:footnoteRef/>
      </w:r>
      <w:r>
        <w:t xml:space="preserve"> </w:t>
      </w:r>
      <w:r>
        <w:t xml:space="preserve">Nass 2008, PMID 18981485.</w:t>
      </w:r>
    </w:p>
  </w:footnote>
  <w:footnote w:id="1565">
    <w:p>
      <w:pPr>
        <w:pStyle w:val="FootnoteText"/>
      </w:pPr>
      <w:r>
        <w:rPr>
          <w:rStyle w:val="FootnoteReference"/>
        </w:rPr>
        <w:footnoteRef/>
      </w:r>
      <w:r>
        <w:t xml:space="preserve"> </w:t>
      </w:r>
      <w:r>
        <w:t xml:space="preserve">Bach 2004, PMID 15066065.</w:t>
      </w:r>
    </w:p>
  </w:footnote>
  <w:footnote w:id="1566">
    <w:p>
      <w:pPr>
        <w:pStyle w:val="FootnoteText"/>
      </w:pPr>
      <w:r>
        <w:rPr>
          <w:rStyle w:val="FootnoteReference"/>
        </w:rPr>
        <w:footnoteRef/>
      </w:r>
      <w:r>
        <w:t xml:space="preserve"> </w:t>
      </w:r>
      <w:r>
        <w:t xml:space="preserve">Adunsky 2011, PMID 21067829.</w:t>
      </w:r>
    </w:p>
  </w:footnote>
  <w:footnote w:id="1568">
    <w:p>
      <w:pPr>
        <w:pStyle w:val="FootnoteText"/>
      </w:pPr>
      <w:r>
        <w:rPr>
          <w:rStyle w:val="FootnoteReference"/>
        </w:rPr>
        <w:footnoteRef/>
      </w:r>
      <w:r>
        <w:t xml:space="preserve"> </w:t>
      </w:r>
      <w:r>
        <w:t xml:space="preserve">Sevigny 2008, PMID 19015485.</w:t>
      </w:r>
    </w:p>
  </w:footnote>
  <w:footnote w:id="1570">
    <w:p>
      <w:pPr>
        <w:pStyle w:val="FootnoteText"/>
      </w:pPr>
      <w:r>
        <w:rPr>
          <w:rStyle w:val="FootnoteReference"/>
        </w:rPr>
        <w:footnoteRef/>
      </w:r>
      <w:r>
        <w:t xml:space="preserve"> </w:t>
      </w:r>
      <w:r>
        <w:t xml:space="preserve">Svensson 1998, PMID 9467542.</w:t>
      </w:r>
    </w:p>
  </w:footnote>
  <w:footnote w:id="1571">
    <w:p>
      <w:pPr>
        <w:pStyle w:val="FootnoteText"/>
      </w:pPr>
      <w:r>
        <w:rPr>
          <w:rStyle w:val="FootnoteReference"/>
        </w:rPr>
        <w:footnoteRef/>
      </w:r>
      <w:r>
        <w:t xml:space="preserve"> </w:t>
      </w:r>
      <w:r>
        <w:t xml:space="preserve">Murphy 2001, PMID 11238495.</w:t>
      </w:r>
    </w:p>
  </w:footnote>
  <w:footnote w:id="1572">
    <w:p>
      <w:pPr>
        <w:pStyle w:val="FootnoteText"/>
      </w:pPr>
      <w:r>
        <w:rPr>
          <w:rStyle w:val="FootnoteReference"/>
        </w:rPr>
        <w:footnoteRef/>
      </w:r>
      <w:r>
        <w:t xml:space="preserve"> </w:t>
      </w:r>
      <w:r>
        <w:t xml:space="preserve">Copinschi 1997, PMID 9349662.</w:t>
      </w:r>
    </w:p>
  </w:footnote>
  <w:footnote w:id="1573">
    <w:p>
      <w:pPr>
        <w:pStyle w:val="FootnoteText"/>
      </w:pPr>
      <w:r>
        <w:rPr>
          <w:rStyle w:val="FootnoteReference"/>
        </w:rPr>
        <w:footnoteRef/>
      </w:r>
      <w:r>
        <w:t xml:space="preserve"> </w:t>
      </w:r>
      <w:r>
        <w:t xml:space="preserve">Campbell 2018, PMID 28340044.</w:t>
      </w:r>
    </w:p>
  </w:footnote>
  <w:footnote w:id="1574">
    <w:p>
      <w:pPr>
        <w:pStyle w:val="FootnoteText"/>
      </w:pPr>
      <w:r>
        <w:rPr>
          <w:rStyle w:val="FootnoteReference"/>
        </w:rPr>
        <w:footnoteRef/>
      </w:r>
      <w:r>
        <w:t xml:space="preserve"> </w:t>
      </w:r>
      <w:r>
        <w:t xml:space="preserve">Codner 2001, PMID 11452249.</w:t>
      </w:r>
    </w:p>
  </w:footnote>
  <w:footnote w:id="1575">
    <w:p>
      <w:pPr>
        <w:pStyle w:val="FootnoteText"/>
      </w:pPr>
      <w:r>
        <w:rPr>
          <w:rStyle w:val="FootnoteReference"/>
        </w:rPr>
        <w:footnoteRef/>
      </w:r>
      <w:r>
        <w:t xml:space="preserve"> </w:t>
      </w:r>
      <w:r>
        <w:t xml:space="preserve">Bright 2022, PMID 35354138.</w:t>
      </w:r>
    </w:p>
  </w:footnote>
  <w:footnote w:id="1578">
    <w:p>
      <w:pPr>
        <w:pStyle w:val="FootnoteText"/>
      </w:pPr>
      <w:r>
        <w:rPr>
          <w:rStyle w:val="FootnoteReference"/>
        </w:rPr>
        <w:footnoteRef/>
      </w:r>
      <w:r>
        <w:t xml:space="preserve"> </w:t>
      </w:r>
      <w:r>
        <w:t xml:space="preserve">Jeong 2018, PMID 29912176.</w:t>
      </w:r>
    </w:p>
  </w:footnote>
  <w:footnote w:id="1579">
    <w:p>
      <w:pPr>
        <w:pStyle w:val="FootnoteText"/>
      </w:pPr>
      <w:r>
        <w:rPr>
          <w:rStyle w:val="FootnoteReference"/>
        </w:rPr>
        <w:footnoteRef/>
      </w:r>
      <w:r>
        <w:t xml:space="preserve"> </w:t>
      </w:r>
      <w:r>
        <w:t xml:space="preserve">Liu 2021, PMID 34737341.</w:t>
      </w:r>
    </w:p>
  </w:footnote>
  <w:footnote w:id="1581">
    <w:p>
      <w:pPr>
        <w:pStyle w:val="FootnoteText"/>
      </w:pPr>
      <w:r>
        <w:rPr>
          <w:rStyle w:val="FootnoteReference"/>
        </w:rPr>
        <w:footnoteRef/>
      </w:r>
      <w:r>
        <w:t xml:space="preserve"> </w:t>
      </w:r>
      <w:r>
        <w:t xml:space="preserve">Adunsky 2011, PMID 21067829.</w:t>
      </w:r>
    </w:p>
  </w:footnote>
  <w:footnote w:id="1582">
    <w:p>
      <w:pPr>
        <w:pStyle w:val="FootnoteText"/>
      </w:pPr>
      <w:r>
        <w:rPr>
          <w:rStyle w:val="FootnoteReference"/>
        </w:rPr>
        <w:footnoteRef/>
      </w:r>
      <w:r>
        <w:t xml:space="preserve"> </w:t>
      </w:r>
      <w:r>
        <w:t xml:space="preserve">Nass 2008, PMID 18981485; Chapman 1996, PMID 8954023.</w:t>
      </w:r>
    </w:p>
  </w:footnote>
  <w:footnote w:id="1583">
    <w:p>
      <w:pPr>
        <w:pStyle w:val="FootnoteText"/>
      </w:pPr>
      <w:r>
        <w:rPr>
          <w:rStyle w:val="FootnoteReference"/>
        </w:rPr>
        <w:footnoteRef/>
      </w:r>
      <w:r>
        <w:t xml:space="preserve"> </w:t>
      </w:r>
      <w:r>
        <w:t xml:space="preserve">Svensson 1998, PMID 9467542.</w:t>
      </w:r>
    </w:p>
  </w:footnote>
  <w:footnote w:id="1584">
    <w:p>
      <w:pPr>
        <w:pStyle w:val="FootnoteText"/>
      </w:pPr>
      <w:r>
        <w:rPr>
          <w:rStyle w:val="FootnoteReference"/>
        </w:rPr>
        <w:footnoteRef/>
      </w:r>
      <w:r>
        <w:t xml:space="preserve"> </w:t>
      </w:r>
      <w:r>
        <w:t xml:space="preserve">Nass 2008, PMID 18981485.</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Cobani 2025, PMID 40675653.</w:t>
      </w:r>
    </w:p>
  </w:footnote>
  <w:footnote w:id="1587">
    <w:p>
      <w:pPr>
        <w:pStyle w:val="FootnoteText"/>
      </w:pPr>
      <w:r>
        <w:rPr>
          <w:rStyle w:val="FootnoteReference"/>
        </w:rPr>
        <w:footnoteRef/>
      </w:r>
      <w:r>
        <w:t xml:space="preserve"> </w:t>
      </w:r>
      <w:r>
        <w:t xml:space="preserve">Chong 2024, PMID 39145153.</w:t>
      </w:r>
    </w:p>
  </w:footnote>
  <w:footnote w:id="1588">
    <w:p>
      <w:pPr>
        <w:pStyle w:val="FootnoteText"/>
      </w:pPr>
      <w:r>
        <w:rPr>
          <w:rStyle w:val="FootnoteReference"/>
        </w:rPr>
        <w:footnoteRef/>
      </w:r>
      <w:r>
        <w:t xml:space="preserve"> </w:t>
      </w:r>
      <w:r>
        <w:t xml:space="preserve">Sigalos 2018, PMID 28400207.</w:t>
      </w:r>
    </w:p>
  </w:footnote>
  <w:footnote w:id="1589">
    <w:p>
      <w:pPr>
        <w:pStyle w:val="FootnoteText"/>
      </w:pPr>
      <w:r>
        <w:rPr>
          <w:rStyle w:val="FootnoteReference"/>
        </w:rPr>
        <w:footnoteRef/>
      </w:r>
      <w:r>
        <w:t xml:space="preserve"> </w:t>
      </w:r>
      <w:r>
        <w:t xml:space="preserve">Van Wagoner 2017, PMID 29183075.</w:t>
      </w:r>
    </w:p>
  </w:footnote>
  <w:footnote w:id="1590">
    <w:p>
      <w:pPr>
        <w:pStyle w:val="FootnoteText"/>
      </w:pPr>
      <w:r>
        <w:rPr>
          <w:rStyle w:val="FootnoteReference"/>
        </w:rPr>
        <w:footnoteRef/>
      </w:r>
      <w:r>
        <w:t xml:space="preserve"> </w:t>
      </w:r>
      <w:r>
        <w:t xml:space="preserve">Barrios 2025, PMID 40551438.</w:t>
      </w:r>
    </w:p>
  </w:footnote>
  <w:footnote w:id="1592">
    <w:p>
      <w:pPr>
        <w:pStyle w:val="FootnoteText"/>
      </w:pPr>
      <w:r>
        <w:rPr>
          <w:rStyle w:val="FootnoteReference"/>
        </w:rPr>
        <w:footnoteRef/>
      </w:r>
      <w:r>
        <w:t xml:space="preserve"> </w:t>
      </w:r>
      <w:r>
        <w:t xml:space="preserve">Viljanto 2023, PMID 36354265.</w:t>
      </w:r>
    </w:p>
  </w:footnote>
  <w:footnote w:id="1594">
    <w:p>
      <w:pPr>
        <w:pStyle w:val="FootnoteText"/>
      </w:pPr>
      <w:r>
        <w:rPr>
          <w:rStyle w:val="FootnoteReference"/>
        </w:rPr>
        <w:footnoteRef/>
      </w:r>
      <w:r>
        <w:t xml:space="preserve"> </w:t>
      </w:r>
      <w:r>
        <w:t xml:space="preserve">NCT04614337.</w:t>
      </w:r>
    </w:p>
  </w:footnote>
  <w:footnote w:id="1595">
    <w:p>
      <w:pPr>
        <w:pStyle w:val="FootnoteText"/>
      </w:pPr>
      <w:r>
        <w:rPr>
          <w:rStyle w:val="FootnoteReference"/>
        </w:rPr>
        <w:footnoteRef/>
      </w:r>
      <w:r>
        <w:t xml:space="preserve"> </w:t>
      </w:r>
      <w:r>
        <w:t xml:space="preserve">NCT06948214.</w:t>
      </w:r>
    </w:p>
  </w:footnote>
  <w:footnote w:id="1596">
    <w:p>
      <w:pPr>
        <w:pStyle w:val="FootnoteText"/>
      </w:pPr>
      <w:r>
        <w:rPr>
          <w:rStyle w:val="FootnoteReference"/>
        </w:rPr>
        <w:footnoteRef/>
      </w:r>
      <w:r>
        <w:t xml:space="preserve"> </w:t>
      </w:r>
      <w:r>
        <w:t xml:space="preserve">NCT07129759.</w:t>
      </w:r>
    </w:p>
  </w:footnote>
  <w:footnote w:id="1597">
    <w:p>
      <w:pPr>
        <w:pStyle w:val="FootnoteText"/>
      </w:pPr>
      <w:r>
        <w:rPr>
          <w:rStyle w:val="FootnoteReference"/>
        </w:rPr>
        <w:footnoteRef/>
      </w:r>
      <w:r>
        <w:t xml:space="preserve"> </w:t>
      </w:r>
      <w:r>
        <w:t xml:space="preserve">NCT07754045.</w:t>
      </w:r>
    </w:p>
  </w:footnote>
  <w:footnote w:id="1608">
    <w:p>
      <w:pPr>
        <w:pStyle w:val="FootnoteText"/>
      </w:pPr>
      <w:r>
        <w:rPr>
          <w:rStyle w:val="FootnoteReference"/>
        </w:rPr>
        <w:footnoteRef/>
      </w:r>
      <w:r>
        <w:t xml:space="preserve"> </w:t>
      </w:r>
      <w:r>
        <w:t xml:space="preserve">Dolotov 2006, PMID 16635254.</w:t>
      </w:r>
    </w:p>
  </w:footnote>
  <w:footnote w:id="1609">
    <w:p>
      <w:pPr>
        <w:pStyle w:val="FootnoteText"/>
      </w:pPr>
      <w:r>
        <w:rPr>
          <w:rStyle w:val="FootnoteReference"/>
        </w:rPr>
        <w:footnoteRef/>
      </w:r>
      <w:r>
        <w:t xml:space="preserve"> </w:t>
      </w:r>
      <w:r>
        <w:t xml:space="preserve">Medvedeva 2014, PMID 24661604.</w:t>
      </w:r>
    </w:p>
  </w:footnote>
  <w:footnote w:id="1611">
    <w:p>
      <w:pPr>
        <w:pStyle w:val="FootnoteText"/>
      </w:pPr>
      <w:r>
        <w:rPr>
          <w:rStyle w:val="FootnoteReference"/>
        </w:rPr>
        <w:footnoteRef/>
      </w:r>
      <w:r>
        <w:t xml:space="preserve"> </w:t>
      </w:r>
      <w:r>
        <w:t xml:space="preserve">Gusev 1997, PMID 11517472.</w:t>
      </w:r>
    </w:p>
  </w:footnote>
  <w:footnote w:id="1612">
    <w:p>
      <w:pPr>
        <w:pStyle w:val="FootnoteText"/>
      </w:pPr>
      <w:r>
        <w:rPr>
          <w:rStyle w:val="FootnoteReference"/>
        </w:rPr>
        <w:footnoteRef/>
      </w:r>
      <w:r>
        <w:t xml:space="preserve"> </w:t>
      </w:r>
      <w:r>
        <w:t xml:space="preserve">Miasoedova 1999, PMID 10358912.</w:t>
      </w:r>
    </w:p>
  </w:footnote>
  <w:footnote w:id="1613">
    <w:p>
      <w:pPr>
        <w:pStyle w:val="FootnoteText"/>
      </w:pPr>
      <w:r>
        <w:rPr>
          <w:rStyle w:val="FootnoteReference"/>
        </w:rPr>
        <w:footnoteRef/>
      </w:r>
      <w:r>
        <w:t xml:space="preserve"> </w:t>
      </w:r>
      <w:r>
        <w:t xml:space="preserve">Gusev 2018, PMID 29798983.</w:t>
      </w:r>
    </w:p>
  </w:footnote>
  <w:footnote w:id="1615">
    <w:p>
      <w:pPr>
        <w:pStyle w:val="FootnoteText"/>
      </w:pPr>
      <w:r>
        <w:rPr>
          <w:rStyle w:val="FootnoteReference"/>
        </w:rPr>
        <w:footnoteRef/>
      </w:r>
      <w:r>
        <w:t xml:space="preserve"> </w:t>
      </w:r>
      <w:r>
        <w:t xml:space="preserve">Serdiuk 2007, PMID 18379501.</w:t>
      </w:r>
    </w:p>
  </w:footnote>
  <w:footnote w:id="1616">
    <w:p>
      <w:pPr>
        <w:pStyle w:val="FootnoteText"/>
      </w:pPr>
      <w:r>
        <w:rPr>
          <w:rStyle w:val="FootnoteReference"/>
        </w:rPr>
        <w:footnoteRef/>
      </w:r>
      <w:r>
        <w:t xml:space="preserve"> </w:t>
      </w:r>
      <w:r>
        <w:t xml:space="preserve">Polunin 2000, PMID 10741256.</w:t>
      </w:r>
    </w:p>
  </w:footnote>
  <w:footnote w:id="1617">
    <w:p>
      <w:pPr>
        <w:pStyle w:val="FootnoteText"/>
      </w:pPr>
      <w:r>
        <w:rPr>
          <w:rStyle w:val="FootnoteReference"/>
        </w:rPr>
        <w:footnoteRef/>
      </w:r>
      <w:r>
        <w:t xml:space="preserve"> </w:t>
      </w:r>
      <w:r>
        <w:t xml:space="preserve">Alekseeva 1999, PMID 10199046.</w:t>
      </w:r>
    </w:p>
  </w:footnote>
  <w:footnote w:id="1618">
    <w:p>
      <w:pPr>
        <w:pStyle w:val="FootnoteText"/>
      </w:pPr>
      <w:r>
        <w:rPr>
          <w:rStyle w:val="FootnoteReference"/>
        </w:rPr>
        <w:footnoteRef/>
      </w:r>
      <w:r>
        <w:t xml:space="preserve"> </w:t>
      </w:r>
      <w:r>
        <w:t xml:space="preserve">Ivanikov 2002, PMID 12459874.</w:t>
      </w:r>
    </w:p>
  </w:footnote>
  <w:footnote w:id="1620">
    <w:p>
      <w:pPr>
        <w:pStyle w:val="FootnoteText"/>
      </w:pPr>
      <w:r>
        <w:rPr>
          <w:rStyle w:val="FootnoteReference"/>
        </w:rPr>
        <w:footnoteRef/>
      </w:r>
      <w:r>
        <w:t xml:space="preserve"> </w:t>
      </w:r>
      <w:r>
        <w:t xml:space="preserve">Asmarin 1997, PMID 9173745.</w:t>
      </w:r>
    </w:p>
  </w:footnote>
  <w:footnote w:id="1623">
    <w:p>
      <w:pPr>
        <w:pStyle w:val="FootnoteText"/>
      </w:pPr>
      <w:r>
        <w:rPr>
          <w:rStyle w:val="FootnoteReference"/>
        </w:rPr>
        <w:footnoteRef/>
      </w:r>
      <w:r>
        <w:t xml:space="preserve"> </w:t>
      </w:r>
      <w:r>
        <w:t xml:space="preserve">Medvedeva 2014, PMID 24661604.</w:t>
      </w:r>
    </w:p>
  </w:footnote>
  <w:footnote w:id="1624">
    <w:p>
      <w:pPr>
        <w:pStyle w:val="FootnoteText"/>
      </w:pPr>
      <w:r>
        <w:rPr>
          <w:rStyle w:val="FootnoteReference"/>
        </w:rPr>
        <w:footnoteRef/>
      </w:r>
      <w:r>
        <w:t xml:space="preserve"> </w:t>
      </w:r>
      <w:r>
        <w:t xml:space="preserve">Levitskaya 2004, PMID 15341218.</w:t>
      </w:r>
    </w:p>
  </w:footnote>
  <w:footnote w:id="1625">
    <w:p>
      <w:pPr>
        <w:pStyle w:val="FootnoteText"/>
      </w:pPr>
      <w:r>
        <w:rPr>
          <w:rStyle w:val="FootnoteReference"/>
        </w:rPr>
        <w:footnoteRef/>
      </w:r>
      <w:r>
        <w:t xml:space="preserve"> </w:t>
      </w:r>
      <w:r>
        <w:t xml:space="preserve">Radchenko 2025, PMID 41479572.</w:t>
      </w:r>
    </w:p>
  </w:footnote>
  <w:footnote w:id="1626">
    <w:p>
      <w:pPr>
        <w:pStyle w:val="FootnoteText"/>
      </w:pPr>
      <w:r>
        <w:rPr>
          <w:rStyle w:val="FootnoteReference"/>
        </w:rPr>
        <w:footnoteRef/>
      </w:r>
      <w:r>
        <w:t xml:space="preserve"> </w:t>
      </w:r>
      <w:r>
        <w:t xml:space="preserve">Tomasello 2025, PMID 40496623.</w:t>
      </w:r>
    </w:p>
  </w:footnote>
  <w:footnote w:id="1628">
    <w:p>
      <w:pPr>
        <w:pStyle w:val="FootnoteText"/>
      </w:pPr>
      <w:r>
        <w:rPr>
          <w:rStyle w:val="FootnoteReference"/>
        </w:rPr>
        <w:footnoteRef/>
      </w:r>
      <w:r>
        <w:t xml:space="preserve"> </w:t>
      </w:r>
      <w:r>
        <w:t xml:space="preserve">Gusev 2005, PMID 15792140.</w:t>
      </w:r>
    </w:p>
  </w:footnote>
  <w:footnote w:id="1629">
    <w:p>
      <w:pPr>
        <w:pStyle w:val="FootnoteText"/>
      </w:pPr>
      <w:r>
        <w:rPr>
          <w:rStyle w:val="FootnoteReference"/>
        </w:rPr>
        <w:footnoteRef/>
      </w:r>
      <w:r>
        <w:t xml:space="preserve"> </w:t>
      </w:r>
      <w:r>
        <w:t xml:space="preserve">Alekseeva 1999, PMID 10199046.</w:t>
      </w:r>
    </w:p>
  </w:footnote>
  <w:footnote w:id="1630">
    <w:p>
      <w:pPr>
        <w:pStyle w:val="FootnoteText"/>
      </w:pPr>
      <w:r>
        <w:rPr>
          <w:rStyle w:val="FootnoteReference"/>
        </w:rPr>
        <w:footnoteRef/>
      </w:r>
      <w:r>
        <w:t xml:space="preserve"> </w:t>
      </w:r>
      <w:r>
        <w:t xml:space="preserve">Vanhee 2020, PMID 31667971.</w:t>
      </w:r>
    </w:p>
  </w:footnote>
  <w:footnote w:id="1637">
    <w:p>
      <w:pPr>
        <w:pStyle w:val="FootnoteText"/>
      </w:pPr>
      <w:r>
        <w:rPr>
          <w:rStyle w:val="FootnoteReference"/>
        </w:rPr>
        <w:footnoteRef/>
      </w:r>
      <w:r>
        <w:t xml:space="preserve"> </w:t>
      </w:r>
      <w:r>
        <w:t xml:space="preserve">Zozulya 2001, PMID 11550013.</w:t>
      </w:r>
    </w:p>
  </w:footnote>
  <w:footnote w:id="1638">
    <w:p>
      <w:pPr>
        <w:pStyle w:val="FootnoteText"/>
      </w:pPr>
      <w:r>
        <w:rPr>
          <w:rStyle w:val="FootnoteReference"/>
        </w:rPr>
        <w:footnoteRef/>
      </w:r>
      <w:r>
        <w:t xml:space="preserve"> </w:t>
      </w:r>
      <w:r>
        <w:t xml:space="preserve">Volkova 2016, PMID 26924987.</w:t>
      </w:r>
    </w:p>
  </w:footnote>
  <w:footnote w:id="1639">
    <w:p>
      <w:pPr>
        <w:pStyle w:val="FootnoteText"/>
      </w:pPr>
      <w:r>
        <w:rPr>
          <w:rStyle w:val="FootnoteReference"/>
        </w:rPr>
        <w:footnoteRef/>
      </w:r>
      <w:r>
        <w:t xml:space="preserve"> </w:t>
      </w:r>
      <w:r>
        <w:t xml:space="preserve">Ershov 2009, PMID 19882898.</w:t>
      </w:r>
    </w:p>
  </w:footnote>
  <w:footnote w:id="1641">
    <w:p>
      <w:pPr>
        <w:pStyle w:val="FootnoteText"/>
      </w:pPr>
      <w:r>
        <w:rPr>
          <w:rStyle w:val="FootnoteReference"/>
        </w:rPr>
        <w:footnoteRef/>
      </w:r>
      <w:r>
        <w:t xml:space="preserve"> </w:t>
      </w:r>
      <w:r>
        <w:t xml:space="preserve">Zozulia 2008, PMID 18454096.</w:t>
      </w:r>
    </w:p>
  </w:footnote>
  <w:footnote w:id="1642">
    <w:p>
      <w:pPr>
        <w:pStyle w:val="FootnoteText"/>
      </w:pPr>
      <w:r>
        <w:rPr>
          <w:rStyle w:val="FootnoteReference"/>
        </w:rPr>
        <w:footnoteRef/>
      </w:r>
      <w:r>
        <w:t xml:space="preserve"> </w:t>
      </w:r>
      <w:r>
        <w:t xml:space="preserve">Medvedev 2014, PMID 25176261.</w:t>
      </w:r>
    </w:p>
  </w:footnote>
  <w:footnote w:id="1643">
    <w:p>
      <w:pPr>
        <w:pStyle w:val="FootnoteText"/>
      </w:pPr>
      <w:r>
        <w:rPr>
          <w:rStyle w:val="FootnoteReference"/>
        </w:rPr>
        <w:footnoteRef/>
      </w:r>
      <w:r>
        <w:t xml:space="preserve"> </w:t>
      </w:r>
      <w:r>
        <w:t xml:space="preserve">Medvedev 2015, PMID 26356395.</w:t>
      </w:r>
    </w:p>
  </w:footnote>
  <w:footnote w:id="1645">
    <w:p>
      <w:pPr>
        <w:pStyle w:val="FootnoteText"/>
      </w:pPr>
      <w:r>
        <w:rPr>
          <w:rStyle w:val="FootnoteReference"/>
        </w:rPr>
        <w:footnoteRef/>
      </w:r>
      <w:r>
        <w:t xml:space="preserve"> </w:t>
      </w:r>
      <w:r>
        <w:t xml:space="preserve">Uchakina 2008, PMID 18577961.</w:t>
      </w:r>
    </w:p>
  </w:footnote>
  <w:footnote w:id="1646">
    <w:p>
      <w:pPr>
        <w:pStyle w:val="FootnoteText"/>
      </w:pPr>
      <w:r>
        <w:rPr>
          <w:rStyle w:val="FootnoteReference"/>
        </w:rPr>
        <w:footnoteRef/>
      </w:r>
      <w:r>
        <w:t xml:space="preserve"> </w:t>
      </w:r>
      <w:r>
        <w:t xml:space="preserve">Panikratova 2020, PMID 32342318.</w:t>
      </w:r>
    </w:p>
  </w:footnote>
  <w:footnote w:id="1649">
    <w:p>
      <w:pPr>
        <w:pStyle w:val="FootnoteText"/>
      </w:pPr>
      <w:r>
        <w:rPr>
          <w:rStyle w:val="FootnoteReference"/>
        </w:rPr>
        <w:footnoteRef/>
      </w:r>
      <w:r>
        <w:t xml:space="preserve"> </w:t>
      </w:r>
      <w:r>
        <w:t xml:space="preserve">Kolik 2019, PMID 31625062.</w:t>
      </w:r>
    </w:p>
  </w:footnote>
  <w:footnote w:id="1650">
    <w:p>
      <w:pPr>
        <w:pStyle w:val="FootnoteText"/>
      </w:pPr>
      <w:r>
        <w:rPr>
          <w:rStyle w:val="FootnoteReference"/>
        </w:rPr>
        <w:footnoteRef/>
      </w:r>
      <w:r>
        <w:t xml:space="preserve"> </w:t>
      </w:r>
      <w:r>
        <w:t xml:space="preserve">Volkova 2016, PMID 26924987.</w:t>
      </w:r>
    </w:p>
  </w:footnote>
  <w:footnote w:id="1651">
    <w:p>
      <w:pPr>
        <w:pStyle w:val="FootnoteText"/>
      </w:pPr>
      <w:r>
        <w:rPr>
          <w:rStyle w:val="FootnoteReference"/>
        </w:rPr>
        <w:footnoteRef/>
      </w:r>
      <w:r>
        <w:t xml:space="preserve"> </w:t>
      </w:r>
      <w:r>
        <w:t xml:space="preserve">Ershov 2009, PMID 19882898.</w:t>
      </w:r>
    </w:p>
  </w:footnote>
  <w:footnote w:id="1653">
    <w:p>
      <w:pPr>
        <w:pStyle w:val="FootnoteText"/>
      </w:pPr>
      <w:r>
        <w:rPr>
          <w:rStyle w:val="FootnoteReference"/>
        </w:rPr>
        <w:footnoteRef/>
      </w:r>
      <w:r>
        <w:t xml:space="preserve"> </w:t>
      </w:r>
      <w:r>
        <w:t xml:space="preserve">Vanhee 2020, PMID 31667971.</w:t>
      </w:r>
    </w:p>
  </w:footnote>
  <w:footnote w:id="1661">
    <w:p>
      <w:pPr>
        <w:pStyle w:val="FootnoteText"/>
      </w:pPr>
      <w:r>
        <w:rPr>
          <w:rStyle w:val="FootnoteReference"/>
        </w:rPr>
        <w:footnoteRef/>
      </w:r>
      <w:r>
        <w:t xml:space="preserve"> </w:t>
      </w:r>
      <w:r>
        <w:t xml:space="preserve">Hong 2009, PMID 19765131.</w:t>
      </w:r>
    </w:p>
  </w:footnote>
  <w:footnote w:id="1662">
    <w:p>
      <w:pPr>
        <w:pStyle w:val="FootnoteText"/>
      </w:pPr>
      <w:r>
        <w:rPr>
          <w:rStyle w:val="FootnoteReference"/>
        </w:rPr>
        <w:footnoteRef/>
      </w:r>
      <w:r>
        <w:t xml:space="preserve"> </w:t>
      </w:r>
      <w:r>
        <w:t xml:space="preserve">NCT00868283.</w:t>
      </w:r>
    </w:p>
  </w:footnote>
  <w:footnote w:id="1663">
    <w:p>
      <w:pPr>
        <w:pStyle w:val="FootnoteText"/>
      </w:pPr>
      <w:r>
        <w:rPr>
          <w:rStyle w:val="FootnoteReference"/>
        </w:rPr>
        <w:footnoteRef/>
      </w:r>
      <w:r>
        <w:t xml:space="preserve"> </w:t>
      </w:r>
      <w:r>
        <w:t xml:space="preserve">Heiss 2012, PMID 22282884.</w:t>
      </w:r>
    </w:p>
  </w:footnote>
  <w:footnote w:id="1664">
    <w:p>
      <w:pPr>
        <w:pStyle w:val="FootnoteText"/>
      </w:pPr>
      <w:r>
        <w:rPr>
          <w:rStyle w:val="FootnoteReference"/>
        </w:rPr>
        <w:footnoteRef/>
      </w:r>
      <w:r>
        <w:t xml:space="preserve"> </w:t>
      </w:r>
      <w:r>
        <w:t xml:space="preserve">Lang 2013, PMID 23009193.</w:t>
      </w:r>
    </w:p>
  </w:footnote>
  <w:footnote w:id="1665">
    <w:p>
      <w:pPr>
        <w:pStyle w:val="FootnoteText"/>
      </w:pPr>
      <w:r>
        <w:rPr>
          <w:rStyle w:val="FootnoteReference"/>
        </w:rPr>
        <w:footnoteRef/>
      </w:r>
      <w:r>
        <w:t xml:space="preserve"> </w:t>
      </w:r>
      <w:r>
        <w:t xml:space="preserve">Khasanova 2023, PMID 36973684.</w:t>
      </w:r>
    </w:p>
  </w:footnote>
  <w:footnote w:id="1666">
    <w:p>
      <w:pPr>
        <w:pStyle w:val="FootnoteText"/>
      </w:pPr>
      <w:r>
        <w:rPr>
          <w:rStyle w:val="FootnoteReference"/>
        </w:rPr>
        <w:footnoteRef/>
      </w:r>
      <w:r>
        <w:t xml:space="preserve"> </w:t>
      </w:r>
      <w:r>
        <w:t xml:space="preserve">Staszewski 2025, PMID 40325343.</w:t>
      </w:r>
    </w:p>
  </w:footnote>
  <w:footnote w:id="1668">
    <w:p>
      <w:pPr>
        <w:pStyle w:val="FootnoteText"/>
      </w:pPr>
      <w:r>
        <w:rPr>
          <w:rStyle w:val="FootnoteReference"/>
        </w:rPr>
        <w:footnoteRef/>
      </w:r>
      <w:r>
        <w:t xml:space="preserve"> </w:t>
      </w:r>
      <w:r>
        <w:t xml:space="preserve">Muresanu 2016, PMID 26564102.</w:t>
      </w:r>
    </w:p>
  </w:footnote>
  <w:footnote w:id="1669">
    <w:p>
      <w:pPr>
        <w:pStyle w:val="FootnoteText"/>
      </w:pPr>
      <w:r>
        <w:rPr>
          <w:rStyle w:val="FootnoteReference"/>
        </w:rPr>
        <w:footnoteRef/>
      </w:r>
      <w:r>
        <w:t xml:space="preserve"> </w:t>
      </w:r>
      <w:r>
        <w:t xml:space="preserve">Guekht 2017, PMID 28707130.</w:t>
      </w:r>
    </w:p>
  </w:footnote>
  <w:footnote w:id="1670">
    <w:p>
      <w:pPr>
        <w:pStyle w:val="FootnoteText"/>
      </w:pPr>
      <w:r>
        <w:rPr>
          <w:rStyle w:val="FootnoteReference"/>
        </w:rPr>
        <w:footnoteRef/>
      </w:r>
      <w:r>
        <w:t xml:space="preserve"> </w:t>
      </w:r>
      <w:r>
        <w:t xml:space="preserve">Stan 2017, PMID 29362596.</w:t>
      </w:r>
    </w:p>
  </w:footnote>
  <w:footnote w:id="1671">
    <w:p>
      <w:pPr>
        <w:pStyle w:val="FootnoteText"/>
      </w:pPr>
      <w:r>
        <w:rPr>
          <w:rStyle w:val="FootnoteReference"/>
        </w:rPr>
        <w:footnoteRef/>
      </w:r>
      <w:r>
        <w:t xml:space="preserve"> </w:t>
      </w:r>
      <w:r>
        <w:t xml:space="preserve">Chang 2016, PMID 26934986.</w:t>
      </w:r>
    </w:p>
  </w:footnote>
  <w:footnote w:id="1672">
    <w:p>
      <w:pPr>
        <w:pStyle w:val="FootnoteText"/>
      </w:pPr>
      <w:r>
        <w:rPr>
          <w:rStyle w:val="FootnoteReference"/>
        </w:rPr>
        <w:footnoteRef/>
      </w:r>
      <w:r>
        <w:t xml:space="preserve"> </w:t>
      </w:r>
      <w:r>
        <w:t xml:space="preserve">Homberg 2025, PMID 39957612.</w:t>
      </w:r>
    </w:p>
  </w:footnote>
  <w:footnote w:id="1673">
    <w:p>
      <w:pPr>
        <w:pStyle w:val="FootnoteText"/>
      </w:pPr>
      <w:r>
        <w:rPr>
          <w:rStyle w:val="FootnoteReference"/>
        </w:rPr>
        <w:footnoteRef/>
      </w:r>
      <w:r>
        <w:t xml:space="preserve"> </w:t>
      </w:r>
      <w:r>
        <w:t xml:space="preserve">Beghi 2021, PMID 34152062.</w:t>
      </w:r>
    </w:p>
  </w:footnote>
  <w:footnote w:id="1675">
    <w:p>
      <w:pPr>
        <w:pStyle w:val="FootnoteText"/>
      </w:pPr>
      <w:r>
        <w:rPr>
          <w:rStyle w:val="FootnoteReference"/>
        </w:rPr>
        <w:footnoteRef/>
      </w:r>
      <w:r>
        <w:t xml:space="preserve"> </w:t>
      </w:r>
      <w:r>
        <w:t xml:space="preserve">Ziganshina 2020, PMID 32662068.</w:t>
      </w:r>
    </w:p>
  </w:footnote>
  <w:footnote w:id="1676">
    <w:p>
      <w:pPr>
        <w:pStyle w:val="FootnoteText"/>
      </w:pPr>
      <w:r>
        <w:rPr>
          <w:rStyle w:val="FootnoteReference"/>
        </w:rPr>
        <w:footnoteRef/>
      </w:r>
      <w:r>
        <w:t xml:space="preserve"> </w:t>
      </w:r>
      <w:r>
        <w:t xml:space="preserve">Ziganshina 2023, PMID 37818733.</w:t>
      </w:r>
    </w:p>
  </w:footnote>
  <w:footnote w:id="1677">
    <w:p>
      <w:pPr>
        <w:pStyle w:val="FootnoteText"/>
      </w:pPr>
      <w:r>
        <w:rPr>
          <w:rStyle w:val="FootnoteReference"/>
        </w:rPr>
        <w:footnoteRef/>
      </w:r>
      <w:r>
        <w:t xml:space="preserve"> </w:t>
      </w:r>
      <w:r>
        <w:t xml:space="preserve">Bornstein 2018, PMID 29248999.</w:t>
      </w:r>
    </w:p>
  </w:footnote>
  <w:footnote w:id="1678">
    <w:p>
      <w:pPr>
        <w:pStyle w:val="FootnoteText"/>
      </w:pPr>
      <w:r>
        <w:rPr>
          <w:rStyle w:val="FootnoteReference"/>
        </w:rPr>
        <w:footnoteRef/>
      </w:r>
      <w:r>
        <w:t xml:space="preserve"> </w:t>
      </w:r>
      <w:r>
        <w:t xml:space="preserve">Strilciuc 2021, PMID 34959697.</w:t>
      </w:r>
    </w:p>
  </w:footnote>
  <w:footnote w:id="1680">
    <w:p>
      <w:pPr>
        <w:pStyle w:val="FootnoteText"/>
      </w:pPr>
      <w:r>
        <w:rPr>
          <w:rStyle w:val="FootnoteReference"/>
        </w:rPr>
        <w:footnoteRef/>
      </w:r>
      <w:r>
        <w:t xml:space="preserve"> </w:t>
      </w:r>
      <w:r>
        <w:t xml:space="preserve">Vosko 2025, PMID 40851188; NCT03480698.</w:t>
      </w:r>
    </w:p>
  </w:footnote>
  <w:footnote w:id="1682">
    <w:p>
      <w:pPr>
        <w:pStyle w:val="FootnoteText"/>
      </w:pPr>
      <w:r>
        <w:rPr>
          <w:rStyle w:val="FootnoteReference"/>
        </w:rPr>
        <w:footnoteRef/>
      </w:r>
      <w:r>
        <w:t xml:space="preserve"> </w:t>
      </w:r>
      <w:r>
        <w:t xml:space="preserve">Bajenaru 2010, PMID 20968198.</w:t>
      </w:r>
    </w:p>
  </w:footnote>
  <w:footnote w:id="1683">
    <w:p>
      <w:pPr>
        <w:pStyle w:val="FootnoteText"/>
      </w:pPr>
      <w:r>
        <w:rPr>
          <w:rStyle w:val="FootnoteReference"/>
        </w:rPr>
        <w:footnoteRef/>
      </w:r>
      <w:r>
        <w:t xml:space="preserve"> </w:t>
      </w:r>
      <w:r>
        <w:t xml:space="preserve">Woo 2020, PMID 33143640; NCT01787123.</w:t>
      </w:r>
    </w:p>
  </w:footnote>
  <w:footnote w:id="1684">
    <w:p>
      <w:pPr>
        <w:pStyle w:val="FootnoteText"/>
      </w:pPr>
      <w:r>
        <w:rPr>
          <w:rStyle w:val="FootnoteReference"/>
        </w:rPr>
        <w:footnoteRef/>
      </w:r>
      <w:r>
        <w:t xml:space="preserve"> </w:t>
      </w:r>
      <w:r>
        <w:t xml:space="preserve">Kobayashi 2025, PMID 41180520.</w:t>
      </w:r>
    </w:p>
  </w:footnote>
  <w:footnote w:id="1686">
    <w:p>
      <w:pPr>
        <w:pStyle w:val="FootnoteText"/>
      </w:pPr>
      <w:r>
        <w:rPr>
          <w:rStyle w:val="FootnoteReference"/>
        </w:rPr>
        <w:footnoteRef/>
      </w:r>
      <w:r>
        <w:t xml:space="preserve"> </w:t>
      </w:r>
      <w:r>
        <w:t xml:space="preserve">Ghaffarpasand 2019, PMID 30643411; Jarosz 2023, PMID 36979317.</w:t>
      </w:r>
    </w:p>
  </w:footnote>
  <w:footnote w:id="1688">
    <w:p>
      <w:pPr>
        <w:pStyle w:val="FootnoteText"/>
      </w:pPr>
      <w:r>
        <w:rPr>
          <w:rStyle w:val="FootnoteReference"/>
        </w:rPr>
        <w:footnoteRef/>
      </w:r>
      <w:r>
        <w:t xml:space="preserve"> </w:t>
      </w:r>
      <w:r>
        <w:t xml:space="preserve">Panisset 2002, PMID 12111446.</w:t>
      </w:r>
    </w:p>
  </w:footnote>
  <w:footnote w:id="1689">
    <w:p>
      <w:pPr>
        <w:pStyle w:val="FootnoteText"/>
      </w:pPr>
      <w:r>
        <w:rPr>
          <w:rStyle w:val="FootnoteReference"/>
        </w:rPr>
        <w:footnoteRef/>
      </w:r>
      <w:r>
        <w:t xml:space="preserve"> </w:t>
      </w:r>
      <w:r>
        <w:t xml:space="preserve">Alvarez 2011, PMID 21679156.</w:t>
      </w:r>
    </w:p>
  </w:footnote>
  <w:footnote w:id="1690">
    <w:p>
      <w:pPr>
        <w:pStyle w:val="FootnoteText"/>
      </w:pPr>
      <w:r>
        <w:rPr>
          <w:rStyle w:val="FootnoteReference"/>
        </w:rPr>
        <w:footnoteRef/>
      </w:r>
      <w:r>
        <w:t xml:space="preserve"> </w:t>
      </w:r>
      <w:r>
        <w:t xml:space="preserve">Gauthier 2015, PMID 25832905.</w:t>
      </w:r>
    </w:p>
  </w:footnote>
  <w:footnote w:id="1691">
    <w:p>
      <w:pPr>
        <w:pStyle w:val="FootnoteText"/>
      </w:pPr>
      <w:r>
        <w:rPr>
          <w:rStyle w:val="FootnoteReference"/>
        </w:rPr>
        <w:footnoteRef/>
      </w:r>
      <w:r>
        <w:t xml:space="preserve"> </w:t>
      </w:r>
      <w:r>
        <w:t xml:space="preserve">Guekht 2011, PMID 20656516.</w:t>
      </w:r>
    </w:p>
  </w:footnote>
  <w:footnote w:id="1692">
    <w:p>
      <w:pPr>
        <w:pStyle w:val="FootnoteText"/>
      </w:pPr>
      <w:r>
        <w:rPr>
          <w:rStyle w:val="FootnoteReference"/>
        </w:rPr>
        <w:footnoteRef/>
      </w:r>
      <w:r>
        <w:t xml:space="preserve"> </w:t>
      </w:r>
      <w:r>
        <w:t xml:space="preserve">Cui 2019, PMID 31710397.</w:t>
      </w:r>
    </w:p>
  </w:footnote>
  <w:footnote w:id="1694">
    <w:p>
      <w:pPr>
        <w:pStyle w:val="FootnoteText"/>
      </w:pPr>
      <w:r>
        <w:rPr>
          <w:rStyle w:val="FootnoteReference"/>
        </w:rPr>
        <w:footnoteRef/>
      </w:r>
      <w:r>
        <w:t xml:space="preserve"> </w:t>
      </w:r>
      <w:r>
        <w:t xml:space="preserve">Funke 1998, PMID 9700674.</w:t>
      </w:r>
    </w:p>
  </w:footnote>
  <w:footnote w:id="1697">
    <w:p>
      <w:pPr>
        <w:pStyle w:val="FootnoteText"/>
      </w:pPr>
      <w:r>
        <w:rPr>
          <w:rStyle w:val="FootnoteReference"/>
        </w:rPr>
        <w:footnoteRef/>
      </w:r>
      <w:r>
        <w:t xml:space="preserve"> </w:t>
      </w:r>
      <w:r>
        <w:t xml:space="preserve">Zhang 2016, PMID 26763925.</w:t>
      </w:r>
    </w:p>
  </w:footnote>
  <w:footnote w:id="1698">
    <w:p>
      <w:pPr>
        <w:pStyle w:val="FootnoteText"/>
      </w:pPr>
      <w:r>
        <w:rPr>
          <w:rStyle w:val="FootnoteReference"/>
        </w:rPr>
        <w:footnoteRef/>
      </w:r>
      <w:r>
        <w:t xml:space="preserve"> </w:t>
      </w:r>
      <w:r>
        <w:t xml:space="preserve">Zhang 2019, PMID 30499355.</w:t>
      </w:r>
    </w:p>
  </w:footnote>
  <w:footnote w:id="1699">
    <w:p>
      <w:pPr>
        <w:pStyle w:val="FootnoteText"/>
      </w:pPr>
      <w:r>
        <w:rPr>
          <w:rStyle w:val="FootnoteReference"/>
        </w:rPr>
        <w:footnoteRef/>
      </w:r>
      <w:r>
        <w:t xml:space="preserve"> </w:t>
      </w:r>
      <w:r>
        <w:t xml:space="preserve">Kastberger 2024, PMID 38062874.</w:t>
      </w:r>
    </w:p>
  </w:footnote>
  <w:footnote w:id="1701">
    <w:p>
      <w:pPr>
        <w:pStyle w:val="FootnoteText"/>
      </w:pPr>
      <w:r>
        <w:rPr>
          <w:rStyle w:val="FootnoteReference"/>
        </w:rPr>
        <w:footnoteRef/>
      </w:r>
      <w:r>
        <w:t xml:space="preserve"> </w:t>
      </w:r>
      <w:r>
        <w:t xml:space="preserve">Panisset 2002, PMID 12111446.</w:t>
      </w:r>
    </w:p>
  </w:footnote>
  <w:footnote w:id="1702">
    <w:p>
      <w:pPr>
        <w:pStyle w:val="FootnoteText"/>
      </w:pPr>
      <w:r>
        <w:rPr>
          <w:rStyle w:val="FootnoteReference"/>
        </w:rPr>
        <w:footnoteRef/>
      </w:r>
      <w:r>
        <w:t xml:space="preserve"> </w:t>
      </w:r>
      <w:r>
        <w:t xml:space="preserve">Strilciuc 2021, PMID 34959697.</w:t>
      </w:r>
    </w:p>
  </w:footnote>
  <w:footnote w:id="1703">
    <w:p>
      <w:pPr>
        <w:pStyle w:val="FootnoteText"/>
      </w:pPr>
      <w:r>
        <w:rPr>
          <w:rStyle w:val="FootnoteReference"/>
        </w:rPr>
        <w:footnoteRef/>
      </w:r>
      <w:r>
        <w:t xml:space="preserve"> </w:t>
      </w:r>
      <w:r>
        <w:t xml:space="preserve">Trimmel 2024, PMID 39055722.</w:t>
      </w:r>
    </w:p>
  </w:footnote>
  <w:footnote w:id="1706">
    <w:p>
      <w:pPr>
        <w:pStyle w:val="FootnoteText"/>
      </w:pPr>
      <w:r>
        <w:rPr>
          <w:rStyle w:val="FootnoteReference"/>
        </w:rPr>
        <w:footnoteRef/>
      </w:r>
      <w:r>
        <w:t xml:space="preserve"> </w:t>
      </w:r>
      <w:r>
        <w:t xml:space="preserve">NCT05755997.</w:t>
      </w:r>
    </w:p>
  </w:footnote>
  <w:footnote w:id="1707">
    <w:p>
      <w:pPr>
        <w:pStyle w:val="FootnoteText"/>
      </w:pPr>
      <w:r>
        <w:rPr>
          <w:rStyle w:val="FootnoteReference"/>
        </w:rPr>
        <w:footnoteRef/>
      </w:r>
      <w:r>
        <w:t xml:space="preserve"> </w:t>
      </w:r>
      <w:r>
        <w:t xml:space="preserve">NCT06897176.</w:t>
      </w:r>
    </w:p>
  </w:footnote>
  <w:footnote w:id="1708">
    <w:p>
      <w:pPr>
        <w:pStyle w:val="FootnoteText"/>
      </w:pPr>
      <w:r>
        <w:rPr>
          <w:rStyle w:val="FootnoteReference"/>
        </w:rPr>
        <w:footnoteRef/>
      </w:r>
      <w:r>
        <w:t xml:space="preserve"> </w:t>
      </w:r>
      <w:r>
        <w:t xml:space="preserve">NCT06339411.</w:t>
      </w:r>
    </w:p>
  </w:footnote>
  <w:footnote w:id="1713">
    <w:p>
      <w:pPr>
        <w:pStyle w:val="FootnoteText"/>
      </w:pPr>
      <w:r>
        <w:rPr>
          <w:rStyle w:val="FootnoteReference"/>
        </w:rPr>
        <w:footnoteRef/>
      </w:r>
      <w:r>
        <w:t xml:space="preserve"> </w:t>
      </w:r>
      <w:r>
        <w:t xml:space="preserve">McCoy 2013, PMID 23055539.</w:t>
      </w:r>
    </w:p>
  </w:footnote>
  <w:footnote w:id="1714">
    <w:p>
      <w:pPr>
        <w:pStyle w:val="FootnoteText"/>
      </w:pPr>
      <w:r>
        <w:rPr>
          <w:rStyle w:val="FootnoteReference"/>
        </w:rPr>
        <w:footnoteRef/>
      </w:r>
      <w:r>
        <w:t xml:space="preserve"> </w:t>
      </w:r>
      <w:r>
        <w:t xml:space="preserve">Benoist 2014, PMID 25187433.</w:t>
      </w:r>
    </w:p>
  </w:footnote>
  <w:footnote w:id="1716">
    <w:p>
      <w:pPr>
        <w:pStyle w:val="FootnoteText"/>
      </w:pPr>
      <w:r>
        <w:rPr>
          <w:rStyle w:val="FootnoteReference"/>
        </w:rPr>
        <w:footnoteRef/>
      </w:r>
      <w:r>
        <w:t xml:space="preserve"> </w:t>
      </w:r>
      <w:r>
        <w:t xml:space="preserve">NCT04488419.</w:t>
      </w:r>
    </w:p>
  </w:footnote>
  <w:footnote w:id="1717">
    <w:p>
      <w:pPr>
        <w:pStyle w:val="FootnoteText"/>
      </w:pPr>
      <w:r>
        <w:rPr>
          <w:rStyle w:val="FootnoteReference"/>
        </w:rPr>
        <w:footnoteRef/>
      </w:r>
      <w:r>
        <w:t xml:space="preserve"> </w:t>
      </w:r>
      <w:r>
        <w:t xml:space="preserve">Porsteinsson 2025, PMID 41393340.</w:t>
      </w:r>
    </w:p>
  </w:footnote>
  <w:footnote w:id="1718">
    <w:p>
      <w:pPr>
        <w:pStyle w:val="FootnoteText"/>
      </w:pPr>
      <w:r>
        <w:rPr>
          <w:rStyle w:val="FootnoteReference"/>
        </w:rPr>
        <w:footnoteRef/>
      </w:r>
      <w:r>
        <w:t xml:space="preserve"> </w:t>
      </w:r>
      <w:r>
        <w:t xml:space="preserve">NCT04831281.</w:t>
      </w:r>
    </w:p>
  </w:footnote>
  <w:footnote w:id="1721">
    <w:p>
      <w:pPr>
        <w:pStyle w:val="FootnoteText"/>
      </w:pPr>
      <w:r>
        <w:rPr>
          <w:rStyle w:val="FootnoteReference"/>
        </w:rPr>
        <w:footnoteRef/>
      </w:r>
      <w:r>
        <w:t xml:space="preserve"> </w:t>
      </w:r>
      <w:r>
        <w:t xml:space="preserve">McCoy 2013, PMID 23055539.</w:t>
      </w:r>
    </w:p>
  </w:footnote>
  <w:footnote w:id="1722">
    <w:p>
      <w:pPr>
        <w:pStyle w:val="FootnoteText"/>
      </w:pPr>
      <w:r>
        <w:rPr>
          <w:rStyle w:val="FootnoteReference"/>
        </w:rPr>
        <w:footnoteRef/>
      </w:r>
      <w:r>
        <w:t xml:space="preserve"> </w:t>
      </w:r>
      <w:r>
        <w:t xml:space="preserve">Sun 2021, PMID 34827486.</w:t>
      </w:r>
    </w:p>
  </w:footnote>
  <w:footnote w:id="1723">
    <w:p>
      <w:pPr>
        <w:pStyle w:val="FootnoteText"/>
      </w:pPr>
      <w:r>
        <w:rPr>
          <w:rStyle w:val="FootnoteReference"/>
        </w:rPr>
        <w:footnoteRef/>
      </w:r>
      <w:r>
        <w:t xml:space="preserve"> </w:t>
      </w:r>
      <w:r>
        <w:t xml:space="preserve">Wells 2024, PMID 38489193.</w:t>
      </w:r>
    </w:p>
  </w:footnote>
  <w:footnote w:id="1724">
    <w:p>
      <w:pPr>
        <w:pStyle w:val="FootnoteText"/>
      </w:pPr>
      <w:r>
        <w:rPr>
          <w:rStyle w:val="FootnoteReference"/>
        </w:rPr>
        <w:footnoteRef/>
      </w:r>
      <w:r>
        <w:t xml:space="preserve"> </w:t>
      </w:r>
      <w:r>
        <w:t xml:space="preserve">Uribe 2015, PMID 25674052.</w:t>
      </w:r>
    </w:p>
  </w:footnote>
  <w:footnote w:id="1725">
    <w:p>
      <w:pPr>
        <w:pStyle w:val="FootnoteText"/>
      </w:pPr>
      <w:r>
        <w:rPr>
          <w:rStyle w:val="FootnoteReference"/>
        </w:rPr>
        <w:footnoteRef/>
      </w:r>
      <w:r>
        <w:t xml:space="preserve"> </w:t>
      </w:r>
      <w:r>
        <w:t xml:space="preserve">Pan 2022, PMID 35410439.</w:t>
      </w:r>
    </w:p>
  </w:footnote>
  <w:footnote w:id="1726">
    <w:p>
      <w:pPr>
        <w:pStyle w:val="FootnoteText"/>
      </w:pPr>
      <w:r>
        <w:rPr>
          <w:rStyle w:val="FootnoteReference"/>
        </w:rPr>
        <w:footnoteRef/>
      </w:r>
      <w:r>
        <w:t xml:space="preserve"> </w:t>
      </w:r>
      <w:r>
        <w:t xml:space="preserve">Ho 2018, PMID 29733881.</w:t>
      </w:r>
    </w:p>
  </w:footnote>
  <w:footnote w:id="1728">
    <w:p>
      <w:pPr>
        <w:pStyle w:val="FootnoteText"/>
      </w:pPr>
      <w:r>
        <w:rPr>
          <w:rStyle w:val="FootnoteReference"/>
        </w:rPr>
        <w:footnoteRef/>
      </w:r>
      <w:r>
        <w:t xml:space="preserve"> </w:t>
      </w:r>
      <w:r>
        <w:t xml:space="preserve">Wright 2015, PMID 25649658.</w:t>
      </w:r>
    </w:p>
  </w:footnote>
  <w:footnote w:id="1735">
    <w:p>
      <w:pPr>
        <w:pStyle w:val="FootnoteText"/>
      </w:pPr>
      <w:r>
        <w:rPr>
          <w:rStyle w:val="FootnoteReference"/>
        </w:rPr>
        <w:footnoteRef/>
      </w:r>
      <w:r>
        <w:t xml:space="preserve"> </w:t>
      </w:r>
      <w:r>
        <w:t xml:space="preserve">Monnier 1977, PMID 862769.</w:t>
      </w:r>
    </w:p>
  </w:footnote>
  <w:footnote w:id="1736">
    <w:p>
      <w:pPr>
        <w:pStyle w:val="FootnoteText"/>
      </w:pPr>
      <w:r>
        <w:rPr>
          <w:rStyle w:val="FootnoteReference"/>
        </w:rPr>
        <w:footnoteRef/>
      </w:r>
      <w:r>
        <w:t xml:space="preserve"> </w:t>
      </w:r>
      <w:r>
        <w:t xml:space="preserve">Kovalzon 2006, PMID 16539679.</w:t>
      </w:r>
    </w:p>
  </w:footnote>
  <w:footnote w:id="1737">
    <w:p>
      <w:pPr>
        <w:pStyle w:val="FootnoteText"/>
      </w:pPr>
      <w:r>
        <w:rPr>
          <w:rStyle w:val="FootnoteReference"/>
        </w:rPr>
        <w:footnoteRef/>
      </w:r>
      <w:r>
        <w:t xml:space="preserve"> </w:t>
      </w:r>
      <w:r>
        <w:t xml:space="preserve">Zlokovic 1988, PMID 3420012.</w:t>
      </w:r>
    </w:p>
  </w:footnote>
  <w:footnote w:id="1739">
    <w:p>
      <w:pPr>
        <w:pStyle w:val="FootnoteText"/>
      </w:pPr>
      <w:r>
        <w:rPr>
          <w:rStyle w:val="FootnoteReference"/>
        </w:rPr>
        <w:footnoteRef/>
      </w:r>
      <w:r>
        <w:t xml:space="preserve"> </w:t>
      </w:r>
      <w:r>
        <w:t xml:space="preserve">Schneider-Helmert 1981, PMID 6895513.</w:t>
      </w:r>
    </w:p>
  </w:footnote>
  <w:footnote w:id="1740">
    <w:p>
      <w:pPr>
        <w:pStyle w:val="FootnoteText"/>
      </w:pPr>
      <w:r>
        <w:rPr>
          <w:rStyle w:val="FootnoteReference"/>
        </w:rPr>
        <w:footnoteRef/>
      </w:r>
      <w:r>
        <w:t xml:space="preserve"> </w:t>
      </w:r>
      <w:r>
        <w:t xml:space="preserve">Schneider-Helmert 1987, PMID 3622582.</w:t>
      </w:r>
    </w:p>
  </w:footnote>
  <w:footnote w:id="1741">
    <w:p>
      <w:pPr>
        <w:pStyle w:val="FootnoteText"/>
      </w:pPr>
      <w:r>
        <w:rPr>
          <w:rStyle w:val="FootnoteReference"/>
        </w:rPr>
        <w:footnoteRef/>
      </w:r>
      <w:r>
        <w:t xml:space="preserve"> </w:t>
      </w:r>
      <w:r>
        <w:t xml:space="preserve">Monti 1987, PMID 3583493.</w:t>
      </w:r>
    </w:p>
  </w:footnote>
  <w:footnote w:id="1742">
    <w:p>
      <w:pPr>
        <w:pStyle w:val="FootnoteText"/>
      </w:pPr>
      <w:r>
        <w:rPr>
          <w:rStyle w:val="FootnoteReference"/>
        </w:rPr>
        <w:footnoteRef/>
      </w:r>
      <w:r>
        <w:t xml:space="preserve"> </w:t>
      </w:r>
      <w:r>
        <w:t xml:space="preserve">Bes 1992, PMID 1299794.</w:t>
      </w:r>
    </w:p>
  </w:footnote>
  <w:footnote w:id="1744">
    <w:p>
      <w:pPr>
        <w:pStyle w:val="FootnoteText"/>
      </w:pPr>
      <w:r>
        <w:rPr>
          <w:rStyle w:val="FootnoteReference"/>
        </w:rPr>
        <w:footnoteRef/>
      </w:r>
      <w:r>
        <w:t xml:space="preserve"> </w:t>
      </w:r>
      <w:r>
        <w:t xml:space="preserve">Dick 1984, PMID 6548969.</w:t>
      </w:r>
    </w:p>
  </w:footnote>
  <w:footnote w:id="1745">
    <w:p>
      <w:pPr>
        <w:pStyle w:val="FootnoteText"/>
      </w:pPr>
      <w:r>
        <w:rPr>
          <w:rStyle w:val="FootnoteReference"/>
        </w:rPr>
        <w:footnoteRef/>
      </w:r>
      <w:r>
        <w:t xml:space="preserve"> </w:t>
      </w:r>
      <w:r>
        <w:t xml:space="preserve">Backmund 1998, PMID 9617990.</w:t>
      </w:r>
    </w:p>
  </w:footnote>
  <w:footnote w:id="1746">
    <w:p>
      <w:pPr>
        <w:pStyle w:val="FootnoteText"/>
      </w:pPr>
      <w:r>
        <w:rPr>
          <w:rStyle w:val="FootnoteReference"/>
        </w:rPr>
        <w:footnoteRef/>
      </w:r>
      <w:r>
        <w:t xml:space="preserve"> </w:t>
      </w:r>
      <w:r>
        <w:t xml:space="preserve">Larbig 1984, PMID 6548970.</w:t>
      </w:r>
    </w:p>
  </w:footnote>
  <w:footnote w:id="1747">
    <w:p>
      <w:pPr>
        <w:pStyle w:val="FootnoteText"/>
      </w:pPr>
      <w:r>
        <w:rPr>
          <w:rStyle w:val="FootnoteReference"/>
        </w:rPr>
        <w:footnoteRef/>
      </w:r>
      <w:r>
        <w:t xml:space="preserve"> </w:t>
      </w:r>
      <w:r>
        <w:t xml:space="preserve">Schneider-Helmert 1984, PMID 6548968.</w:t>
      </w:r>
    </w:p>
  </w:footnote>
  <w:footnote w:id="1748">
    <w:p>
      <w:pPr>
        <w:pStyle w:val="FootnoteText"/>
      </w:pPr>
      <w:r>
        <w:rPr>
          <w:rStyle w:val="FootnoteReference"/>
        </w:rPr>
        <w:footnoteRef/>
      </w:r>
      <w:r>
        <w:t xml:space="preserve"> </w:t>
      </w:r>
      <w:r>
        <w:t xml:space="preserve">Kresiun 2014, PMID 25739189.</w:t>
      </w:r>
    </w:p>
  </w:footnote>
  <w:footnote w:id="1750">
    <w:p>
      <w:pPr>
        <w:pStyle w:val="FootnoteText"/>
      </w:pPr>
      <w:r>
        <w:rPr>
          <w:rStyle w:val="FootnoteReference"/>
        </w:rPr>
        <w:footnoteRef/>
      </w:r>
      <w:r>
        <w:t xml:space="preserve"> </w:t>
      </w:r>
      <w:r>
        <w:t xml:space="preserve">Bjartell 1989, PMID 2554357.</w:t>
      </w:r>
    </w:p>
  </w:footnote>
  <w:footnote w:id="1751">
    <w:p>
      <w:pPr>
        <w:pStyle w:val="FootnoteText"/>
      </w:pPr>
      <w:r>
        <w:rPr>
          <w:rStyle w:val="FootnoteReference"/>
        </w:rPr>
        <w:footnoteRef/>
      </w:r>
      <w:r>
        <w:t xml:space="preserve"> </w:t>
      </w:r>
      <w:r>
        <w:t xml:space="preserve">Späth-Schwalbe 1995, PMID 7777652.</w:t>
      </w:r>
    </w:p>
  </w:footnote>
  <w:footnote w:id="1752">
    <w:p>
      <w:pPr>
        <w:pStyle w:val="FootnoteText"/>
      </w:pPr>
      <w:r>
        <w:rPr>
          <w:rStyle w:val="FootnoteReference"/>
        </w:rPr>
        <w:footnoteRef/>
      </w:r>
      <w:r>
        <w:t xml:space="preserve"> </w:t>
      </w:r>
      <w:r>
        <w:t xml:space="preserve">Giusti 1993, PMID 8475226.</w:t>
      </w:r>
    </w:p>
  </w:footnote>
  <w:footnote w:id="1753">
    <w:p>
      <w:pPr>
        <w:pStyle w:val="FootnoteText"/>
      </w:pPr>
      <w:r>
        <w:rPr>
          <w:rStyle w:val="FootnoteReference"/>
        </w:rPr>
        <w:footnoteRef/>
      </w:r>
      <w:r>
        <w:t xml:space="preserve"> </w:t>
      </w:r>
      <w:r>
        <w:t xml:space="preserve">Pomfrett 2009, PMID 19142086.</w:t>
      </w:r>
    </w:p>
  </w:footnote>
  <w:footnote w:id="1756">
    <w:p>
      <w:pPr>
        <w:pStyle w:val="FootnoteText"/>
      </w:pPr>
      <w:r>
        <w:rPr>
          <w:rStyle w:val="FootnoteReference"/>
        </w:rPr>
        <w:footnoteRef/>
      </w:r>
      <w:r>
        <w:t xml:space="preserve"> </w:t>
      </w:r>
      <w:r>
        <w:t xml:space="preserve">Kovalzon 2006, PMID 16539679.</w:t>
      </w:r>
    </w:p>
  </w:footnote>
  <w:footnote w:id="1757">
    <w:p>
      <w:pPr>
        <w:pStyle w:val="FootnoteText"/>
      </w:pPr>
      <w:r>
        <w:rPr>
          <w:rStyle w:val="FootnoteReference"/>
        </w:rPr>
        <w:footnoteRef/>
      </w:r>
      <w:r>
        <w:t xml:space="preserve"> </w:t>
      </w:r>
      <w:r>
        <w:t xml:space="preserve">Voĭtenkov 2009, PMID 20405733.</w:t>
      </w:r>
    </w:p>
  </w:footnote>
  <w:footnote w:id="1759">
    <w:p>
      <w:pPr>
        <w:pStyle w:val="FootnoteText"/>
      </w:pPr>
      <w:r>
        <w:rPr>
          <w:rStyle w:val="FootnoteReference"/>
        </w:rPr>
        <w:footnoteRef/>
      </w:r>
      <w:r>
        <w:t xml:space="preserve"> </w:t>
      </w:r>
      <w:r>
        <w:t xml:space="preserve">Dick 1984, PMID 6548969.</w:t>
      </w:r>
    </w:p>
  </w:footnote>
  <w:footnote w:id="1760">
    <w:p>
      <w:pPr>
        <w:pStyle w:val="FootnoteText"/>
      </w:pPr>
      <w:r>
        <w:rPr>
          <w:rStyle w:val="FootnoteReference"/>
        </w:rPr>
        <w:footnoteRef/>
      </w:r>
      <w:r>
        <w:t xml:space="preserve"> </w:t>
      </w:r>
      <w:r>
        <w:t xml:space="preserve">Pomfrett 2009, PMID 19142086.</w:t>
      </w:r>
    </w:p>
  </w:footnote>
  <w:footnote w:id="1767">
    <w:p>
      <w:pPr>
        <w:pStyle w:val="FootnoteText"/>
      </w:pPr>
      <w:r>
        <w:rPr>
          <w:rStyle w:val="FootnoteReference"/>
        </w:rPr>
        <w:footnoteRef/>
      </w:r>
      <w:r>
        <w:t xml:space="preserve"> </w:t>
      </w:r>
      <w:r>
        <w:t xml:space="preserve">Khavinson 2003, PMID 12937682.</w:t>
      </w:r>
    </w:p>
  </w:footnote>
  <w:footnote w:id="1768">
    <w:p>
      <w:pPr>
        <w:pStyle w:val="FootnoteText"/>
      </w:pPr>
      <w:r>
        <w:rPr>
          <w:rStyle w:val="FootnoteReference"/>
        </w:rPr>
        <w:footnoteRef/>
      </w:r>
      <w:r>
        <w:t xml:space="preserve"> </w:t>
      </w:r>
      <w:r>
        <w:t xml:space="preserve">Khavinson 2003, PMID 14647006.</w:t>
      </w:r>
    </w:p>
  </w:footnote>
  <w:footnote w:id="1769">
    <w:p>
      <w:pPr>
        <w:pStyle w:val="FootnoteText"/>
      </w:pPr>
      <w:r>
        <w:rPr>
          <w:rStyle w:val="FootnoteReference"/>
        </w:rPr>
        <w:footnoteRef/>
      </w:r>
      <w:r>
        <w:t xml:space="preserve"> </w:t>
      </w:r>
      <w:r>
        <w:t xml:space="preserve">Araj 2025, PMID 40141333.</w:t>
      </w:r>
    </w:p>
  </w:footnote>
  <w:footnote w:id="1771">
    <w:p>
      <w:pPr>
        <w:pStyle w:val="FootnoteText"/>
      </w:pPr>
      <w:r>
        <w:rPr>
          <w:rStyle w:val="FootnoteReference"/>
        </w:rPr>
        <w:footnoteRef/>
      </w:r>
      <w:r>
        <w:t xml:space="preserve"> </w:t>
      </w:r>
      <w:r>
        <w:t xml:space="preserve">Jain 2026, PMID 42884164.</w:t>
      </w:r>
    </w:p>
  </w:footnote>
  <w:footnote w:id="1772">
    <w:p>
      <w:pPr>
        <w:pStyle w:val="FootnoteText"/>
      </w:pPr>
      <w:r>
        <w:rPr>
          <w:rStyle w:val="FootnoteReference"/>
        </w:rPr>
        <w:footnoteRef/>
      </w:r>
      <w:r>
        <w:t xml:space="preserve"> </w:t>
      </w:r>
      <w:r>
        <w:t xml:space="preserve">Khavinson 2002, PMID 12195242.</w:t>
      </w:r>
    </w:p>
  </w:footnote>
  <w:footnote w:id="1774">
    <w:p>
      <w:pPr>
        <w:pStyle w:val="FootnoteText"/>
      </w:pPr>
      <w:r>
        <w:rPr>
          <w:rStyle w:val="FootnoteReference"/>
        </w:rPr>
        <w:footnoteRef/>
      </w:r>
      <w:r>
        <w:t xml:space="preserve"> </w:t>
      </w:r>
      <w:r>
        <w:t xml:space="preserve">Khavinson 2003, PMID 14523363.</w:t>
      </w:r>
    </w:p>
  </w:footnote>
  <w:footnote w:id="1776">
    <w:p>
      <w:pPr>
        <w:pStyle w:val="FootnoteText"/>
      </w:pPr>
      <w:r>
        <w:rPr>
          <w:rStyle w:val="FootnoteReference"/>
        </w:rPr>
        <w:footnoteRef/>
      </w:r>
      <w:r>
        <w:t xml:space="preserve"> </w:t>
      </w:r>
      <w:r>
        <w:t xml:space="preserve">Khavinson 2003, PMID 12937682.</w:t>
      </w:r>
    </w:p>
  </w:footnote>
  <w:footnote w:id="1777">
    <w:p>
      <w:pPr>
        <w:pStyle w:val="FootnoteText"/>
      </w:pPr>
      <w:r>
        <w:rPr>
          <w:rStyle w:val="FootnoteReference"/>
        </w:rPr>
        <w:footnoteRef/>
      </w:r>
      <w:r>
        <w:t xml:space="preserve"> </w:t>
      </w:r>
      <w:r>
        <w:t xml:space="preserve">Khavinson 2004, PMID 15455129.</w:t>
      </w:r>
    </w:p>
  </w:footnote>
  <w:footnote w:id="1778">
    <w:p>
      <w:pPr>
        <w:pStyle w:val="FootnoteText"/>
      </w:pPr>
      <w:r>
        <w:rPr>
          <w:rStyle w:val="FootnoteReference"/>
        </w:rPr>
        <w:footnoteRef/>
      </w:r>
      <w:r>
        <w:t xml:space="preserve"> </w:t>
      </w:r>
      <w:r>
        <w:t xml:space="preserve">Al-Dulaimi 2025, PMID 40908429.</w:t>
      </w:r>
    </w:p>
  </w:footnote>
  <w:footnote w:id="1779">
    <w:p>
      <w:pPr>
        <w:pStyle w:val="FootnoteText"/>
      </w:pPr>
      <w:r>
        <w:rPr>
          <w:rStyle w:val="FootnoteReference"/>
        </w:rPr>
        <w:footnoteRef/>
      </w:r>
      <w:r>
        <w:t xml:space="preserve"> </w:t>
      </w:r>
      <w:r>
        <w:t xml:space="preserve">Khavinson 2019, PMID 31761987.</w:t>
      </w:r>
    </w:p>
  </w:footnote>
  <w:footnote w:id="1782">
    <w:p>
      <w:pPr>
        <w:pStyle w:val="FootnoteText"/>
      </w:pPr>
      <w:r>
        <w:rPr>
          <w:rStyle w:val="FootnoteReference"/>
        </w:rPr>
        <w:footnoteRef/>
      </w:r>
      <w:r>
        <w:t xml:space="preserve"> </w:t>
      </w:r>
      <w:r>
        <w:t xml:space="preserve">Anisimov 2003, PMID 14501183.</w:t>
      </w:r>
    </w:p>
  </w:footnote>
  <w:footnote w:id="1783">
    <w:p>
      <w:pPr>
        <w:pStyle w:val="FootnoteText"/>
      </w:pPr>
      <w:r>
        <w:rPr>
          <w:rStyle w:val="FootnoteReference"/>
        </w:rPr>
        <w:footnoteRef/>
      </w:r>
      <w:r>
        <w:t xml:space="preserve"> </w:t>
      </w:r>
      <w:r>
        <w:t xml:space="preserve">Khavinson 2000, PMID 11087911.</w:t>
      </w:r>
    </w:p>
  </w:footnote>
  <w:footnote w:id="1784">
    <w:p>
      <w:pPr>
        <w:pStyle w:val="FootnoteText"/>
      </w:pPr>
      <w:r>
        <w:rPr>
          <w:rStyle w:val="FootnoteReference"/>
        </w:rPr>
        <w:footnoteRef/>
      </w:r>
      <w:r>
        <w:t xml:space="preserve"> </w:t>
      </w:r>
      <w:r>
        <w:t xml:space="preserve">Khavinson 2003, PMID 12910293.</w:t>
      </w:r>
    </w:p>
  </w:footnote>
  <w:footnote w:id="1785">
    <w:p>
      <w:pPr>
        <w:pStyle w:val="FootnoteText"/>
      </w:pPr>
      <w:r>
        <w:rPr>
          <w:rStyle w:val="FootnoteReference"/>
        </w:rPr>
        <w:footnoteRef/>
      </w:r>
      <w:r>
        <w:t xml:space="preserve"> </w:t>
      </w:r>
      <w:r>
        <w:t xml:space="preserve">Yue 2022, PMID 35413689.</w:t>
      </w:r>
    </w:p>
  </w:footnote>
  <w:footnote w:id="1787">
    <w:p>
      <w:pPr>
        <w:pStyle w:val="FootnoteText"/>
      </w:pPr>
      <w:r>
        <w:rPr>
          <w:rStyle w:val="FootnoteReference"/>
        </w:rPr>
        <w:footnoteRef/>
      </w:r>
      <w:r>
        <w:t xml:space="preserve"> </w:t>
      </w:r>
      <w:r>
        <w:t xml:space="preserve">Al-Dulaimi 2025, PMID 40908429.</w:t>
      </w:r>
    </w:p>
  </w:footnote>
  <w:footnote w:id="1788">
    <w:p>
      <w:pPr>
        <w:pStyle w:val="FootnoteText"/>
      </w:pPr>
      <w:r>
        <w:rPr>
          <w:rStyle w:val="FootnoteReference"/>
        </w:rPr>
        <w:footnoteRef/>
      </w:r>
      <w:r>
        <w:t xml:space="preserve"> </w:t>
      </w:r>
      <w:r>
        <w:t xml:space="preserve">Anisimov 2003, PMID 14501183.</w:t>
      </w:r>
    </w:p>
  </w:footnote>
  <w:footnote w:id="1789">
    <w:p>
      <w:pPr>
        <w:pStyle w:val="FootnoteText"/>
      </w:pPr>
      <w:r>
        <w:rPr>
          <w:rStyle w:val="FootnoteReference"/>
        </w:rPr>
        <w:footnoteRef/>
      </w:r>
      <w:r>
        <w:t xml:space="preserve"> </w:t>
      </w:r>
      <w:r>
        <w:t xml:space="preserve">Jain 2026, PMID 42884164.</w:t>
      </w:r>
    </w:p>
  </w:footnote>
  <w:footnote w:id="1792">
    <w:p>
      <w:pPr>
        <w:pStyle w:val="FootnoteText"/>
      </w:pPr>
      <w:r>
        <w:rPr>
          <w:rStyle w:val="FootnoteReference"/>
        </w:rPr>
        <w:footnoteRef/>
      </w:r>
      <w:r>
        <w:t xml:space="preserve"> </w:t>
      </w:r>
      <w:r>
        <w:t xml:space="preserve">NCT07888595.</w:t>
      </w:r>
    </w:p>
  </w:footnote>
  <w:footnote w:id="1797">
    <w:p>
      <w:pPr>
        <w:pStyle w:val="FootnoteText"/>
      </w:pPr>
      <w:r>
        <w:rPr>
          <w:rStyle w:val="FootnoteReference"/>
        </w:rPr>
        <w:footnoteRef/>
      </w:r>
      <w:r>
        <w:t xml:space="preserve"> </w:t>
      </w:r>
      <w:r>
        <w:t xml:space="preserve">Fedoreyeva 2011, PMID 22117547.</w:t>
      </w:r>
    </w:p>
  </w:footnote>
  <w:footnote w:id="1798">
    <w:p>
      <w:pPr>
        <w:pStyle w:val="FootnoteText"/>
      </w:pPr>
      <w:r>
        <w:rPr>
          <w:rStyle w:val="FootnoteReference"/>
        </w:rPr>
        <w:footnoteRef/>
      </w:r>
      <w:r>
        <w:t xml:space="preserve"> </w:t>
      </w:r>
      <w:r>
        <w:t xml:space="preserve">Khavinson 2011, PMID 21978084.</w:t>
      </w:r>
    </w:p>
  </w:footnote>
  <w:footnote w:id="1799">
    <w:p>
      <w:pPr>
        <w:pStyle w:val="FootnoteText"/>
      </w:pPr>
      <w:r>
        <w:rPr>
          <w:rStyle w:val="FootnoteReference"/>
        </w:rPr>
        <w:footnoteRef/>
      </w:r>
      <w:r>
        <w:t xml:space="preserve"> </w:t>
      </w:r>
      <w:r>
        <w:t xml:space="preserve">Khavinson 2020, PMID 33396470.</w:t>
      </w:r>
    </w:p>
  </w:footnote>
  <w:footnote w:id="1801">
    <w:p>
      <w:pPr>
        <w:pStyle w:val="FootnoteText"/>
      </w:pPr>
      <w:r>
        <w:rPr>
          <w:rStyle w:val="FootnoteReference"/>
        </w:rPr>
        <w:footnoteRef/>
      </w:r>
      <w:r>
        <w:t xml:space="preserve"> </w:t>
      </w:r>
      <w:r>
        <w:t xml:space="preserve">Meshchaninov 2015, PMID 26390612.</w:t>
      </w:r>
    </w:p>
  </w:footnote>
  <w:footnote w:id="1803">
    <w:p>
      <w:pPr>
        <w:pStyle w:val="FootnoteText"/>
      </w:pPr>
      <w:r>
        <w:rPr>
          <w:rStyle w:val="FootnoteReference"/>
        </w:rPr>
        <w:footnoteRef/>
      </w:r>
      <w:r>
        <w:t xml:space="preserve"> </w:t>
      </w:r>
      <w:r>
        <w:t xml:space="preserve">Arutjunyan 2012, PMID 22567179.</w:t>
      </w:r>
    </w:p>
  </w:footnote>
  <w:footnote w:id="1804">
    <w:p>
      <w:pPr>
        <w:pStyle w:val="FootnoteText"/>
      </w:pPr>
      <w:r>
        <w:rPr>
          <w:rStyle w:val="FootnoteReference"/>
        </w:rPr>
        <w:footnoteRef/>
      </w:r>
      <w:r>
        <w:t xml:space="preserve"> </w:t>
      </w:r>
      <w:r>
        <w:t xml:space="preserve">Mendzheritsky 2015, PMID 28509493.</w:t>
      </w:r>
    </w:p>
  </w:footnote>
  <w:footnote w:id="1805">
    <w:p>
      <w:pPr>
        <w:pStyle w:val="FootnoteText"/>
      </w:pPr>
      <w:r>
        <w:rPr>
          <w:rStyle w:val="FootnoteReference"/>
        </w:rPr>
        <w:footnoteRef/>
      </w:r>
      <w:r>
        <w:t xml:space="preserve"> </w:t>
      </w:r>
      <w:r>
        <w:t xml:space="preserve">Khavinson 2011, PMID 21978084.</w:t>
      </w:r>
    </w:p>
  </w:footnote>
  <w:footnote w:id="1807">
    <w:p>
      <w:pPr>
        <w:pStyle w:val="FootnoteText"/>
      </w:pPr>
      <w:r>
        <w:rPr>
          <w:rStyle w:val="FootnoteReference"/>
        </w:rPr>
        <w:footnoteRef/>
      </w:r>
      <w:r>
        <w:t xml:space="preserve"> </w:t>
      </w:r>
      <w:r>
        <w:t xml:space="preserve">Meshchaninov 2015, PMID 26390612.</w:t>
      </w:r>
    </w:p>
  </w:footnote>
  <w:footnote w:id="1814">
    <w:p>
      <w:pPr>
        <w:pStyle w:val="FootnoteText"/>
      </w:pPr>
      <w:r>
        <w:rPr>
          <w:rStyle w:val="FootnoteReference"/>
        </w:rPr>
        <w:footnoteRef/>
      </w:r>
      <w:r>
        <w:t xml:space="preserve"> </w:t>
      </w:r>
      <w:r>
        <w:t xml:space="preserve">Lee 2015, PMID 25738459.</w:t>
      </w:r>
    </w:p>
  </w:footnote>
  <w:footnote w:id="1815">
    <w:p>
      <w:pPr>
        <w:pStyle w:val="FootnoteText"/>
      </w:pPr>
      <w:r>
        <w:rPr>
          <w:rStyle w:val="FootnoteReference"/>
        </w:rPr>
        <w:footnoteRef/>
      </w:r>
      <w:r>
        <w:t xml:space="preserve"> </w:t>
      </w:r>
      <w:r>
        <w:t xml:space="preserve">Kim 2018, PMID 29983246.</w:t>
      </w:r>
    </w:p>
  </w:footnote>
  <w:footnote w:id="1816">
    <w:p>
      <w:pPr>
        <w:pStyle w:val="FootnoteText"/>
      </w:pPr>
      <w:r>
        <w:rPr>
          <w:rStyle w:val="FootnoteReference"/>
        </w:rPr>
        <w:footnoteRef/>
      </w:r>
      <w:r>
        <w:t xml:space="preserve"> </w:t>
      </w:r>
      <w:r>
        <w:t xml:space="preserve">Reynolds 2021, PMID 33473109.</w:t>
      </w:r>
    </w:p>
  </w:footnote>
  <w:footnote w:id="1818">
    <w:p>
      <w:pPr>
        <w:pStyle w:val="FootnoteText"/>
      </w:pPr>
      <w:r>
        <w:rPr>
          <w:rStyle w:val="FootnoteReference"/>
        </w:rPr>
        <w:footnoteRef/>
      </w:r>
      <w:r>
        <w:t xml:space="preserve"> </w:t>
      </w:r>
      <w:r>
        <w:t xml:space="preserve">NCT03998514.</w:t>
      </w:r>
    </w:p>
  </w:footnote>
  <w:footnote w:id="1819">
    <w:p>
      <w:pPr>
        <w:pStyle w:val="FootnoteText"/>
      </w:pPr>
      <w:r>
        <w:rPr>
          <w:rStyle w:val="FootnoteReference"/>
        </w:rPr>
        <w:footnoteRef/>
      </w:r>
      <w:r>
        <w:t xml:space="preserve"> </w:t>
      </w:r>
      <w:r>
        <w:t xml:space="preserve">Du 2018, PMID 29691953; Kirik 2023, PMID 37750635; Qin 2018, PMID 29242099.</w:t>
      </w:r>
    </w:p>
  </w:footnote>
  <w:footnote w:id="1820">
    <w:p>
      <w:pPr>
        <w:pStyle w:val="FootnoteText"/>
      </w:pPr>
      <w:r>
        <w:rPr>
          <w:rStyle w:val="FootnoteReference"/>
        </w:rPr>
        <w:footnoteRef/>
      </w:r>
      <w:r>
        <w:t xml:space="preserve"> </w:t>
      </w:r>
      <w:r>
        <w:t xml:space="preserve">Du 2018, PMID 29691953.</w:t>
      </w:r>
    </w:p>
  </w:footnote>
  <w:footnote w:id="1821">
    <w:p>
      <w:pPr>
        <w:pStyle w:val="FootnoteText"/>
      </w:pPr>
      <w:r>
        <w:rPr>
          <w:rStyle w:val="FootnoteReference"/>
        </w:rPr>
        <w:footnoteRef/>
      </w:r>
      <w:r>
        <w:t xml:space="preserve"> </w:t>
      </w:r>
      <w:r>
        <w:t xml:space="preserve">Ikonomidis 2020, PMID 32052315.</w:t>
      </w:r>
    </w:p>
  </w:footnote>
  <w:footnote w:id="1822">
    <w:p>
      <w:pPr>
        <w:pStyle w:val="FootnoteText"/>
      </w:pPr>
      <w:r>
        <w:rPr>
          <w:rStyle w:val="FootnoteReference"/>
        </w:rPr>
        <w:footnoteRef/>
      </w:r>
      <w:r>
        <w:t xml:space="preserve"> </w:t>
      </w:r>
      <w:r>
        <w:t xml:space="preserve">Cuyàs 2022, PMID 36490309.</w:t>
      </w:r>
    </w:p>
  </w:footnote>
  <w:footnote w:id="1823">
    <w:p>
      <w:pPr>
        <w:pStyle w:val="FootnoteText"/>
      </w:pPr>
      <w:r>
        <w:rPr>
          <w:rStyle w:val="FootnoteReference"/>
        </w:rPr>
        <w:footnoteRef/>
      </w:r>
      <w:r>
        <w:t xml:space="preserve"> </w:t>
      </w:r>
      <w:r>
        <w:t xml:space="preserve">Zempo 2021, PMID 33468709.</w:t>
      </w:r>
    </w:p>
  </w:footnote>
  <w:footnote w:id="1825">
    <w:p>
      <w:pPr>
        <w:pStyle w:val="FootnoteText"/>
      </w:pPr>
      <w:r>
        <w:rPr>
          <w:rStyle w:val="FootnoteReference"/>
        </w:rPr>
        <w:footnoteRef/>
      </w:r>
      <w:r>
        <w:t xml:space="preserve"> </w:t>
      </w:r>
      <w:r>
        <w:t xml:space="preserve">NCT03998514.</w:t>
      </w:r>
    </w:p>
  </w:footnote>
  <w:footnote w:id="1828">
    <w:p>
      <w:pPr>
        <w:pStyle w:val="FootnoteText"/>
      </w:pPr>
      <w:r>
        <w:rPr>
          <w:rStyle w:val="FootnoteReference"/>
        </w:rPr>
        <w:footnoteRef/>
      </w:r>
      <w:r>
        <w:t xml:space="preserve"> </w:t>
      </w:r>
      <w:r>
        <w:t xml:space="preserve">Lee 2015, PMID 25738459.</w:t>
      </w:r>
    </w:p>
  </w:footnote>
  <w:footnote w:id="1829">
    <w:p>
      <w:pPr>
        <w:pStyle w:val="FootnoteText"/>
      </w:pPr>
      <w:r>
        <w:rPr>
          <w:rStyle w:val="FootnoteReference"/>
        </w:rPr>
        <w:footnoteRef/>
      </w:r>
      <w:r>
        <w:t xml:space="preserve"> </w:t>
      </w:r>
      <w:r>
        <w:t xml:space="preserve">Kumagai 2021, PMID 33554779.</w:t>
      </w:r>
    </w:p>
  </w:footnote>
  <w:footnote w:id="1830">
    <w:p>
      <w:pPr>
        <w:pStyle w:val="FootnoteText"/>
      </w:pPr>
      <w:r>
        <w:rPr>
          <w:rStyle w:val="FootnoteReference"/>
        </w:rPr>
        <w:footnoteRef/>
      </w:r>
      <w:r>
        <w:t xml:space="preserve"> </w:t>
      </w:r>
      <w:r>
        <w:t xml:space="preserve">Reynolds 2021, PMID 33473109.</w:t>
      </w:r>
    </w:p>
  </w:footnote>
  <w:footnote w:id="1831">
    <w:p>
      <w:pPr>
        <w:pStyle w:val="FootnoteText"/>
      </w:pPr>
      <w:r>
        <w:rPr>
          <w:rStyle w:val="FootnoteReference"/>
        </w:rPr>
        <w:footnoteRef/>
      </w:r>
      <w:r>
        <w:t xml:space="preserve"> </w:t>
      </w:r>
      <w:r>
        <w:t xml:space="preserve">Kong 2025, PMID 40855115.</w:t>
      </w:r>
    </w:p>
  </w:footnote>
  <w:footnote w:id="1833">
    <w:p>
      <w:pPr>
        <w:pStyle w:val="FootnoteText"/>
      </w:pPr>
      <w:r>
        <w:rPr>
          <w:rStyle w:val="FootnoteReference"/>
        </w:rPr>
        <w:footnoteRef/>
      </w:r>
      <w:r>
        <w:t xml:space="preserve"> </w:t>
      </w:r>
      <w:r>
        <w:t xml:space="preserve">Yin 2024, PMID 39321430.</w:t>
      </w:r>
    </w:p>
  </w:footnote>
  <w:footnote w:id="1834">
    <w:p>
      <w:pPr>
        <w:pStyle w:val="FootnoteText"/>
      </w:pPr>
      <w:r>
        <w:rPr>
          <w:rStyle w:val="FootnoteReference"/>
        </w:rPr>
        <w:footnoteRef/>
      </w:r>
      <w:r>
        <w:t xml:space="preserve"> </w:t>
      </w:r>
      <w:r>
        <w:t xml:space="preserve">Shen 2025, PMID 39581216.</w:t>
      </w:r>
    </w:p>
  </w:footnote>
  <w:footnote w:id="1837">
    <w:p>
      <w:pPr>
        <w:pStyle w:val="FootnoteText"/>
      </w:pPr>
      <w:r>
        <w:rPr>
          <w:rStyle w:val="FootnoteReference"/>
        </w:rPr>
        <w:footnoteRef/>
      </w:r>
      <w:r>
        <w:t xml:space="preserve"> </w:t>
      </w:r>
      <w:r>
        <w:t xml:space="preserve">NCT07678073.</w:t>
      </w:r>
    </w:p>
  </w:footnote>
  <w:footnote w:id="1838">
    <w:p>
      <w:pPr>
        <w:pStyle w:val="FootnoteText"/>
      </w:pPr>
      <w:r>
        <w:rPr>
          <w:rStyle w:val="FootnoteReference"/>
        </w:rPr>
        <w:footnoteRef/>
      </w:r>
      <w:r>
        <w:t xml:space="preserve"> </w:t>
      </w:r>
      <w:r>
        <w:t xml:space="preserve">NCT03878706.</w:t>
      </w:r>
    </w:p>
  </w:footnote>
  <w:footnote w:id="1843">
    <w:p>
      <w:pPr>
        <w:pStyle w:val="FootnoteText"/>
      </w:pPr>
      <w:r>
        <w:rPr>
          <w:rStyle w:val="FootnoteReference"/>
        </w:rPr>
        <w:footnoteRef/>
      </w:r>
      <w:r>
        <w:t xml:space="preserve"> </w:t>
      </w:r>
      <w:r>
        <w:t xml:space="preserve">Hashimoto 2001, PMID 11717357.</w:t>
      </w:r>
    </w:p>
  </w:footnote>
  <w:footnote w:id="1844">
    <w:p>
      <w:pPr>
        <w:pStyle w:val="FootnoteText"/>
      </w:pPr>
      <w:r>
        <w:rPr>
          <w:rStyle w:val="FootnoteReference"/>
        </w:rPr>
        <w:footnoteRef/>
      </w:r>
      <w:r>
        <w:t xml:space="preserve"> </w:t>
      </w:r>
      <w:r>
        <w:t xml:space="preserve">Hashimoto 2009, PMID 19386761.</w:t>
      </w:r>
    </w:p>
  </w:footnote>
  <w:footnote w:id="1845">
    <w:p>
      <w:pPr>
        <w:pStyle w:val="FootnoteText"/>
      </w:pPr>
      <w:r>
        <w:rPr>
          <w:rStyle w:val="FootnoteReference"/>
        </w:rPr>
        <w:footnoteRef/>
      </w:r>
      <w:r>
        <w:t xml:space="preserve"> </w:t>
      </w:r>
      <w:r>
        <w:t xml:space="preserve">Miller 2022, PMID 35499074.</w:t>
      </w:r>
    </w:p>
  </w:footnote>
  <w:footnote w:id="1847">
    <w:p>
      <w:pPr>
        <w:pStyle w:val="FootnoteText"/>
      </w:pPr>
      <w:r>
        <w:rPr>
          <w:rStyle w:val="FootnoteReference"/>
        </w:rPr>
        <w:footnoteRef/>
      </w:r>
      <w:r>
        <w:t xml:space="preserve"> </w:t>
      </w:r>
      <w:r>
        <w:t xml:space="preserve">Lee 2014, PMID 25040290.</w:t>
      </w:r>
    </w:p>
  </w:footnote>
  <w:footnote w:id="1851">
    <w:p>
      <w:pPr>
        <w:pStyle w:val="FootnoteText"/>
      </w:pPr>
      <w:r>
        <w:rPr>
          <w:rStyle w:val="FootnoteReference"/>
        </w:rPr>
        <w:footnoteRef/>
      </w:r>
      <w:r>
        <w:t xml:space="preserve"> </w:t>
      </w:r>
      <w:r>
        <w:t xml:space="preserve">Yen 2020, PMID 32575074.</w:t>
      </w:r>
    </w:p>
  </w:footnote>
  <w:footnote w:id="1852">
    <w:p>
      <w:pPr>
        <w:pStyle w:val="FootnoteText"/>
      </w:pPr>
      <w:r>
        <w:rPr>
          <w:rStyle w:val="FootnoteReference"/>
        </w:rPr>
        <w:footnoteRef/>
      </w:r>
      <w:r>
        <w:t xml:space="preserve"> </w:t>
      </w:r>
      <w:r>
        <w:t xml:space="preserve">Muzumdar 2010, PMID 20651283.</w:t>
      </w:r>
    </w:p>
  </w:footnote>
  <w:footnote w:id="1853">
    <w:p>
      <w:pPr>
        <w:pStyle w:val="FootnoteText"/>
      </w:pPr>
      <w:r>
        <w:rPr>
          <w:rStyle w:val="FootnoteReference"/>
        </w:rPr>
        <w:footnoteRef/>
      </w:r>
      <w:r>
        <w:t xml:space="preserve"> </w:t>
      </w:r>
      <w:r>
        <w:t xml:space="preserve">Qin 2018, PMID 30004252.</w:t>
      </w:r>
    </w:p>
  </w:footnote>
  <w:footnote w:id="1854">
    <w:p>
      <w:pPr>
        <w:pStyle w:val="FootnoteText"/>
      </w:pPr>
      <w:r>
        <w:rPr>
          <w:rStyle w:val="FootnoteReference"/>
        </w:rPr>
        <w:footnoteRef/>
      </w:r>
      <w:r>
        <w:t xml:space="preserve"> </w:t>
      </w:r>
      <w:r>
        <w:t xml:space="preserve">Miller 2024, PMID 38520065.</w:t>
      </w:r>
    </w:p>
  </w:footnote>
  <w:footnote w:id="1855">
    <w:p>
      <w:pPr>
        <w:pStyle w:val="FootnoteText"/>
      </w:pPr>
      <w:r>
        <w:rPr>
          <w:rStyle w:val="FootnoteReference"/>
        </w:rPr>
        <w:footnoteRef/>
      </w:r>
      <w:r>
        <w:t xml:space="preserve"> </w:t>
      </w:r>
      <w:r>
        <w:t xml:space="preserve">Nashine 2017, PMID 28726777.</w:t>
      </w:r>
    </w:p>
  </w:footnote>
  <w:footnote w:id="1857">
    <w:p>
      <w:pPr>
        <w:pStyle w:val="FootnoteText"/>
      </w:pPr>
      <w:r>
        <w:rPr>
          <w:rStyle w:val="FootnoteReference"/>
        </w:rPr>
        <w:footnoteRef/>
      </w:r>
      <w:r>
        <w:t xml:space="preserve"> </w:t>
      </w:r>
      <w:r>
        <w:t xml:space="preserve">Moreno Ayala 2020, PMID 32444831.</w:t>
      </w:r>
    </w:p>
  </w:footnote>
  <w:footnote w:id="1858">
    <w:p>
      <w:pPr>
        <w:pStyle w:val="FootnoteText"/>
      </w:pPr>
      <w:r>
        <w:rPr>
          <w:rStyle w:val="FootnoteReference"/>
        </w:rPr>
        <w:footnoteRef/>
      </w:r>
      <w:r>
        <w:t xml:space="preserve"> </w:t>
      </w:r>
      <w:r>
        <w:t xml:space="preserve">Mendelsohn 2018, PMID 30058454.</w:t>
      </w:r>
    </w:p>
  </w:footnote>
  <w:footnote w:id="1861">
    <w:p>
      <w:pPr>
        <w:pStyle w:val="FootnoteText"/>
      </w:pPr>
      <w:r>
        <w:rPr>
          <w:rStyle w:val="FootnoteReference"/>
        </w:rPr>
        <w:footnoteRef/>
      </w:r>
      <w:r>
        <w:t xml:space="preserve"> </w:t>
      </w:r>
      <w:r>
        <w:t xml:space="preserve">NCT07678073.</w:t>
      </w:r>
    </w:p>
  </w:footnote>
  <w:footnote w:id="1866">
    <w:p>
      <w:pPr>
        <w:pStyle w:val="FootnoteText"/>
      </w:pPr>
      <w:r>
        <w:rPr>
          <w:rStyle w:val="FootnoteReference"/>
        </w:rPr>
        <w:footnoteRef/>
      </w:r>
      <w:r>
        <w:t xml:space="preserve"> </w:t>
      </w:r>
      <w:r>
        <w:t xml:space="preserve">Szeto 2014, PMID 24117165.</w:t>
      </w:r>
    </w:p>
  </w:footnote>
  <w:footnote w:id="1868">
    <w:p>
      <w:pPr>
        <w:pStyle w:val="FootnoteText"/>
      </w:pPr>
      <w:r>
        <w:rPr>
          <w:rStyle w:val="FootnoteReference"/>
        </w:rPr>
        <w:footnoteRef/>
      </w:r>
      <w:r>
        <w:t xml:space="preserve"> </w:t>
      </w:r>
      <w:r>
        <w:t xml:space="preserve">NCT03098797.</w:t>
      </w:r>
    </w:p>
  </w:footnote>
  <w:footnote w:id="1869">
    <w:p>
      <w:pPr>
        <w:pStyle w:val="FootnoteText"/>
      </w:pPr>
      <w:r>
        <w:rPr>
          <w:rStyle w:val="FootnoteReference"/>
        </w:rPr>
        <w:footnoteRef/>
      </w:r>
      <w:r>
        <w:t xml:space="preserve"> </w:t>
      </w:r>
      <w:r>
        <w:t xml:space="preserve">Reid Thompson 2021, PMID 33077895.</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Thompson 2024, PMID 38602181.</w:t>
      </w:r>
    </w:p>
  </w:footnote>
  <w:footnote w:id="1872">
    <w:p>
      <w:pPr>
        <w:pStyle w:val="FootnoteText"/>
      </w:pPr>
      <w:r>
        <w:rPr>
          <w:rStyle w:val="FootnoteReference"/>
        </w:rPr>
        <w:footnoteRef/>
      </w:r>
      <w:r>
        <w:t xml:space="preserve"> </w:t>
      </w:r>
      <w:r>
        <w:t xml:space="preserve">Hornby 2022, PMID 36056411.</w:t>
      </w:r>
    </w:p>
  </w:footnote>
  <w:footnote w:id="1873">
    <w:p>
      <w:pPr>
        <w:pStyle w:val="FootnoteText"/>
      </w:pPr>
      <w:r>
        <w:rPr>
          <w:rStyle w:val="FootnoteReference"/>
        </w:rPr>
        <w:footnoteRef/>
      </w:r>
      <w:r>
        <w:t xml:space="preserve"> </w:t>
      </w:r>
      <w:r>
        <w:t xml:space="preserve">Shirley 2026, PMID 41335372.</w:t>
      </w:r>
    </w:p>
  </w:footnote>
  <w:footnote w:id="1874">
    <w:p>
      <w:pPr>
        <w:pStyle w:val="FootnoteText"/>
      </w:pPr>
      <w:r>
        <w:rPr>
          <w:rStyle w:val="FootnoteReference"/>
        </w:rPr>
        <w:footnoteRef/>
      </w:r>
      <w:r>
        <w:t xml:space="preserve"> </w:t>
      </w:r>
      <w:r>
        <w:t xml:space="preserve">NCT07531251.</w:t>
      </w:r>
    </w:p>
  </w:footnote>
  <w:footnote w:id="1876">
    <w:p>
      <w:pPr>
        <w:pStyle w:val="FootnoteText"/>
      </w:pPr>
      <w:r>
        <w:rPr>
          <w:rStyle w:val="FootnoteReference"/>
        </w:rPr>
        <w:footnoteRef/>
      </w:r>
      <w:r>
        <w:t xml:space="preserve"> </w:t>
      </w:r>
      <w:r>
        <w:t xml:space="preserve">NCT03323749.</w:t>
      </w:r>
    </w:p>
  </w:footnote>
  <w:footnote w:id="1877">
    <w:p>
      <w:pPr>
        <w:pStyle w:val="FootnoteText"/>
      </w:pPr>
      <w:r>
        <w:rPr>
          <w:rStyle w:val="FootnoteReference"/>
        </w:rPr>
        <w:footnoteRef/>
      </w:r>
      <w:r>
        <w:t xml:space="preserve"> </w:t>
      </w:r>
      <w:r>
        <w:t xml:space="preserve">Karaa 2023, PMID 37268435.</w:t>
      </w:r>
    </w:p>
  </w:footnote>
  <w:footnote w:id="1878">
    <w:p>
      <w:pPr>
        <w:pStyle w:val="FootnoteText"/>
      </w:pPr>
      <w:r>
        <w:rPr>
          <w:rStyle w:val="FootnoteReference"/>
        </w:rPr>
        <w:footnoteRef/>
      </w:r>
      <w:r>
        <w:t xml:space="preserve"> </w:t>
      </w:r>
      <w:r>
        <w:t xml:space="preserve">Karaa 2024, PMID 39574155.</w:t>
      </w:r>
    </w:p>
  </w:footnote>
  <w:footnote w:id="1879">
    <w:p>
      <w:pPr>
        <w:pStyle w:val="FootnoteText"/>
      </w:pPr>
      <w:r>
        <w:rPr>
          <w:rStyle w:val="FootnoteReference"/>
        </w:rPr>
        <w:footnoteRef/>
      </w:r>
      <w:r>
        <w:t xml:space="preserve"> </w:t>
      </w:r>
      <w:r>
        <w:t xml:space="preserve">NCT05162768.</w:t>
      </w:r>
    </w:p>
  </w:footnote>
  <w:footnote w:id="1881">
    <w:p>
      <w:pPr>
        <w:pStyle w:val="FootnoteText"/>
      </w:pPr>
      <w:r>
        <w:rPr>
          <w:rStyle w:val="FootnoteReference"/>
        </w:rPr>
        <w:footnoteRef/>
      </w:r>
      <w:r>
        <w:t xml:space="preserve"> </w:t>
      </w:r>
      <w:r>
        <w:t xml:space="preserve">Gibson 2016, PMID 26586786; Butler 2020, PMID 32068002.</w:t>
      </w:r>
    </w:p>
  </w:footnote>
  <w:footnote w:id="1882">
    <w:p>
      <w:pPr>
        <w:pStyle w:val="FootnoteText"/>
      </w:pPr>
      <w:r>
        <w:rPr>
          <w:rStyle w:val="FootnoteReference"/>
        </w:rPr>
        <w:footnoteRef/>
      </w:r>
      <w:r>
        <w:t xml:space="preserve"> </w:t>
      </w:r>
      <w:r>
        <w:t xml:space="preserve">Ehlers 2025, PMID 39605874.</w:t>
      </w:r>
    </w:p>
  </w:footnote>
  <w:footnote w:id="1883">
    <w:p>
      <w:pPr>
        <w:pStyle w:val="FootnoteText"/>
      </w:pPr>
      <w:r>
        <w:rPr>
          <w:rStyle w:val="FootnoteReference"/>
        </w:rPr>
        <w:footnoteRef/>
      </w:r>
      <w:r>
        <w:t xml:space="preserve"> </w:t>
      </w:r>
      <w:r>
        <w:t xml:space="preserve">NCT06373731.</w:t>
      </w:r>
    </w:p>
  </w:footnote>
  <w:footnote w:id="1884">
    <w:p>
      <w:pPr>
        <w:pStyle w:val="FootnoteText"/>
      </w:pPr>
      <w:r>
        <w:rPr>
          <w:rStyle w:val="FootnoteReference"/>
        </w:rPr>
        <w:footnoteRef/>
      </w:r>
      <w:r>
        <w:t xml:space="preserve"> </w:t>
      </w:r>
      <w:r>
        <w:t xml:space="preserve">Roshanravan 2021, PMID 34264994.</w:t>
      </w:r>
    </w:p>
  </w:footnote>
  <w:footnote w:id="1887">
    <w:p>
      <w:pPr>
        <w:pStyle w:val="FootnoteText"/>
      </w:pPr>
      <w:r>
        <w:rPr>
          <w:rStyle w:val="FootnoteReference"/>
        </w:rPr>
        <w:footnoteRef/>
      </w:r>
      <w:r>
        <w:t xml:space="preserve"> </w:t>
      </w:r>
      <w:r>
        <w:t xml:space="preserve">Szeto 2014, PMID 24117165.</w:t>
      </w:r>
    </w:p>
  </w:footnote>
  <w:footnote w:id="1888">
    <w:p>
      <w:pPr>
        <w:pStyle w:val="FootnoteText"/>
      </w:pPr>
      <w:r>
        <w:rPr>
          <w:rStyle w:val="FootnoteReference"/>
        </w:rPr>
        <w:footnoteRef/>
      </w:r>
      <w:r>
        <w:t xml:space="preserve"> </w:t>
      </w:r>
      <w:r>
        <w:t xml:space="preserve">Sabbah 2016, PMID 26839394.</w:t>
      </w:r>
    </w:p>
  </w:footnote>
  <w:footnote w:id="1889">
    <w:p>
      <w:pPr>
        <w:pStyle w:val="FootnoteText"/>
      </w:pPr>
      <w:r>
        <w:rPr>
          <w:rStyle w:val="FootnoteReference"/>
        </w:rPr>
        <w:footnoteRef/>
      </w:r>
      <w:r>
        <w:t xml:space="preserve"> </w:t>
      </w:r>
      <w:r>
        <w:t xml:space="preserve">Schauer 2026, PMID 41596703.</w:t>
      </w:r>
    </w:p>
  </w:footnote>
  <w:footnote w:id="1891">
    <w:p>
      <w:pPr>
        <w:pStyle w:val="FootnoteText"/>
      </w:pPr>
      <w:r>
        <w:rPr>
          <w:rStyle w:val="FootnoteReference"/>
        </w:rPr>
        <w:footnoteRef/>
      </w:r>
      <w:r>
        <w:t xml:space="preserve"> </w:t>
      </w:r>
      <w:r>
        <w:t xml:space="preserve">Karaa 2020, PMID 32096613.</w:t>
      </w:r>
    </w:p>
  </w:footnote>
  <w:footnote w:id="1892">
    <w:p>
      <w:pPr>
        <w:pStyle w:val="FootnoteText"/>
      </w:pPr>
      <w:r>
        <w:rPr>
          <w:rStyle w:val="FootnoteReference"/>
        </w:rPr>
        <w:footnoteRef/>
      </w:r>
      <w:r>
        <w:t xml:space="preserve"> </w:t>
      </w:r>
      <w:r>
        <w:t xml:space="preserve">Ehlers 2025, PMID 39605874.</w:t>
      </w:r>
    </w:p>
  </w:footnote>
  <w:footnote w:id="1893">
    <w:p>
      <w:pPr>
        <w:pStyle w:val="FootnoteText"/>
      </w:pPr>
      <w:r>
        <w:rPr>
          <w:rStyle w:val="FootnoteReference"/>
        </w:rPr>
        <w:footnoteRef/>
      </w:r>
      <w:r>
        <w:t xml:space="preserve"> </w:t>
      </w:r>
      <w:r>
        <w:t xml:space="preserve">Karaa 2023, PMID 37268435.</w:t>
      </w:r>
    </w:p>
  </w:footnote>
  <w:footnote w:id="1894">
    <w:p>
      <w:pPr>
        <w:pStyle w:val="FootnoteText"/>
      </w:pPr>
      <w:r>
        <w:rPr>
          <w:rStyle w:val="FootnoteReference"/>
        </w:rPr>
        <w:footnoteRef/>
      </w:r>
      <w:r>
        <w:t xml:space="preserve"> </w:t>
      </w:r>
      <w:r>
        <w:t xml:space="preserve">Thompson 2024, PMID 38602181.</w:t>
      </w:r>
    </w:p>
  </w:footnote>
  <w:footnote w:id="1896">
    <w:p>
      <w:pPr>
        <w:pStyle w:val="FootnoteText"/>
      </w:pPr>
      <w:r>
        <w:rPr>
          <w:rStyle w:val="FootnoteReference"/>
        </w:rPr>
        <w:footnoteRef/>
      </w:r>
      <w:r>
        <w:t xml:space="preserve"> </w:t>
      </w:r>
      <w:r>
        <w:t xml:space="preserve">NCT04689360.</w:t>
      </w:r>
    </w:p>
  </w:footnote>
  <w:footnote w:id="1898">
    <w:p>
      <w:pPr>
        <w:pStyle w:val="FootnoteText"/>
      </w:pPr>
      <w:r>
        <w:rPr>
          <w:rStyle w:val="FootnoteReference"/>
        </w:rPr>
        <w:footnoteRef/>
      </w:r>
      <w:r>
        <w:t xml:space="preserve"> </w:t>
      </w:r>
      <w:r>
        <w:t xml:space="preserve">NCT06373731.</w:t>
      </w:r>
    </w:p>
  </w:footnote>
  <w:footnote w:id="1899">
    <w:p>
      <w:pPr>
        <w:pStyle w:val="FootnoteText"/>
      </w:pPr>
      <w:r>
        <w:rPr>
          <w:rStyle w:val="FootnoteReference"/>
        </w:rPr>
        <w:footnoteRef/>
      </w:r>
      <w:r>
        <w:t xml:space="preserve"> </w:t>
      </w:r>
      <w:r>
        <w:t xml:space="preserve">NCT07531251.</w:t>
      </w:r>
    </w:p>
  </w:footnote>
  <w:footnote w:id="1900">
    <w:p>
      <w:pPr>
        <w:pStyle w:val="FootnoteText"/>
      </w:pPr>
      <w:r>
        <w:rPr>
          <w:rStyle w:val="FootnoteReference"/>
        </w:rPr>
        <w:footnoteRef/>
      </w:r>
      <w:r>
        <w:t xml:space="preserve"> </w:t>
      </w:r>
      <w:r>
        <w:t xml:space="preserve">NCT05162768.</w:t>
      </w:r>
    </w:p>
  </w:footnote>
  <w:footnote w:id="1901">
    <w:p>
      <w:pPr>
        <w:pStyle w:val="FootnoteText"/>
      </w:pPr>
      <w:r>
        <w:rPr>
          <w:rStyle w:val="FootnoteReference"/>
        </w:rPr>
        <w:footnoteRef/>
      </w:r>
      <w:r>
        <w:t xml:space="preserve"> </w:t>
      </w:r>
      <w:r>
        <w:t xml:space="preserve">NCT07275424.</w:t>
      </w:r>
    </w:p>
  </w:footnote>
  <w:footnote w:id="1906">
    <w:p>
      <w:pPr>
        <w:pStyle w:val="FootnoteText"/>
      </w:pPr>
      <w:r>
        <w:rPr>
          <w:rStyle w:val="FootnoteReference"/>
        </w:rPr>
        <w:footnoteRef/>
      </w:r>
      <w:r>
        <w:t xml:space="preserve"> </w:t>
      </w:r>
      <w:r>
        <w:t xml:space="preserve">Baar 2017, PMID 28340339.</w:t>
      </w:r>
    </w:p>
  </w:footnote>
  <w:footnote w:id="1907">
    <w:p>
      <w:pPr>
        <w:pStyle w:val="FootnoteText"/>
      </w:pPr>
      <w:r>
        <w:rPr>
          <w:rStyle w:val="FootnoteReference"/>
        </w:rPr>
        <w:footnoteRef/>
      </w:r>
      <w:r>
        <w:t xml:space="preserve"> </w:t>
      </w:r>
      <w:r>
        <w:t xml:space="preserve">Bourgeois 2025, PMID 40593617.</w:t>
      </w:r>
    </w:p>
  </w:footnote>
  <w:footnote w:id="1908">
    <w:p>
      <w:pPr>
        <w:pStyle w:val="FootnoteText"/>
      </w:pPr>
      <w:r>
        <w:rPr>
          <w:rStyle w:val="FootnoteReference"/>
        </w:rPr>
        <w:footnoteRef/>
      </w:r>
      <w:r>
        <w:t xml:space="preserve"> </w:t>
      </w:r>
      <w:r>
        <w:t xml:space="preserve">Justice 2019, PMID 30616998.</w:t>
      </w:r>
    </w:p>
  </w:footnote>
  <w:footnote w:id="1909">
    <w:p>
      <w:pPr>
        <w:pStyle w:val="FootnoteText"/>
      </w:pPr>
      <w:r>
        <w:rPr>
          <w:rStyle w:val="FootnoteReference"/>
        </w:rPr>
        <w:footnoteRef/>
      </w:r>
      <w:r>
        <w:t xml:space="preserve"> </w:t>
      </w:r>
      <w:r>
        <w:t xml:space="preserve">Farr 2024, PMID 38956196.</w:t>
      </w:r>
    </w:p>
  </w:footnote>
  <w:footnote w:id="1912">
    <w:p>
      <w:pPr>
        <w:pStyle w:val="FootnoteText"/>
      </w:pPr>
      <w:r>
        <w:rPr>
          <w:rStyle w:val="FootnoteReference"/>
        </w:rPr>
        <w:footnoteRef/>
      </w:r>
      <w:r>
        <w:t xml:space="preserve"> </w:t>
      </w:r>
      <w:r>
        <w:t xml:space="preserve">Huang 2021, PMID 33996787.</w:t>
      </w:r>
    </w:p>
  </w:footnote>
  <w:footnote w:id="1914">
    <w:p>
      <w:pPr>
        <w:pStyle w:val="FootnoteText"/>
      </w:pPr>
      <w:r>
        <w:rPr>
          <w:rStyle w:val="FootnoteReference"/>
        </w:rPr>
        <w:footnoteRef/>
      </w:r>
      <w:r>
        <w:t xml:space="preserve"> </w:t>
      </w:r>
      <w:r>
        <w:t xml:space="preserve">Baar 2017, PMID 28340339.</w:t>
      </w:r>
    </w:p>
  </w:footnote>
  <w:footnote w:id="1915">
    <w:p>
      <w:pPr>
        <w:pStyle w:val="FootnoteText"/>
      </w:pPr>
      <w:r>
        <w:rPr>
          <w:rStyle w:val="FootnoteReference"/>
        </w:rPr>
        <w:footnoteRef/>
      </w:r>
      <w:r>
        <w:t xml:space="preserve"> </w:t>
      </w:r>
      <w:r>
        <w:t xml:space="preserve">Born 2023, PMID 36515093.</w:t>
      </w:r>
    </w:p>
  </w:footnote>
  <w:footnote w:id="1917">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Bourgeois 2025, PMID 40593617.</w:t>
      </w:r>
    </w:p>
  </w:footnote>
  <w:footnote w:id="1926">
    <w:p>
      <w:pPr>
        <w:pStyle w:val="FootnoteText"/>
      </w:pPr>
      <w:r>
        <w:rPr>
          <w:rStyle w:val="FootnoteReference"/>
        </w:rPr>
        <w:footnoteRef/>
      </w:r>
      <w:r>
        <w:t xml:space="preserve"> </w:t>
      </w:r>
      <w:r>
        <w:t xml:space="preserve">Allen 2011, PMID 21875351.</w:t>
      </w:r>
    </w:p>
  </w:footnote>
  <w:footnote w:id="1927">
    <w:p>
      <w:pPr>
        <w:pStyle w:val="FootnoteText"/>
      </w:pPr>
      <w:r>
        <w:rPr>
          <w:rStyle w:val="FootnoteReference"/>
        </w:rPr>
        <w:footnoteRef/>
      </w:r>
      <w:r>
        <w:t xml:space="preserve"> </w:t>
      </w:r>
      <w:r>
        <w:t xml:space="preserve">Richie 2015, PMID 24791752.</w:t>
      </w:r>
    </w:p>
  </w:footnote>
  <w:footnote w:id="1928">
    <w:p>
      <w:pPr>
        <w:pStyle w:val="FootnoteText"/>
      </w:pPr>
      <w:r>
        <w:rPr>
          <w:rStyle w:val="FootnoteReference"/>
        </w:rPr>
        <w:footnoteRef/>
      </w:r>
      <w:r>
        <w:t xml:space="preserve"> </w:t>
      </w:r>
      <w:r>
        <w:t xml:space="preserve">Sinha 2018, PMID 28853742.</w:t>
      </w:r>
    </w:p>
  </w:footnote>
  <w:footnote w:id="1930">
    <w:p>
      <w:pPr>
        <w:pStyle w:val="FootnoteText"/>
      </w:pPr>
      <w:r>
        <w:rPr>
          <w:rStyle w:val="FootnoteReference"/>
        </w:rPr>
        <w:footnoteRef/>
      </w:r>
      <w:r>
        <w:t xml:space="preserve"> </w:t>
      </w:r>
      <w:r>
        <w:t xml:space="preserve">Leal 2014, PMID 24619793.</w:t>
      </w:r>
    </w:p>
  </w:footnote>
  <w:footnote w:id="1931">
    <w:p>
      <w:pPr>
        <w:pStyle w:val="FootnoteText"/>
      </w:pPr>
      <w:r>
        <w:rPr>
          <w:rStyle w:val="FootnoteReference"/>
        </w:rPr>
        <w:footnoteRef/>
      </w:r>
      <w:r>
        <w:t xml:space="preserve"> </w:t>
      </w:r>
      <w:r>
        <w:t xml:space="preserve">Hauser 2009, PMID 19230029.</w:t>
      </w:r>
    </w:p>
  </w:footnote>
  <w:footnote w:id="1932">
    <w:p>
      <w:pPr>
        <w:pStyle w:val="FootnoteText"/>
      </w:pPr>
      <w:r>
        <w:rPr>
          <w:rStyle w:val="FootnoteReference"/>
        </w:rPr>
        <w:footnoteRef/>
      </w:r>
      <w:r>
        <w:t xml:space="preserve"> </w:t>
      </w:r>
      <w:r>
        <w:t xml:space="preserve">Mischley 2017, PMID 28436395.</w:t>
      </w:r>
    </w:p>
  </w:footnote>
  <w:footnote w:id="1933">
    <w:p>
      <w:pPr>
        <w:pStyle w:val="FootnoteText"/>
      </w:pPr>
      <w:r>
        <w:rPr>
          <w:rStyle w:val="FootnoteReference"/>
        </w:rPr>
        <w:footnoteRef/>
      </w:r>
      <w:r>
        <w:t xml:space="preserve"> </w:t>
      </w:r>
      <w:r>
        <w:t xml:space="preserve">Bozic 2020, PMID 32960827.</w:t>
      </w:r>
    </w:p>
  </w:footnote>
  <w:footnote w:id="1934">
    <w:p>
      <w:pPr>
        <w:pStyle w:val="FootnoteText"/>
      </w:pPr>
      <w:r>
        <w:rPr>
          <w:rStyle w:val="FootnoteReference"/>
        </w:rPr>
        <w:footnoteRef/>
      </w:r>
      <w:r>
        <w:t xml:space="preserve"> </w:t>
      </w:r>
      <w:r>
        <w:t xml:space="preserve">Søndergård 2021, PMID 33740389.</w:t>
      </w:r>
    </w:p>
  </w:footnote>
  <w:footnote w:id="1935">
    <w:p>
      <w:pPr>
        <w:pStyle w:val="FootnoteText"/>
      </w:pPr>
      <w:r>
        <w:rPr>
          <w:rStyle w:val="FootnoteReference"/>
        </w:rPr>
        <w:footnoteRef/>
      </w:r>
      <w:r>
        <w:t xml:space="preserve"> </w:t>
      </w:r>
      <w:r>
        <w:t xml:space="preserve">Honda 2017, PMID 28789631.</w:t>
      </w:r>
    </w:p>
  </w:footnote>
  <w:footnote w:id="1936">
    <w:p>
      <w:pPr>
        <w:pStyle w:val="FootnoteText"/>
      </w:pPr>
      <w:r>
        <w:rPr>
          <w:rStyle w:val="FootnoteReference"/>
        </w:rPr>
        <w:footnoteRef/>
      </w:r>
      <w:r>
        <w:t xml:space="preserve"> </w:t>
      </w:r>
      <w:r>
        <w:t xml:space="preserve">Arrivi 2023, PMID 36083043.</w:t>
      </w:r>
    </w:p>
  </w:footnote>
  <w:footnote w:id="1938">
    <w:p>
      <w:pPr>
        <w:pStyle w:val="FootnoteText"/>
      </w:pPr>
      <w:r>
        <w:rPr>
          <w:rStyle w:val="FootnoteReference"/>
        </w:rPr>
        <w:footnoteRef/>
      </w:r>
      <w:r>
        <w:t xml:space="preserve"> </w:t>
      </w:r>
      <w:r>
        <w:t xml:space="preserve">Arjinpathana 2012, PMID 20524875.</w:t>
      </w:r>
    </w:p>
  </w:footnote>
  <w:footnote w:id="1939">
    <w:p>
      <w:pPr>
        <w:pStyle w:val="FootnoteText"/>
      </w:pPr>
      <w:r>
        <w:rPr>
          <w:rStyle w:val="FootnoteReference"/>
        </w:rPr>
        <w:footnoteRef/>
      </w:r>
      <w:r>
        <w:t xml:space="preserve"> </w:t>
      </w:r>
      <w:r>
        <w:t xml:space="preserve">Dilokthornsakul 2019, PMID 30895708.</w:t>
      </w:r>
    </w:p>
  </w:footnote>
  <w:footnote w:id="1940">
    <w:p>
      <w:pPr>
        <w:pStyle w:val="FootnoteText"/>
      </w:pPr>
      <w:r>
        <w:rPr>
          <w:rStyle w:val="FootnoteReference"/>
        </w:rPr>
        <w:footnoteRef/>
      </w:r>
      <w:r>
        <w:t xml:space="preserve"> </w:t>
      </w:r>
      <w:r>
        <w:t xml:space="preserve">Sarkar 2025, PMID 39444151.</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Davids 2016, PMID 27499402.</w:t>
      </w:r>
    </w:p>
  </w:footnote>
  <w:footnote w:id="1943">
    <w:p>
      <w:pPr>
        <w:pStyle w:val="FootnoteText"/>
      </w:pPr>
      <w:r>
        <w:rPr>
          <w:rStyle w:val="FootnoteReference"/>
        </w:rPr>
        <w:footnoteRef/>
      </w:r>
      <w:r>
        <w:t xml:space="preserve"> </w:t>
      </w:r>
      <w:r>
        <w:t xml:space="preserve">Dadzie 2016, PMID 27581922.</w:t>
      </w:r>
    </w:p>
  </w:footnote>
  <w:footnote w:id="1947">
    <w:p>
      <w:pPr>
        <w:pStyle w:val="FootnoteText"/>
      </w:pPr>
      <w:r>
        <w:rPr>
          <w:rStyle w:val="FootnoteReference"/>
        </w:rPr>
        <w:footnoteRef/>
      </w:r>
      <w:r>
        <w:t xml:space="preserve"> </w:t>
      </w:r>
      <w:r>
        <w:t xml:space="preserve">Mischley 2017, PMID 28436395.</w:t>
      </w:r>
    </w:p>
  </w:footnote>
  <w:footnote w:id="1948">
    <w:p>
      <w:pPr>
        <w:pStyle w:val="FootnoteText"/>
      </w:pPr>
      <w:r>
        <w:rPr>
          <w:rStyle w:val="FootnoteReference"/>
        </w:rPr>
        <w:footnoteRef/>
      </w:r>
      <w:r>
        <w:t xml:space="preserve"> </w:t>
      </w:r>
      <w:r>
        <w:t xml:space="preserve">Davids 2016, PMID 27499402.</w:t>
      </w:r>
    </w:p>
  </w:footnote>
  <w:footnote w:id="1949">
    <w:p>
      <w:pPr>
        <w:pStyle w:val="FootnoteText"/>
      </w:pPr>
      <w:r>
        <w:rPr>
          <w:rStyle w:val="FootnoteReference"/>
        </w:rPr>
        <w:footnoteRef/>
      </w:r>
      <w:r>
        <w:t xml:space="preserve"> </w:t>
      </w:r>
      <w:r>
        <w:t xml:space="preserve">Leal 2014, PMID 24619793.</w:t>
      </w:r>
    </w:p>
  </w:footnote>
  <w:footnote w:id="1952">
    <w:p>
      <w:pPr>
        <w:pStyle w:val="FootnoteText"/>
      </w:pPr>
      <w:r>
        <w:rPr>
          <w:rStyle w:val="FootnoteReference"/>
        </w:rPr>
        <w:footnoteRef/>
      </w:r>
      <w:r>
        <w:t xml:space="preserve"> </w:t>
      </w:r>
      <w:r>
        <w:t xml:space="preserve">NCT07448415.</w:t>
      </w:r>
    </w:p>
  </w:footnote>
  <w:footnote w:id="1957">
    <w:p>
      <w:pPr>
        <w:pStyle w:val="FootnoteText"/>
      </w:pPr>
      <w:r>
        <w:rPr>
          <w:rStyle w:val="FootnoteReference"/>
        </w:rPr>
        <w:footnoteRef/>
      </w:r>
      <w:r>
        <w:t xml:space="preserve"> </w:t>
      </w:r>
      <w:r>
        <w:t xml:space="preserve">Hadley 2006, PMID 16412534.</w:t>
      </w:r>
    </w:p>
  </w:footnote>
  <w:footnote w:id="1958">
    <w:p>
      <w:pPr>
        <w:pStyle w:val="FootnoteText"/>
      </w:pPr>
      <w:r>
        <w:rPr>
          <w:rStyle w:val="FootnoteReference"/>
        </w:rPr>
        <w:footnoteRef/>
      </w:r>
      <w:r>
        <w:t xml:space="preserve"> </w:t>
      </w:r>
      <w:r>
        <w:t xml:space="preserve">Hadley 2005, PMID 15996790.</w:t>
      </w:r>
    </w:p>
  </w:footnote>
  <w:footnote w:id="1963">
    <w:p>
      <w:pPr>
        <w:pStyle w:val="FootnoteText"/>
      </w:pPr>
      <w:r>
        <w:rPr>
          <w:rStyle w:val="FootnoteReference"/>
        </w:rPr>
        <w:footnoteRef/>
      </w:r>
      <w:r>
        <w:t xml:space="preserve"> </w:t>
      </w:r>
      <w:r>
        <w:t xml:space="preserve">Hadley 2006, PMID 16412534.</w:t>
      </w:r>
    </w:p>
  </w:footnote>
  <w:footnote w:id="1964">
    <w:p>
      <w:pPr>
        <w:pStyle w:val="FootnoteText"/>
      </w:pPr>
      <w:r>
        <w:rPr>
          <w:rStyle w:val="FootnoteReference"/>
        </w:rPr>
        <w:footnoteRef/>
      </w:r>
      <w:r>
        <w:t xml:space="preserve"> </w:t>
      </w:r>
      <w:r>
        <w:t xml:space="preserve">Dhillon 2019, PMID 31429064.</w:t>
      </w:r>
    </w:p>
  </w:footnote>
  <w:footnote w:id="1966">
    <w:p>
      <w:pPr>
        <w:pStyle w:val="FootnoteText"/>
      </w:pPr>
      <w:r>
        <w:rPr>
          <w:rStyle w:val="FootnoteReference"/>
        </w:rPr>
        <w:footnoteRef/>
      </w:r>
      <w:r>
        <w:t xml:space="preserve"> </w:t>
      </w:r>
      <w:r>
        <w:t xml:space="preserve">Hadley 2005, PMID 15996790.</w:t>
      </w:r>
    </w:p>
  </w:footnote>
  <w:footnote w:id="1967">
    <w:p>
      <w:pPr>
        <w:pStyle w:val="FootnoteText"/>
      </w:pPr>
      <w:r>
        <w:rPr>
          <w:rStyle w:val="FootnoteReference"/>
        </w:rPr>
        <w:footnoteRef/>
      </w:r>
      <w:r>
        <w:t xml:space="preserve"> </w:t>
      </w:r>
      <w:r>
        <w:t xml:space="preserve">Pfaus 2022, PMID 33455598.</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Thurston 2022, PMID 36189794.</w:t>
      </w:r>
    </w:p>
  </w:footnote>
  <w:footnote w:id="1971">
    <w:p>
      <w:pPr>
        <w:pStyle w:val="FootnoteText"/>
      </w:pPr>
      <w:r>
        <w:rPr>
          <w:rStyle w:val="FootnoteReference"/>
        </w:rPr>
        <w:footnoteRef/>
      </w:r>
      <w:r>
        <w:t xml:space="preserve"> </w:t>
      </w:r>
      <w:r>
        <w:t xml:space="preserve">Diamond 2004, PMID 14963471.</w:t>
      </w:r>
    </w:p>
  </w:footnote>
  <w:footnote w:id="1972">
    <w:p>
      <w:pPr>
        <w:pStyle w:val="FootnoteText"/>
      </w:pPr>
      <w:r>
        <w:rPr>
          <w:rStyle w:val="FootnoteReference"/>
        </w:rPr>
        <w:footnoteRef/>
      </w:r>
      <w:r>
        <w:t xml:space="preserve"> </w:t>
      </w:r>
      <w:r>
        <w:t xml:space="preserve">Rosen 2004, PMID 14999221.</w:t>
      </w:r>
    </w:p>
  </w:footnote>
  <w:footnote w:id="1973">
    <w:p>
      <w:pPr>
        <w:pStyle w:val="FootnoteText"/>
      </w:pPr>
      <w:r>
        <w:rPr>
          <w:rStyle w:val="FootnoteReference"/>
        </w:rPr>
        <w:footnoteRef/>
      </w:r>
      <w:r>
        <w:t xml:space="preserve"> </w:t>
      </w:r>
      <w:r>
        <w:t xml:space="preserve">Diamond 2005, PMID 15833522.</w:t>
      </w:r>
    </w:p>
  </w:footnote>
  <w:footnote w:id="1974">
    <w:p>
      <w:pPr>
        <w:pStyle w:val="FootnoteText"/>
      </w:pPr>
      <w:r>
        <w:rPr>
          <w:rStyle w:val="FootnoteReference"/>
        </w:rPr>
        <w:footnoteRef/>
      </w:r>
      <w:r>
        <w:t xml:space="preserve"> </w:t>
      </w:r>
      <w:r>
        <w:t xml:space="preserve">Safarinejad 2008, PMID 18206919.</w:t>
      </w:r>
    </w:p>
  </w:footnote>
  <w:footnote w:id="1975">
    <w:p>
      <w:pPr>
        <w:pStyle w:val="FootnoteText"/>
      </w:pPr>
      <w:r>
        <w:rPr>
          <w:rStyle w:val="FootnoteReference"/>
        </w:rPr>
        <w:footnoteRef/>
      </w:r>
      <w:r>
        <w:t xml:space="preserve"> </w:t>
      </w:r>
      <w:r>
        <w:t xml:space="preserve">Safarinejad 2008, PMID 18179455.</w:t>
      </w:r>
    </w:p>
  </w:footnote>
  <w:footnote w:id="1977">
    <w:p>
      <w:pPr>
        <w:pStyle w:val="FootnoteText"/>
      </w:pPr>
      <w:r>
        <w:rPr>
          <w:rStyle w:val="FootnoteReference"/>
        </w:rPr>
        <w:footnoteRef/>
      </w:r>
      <w:r>
        <w:t xml:space="preserve"> </w:t>
      </w:r>
      <w:r>
        <w:t xml:space="preserve">Diamond 2006, PMID 16839319.</w:t>
      </w:r>
    </w:p>
  </w:footnote>
  <w:footnote w:id="1978">
    <w:p>
      <w:pPr>
        <w:pStyle w:val="FootnoteText"/>
      </w:pPr>
      <w:r>
        <w:rPr>
          <w:rStyle w:val="FootnoteReference"/>
        </w:rPr>
        <w:footnoteRef/>
      </w:r>
      <w:r>
        <w:t xml:space="preserve"> </w:t>
      </w:r>
      <w:r>
        <w:t xml:space="preserve">Clayton 2016, PMID 27181790; NCT01382719.</w:t>
      </w:r>
    </w:p>
  </w:footnote>
  <w:footnote w:id="1979">
    <w:p>
      <w:pPr>
        <w:pStyle w:val="FootnoteText"/>
      </w:pPr>
      <w:r>
        <w:rPr>
          <w:rStyle w:val="FootnoteReference"/>
        </w:rPr>
        <w:footnoteRef/>
      </w:r>
      <w:r>
        <w:t xml:space="preserve"> </w:t>
      </w:r>
      <w:r>
        <w:t xml:space="preserve">Althof 2019, PMID 31277966.</w:t>
      </w:r>
    </w:p>
  </w:footnote>
  <w:footnote w:id="1981">
    <w:p>
      <w:pPr>
        <w:pStyle w:val="FootnoteText"/>
      </w:pPr>
      <w:r>
        <w:rPr>
          <w:rStyle w:val="FootnoteReference"/>
        </w:rPr>
        <w:footnoteRef/>
      </w:r>
      <w:r>
        <w:t xml:space="preserve"> </w:t>
      </w:r>
      <w:r>
        <w:t xml:space="preserve">NCT02333071, NCT02338960.</w:t>
      </w:r>
    </w:p>
  </w:footnote>
  <w:footnote w:id="1982">
    <w:p>
      <w:pPr>
        <w:pStyle w:val="FootnoteText"/>
      </w:pPr>
      <w:r>
        <w:rPr>
          <w:rStyle w:val="FootnoteReference"/>
        </w:rPr>
        <w:footnoteRef/>
      </w:r>
      <w:r>
        <w:t xml:space="preserve"> </w:t>
      </w:r>
      <w:r>
        <w:t xml:space="preserve">Kingsberg 2019, PMID 31599840.</w:t>
      </w:r>
    </w:p>
  </w:footnote>
  <w:footnote w:id="1983">
    <w:p>
      <w:pPr>
        <w:pStyle w:val="FootnoteText"/>
      </w:pPr>
      <w:r>
        <w:rPr>
          <w:rStyle w:val="FootnoteReference"/>
        </w:rPr>
        <w:footnoteRef/>
      </w:r>
      <w:r>
        <w:t xml:space="preserve"> </w:t>
      </w:r>
      <w:r>
        <w:t xml:space="preserve">Koochaki 2021, PMID 33538638.</w:t>
      </w:r>
    </w:p>
  </w:footnote>
  <w:footnote w:id="1985">
    <w:p>
      <w:pPr>
        <w:pStyle w:val="FootnoteText"/>
      </w:pPr>
      <w:r>
        <w:rPr>
          <w:rStyle w:val="FootnoteReference"/>
        </w:rPr>
        <w:footnoteRef/>
      </w:r>
      <w:r>
        <w:t xml:space="preserve"> </w:t>
      </w:r>
      <w:r>
        <w:t xml:space="preserve">Spielmans 2021, PMID 33678061.</w:t>
      </w:r>
    </w:p>
  </w:footnote>
  <w:footnote w:id="1986">
    <w:p>
      <w:pPr>
        <w:pStyle w:val="FootnoteText"/>
      </w:pPr>
      <w:r>
        <w:rPr>
          <w:rStyle w:val="FootnoteReference"/>
        </w:rPr>
        <w:footnoteRef/>
      </w:r>
      <w:r>
        <w:t xml:space="preserve"> </w:t>
      </w:r>
      <w:r>
        <w:t xml:space="preserve">Clayton 2022, PMID 35147466.</w:t>
      </w:r>
    </w:p>
  </w:footnote>
  <w:footnote w:id="1988">
    <w:p>
      <w:pPr>
        <w:pStyle w:val="FootnoteText"/>
      </w:pPr>
      <w:r>
        <w:rPr>
          <w:rStyle w:val="FootnoteReference"/>
        </w:rPr>
        <w:footnoteRef/>
      </w:r>
      <w:r>
        <w:t xml:space="preserve"> </w:t>
      </w:r>
      <w:r>
        <w:t xml:space="preserve">Weinberger 2018, PMID 29995725.</w:t>
      </w:r>
    </w:p>
  </w:footnote>
  <w:footnote w:id="1989">
    <w:p>
      <w:pPr>
        <w:pStyle w:val="FootnoteText"/>
      </w:pPr>
      <w:r>
        <w:rPr>
          <w:rStyle w:val="FootnoteReference"/>
        </w:rPr>
        <w:footnoteRef/>
      </w:r>
      <w:r>
        <w:t xml:space="preserve"> </w:t>
      </w:r>
      <w:r>
        <w:t xml:space="preserve">Toledo 2026, PMID 40543759.</w:t>
      </w:r>
    </w:p>
  </w:footnote>
  <w:footnote w:id="1990">
    <w:p>
      <w:pPr>
        <w:pStyle w:val="FootnoteText"/>
      </w:pPr>
      <w:r>
        <w:rPr>
          <w:rStyle w:val="FootnoteReference"/>
        </w:rPr>
        <w:footnoteRef/>
      </w:r>
      <w:r>
        <w:t xml:space="preserve"> </w:t>
      </w:r>
      <w:r>
        <w:t xml:space="preserve">Ashour 2026, PMID 42254382.</w:t>
      </w:r>
    </w:p>
  </w:footnote>
  <w:footnote w:id="1992">
    <w:p>
      <w:pPr>
        <w:pStyle w:val="FootnoteText"/>
      </w:pPr>
      <w:r>
        <w:rPr>
          <w:rStyle w:val="FootnoteReference"/>
        </w:rPr>
        <w:footnoteRef/>
      </w:r>
      <w:r>
        <w:t xml:space="preserve"> </w:t>
      </w:r>
      <w:r>
        <w:t xml:space="preserve">Clayton 2017, PMID 28189361.</w:t>
      </w:r>
    </w:p>
  </w:footnote>
  <w:footnote w:id="1993">
    <w:p>
      <w:pPr>
        <w:pStyle w:val="FootnoteText"/>
      </w:pPr>
      <w:r>
        <w:rPr>
          <w:rStyle w:val="FootnoteReference"/>
        </w:rPr>
        <w:footnoteRef/>
      </w:r>
      <w:r>
        <w:t xml:space="preserve"> </w:t>
      </w:r>
      <w:r>
        <w:t xml:space="preserve">Spana 2022, PMID 35170192.</w:t>
      </w:r>
    </w:p>
  </w:footnote>
  <w:footnote w:id="1994">
    <w:p>
      <w:pPr>
        <w:pStyle w:val="FootnoteText"/>
      </w:pPr>
      <w:r>
        <w:rPr>
          <w:rStyle w:val="FootnoteReference"/>
        </w:rPr>
        <w:footnoteRef/>
      </w:r>
      <w:r>
        <w:t xml:space="preserve"> </w:t>
      </w:r>
      <w:r>
        <w:t xml:space="preserve">Thurston 2022, PMID 36189794; NCT04179734.</w:t>
      </w:r>
    </w:p>
  </w:footnote>
  <w:footnote w:id="1997">
    <w:p>
      <w:pPr>
        <w:pStyle w:val="FootnoteText"/>
      </w:pPr>
      <w:r>
        <w:rPr>
          <w:rStyle w:val="FootnoteReference"/>
        </w:rPr>
        <w:footnoteRef/>
      </w:r>
      <w:r>
        <w:t xml:space="preserve"> </w:t>
      </w:r>
      <w:r>
        <w:t xml:space="preserve">Pfaus 2022, PMID 33455598.</w:t>
      </w:r>
    </w:p>
  </w:footnote>
  <w:footnote w:id="1998">
    <w:p>
      <w:pPr>
        <w:pStyle w:val="FootnoteText"/>
      </w:pPr>
      <w:r>
        <w:rPr>
          <w:rStyle w:val="FootnoteReference"/>
        </w:rPr>
        <w:footnoteRef/>
      </w:r>
      <w:r>
        <w:t xml:space="preserve"> </w:t>
      </w:r>
      <w:r>
        <w:t xml:space="preserve">Borland 2025, PMID 39793696.</w:t>
      </w:r>
    </w:p>
  </w:footnote>
  <w:footnote w:id="1999">
    <w:p>
      <w:pPr>
        <w:pStyle w:val="FootnoteText"/>
      </w:pPr>
      <w:r>
        <w:rPr>
          <w:rStyle w:val="FootnoteReference"/>
        </w:rPr>
        <w:footnoteRef/>
      </w:r>
      <w:r>
        <w:t xml:space="preserve"> </w:t>
      </w:r>
      <w:r>
        <w:t xml:space="preserve">Suzuki 2024, PMID 39197897.</w:t>
      </w:r>
    </w:p>
  </w:footnote>
  <w:footnote w:id="2001">
    <w:p>
      <w:pPr>
        <w:pStyle w:val="FootnoteText"/>
      </w:pPr>
      <w:r>
        <w:rPr>
          <w:rStyle w:val="FootnoteReference"/>
        </w:rPr>
        <w:footnoteRef/>
      </w:r>
      <w:r>
        <w:t xml:space="preserve"> </w:t>
      </w:r>
      <w:r>
        <w:t xml:space="preserve">Clayton 2022, PMID 35147466.</w:t>
      </w:r>
    </w:p>
  </w:footnote>
  <w:footnote w:id="2002">
    <w:p>
      <w:pPr>
        <w:pStyle w:val="FootnoteText"/>
      </w:pPr>
      <w:r>
        <w:rPr>
          <w:rStyle w:val="FootnoteReference"/>
        </w:rPr>
        <w:footnoteRef/>
      </w:r>
      <w:r>
        <w:t xml:space="preserve"> </w:t>
      </w:r>
      <w:r>
        <w:t xml:space="preserve">NCT03973047.</w:t>
      </w:r>
    </w:p>
  </w:footnote>
  <w:footnote w:id="2003">
    <w:p>
      <w:pPr>
        <w:pStyle w:val="FootnoteText"/>
      </w:pPr>
      <w:r>
        <w:rPr>
          <w:rStyle w:val="FootnoteReference"/>
        </w:rPr>
        <w:footnoteRef/>
      </w:r>
      <w:r>
        <w:t xml:space="preserve"> </w:t>
      </w:r>
      <w:r>
        <w:t xml:space="preserve">White 2017, PMID 27977473.</w:t>
      </w:r>
    </w:p>
  </w:footnote>
  <w:footnote w:id="2004">
    <w:p>
      <w:pPr>
        <w:pStyle w:val="FootnoteText"/>
      </w:pPr>
      <w:r>
        <w:rPr>
          <w:rStyle w:val="FootnoteReference"/>
        </w:rPr>
        <w:footnoteRef/>
      </w:r>
      <w:r>
        <w:t xml:space="preserve"> </w:t>
      </w:r>
      <w:r>
        <w:t xml:space="preserve">Clayton 2022, PMID 35147466.</w:t>
      </w:r>
    </w:p>
  </w:footnote>
  <w:footnote w:id="2005">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NCT06867835.</w:t>
      </w:r>
    </w:p>
  </w:footnote>
  <w:footnote w:id="2009">
    <w:p>
      <w:pPr>
        <w:pStyle w:val="FootnoteText"/>
      </w:pPr>
      <w:r>
        <w:rPr>
          <w:rStyle w:val="FootnoteReference"/>
        </w:rPr>
        <w:footnoteRef/>
      </w:r>
      <w:r>
        <w:t xml:space="preserve"> </w:t>
      </w:r>
      <w:r>
        <w:t xml:space="preserve">Mestria 2021, PMID 33245851.</w:t>
      </w:r>
    </w:p>
  </w:footnote>
  <w:footnote w:id="2012">
    <w:p>
      <w:pPr>
        <w:pStyle w:val="FootnoteText"/>
      </w:pPr>
      <w:r>
        <w:rPr>
          <w:rStyle w:val="FootnoteReference"/>
        </w:rPr>
        <w:footnoteRef/>
      </w:r>
      <w:r>
        <w:t xml:space="preserve"> </w:t>
      </w:r>
      <w:r>
        <w:t xml:space="preserve">NCT04943068.</w:t>
      </w:r>
    </w:p>
  </w:footnote>
  <w:footnote w:id="2014">
    <w:p>
      <w:pPr>
        <w:pStyle w:val="FootnoteText"/>
      </w:pPr>
      <w:r>
        <w:rPr>
          <w:rStyle w:val="FootnoteReference"/>
        </w:rPr>
        <w:footnoteRef/>
      </w:r>
      <w:r>
        <w:t xml:space="preserve"> </w:t>
      </w:r>
      <w:r>
        <w:t xml:space="preserve">NCT06565611.</w:t>
      </w:r>
    </w:p>
  </w:footnote>
  <w:footnote w:id="2015">
    <w:p>
      <w:pPr>
        <w:pStyle w:val="FootnoteText"/>
      </w:pPr>
      <w:r>
        <w:rPr>
          <w:rStyle w:val="FootnoteReference"/>
        </w:rPr>
        <w:footnoteRef/>
      </w:r>
      <w:r>
        <w:t xml:space="preserve"> </w:t>
      </w:r>
      <w:r>
        <w:t xml:space="preserve">NCT05709444.</w:t>
      </w:r>
    </w:p>
  </w:footnote>
  <w:footnote w:id="2016">
    <w:p>
      <w:pPr>
        <w:pStyle w:val="FootnoteText"/>
      </w:pPr>
      <w:r>
        <w:rPr>
          <w:rStyle w:val="FootnoteReference"/>
        </w:rPr>
        <w:footnoteRef/>
      </w:r>
      <w:r>
        <w:t xml:space="preserve"> </w:t>
      </w:r>
      <w:r>
        <w:t xml:space="preserve">NCT06867835.</w:t>
      </w:r>
    </w:p>
  </w:footnote>
  <w:footnote w:id="2020">
    <w:p>
      <w:pPr>
        <w:pStyle w:val="FootnoteText"/>
      </w:pPr>
      <w:r>
        <w:rPr>
          <w:rStyle w:val="FootnoteReference"/>
        </w:rPr>
        <w:footnoteRef/>
      </w:r>
      <w:r>
        <w:t xml:space="preserve"> </w:t>
      </w:r>
      <w:r>
        <w:t xml:space="preserve">Dorr 1996, PMID 8637402.</w:t>
      </w:r>
    </w:p>
  </w:footnote>
  <w:footnote w:id="2021">
    <w:p>
      <w:pPr>
        <w:pStyle w:val="FootnoteText"/>
      </w:pPr>
      <w:r>
        <w:rPr>
          <w:rStyle w:val="FootnoteReference"/>
        </w:rPr>
        <w:footnoteRef/>
      </w:r>
      <w:r>
        <w:t xml:space="preserve"> </w:t>
      </w:r>
      <w:r>
        <w:t xml:space="preserve">Hadley 2006, PMID 16412534.</w:t>
      </w:r>
    </w:p>
  </w:footnote>
  <w:footnote w:id="2023">
    <w:p>
      <w:pPr>
        <w:pStyle w:val="FootnoteText"/>
      </w:pPr>
      <w:r>
        <w:rPr>
          <w:rStyle w:val="FootnoteReference"/>
        </w:rPr>
        <w:footnoteRef/>
      </w:r>
      <w:r>
        <w:t xml:space="preserve"> </w:t>
      </w:r>
      <w:r>
        <w:t xml:space="preserve">Langan 2011, PMID 21547334.</w:t>
      </w:r>
    </w:p>
  </w:footnote>
  <w:footnote w:id="2025">
    <w:p>
      <w:pPr>
        <w:pStyle w:val="FootnoteText"/>
      </w:pPr>
      <w:r>
        <w:rPr>
          <w:rStyle w:val="FootnoteReference"/>
        </w:rPr>
        <w:footnoteRef/>
      </w:r>
      <w:r>
        <w:t xml:space="preserve"> </w:t>
      </w:r>
      <w:r>
        <w:t xml:space="preserve">Dorr 1996, PMID 8637402.</w:t>
      </w:r>
    </w:p>
  </w:footnote>
  <w:footnote w:id="2026">
    <w:p>
      <w:pPr>
        <w:pStyle w:val="FootnoteText"/>
      </w:pPr>
      <w:r>
        <w:rPr>
          <w:rStyle w:val="FootnoteReference"/>
        </w:rPr>
        <w:footnoteRef/>
      </w:r>
      <w:r>
        <w:t xml:space="preserve"> </w:t>
      </w:r>
      <w:r>
        <w:t xml:space="preserve">Wessells 1998, PMID 9679884; Wessells 2000, PMID 11018622.</w:t>
      </w:r>
    </w:p>
  </w:footnote>
  <w:footnote w:id="2027">
    <w:p>
      <w:pPr>
        <w:pStyle w:val="FootnoteText"/>
      </w:pPr>
      <w:r>
        <w:rPr>
          <w:rStyle w:val="FootnoteReference"/>
        </w:rPr>
        <w:footnoteRef/>
      </w:r>
      <w:r>
        <w:t xml:space="preserve"> </w:t>
      </w:r>
      <w:r>
        <w:t xml:space="preserve">Wessells 2000, PMID 11035391.</w:t>
      </w:r>
    </w:p>
  </w:footnote>
  <w:footnote w:id="2029">
    <w:p>
      <w:pPr>
        <w:pStyle w:val="FootnoteText"/>
      </w:pPr>
      <w:r>
        <w:rPr>
          <w:rStyle w:val="FootnoteReference"/>
        </w:rPr>
        <w:footnoteRef/>
      </w:r>
      <w:r>
        <w:t xml:space="preserve"> </w:t>
      </w:r>
      <w:r>
        <w:t xml:space="preserve">Dorr 2000, PMID 11045725.</w:t>
      </w:r>
    </w:p>
  </w:footnote>
  <w:footnote w:id="2030">
    <w:p>
      <w:pPr>
        <w:pStyle w:val="FootnoteText"/>
      </w:pPr>
      <w:r>
        <w:rPr>
          <w:rStyle w:val="FootnoteReference"/>
        </w:rPr>
        <w:footnoteRef/>
      </w:r>
      <w:r>
        <w:t xml:space="preserve"> </w:t>
      </w:r>
      <w:r>
        <w:t xml:space="preserve">Dorr 2004, PMID 15262693.</w:t>
      </w:r>
    </w:p>
  </w:footnote>
  <w:footnote w:id="2032">
    <w:p>
      <w:pPr>
        <w:pStyle w:val="FootnoteText"/>
      </w:pPr>
      <w:r>
        <w:rPr>
          <w:rStyle w:val="FootnoteReference"/>
        </w:rPr>
        <w:footnoteRef/>
      </w:r>
      <w:r>
        <w:t xml:space="preserve"> </w:t>
      </w:r>
      <w:r>
        <w:t xml:space="preserve">Evans-Brown 2009, PMID 19224885.</w:t>
      </w:r>
    </w:p>
  </w:footnote>
  <w:footnote w:id="2033">
    <w:p>
      <w:pPr>
        <w:pStyle w:val="FootnoteText"/>
      </w:pPr>
      <w:r>
        <w:rPr>
          <w:rStyle w:val="FootnoteReference"/>
        </w:rPr>
        <w:footnoteRef/>
      </w:r>
      <w:r>
        <w:t xml:space="preserve"> </w:t>
      </w:r>
      <w:r>
        <w:t xml:space="preserve">Brennan 2017, PMID 26806443.</w:t>
      </w:r>
    </w:p>
  </w:footnote>
  <w:footnote w:id="2034">
    <w:p>
      <w:pPr>
        <w:pStyle w:val="FootnoteText"/>
      </w:pPr>
      <w:r>
        <w:rPr>
          <w:rStyle w:val="FootnoteReference"/>
        </w:rPr>
        <w:footnoteRef/>
      </w:r>
      <w:r>
        <w:t xml:space="preserve"> </w:t>
      </w:r>
      <w:r>
        <w:t xml:space="preserve">Gilhooley 2021, PMID 34464955.</w:t>
      </w:r>
    </w:p>
  </w:footnote>
  <w:footnote w:id="2035">
    <w:p>
      <w:pPr>
        <w:pStyle w:val="FootnoteText"/>
      </w:pPr>
      <w:r>
        <w:rPr>
          <w:rStyle w:val="FootnoteReference"/>
        </w:rPr>
        <w:footnoteRef/>
      </w:r>
      <w:r>
        <w:t xml:space="preserve"> </w:t>
      </w:r>
      <w:r>
        <w:t xml:space="preserve">Callaghan 2018, PMID 30142729.</w:t>
      </w:r>
    </w:p>
  </w:footnote>
  <w:footnote w:id="2036">
    <w:p>
      <w:pPr>
        <w:pStyle w:val="FootnoteText"/>
      </w:pPr>
      <w:r>
        <w:rPr>
          <w:rStyle w:val="FootnoteReference"/>
        </w:rPr>
        <w:footnoteRef/>
      </w:r>
      <w:r>
        <w:t xml:space="preserve"> </w:t>
      </w:r>
      <w:r>
        <w:t xml:space="preserve">Orr 2025, PMID 38808957; Herlihy 2025, PMID 39148422; Sidhu 2026, PMID 41559011.</w:t>
      </w:r>
    </w:p>
  </w:footnote>
  <w:footnote w:id="2039">
    <w:p>
      <w:pPr>
        <w:pStyle w:val="FootnoteText"/>
      </w:pPr>
      <w:r>
        <w:rPr>
          <w:rStyle w:val="FootnoteReference"/>
        </w:rPr>
        <w:footnoteRef/>
      </w:r>
      <w:r>
        <w:t xml:space="preserve"> </w:t>
      </w:r>
      <w:r>
        <w:t xml:space="preserve">Strader 2007, PMID 17567964.</w:t>
      </w:r>
    </w:p>
  </w:footnote>
  <w:footnote w:id="2040">
    <w:p>
      <w:pPr>
        <w:pStyle w:val="FootnoteText"/>
      </w:pPr>
      <w:r>
        <w:rPr>
          <w:rStyle w:val="FootnoteReference"/>
        </w:rPr>
        <w:footnoteRef/>
      </w:r>
      <w:r>
        <w:t xml:space="preserve"> </w:t>
      </w:r>
      <w:r>
        <w:t xml:space="preserve">Jain 2018, PMID 29812984.</w:t>
      </w:r>
    </w:p>
  </w:footnote>
  <w:footnote w:id="2041">
    <w:p>
      <w:pPr>
        <w:pStyle w:val="FootnoteText"/>
      </w:pPr>
      <w:r>
        <w:rPr>
          <w:rStyle w:val="FootnoteReference"/>
        </w:rPr>
        <w:footnoteRef/>
      </w:r>
      <w:r>
        <w:t xml:space="preserve"> </w:t>
      </w:r>
      <w:r>
        <w:t xml:space="preserve">Minakova 2019, PMID 30629642.</w:t>
      </w:r>
    </w:p>
  </w:footnote>
  <w:footnote w:id="2043">
    <w:p>
      <w:pPr>
        <w:pStyle w:val="FootnoteText"/>
      </w:pPr>
      <w:r>
        <w:rPr>
          <w:rStyle w:val="FootnoteReference"/>
        </w:rPr>
        <w:footnoteRef/>
      </w:r>
      <w:r>
        <w:t xml:space="preserve"> </w:t>
      </w:r>
      <w:r>
        <w:t xml:space="preserve">Dorr 1996, PMID 8637402; Wessells 2000, PMID 11035391.</w:t>
      </w:r>
    </w:p>
  </w:footnote>
  <w:footnote w:id="2044">
    <w:p>
      <w:pPr>
        <w:pStyle w:val="FootnoteText"/>
      </w:pPr>
      <w:r>
        <w:rPr>
          <w:rStyle w:val="FootnoteReference"/>
        </w:rPr>
        <w:footnoteRef/>
      </w:r>
      <w:r>
        <w:t xml:space="preserve"> </w:t>
      </w:r>
      <w:r>
        <w:t xml:space="preserve">Paurobally 2013, PMID 22182016.</w:t>
      </w:r>
    </w:p>
  </w:footnote>
  <w:footnote w:id="2045">
    <w:p>
      <w:pPr>
        <w:pStyle w:val="FootnoteText"/>
      </w:pPr>
      <w:r>
        <w:rPr>
          <w:rStyle w:val="FootnoteReference"/>
        </w:rPr>
        <w:footnoteRef/>
      </w:r>
      <w:r>
        <w:t xml:space="preserve"> </w:t>
      </w:r>
      <w:r>
        <w:t xml:space="preserve">Bonchev 2026, PMID 41752902.</w:t>
      </w:r>
    </w:p>
  </w:footnote>
  <w:footnote w:id="2046">
    <w:p>
      <w:pPr>
        <w:pStyle w:val="FootnoteText"/>
      </w:pPr>
      <w:r>
        <w:rPr>
          <w:rStyle w:val="FootnoteReference"/>
        </w:rPr>
        <w:footnoteRef/>
      </w:r>
      <w:r>
        <w:t xml:space="preserve"> </w:t>
      </w:r>
      <w:r>
        <w:t xml:space="preserve">Ume 2026, PMID 42212476.</w:t>
      </w:r>
    </w:p>
  </w:footnote>
  <w:footnote w:id="2048">
    <w:p>
      <w:pPr>
        <w:pStyle w:val="FootnoteText"/>
      </w:pPr>
      <w:r>
        <w:rPr>
          <w:rStyle w:val="FootnoteReference"/>
        </w:rPr>
        <w:footnoteRef/>
      </w:r>
      <w:r>
        <w:t xml:space="preserve"> </w:t>
      </w:r>
      <w:r>
        <w:t xml:space="preserve">Cousen 2009, PMID 19575725; Thestrup-Pedersen 2011, PMID 21453640.</w:t>
      </w:r>
    </w:p>
  </w:footnote>
  <w:footnote w:id="2049">
    <w:p>
      <w:pPr>
        <w:pStyle w:val="FootnoteText"/>
      </w:pPr>
      <w:r>
        <w:rPr>
          <w:rStyle w:val="FootnoteReference"/>
        </w:rPr>
        <w:footnoteRef/>
      </w:r>
      <w:r>
        <w:t xml:space="preserve"> </w:t>
      </w:r>
      <w:r>
        <w:t xml:space="preserve">Reid 2013, PMID 23914578.</w:t>
      </w:r>
    </w:p>
  </w:footnote>
  <w:footnote w:id="2050">
    <w:p>
      <w:pPr>
        <w:pStyle w:val="FootnoteText"/>
      </w:pPr>
      <w:r>
        <w:rPr>
          <w:rStyle w:val="FootnoteReference"/>
        </w:rPr>
        <w:footnoteRef/>
      </w:r>
      <w:r>
        <w:t xml:space="preserve"> </w:t>
      </w:r>
      <w:r>
        <w:t xml:space="preserve">Paurobally 2011, PMID 21564053; Ong 2012, PMID 22724573.</w:t>
      </w:r>
    </w:p>
  </w:footnote>
  <w:footnote w:id="2051">
    <w:p>
      <w:pPr>
        <w:pStyle w:val="FootnoteText"/>
      </w:pPr>
      <w:r>
        <w:rPr>
          <w:rStyle w:val="FootnoteReference"/>
        </w:rPr>
        <w:footnoteRef/>
      </w:r>
      <w:r>
        <w:t xml:space="preserve"> </w:t>
      </w:r>
      <w:r>
        <w:t xml:space="preserve">Hjuler 2014, PMID 24355990.</w:t>
      </w:r>
    </w:p>
  </w:footnote>
  <w:footnote w:id="2052">
    <w:p>
      <w:pPr>
        <w:pStyle w:val="FootnoteText"/>
      </w:pPr>
      <w:r>
        <w:rPr>
          <w:rStyle w:val="FootnoteReference"/>
        </w:rPr>
        <w:footnoteRef/>
      </w:r>
      <w:r>
        <w:t xml:space="preserve"> </w:t>
      </w:r>
      <w:r>
        <w:t xml:space="preserve">Yassin Alsabbagh 2025, PMID 40210573.</w:t>
      </w:r>
    </w:p>
  </w:footnote>
  <w:footnote w:id="2053">
    <w:p>
      <w:pPr>
        <w:pStyle w:val="FootnoteText"/>
      </w:pPr>
      <w:r>
        <w:rPr>
          <w:rStyle w:val="FootnoteReference"/>
        </w:rPr>
        <w:footnoteRef/>
      </w:r>
      <w:r>
        <w:t xml:space="preserve"> </w:t>
      </w:r>
      <w:r>
        <w:t xml:space="preserve">Burian 2019, PMID 31119650.</w:t>
      </w:r>
    </w:p>
  </w:footnote>
  <w:footnote w:id="2054">
    <w:p>
      <w:pPr>
        <w:pStyle w:val="FootnoteText"/>
      </w:pPr>
      <w:r>
        <w:rPr>
          <w:rStyle w:val="FootnoteReference"/>
        </w:rPr>
        <w:footnoteRef/>
      </w:r>
      <w:r>
        <w:t xml:space="preserve"> </w:t>
      </w:r>
      <w:r>
        <w:t xml:space="preserve">Habbema 2017, PMID 28266027.</w:t>
      </w:r>
    </w:p>
  </w:footnote>
  <w:footnote w:id="2056">
    <w:p>
      <w:pPr>
        <w:pStyle w:val="FootnoteText"/>
      </w:pPr>
      <w:r>
        <w:rPr>
          <w:rStyle w:val="FootnoteReference"/>
        </w:rPr>
        <w:footnoteRef/>
      </w:r>
      <w:r>
        <w:t xml:space="preserve"> </w:t>
      </w:r>
      <w:r>
        <w:t xml:space="preserve">Devlin 2013, PMID 23537392; Dreyer 2019, PMID 30796078.</w:t>
      </w:r>
    </w:p>
  </w:footnote>
  <w:footnote w:id="2057">
    <w:p>
      <w:pPr>
        <w:pStyle w:val="FootnoteText"/>
      </w:pPr>
      <w:r>
        <w:rPr>
          <w:rStyle w:val="FootnoteReference"/>
        </w:rPr>
        <w:footnoteRef/>
      </w:r>
      <w:r>
        <w:t xml:space="preserve"> </w:t>
      </w:r>
      <w:r>
        <w:t xml:space="preserve">Mallory 2021, PMID 33460908.</w:t>
      </w:r>
    </w:p>
  </w:footnote>
  <w:footnote w:id="2058">
    <w:p>
      <w:pPr>
        <w:pStyle w:val="FootnoteText"/>
      </w:pPr>
      <w:r>
        <w:rPr>
          <w:rStyle w:val="FootnoteReference"/>
        </w:rPr>
        <w:footnoteRef/>
      </w:r>
      <w:r>
        <w:t xml:space="preserve"> </w:t>
      </w:r>
      <w:r>
        <w:t xml:space="preserve">Dreyer 2019, PMID 30796078.</w:t>
      </w:r>
    </w:p>
  </w:footnote>
  <w:footnote w:id="2059">
    <w:p>
      <w:pPr>
        <w:pStyle w:val="FootnoteText"/>
      </w:pPr>
      <w:r>
        <w:rPr>
          <w:rStyle w:val="FootnoteReference"/>
        </w:rPr>
        <w:footnoteRef/>
      </w:r>
      <w:r>
        <w:t xml:space="preserve"> </w:t>
      </w:r>
      <w:r>
        <w:t xml:space="preserve">Nelson 2012, PMID 23121206.</w:t>
      </w:r>
    </w:p>
  </w:footnote>
  <w:footnote w:id="2060">
    <w:p>
      <w:pPr>
        <w:pStyle w:val="FootnoteText"/>
      </w:pPr>
      <w:r>
        <w:rPr>
          <w:rStyle w:val="FootnoteReference"/>
        </w:rPr>
        <w:footnoteRef/>
      </w:r>
      <w:r>
        <w:t xml:space="preserve"> </w:t>
      </w:r>
      <w:r>
        <w:t xml:space="preserve">Peters 2020, PMID 31953620.</w:t>
      </w:r>
    </w:p>
  </w:footnote>
  <w:footnote w:id="2061">
    <w:p>
      <w:pPr>
        <w:pStyle w:val="FootnoteText"/>
      </w:pPr>
      <w:r>
        <w:rPr>
          <w:rStyle w:val="FootnoteReference"/>
        </w:rPr>
        <w:footnoteRef/>
      </w:r>
      <w:r>
        <w:t xml:space="preserve"> </w:t>
      </w:r>
      <w:r>
        <w:t xml:space="preserve">Kaski 2013, PMID 23648958.</w:t>
      </w:r>
    </w:p>
  </w:footnote>
  <w:footnote w:id="2062">
    <w:p>
      <w:pPr>
        <w:pStyle w:val="FootnoteText"/>
      </w:pPr>
      <w:r>
        <w:rPr>
          <w:rStyle w:val="FootnoteReference"/>
        </w:rPr>
        <w:footnoteRef/>
      </w:r>
      <w:r>
        <w:t xml:space="preserve"> </w:t>
      </w:r>
      <w:r>
        <w:t xml:space="preserve">Dickson 2025, PMID 41487785.</w:t>
      </w:r>
    </w:p>
  </w:footnote>
  <w:footnote w:id="2064">
    <w:p>
      <w:pPr>
        <w:pStyle w:val="FootnoteText"/>
      </w:pPr>
      <w:r>
        <w:rPr>
          <w:rStyle w:val="FootnoteReference"/>
        </w:rPr>
        <w:footnoteRef/>
      </w:r>
      <w:r>
        <w:t xml:space="preserve"> </w:t>
      </w:r>
      <w:r>
        <w:t xml:space="preserve">Breindahl 2015, PMID 24771717.</w:t>
      </w:r>
    </w:p>
  </w:footnote>
  <w:footnote w:id="2065">
    <w:p>
      <w:pPr>
        <w:pStyle w:val="FootnoteText"/>
      </w:pPr>
      <w:r>
        <w:rPr>
          <w:rStyle w:val="FootnoteReference"/>
        </w:rPr>
        <w:footnoteRef/>
      </w:r>
      <w:r>
        <w:t xml:space="preserve"> </w:t>
      </w:r>
      <w:r>
        <w:t xml:space="preserve">Deville 2024, PMID 39302005.</w:t>
      </w:r>
    </w:p>
  </w:footnote>
  <w:footnote w:id="2066">
    <w:p>
      <w:pPr>
        <w:pStyle w:val="FootnoteText"/>
      </w:pPr>
      <w:r>
        <w:rPr>
          <w:rStyle w:val="FootnoteReference"/>
        </w:rPr>
        <w:footnoteRef/>
      </w:r>
      <w:r>
        <w:t xml:space="preserve"> </w:t>
      </w:r>
      <w:r>
        <w:t xml:space="preserve">Gilhooley 2021, PMID 34464955.</w:t>
      </w:r>
    </w:p>
  </w:footnote>
  <w:footnote w:id="2069">
    <w:p>
      <w:pPr>
        <w:pStyle w:val="FootnoteText"/>
      </w:pPr>
      <w:r>
        <w:rPr>
          <w:rStyle w:val="FootnoteReference"/>
        </w:rPr>
        <w:footnoteRef/>
      </w:r>
      <w:r>
        <w:t xml:space="preserve"> </w:t>
      </w:r>
      <w:r>
        <w:t xml:space="preserve">Habbema 2017, PMID 28266027.</w:t>
      </w:r>
    </w:p>
  </w:footnote>
  <w:footnote w:id="2070">
    <w:p>
      <w:pPr>
        <w:pStyle w:val="FootnoteText"/>
      </w:pPr>
      <w:r>
        <w:rPr>
          <w:rStyle w:val="FootnoteReference"/>
        </w:rPr>
        <w:footnoteRef/>
      </w:r>
      <w:r>
        <w:t xml:space="preserve"> </w:t>
      </w:r>
      <w:r>
        <w:t xml:space="preserve">Yassin Alsabbagh 2025, PMID 40210573.</w:t>
      </w:r>
    </w:p>
  </w:footnote>
  <w:footnote w:id="2075">
    <w:p>
      <w:pPr>
        <w:pStyle w:val="FootnoteText"/>
      </w:pPr>
      <w:r>
        <w:rPr>
          <w:rStyle w:val="FootnoteReference"/>
        </w:rPr>
        <w:footnoteRef/>
      </w:r>
      <w:r>
        <w:t xml:space="preserve"> </w:t>
      </w:r>
      <w:r>
        <w:t xml:space="preserve">Hadley 2006, PMID 16412534.</w:t>
      </w:r>
    </w:p>
  </w:footnote>
  <w:footnote w:id="2076">
    <w:p>
      <w:pPr>
        <w:pStyle w:val="FootnoteText"/>
      </w:pPr>
      <w:r>
        <w:rPr>
          <w:rStyle w:val="FootnoteReference"/>
        </w:rPr>
        <w:footnoteRef/>
      </w:r>
      <w:r>
        <w:t xml:space="preserve"> </w:t>
      </w:r>
      <w:r>
        <w:t xml:space="preserve">Homey 2025, PMID 40082741.</w:t>
      </w:r>
    </w:p>
  </w:footnote>
  <w:footnote w:id="2078">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Minder 2023, PMID 37109595.</w:t>
      </w:r>
    </w:p>
  </w:footnote>
  <w:footnote w:id="2081">
    <w:p>
      <w:pPr>
        <w:pStyle w:val="FootnoteText"/>
      </w:pPr>
      <w:r>
        <w:rPr>
          <w:rStyle w:val="FootnoteReference"/>
        </w:rPr>
        <w:footnoteRef/>
      </w:r>
      <w:r>
        <w:t xml:space="preserve"> </w:t>
      </w:r>
      <w:r>
        <w:t xml:space="preserve">Dorr 2000, PMID 11045725.</w:t>
      </w:r>
    </w:p>
  </w:footnote>
  <w:footnote w:id="2082">
    <w:p>
      <w:pPr>
        <w:pStyle w:val="FootnoteText"/>
      </w:pPr>
      <w:r>
        <w:rPr>
          <w:rStyle w:val="FootnoteReference"/>
        </w:rPr>
        <w:footnoteRef/>
      </w:r>
      <w:r>
        <w:t xml:space="preserve"> </w:t>
      </w:r>
      <w:r>
        <w:t xml:space="preserve">Dorr 2004, PMID 15262693.</w:t>
      </w:r>
    </w:p>
  </w:footnote>
  <w:footnote w:id="2083">
    <w:p>
      <w:pPr>
        <w:pStyle w:val="FootnoteText"/>
      </w:pPr>
      <w:r>
        <w:rPr>
          <w:rStyle w:val="FootnoteReference"/>
        </w:rPr>
        <w:footnoteRef/>
      </w:r>
      <w:r>
        <w:t xml:space="preserve"> </w:t>
      </w:r>
      <w:r>
        <w:t xml:space="preserve">Fitzgerald 2006, PMID 16293341.</w:t>
      </w:r>
    </w:p>
  </w:footnote>
  <w:footnote w:id="2085">
    <w:p>
      <w:pPr>
        <w:pStyle w:val="FootnoteText"/>
      </w:pPr>
      <w:r>
        <w:rPr>
          <w:rStyle w:val="FootnoteReference"/>
        </w:rPr>
        <w:footnoteRef/>
      </w:r>
      <w:r>
        <w:t xml:space="preserve"> </w:t>
      </w:r>
      <w:r>
        <w:t xml:space="preserve">Harms 2009, PMID 19656325.</w:t>
      </w:r>
    </w:p>
  </w:footnote>
  <w:footnote w:id="2086">
    <w:p>
      <w:pPr>
        <w:pStyle w:val="FootnoteText"/>
      </w:pPr>
      <w:r>
        <w:rPr>
          <w:rStyle w:val="FootnoteReference"/>
        </w:rPr>
        <w:footnoteRef/>
      </w:r>
      <w:r>
        <w:t xml:space="preserve"> </w:t>
      </w:r>
      <w:r>
        <w:t xml:space="preserve">Langendonk 2015, PMID 26132941; NCT00979745, NCT01605136.</w:t>
      </w:r>
    </w:p>
  </w:footnote>
  <w:footnote w:id="2087">
    <w:p>
      <w:pPr>
        <w:pStyle w:val="FootnoteText"/>
      </w:pPr>
      <w:r>
        <w:rPr>
          <w:rStyle w:val="FootnoteReference"/>
        </w:rPr>
        <w:footnoteRef/>
      </w:r>
      <w:r>
        <w:t xml:space="preserve"> </w:t>
      </w:r>
      <w:r>
        <w:t xml:space="preserve">Heerfordt 2023, PMID 36525819.</w:t>
      </w:r>
    </w:p>
  </w:footnote>
  <w:footnote w:id="2089">
    <w:p>
      <w:pPr>
        <w:pStyle w:val="FootnoteText"/>
      </w:pPr>
      <w:r>
        <w:rPr>
          <w:rStyle w:val="FootnoteReference"/>
        </w:rPr>
        <w:footnoteRef/>
      </w:r>
      <w:r>
        <w:t xml:space="preserve"> </w:t>
      </w:r>
      <w:r>
        <w:t xml:space="preserve">Biolcati 2015, PMID 25494545.</w:t>
      </w:r>
    </w:p>
  </w:footnote>
  <w:footnote w:id="2090">
    <w:p>
      <w:pPr>
        <w:pStyle w:val="FootnoteText"/>
      </w:pPr>
      <w:r>
        <w:rPr>
          <w:rStyle w:val="FootnoteReference"/>
        </w:rPr>
        <w:footnoteRef/>
      </w:r>
      <w:r>
        <w:t xml:space="preserve"> </w:t>
      </w:r>
      <w:r>
        <w:t xml:space="preserve">Wensink 2020, PMID 32186677.</w:t>
      </w:r>
    </w:p>
  </w:footnote>
  <w:footnote w:id="2091">
    <w:p>
      <w:pPr>
        <w:pStyle w:val="FootnoteText"/>
      </w:pPr>
      <w:r>
        <w:rPr>
          <w:rStyle w:val="FootnoteReference"/>
        </w:rPr>
        <w:footnoteRef/>
      </w:r>
      <w:r>
        <w:t xml:space="preserve"> </w:t>
      </w:r>
      <w:r>
        <w:t xml:space="preserve">Seidl-Philipp 2026, PMID 41793078.</w:t>
      </w:r>
    </w:p>
  </w:footnote>
  <w:footnote w:id="2093">
    <w:p>
      <w:pPr>
        <w:pStyle w:val="FootnoteText"/>
      </w:pPr>
      <w:r>
        <w:rPr>
          <w:rStyle w:val="FootnoteReference"/>
        </w:rPr>
        <w:footnoteRef/>
      </w:r>
      <w:r>
        <w:t xml:space="preserve"> </w:t>
      </w:r>
      <w:r>
        <w:t xml:space="preserve">Minder 2023, PMID 37109595.</w:t>
      </w:r>
    </w:p>
  </w:footnote>
  <w:footnote w:id="2094">
    <w:p>
      <w:pPr>
        <w:pStyle w:val="FootnoteText"/>
      </w:pPr>
      <w:r>
        <w:rPr>
          <w:rStyle w:val="FootnoteReference"/>
        </w:rPr>
        <w:footnoteRef/>
      </w:r>
      <w:r>
        <w:t xml:space="preserve"> </w:t>
      </w:r>
      <w:r>
        <w:t xml:space="preserve">Kluijver 2024, PMID 38634774.</w:t>
      </w:r>
    </w:p>
  </w:footnote>
  <w:footnote w:id="2095">
    <w:p>
      <w:pPr>
        <w:pStyle w:val="FootnoteText"/>
      </w:pPr>
      <w:r>
        <w:rPr>
          <w:rStyle w:val="FootnoteReference"/>
        </w:rPr>
        <w:footnoteRef/>
      </w:r>
      <w:r>
        <w:t xml:space="preserve"> </w:t>
      </w:r>
      <w:r>
        <w:t xml:space="preserve">Lengweiler 2015, PMID 25402764.</w:t>
      </w:r>
    </w:p>
  </w:footnote>
  <w:footnote w:id="2097">
    <w:p>
      <w:pPr>
        <w:pStyle w:val="FootnoteText"/>
      </w:pPr>
      <w:r>
        <w:rPr>
          <w:rStyle w:val="FootnoteReference"/>
        </w:rPr>
        <w:footnoteRef/>
      </w:r>
      <w:r>
        <w:t xml:space="preserve"> </w:t>
      </w:r>
      <w:r>
        <w:t xml:space="preserve">Grimes 2013, PMID 23407924.</w:t>
      </w:r>
    </w:p>
  </w:footnote>
  <w:footnote w:id="2098">
    <w:p>
      <w:pPr>
        <w:pStyle w:val="FootnoteText"/>
      </w:pPr>
      <w:r>
        <w:rPr>
          <w:rStyle w:val="FootnoteReference"/>
        </w:rPr>
        <w:footnoteRef/>
      </w:r>
      <w:r>
        <w:t xml:space="preserve"> </w:t>
      </w:r>
      <w:r>
        <w:t xml:space="preserve">Lim 2015, PMID 25230094; NCT01430195.</w:t>
      </w:r>
    </w:p>
  </w:footnote>
  <w:footnote w:id="2099">
    <w:p>
      <w:pPr>
        <w:pStyle w:val="FootnoteText"/>
      </w:pPr>
      <w:r>
        <w:rPr>
          <w:rStyle w:val="FootnoteReference"/>
        </w:rPr>
        <w:footnoteRef/>
      </w:r>
      <w:r>
        <w:t xml:space="preserve"> </w:t>
      </w:r>
      <w:r>
        <w:t xml:space="preserve">Passeron 2015, PMID 25607635.</w:t>
      </w:r>
    </w:p>
  </w:footnote>
  <w:footnote w:id="2100">
    <w:p>
      <w:pPr>
        <w:pStyle w:val="FootnoteText"/>
      </w:pPr>
      <w:r>
        <w:rPr>
          <w:rStyle w:val="FootnoteReference"/>
        </w:rPr>
        <w:footnoteRef/>
      </w:r>
      <w:r>
        <w:t xml:space="preserve"> </w:t>
      </w:r>
      <w:r>
        <w:t xml:space="preserve">Toh 2020, PMID 31987791.</w:t>
      </w:r>
    </w:p>
  </w:footnote>
  <w:footnote w:id="2102">
    <w:p>
      <w:pPr>
        <w:pStyle w:val="FootnoteText"/>
      </w:pPr>
      <w:r>
        <w:rPr>
          <w:rStyle w:val="FootnoteReference"/>
        </w:rPr>
        <w:footnoteRef/>
      </w:r>
      <w:r>
        <w:t xml:space="preserve"> </w:t>
      </w:r>
      <w:r>
        <w:t xml:space="preserve">Haylett 2011, PMID 20969564.</w:t>
      </w:r>
    </w:p>
  </w:footnote>
  <w:footnote w:id="2103">
    <w:p>
      <w:pPr>
        <w:pStyle w:val="FootnoteText"/>
      </w:pPr>
      <w:r>
        <w:rPr>
          <w:rStyle w:val="FootnoteReference"/>
        </w:rPr>
        <w:footnoteRef/>
      </w:r>
      <w:r>
        <w:t xml:space="preserve"> </w:t>
      </w:r>
      <w:r>
        <w:t xml:space="preserve">Böhm 2014, PMID 22845050.</w:t>
      </w:r>
    </w:p>
  </w:footnote>
  <w:footnote w:id="2104">
    <w:p>
      <w:pPr>
        <w:pStyle w:val="FootnoteText"/>
      </w:pPr>
      <w:r>
        <w:rPr>
          <w:rStyle w:val="FootnoteReference"/>
        </w:rPr>
        <w:footnoteRef/>
      </w:r>
      <w:r>
        <w:t xml:space="preserve"> </w:t>
      </w:r>
      <w:r>
        <w:t xml:space="preserve">Biolcati 2014, PMID 24256215.</w:t>
      </w:r>
    </w:p>
  </w:footnote>
  <w:footnote w:id="2105">
    <w:p>
      <w:pPr>
        <w:pStyle w:val="FootnoteText"/>
      </w:pPr>
      <w:r>
        <w:rPr>
          <w:rStyle w:val="FootnoteReference"/>
        </w:rPr>
        <w:footnoteRef/>
      </w:r>
      <w:r>
        <w:t xml:space="preserve"> </w:t>
      </w:r>
      <w:r>
        <w:t xml:space="preserve">Stanislaus 2023, PMID 37496004.</w:t>
      </w:r>
    </w:p>
  </w:footnote>
  <w:footnote w:id="2106">
    <w:p>
      <w:pPr>
        <w:pStyle w:val="FootnoteText"/>
      </w:pPr>
      <w:r>
        <w:rPr>
          <w:rStyle w:val="FootnoteReference"/>
        </w:rPr>
        <w:footnoteRef/>
      </w:r>
      <w:r>
        <w:t xml:space="preserve"> </w:t>
      </w:r>
      <w:r>
        <w:t xml:space="preserve">Griffin 2026, PMID 42678656.</w:t>
      </w:r>
    </w:p>
  </w:footnote>
  <w:footnote w:id="2109">
    <w:p>
      <w:pPr>
        <w:pStyle w:val="FootnoteText"/>
      </w:pPr>
      <w:r>
        <w:rPr>
          <w:rStyle w:val="FootnoteReference"/>
        </w:rPr>
        <w:footnoteRef/>
      </w:r>
      <w:r>
        <w:t xml:space="preserve"> </w:t>
      </w:r>
      <w:r>
        <w:t xml:space="preserve">Biolcati 2014, PMID 24256215.</w:t>
      </w:r>
    </w:p>
  </w:footnote>
  <w:footnote w:id="2110">
    <w:p>
      <w:pPr>
        <w:pStyle w:val="FootnoteText"/>
      </w:pPr>
      <w:r>
        <w:rPr>
          <w:rStyle w:val="FootnoteReference"/>
        </w:rPr>
        <w:footnoteRef/>
      </w:r>
      <w:r>
        <w:t xml:space="preserve"> </w:t>
      </w:r>
      <w:r>
        <w:t xml:space="preserve">Chawathe 2026, PMID 41547183.</w:t>
      </w:r>
    </w:p>
  </w:footnote>
  <w:footnote w:id="2112">
    <w:p>
      <w:pPr>
        <w:pStyle w:val="FootnoteText"/>
      </w:pPr>
      <w:r>
        <w:rPr>
          <w:rStyle w:val="FootnoteReference"/>
        </w:rPr>
        <w:footnoteRef/>
      </w:r>
      <w:r>
        <w:t xml:space="preserve"> </w:t>
      </w:r>
      <w:r>
        <w:t xml:space="preserve">Langendonk 2015, PMID 26132941; Wensink 2020, PMID 32186677; Biolcati 2015, PMID 25494545.</w:t>
      </w:r>
    </w:p>
  </w:footnote>
  <w:footnote w:id="2113">
    <w:p>
      <w:pPr>
        <w:pStyle w:val="FootnoteText"/>
      </w:pPr>
      <w:r>
        <w:rPr>
          <w:rStyle w:val="FootnoteReference"/>
        </w:rPr>
        <w:footnoteRef/>
      </w:r>
      <w:r>
        <w:t xml:space="preserve"> </w:t>
      </w:r>
      <w:r>
        <w:t xml:space="preserve">Arisi 2021, PMID 33721252.</w:t>
      </w:r>
    </w:p>
  </w:footnote>
  <w:footnote w:id="2114">
    <w:p>
      <w:pPr>
        <w:pStyle w:val="FootnoteText"/>
      </w:pPr>
      <w:r>
        <w:rPr>
          <w:rStyle w:val="FootnoteReference"/>
        </w:rPr>
        <w:footnoteRef/>
      </w:r>
      <w:r>
        <w:t xml:space="preserve"> </w:t>
      </w:r>
      <w:r>
        <w:t xml:space="preserve">von Bartenwerffer 2011, PMID 21597671.</w:t>
      </w:r>
    </w:p>
  </w:footnote>
  <w:footnote w:id="2115">
    <w:p>
      <w:pPr>
        <w:pStyle w:val="FootnoteText"/>
      </w:pPr>
      <w:r>
        <w:rPr>
          <w:rStyle w:val="FootnoteReference"/>
        </w:rPr>
        <w:footnoteRef/>
      </w:r>
      <w:r>
        <w:t xml:space="preserve"> </w:t>
      </w:r>
      <w:r>
        <w:t xml:space="preserve">Kluijver 2024, PMID 38634774.</w:t>
      </w:r>
    </w:p>
  </w:footnote>
  <w:footnote w:id="2117">
    <w:p>
      <w:pPr>
        <w:pStyle w:val="FootnoteText"/>
      </w:pPr>
      <w:r>
        <w:rPr>
          <w:rStyle w:val="FootnoteReference"/>
        </w:rPr>
        <w:footnoteRef/>
      </w:r>
      <w:r>
        <w:t xml:space="preserve"> </w:t>
      </w:r>
      <w:r>
        <w:t xml:space="preserve">Barman-Aksözen 2026, PMID 41885813.</w:t>
      </w:r>
    </w:p>
  </w:footnote>
  <w:footnote w:id="2118">
    <w:p>
      <w:pPr>
        <w:pStyle w:val="FootnoteText"/>
      </w:pPr>
      <w:r>
        <w:rPr>
          <w:rStyle w:val="FootnoteReference"/>
        </w:rPr>
        <w:footnoteRef/>
      </w:r>
      <w:r>
        <w:t xml:space="preserve"> </w:t>
      </w:r>
      <w:r>
        <w:t xml:space="preserve">Minder 2026, PMID 41542313.</w:t>
      </w:r>
    </w:p>
  </w:footnote>
  <w:footnote w:id="2120">
    <w:p>
      <w:pPr>
        <w:pStyle w:val="FootnoteText"/>
      </w:pPr>
      <w:r>
        <w:rPr>
          <w:rStyle w:val="FootnoteReference"/>
        </w:rPr>
        <w:footnoteRef/>
      </w:r>
      <w:r>
        <w:t xml:space="preserve"> </w:t>
      </w:r>
      <w:r>
        <w:t xml:space="preserve">Habbema 2017, PMID 28266027.</w:t>
      </w:r>
    </w:p>
  </w:footnote>
  <w:footnote w:id="2123">
    <w:p>
      <w:pPr>
        <w:pStyle w:val="FootnoteText"/>
      </w:pPr>
      <w:r>
        <w:rPr>
          <w:rStyle w:val="FootnoteReference"/>
        </w:rPr>
        <w:footnoteRef/>
      </w:r>
      <w:r>
        <w:t xml:space="preserve"> </w:t>
      </w:r>
      <w:r>
        <w:t xml:space="preserve">Homey 2025, PMID 40082741.</w:t>
      </w:r>
    </w:p>
  </w:footnote>
  <w:footnote w:id="2124">
    <w:p>
      <w:pPr>
        <w:pStyle w:val="FootnoteText"/>
      </w:pPr>
      <w:r>
        <w:rPr>
          <w:rStyle w:val="FootnoteReference"/>
        </w:rPr>
        <w:footnoteRef/>
      </w:r>
      <w:r>
        <w:t xml:space="preserve"> </w:t>
      </w:r>
      <w:r>
        <w:t xml:space="preserve">Homey 2025, PMID 40082741; Seidl-Philipp 2026, PMID 41793078.</w:t>
      </w:r>
    </w:p>
  </w:footnote>
  <w:footnote w:id="2125">
    <w:p>
      <w:pPr>
        <w:pStyle w:val="FootnoteText"/>
      </w:pPr>
      <w:r>
        <w:rPr>
          <w:rStyle w:val="FootnoteReference"/>
        </w:rPr>
        <w:footnoteRef/>
      </w:r>
      <w:r>
        <w:t xml:space="preserve"> </w:t>
      </w:r>
      <w:r>
        <w:t xml:space="preserve">Barman-Aksözen 2024, PMID 38791830.</w:t>
      </w:r>
    </w:p>
  </w:footnote>
  <w:footnote w:id="2127">
    <w:p>
      <w:pPr>
        <w:pStyle w:val="FootnoteText"/>
      </w:pPr>
      <w:r>
        <w:rPr>
          <w:rStyle w:val="FootnoteReference"/>
        </w:rPr>
        <w:footnoteRef/>
      </w:r>
      <w:r>
        <w:t xml:space="preserve"> </w:t>
      </w:r>
      <w:r>
        <w:t xml:space="preserve">NCT06109649.</w:t>
      </w:r>
    </w:p>
  </w:footnote>
  <w:footnote w:id="2128">
    <w:p>
      <w:pPr>
        <w:pStyle w:val="FootnoteText"/>
      </w:pPr>
      <w:r>
        <w:rPr>
          <w:rStyle w:val="FootnoteReference"/>
        </w:rPr>
        <w:footnoteRef/>
      </w:r>
      <w:r>
        <w:t xml:space="preserve"> </w:t>
      </w:r>
      <w:r>
        <w:t xml:space="preserve">NCT05210582.</w:t>
      </w:r>
    </w:p>
  </w:footnote>
  <w:footnote w:id="2129">
    <w:p>
      <w:pPr>
        <w:pStyle w:val="FootnoteText"/>
      </w:pPr>
      <w:r>
        <w:rPr>
          <w:rStyle w:val="FootnoteReference"/>
        </w:rPr>
        <w:footnoteRef/>
      </w:r>
      <w:r>
        <w:t xml:space="preserve"> </w:t>
      </w:r>
      <w:r>
        <w:t xml:space="preserve">NCT05370235, NCT05159752.</w:t>
      </w:r>
    </w:p>
  </w:footnote>
  <w:footnote w:id="2130">
    <w:p>
      <w:pPr>
        <w:pStyle w:val="FootnoteText"/>
      </w:pPr>
      <w:r>
        <w:rPr>
          <w:rStyle w:val="FootnoteReference"/>
        </w:rPr>
        <w:footnoteRef/>
      </w:r>
      <w:r>
        <w:t xml:space="preserve"> </w:t>
      </w:r>
      <w:r>
        <w:t xml:space="preserve">NCT06388642.</w:t>
      </w:r>
    </w:p>
  </w:footnote>
  <w:footnote w:id="2131">
    <w:p>
      <w:pPr>
        <w:pStyle w:val="FootnoteText"/>
      </w:pPr>
      <w:r>
        <w:rPr>
          <w:rStyle w:val="FootnoteReference"/>
        </w:rPr>
        <w:footnoteRef/>
      </w:r>
      <w:r>
        <w:t xml:space="preserve"> </w:t>
      </w:r>
      <w:r>
        <w:t xml:space="preserve">Barman-Aksözen 2026, PMID 41885813.</w:t>
      </w:r>
    </w:p>
  </w:footnote>
  <w:footnote w:id="2135">
    <w:p>
      <w:pPr>
        <w:pStyle w:val="FootnoteText"/>
      </w:pPr>
      <w:r>
        <w:rPr>
          <w:rStyle w:val="FootnoteReference"/>
        </w:rPr>
        <w:footnoteRef/>
      </w:r>
      <w:r>
        <w:t xml:space="preserve"> </w:t>
      </w:r>
      <w:r>
        <w:t xml:space="preserve">Lee 1996, PMID 8944003.</w:t>
      </w:r>
    </w:p>
  </w:footnote>
  <w:footnote w:id="2136">
    <w:p>
      <w:pPr>
        <w:pStyle w:val="FootnoteText"/>
      </w:pPr>
      <w:r>
        <w:rPr>
          <w:rStyle w:val="FootnoteReference"/>
        </w:rPr>
        <w:footnoteRef/>
      </w:r>
      <w:r>
        <w:t xml:space="preserve"> </w:t>
      </w:r>
      <w:r>
        <w:t xml:space="preserve">Ohtaki 2001, PMID 11385580.</w:t>
      </w:r>
    </w:p>
  </w:footnote>
  <w:footnote w:id="2138">
    <w:p>
      <w:pPr>
        <w:pStyle w:val="FootnoteText"/>
      </w:pPr>
      <w:r>
        <w:rPr>
          <w:rStyle w:val="FootnoteReference"/>
        </w:rPr>
        <w:footnoteRef/>
      </w:r>
      <w:r>
        <w:t xml:space="preserve"> </w:t>
      </w:r>
      <w:r>
        <w:t xml:space="preserve">de Roux 2003, PMID 12944565; Seminara 2003, PMID 14573733.</w:t>
      </w:r>
    </w:p>
  </w:footnote>
  <w:footnote w:id="2140">
    <w:p>
      <w:pPr>
        <w:pStyle w:val="FootnoteText"/>
      </w:pPr>
      <w:r>
        <w:rPr>
          <w:rStyle w:val="FootnoteReference"/>
        </w:rPr>
        <w:footnoteRef/>
      </w:r>
      <w:r>
        <w:t xml:space="preserve"> </w:t>
      </w:r>
      <w:r>
        <w:t xml:space="preserve">Dhillo 2005, PMID 16174713.</w:t>
      </w:r>
    </w:p>
  </w:footnote>
  <w:footnote w:id="2141">
    <w:p>
      <w:pPr>
        <w:pStyle w:val="FootnoteText"/>
      </w:pPr>
      <w:r>
        <w:rPr>
          <w:rStyle w:val="FootnoteReference"/>
        </w:rPr>
        <w:footnoteRef/>
      </w:r>
      <w:r>
        <w:t xml:space="preserve"> </w:t>
      </w:r>
      <w:r>
        <w:t xml:space="preserve">Dhillo 2007, PMID 17635940.</w:t>
      </w:r>
    </w:p>
  </w:footnote>
  <w:footnote w:id="2142">
    <w:p>
      <w:pPr>
        <w:pStyle w:val="FootnoteText"/>
      </w:pPr>
      <w:r>
        <w:rPr>
          <w:rStyle w:val="FootnoteReference"/>
        </w:rPr>
        <w:footnoteRef/>
      </w:r>
      <w:r>
        <w:t xml:space="preserve"> </w:t>
      </w:r>
      <w:r>
        <w:t xml:space="preserve">George 2011, PMID 21632807.</w:t>
      </w:r>
    </w:p>
  </w:footnote>
  <w:footnote w:id="2143">
    <w:p>
      <w:pPr>
        <w:pStyle w:val="FootnoteText"/>
      </w:pPr>
      <w:r>
        <w:rPr>
          <w:rStyle w:val="FootnoteReference"/>
        </w:rPr>
        <w:footnoteRef/>
      </w:r>
      <w:r>
        <w:t xml:space="preserve"> </w:t>
      </w:r>
      <w:r>
        <w:t xml:space="preserve">Chan 2018, PMID 29669934.</w:t>
      </w:r>
    </w:p>
  </w:footnote>
  <w:footnote w:id="2145">
    <w:p>
      <w:pPr>
        <w:pStyle w:val="FootnoteText"/>
      </w:pPr>
      <w:r>
        <w:rPr>
          <w:rStyle w:val="FootnoteReference"/>
        </w:rPr>
        <w:footnoteRef/>
      </w:r>
      <w:r>
        <w:t xml:space="preserve"> </w:t>
      </w:r>
      <w:r>
        <w:t xml:space="preserve">Jayasena 2014, PMID 25036713; NCT01667406.</w:t>
      </w:r>
    </w:p>
  </w:footnote>
  <w:footnote w:id="2146">
    <w:p>
      <w:pPr>
        <w:pStyle w:val="FootnoteText"/>
      </w:pPr>
      <w:r>
        <w:rPr>
          <w:rStyle w:val="FootnoteReference"/>
        </w:rPr>
        <w:footnoteRef/>
      </w:r>
      <w:r>
        <w:t xml:space="preserve"> </w:t>
      </w:r>
      <w:r>
        <w:t xml:space="preserve">Abbara 2015, PMID 26192876.</w:t>
      </w:r>
    </w:p>
  </w:footnote>
  <w:footnote w:id="2147">
    <w:p>
      <w:pPr>
        <w:pStyle w:val="FootnoteText"/>
      </w:pPr>
      <w:r>
        <w:rPr>
          <w:rStyle w:val="FootnoteReference"/>
        </w:rPr>
        <w:footnoteRef/>
      </w:r>
      <w:r>
        <w:t xml:space="preserve"> </w:t>
      </w:r>
      <w:r>
        <w:t xml:space="preserve">Abbara 2017, PMID 28854728.</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2020, PMID 33196464.</w:t>
      </w:r>
    </w:p>
  </w:footnote>
  <w:footnote w:id="2150">
    <w:p>
      <w:pPr>
        <w:pStyle w:val="FootnoteText"/>
      </w:pPr>
      <w:r>
        <w:rPr>
          <w:rStyle w:val="FootnoteReference"/>
        </w:rPr>
        <w:footnoteRef/>
      </w:r>
      <w:r>
        <w:t xml:space="preserve"> </w:t>
      </w:r>
      <w:r>
        <w:t xml:space="preserve">Abbara 2024, PMID 37925096.</w:t>
      </w:r>
    </w:p>
  </w:footnote>
  <w:footnote w:id="2152">
    <w:p>
      <w:pPr>
        <w:pStyle w:val="FootnoteText"/>
      </w:pPr>
      <w:r>
        <w:rPr>
          <w:rStyle w:val="FootnoteReference"/>
        </w:rPr>
        <w:footnoteRef/>
      </w:r>
      <w:r>
        <w:t xml:space="preserve"> </w:t>
      </w:r>
      <w:r>
        <w:t xml:space="preserve">Jayasena 2009, PMID 19820030.</w:t>
      </w:r>
    </w:p>
  </w:footnote>
  <w:footnote w:id="2153">
    <w:p>
      <w:pPr>
        <w:pStyle w:val="FootnoteText"/>
      </w:pPr>
      <w:r>
        <w:rPr>
          <w:rStyle w:val="FootnoteReference"/>
        </w:rPr>
        <w:footnoteRef/>
      </w:r>
      <w:r>
        <w:t xml:space="preserve"> </w:t>
      </w:r>
      <w:r>
        <w:t xml:space="preserve">Jayasena 2010, PMID 20980998.</w:t>
      </w:r>
    </w:p>
  </w:footnote>
  <w:footnote w:id="2154">
    <w:p>
      <w:pPr>
        <w:pStyle w:val="FootnoteText"/>
      </w:pPr>
      <w:r>
        <w:rPr>
          <w:rStyle w:val="FootnoteReference"/>
        </w:rPr>
        <w:footnoteRef/>
      </w:r>
      <w:r>
        <w:t xml:space="preserve"> </w:t>
      </w:r>
      <w:r>
        <w:t xml:space="preserve">Jayasena 2014, PMID 24517142.</w:t>
      </w:r>
    </w:p>
  </w:footnote>
  <w:footnote w:id="2155">
    <w:p>
      <w:pPr>
        <w:pStyle w:val="FootnoteText"/>
      </w:pPr>
      <w:r>
        <w:rPr>
          <w:rStyle w:val="FootnoteReference"/>
        </w:rPr>
        <w:footnoteRef/>
      </w:r>
      <w:r>
        <w:t xml:space="preserve"> </w:t>
      </w:r>
      <w:r>
        <w:t xml:space="preserve">Young 2013, PMID 22377698.</w:t>
      </w:r>
    </w:p>
  </w:footnote>
  <w:footnote w:id="2156">
    <w:p>
      <w:pPr>
        <w:pStyle w:val="FootnoteText"/>
      </w:pPr>
      <w:r>
        <w:rPr>
          <w:rStyle w:val="FootnoteReference"/>
        </w:rPr>
        <w:footnoteRef/>
      </w:r>
      <w:r>
        <w:t xml:space="preserve"> </w:t>
      </w:r>
      <w:r>
        <w:t xml:space="preserve">Romero-Ruiz 2019, PMID 31820802.</w:t>
      </w:r>
    </w:p>
  </w:footnote>
  <w:footnote w:id="2158">
    <w:p>
      <w:pPr>
        <w:pStyle w:val="FootnoteText"/>
      </w:pPr>
      <w:r>
        <w:rPr>
          <w:rStyle w:val="FootnoteReference"/>
        </w:rPr>
        <w:footnoteRef/>
      </w:r>
      <w:r>
        <w:t xml:space="preserve"> </w:t>
      </w:r>
      <w:r>
        <w:t xml:space="preserve">George 2013, PMID 23153270.</w:t>
      </w:r>
    </w:p>
  </w:footnote>
  <w:footnote w:id="2159">
    <w:p>
      <w:pPr>
        <w:pStyle w:val="FootnoteText"/>
      </w:pPr>
      <w:r>
        <w:rPr>
          <w:rStyle w:val="FootnoteReference"/>
        </w:rPr>
        <w:footnoteRef/>
      </w:r>
      <w:r>
        <w:t xml:space="preserve"> </w:t>
      </w:r>
      <w:r>
        <w:t xml:space="preserve">Yeung 2026, PMID 42549827.</w:t>
      </w:r>
    </w:p>
  </w:footnote>
  <w:footnote w:id="2161">
    <w:p>
      <w:pPr>
        <w:pStyle w:val="FootnoteText"/>
      </w:pPr>
      <w:r>
        <w:rPr>
          <w:rStyle w:val="FootnoteReference"/>
        </w:rPr>
        <w:footnoteRef/>
      </w:r>
      <w:r>
        <w:t xml:space="preserve"> </w:t>
      </w:r>
      <w:r>
        <w:t xml:space="preserve">Mills 2023, PMID 36735255.</w:t>
      </w:r>
    </w:p>
  </w:footnote>
  <w:footnote w:id="2162">
    <w:p>
      <w:pPr>
        <w:pStyle w:val="FootnoteText"/>
      </w:pPr>
      <w:r>
        <w:rPr>
          <w:rStyle w:val="FootnoteReference"/>
        </w:rPr>
        <w:footnoteRef/>
      </w:r>
      <w:r>
        <w:t xml:space="preserve"> </w:t>
      </w:r>
      <w:r>
        <w:t xml:space="preserve">Thurston 2022, PMID 36287566.</w:t>
      </w:r>
    </w:p>
  </w:footnote>
  <w:footnote w:id="2163">
    <w:p>
      <w:pPr>
        <w:pStyle w:val="FootnoteText"/>
      </w:pPr>
      <w:r>
        <w:rPr>
          <w:rStyle w:val="FootnoteReference"/>
        </w:rPr>
        <w:footnoteRef/>
      </w:r>
      <w:r>
        <w:t xml:space="preserve"> </w:t>
      </w:r>
      <w:r>
        <w:t xml:space="preserve">Mills 2025, PMID 40036336.</w:t>
      </w:r>
    </w:p>
  </w:footnote>
  <w:footnote w:id="2165">
    <w:p>
      <w:pPr>
        <w:pStyle w:val="FootnoteText"/>
      </w:pPr>
      <w:r>
        <w:rPr>
          <w:rStyle w:val="FootnoteReference"/>
        </w:rPr>
        <w:footnoteRef/>
      </w:r>
      <w:r>
        <w:t xml:space="preserve"> </w:t>
      </w:r>
      <w:r>
        <w:t xml:space="preserve">Mills 2025, PMID 40215751.</w:t>
      </w:r>
    </w:p>
  </w:footnote>
  <w:footnote w:id="2167">
    <w:p>
      <w:pPr>
        <w:pStyle w:val="FootnoteText"/>
      </w:pPr>
      <w:r>
        <w:rPr>
          <w:rStyle w:val="FootnoteReference"/>
        </w:rPr>
        <w:footnoteRef/>
      </w:r>
      <w:r>
        <w:t xml:space="preserve"> </w:t>
      </w:r>
      <w:r>
        <w:t xml:space="preserve">Comninos 2022, PMID 35244717.</w:t>
      </w:r>
    </w:p>
  </w:footnote>
  <w:footnote w:id="2168">
    <w:p>
      <w:pPr>
        <w:pStyle w:val="FootnoteText"/>
      </w:pPr>
      <w:r>
        <w:rPr>
          <w:rStyle w:val="FootnoteReference"/>
        </w:rPr>
        <w:footnoteRef/>
      </w:r>
      <w:r>
        <w:t xml:space="preserve"> </w:t>
      </w:r>
      <w:r>
        <w:t xml:space="preserve">Izzi-Engbeaya 2018, PMID 29974637.</w:t>
      </w:r>
    </w:p>
  </w:footnote>
  <w:footnote w:id="2169">
    <w:p>
      <w:pPr>
        <w:pStyle w:val="FootnoteText"/>
      </w:pPr>
      <w:r>
        <w:rPr>
          <w:rStyle w:val="FootnoteReference"/>
        </w:rPr>
        <w:footnoteRef/>
      </w:r>
      <w:r>
        <w:t xml:space="preserve"> </w:t>
      </w:r>
      <w:r>
        <w:t xml:space="preserve">Galbiati 2025, PMID 39965102.</w:t>
      </w:r>
    </w:p>
  </w:footnote>
  <w:footnote w:id="2171">
    <w:p>
      <w:pPr>
        <w:pStyle w:val="FootnoteText"/>
      </w:pPr>
      <w:r>
        <w:rPr>
          <w:rStyle w:val="FootnoteReference"/>
        </w:rPr>
        <w:footnoteRef/>
      </w:r>
      <w:r>
        <w:t xml:space="preserve"> </w:t>
      </w:r>
      <w:r>
        <w:t xml:space="preserve">MacLean 2014, PMID 24762108.</w:t>
      </w:r>
    </w:p>
  </w:footnote>
  <w:footnote w:id="2172">
    <w:p>
      <w:pPr>
        <w:pStyle w:val="FootnoteText"/>
      </w:pPr>
      <w:r>
        <w:rPr>
          <w:rStyle w:val="FootnoteReference"/>
        </w:rPr>
        <w:footnoteRef/>
      </w:r>
      <w:r>
        <w:t xml:space="preserve"> </w:t>
      </w:r>
      <w:r>
        <w:t xml:space="preserve">NCT02369796, NCT02381288.</w:t>
      </w:r>
    </w:p>
  </w:footnote>
  <w:footnote w:id="2175">
    <w:p>
      <w:pPr>
        <w:pStyle w:val="FootnoteText"/>
      </w:pPr>
      <w:r>
        <w:rPr>
          <w:rStyle w:val="FootnoteReference"/>
        </w:rPr>
        <w:footnoteRef/>
      </w:r>
      <w:r>
        <w:t xml:space="preserve"> </w:t>
      </w:r>
      <w:r>
        <w:t xml:space="preserve">Seminara 2003, PMID 14573733.</w:t>
      </w:r>
    </w:p>
  </w:footnote>
  <w:footnote w:id="2176">
    <w:p>
      <w:pPr>
        <w:pStyle w:val="FootnoteText"/>
      </w:pPr>
      <w:r>
        <w:rPr>
          <w:rStyle w:val="FootnoteReference"/>
        </w:rPr>
        <w:footnoteRef/>
      </w:r>
      <w:r>
        <w:t xml:space="preserve"> </w:t>
      </w:r>
      <w:r>
        <w:t xml:space="preserve">Lee 1996, PMID 8944003; Ohtaki 2001, PMID 11385580.</w:t>
      </w:r>
    </w:p>
  </w:footnote>
  <w:footnote w:id="2177">
    <w:p>
      <w:pPr>
        <w:pStyle w:val="FootnoteText"/>
      </w:pPr>
      <w:r>
        <w:rPr>
          <w:rStyle w:val="FootnoteReference"/>
        </w:rPr>
        <w:footnoteRef/>
      </w:r>
      <w:r>
        <w:t xml:space="preserve"> </w:t>
      </w:r>
      <w:r>
        <w:t xml:space="preserve">Romero-Ruiz 2019, PMID 31820802.</w:t>
      </w:r>
    </w:p>
  </w:footnote>
  <w:footnote w:id="2178">
    <w:p>
      <w:pPr>
        <w:pStyle w:val="FootnoteText"/>
      </w:pPr>
      <w:r>
        <w:rPr>
          <w:rStyle w:val="FootnoteReference"/>
        </w:rPr>
        <w:footnoteRef/>
      </w:r>
      <w:r>
        <w:t xml:space="preserve"> </w:t>
      </w:r>
      <w:r>
        <w:t xml:space="preserve">Koysombat 2025, PMID 39813600.</w:t>
      </w:r>
    </w:p>
  </w:footnote>
  <w:footnote w:id="2180">
    <w:p>
      <w:pPr>
        <w:pStyle w:val="FootnoteText"/>
      </w:pPr>
      <w:r>
        <w:rPr>
          <w:rStyle w:val="FootnoteReference"/>
        </w:rPr>
        <w:footnoteRef/>
      </w:r>
      <w:r>
        <w:t xml:space="preserve"> </w:t>
      </w:r>
      <w:r>
        <w:t xml:space="preserve">Jayasena 2010, PMID 20980998; Thurston 2022, PMID 36287566; Mills 2025, PMID 40215751.</w:t>
      </w:r>
    </w:p>
  </w:footnote>
  <w:footnote w:id="2181">
    <w:p>
      <w:pPr>
        <w:pStyle w:val="FootnoteText"/>
      </w:pPr>
      <w:r>
        <w:rPr>
          <w:rStyle w:val="FootnoteReference"/>
        </w:rPr>
        <w:footnoteRef/>
      </w:r>
      <w:r>
        <w:t xml:space="preserve"> </w:t>
      </w:r>
      <w:r>
        <w:t xml:space="preserve">Jayasena 2014, PMID 24863252.</w:t>
      </w:r>
    </w:p>
  </w:footnote>
  <w:footnote w:id="2182">
    <w:p>
      <w:pPr>
        <w:pStyle w:val="FootnoteText"/>
      </w:pPr>
      <w:r>
        <w:rPr>
          <w:rStyle w:val="FootnoteReference"/>
        </w:rPr>
        <w:footnoteRef/>
      </w:r>
      <w:r>
        <w:t xml:space="preserve"> </w:t>
      </w:r>
      <w:r>
        <w:t xml:space="preserve">Mills 2025, PMID 40036336.</w:t>
      </w:r>
    </w:p>
  </w:footnote>
  <w:footnote w:id="2183">
    <w:p>
      <w:pPr>
        <w:pStyle w:val="FootnoteText"/>
      </w:pPr>
      <w:r>
        <w:rPr>
          <w:rStyle w:val="FootnoteReference"/>
        </w:rPr>
        <w:footnoteRef/>
      </w:r>
      <w:r>
        <w:t xml:space="preserve"> </w:t>
      </w:r>
      <w:r>
        <w:t xml:space="preserve">MacLean 2014, PMID 24762108.</w:t>
      </w:r>
    </w:p>
  </w:footnote>
  <w:footnote w:id="2189">
    <w:p>
      <w:pPr>
        <w:pStyle w:val="FootnoteText"/>
      </w:pPr>
      <w:r>
        <w:rPr>
          <w:rStyle w:val="FootnoteReference"/>
        </w:rPr>
        <w:footnoteRef/>
      </w:r>
      <w:r>
        <w:t xml:space="preserve"> </w:t>
      </w:r>
      <w:r>
        <w:t xml:space="preserve">NCT07224490.</w:t>
      </w:r>
    </w:p>
  </w:footnote>
  <w:footnote w:id="2190">
    <w:p>
      <w:pPr>
        <w:pStyle w:val="FootnoteText"/>
      </w:pPr>
      <w:r>
        <w:rPr>
          <w:rStyle w:val="FootnoteReference"/>
        </w:rPr>
        <w:footnoteRef/>
      </w:r>
      <w:r>
        <w:t xml:space="preserve"> </w:t>
      </w:r>
      <w:r>
        <w:t xml:space="preserve">NCT04648969.</w:t>
      </w:r>
    </w:p>
  </w:footnote>
  <w:footnote w:id="2196">
    <w:p>
      <w:pPr>
        <w:pStyle w:val="FootnoteText"/>
      </w:pPr>
      <w:r>
        <w:rPr>
          <w:rStyle w:val="FootnoteReference"/>
        </w:rPr>
        <w:footnoteRef/>
      </w:r>
      <w:r>
        <w:t xml:space="preserve"> </w:t>
      </w:r>
      <w:r>
        <w:t xml:space="preserve">Leng 2016, PMID 26049207.</w:t>
      </w:r>
    </w:p>
  </w:footnote>
  <w:footnote w:id="2197">
    <w:p>
      <w:pPr>
        <w:pStyle w:val="FootnoteText"/>
      </w:pPr>
      <w:r>
        <w:rPr>
          <w:rStyle w:val="FootnoteReference"/>
        </w:rPr>
        <w:footnoteRef/>
      </w:r>
      <w:r>
        <w:t xml:space="preserve"> </w:t>
      </w:r>
      <w:r>
        <w:t xml:space="preserve">Lee 2018, PMID 28289281.</w:t>
      </w:r>
    </w:p>
  </w:footnote>
  <w:footnote w:id="2198">
    <w:p>
      <w:pPr>
        <w:pStyle w:val="FootnoteText"/>
      </w:pPr>
      <w:r>
        <w:rPr>
          <w:rStyle w:val="FootnoteReference"/>
        </w:rPr>
        <w:footnoteRef/>
      </w:r>
      <w:r>
        <w:t xml:space="preserve"> </w:t>
      </w:r>
      <w:r>
        <w:t xml:space="preserve">Lee 2020, PMID 32494001.</w:t>
      </w:r>
    </w:p>
  </w:footnote>
  <w:footnote w:id="2199">
    <w:p>
      <w:pPr>
        <w:pStyle w:val="FootnoteText"/>
      </w:pPr>
      <w:r>
        <w:rPr>
          <w:rStyle w:val="FootnoteReference"/>
        </w:rPr>
        <w:footnoteRef/>
      </w:r>
      <w:r>
        <w:t xml:space="preserve"> </w:t>
      </w:r>
      <w:r>
        <w:t xml:space="preserve">Martins 2020, PMID 32127545.</w:t>
      </w:r>
    </w:p>
  </w:footnote>
  <w:footnote w:id="2200">
    <w:p>
      <w:pPr>
        <w:pStyle w:val="FootnoteText"/>
      </w:pPr>
      <w:r>
        <w:rPr>
          <w:rStyle w:val="FootnoteReference"/>
        </w:rPr>
        <w:footnoteRef/>
      </w:r>
      <w:r>
        <w:t xml:space="preserve"> </w:t>
      </w:r>
      <w:r>
        <w:t xml:space="preserve">Valstad 2017, PMID 28442403.</w:t>
      </w:r>
    </w:p>
  </w:footnote>
  <w:footnote w:id="2201">
    <w:p>
      <w:pPr>
        <w:pStyle w:val="FootnoteText"/>
      </w:pPr>
      <w:r>
        <w:rPr>
          <w:rStyle w:val="FootnoteReference"/>
        </w:rPr>
        <w:footnoteRef/>
      </w:r>
      <w:r>
        <w:t xml:space="preserve"> </w:t>
      </w:r>
      <w:r>
        <w:t xml:space="preserve">Leng 2016, PMID 26049207.</w:t>
      </w:r>
    </w:p>
  </w:footnote>
  <w:footnote w:id="2202">
    <w:p>
      <w:pPr>
        <w:pStyle w:val="FootnoteText"/>
      </w:pPr>
      <w:r>
        <w:rPr>
          <w:rStyle w:val="FootnoteReference"/>
        </w:rPr>
        <w:footnoteRef/>
      </w:r>
      <w:r>
        <w:t xml:space="preserve"> </w:t>
      </w:r>
      <w:r>
        <w:t xml:space="preserve">Quintana 2021, PMID 32807845.</w:t>
      </w:r>
    </w:p>
  </w:footnote>
  <w:footnote w:id="2204">
    <w:p>
      <w:pPr>
        <w:pStyle w:val="FootnoteText"/>
      </w:pPr>
      <w:r>
        <w:rPr>
          <w:rStyle w:val="FootnoteReference"/>
        </w:rPr>
        <w:footnoteRef/>
      </w:r>
      <w:r>
        <w:t xml:space="preserve"> </w:t>
      </w:r>
      <w:r>
        <w:t xml:space="preserve">Salati 2019, PMID 31032882.</w:t>
      </w:r>
    </w:p>
  </w:footnote>
  <w:footnote w:id="2207">
    <w:p>
      <w:pPr>
        <w:pStyle w:val="FootnoteText"/>
      </w:pPr>
      <w:r>
        <w:rPr>
          <w:rStyle w:val="FootnoteReference"/>
        </w:rPr>
        <w:footnoteRef/>
      </w:r>
      <w:r>
        <w:t xml:space="preserve"> </w:t>
      </w:r>
      <w:r>
        <w:t xml:space="preserve">Kosfeld 2005, PMID 15931222.</w:t>
      </w:r>
    </w:p>
  </w:footnote>
  <w:footnote w:id="2208">
    <w:p>
      <w:pPr>
        <w:pStyle w:val="FootnoteText"/>
      </w:pPr>
      <w:r>
        <w:rPr>
          <w:rStyle w:val="FootnoteReference"/>
        </w:rPr>
        <w:footnoteRef/>
      </w:r>
      <w:r>
        <w:t xml:space="preserve"> </w:t>
      </w:r>
      <w:r>
        <w:t xml:space="preserve">Heinrichs 2003, PMID 14675803.</w:t>
      </w:r>
    </w:p>
  </w:footnote>
  <w:footnote w:id="2209">
    <w:p>
      <w:pPr>
        <w:pStyle w:val="FootnoteText"/>
      </w:pPr>
      <w:r>
        <w:rPr>
          <w:rStyle w:val="FootnoteReference"/>
        </w:rPr>
        <w:footnoteRef/>
      </w:r>
      <w:r>
        <w:t xml:space="preserve"> </w:t>
      </w:r>
      <w:r>
        <w:t xml:space="preserve">Leppanen 2017, PMID 28467893.</w:t>
      </w:r>
    </w:p>
  </w:footnote>
  <w:footnote w:id="2211">
    <w:p>
      <w:pPr>
        <w:pStyle w:val="FootnoteText"/>
      </w:pPr>
      <w:r>
        <w:rPr>
          <w:rStyle w:val="FootnoteReference"/>
        </w:rPr>
        <w:footnoteRef/>
      </w:r>
      <w:r>
        <w:t xml:space="preserve"> </w:t>
      </w:r>
      <w:r>
        <w:t xml:space="preserve">Nave 2015, PMID 26581735.</w:t>
      </w:r>
    </w:p>
  </w:footnote>
  <w:footnote w:id="2212">
    <w:p>
      <w:pPr>
        <w:pStyle w:val="FootnoteText"/>
      </w:pPr>
      <w:r>
        <w:rPr>
          <w:rStyle w:val="FootnoteReference"/>
        </w:rPr>
        <w:footnoteRef/>
      </w:r>
      <w:r>
        <w:t xml:space="preserve"> </w:t>
      </w:r>
      <w:r>
        <w:t xml:space="preserve">Walum 2016, PMID 26210057.</w:t>
      </w:r>
    </w:p>
  </w:footnote>
  <w:footnote w:id="2213">
    <w:p>
      <w:pPr>
        <w:pStyle w:val="FootnoteText"/>
      </w:pPr>
      <w:r>
        <w:rPr>
          <w:rStyle w:val="FootnoteReference"/>
        </w:rPr>
        <w:footnoteRef/>
      </w:r>
      <w:r>
        <w:t xml:space="preserve"> </w:t>
      </w:r>
      <w:r>
        <w:t xml:space="preserve">Declerck 2020, PMID 32514040.</w:t>
      </w:r>
    </w:p>
  </w:footnote>
  <w:footnote w:id="2214">
    <w:p>
      <w:pPr>
        <w:pStyle w:val="FootnoteText"/>
      </w:pPr>
      <w:r>
        <w:rPr>
          <w:rStyle w:val="FootnoteReference"/>
        </w:rPr>
        <w:footnoteRef/>
      </w:r>
      <w:r>
        <w:t xml:space="preserve"> </w:t>
      </w:r>
      <w:r>
        <w:t xml:space="preserve">Vogt 2026, PMID 42561025.</w:t>
      </w:r>
    </w:p>
  </w:footnote>
  <w:footnote w:id="2215">
    <w:p>
      <w:pPr>
        <w:pStyle w:val="FootnoteText"/>
      </w:pPr>
      <w:r>
        <w:rPr>
          <w:rStyle w:val="FootnoteReference"/>
        </w:rPr>
        <w:footnoteRef/>
      </w:r>
      <w:r>
        <w:t xml:space="preserve"> </w:t>
      </w:r>
      <w:r>
        <w:t xml:space="preserve">Iversen 2026, PMID 41389446.</w:t>
      </w:r>
    </w:p>
  </w:footnote>
  <w:footnote w:id="2217">
    <w:p>
      <w:pPr>
        <w:pStyle w:val="FootnoteText"/>
      </w:pPr>
      <w:r>
        <w:rPr>
          <w:rStyle w:val="FootnoteReference"/>
        </w:rPr>
        <w:footnoteRef/>
      </w:r>
      <w:r>
        <w:t xml:space="preserve"> </w:t>
      </w:r>
      <w:r>
        <w:t xml:space="preserve">Sikich 2021, PMID 34644471.</w:t>
      </w:r>
    </w:p>
  </w:footnote>
  <w:footnote w:id="2218">
    <w:p>
      <w:pPr>
        <w:pStyle w:val="FootnoteText"/>
      </w:pPr>
      <w:r>
        <w:rPr>
          <w:rStyle w:val="FootnoteReference"/>
        </w:rPr>
        <w:footnoteRef/>
      </w:r>
      <w:r>
        <w:t xml:space="preserve"> </w:t>
      </w:r>
      <w:r>
        <w:t xml:space="preserve">Preti 2014, PMID 24679173.</w:t>
      </w:r>
    </w:p>
  </w:footnote>
  <w:footnote w:id="2219">
    <w:p>
      <w:pPr>
        <w:pStyle w:val="FootnoteText"/>
      </w:pPr>
      <w:r>
        <w:rPr>
          <w:rStyle w:val="FootnoteReference"/>
        </w:rPr>
        <w:footnoteRef/>
      </w:r>
      <w:r>
        <w:t xml:space="preserve"> </w:t>
      </w:r>
      <w:r>
        <w:t xml:space="preserve">Sikich 2021, PMID 34644471; NCT01944046.</w:t>
      </w:r>
    </w:p>
  </w:footnote>
  <w:footnote w:id="2220">
    <w:p>
      <w:pPr>
        <w:pStyle w:val="FootnoteText"/>
      </w:pPr>
      <w:r>
        <w:rPr>
          <w:rStyle w:val="FootnoteReference"/>
        </w:rPr>
        <w:footnoteRef/>
      </w:r>
      <w:r>
        <w:t xml:space="preserve"> </w:t>
      </w:r>
      <w:r>
        <w:t xml:space="preserve">Yatawara 2016, PMID 26503762.</w:t>
      </w:r>
    </w:p>
  </w:footnote>
  <w:footnote w:id="2221">
    <w:p>
      <w:pPr>
        <w:pStyle w:val="FootnoteText"/>
      </w:pPr>
      <w:r>
        <w:rPr>
          <w:rStyle w:val="FootnoteReference"/>
        </w:rPr>
        <w:footnoteRef/>
      </w:r>
      <w:r>
        <w:t xml:space="preserve"> </w:t>
      </w:r>
      <w:r>
        <w:t xml:space="preserve">Guastella 2023, PMID 36302965.</w:t>
      </w:r>
    </w:p>
  </w:footnote>
  <w:footnote w:id="2222">
    <w:p>
      <w:pPr>
        <w:pStyle w:val="FootnoteText"/>
      </w:pPr>
      <w:r>
        <w:rPr>
          <w:rStyle w:val="FootnoteReference"/>
        </w:rPr>
        <w:footnoteRef/>
      </w:r>
      <w:r>
        <w:t xml:space="preserve"> </w:t>
      </w:r>
      <w:r>
        <w:t xml:space="preserve">Guastella 2015, PMID 25087908.</w:t>
      </w:r>
    </w:p>
  </w:footnote>
  <w:footnote w:id="2223">
    <w:p>
      <w:pPr>
        <w:pStyle w:val="FootnoteText"/>
      </w:pPr>
      <w:r>
        <w:rPr>
          <w:rStyle w:val="FootnoteReference"/>
        </w:rPr>
        <w:footnoteRef/>
      </w:r>
      <w:r>
        <w:t xml:space="preserve"> </w:t>
      </w:r>
      <w:r>
        <w:t xml:space="preserve">Moerkerke 2024, PMID 38167302.</w:t>
      </w:r>
    </w:p>
  </w:footnote>
  <w:footnote w:id="2224">
    <w:p>
      <w:pPr>
        <w:pStyle w:val="FootnoteText"/>
      </w:pPr>
      <w:r>
        <w:rPr>
          <w:rStyle w:val="FootnoteReference"/>
        </w:rPr>
        <w:footnoteRef/>
      </w:r>
      <w:r>
        <w:t xml:space="preserve"> </w:t>
      </w:r>
      <w:r>
        <w:t xml:space="preserve">Moerkerke 2024, PMID 39709442.</w:t>
      </w:r>
    </w:p>
  </w:footnote>
  <w:footnote w:id="2225">
    <w:p>
      <w:pPr>
        <w:pStyle w:val="FootnoteText"/>
      </w:pPr>
      <w:r>
        <w:rPr>
          <w:rStyle w:val="FootnoteReference"/>
        </w:rPr>
        <w:footnoteRef/>
      </w:r>
      <w:r>
        <w:t xml:space="preserve"> </w:t>
      </w:r>
      <w:r>
        <w:t xml:space="preserve">Keech 2018, PMID 29032324.</w:t>
      </w:r>
    </w:p>
  </w:footnote>
  <w:footnote w:id="2226">
    <w:p>
      <w:pPr>
        <w:pStyle w:val="FootnoteText"/>
      </w:pPr>
      <w:r>
        <w:rPr>
          <w:rStyle w:val="FootnoteReference"/>
        </w:rPr>
        <w:footnoteRef/>
      </w:r>
      <w:r>
        <w:t xml:space="preserve"> </w:t>
      </w:r>
      <w:r>
        <w:t xml:space="preserve">Huang 2021, PMID 33400920.</w:t>
      </w:r>
    </w:p>
  </w:footnote>
  <w:footnote w:id="2227">
    <w:p>
      <w:pPr>
        <w:pStyle w:val="FootnoteText"/>
      </w:pPr>
      <w:r>
        <w:rPr>
          <w:rStyle w:val="FootnoteReference"/>
        </w:rPr>
        <w:footnoteRef/>
      </w:r>
      <w:r>
        <w:t xml:space="preserve"> </w:t>
      </w:r>
      <w:r>
        <w:t xml:space="preserve">Bonnieux 2026, PMID 42134427.</w:t>
      </w:r>
    </w:p>
  </w:footnote>
  <w:footnote w:id="2228">
    <w:p>
      <w:pPr>
        <w:pStyle w:val="FootnoteText"/>
      </w:pPr>
      <w:r>
        <w:rPr>
          <w:rStyle w:val="FootnoteReference"/>
        </w:rPr>
        <w:footnoteRef/>
      </w:r>
      <w:r>
        <w:t xml:space="preserve"> </w:t>
      </w:r>
      <w:r>
        <w:t xml:space="preserve">Boulton 2026, PMID 42144048.</w:t>
      </w:r>
    </w:p>
  </w:footnote>
  <w:footnote w:id="2230">
    <w:p>
      <w:pPr>
        <w:pStyle w:val="FootnoteText"/>
      </w:pPr>
      <w:r>
        <w:rPr>
          <w:rStyle w:val="FootnoteReference"/>
        </w:rPr>
        <w:footnoteRef/>
      </w:r>
      <w:r>
        <w:t xml:space="preserve"> </w:t>
      </w:r>
      <w:r>
        <w:t xml:space="preserve">Jarskog 2017, PMID 28094169.</w:t>
      </w:r>
    </w:p>
  </w:footnote>
  <w:footnote w:id="2231">
    <w:p>
      <w:pPr>
        <w:pStyle w:val="FootnoteText"/>
      </w:pPr>
      <w:r>
        <w:rPr>
          <w:rStyle w:val="FootnoteReference"/>
        </w:rPr>
        <w:footnoteRef/>
      </w:r>
      <w:r>
        <w:t xml:space="preserve"> </w:t>
      </w:r>
      <w:r>
        <w:t xml:space="preserve">Sabe 2021, PMID 33890987.</w:t>
      </w:r>
    </w:p>
  </w:footnote>
  <w:footnote w:id="2232">
    <w:p>
      <w:pPr>
        <w:pStyle w:val="FootnoteText"/>
      </w:pPr>
      <w:r>
        <w:rPr>
          <w:rStyle w:val="FootnoteReference"/>
        </w:rPr>
        <w:footnoteRef/>
      </w:r>
      <w:r>
        <w:t xml:space="preserve"> </w:t>
      </w:r>
      <w:r>
        <w:t xml:space="preserve">Bonnieux 2026, PMID 42134427.</w:t>
      </w:r>
    </w:p>
  </w:footnote>
  <w:footnote w:id="2233">
    <w:p>
      <w:pPr>
        <w:pStyle w:val="FootnoteText"/>
      </w:pPr>
      <w:r>
        <w:rPr>
          <w:rStyle w:val="FootnoteReference"/>
        </w:rPr>
        <w:footnoteRef/>
      </w:r>
      <w:r>
        <w:t xml:space="preserve"> </w:t>
      </w:r>
      <w:r>
        <w:t xml:space="preserve">Melby 2019, PMID 30784955.</w:t>
      </w:r>
    </w:p>
  </w:footnote>
  <w:footnote w:id="2234">
    <w:p>
      <w:pPr>
        <w:pStyle w:val="FootnoteText"/>
      </w:pPr>
      <w:r>
        <w:rPr>
          <w:rStyle w:val="FootnoteReference"/>
        </w:rPr>
        <w:footnoteRef/>
      </w:r>
      <w:r>
        <w:t xml:space="preserve"> </w:t>
      </w:r>
      <w:r>
        <w:t xml:space="preserve">Santos 2026, PMID 42335670.</w:t>
      </w:r>
    </w:p>
  </w:footnote>
  <w:footnote w:id="2235">
    <w:p>
      <w:pPr>
        <w:pStyle w:val="FootnoteText"/>
      </w:pPr>
      <w:r>
        <w:rPr>
          <w:rStyle w:val="FootnoteReference"/>
        </w:rPr>
        <w:footnoteRef/>
      </w:r>
      <w:r>
        <w:t xml:space="preserve"> </w:t>
      </w:r>
      <w:r>
        <w:t xml:space="preserve">Pérez-Arqueros 2025, PMID 39366103.</w:t>
      </w:r>
    </w:p>
  </w:footnote>
  <w:footnote w:id="2236">
    <w:p>
      <w:pPr>
        <w:pStyle w:val="FootnoteText"/>
      </w:pPr>
      <w:r>
        <w:rPr>
          <w:rStyle w:val="FootnoteReference"/>
        </w:rPr>
        <w:footnoteRef/>
      </w:r>
      <w:r>
        <w:t xml:space="preserve"> </w:t>
      </w:r>
      <w:r>
        <w:t xml:space="preserve">Riem 2025, PMID 40614394.</w:t>
      </w:r>
    </w:p>
  </w:footnote>
  <w:footnote w:id="2238">
    <w:p>
      <w:pPr>
        <w:pStyle w:val="FootnoteText"/>
      </w:pPr>
      <w:r>
        <w:rPr>
          <w:rStyle w:val="FootnoteReference"/>
        </w:rPr>
        <w:footnoteRef/>
      </w:r>
      <w:r>
        <w:t xml:space="preserve"> </w:t>
      </w:r>
      <w:r>
        <w:t xml:space="preserve">Chen 2021, PMID 34600216.</w:t>
      </w:r>
    </w:p>
  </w:footnote>
  <w:footnote w:id="2239">
    <w:p>
      <w:pPr>
        <w:pStyle w:val="FootnoteText"/>
      </w:pPr>
      <w:r>
        <w:rPr>
          <w:rStyle w:val="FootnoteReference"/>
        </w:rPr>
        <w:footnoteRef/>
      </w:r>
      <w:r>
        <w:t xml:space="preserve"> </w:t>
      </w:r>
      <w:r>
        <w:t xml:space="preserve">Plessow 2024, PMID 38815173.</w:t>
      </w:r>
    </w:p>
  </w:footnote>
  <w:footnote w:id="2240">
    <w:p>
      <w:pPr>
        <w:pStyle w:val="FootnoteText"/>
      </w:pPr>
      <w:r>
        <w:rPr>
          <w:rStyle w:val="FootnoteReference"/>
        </w:rPr>
        <w:footnoteRef/>
      </w:r>
      <w:r>
        <w:t xml:space="preserve"> </w:t>
      </w:r>
      <w:r>
        <w:t xml:space="preserve">Espinoza 2021, PMID 34029521.</w:t>
      </w:r>
    </w:p>
  </w:footnote>
  <w:footnote w:id="2241">
    <w:p>
      <w:pPr>
        <w:pStyle w:val="FootnoteText"/>
      </w:pPr>
      <w:r>
        <w:rPr>
          <w:rStyle w:val="FootnoteReference"/>
        </w:rPr>
        <w:footnoteRef/>
      </w:r>
      <w:r>
        <w:t xml:space="preserve"> </w:t>
      </w:r>
      <w:r>
        <w:t xml:space="preserve">Shalma 2023, PMID 36774885.</w:t>
      </w:r>
    </w:p>
  </w:footnote>
  <w:footnote w:id="2242">
    <w:p>
      <w:pPr>
        <w:pStyle w:val="FootnoteText"/>
      </w:pPr>
      <w:r>
        <w:rPr>
          <w:rStyle w:val="FootnoteReference"/>
        </w:rPr>
        <w:footnoteRef/>
      </w:r>
      <w:r>
        <w:t xml:space="preserve"> </w:t>
      </w:r>
      <w:r>
        <w:t xml:space="preserve">Hollander 2021, PMID 33190843.</w:t>
      </w:r>
    </w:p>
  </w:footnote>
  <w:footnote w:id="2243">
    <w:p>
      <w:pPr>
        <w:pStyle w:val="FootnoteText"/>
      </w:pPr>
      <w:r>
        <w:rPr>
          <w:rStyle w:val="FootnoteReference"/>
        </w:rPr>
        <w:footnoteRef/>
      </w:r>
      <w:r>
        <w:t xml:space="preserve"> </w:t>
      </w:r>
      <w:r>
        <w:t xml:space="preserve">Lopes 2023, PMID 36463692.</w:t>
      </w:r>
    </w:p>
  </w:footnote>
  <w:footnote w:id="2245">
    <w:p>
      <w:pPr>
        <w:pStyle w:val="FootnoteText"/>
      </w:pPr>
      <w:r>
        <w:rPr>
          <w:rStyle w:val="FootnoteReference"/>
        </w:rPr>
        <w:footnoteRef/>
      </w:r>
      <w:r>
        <w:t xml:space="preserve"> </w:t>
      </w:r>
      <w:r>
        <w:t xml:space="preserve">Burri 2008, PMID 18375074.</w:t>
      </w:r>
    </w:p>
  </w:footnote>
  <w:footnote w:id="2246">
    <w:p>
      <w:pPr>
        <w:pStyle w:val="FootnoteText"/>
      </w:pPr>
      <w:r>
        <w:rPr>
          <w:rStyle w:val="FootnoteReference"/>
        </w:rPr>
        <w:footnoteRef/>
      </w:r>
      <w:r>
        <w:t xml:space="preserve"> </w:t>
      </w:r>
      <w:r>
        <w:t xml:space="preserve">Weinberger 2018, PMID 29995725.</w:t>
      </w:r>
    </w:p>
  </w:footnote>
  <w:footnote w:id="2248">
    <w:p>
      <w:pPr>
        <w:pStyle w:val="FootnoteText"/>
      </w:pPr>
      <w:r>
        <w:rPr>
          <w:rStyle w:val="FootnoteReference"/>
        </w:rPr>
        <w:footnoteRef/>
      </w:r>
      <w:r>
        <w:t xml:space="preserve"> </w:t>
      </w:r>
      <w:r>
        <w:t xml:space="preserve">Atila 2023, PMID 37192642.</w:t>
      </w:r>
    </w:p>
  </w:footnote>
  <w:footnote w:id="2249">
    <w:p>
      <w:pPr>
        <w:pStyle w:val="FootnoteText"/>
      </w:pPr>
      <w:r>
        <w:rPr>
          <w:rStyle w:val="FootnoteReference"/>
        </w:rPr>
        <w:footnoteRef/>
      </w:r>
      <w:r>
        <w:t xml:space="preserve"> </w:t>
      </w:r>
      <w:r>
        <w:t xml:space="preserve">NCT06036004.</w:t>
      </w:r>
    </w:p>
  </w:footnote>
  <w:footnote w:id="2252">
    <w:p>
      <w:pPr>
        <w:pStyle w:val="FootnoteText"/>
      </w:pPr>
      <w:r>
        <w:rPr>
          <w:rStyle w:val="FootnoteReference"/>
        </w:rPr>
        <w:footnoteRef/>
      </w:r>
      <w:r>
        <w:t xml:space="preserve"> </w:t>
      </w:r>
      <w:r>
        <w:t xml:space="preserve">Minakova 2019, PMID 30629642.</w:t>
      </w:r>
    </w:p>
  </w:footnote>
  <w:footnote w:id="2253">
    <w:p>
      <w:pPr>
        <w:pStyle w:val="FootnoteText"/>
      </w:pPr>
      <w:r>
        <w:rPr>
          <w:rStyle w:val="FootnoteReference"/>
        </w:rPr>
        <w:footnoteRef/>
      </w:r>
      <w:r>
        <w:t xml:space="preserve"> </w:t>
      </w:r>
      <w:r>
        <w:t xml:space="preserve">Lee 2020, PMID 32494001.</w:t>
      </w:r>
    </w:p>
  </w:footnote>
  <w:footnote w:id="2255">
    <w:p>
      <w:pPr>
        <w:pStyle w:val="FootnoteText"/>
      </w:pPr>
      <w:r>
        <w:rPr>
          <w:rStyle w:val="FootnoteReference"/>
        </w:rPr>
        <w:footnoteRef/>
      </w:r>
      <w:r>
        <w:t xml:space="preserve"> </w:t>
      </w:r>
      <w:r>
        <w:t xml:space="preserve">MacDonald 2011, PMID 21429671.</w:t>
      </w:r>
    </w:p>
  </w:footnote>
  <w:footnote w:id="2256">
    <w:p>
      <w:pPr>
        <w:pStyle w:val="FootnoteText"/>
      </w:pPr>
      <w:r>
        <w:rPr>
          <w:rStyle w:val="FootnoteReference"/>
        </w:rPr>
        <w:footnoteRef/>
      </w:r>
      <w:r>
        <w:t xml:space="preserve"> </w:t>
      </w:r>
      <w:r>
        <w:t xml:space="preserve">Sikich 2021, PMID 34644471.</w:t>
      </w:r>
    </w:p>
  </w:footnote>
  <w:footnote w:id="2257">
    <w:p>
      <w:pPr>
        <w:pStyle w:val="FootnoteText"/>
      </w:pPr>
      <w:r>
        <w:rPr>
          <w:rStyle w:val="FootnoteReference"/>
        </w:rPr>
        <w:footnoteRef/>
      </w:r>
      <w:r>
        <w:t xml:space="preserve"> </w:t>
      </w:r>
      <w:r>
        <w:t xml:space="preserve">Rung 2021, PMID 33982141.</w:t>
      </w:r>
    </w:p>
  </w:footnote>
  <w:footnote w:id="2258">
    <w:p>
      <w:pPr>
        <w:pStyle w:val="FootnoteText"/>
      </w:pPr>
      <w:r>
        <w:rPr>
          <w:rStyle w:val="FootnoteReference"/>
        </w:rPr>
        <w:footnoteRef/>
      </w:r>
      <w:r>
        <w:t xml:space="preserve"> </w:t>
      </w:r>
      <w:r>
        <w:t xml:space="preserve">Yatawara 2016, PMID 26503762.</w:t>
      </w:r>
    </w:p>
  </w:footnote>
  <w:footnote w:id="2260">
    <w:p>
      <w:pPr>
        <w:pStyle w:val="FootnoteText"/>
      </w:pPr>
      <w:r>
        <w:rPr>
          <w:rStyle w:val="FootnoteReference"/>
        </w:rPr>
        <w:footnoteRef/>
      </w:r>
      <w:r>
        <w:t xml:space="preserve"> </w:t>
      </w:r>
      <w:r>
        <w:t xml:space="preserve">Mayer-Hubner 1996, PMID 8596357.</w:t>
      </w:r>
    </w:p>
  </w:footnote>
  <w:footnote w:id="2261">
    <w:p>
      <w:pPr>
        <w:pStyle w:val="FootnoteText"/>
      </w:pPr>
      <w:r>
        <w:rPr>
          <w:rStyle w:val="FootnoteReference"/>
        </w:rPr>
        <w:footnoteRef/>
      </w:r>
      <w:r>
        <w:t xml:space="preserve"> </w:t>
      </w:r>
      <w:r>
        <w:t xml:space="preserve">Meusel 2021, PMID 33296278.</w:t>
      </w:r>
    </w:p>
  </w:footnote>
  <w:footnote w:id="2266">
    <w:p>
      <w:pPr>
        <w:pStyle w:val="FootnoteText"/>
      </w:pPr>
      <w:r>
        <w:rPr>
          <w:rStyle w:val="FootnoteReference"/>
        </w:rPr>
        <w:footnoteRef/>
      </w:r>
      <w:r>
        <w:t xml:space="preserve"> </w:t>
      </w:r>
      <w:r>
        <w:t xml:space="preserve">NCT04903002.</w:t>
      </w:r>
    </w:p>
  </w:footnote>
  <w:footnote w:id="2267">
    <w:p>
      <w:pPr>
        <w:pStyle w:val="FootnoteText"/>
      </w:pPr>
      <w:r>
        <w:rPr>
          <w:rStyle w:val="FootnoteReference"/>
        </w:rPr>
        <w:footnoteRef/>
      </w:r>
      <w:r>
        <w:t xml:space="preserve"> </w:t>
      </w:r>
      <w:r>
        <w:t xml:space="preserve">NCT06036004.</w:t>
      </w:r>
    </w:p>
  </w:footnote>
  <w:footnote w:id="2268">
    <w:p>
      <w:pPr>
        <w:pStyle w:val="FootnoteText"/>
      </w:pPr>
      <w:r>
        <w:rPr>
          <w:rStyle w:val="FootnoteReference"/>
        </w:rPr>
        <w:footnoteRef/>
      </w:r>
      <w:r>
        <w:t xml:space="preserve"> </w:t>
      </w:r>
      <w:r>
        <w:t xml:space="preserve">NCT05754073.</w:t>
      </w:r>
    </w:p>
  </w:footnote>
  <w:footnote w:id="2269">
    <w:p>
      <w:pPr>
        <w:pStyle w:val="FootnoteText"/>
      </w:pPr>
      <w:r>
        <w:rPr>
          <w:rStyle w:val="FootnoteReference"/>
        </w:rPr>
        <w:footnoteRef/>
      </w:r>
      <w:r>
        <w:t xml:space="preserve"> </w:t>
      </w:r>
      <w:r>
        <w:t xml:space="preserve">NCT05664516.</w:t>
      </w:r>
    </w:p>
  </w:footnote>
  <w:footnote w:id="2270">
    <w:p>
      <w:pPr>
        <w:pStyle w:val="FootnoteText"/>
      </w:pPr>
      <w:r>
        <w:rPr>
          <w:rStyle w:val="FootnoteReference"/>
        </w:rPr>
        <w:footnoteRef/>
      </w:r>
      <w:r>
        <w:t xml:space="preserve"> </w:t>
      </w:r>
      <w:r>
        <w:t xml:space="preserve">NCT07730294.</w:t>
      </w:r>
    </w:p>
  </w:footnote>
  <w:footnote w:id="2276">
    <w:p>
      <w:pPr>
        <w:pStyle w:val="FootnoteText"/>
      </w:pPr>
      <w:r>
        <w:rPr>
          <w:rStyle w:val="FootnoteReference"/>
        </w:rPr>
        <w:footnoteRef/>
      </w:r>
      <w:r>
        <w:t xml:space="preserve"> </w:t>
      </w:r>
      <w:r>
        <w:t xml:space="preserve">Steg 1985, PMID 2934695.</w:t>
      </w:r>
    </w:p>
  </w:footnote>
  <w:footnote w:id="2277">
    <w:p>
      <w:pPr>
        <w:pStyle w:val="FootnoteText"/>
      </w:pPr>
      <w:r>
        <w:rPr>
          <w:rStyle w:val="FootnoteReference"/>
        </w:rPr>
        <w:footnoteRef/>
      </w:r>
      <w:r>
        <w:t xml:space="preserve"> </w:t>
      </w:r>
      <w:r>
        <w:t xml:space="preserve">Segarra 1996, PMID 8773342; Falkenbach 1997, PMID 9189734.</w:t>
      </w:r>
    </w:p>
  </w:footnote>
  <w:footnote w:id="2278">
    <w:p>
      <w:pPr>
        <w:pStyle w:val="FootnoteText"/>
      </w:pPr>
      <w:r>
        <w:rPr>
          <w:rStyle w:val="FootnoteReference"/>
        </w:rPr>
        <w:footnoteRef/>
      </w:r>
      <w:r>
        <w:t xml:space="preserve"> </w:t>
      </w:r>
      <w:r>
        <w:t xml:space="preserve">Kandemir 2011, PMID 21448328.</w:t>
      </w:r>
    </w:p>
  </w:footnote>
  <w:footnote w:id="2279">
    <w:p>
      <w:pPr>
        <w:pStyle w:val="FootnoteText"/>
      </w:pPr>
      <w:r>
        <w:rPr>
          <w:rStyle w:val="FootnoteReference"/>
        </w:rPr>
        <w:footnoteRef/>
      </w:r>
      <w:r>
        <w:t xml:space="preserve"> </w:t>
      </w:r>
      <w:r>
        <w:t xml:space="preserve">Ab Rahim 2020, PMID 32871650.</w:t>
      </w:r>
    </w:p>
  </w:footnote>
  <w:footnote w:id="2280">
    <w:p>
      <w:pPr>
        <w:pStyle w:val="FootnoteText"/>
      </w:pPr>
      <w:r>
        <w:rPr>
          <w:rStyle w:val="FootnoteReference"/>
        </w:rPr>
        <w:footnoteRef/>
      </w:r>
      <w:r>
        <w:t xml:space="preserve"> </w:t>
      </w:r>
      <w:r>
        <w:t xml:space="preserve">Chioma 2025, PMID 41384863.</w:t>
      </w:r>
    </w:p>
  </w:footnote>
  <w:footnote w:id="2282">
    <w:p>
      <w:pPr>
        <w:pStyle w:val="FootnoteText"/>
      </w:pPr>
      <w:r>
        <w:rPr>
          <w:rStyle w:val="FootnoteReference"/>
        </w:rPr>
        <w:footnoteRef/>
      </w:r>
      <w:r>
        <w:t xml:space="preserve"> </w:t>
      </w:r>
      <w:r>
        <w:t xml:space="preserve">Quaas 2022, PMID 36378460.</w:t>
      </w:r>
    </w:p>
  </w:footnote>
  <w:footnote w:id="2283">
    <w:p>
      <w:pPr>
        <w:pStyle w:val="FootnoteText"/>
      </w:pPr>
      <w:r>
        <w:rPr>
          <w:rStyle w:val="FootnoteReference"/>
        </w:rPr>
        <w:footnoteRef/>
      </w:r>
      <w:r>
        <w:t xml:space="preserve"> </w:t>
      </w:r>
      <w:r>
        <w:t xml:space="preserve">Filicori 1994, PMID 7962297.</w:t>
      </w:r>
    </w:p>
  </w:footnote>
  <w:footnote w:id="2284">
    <w:p>
      <w:pPr>
        <w:pStyle w:val="FootnoteText"/>
      </w:pPr>
      <w:r>
        <w:rPr>
          <w:rStyle w:val="FootnoteReference"/>
        </w:rPr>
        <w:footnoteRef/>
      </w:r>
      <w:r>
        <w:t xml:space="preserve"> </w:t>
      </w:r>
      <w:r>
        <w:t xml:space="preserve">Santoro 1990, PMID 2122733.</w:t>
      </w:r>
    </w:p>
  </w:footnote>
  <w:footnote w:id="2285">
    <w:p>
      <w:pPr>
        <w:pStyle w:val="FootnoteText"/>
      </w:pPr>
      <w:r>
        <w:rPr>
          <w:rStyle w:val="FootnoteReference"/>
        </w:rPr>
        <w:footnoteRef/>
      </w:r>
      <w:r>
        <w:t xml:space="preserve"> </w:t>
      </w:r>
      <w:r>
        <w:t xml:space="preserve">Christin-Maitre 2007, PMID 17293247.</w:t>
      </w:r>
    </w:p>
  </w:footnote>
  <w:footnote w:id="2286">
    <w:p>
      <w:pPr>
        <w:pStyle w:val="FootnoteText"/>
      </w:pPr>
      <w:r>
        <w:rPr>
          <w:rStyle w:val="FootnoteReference"/>
        </w:rPr>
        <w:footnoteRef/>
      </w:r>
      <w:r>
        <w:t xml:space="preserve"> </w:t>
      </w:r>
      <w:r>
        <w:t xml:space="preserve">Quaas 2022, PMID 36378460.</w:t>
      </w:r>
    </w:p>
  </w:footnote>
  <w:footnote w:id="2288">
    <w:p>
      <w:pPr>
        <w:pStyle w:val="FootnoteText"/>
      </w:pPr>
      <w:r>
        <w:rPr>
          <w:rStyle w:val="FootnoteReference"/>
        </w:rPr>
        <w:footnoteRef/>
      </w:r>
      <w:r>
        <w:t xml:space="preserve"> </w:t>
      </w:r>
      <w:r>
        <w:t xml:space="preserve">Kliesch 1994, PMID 7921222.</w:t>
      </w:r>
    </w:p>
  </w:footnote>
  <w:footnote w:id="2289">
    <w:p>
      <w:pPr>
        <w:pStyle w:val="FootnoteText"/>
      </w:pPr>
      <w:r>
        <w:rPr>
          <w:rStyle w:val="FootnoteReference"/>
        </w:rPr>
        <w:footnoteRef/>
      </w:r>
      <w:r>
        <w:t xml:space="preserve"> </w:t>
      </w:r>
      <w:r>
        <w:t xml:space="preserve">Gong 2015, PMID 25978110.</w:t>
      </w:r>
    </w:p>
  </w:footnote>
  <w:footnote w:id="2290">
    <w:p>
      <w:pPr>
        <w:pStyle w:val="FootnoteText"/>
      </w:pPr>
      <w:r>
        <w:rPr>
          <w:rStyle w:val="FootnoteReference"/>
        </w:rPr>
        <w:footnoteRef/>
      </w:r>
      <w:r>
        <w:t xml:space="preserve"> </w:t>
      </w:r>
      <w:r>
        <w:t xml:space="preserve">Dwyer 2013, PMID 24037890.</w:t>
      </w:r>
    </w:p>
  </w:footnote>
  <w:footnote w:id="2292">
    <w:p>
      <w:pPr>
        <w:pStyle w:val="FootnoteText"/>
      </w:pPr>
      <w:r>
        <w:rPr>
          <w:rStyle w:val="FootnoteReference"/>
        </w:rPr>
        <w:footnoteRef/>
      </w:r>
      <w:r>
        <w:t xml:space="preserve"> </w:t>
      </w:r>
      <w:r>
        <w:t xml:space="preserve">Spinelli 2014, PMID 25106891.</w:t>
      </w:r>
    </w:p>
  </w:footnote>
  <w:footnote w:id="2293">
    <w:p>
      <w:pPr>
        <w:pStyle w:val="FootnoteText"/>
      </w:pPr>
      <w:r>
        <w:rPr>
          <w:rStyle w:val="FootnoteReference"/>
        </w:rPr>
        <w:footnoteRef/>
      </w:r>
      <w:r>
        <w:t xml:space="preserve"> </w:t>
      </w:r>
      <w:r>
        <w:t xml:space="preserve">Fiala 2022, PMID 35691791.</w:t>
      </w:r>
    </w:p>
  </w:footnote>
  <w:footnote w:id="2297">
    <w:p>
      <w:pPr>
        <w:pStyle w:val="FootnoteText"/>
      </w:pPr>
      <w:r>
        <w:rPr>
          <w:rStyle w:val="FootnoteReference"/>
        </w:rPr>
        <w:footnoteRef/>
      </w:r>
      <w:r>
        <w:t xml:space="preserve"> </w:t>
      </w:r>
      <w:r>
        <w:t xml:space="preserve">Santoro 1990, PMID 2122733; Christin-Maitre 2007, PMID 17293247.</w:t>
      </w:r>
    </w:p>
  </w:footnote>
  <w:footnote w:id="2301">
    <w:p>
      <w:pPr>
        <w:pStyle w:val="FootnoteText"/>
      </w:pPr>
      <w:r>
        <w:rPr>
          <w:rStyle w:val="FootnoteReference"/>
        </w:rPr>
        <w:footnoteRef/>
      </w:r>
      <w:r>
        <w:t xml:space="preserve"> </w:t>
      </w:r>
      <w:r>
        <w:t xml:space="preserve">Smit 2026, PMID 42644333.</w:t>
      </w:r>
    </w:p>
  </w:footnote>
  <w:footnote w:id="2302">
    <w:p>
      <w:pPr>
        <w:pStyle w:val="FootnoteText"/>
      </w:pPr>
      <w:r>
        <w:rPr>
          <w:rStyle w:val="FootnoteReference"/>
        </w:rPr>
        <w:footnoteRef/>
      </w:r>
      <w:r>
        <w:t xml:space="preserve"> </w:t>
      </w:r>
      <w:r>
        <w:t xml:space="preserve">Smit 2021, PMID 33550376.</w:t>
      </w:r>
    </w:p>
  </w:footnote>
  <w:footnote w:id="2303">
    <w:p>
      <w:pPr>
        <w:pStyle w:val="FootnoteText"/>
      </w:pPr>
      <w:r>
        <w:rPr>
          <w:rStyle w:val="FootnoteReference"/>
        </w:rPr>
        <w:footnoteRef/>
      </w:r>
      <w:r>
        <w:t xml:space="preserve"> </w:t>
      </w:r>
      <w:r>
        <w:t xml:space="preserve">Torrini 2023, PMID 36858006.</w:t>
      </w:r>
    </w:p>
  </w:footnote>
  <w:footnote w:id="2306">
    <w:p>
      <w:pPr>
        <w:pStyle w:val="FootnoteText"/>
      </w:pPr>
      <w:r>
        <w:rPr>
          <w:rStyle w:val="FootnoteReference"/>
        </w:rPr>
        <w:footnoteRef/>
      </w:r>
      <w:r>
        <w:t xml:space="preserve"> </w:t>
      </w:r>
      <w:r>
        <w:t xml:space="preserve">NCT07152730.</w:t>
      </w:r>
    </w:p>
  </w:footnote>
  <w:footnote w:id="2307">
    <w:p>
      <w:pPr>
        <w:pStyle w:val="FootnoteText"/>
      </w:pPr>
      <w:r>
        <w:rPr>
          <w:rStyle w:val="FootnoteReference"/>
        </w:rPr>
        <w:footnoteRef/>
      </w:r>
      <w:r>
        <w:t xml:space="preserve"> </w:t>
      </w:r>
      <w:r>
        <w:t xml:space="preserve">NCT02310074.</w:t>
      </w:r>
    </w:p>
  </w:footnote>
  <w:footnote w:id="2308">
    <w:p>
      <w:pPr>
        <w:pStyle w:val="FootnoteText"/>
      </w:pPr>
      <w:r>
        <w:rPr>
          <w:rStyle w:val="FootnoteReference"/>
        </w:rPr>
        <w:footnoteRef/>
      </w:r>
      <w:r>
        <w:t xml:space="preserve"> </w:t>
      </w:r>
      <w:r>
        <w:t xml:space="preserve">NCT03989024.</w:t>
      </w:r>
    </w:p>
  </w:footnote>
  <w:footnote w:id="2313">
    <w:p>
      <w:pPr>
        <w:pStyle w:val="FootnoteText"/>
      </w:pPr>
      <w:r>
        <w:rPr>
          <w:rStyle w:val="FootnoteReference"/>
        </w:rPr>
        <w:footnoteRef/>
      </w:r>
      <w:r>
        <w:t xml:space="preserve"> </w:t>
      </w:r>
      <w:r>
        <w:t xml:space="preserve">Myung 2025, PMID 40324552.</w:t>
      </w:r>
    </w:p>
  </w:footnote>
  <w:footnote w:id="2319">
    <w:p>
      <w:pPr>
        <w:pStyle w:val="FootnoteText"/>
      </w:pPr>
      <w:r>
        <w:rPr>
          <w:rStyle w:val="FootnoteReference"/>
        </w:rPr>
        <w:footnoteRef/>
      </w:r>
      <w:r>
        <w:t xml:space="preserve"> </w:t>
      </w:r>
      <w:r>
        <w:t xml:space="preserve">Iwai 2005, PMID 16076145.</w:t>
      </w:r>
    </w:p>
  </w:footnote>
  <w:footnote w:id="2320">
    <w:p>
      <w:pPr>
        <w:pStyle w:val="FootnoteText"/>
      </w:pPr>
      <w:r>
        <w:rPr>
          <w:rStyle w:val="FootnoteReference"/>
        </w:rPr>
        <w:footnoteRef/>
      </w:r>
      <w:r>
        <w:t xml:space="preserve"> </w:t>
      </w:r>
      <w:r>
        <w:t xml:space="preserve">Yamamoto 2016, PMID 26934933.</w:t>
      </w:r>
    </w:p>
  </w:footnote>
  <w:footnote w:id="2321">
    <w:p>
      <w:pPr>
        <w:pStyle w:val="FootnoteText"/>
      </w:pPr>
      <w:r>
        <w:rPr>
          <w:rStyle w:val="FootnoteReference"/>
        </w:rPr>
        <w:footnoteRef/>
      </w:r>
      <w:r>
        <w:t xml:space="preserve"> </w:t>
      </w:r>
      <w:r>
        <w:t xml:space="preserve">Shaw 2017, PMID 27852613.</w:t>
      </w:r>
    </w:p>
  </w:footnote>
  <w:footnote w:id="2322">
    <w:p>
      <w:pPr>
        <w:pStyle w:val="FootnoteText"/>
      </w:pPr>
      <w:r>
        <w:rPr>
          <w:rStyle w:val="FootnoteReference"/>
        </w:rPr>
        <w:footnoteRef/>
      </w:r>
      <w:r>
        <w:t xml:space="preserve"> </w:t>
      </w:r>
      <w:r>
        <w:t xml:space="preserve">Stenbæk 2016, PMID 26655163.</w:t>
      </w:r>
    </w:p>
  </w:footnote>
  <w:footnote w:id="2324">
    <w:p>
      <w:pPr>
        <w:pStyle w:val="FootnoteText"/>
      </w:pPr>
      <w:r>
        <w:rPr>
          <w:rStyle w:val="FootnoteReference"/>
        </w:rPr>
        <w:footnoteRef/>
      </w:r>
      <w:r>
        <w:t xml:space="preserve"> </w:t>
      </w:r>
      <w:r>
        <w:t xml:space="preserve">Hexsel 2017, PMID 28786550.</w:t>
      </w:r>
    </w:p>
  </w:footnote>
  <w:footnote w:id="2325">
    <w:p>
      <w:pPr>
        <w:pStyle w:val="FootnoteText"/>
      </w:pPr>
      <w:r>
        <w:rPr>
          <w:rStyle w:val="FootnoteReference"/>
        </w:rPr>
        <w:footnoteRef/>
      </w:r>
      <w:r>
        <w:t xml:space="preserve"> </w:t>
      </w:r>
      <w:r>
        <w:t xml:space="preserve">Sugihara 2018, PMID 30061579.</w:t>
      </w:r>
    </w:p>
  </w:footnote>
  <w:footnote w:id="2327">
    <w:p>
      <w:pPr>
        <w:pStyle w:val="FootnoteText"/>
      </w:pPr>
      <w:r>
        <w:rPr>
          <w:rStyle w:val="FootnoteReference"/>
        </w:rPr>
        <w:footnoteRef/>
      </w:r>
      <w:r>
        <w:t xml:space="preserve"> </w:t>
      </w:r>
      <w:r>
        <w:t xml:space="preserve">de Miranda 2021, PMID 33742704.</w:t>
      </w:r>
    </w:p>
  </w:footnote>
  <w:footnote w:id="2328">
    <w:p>
      <w:pPr>
        <w:pStyle w:val="FootnoteText"/>
      </w:pPr>
      <w:r>
        <w:rPr>
          <w:rStyle w:val="FootnoteReference"/>
        </w:rPr>
        <w:footnoteRef/>
      </w:r>
      <w:r>
        <w:t xml:space="preserve"> </w:t>
      </w:r>
      <w:r>
        <w:t xml:space="preserve">Pu 2023, PMID 37432180.</w:t>
      </w:r>
    </w:p>
  </w:footnote>
  <w:footnote w:id="2329">
    <w:p>
      <w:pPr>
        <w:pStyle w:val="FootnoteText"/>
      </w:pPr>
      <w:r>
        <w:rPr>
          <w:rStyle w:val="FootnoteReference"/>
        </w:rPr>
        <w:footnoteRef/>
      </w:r>
      <w:r>
        <w:t xml:space="preserve"> </w:t>
      </w:r>
      <w:r>
        <w:t xml:space="preserve">Danessa 2025, PMID 40826844.</w:t>
      </w:r>
    </w:p>
  </w:footnote>
  <w:footnote w:id="2330">
    <w:p>
      <w:pPr>
        <w:pStyle w:val="FootnoteText"/>
      </w:pPr>
      <w:r>
        <w:rPr>
          <w:rStyle w:val="FootnoteReference"/>
        </w:rPr>
        <w:footnoteRef/>
      </w:r>
      <w:r>
        <w:t xml:space="preserve"> </w:t>
      </w:r>
      <w:r>
        <w:t xml:space="preserve">Myung 2025, PMID 40324552.</w:t>
      </w:r>
    </w:p>
  </w:footnote>
  <w:footnote w:id="2332">
    <w:p>
      <w:pPr>
        <w:pStyle w:val="FootnoteText"/>
      </w:pPr>
      <w:r>
        <w:rPr>
          <w:rStyle w:val="FootnoteReference"/>
        </w:rPr>
        <w:footnoteRef/>
      </w:r>
      <w:r>
        <w:t xml:space="preserve"> </w:t>
      </w:r>
      <w:r>
        <w:t xml:space="preserve">García-Coronado 2019, PMID 30368550.</w:t>
      </w:r>
    </w:p>
  </w:footnote>
  <w:footnote w:id="2333">
    <w:p>
      <w:pPr>
        <w:pStyle w:val="FootnoteText"/>
      </w:pPr>
      <w:r>
        <w:rPr>
          <w:rStyle w:val="FootnoteReference"/>
        </w:rPr>
        <w:footnoteRef/>
      </w:r>
      <w:r>
        <w:t xml:space="preserve"> </w:t>
      </w:r>
      <w:r>
        <w:t xml:space="preserve">Liang 2024, PMID 38218227.</w:t>
      </w:r>
    </w:p>
  </w:footnote>
  <w:footnote w:id="2334">
    <w:p>
      <w:pPr>
        <w:pStyle w:val="FootnoteText"/>
      </w:pPr>
      <w:r>
        <w:rPr>
          <w:rStyle w:val="FootnoteReference"/>
        </w:rPr>
        <w:footnoteRef/>
      </w:r>
      <w:r>
        <w:t xml:space="preserve"> </w:t>
      </w:r>
      <w:r>
        <w:t xml:space="preserve">Lin 2023, PMID 37717022.</w:t>
      </w:r>
    </w:p>
  </w:footnote>
  <w:footnote w:id="2335">
    <w:p>
      <w:pPr>
        <w:pStyle w:val="FootnoteText"/>
      </w:pPr>
      <w:r>
        <w:rPr>
          <w:rStyle w:val="FootnoteReference"/>
        </w:rPr>
        <w:footnoteRef/>
      </w:r>
      <w:r>
        <w:t xml:space="preserve"> </w:t>
      </w:r>
      <w:r>
        <w:t xml:space="preserve">Simental-Mendía 2025, PMID 39212129.</w:t>
      </w:r>
    </w:p>
  </w:footnote>
  <w:footnote w:id="2336">
    <w:p>
      <w:pPr>
        <w:pStyle w:val="FootnoteText"/>
      </w:pPr>
      <w:r>
        <w:rPr>
          <w:rStyle w:val="FootnoteReference"/>
        </w:rPr>
        <w:footnoteRef/>
      </w:r>
      <w:r>
        <w:t xml:space="preserve"> </w:t>
      </w:r>
      <w:r>
        <w:t xml:space="preserve">Liu 2018, PMID 29018060.</w:t>
      </w:r>
    </w:p>
  </w:footnote>
  <w:footnote w:id="2338">
    <w:p>
      <w:pPr>
        <w:pStyle w:val="FootnoteText"/>
      </w:pPr>
      <w:r>
        <w:rPr>
          <w:rStyle w:val="FootnoteReference"/>
        </w:rPr>
        <w:footnoteRef/>
      </w:r>
      <w:r>
        <w:t xml:space="preserve"> </w:t>
      </w:r>
      <w:r>
        <w:t xml:space="preserve">Trentham 1993, PMID 8378772.</w:t>
      </w:r>
    </w:p>
  </w:footnote>
  <w:footnote w:id="2339">
    <w:p>
      <w:pPr>
        <w:pStyle w:val="FootnoteText"/>
      </w:pPr>
      <w:r>
        <w:rPr>
          <w:rStyle w:val="FootnoteReference"/>
        </w:rPr>
        <w:footnoteRef/>
      </w:r>
      <w:r>
        <w:t xml:space="preserve"> </w:t>
      </w:r>
      <w:r>
        <w:t xml:space="preserve">Barnett 1998, PMID 9485087.</w:t>
      </w:r>
    </w:p>
  </w:footnote>
  <w:footnote w:id="2342">
    <w:p>
      <w:pPr>
        <w:pStyle w:val="FootnoteText"/>
      </w:pPr>
      <w:r>
        <w:rPr>
          <w:rStyle w:val="FootnoteReference"/>
        </w:rPr>
        <w:footnoteRef/>
      </w:r>
      <w:r>
        <w:t xml:space="preserve"> </w:t>
      </w:r>
      <w:r>
        <w:t xml:space="preserve">Zdzieblik 2015, PMID 26353786.</w:t>
      </w:r>
    </w:p>
  </w:footnote>
  <w:footnote w:id="2343">
    <w:p>
      <w:pPr>
        <w:pStyle w:val="FootnoteText"/>
      </w:pPr>
      <w:r>
        <w:rPr>
          <w:rStyle w:val="FootnoteReference"/>
        </w:rPr>
        <w:footnoteRef/>
      </w:r>
      <w:r>
        <w:t xml:space="preserve"> </w:t>
      </w:r>
      <w:r>
        <w:t xml:space="preserve">Oikawa 2020, PMID 31919527.</w:t>
      </w:r>
    </w:p>
  </w:footnote>
  <w:footnote w:id="2344">
    <w:p>
      <w:pPr>
        <w:pStyle w:val="FootnoteText"/>
      </w:pPr>
      <w:r>
        <w:rPr>
          <w:rStyle w:val="FootnoteReference"/>
        </w:rPr>
        <w:footnoteRef/>
      </w:r>
      <w:r>
        <w:t xml:space="preserve"> </w:t>
      </w:r>
      <w:r>
        <w:t xml:space="preserve">Jacinto 2022, PMID 35042187.</w:t>
      </w:r>
    </w:p>
  </w:footnote>
  <w:footnote w:id="2345">
    <w:p>
      <w:pPr>
        <w:pStyle w:val="FootnoteText"/>
      </w:pPr>
      <w:r>
        <w:rPr>
          <w:rStyle w:val="FootnoteReference"/>
        </w:rPr>
        <w:footnoteRef/>
      </w:r>
      <w:r>
        <w:t xml:space="preserve"> </w:t>
      </w:r>
      <w:r>
        <w:t xml:space="preserve">Kirmse 2024, PMID 39086044.</w:t>
      </w:r>
    </w:p>
  </w:footnote>
  <w:footnote w:id="2346">
    <w:p>
      <w:pPr>
        <w:pStyle w:val="FootnoteText"/>
      </w:pPr>
      <w:r>
        <w:rPr>
          <w:rStyle w:val="FootnoteReference"/>
        </w:rPr>
        <w:footnoteRef/>
      </w:r>
      <w:r>
        <w:t xml:space="preserve"> </w:t>
      </w:r>
      <w:r>
        <w:t xml:space="preserve">Bischof 2024, PMID 39060741.</w:t>
      </w:r>
    </w:p>
  </w:footnote>
  <w:footnote w:id="2347">
    <w:p>
      <w:pPr>
        <w:pStyle w:val="FootnoteText"/>
      </w:pPr>
      <w:r>
        <w:rPr>
          <w:rStyle w:val="FootnoteReference"/>
        </w:rPr>
        <w:footnoteRef/>
      </w:r>
      <w:r>
        <w:t xml:space="preserve"> </w:t>
      </w:r>
      <w:r>
        <w:t xml:space="preserve">Khatri 2021, PMID 34491424.</w:t>
      </w:r>
    </w:p>
  </w:footnote>
  <w:footnote w:id="2349">
    <w:p>
      <w:pPr>
        <w:pStyle w:val="FootnoteText"/>
      </w:pPr>
      <w:r>
        <w:rPr>
          <w:rStyle w:val="FootnoteReference"/>
        </w:rPr>
        <w:footnoteRef/>
      </w:r>
      <w:r>
        <w:t xml:space="preserve"> </w:t>
      </w:r>
      <w:r>
        <w:t xml:space="preserve">Jalili 2023, PMID 35658958.</w:t>
      </w:r>
    </w:p>
  </w:footnote>
  <w:footnote w:id="2352">
    <w:p>
      <w:pPr>
        <w:pStyle w:val="FootnoteText"/>
      </w:pPr>
      <w:r>
        <w:rPr>
          <w:rStyle w:val="FootnoteReference"/>
        </w:rPr>
        <w:footnoteRef/>
      </w:r>
      <w:r>
        <w:t xml:space="preserve"> </w:t>
      </w:r>
      <w:r>
        <w:t xml:space="preserve">Asserin 2015, PMID 26362110.</w:t>
      </w:r>
    </w:p>
  </w:footnote>
  <w:footnote w:id="2353">
    <w:p>
      <w:pPr>
        <w:pStyle w:val="FootnoteText"/>
      </w:pPr>
      <w:r>
        <w:rPr>
          <w:rStyle w:val="FootnoteReference"/>
        </w:rPr>
        <w:footnoteRef/>
      </w:r>
      <w:r>
        <w:t xml:space="preserve"> </w:t>
      </w:r>
      <w:r>
        <w:t xml:space="preserve">Inacio 2024, PMID 38892477.</w:t>
      </w:r>
    </w:p>
  </w:footnote>
  <w:footnote w:id="2354">
    <w:p>
      <w:pPr>
        <w:pStyle w:val="FootnoteText"/>
      </w:pPr>
      <w:r>
        <w:rPr>
          <w:rStyle w:val="FootnoteReference"/>
        </w:rPr>
        <w:footnoteRef/>
      </w:r>
      <w:r>
        <w:t xml:space="preserve"> </w:t>
      </w:r>
      <w:r>
        <w:t xml:space="preserve">Bischof 2026, PMID 41168365.</w:t>
      </w:r>
    </w:p>
  </w:footnote>
  <w:footnote w:id="2356">
    <w:p>
      <w:pPr>
        <w:pStyle w:val="FootnoteText"/>
      </w:pPr>
      <w:r>
        <w:rPr>
          <w:rStyle w:val="FootnoteReference"/>
        </w:rPr>
        <w:footnoteRef/>
      </w:r>
      <w:r>
        <w:t xml:space="preserve"> </w:t>
      </w:r>
      <w:r>
        <w:t xml:space="preserve">Liang 2024, PMID 38218227.</w:t>
      </w:r>
    </w:p>
  </w:footnote>
  <w:footnote w:id="2357">
    <w:p>
      <w:pPr>
        <w:pStyle w:val="FootnoteText"/>
      </w:pPr>
      <w:r>
        <w:rPr>
          <w:rStyle w:val="FootnoteReference"/>
        </w:rPr>
        <w:footnoteRef/>
      </w:r>
      <w:r>
        <w:t xml:space="preserve"> </w:t>
      </w:r>
      <w:r>
        <w:t xml:space="preserve">Knight 2006, PMID 17021603.</w:t>
      </w:r>
    </w:p>
  </w:footnote>
  <w:footnote w:id="2360">
    <w:p>
      <w:pPr>
        <w:pStyle w:val="FootnoteText"/>
      </w:pPr>
      <w:r>
        <w:rPr>
          <w:rStyle w:val="FootnoteReference"/>
        </w:rPr>
        <w:footnoteRef/>
      </w:r>
      <w:r>
        <w:t xml:space="preserve"> </w:t>
      </w:r>
      <w:r>
        <w:t xml:space="preserve">NCT04998188.</w:t>
      </w:r>
    </w:p>
  </w:footnote>
  <w:footnote w:id="2361">
    <w:p>
      <w:pPr>
        <w:pStyle w:val="FootnoteText"/>
      </w:pPr>
      <w:r>
        <w:rPr>
          <w:rStyle w:val="FootnoteReference"/>
        </w:rPr>
        <w:footnoteRef/>
      </w:r>
      <w:r>
        <w:t xml:space="preserve"> </w:t>
      </w:r>
      <w:r>
        <w:t xml:space="preserve">NCT07800780.</w:t>
      </w:r>
    </w:p>
  </w:footnote>
  <w:footnote w:id="2362">
    <w:p>
      <w:pPr>
        <w:pStyle w:val="FootnoteText"/>
      </w:pPr>
      <w:r>
        <w:rPr>
          <w:rStyle w:val="FootnoteReference"/>
        </w:rPr>
        <w:footnoteRef/>
      </w:r>
      <w:r>
        <w:t xml:space="preserve"> </w:t>
      </w:r>
      <w:r>
        <w:t xml:space="preserve">NCT05823727.</w:t>
      </w:r>
    </w:p>
  </w:footnote>
  <w:footnote w:id="2363">
    <w:p>
      <w:pPr>
        <w:pStyle w:val="FootnoteText"/>
      </w:pPr>
      <w:r>
        <w:rPr>
          <w:rStyle w:val="FootnoteReference"/>
        </w:rPr>
        <w:footnoteRef/>
      </w:r>
      <w:r>
        <w:t xml:space="preserve"> </w:t>
      </w:r>
      <w:r>
        <w:t xml:space="preserve">NCT07473037.</w:t>
      </w:r>
    </w:p>
  </w:footnote>
  <w:footnote w:id="2364">
    <w:p>
      <w:pPr>
        <w:pStyle w:val="FootnoteText"/>
      </w:pPr>
      <w:r>
        <w:rPr>
          <w:rStyle w:val="FootnoteReference"/>
        </w:rPr>
        <w:footnoteRef/>
      </w:r>
      <w:r>
        <w:t xml:space="preserve"> </w:t>
      </w:r>
      <w:r>
        <w:t xml:space="preserve">NCT07456449.</w:t>
      </w:r>
    </w:p>
  </w:footnote>
  <w:footnote w:id="2365">
    <w:p>
      <w:pPr>
        <w:pStyle w:val="FootnoteText"/>
      </w:pPr>
      <w:r>
        <w:rPr>
          <w:rStyle w:val="FootnoteReference"/>
        </w:rPr>
        <w:footnoteRef/>
      </w:r>
      <w:r>
        <w:t xml:space="preserve"> </w:t>
      </w:r>
      <w:r>
        <w:t xml:space="preserve">NCT07229014.</w:t>
      </w:r>
    </w:p>
  </w:footnote>
  <w:footnote w:id="2366">
    <w:p>
      <w:pPr>
        <w:pStyle w:val="FootnoteText"/>
      </w:pPr>
      <w:r>
        <w:rPr>
          <w:rStyle w:val="FootnoteReference"/>
        </w:rPr>
        <w:footnoteRef/>
      </w:r>
      <w:r>
        <w:t xml:space="preserve"> </w:t>
      </w:r>
      <w:r>
        <w:t xml:space="preserve">Myung 2025, PMID 40324552.</w:t>
      </w:r>
    </w:p>
  </w:footnote>
  <w:footnote w:id="2371">
    <w:p>
      <w:pPr>
        <w:pStyle w:val="FootnoteText"/>
      </w:pPr>
      <w:r>
        <w:rPr>
          <w:rStyle w:val="FootnoteReference"/>
        </w:rPr>
        <w:footnoteRef/>
      </w:r>
      <w:r>
        <w:t xml:space="preserve"> </w:t>
      </w:r>
      <w:r>
        <w:t xml:space="preserve">Nakamura 1995, PMID 7673515.</w:t>
      </w:r>
    </w:p>
  </w:footnote>
  <w:footnote w:id="2372">
    <w:p>
      <w:pPr>
        <w:pStyle w:val="FootnoteText"/>
      </w:pPr>
      <w:r>
        <w:rPr>
          <w:rStyle w:val="FootnoteReference"/>
        </w:rPr>
        <w:footnoteRef/>
      </w:r>
      <w:r>
        <w:t xml:space="preserve"> </w:t>
      </w:r>
      <w:r>
        <w:t xml:space="preserve">Foltz 2007, PMID 17374660.</w:t>
      </w:r>
    </w:p>
  </w:footnote>
  <w:footnote w:id="2373">
    <w:p>
      <w:pPr>
        <w:pStyle w:val="FootnoteText"/>
      </w:pPr>
      <w:r>
        <w:rPr>
          <w:rStyle w:val="FootnoteReference"/>
        </w:rPr>
        <w:footnoteRef/>
      </w:r>
      <w:r>
        <w:t xml:space="preserve"> </w:t>
      </w:r>
      <w:r>
        <w:t xml:space="preserve">Wuerzner 2009, PMID 19506528.</w:t>
      </w:r>
    </w:p>
  </w:footnote>
  <w:footnote w:id="2376">
    <w:p>
      <w:pPr>
        <w:pStyle w:val="FootnoteText"/>
      </w:pPr>
      <w:r>
        <w:rPr>
          <w:rStyle w:val="FootnoteReference"/>
        </w:rPr>
        <w:footnoteRef/>
      </w:r>
      <w:r>
        <w:t xml:space="preserve"> </w:t>
      </w:r>
      <w:r>
        <w:t xml:space="preserve">Geleijnse 2010, PMID 19884823.</w:t>
      </w:r>
    </w:p>
  </w:footnote>
  <w:footnote w:id="2378">
    <w:p>
      <w:pPr>
        <w:pStyle w:val="FootnoteText"/>
      </w:pPr>
      <w:r>
        <w:rPr>
          <w:rStyle w:val="FootnoteReference"/>
        </w:rPr>
        <w:footnoteRef/>
      </w:r>
      <w:r>
        <w:t xml:space="preserve"> </w:t>
      </w:r>
      <w:r>
        <w:t xml:space="preserve">Jauhiainen 2012, PMID 22617279.</w:t>
      </w:r>
    </w:p>
  </w:footnote>
  <w:footnote w:id="2379">
    <w:p>
      <w:pPr>
        <w:pStyle w:val="FootnoteText"/>
      </w:pPr>
      <w:r>
        <w:rPr>
          <w:rStyle w:val="FootnoteReference"/>
        </w:rPr>
        <w:footnoteRef/>
      </w:r>
      <w:r>
        <w:t xml:space="preserve"> </w:t>
      </w:r>
      <w:r>
        <w:t xml:space="preserve">Turpeinen 2012, PMID 22398753.</w:t>
      </w:r>
    </w:p>
  </w:footnote>
  <w:footnote w:id="2380">
    <w:p>
      <w:pPr>
        <w:pStyle w:val="FootnoteText"/>
      </w:pPr>
      <w:r>
        <w:rPr>
          <w:rStyle w:val="FootnoteReference"/>
        </w:rPr>
        <w:footnoteRef/>
      </w:r>
      <w:r>
        <w:t xml:space="preserve"> </w:t>
      </w:r>
      <w:r>
        <w:t xml:space="preserve">Cicero 2011, PMID 21753776; Cicero 2016, PMID 26683986.</w:t>
      </w:r>
    </w:p>
  </w:footnote>
  <w:footnote w:id="2381">
    <w:p>
      <w:pPr>
        <w:pStyle w:val="FootnoteText"/>
      </w:pPr>
      <w:r>
        <w:rPr>
          <w:rStyle w:val="FootnoteReference"/>
        </w:rPr>
        <w:footnoteRef/>
      </w:r>
      <w:r>
        <w:t xml:space="preserve"> </w:t>
      </w:r>
      <w:r>
        <w:t xml:space="preserve">Germino 2010, PMID 20433527.</w:t>
      </w:r>
    </w:p>
  </w:footnote>
  <w:footnote w:id="2382">
    <w:p>
      <w:pPr>
        <w:pStyle w:val="FootnoteText"/>
      </w:pPr>
      <w:r>
        <w:rPr>
          <w:rStyle w:val="FootnoteReference"/>
        </w:rPr>
        <w:footnoteRef/>
      </w:r>
      <w:r>
        <w:t xml:space="preserve"> </w:t>
      </w:r>
      <w:r>
        <w:t xml:space="preserve">z. B. Akazawa 2018, PMID 29703414.</w:t>
      </w:r>
    </w:p>
  </w:footnote>
  <w:footnote w:id="2384">
    <w:p>
      <w:pPr>
        <w:pStyle w:val="FootnoteText"/>
      </w:pPr>
      <w:r>
        <w:rPr>
          <w:rStyle w:val="FootnoteReference"/>
        </w:rPr>
        <w:footnoteRef/>
      </w:r>
      <w:r>
        <w:t xml:space="preserve"> </w:t>
      </w:r>
      <w:r>
        <w:t xml:space="preserve">Fekete 2015, PMID 25608938.</w:t>
      </w:r>
    </w:p>
  </w:footnote>
  <w:footnote w:id="2387">
    <w:p>
      <w:pPr>
        <w:pStyle w:val="FootnoteText"/>
      </w:pPr>
      <w:r>
        <w:rPr>
          <w:rStyle w:val="FootnoteReference"/>
        </w:rPr>
        <w:footnoteRef/>
      </w:r>
      <w:r>
        <w:t xml:space="preserve"> </w:t>
      </w:r>
      <w:r>
        <w:t xml:space="preserve">Nakamura 1995, PMID 7673515.</w:t>
      </w:r>
    </w:p>
  </w:footnote>
  <w:footnote w:id="2388">
    <w:p>
      <w:pPr>
        <w:pStyle w:val="FootnoteText"/>
      </w:pPr>
      <w:r>
        <w:rPr>
          <w:rStyle w:val="FootnoteReference"/>
        </w:rPr>
        <w:footnoteRef/>
      </w:r>
      <w:r>
        <w:t xml:space="preserve"> </w:t>
      </w:r>
      <w:r>
        <w:t xml:space="preserve">Hirota 2011, PMID 21221598.</w:t>
      </w:r>
    </w:p>
  </w:footnote>
  <w:footnote w:id="2389">
    <w:p>
      <w:pPr>
        <w:pStyle w:val="FootnoteText"/>
      </w:pPr>
      <w:r>
        <w:rPr>
          <w:rStyle w:val="FootnoteReference"/>
        </w:rPr>
        <w:footnoteRef/>
      </w:r>
      <w:r>
        <w:t xml:space="preserve"> </w:t>
      </w:r>
      <w:r>
        <w:t xml:space="preserve">Foltz 2007, PMID 17374660.</w:t>
      </w:r>
    </w:p>
  </w:footnote>
  <w:footnote w:id="2390">
    <w:p>
      <w:pPr>
        <w:pStyle w:val="FootnoteText"/>
      </w:pPr>
      <w:r>
        <w:rPr>
          <w:rStyle w:val="FootnoteReference"/>
        </w:rPr>
        <w:footnoteRef/>
      </w:r>
      <w:r>
        <w:t xml:space="preserve"> </w:t>
      </w:r>
      <w:r>
        <w:t xml:space="preserve">Gregory 2024, PMID 37904282.</w:t>
      </w:r>
    </w:p>
  </w:footnote>
  <w:footnote w:id="2391">
    <w:p>
      <w:pPr>
        <w:pStyle w:val="FootnoteText"/>
      </w:pPr>
      <w:r>
        <w:rPr>
          <w:rStyle w:val="FootnoteReference"/>
        </w:rPr>
        <w:footnoteRef/>
      </w:r>
      <w:r>
        <w:t xml:space="preserve"> </w:t>
      </w:r>
      <w:r>
        <w:t xml:space="preserve">Dent 2007, PMID 17383063.</w:t>
      </w:r>
    </w:p>
  </w:footnote>
  <w:footnote w:id="2392">
    <w:p>
      <w:pPr>
        <w:pStyle w:val="FootnoteText"/>
      </w:pPr>
      <w:r>
        <w:rPr>
          <w:rStyle w:val="FootnoteReference"/>
        </w:rPr>
        <w:footnoteRef/>
      </w:r>
      <w:r>
        <w:t xml:space="preserve"> </w:t>
      </w:r>
      <w:r>
        <w:t xml:space="preserve">Ponstein-Simarro Doorten 2009, PMID 18955104.</w:t>
      </w:r>
    </w:p>
  </w:footnote>
  <w:footnote w:id="2394">
    <w:p>
      <w:pPr>
        <w:pStyle w:val="FootnoteText"/>
      </w:pPr>
      <w:r>
        <w:rPr>
          <w:rStyle w:val="FootnoteReference"/>
        </w:rPr>
        <w:footnoteRef/>
      </w:r>
      <w:r>
        <w:t xml:space="preserve"> </w:t>
      </w:r>
      <w:r>
        <w:t xml:space="preserve">z. B. Jauhiainen 2005, PMID 16364832.</w:t>
      </w:r>
    </w:p>
  </w:footnote>
  <w:footnote w:id="2397">
    <w:p>
      <w:pPr>
        <w:pStyle w:val="FootnoteText"/>
      </w:pPr>
      <w:r>
        <w:rPr>
          <w:rStyle w:val="FootnoteReference"/>
        </w:rPr>
        <w:footnoteRef/>
      </w:r>
      <w:r>
        <w:t xml:space="preserve"> </w:t>
      </w:r>
      <w:r>
        <w:t xml:space="preserve">NCT00924157.</w:t>
      </w:r>
    </w:p>
  </w:footnote>
  <w:footnote w:id="2402">
    <w:p>
      <w:pPr>
        <w:pStyle w:val="FootnoteText"/>
      </w:pPr>
      <w:r>
        <w:rPr>
          <w:rStyle w:val="FootnoteReference"/>
        </w:rPr>
        <w:footnoteRef/>
      </w:r>
      <w:r>
        <w:t xml:space="preserve"> </w:t>
      </w:r>
      <w:r>
        <w:t xml:space="preserve">Baguet 2010, PMID 20671038.</w:t>
      </w:r>
    </w:p>
  </w:footnote>
  <w:footnote w:id="2403">
    <w:p>
      <w:pPr>
        <w:pStyle w:val="FootnoteText"/>
      </w:pPr>
      <w:r>
        <w:rPr>
          <w:rStyle w:val="FootnoteReference"/>
        </w:rPr>
        <w:footnoteRef/>
      </w:r>
      <w:r>
        <w:t xml:space="preserve"> </w:t>
      </w:r>
      <w:r>
        <w:t xml:space="preserve">Gardner 1991, PMID 1910085.</w:t>
      </w:r>
    </w:p>
  </w:footnote>
  <w:footnote w:id="2404">
    <w:p>
      <w:pPr>
        <w:pStyle w:val="FootnoteText"/>
      </w:pPr>
      <w:r>
        <w:rPr>
          <w:rStyle w:val="FootnoteReference"/>
        </w:rPr>
        <w:footnoteRef/>
      </w:r>
      <w:r>
        <w:t xml:space="preserve"> </w:t>
      </w:r>
      <w:r>
        <w:t xml:space="preserve">Baba 2024, PMID 39215872.</w:t>
      </w:r>
    </w:p>
  </w:footnote>
  <w:footnote w:id="2406">
    <w:p>
      <w:pPr>
        <w:pStyle w:val="FootnoteText"/>
      </w:pPr>
      <w:r>
        <w:rPr>
          <w:rStyle w:val="FootnoteReference"/>
        </w:rPr>
        <w:footnoteRef/>
      </w:r>
      <w:r>
        <w:t xml:space="preserve"> </w:t>
      </w:r>
      <w:r>
        <w:t xml:space="preserve">Harris 2006, PMID 16554972.</w:t>
      </w:r>
    </w:p>
  </w:footnote>
  <w:footnote w:id="2407">
    <w:p>
      <w:pPr>
        <w:pStyle w:val="FootnoteText"/>
      </w:pPr>
      <w:r>
        <w:rPr>
          <w:rStyle w:val="FootnoteReference"/>
        </w:rPr>
        <w:footnoteRef/>
      </w:r>
      <w:r>
        <w:t xml:space="preserve"> </w:t>
      </w:r>
      <w:r>
        <w:t xml:space="preserve">Yamaguchi 2021, PMID 33148972.</w:t>
      </w:r>
    </w:p>
  </w:footnote>
  <w:footnote w:id="2408">
    <w:p>
      <w:pPr>
        <w:pStyle w:val="FootnoteText"/>
      </w:pPr>
      <w:r>
        <w:rPr>
          <w:rStyle w:val="FootnoteReference"/>
        </w:rPr>
        <w:footnoteRef/>
      </w:r>
      <w:r>
        <w:t xml:space="preserve"> </w:t>
      </w:r>
      <w:r>
        <w:t xml:space="preserve">Rezende 2020, PMID 32922303.</w:t>
      </w:r>
    </w:p>
  </w:footnote>
  <w:footnote w:id="2411">
    <w:p>
      <w:pPr>
        <w:pStyle w:val="FootnoteText"/>
      </w:pPr>
      <w:r>
        <w:rPr>
          <w:rStyle w:val="FootnoteReference"/>
        </w:rPr>
        <w:footnoteRef/>
      </w:r>
      <w:r>
        <w:t xml:space="preserve"> </w:t>
      </w:r>
      <w:r>
        <w:t xml:space="preserve">Saunders 2017, PMID 27797728.</w:t>
      </w:r>
    </w:p>
  </w:footnote>
  <w:footnote w:id="2412">
    <w:p>
      <w:pPr>
        <w:pStyle w:val="FootnoteText"/>
      </w:pPr>
      <w:r>
        <w:rPr>
          <w:rStyle w:val="FootnoteReference"/>
        </w:rPr>
        <w:footnoteRef/>
      </w:r>
      <w:r>
        <w:t xml:space="preserve"> </w:t>
      </w:r>
      <w:r>
        <w:t xml:space="preserve">Derave 2007, PMID 17690198.</w:t>
      </w:r>
    </w:p>
  </w:footnote>
  <w:footnote w:id="2413">
    <w:p>
      <w:pPr>
        <w:pStyle w:val="FootnoteText"/>
      </w:pPr>
      <w:r>
        <w:rPr>
          <w:rStyle w:val="FootnoteReference"/>
        </w:rPr>
        <w:footnoteRef/>
      </w:r>
      <w:r>
        <w:t xml:space="preserve"> </w:t>
      </w:r>
      <w:r>
        <w:t xml:space="preserve">Chung 2014, PMID 24457999.</w:t>
      </w:r>
    </w:p>
  </w:footnote>
  <w:footnote w:id="2414">
    <w:p>
      <w:pPr>
        <w:pStyle w:val="FootnoteText"/>
      </w:pPr>
      <w:r>
        <w:rPr>
          <w:rStyle w:val="FootnoteReference"/>
        </w:rPr>
        <w:footnoteRef/>
      </w:r>
      <w:r>
        <w:t xml:space="preserve"> </w:t>
      </w:r>
      <w:r>
        <w:t xml:space="preserve">O’Toole 2026, PMID 42308284.</w:t>
      </w:r>
    </w:p>
  </w:footnote>
  <w:footnote w:id="2416">
    <w:p>
      <w:pPr>
        <w:pStyle w:val="FootnoteText"/>
      </w:pPr>
      <w:r>
        <w:rPr>
          <w:rStyle w:val="FootnoteReference"/>
        </w:rPr>
        <w:footnoteRef/>
      </w:r>
      <w:r>
        <w:t xml:space="preserve"> </w:t>
      </w:r>
      <w:r>
        <w:t xml:space="preserve">Peng 2020, PMID 31987255.</w:t>
      </w:r>
    </w:p>
  </w:footnote>
  <w:footnote w:id="2417">
    <w:p>
      <w:pPr>
        <w:pStyle w:val="FootnoteText"/>
      </w:pPr>
      <w:r>
        <w:rPr>
          <w:rStyle w:val="FootnoteReference"/>
        </w:rPr>
        <w:footnoteRef/>
      </w:r>
      <w:r>
        <w:t xml:space="preserve"> </w:t>
      </w:r>
      <w:r>
        <w:t xml:space="preserve">Matthews 2021, PMID 34333586.</w:t>
      </w:r>
    </w:p>
  </w:footnote>
  <w:footnote w:id="2418">
    <w:p>
      <w:pPr>
        <w:pStyle w:val="FootnoteText"/>
      </w:pPr>
      <w:r>
        <w:rPr>
          <w:rStyle w:val="FootnoteReference"/>
        </w:rPr>
        <w:footnoteRef/>
      </w:r>
      <w:r>
        <w:t xml:space="preserve"> </w:t>
      </w:r>
      <w:r>
        <w:t xml:space="preserve">Li 2025, PMID 40999397.</w:t>
      </w:r>
    </w:p>
  </w:footnote>
  <w:footnote w:id="2420">
    <w:p>
      <w:pPr>
        <w:pStyle w:val="FootnoteText"/>
      </w:pPr>
      <w:r>
        <w:rPr>
          <w:rStyle w:val="FootnoteReference"/>
        </w:rPr>
        <w:footnoteRef/>
      </w:r>
      <w:r>
        <w:t xml:space="preserve"> </w:t>
      </w:r>
      <w:r>
        <w:t xml:space="preserve">Saadati 2024, PMID 38086332.</w:t>
      </w:r>
    </w:p>
  </w:footnote>
  <w:footnote w:id="2422">
    <w:p>
      <w:pPr>
        <w:pStyle w:val="FootnoteText"/>
      </w:pPr>
      <w:r>
        <w:rPr>
          <w:rStyle w:val="FootnoteReference"/>
        </w:rPr>
        <w:footnoteRef/>
      </w:r>
      <w:r>
        <w:t xml:space="preserve"> </w:t>
      </w:r>
      <w:r>
        <w:t xml:space="preserve">Hisatsune 2016, PMID 26682691.</w:t>
      </w:r>
    </w:p>
  </w:footnote>
  <w:footnote w:id="2423">
    <w:p>
      <w:pPr>
        <w:pStyle w:val="FootnoteText"/>
      </w:pPr>
      <w:r>
        <w:rPr>
          <w:rStyle w:val="FootnoteReference"/>
        </w:rPr>
        <w:footnoteRef/>
      </w:r>
      <w:r>
        <w:t xml:space="preserve"> </w:t>
      </w:r>
      <w:r>
        <w:t xml:space="preserve">Masuoka 2019, PMID 31319510.</w:t>
      </w:r>
    </w:p>
  </w:footnote>
  <w:footnote w:id="2424">
    <w:p>
      <w:pPr>
        <w:pStyle w:val="FootnoteText"/>
      </w:pPr>
      <w:r>
        <w:rPr>
          <w:rStyle w:val="FootnoteReference"/>
        </w:rPr>
        <w:footnoteRef/>
      </w:r>
      <w:r>
        <w:t xml:space="preserve"> </w:t>
      </w:r>
      <w:r>
        <w:t xml:space="preserve">O’Toole 2025, PMID 39919936.</w:t>
      </w:r>
    </w:p>
  </w:footnote>
  <w:footnote w:id="2425">
    <w:p>
      <w:pPr>
        <w:pStyle w:val="FootnoteText"/>
      </w:pPr>
      <w:r>
        <w:rPr>
          <w:rStyle w:val="FootnoteReference"/>
        </w:rPr>
        <w:footnoteRef/>
      </w:r>
      <w:r>
        <w:t xml:space="preserve"> </w:t>
      </w:r>
      <w:r>
        <w:t xml:space="preserve">Hsiao 2026, PMID 42123986.</w:t>
      </w:r>
    </w:p>
  </w:footnote>
  <w:footnote w:id="2426">
    <w:p>
      <w:pPr>
        <w:pStyle w:val="FootnoteText"/>
      </w:pPr>
      <w:r>
        <w:rPr>
          <w:rStyle w:val="FootnoteReference"/>
        </w:rPr>
        <w:footnoteRef/>
      </w:r>
      <w:r>
        <w:t xml:space="preserve"> </w:t>
      </w:r>
      <w:r>
        <w:t xml:space="preserve">Kabthymer 2025, PMID 38545720.</w:t>
      </w:r>
    </w:p>
  </w:footnote>
  <w:footnote w:id="2427">
    <w:p>
      <w:pPr>
        <w:pStyle w:val="FootnoteText"/>
      </w:pPr>
      <w:r>
        <w:rPr>
          <w:rStyle w:val="FootnoteReference"/>
        </w:rPr>
        <w:footnoteRef/>
      </w:r>
      <w:r>
        <w:t xml:space="preserve"> </w:t>
      </w:r>
      <w:r>
        <w:t xml:space="preserve">Chez 2002, PMID 12585724.</w:t>
      </w:r>
    </w:p>
  </w:footnote>
  <w:footnote w:id="2428">
    <w:p>
      <w:pPr>
        <w:pStyle w:val="FootnoteText"/>
      </w:pPr>
      <w:r>
        <w:rPr>
          <w:rStyle w:val="FootnoteReference"/>
        </w:rPr>
        <w:footnoteRef/>
      </w:r>
      <w:r>
        <w:t xml:space="preserve"> </w:t>
      </w:r>
      <w:r>
        <w:t xml:space="preserve">Abraham 2020, PMID 33170378.</w:t>
      </w:r>
    </w:p>
  </w:footnote>
  <w:footnote w:id="2430">
    <w:p>
      <w:pPr>
        <w:pStyle w:val="FootnoteText"/>
      </w:pPr>
      <w:r>
        <w:rPr>
          <w:rStyle w:val="FootnoteReference"/>
        </w:rPr>
        <w:footnoteRef/>
      </w:r>
      <w:r>
        <w:t xml:space="preserve"> </w:t>
      </w:r>
      <w:r>
        <w:t xml:space="preserve">Yehia 2019, PMID 30592963.</w:t>
      </w:r>
    </w:p>
  </w:footnote>
  <w:footnote w:id="2431">
    <w:p>
      <w:pPr>
        <w:pStyle w:val="FootnoteText"/>
      </w:pPr>
      <w:r>
        <w:rPr>
          <w:rStyle w:val="FootnoteReference"/>
        </w:rPr>
        <w:footnoteRef/>
      </w:r>
      <w:r>
        <w:t xml:space="preserve"> </w:t>
      </w:r>
      <w:r>
        <w:t xml:space="preserve">Lombardi 2015, PMID 25287762.</w:t>
      </w:r>
    </w:p>
  </w:footnote>
  <w:footnote w:id="2432">
    <w:p>
      <w:pPr>
        <w:pStyle w:val="FootnoteText"/>
      </w:pPr>
      <w:r>
        <w:rPr>
          <w:rStyle w:val="FootnoteReference"/>
        </w:rPr>
        <w:footnoteRef/>
      </w:r>
      <w:r>
        <w:t xml:space="preserve"> </w:t>
      </w:r>
      <w:r>
        <w:t xml:space="preserve">Baraniuk 2013, PMID 23618477.</w:t>
      </w:r>
    </w:p>
  </w:footnote>
  <w:footnote w:id="2433">
    <w:p>
      <w:pPr>
        <w:pStyle w:val="FootnoteText"/>
      </w:pPr>
      <w:r>
        <w:rPr>
          <w:rStyle w:val="FootnoteReference"/>
        </w:rPr>
        <w:footnoteRef/>
      </w:r>
      <w:r>
        <w:t xml:space="preserve"> </w:t>
      </w:r>
      <w:r>
        <w:t xml:space="preserve">Babizhayev 2012, PMID 21756141.</w:t>
      </w:r>
    </w:p>
  </w:footnote>
  <w:footnote w:id="2435">
    <w:p>
      <w:pPr>
        <w:pStyle w:val="FootnoteText"/>
      </w:pPr>
      <w:r>
        <w:rPr>
          <w:rStyle w:val="FootnoteReference"/>
        </w:rPr>
        <w:footnoteRef/>
      </w:r>
      <w:r>
        <w:t xml:space="preserve"> </w:t>
      </w:r>
      <w:r>
        <w:t xml:space="preserve">Shen 2022, PMID 35999163.</w:t>
      </w:r>
    </w:p>
  </w:footnote>
  <w:footnote w:id="2436">
    <w:p>
      <w:pPr>
        <w:pStyle w:val="FootnoteText"/>
      </w:pPr>
      <w:r>
        <w:rPr>
          <w:rStyle w:val="FootnoteReference"/>
        </w:rPr>
        <w:footnoteRef/>
      </w:r>
      <w:r>
        <w:t xml:space="preserve"> </w:t>
      </w:r>
      <w:r>
        <w:t xml:space="preserve">Dubois 2017, PMID 28245346.</w:t>
      </w:r>
    </w:p>
  </w:footnote>
  <w:footnote w:id="2439">
    <w:p>
      <w:pPr>
        <w:pStyle w:val="FootnoteText"/>
      </w:pPr>
      <w:r>
        <w:rPr>
          <w:rStyle w:val="FootnoteReference"/>
        </w:rPr>
        <w:footnoteRef/>
      </w:r>
      <w:r>
        <w:t xml:space="preserve"> </w:t>
      </w:r>
      <w:r>
        <w:t xml:space="preserve">Matthews 2021, PMID 34333586.</w:t>
      </w:r>
    </w:p>
  </w:footnote>
  <w:footnote w:id="2440">
    <w:p>
      <w:pPr>
        <w:pStyle w:val="FootnoteText"/>
      </w:pPr>
      <w:r>
        <w:rPr>
          <w:rStyle w:val="FootnoteReference"/>
        </w:rPr>
        <w:footnoteRef/>
      </w:r>
      <w:r>
        <w:t xml:space="preserve"> </w:t>
      </w:r>
      <w:r>
        <w:t xml:space="preserve">Qiu 2020, PMID 32803273.</w:t>
      </w:r>
    </w:p>
  </w:footnote>
  <w:footnote w:id="2442">
    <w:p>
      <w:pPr>
        <w:pStyle w:val="FootnoteText"/>
      </w:pPr>
      <w:r>
        <w:rPr>
          <w:rStyle w:val="FootnoteReference"/>
        </w:rPr>
        <w:footnoteRef/>
      </w:r>
      <w:r>
        <w:t xml:space="preserve"> </w:t>
      </w:r>
      <w:r>
        <w:t xml:space="preserve">Baba 2024, PMID 39215872.</w:t>
      </w:r>
    </w:p>
  </w:footnote>
  <w:footnote w:id="2443">
    <w:p>
      <w:pPr>
        <w:pStyle w:val="FootnoteText"/>
      </w:pPr>
      <w:r>
        <w:rPr>
          <w:rStyle w:val="FootnoteReference"/>
        </w:rPr>
        <w:footnoteRef/>
      </w:r>
      <w:r>
        <w:t xml:space="preserve"> </w:t>
      </w:r>
      <w:r>
        <w:t xml:space="preserve">Dolan 2019, PMID 30980076.</w:t>
      </w:r>
    </w:p>
  </w:footnote>
  <w:footnote w:id="2446">
    <w:p>
      <w:pPr>
        <w:pStyle w:val="FootnoteText"/>
      </w:pPr>
      <w:r>
        <w:rPr>
          <w:rStyle w:val="FootnoteReference"/>
        </w:rPr>
        <w:footnoteRef/>
      </w:r>
      <w:r>
        <w:t xml:space="preserve"> </w:t>
      </w:r>
      <w:r>
        <w:t xml:space="preserve">NCT06480760.</w:t>
      </w:r>
    </w:p>
  </w:footnote>
  <w:footnote w:id="2447">
    <w:p>
      <w:pPr>
        <w:pStyle w:val="FootnoteText"/>
      </w:pPr>
      <w:r>
        <w:rPr>
          <w:rStyle w:val="FootnoteReference"/>
        </w:rPr>
        <w:footnoteRef/>
      </w:r>
      <w:r>
        <w:t xml:space="preserve"> </w:t>
      </w:r>
      <w:r>
        <w:t xml:space="preserve">NCT07475546.</w:t>
      </w:r>
    </w:p>
  </w:footnote>
  <w:footnote w:id="2448">
    <w:p>
      <w:pPr>
        <w:pStyle w:val="FootnoteText"/>
      </w:pPr>
      <w:r>
        <w:rPr>
          <w:rStyle w:val="FootnoteReference"/>
        </w:rPr>
        <w:footnoteRef/>
      </w:r>
      <w:r>
        <w:t xml:space="preserve"> </w:t>
      </w:r>
      <w:r>
        <w:t xml:space="preserve">NCT03314987.</w:t>
      </w:r>
    </w:p>
  </w:footnote>
  <w:footnote w:id="2452">
    <w:p>
      <w:pPr>
        <w:pStyle w:val="FootnoteText"/>
      </w:pPr>
      <w:r>
        <w:rPr>
          <w:rStyle w:val="FootnoteReference"/>
        </w:rPr>
        <w:footnoteRef/>
      </w:r>
      <w:r>
        <w:t xml:space="preserve"> </w:t>
      </w:r>
      <w:r>
        <w:t xml:space="preserve">Pickart 1973, PMID 4349963.</w:t>
      </w:r>
    </w:p>
  </w:footnote>
  <w:footnote w:id="2454">
    <w:p>
      <w:pPr>
        <w:pStyle w:val="FootnoteText"/>
      </w:pPr>
      <w:r>
        <w:rPr>
          <w:rStyle w:val="FootnoteReference"/>
        </w:rPr>
        <w:footnoteRef/>
      </w:r>
      <w:r>
        <w:t xml:space="preserve"> </w:t>
      </w:r>
      <w:r>
        <w:t xml:space="preserve">Pickart 1980, PMID 7453802.</w:t>
      </w:r>
    </w:p>
  </w:footnote>
  <w:footnote w:id="2455">
    <w:p>
      <w:pPr>
        <w:pStyle w:val="FootnoteText"/>
      </w:pPr>
      <w:r>
        <w:rPr>
          <w:rStyle w:val="FootnoteReference"/>
        </w:rPr>
        <w:footnoteRef/>
      </w:r>
      <w:r>
        <w:t xml:space="preserve"> </w:t>
      </w:r>
      <w:r>
        <w:t xml:space="preserve">Maquart 1988, PMID 3169264.</w:t>
      </w:r>
    </w:p>
  </w:footnote>
  <w:footnote w:id="2456">
    <w:p>
      <w:pPr>
        <w:pStyle w:val="FootnoteText"/>
      </w:pPr>
      <w:r>
        <w:rPr>
          <w:rStyle w:val="FootnoteReference"/>
        </w:rPr>
        <w:footnoteRef/>
      </w:r>
      <w:r>
        <w:t xml:space="preserve"> </w:t>
      </w:r>
      <w:r>
        <w:t xml:space="preserve">Pickart 2015, PMID 26236730; Pickart 2018, PMID 29986520.</w:t>
      </w:r>
    </w:p>
  </w:footnote>
  <w:footnote w:id="2457">
    <w:p>
      <w:pPr>
        <w:pStyle w:val="FootnoteText"/>
      </w:pPr>
      <w:r>
        <w:rPr>
          <w:rStyle w:val="FootnoteReference"/>
        </w:rPr>
        <w:footnoteRef/>
      </w:r>
      <w:r>
        <w:t xml:space="preserve"> </w:t>
      </w:r>
      <w:r>
        <w:t xml:space="preserve">Mortazavi 2025, PMID 39963574.</w:t>
      </w:r>
    </w:p>
  </w:footnote>
  <w:footnote w:id="2458">
    <w:p>
      <w:pPr>
        <w:pStyle w:val="FootnoteText"/>
      </w:pPr>
      <w:r>
        <w:rPr>
          <w:rStyle w:val="FootnoteReference"/>
        </w:rPr>
        <w:footnoteRef/>
      </w:r>
      <w:r>
        <w:t xml:space="preserve"> </w:t>
      </w:r>
      <w:r>
        <w:t xml:space="preserve">Trzaska 2026, PMID 42790608.</w:t>
      </w:r>
    </w:p>
  </w:footnote>
  <w:footnote w:id="2461">
    <w:p>
      <w:pPr>
        <w:pStyle w:val="FootnoteText"/>
      </w:pPr>
      <w:r>
        <w:rPr>
          <w:rStyle w:val="FootnoteReference"/>
        </w:rPr>
        <w:footnoteRef/>
      </w:r>
      <w:r>
        <w:t xml:space="preserve"> </w:t>
      </w:r>
      <w:r>
        <w:t xml:space="preserve">Nukaly 2026, PMID 41924746.</w:t>
      </w:r>
    </w:p>
  </w:footnote>
  <w:footnote w:id="2462">
    <w:p>
      <w:pPr>
        <w:pStyle w:val="FootnoteText"/>
      </w:pPr>
      <w:r>
        <w:rPr>
          <w:rStyle w:val="FootnoteReference"/>
        </w:rPr>
        <w:footnoteRef/>
      </w:r>
      <w:r>
        <w:t xml:space="preserve"> </w:t>
      </w:r>
      <w:r>
        <w:t xml:space="preserve">Mayfield 2026, PMID 41476424.</w:t>
      </w:r>
    </w:p>
  </w:footnote>
  <w:footnote w:id="2463">
    <w:p>
      <w:pPr>
        <w:pStyle w:val="FootnoteText"/>
      </w:pPr>
      <w:r>
        <w:rPr>
          <w:rStyle w:val="FootnoteReference"/>
        </w:rPr>
        <w:footnoteRef/>
      </w:r>
      <w:r>
        <w:t xml:space="preserve"> </w:t>
      </w:r>
      <w:r>
        <w:t xml:space="preserve">Mendias 2026, PMID 41966639.</w:t>
      </w:r>
    </w:p>
  </w:footnote>
  <w:footnote w:id="2465">
    <w:p>
      <w:pPr>
        <w:pStyle w:val="FootnoteText"/>
      </w:pPr>
      <w:r>
        <w:rPr>
          <w:rStyle w:val="FootnoteReference"/>
        </w:rPr>
        <w:footnoteRef/>
      </w:r>
      <w:r>
        <w:t xml:space="preserve"> </w:t>
      </w:r>
      <w:r>
        <w:t xml:space="preserve">Maquart 1988, PMID 3169264.</w:t>
      </w:r>
    </w:p>
  </w:footnote>
  <w:footnote w:id="2466">
    <w:p>
      <w:pPr>
        <w:pStyle w:val="FootnoteText"/>
      </w:pPr>
      <w:r>
        <w:rPr>
          <w:rStyle w:val="FootnoteReference"/>
        </w:rPr>
        <w:footnoteRef/>
      </w:r>
      <w:r>
        <w:t xml:space="preserve"> </w:t>
      </w:r>
      <w:r>
        <w:t xml:space="preserve">Canapp 2003, PMID 14648529.</w:t>
      </w:r>
    </w:p>
  </w:footnote>
  <w:footnote w:id="2467">
    <w:p>
      <w:pPr>
        <w:pStyle w:val="FootnoteText"/>
      </w:pPr>
      <w:r>
        <w:rPr>
          <w:rStyle w:val="FootnoteReference"/>
        </w:rPr>
        <w:footnoteRef/>
      </w:r>
      <w:r>
        <w:t xml:space="preserve"> </w:t>
      </w:r>
      <w:r>
        <w:t xml:space="preserve">Wang 2017, PMID 28370978.</w:t>
      </w:r>
    </w:p>
  </w:footnote>
  <w:footnote w:id="2468">
    <w:p>
      <w:pPr>
        <w:pStyle w:val="FootnoteText"/>
      </w:pPr>
      <w:r>
        <w:rPr>
          <w:rStyle w:val="FootnoteReference"/>
        </w:rPr>
        <w:footnoteRef/>
      </w:r>
      <w:r>
        <w:t xml:space="preserve"> </w:t>
      </w:r>
      <w:r>
        <w:t xml:space="preserve">Ma 2020, PMID 31809714.</w:t>
      </w:r>
    </w:p>
  </w:footnote>
  <w:footnote w:id="2469">
    <w:p>
      <w:pPr>
        <w:pStyle w:val="FootnoteText"/>
      </w:pPr>
      <w:r>
        <w:rPr>
          <w:rStyle w:val="FootnoteReference"/>
        </w:rPr>
        <w:footnoteRef/>
      </w:r>
      <w:r>
        <w:t xml:space="preserve"> </w:t>
      </w:r>
      <w:r>
        <w:t xml:space="preserve">Fu 2015, PMID 25731775.</w:t>
      </w:r>
    </w:p>
  </w:footnote>
  <w:footnote w:id="2470">
    <w:p>
      <w:pPr>
        <w:pStyle w:val="FootnoteText"/>
      </w:pPr>
      <w:r>
        <w:rPr>
          <w:rStyle w:val="FootnoteReference"/>
        </w:rPr>
        <w:footnoteRef/>
      </w:r>
      <w:r>
        <w:t xml:space="preserve"> </w:t>
      </w:r>
      <w:r>
        <w:t xml:space="preserve">Mazzola 2026, PMID 42245779.</w:t>
      </w:r>
    </w:p>
  </w:footnote>
  <w:footnote w:id="2472">
    <w:p>
      <w:pPr>
        <w:pStyle w:val="FootnoteText"/>
      </w:pPr>
      <w:r>
        <w:rPr>
          <w:rStyle w:val="FootnoteReference"/>
        </w:rPr>
        <w:footnoteRef/>
      </w:r>
      <w:r>
        <w:t xml:space="preserve"> </w:t>
      </w:r>
      <w:r>
        <w:t xml:space="preserve">Pickart 1980, PMID 7453802.</w:t>
      </w:r>
    </w:p>
  </w:footnote>
  <w:footnote w:id="2473">
    <w:p>
      <w:pPr>
        <w:pStyle w:val="FootnoteText"/>
      </w:pPr>
      <w:r>
        <w:rPr>
          <w:rStyle w:val="FootnoteReference"/>
        </w:rPr>
        <w:footnoteRef/>
      </w:r>
      <w:r>
        <w:t xml:space="preserve"> </w:t>
      </w:r>
      <w:r>
        <w:t xml:space="preserve">Moiz 2026, PMID 42757290.</w:t>
      </w:r>
    </w:p>
  </w:footnote>
  <w:footnote w:id="2476">
    <w:p>
      <w:pPr>
        <w:pStyle w:val="FootnoteText"/>
      </w:pPr>
      <w:r>
        <w:rPr>
          <w:rStyle w:val="FootnoteReference"/>
        </w:rPr>
        <w:footnoteRef/>
      </w:r>
      <w:r>
        <w:t xml:space="preserve"> </w:t>
      </w:r>
      <w:r>
        <w:t xml:space="preserve">NCT07706361.</w:t>
      </w:r>
    </w:p>
  </w:footnote>
  <w:footnote w:id="2481">
    <w:p>
      <w:pPr>
        <w:pStyle w:val="FootnoteText"/>
      </w:pPr>
      <w:r>
        <w:rPr>
          <w:rStyle w:val="FootnoteReference"/>
        </w:rPr>
        <w:footnoteRef/>
      </w:r>
      <w:r>
        <w:t xml:space="preserve"> </w:t>
      </w:r>
      <w:r>
        <w:t xml:space="preserve">Katayama 1993, PMID 8486721.</w:t>
      </w:r>
    </w:p>
  </w:footnote>
  <w:footnote w:id="2482">
    <w:p>
      <w:pPr>
        <w:pStyle w:val="FootnoteText"/>
      </w:pPr>
      <w:r>
        <w:rPr>
          <w:rStyle w:val="FootnoteReference"/>
        </w:rPr>
        <w:footnoteRef/>
      </w:r>
      <w:r>
        <w:t xml:space="preserve"> </w:t>
      </w:r>
      <w:r>
        <w:t xml:space="preserve">Jones 2013, PMID 23320752.</w:t>
      </w:r>
    </w:p>
  </w:footnote>
  <w:footnote w:id="2483">
    <w:p>
      <w:pPr>
        <w:pStyle w:val="FootnoteText"/>
      </w:pPr>
      <w:r>
        <w:rPr>
          <w:rStyle w:val="FootnoteReference"/>
        </w:rPr>
        <w:footnoteRef/>
      </w:r>
      <w:r>
        <w:t xml:space="preserve"> </w:t>
      </w:r>
      <w:r>
        <w:t xml:space="preserve">Trzaska 2026, PMID 42790608.</w:t>
      </w:r>
    </w:p>
  </w:footnote>
  <w:footnote w:id="2485">
    <w:p>
      <w:pPr>
        <w:pStyle w:val="FootnoteText"/>
      </w:pPr>
      <w:r>
        <w:rPr>
          <w:rStyle w:val="FootnoteReference"/>
        </w:rPr>
        <w:footnoteRef/>
      </w:r>
      <w:r>
        <w:t xml:space="preserve"> </w:t>
      </w:r>
      <w:r>
        <w:t xml:space="preserve">Kaczvinsky 2009, PMID 19735523.</w:t>
      </w:r>
    </w:p>
  </w:footnote>
  <w:footnote w:id="2486">
    <w:p>
      <w:pPr>
        <w:pStyle w:val="FootnoteText"/>
      </w:pPr>
      <w:r>
        <w:rPr>
          <w:rStyle w:val="FootnoteReference"/>
        </w:rPr>
        <w:footnoteRef/>
      </w:r>
      <w:r>
        <w:t xml:space="preserve"> </w:t>
      </w:r>
      <w:r>
        <w:t xml:space="preserve">Nukaly 2026, PMID 41924746.</w:t>
      </w:r>
    </w:p>
  </w:footnote>
  <w:footnote w:id="2488">
    <w:p>
      <w:pPr>
        <w:pStyle w:val="FootnoteText"/>
      </w:pPr>
      <w:r>
        <w:rPr>
          <w:rStyle w:val="FootnoteReference"/>
        </w:rPr>
        <w:footnoteRef/>
      </w:r>
      <w:r>
        <w:t xml:space="preserve"> </w:t>
      </w:r>
      <w:r>
        <w:t xml:space="preserve">Katayama 1993, PMID 8486721; Jones 2013, PMID 23320752.</w:t>
      </w:r>
    </w:p>
  </w:footnote>
  <w:footnote w:id="2489">
    <w:p>
      <w:pPr>
        <w:pStyle w:val="FootnoteText"/>
      </w:pPr>
      <w:r>
        <w:rPr>
          <w:rStyle w:val="FootnoteReference"/>
        </w:rPr>
        <w:footnoteRef/>
      </w:r>
      <w:r>
        <w:t xml:space="preserve"> </w:t>
      </w:r>
      <w:r>
        <w:t xml:space="preserve">Park 2017, PMID 30603464.</w:t>
      </w:r>
    </w:p>
  </w:footnote>
  <w:footnote w:id="2490">
    <w:p>
      <w:pPr>
        <w:pStyle w:val="FootnoteText"/>
      </w:pPr>
      <w:r>
        <w:rPr>
          <w:rStyle w:val="FootnoteReference"/>
        </w:rPr>
        <w:footnoteRef/>
      </w:r>
      <w:r>
        <w:t xml:space="preserve"> </w:t>
      </w:r>
      <w:r>
        <w:t xml:space="preserve">Kachooeian 2022, PMID 35874243.</w:t>
      </w:r>
    </w:p>
  </w:footnote>
  <w:footnote w:id="2492">
    <w:p>
      <w:pPr>
        <w:pStyle w:val="FootnoteText"/>
      </w:pPr>
      <w:r>
        <w:rPr>
          <w:rStyle w:val="FootnoteReference"/>
        </w:rPr>
        <w:footnoteRef/>
      </w:r>
      <w:r>
        <w:t xml:space="preserve"> </w:t>
      </w:r>
      <w:r>
        <w:t xml:space="preserve">Röper 2004, PMID 15127162.</w:t>
      </w:r>
    </w:p>
  </w:footnote>
  <w:footnote w:id="2493">
    <w:p>
      <w:pPr>
        <w:pStyle w:val="FootnoteText"/>
      </w:pPr>
      <w:r>
        <w:rPr>
          <w:rStyle w:val="FootnoteReference"/>
        </w:rPr>
        <w:footnoteRef/>
      </w:r>
      <w:r>
        <w:t xml:space="preserve"> </w:t>
      </w:r>
      <w:r>
        <w:t xml:space="preserve">Bjerke 2026, PMID 41953401.</w:t>
      </w:r>
    </w:p>
  </w:footnote>
  <w:footnote w:id="2500">
    <w:p>
      <w:pPr>
        <w:pStyle w:val="FootnoteText"/>
      </w:pPr>
      <w:r>
        <w:rPr>
          <w:rStyle w:val="FootnoteReference"/>
        </w:rPr>
        <w:footnoteRef/>
      </w:r>
      <w:r>
        <w:t xml:space="preserve"> </w:t>
      </w:r>
      <w:r>
        <w:t xml:space="preserve">Blanes-Mira 2002, PMID 18498523.</w:t>
      </w:r>
    </w:p>
  </w:footnote>
  <w:footnote w:id="2501">
    <w:p>
      <w:pPr>
        <w:pStyle w:val="FootnoteText"/>
      </w:pPr>
      <w:r>
        <w:rPr>
          <w:rStyle w:val="FootnoteReference"/>
        </w:rPr>
        <w:footnoteRef/>
      </w:r>
      <w:r>
        <w:t xml:space="preserve"> </w:t>
      </w:r>
      <w:r>
        <w:t xml:space="preserve">Kraeling 2015, PMID 24754410.</w:t>
      </w:r>
    </w:p>
  </w:footnote>
  <w:footnote w:id="2502">
    <w:p>
      <w:pPr>
        <w:pStyle w:val="FootnoteText"/>
      </w:pPr>
      <w:r>
        <w:rPr>
          <w:rStyle w:val="FootnoteReference"/>
        </w:rPr>
        <w:footnoteRef/>
      </w:r>
      <w:r>
        <w:t xml:space="preserve"> </w:t>
      </w:r>
      <w:r>
        <w:t xml:space="preserve">Zdrada-Nowak 2025, PMID 40565185.</w:t>
      </w:r>
    </w:p>
  </w:footnote>
  <w:footnote w:id="2504">
    <w:p>
      <w:pPr>
        <w:pStyle w:val="FootnoteText"/>
      </w:pPr>
      <w:r>
        <w:rPr>
          <w:rStyle w:val="FootnoteReference"/>
        </w:rPr>
        <w:footnoteRef/>
      </w:r>
      <w:r>
        <w:t xml:space="preserve"> </w:t>
      </w:r>
      <w:r>
        <w:t xml:space="preserve">Wang 2013, PMID 23607739.</w:t>
      </w:r>
    </w:p>
  </w:footnote>
  <w:footnote w:id="2505">
    <w:p>
      <w:pPr>
        <w:pStyle w:val="FootnoteText"/>
      </w:pPr>
      <w:r>
        <w:rPr>
          <w:rStyle w:val="FootnoteReference"/>
        </w:rPr>
        <w:footnoteRef/>
      </w:r>
      <w:r>
        <w:t xml:space="preserve"> </w:t>
      </w:r>
      <w:r>
        <w:t xml:space="preserve">NCT01750346.</w:t>
      </w:r>
    </w:p>
  </w:footnote>
  <w:footnote w:id="2506">
    <w:p>
      <w:pPr>
        <w:pStyle w:val="FootnoteText"/>
      </w:pPr>
      <w:r>
        <w:rPr>
          <w:rStyle w:val="FootnoteReference"/>
        </w:rPr>
        <w:footnoteRef/>
      </w:r>
      <w:r>
        <w:t xml:space="preserve"> </w:t>
      </w:r>
      <w:r>
        <w:t xml:space="preserve">An 2019, PMID 33911590.</w:t>
      </w:r>
    </w:p>
  </w:footnote>
  <w:footnote w:id="2507">
    <w:p>
      <w:pPr>
        <w:pStyle w:val="FootnoteText"/>
      </w:pPr>
      <w:r>
        <w:rPr>
          <w:rStyle w:val="FootnoteReference"/>
        </w:rPr>
        <w:footnoteRef/>
      </w:r>
      <w:r>
        <w:t xml:space="preserve"> </w:t>
      </w:r>
      <w:r>
        <w:t xml:space="preserve">NCT02597777.</w:t>
      </w:r>
    </w:p>
  </w:footnote>
  <w:footnote w:id="2508">
    <w:p>
      <w:pPr>
        <w:pStyle w:val="FootnoteText"/>
      </w:pPr>
      <w:r>
        <w:rPr>
          <w:rStyle w:val="FootnoteReference"/>
        </w:rPr>
        <w:footnoteRef/>
      </w:r>
      <w:r>
        <w:t xml:space="preserve"> </w:t>
      </w:r>
      <w:r>
        <w:t xml:space="preserve">NCT01381484.</w:t>
      </w:r>
    </w:p>
  </w:footnote>
  <w:footnote w:id="2511">
    <w:p>
      <w:pPr>
        <w:pStyle w:val="FootnoteText"/>
      </w:pPr>
      <w:r>
        <w:rPr>
          <w:rStyle w:val="FootnoteReference"/>
        </w:rPr>
        <w:footnoteRef/>
      </w:r>
      <w:r>
        <w:t xml:space="preserve"> </w:t>
      </w:r>
      <w:r>
        <w:t xml:space="preserve">Blanes-Mira 2002, PMID 18498523.</w:t>
      </w:r>
    </w:p>
  </w:footnote>
  <w:footnote w:id="2512">
    <w:p>
      <w:pPr>
        <w:pStyle w:val="FootnoteText"/>
      </w:pPr>
      <w:r>
        <w:rPr>
          <w:rStyle w:val="FootnoteReference"/>
        </w:rPr>
        <w:footnoteRef/>
      </w:r>
      <w:r>
        <w:t xml:space="preserve"> </w:t>
      </w:r>
      <w:r>
        <w:t xml:space="preserve">Grosicki 2014, PMID 24644551.</w:t>
      </w:r>
    </w:p>
  </w:footnote>
  <w:footnote w:id="2513">
    <w:p>
      <w:pPr>
        <w:pStyle w:val="FootnoteText"/>
      </w:pPr>
      <w:r>
        <w:rPr>
          <w:rStyle w:val="FootnoteReference"/>
        </w:rPr>
        <w:footnoteRef/>
      </w:r>
      <w:r>
        <w:t xml:space="preserve"> </w:t>
      </w:r>
      <w:r>
        <w:t xml:space="preserve">Wang 2013, PMID 23464592.</w:t>
      </w:r>
    </w:p>
  </w:footnote>
  <w:footnote w:id="2514">
    <w:p>
      <w:pPr>
        <w:pStyle w:val="FootnoteText"/>
      </w:pPr>
      <w:r>
        <w:rPr>
          <w:rStyle w:val="FootnoteReference"/>
        </w:rPr>
        <w:footnoteRef/>
      </w:r>
      <w:r>
        <w:t xml:space="preserve"> </w:t>
      </w:r>
      <w:r>
        <w:t xml:space="preserve">Kraeling 2015, PMID 24754410.</w:t>
      </w:r>
    </w:p>
  </w:footnote>
  <w:footnote w:id="2516">
    <w:p>
      <w:pPr>
        <w:pStyle w:val="FootnoteText"/>
      </w:pPr>
      <w:r>
        <w:rPr>
          <w:rStyle w:val="FootnoteReference"/>
        </w:rPr>
        <w:footnoteRef/>
      </w:r>
      <w:r>
        <w:t xml:space="preserve"> </w:t>
      </w:r>
      <w:r>
        <w:t xml:space="preserve">Johnson 2025, PMID 40673537.</w:t>
      </w:r>
    </w:p>
  </w:footnote>
  <w:footnote w:id="2517">
    <w:p>
      <w:pPr>
        <w:pStyle w:val="FootnoteText"/>
      </w:pPr>
      <w:r>
        <w:rPr>
          <w:rStyle w:val="FootnoteReference"/>
        </w:rPr>
        <w:footnoteRef/>
      </w:r>
      <w:r>
        <w:t xml:space="preserve"> </w:t>
      </w:r>
      <w:r>
        <w:t xml:space="preserve">Chen 2021, PMID 33748252.</w:t>
      </w:r>
    </w:p>
  </w:footnote>
  <w:footnote w:id="2538">
    <w:p>
      <w:pPr>
        <w:pStyle w:val="FootnoteText"/>
      </w:pPr>
      <w:r>
        <w:rPr>
          <w:rStyle w:val="FootnoteReference"/>
        </w:rPr>
        <w:footnoteRef/>
      </w:r>
      <w:r>
        <w:t xml:space="preserve"> </w:t>
      </w:r>
      <w:r>
        <w:t xml:space="preserve">Gao 2026, PMID 42251595.</w:t>
      </w:r>
    </w:p>
  </w:footnote>
  <w:footnote w:id="2539">
    <w:p>
      <w:pPr>
        <w:pStyle w:val="FootnoteText"/>
      </w:pPr>
      <w:r>
        <w:rPr>
          <w:rStyle w:val="FootnoteReference"/>
        </w:rPr>
        <w:footnoteRef/>
      </w:r>
      <w:r>
        <w:t xml:space="preserve"> </w:t>
      </w:r>
      <w:r>
        <w:t xml:space="preserve">NCT06662383.</w:t>
      </w:r>
    </w:p>
  </w:footnote>
  <w:footnote w:id="2541">
    <w:p>
      <w:pPr>
        <w:pStyle w:val="FootnoteText"/>
      </w:pPr>
      <w:r>
        <w:rPr>
          <w:rStyle w:val="FootnoteReference"/>
        </w:rPr>
        <w:footnoteRef/>
      </w:r>
      <w:r>
        <w:t xml:space="preserve"> </w:t>
      </w:r>
      <w:r>
        <w:t xml:space="preserve">Rubino 2021, PMID 33755728.</w:t>
      </w:r>
    </w:p>
  </w:footnote>
  <w:footnote w:id="2542">
    <w:p>
      <w:pPr>
        <w:pStyle w:val="FootnoteText"/>
      </w:pPr>
      <w:r>
        <w:rPr>
          <w:rStyle w:val="FootnoteReference"/>
        </w:rPr>
        <w:footnoteRef/>
      </w:r>
      <w:r>
        <w:t xml:space="preserve"> </w:t>
      </w:r>
      <w:r>
        <w:t xml:space="preserve">Aronne 2024, PMID 38078870.</w:t>
      </w:r>
    </w:p>
  </w:footnote>
  <w:footnote w:id="2545">
    <w:p>
      <w:pPr>
        <w:pStyle w:val="FootnoteText"/>
      </w:pPr>
      <w:r>
        <w:rPr>
          <w:rStyle w:val="FootnoteReference"/>
        </w:rPr>
        <w:footnoteRef/>
      </w:r>
      <w:r>
        <w:t xml:space="preserve"> </w:t>
      </w:r>
      <w:r>
        <w:t xml:space="preserve">Edelman 2006, PMID 17003291.</w:t>
      </w:r>
    </w:p>
  </w:footnote>
  <w:footnote w:id="2547">
    <w:p>
      <w:pPr>
        <w:pStyle w:val="FootnoteText"/>
      </w:pPr>
      <w:r>
        <w:rPr>
          <w:rStyle w:val="FootnoteReference"/>
        </w:rPr>
        <w:footnoteRef/>
      </w:r>
      <w:r>
        <w:t xml:space="preserve"> </w:t>
      </w:r>
      <w:r>
        <w:t xml:space="preserve">Kristensen 2019, PMID 31422062.</w:t>
      </w:r>
    </w:p>
  </w:footnote>
  <w:footnote w:id="2548">
    <w:p>
      <w:pPr>
        <w:pStyle w:val="FootnoteText"/>
      </w:pPr>
      <w:r>
        <w:rPr>
          <w:rStyle w:val="FootnoteReference"/>
        </w:rPr>
        <w:footnoteRef/>
      </w:r>
      <w:r>
        <w:t xml:space="preserve"> </w:t>
      </w:r>
      <w:r>
        <w:t xml:space="preserve">Kosiborod 2023, PMID 37622681.</w:t>
      </w:r>
    </w:p>
  </w:footnote>
  <w:footnote w:id="2549">
    <w:p>
      <w:pPr>
        <w:pStyle w:val="FootnoteText"/>
      </w:pPr>
      <w:r>
        <w:rPr>
          <w:rStyle w:val="FootnoteReference"/>
        </w:rPr>
        <w:footnoteRef/>
      </w:r>
      <w:r>
        <w:t xml:space="preserve"> </w:t>
      </w:r>
      <w:r>
        <w:t xml:space="preserve">NCT05556512.</w:t>
      </w:r>
    </w:p>
  </w:footnote>
  <w:footnote w:id="2550">
    <w:p>
      <w:pPr>
        <w:pStyle w:val="FootnoteText"/>
      </w:pPr>
      <w:r>
        <w:rPr>
          <w:rStyle w:val="FootnoteReference"/>
        </w:rPr>
        <w:footnoteRef/>
      </w:r>
      <w:r>
        <w:t xml:space="preserve"> </w:t>
      </w:r>
      <w:r>
        <w:t xml:space="preserve">NCT06383390.</w:t>
      </w:r>
    </w:p>
  </w:footnote>
  <w:footnote w:id="2551">
    <w:p>
      <w:pPr>
        <w:pStyle w:val="FootnoteText"/>
      </w:pPr>
      <w:r>
        <w:rPr>
          <w:rStyle w:val="FootnoteReference"/>
        </w:rPr>
        <w:footnoteRef/>
      </w:r>
      <w:r>
        <w:t xml:space="preserve"> </w:t>
      </w:r>
      <w:r>
        <w:t xml:space="preserve">NCT05669755.</w:t>
      </w:r>
    </w:p>
  </w:footnote>
  <w:footnote w:id="2552">
    <w:p>
      <w:pPr>
        <w:pStyle w:val="FootnoteText"/>
      </w:pPr>
      <w:r>
        <w:rPr>
          <w:rStyle w:val="FootnoteReference"/>
        </w:rPr>
        <w:footnoteRef/>
      </w:r>
      <w:r>
        <w:t xml:space="preserve"> </w:t>
      </w:r>
      <w:r>
        <w:t xml:space="preserve">NCT07037433.</w:t>
      </w:r>
    </w:p>
  </w:footnote>
  <w:footnote w:id="2553">
    <w:p>
      <w:pPr>
        <w:pStyle w:val="FootnoteText"/>
      </w:pPr>
      <w:r>
        <w:rPr>
          <w:rStyle w:val="FootnoteReference"/>
        </w:rPr>
        <w:footnoteRef/>
      </w:r>
      <w:r>
        <w:t xml:space="preserve"> </w:t>
      </w:r>
      <w:r>
        <w:t xml:space="preserve">NCT07241390.</w:t>
      </w:r>
    </w:p>
  </w:footnote>
  <w:footnote w:id="2555">
    <w:p>
      <w:pPr>
        <w:pStyle w:val="FootnoteText"/>
      </w:pPr>
      <w:r>
        <w:rPr>
          <w:rStyle w:val="FootnoteReference"/>
        </w:rPr>
        <w:footnoteRef/>
      </w:r>
      <w:r>
        <w:t xml:space="preserve"> </w:t>
      </w:r>
      <w:r>
        <w:t xml:space="preserve">Perkovic 2024, PMID 38785209.</w:t>
      </w:r>
    </w:p>
  </w:footnote>
  <w:footnote w:id="2556">
    <w:p>
      <w:pPr>
        <w:pStyle w:val="FootnoteText"/>
      </w:pPr>
      <w:r>
        <w:rPr>
          <w:rStyle w:val="FootnoteReference"/>
        </w:rPr>
        <w:footnoteRef/>
      </w:r>
      <w:r>
        <w:t xml:space="preserve"> </w:t>
      </w:r>
      <w:r>
        <w:t xml:space="preserve">Mann 2017, PMID 28854085.</w:t>
      </w:r>
    </w:p>
  </w:footnote>
  <w:footnote w:id="2557">
    <w:p>
      <w:pPr>
        <w:pStyle w:val="FootnoteText"/>
      </w:pPr>
      <w:r>
        <w:rPr>
          <w:rStyle w:val="FootnoteReference"/>
        </w:rPr>
        <w:footnoteRef/>
      </w:r>
      <w:r>
        <w:t xml:space="preserve"> </w:t>
      </w:r>
      <w:r>
        <w:t xml:space="preserve">Gerstein 2019, PMID 31189509.</w:t>
      </w:r>
    </w:p>
  </w:footnote>
  <w:footnote w:id="2558">
    <w:p>
      <w:pPr>
        <w:pStyle w:val="FootnoteText"/>
      </w:pPr>
      <w:r>
        <w:rPr>
          <w:rStyle w:val="FootnoteReference"/>
        </w:rPr>
        <w:footnoteRef/>
      </w:r>
      <w:r>
        <w:t xml:space="preserve"> </w:t>
      </w:r>
      <w:r>
        <w:t xml:space="preserve">Kristensen 2019, PMID 31422062.</w:t>
      </w:r>
    </w:p>
  </w:footnote>
  <w:footnote w:id="2559">
    <w:p>
      <w:pPr>
        <w:pStyle w:val="FootnoteText"/>
      </w:pPr>
      <w:r>
        <w:rPr>
          <w:rStyle w:val="FootnoteReference"/>
        </w:rPr>
        <w:footnoteRef/>
      </w:r>
      <w:r>
        <w:t xml:space="preserve"> </w:t>
      </w:r>
      <w:r>
        <w:t xml:space="preserve">McGuire 2025, PMID 40162642.</w:t>
      </w:r>
    </w:p>
  </w:footnote>
  <w:footnote w:id="2560">
    <w:p>
      <w:pPr>
        <w:pStyle w:val="FootnoteText"/>
      </w:pPr>
      <w:r>
        <w:rPr>
          <w:rStyle w:val="FootnoteReference"/>
        </w:rPr>
        <w:footnoteRef/>
      </w:r>
      <w:r>
        <w:t xml:space="preserve"> </w:t>
      </w:r>
      <w:r>
        <w:t xml:space="preserve">NCT06632444.</w:t>
      </w:r>
    </w:p>
  </w:footnote>
  <w:footnote w:id="2561">
    <w:p>
      <w:pPr>
        <w:pStyle w:val="FootnoteText"/>
      </w:pPr>
      <w:r>
        <w:rPr>
          <w:rStyle w:val="FootnoteReference"/>
        </w:rPr>
        <w:footnoteRef/>
      </w:r>
      <w:r>
        <w:t xml:space="preserve"> </w:t>
      </w:r>
      <w:r>
        <w:t xml:space="preserve">NCT06632457.</w:t>
      </w:r>
    </w:p>
  </w:footnote>
  <w:footnote w:id="2563">
    <w:p>
      <w:pPr>
        <w:pStyle w:val="FootnoteText"/>
      </w:pPr>
      <w:r>
        <w:rPr>
          <w:rStyle w:val="FootnoteReference"/>
        </w:rPr>
        <w:footnoteRef/>
      </w:r>
      <w:r>
        <w:t xml:space="preserve"> </w:t>
      </w:r>
      <w:r>
        <w:t xml:space="preserve">Buse 2013, PMID 23141817.</w:t>
      </w:r>
    </w:p>
  </w:footnote>
  <w:footnote w:id="2564">
    <w:p>
      <w:pPr>
        <w:pStyle w:val="FootnoteText"/>
      </w:pPr>
      <w:r>
        <w:rPr>
          <w:rStyle w:val="FootnoteReference"/>
        </w:rPr>
        <w:footnoteRef/>
      </w:r>
      <w:r>
        <w:t xml:space="preserve"> </w:t>
      </w:r>
      <w:r>
        <w:t xml:space="preserve">Rubino 2022, PMID 35015037.</w:t>
      </w:r>
    </w:p>
  </w:footnote>
  <w:footnote w:id="2565">
    <w:p>
      <w:pPr>
        <w:pStyle w:val="FootnoteText"/>
      </w:pPr>
      <w:r>
        <w:rPr>
          <w:rStyle w:val="FootnoteReference"/>
        </w:rPr>
        <w:footnoteRef/>
      </w:r>
      <w:r>
        <w:t xml:space="preserve"> </w:t>
      </w:r>
      <w:r>
        <w:t xml:space="preserve">Frías 2021, PMID 34170647.</w:t>
      </w:r>
    </w:p>
  </w:footnote>
  <w:footnote w:id="2566">
    <w:p>
      <w:pPr>
        <w:pStyle w:val="FootnoteText"/>
      </w:pPr>
      <w:r>
        <w:rPr>
          <w:rStyle w:val="FootnoteReference"/>
        </w:rPr>
        <w:footnoteRef/>
      </w:r>
      <w:r>
        <w:t xml:space="preserve"> </w:t>
      </w:r>
      <w:r>
        <w:t xml:space="preserve">Yamauchi 2026, PMID 42009015.</w:t>
      </w:r>
    </w:p>
  </w:footnote>
  <w:footnote w:id="2567">
    <w:p>
      <w:pPr>
        <w:pStyle w:val="FootnoteText"/>
      </w:pPr>
      <w:r>
        <w:rPr>
          <w:rStyle w:val="FootnoteReference"/>
        </w:rPr>
        <w:footnoteRef/>
      </w:r>
      <w:r>
        <w:t xml:space="preserve"> </w:t>
      </w:r>
      <w:r>
        <w:t xml:space="preserve">Hsia 2026, PMID 42628555.</w:t>
      </w:r>
    </w:p>
  </w:footnote>
  <w:footnote w:id="2568">
    <w:p>
      <w:pPr>
        <w:pStyle w:val="FootnoteText"/>
      </w:pPr>
      <w:r>
        <w:rPr>
          <w:rStyle w:val="FootnoteReference"/>
        </w:rPr>
        <w:footnoteRef/>
      </w:r>
      <w:r>
        <w:t xml:space="preserve"> </w:t>
      </w:r>
      <w:r>
        <w:t xml:space="preserve">Kristensen 2019, PMID 31422062.</w:t>
      </w:r>
    </w:p>
  </w:footnote>
  <w:footnote w:id="2569">
    <w:p>
      <w:pPr>
        <w:pStyle w:val="FootnoteText"/>
      </w:pPr>
      <w:r>
        <w:rPr>
          <w:rStyle w:val="FootnoteReference"/>
        </w:rPr>
        <w:footnoteRef/>
      </w:r>
      <w:r>
        <w:t xml:space="preserve"> </w:t>
      </w:r>
      <w:r>
        <w:t xml:space="preserve">Sodhi 2023, PMID 37796527.</w:t>
      </w:r>
    </w:p>
  </w:footnote>
  <w:footnote w:id="2570">
    <w:p>
      <w:pPr>
        <w:pStyle w:val="FootnoteText"/>
      </w:pPr>
      <w:r>
        <w:rPr>
          <w:rStyle w:val="FootnoteReference"/>
        </w:rPr>
        <w:footnoteRef/>
      </w:r>
      <w:r>
        <w:t xml:space="preserve"> </w:t>
      </w:r>
      <w:r>
        <w:t xml:space="preserve">Silverii 2025, PMID 40437949.</w:t>
      </w:r>
    </w:p>
  </w:footnote>
  <w:footnote w:id="2571">
    <w:p>
      <w:pPr>
        <w:pStyle w:val="FootnoteText"/>
      </w:pPr>
      <w:r>
        <w:rPr>
          <w:rStyle w:val="FootnoteReference"/>
        </w:rPr>
        <w:footnoteRef/>
      </w:r>
      <w:r>
        <w:t xml:space="preserve"> </w:t>
      </w:r>
      <w:r>
        <w:t xml:space="preserve">Simonsen 2025, PMID 40098249.</w:t>
      </w:r>
    </w:p>
  </w:footnote>
  <w:footnote w:id="2572">
    <w:p>
      <w:pPr>
        <w:pStyle w:val="FootnoteText"/>
      </w:pPr>
      <w:r>
        <w:rPr>
          <w:rStyle w:val="FootnoteReference"/>
        </w:rPr>
        <w:footnoteRef/>
      </w:r>
      <w:r>
        <w:t xml:space="preserve"> </w:t>
      </w:r>
      <w:r>
        <w:t xml:space="preserve">Look 2025, PMID 39996356.</w:t>
      </w:r>
    </w:p>
  </w:footnote>
  <w:footnote w:id="2574">
    <w:p>
      <w:pPr>
        <w:pStyle w:val="FootnoteText"/>
      </w:pPr>
      <w:r>
        <w:rPr>
          <w:rStyle w:val="FootnoteReference"/>
        </w:rPr>
        <w:footnoteRef/>
      </w:r>
      <w:r>
        <w:t xml:space="preserve"> </w:t>
      </w:r>
      <w:r>
        <w:t xml:space="preserve">NCT06662383.</w:t>
      </w:r>
    </w:p>
  </w:footnote>
  <w:footnote w:id="2575">
    <w:p>
      <w:pPr>
        <w:pStyle w:val="FootnoteText"/>
      </w:pPr>
      <w:r>
        <w:rPr>
          <w:rStyle w:val="FootnoteReference"/>
        </w:rPr>
        <w:footnoteRef/>
      </w:r>
      <w:r>
        <w:t xml:space="preserve"> </w:t>
      </w:r>
      <w:r>
        <w:t xml:space="preserve">NCT06184568, NCT06884293.</w:t>
      </w:r>
    </w:p>
  </w:footnote>
  <w:footnote w:id="2580">
    <w:p>
      <w:pPr>
        <w:pStyle w:val="FootnoteText"/>
      </w:pPr>
      <w:r>
        <w:rPr>
          <w:rStyle w:val="FootnoteReference"/>
        </w:rPr>
        <w:footnoteRef/>
      </w:r>
      <w:r>
        <w:t xml:space="preserve"> </w:t>
      </w:r>
      <w:r>
        <w:t xml:space="preserve">Porsteinsson 2025, PMID 41393340.</w:t>
      </w:r>
    </w:p>
  </w:footnote>
  <w:footnote w:id="2582">
    <w:p>
      <w:pPr>
        <w:pStyle w:val="FootnoteText"/>
      </w:pPr>
      <w:r>
        <w:rPr>
          <w:rStyle w:val="FootnoteReference"/>
        </w:rPr>
        <w:footnoteRef/>
      </w:r>
      <w:r>
        <w:t xml:space="preserve"> </w:t>
      </w:r>
      <w:r>
        <w:t xml:space="preserve">Nass 2008, PMID 18981485.</w:t>
      </w:r>
    </w:p>
  </w:footnote>
  <w:footnote w:id="2584">
    <w:p>
      <w:pPr>
        <w:pStyle w:val="FootnoteText"/>
      </w:pPr>
      <w:r>
        <w:rPr>
          <w:rStyle w:val="FootnoteReference"/>
        </w:rPr>
        <w:footnoteRef/>
      </w:r>
      <w:r>
        <w:t xml:space="preserve"> </w:t>
      </w:r>
      <w:r>
        <w:t xml:space="preserve">Gajda 2019, PMID 30136411.</w:t>
      </w:r>
    </w:p>
  </w:footnote>
  <w:footnote w:id="2586">
    <w:p>
      <w:pPr>
        <w:pStyle w:val="FootnoteText"/>
      </w:pPr>
      <w:r>
        <w:rPr>
          <w:rStyle w:val="FootnoteReference"/>
        </w:rPr>
        <w:footnoteRef/>
      </w:r>
      <w:r>
        <w:t xml:space="preserve"> </w:t>
      </w:r>
      <w:r>
        <w:t xml:space="preserve">Beck 2014, PMID 25331030.</w:t>
      </w:r>
    </w:p>
  </w:footnote>
  <w:footnote w:id="2587">
    <w:p>
      <w:pPr>
        <w:pStyle w:val="FootnoteText"/>
      </w:pPr>
      <w:r>
        <w:rPr>
          <w:rStyle w:val="FootnoteReference"/>
        </w:rPr>
        <w:footnoteRef/>
      </w:r>
      <w:r>
        <w:t xml:space="preserve"> </w:t>
      </w:r>
      <w:r>
        <w:t xml:space="preserve">Leal 2014, PMID 24619793.</w:t>
      </w:r>
    </w:p>
  </w:footnote>
  <w:footnote w:id="2588">
    <w:p>
      <w:pPr>
        <w:pStyle w:val="FootnoteText"/>
      </w:pPr>
      <w:r>
        <w:rPr>
          <w:rStyle w:val="FootnoteReference"/>
        </w:rPr>
        <w:footnoteRef/>
      </w:r>
      <w:r>
        <w:t xml:space="preserve"> </w:t>
      </w:r>
      <w:r>
        <w:t xml:space="preserve">Myung 2025, PMID 40324552.</w:t>
      </w:r>
    </w:p>
  </w:footnote>
  <w:footnote w:id="2591">
    <w:p>
      <w:pPr>
        <w:pStyle w:val="FootnoteText"/>
      </w:pPr>
      <w:r>
        <w:rPr>
          <w:rStyle w:val="FootnoteReference"/>
        </w:rPr>
        <w:footnoteRef/>
      </w:r>
      <w:r>
        <w:t xml:space="preserve"> </w:t>
      </w:r>
      <w:r>
        <w:t xml:space="preserve">Breindahl 2015, PMID 24771717.</w:t>
      </w:r>
    </w:p>
  </w:footnote>
  <w:footnote w:id="2603">
    <w:p>
      <w:pPr>
        <w:pStyle w:val="FootnoteText"/>
      </w:pPr>
      <w:r>
        <w:rPr>
          <w:rStyle w:val="FootnoteReference"/>
        </w:rPr>
        <w:footnoteRef/>
      </w:r>
      <w:r>
        <w:t xml:space="preserve"> </w:t>
      </w:r>
      <w:r>
        <w:t xml:space="preserve">Simonsen 2025, PMID 40098249.</w:t>
      </w:r>
    </w:p>
  </w:footnote>
  <w:footnote w:id="2604">
    <w:p>
      <w:pPr>
        <w:pStyle w:val="FootnoteText"/>
      </w:pPr>
      <w:r>
        <w:rPr>
          <w:rStyle w:val="FootnoteReference"/>
        </w:rPr>
        <w:footnoteRef/>
      </w:r>
      <w:r>
        <w:t xml:space="preserve"> </w:t>
      </w:r>
      <w:r>
        <w:t xml:space="preserve">Yang 2026, PMID 41915388.</w:t>
      </w:r>
    </w:p>
  </w:footnote>
  <w:footnote w:id="2605">
    <w:p>
      <w:pPr>
        <w:pStyle w:val="FootnoteText"/>
      </w:pPr>
      <w:r>
        <w:rPr>
          <w:rStyle w:val="FootnoteReference"/>
        </w:rPr>
        <w:footnoteRef/>
      </w:r>
      <w:r>
        <w:t xml:space="preserve"> </w:t>
      </w:r>
      <w:r>
        <w:t xml:space="preserve">Ismaiel 2025, PMID 40804463.</w:t>
      </w:r>
    </w:p>
  </w:footnote>
  <w:footnote w:id="2606">
    <w:p>
      <w:pPr>
        <w:pStyle w:val="FootnoteText"/>
      </w:pPr>
      <w:r>
        <w:rPr>
          <w:rStyle w:val="FootnoteReference"/>
        </w:rPr>
        <w:footnoteRef/>
      </w:r>
      <w:r>
        <w:t xml:space="preserve"> </w:t>
      </w:r>
      <w:r>
        <w:t xml:space="preserve">Sanyal 2024, PMID 38847460.</w:t>
      </w:r>
    </w:p>
  </w:footnote>
  <w:footnote w:id="2607">
    <w:p>
      <w:pPr>
        <w:pStyle w:val="FootnoteText"/>
      </w:pPr>
      <w:r>
        <w:rPr>
          <w:rStyle w:val="FootnoteReference"/>
        </w:rPr>
        <w:footnoteRef/>
      </w:r>
      <w:r>
        <w:t xml:space="preserve"> </w:t>
      </w:r>
      <w:r>
        <w:t xml:space="preserve">Clayton 2022, PMID 35147466.</w:t>
      </w:r>
    </w:p>
  </w:footnote>
  <w:footnote w:id="2608">
    <w:p>
      <w:pPr>
        <w:pStyle w:val="FootnoteText"/>
      </w:pPr>
      <w:r>
        <w:rPr>
          <w:rStyle w:val="FootnoteReference"/>
        </w:rPr>
        <w:footnoteRef/>
      </w:r>
      <w:r>
        <w:t xml:space="preserve"> </w:t>
      </w:r>
      <w:r>
        <w:t xml:space="preserve">Edelman 2006, PMID 17003291.</w:t>
      </w:r>
    </w:p>
  </w:footnote>
  <w:footnote w:id="2609">
    <w:p>
      <w:pPr>
        <w:pStyle w:val="FootnoteText"/>
      </w:pPr>
      <w:r>
        <w:rPr>
          <w:rStyle w:val="FootnoteReference"/>
        </w:rPr>
        <w:footnoteRef/>
      </w:r>
      <w:r>
        <w:t xml:space="preserve"> </w:t>
      </w:r>
      <w:r>
        <w:t xml:space="preserve">Sridharan 2026, PMID 39924461.</w:t>
      </w:r>
    </w:p>
  </w:footnote>
  <w:footnote w:id="2610">
    <w:p>
      <w:pPr>
        <w:pStyle w:val="FootnoteText"/>
      </w:pPr>
      <w:r>
        <w:rPr>
          <w:rStyle w:val="FootnoteReference"/>
        </w:rPr>
        <w:footnoteRef/>
      </w:r>
      <w:r>
        <w:t xml:space="preserve"> </w:t>
      </w:r>
      <w:r>
        <w:t xml:space="preserve">Sodhi 2023, PMID 37796527.</w:t>
      </w:r>
    </w:p>
  </w:footnote>
  <w:footnote w:id="2611">
    <w:p>
      <w:pPr>
        <w:pStyle w:val="FootnoteText"/>
      </w:pPr>
      <w:r>
        <w:rPr>
          <w:rStyle w:val="FootnoteReference"/>
        </w:rPr>
        <w:footnoteRef/>
      </w:r>
      <w:r>
        <w:t xml:space="preserve"> </w:t>
      </w:r>
      <w:r>
        <w:t xml:space="preserve">Chiang 2025, PMID 40499738.</w:t>
      </w:r>
    </w:p>
  </w:footnote>
  <w:footnote w:id="2612">
    <w:p>
      <w:pPr>
        <w:pStyle w:val="FootnoteText"/>
      </w:pPr>
      <w:r>
        <w:rPr>
          <w:rStyle w:val="FootnoteReference"/>
        </w:rPr>
        <w:footnoteRef/>
      </w:r>
      <w:r>
        <w:t xml:space="preserve"> </w:t>
      </w:r>
      <w:r>
        <w:t xml:space="preserve">Crisafulli 2026, PMID 41183330.</w:t>
      </w:r>
    </w:p>
  </w:footnote>
  <w:footnote w:id="2614">
    <w:p>
      <w:pPr>
        <w:pStyle w:val="FootnoteText"/>
      </w:pPr>
      <w:r>
        <w:rPr>
          <w:rStyle w:val="FootnoteReference"/>
        </w:rPr>
        <w:footnoteRef/>
      </w:r>
      <w:r>
        <w:t xml:space="preserve"> </w:t>
      </w:r>
      <w:r>
        <w:t xml:space="preserve">He 2022, PMID 35344001.</w:t>
      </w:r>
    </w:p>
  </w:footnote>
  <w:footnote w:id="2615">
    <w:p>
      <w:pPr>
        <w:pStyle w:val="FootnoteText"/>
      </w:pPr>
      <w:r>
        <w:rPr>
          <w:rStyle w:val="FootnoteReference"/>
        </w:rPr>
        <w:footnoteRef/>
      </w:r>
      <w:r>
        <w:t xml:space="preserve"> </w:t>
      </w:r>
      <w:r>
        <w:t xml:space="preserve">Weghuber 2022, PMID 36322838.</w:t>
      </w:r>
    </w:p>
  </w:footnote>
  <w:footnote w:id="2616">
    <w:p>
      <w:pPr>
        <w:pStyle w:val="FootnoteText"/>
      </w:pPr>
      <w:r>
        <w:rPr>
          <w:rStyle w:val="FootnoteReference"/>
        </w:rPr>
        <w:footnoteRef/>
      </w:r>
      <w:r>
        <w:t xml:space="preserve"> </w:t>
      </w:r>
      <w:r>
        <w:t xml:space="preserve">Wen 2025, PMID 40988099.</w:t>
      </w:r>
    </w:p>
  </w:footnote>
  <w:footnote w:id="2618">
    <w:p>
      <w:pPr>
        <w:pStyle w:val="FootnoteText"/>
      </w:pPr>
      <w:r>
        <w:rPr>
          <w:rStyle w:val="FootnoteReference"/>
        </w:rPr>
        <w:footnoteRef/>
      </w:r>
      <w:r>
        <w:t xml:space="preserve"> </w:t>
      </w:r>
      <w:r>
        <w:t xml:space="preserve">Hegedüs 2018, PMID 29279300.</w:t>
      </w:r>
    </w:p>
  </w:footnote>
  <w:footnote w:id="2620">
    <w:p>
      <w:pPr>
        <w:pStyle w:val="FootnoteText"/>
      </w:pPr>
      <w:r>
        <w:rPr>
          <w:rStyle w:val="FootnoteReference"/>
        </w:rPr>
        <w:footnoteRef/>
      </w:r>
      <w:r>
        <w:t xml:space="preserve"> </w:t>
      </w:r>
      <w:r>
        <w:t xml:space="preserve">Marso 2016, PMID 27633186.</w:t>
      </w:r>
    </w:p>
  </w:footnote>
  <w:footnote w:id="2621">
    <w:p>
      <w:pPr>
        <w:pStyle w:val="FootnoteText"/>
      </w:pPr>
      <w:r>
        <w:rPr>
          <w:rStyle w:val="FootnoteReference"/>
        </w:rPr>
        <w:footnoteRef/>
      </w:r>
      <w:r>
        <w:t xml:space="preserve"> </w:t>
      </w:r>
      <w:r>
        <w:t xml:space="preserve">Natividade 2025, PMID 40810985.</w:t>
      </w:r>
    </w:p>
  </w:footnote>
  <w:footnote w:id="2622">
    <w:p>
      <w:pPr>
        <w:pStyle w:val="FootnoteText"/>
      </w:pPr>
      <w:r>
        <w:rPr>
          <w:rStyle w:val="FootnoteReference"/>
        </w:rPr>
        <w:footnoteRef/>
      </w:r>
      <w:r>
        <w:t xml:space="preserve"> </w:t>
      </w:r>
      <w:r>
        <w:t xml:space="preserve">Hathaway 2024, PMID 38958939.</w:t>
      </w:r>
    </w:p>
  </w:footnote>
  <w:footnote w:id="2623">
    <w:p>
      <w:pPr>
        <w:pStyle w:val="FootnoteText"/>
      </w:pPr>
      <w:r>
        <w:rPr>
          <w:rStyle w:val="FootnoteReference"/>
        </w:rPr>
        <w:footnoteRef/>
      </w:r>
      <w:r>
        <w:t xml:space="preserve"> </w:t>
      </w:r>
      <w:r>
        <w:t xml:space="preserve">Simonsen 2025, PMID 40098249.</w:t>
      </w:r>
    </w:p>
  </w:footnote>
  <w:footnote w:id="2624">
    <w:p>
      <w:pPr>
        <w:pStyle w:val="FootnoteText"/>
      </w:pPr>
      <w:r>
        <w:rPr>
          <w:rStyle w:val="FootnoteReference"/>
        </w:rPr>
        <w:footnoteRef/>
      </w:r>
      <w:r>
        <w:t xml:space="preserve"> </w:t>
      </w:r>
      <w:r>
        <w:t xml:space="preserve">Wang 2025, PMID 40788646.</w:t>
      </w:r>
    </w:p>
  </w:footnote>
  <w:footnote w:id="2625">
    <w:p>
      <w:pPr>
        <w:pStyle w:val="FootnoteText"/>
      </w:pPr>
      <w:r>
        <w:rPr>
          <w:rStyle w:val="FootnoteReference"/>
        </w:rPr>
        <w:footnoteRef/>
      </w:r>
      <w:r>
        <w:t xml:space="preserve"> </w:t>
      </w:r>
      <w:r>
        <w:t xml:space="preserve">Chou 2025, PMID 39491755.</w:t>
      </w:r>
    </w:p>
  </w:footnote>
  <w:footnote w:id="2626">
    <w:p>
      <w:pPr>
        <w:pStyle w:val="FootnoteText"/>
      </w:pPr>
      <w:r>
        <w:rPr>
          <w:rStyle w:val="FootnoteReference"/>
        </w:rPr>
        <w:footnoteRef/>
      </w:r>
      <w:r>
        <w:t xml:space="preserve"> </w:t>
      </w:r>
      <w:r>
        <w:t xml:space="preserve">Liu 2026, PMID 41475544.</w:t>
      </w:r>
    </w:p>
  </w:footnote>
  <w:footnote w:id="2628">
    <w:p>
      <w:pPr>
        <w:pStyle w:val="FootnoteText"/>
      </w:pPr>
      <w:r>
        <w:rPr>
          <w:rStyle w:val="FootnoteReference"/>
        </w:rPr>
        <w:footnoteRef/>
      </w:r>
      <w:r>
        <w:t xml:space="preserve"> </w:t>
      </w:r>
      <w:r>
        <w:t xml:space="preserve">Marso 2016, PMID 27633186.</w:t>
      </w:r>
    </w:p>
  </w:footnote>
  <w:footnote w:id="2629">
    <w:p>
      <w:pPr>
        <w:pStyle w:val="FootnoteText"/>
      </w:pPr>
      <w:r>
        <w:rPr>
          <w:rStyle w:val="FootnoteReference"/>
        </w:rPr>
        <w:footnoteRef/>
      </w:r>
      <w:r>
        <w:t xml:space="preserve"> </w:t>
      </w:r>
      <w:r>
        <w:t xml:space="preserve">Bellido 2026, PMID 42810372.</w:t>
      </w:r>
    </w:p>
  </w:footnote>
  <w:footnote w:id="2630">
    <w:p>
      <w:pPr>
        <w:pStyle w:val="FootnoteText"/>
      </w:pPr>
      <w:r>
        <w:rPr>
          <w:rStyle w:val="FootnoteReference"/>
        </w:rPr>
        <w:footnoteRef/>
      </w:r>
      <w:r>
        <w:t xml:space="preserve"> </w:t>
      </w:r>
      <w:r>
        <w:t xml:space="preserve">Liu 2007, PMID 17227934.</w:t>
      </w:r>
    </w:p>
  </w:footnote>
  <w:footnote w:id="2631">
    <w:p>
      <w:pPr>
        <w:pStyle w:val="FootnoteText"/>
      </w:pPr>
      <w:r>
        <w:rPr>
          <w:rStyle w:val="FootnoteReference"/>
        </w:rPr>
        <w:footnoteRef/>
      </w:r>
      <w:r>
        <w:t xml:space="preserve"> </w:t>
      </w:r>
      <w:r>
        <w:t xml:space="preserve">Adunsky 2011, PMID 21067829.</w:t>
      </w:r>
    </w:p>
  </w:footnote>
  <w:footnote w:id="2632">
    <w:p>
      <w:pPr>
        <w:pStyle w:val="FootnoteText"/>
      </w:pPr>
      <w:r>
        <w:rPr>
          <w:rStyle w:val="FootnoteReference"/>
        </w:rPr>
        <w:footnoteRef/>
      </w:r>
      <w:r>
        <w:t xml:space="preserve"> </w:t>
      </w:r>
      <w:r>
        <w:t xml:space="preserve">White 2017, PMID 27977473.</w:t>
      </w:r>
    </w:p>
  </w:footnote>
  <w:footnote w:id="2633">
    <w:p>
      <w:pPr>
        <w:pStyle w:val="FootnoteText"/>
      </w:pPr>
      <w:r>
        <w:rPr>
          <w:rStyle w:val="FootnoteReference"/>
        </w:rPr>
        <w:footnoteRef/>
      </w:r>
      <w:r>
        <w:t xml:space="preserve"> </w:t>
      </w:r>
      <w:r>
        <w:t xml:space="preserve">Lissy 2021, PMID 32961034.</w:t>
      </w:r>
    </w:p>
  </w:footnote>
  <w:footnote w:id="2634">
    <w:p>
      <w:pPr>
        <w:pStyle w:val="FootnoteText"/>
      </w:pPr>
      <w:r>
        <w:rPr>
          <w:rStyle w:val="FootnoteReference"/>
        </w:rPr>
        <w:footnoteRef/>
      </w:r>
      <w:r>
        <w:t xml:space="preserve"> </w:t>
      </w:r>
      <w:r>
        <w:t xml:space="preserve">Mayer-Hubner 1996, PMID 8596357.</w:t>
      </w:r>
    </w:p>
  </w:footnote>
  <w:footnote w:id="2635">
    <w:p>
      <w:pPr>
        <w:pStyle w:val="FootnoteText"/>
      </w:pPr>
      <w:r>
        <w:rPr>
          <w:rStyle w:val="FootnoteReference"/>
        </w:rPr>
        <w:footnoteRef/>
      </w:r>
      <w:r>
        <w:t xml:space="preserve"> </w:t>
      </w:r>
      <w:r>
        <w:t xml:space="preserve">Nelson 2012, PMID 23121206.</w:t>
      </w:r>
    </w:p>
  </w:footnote>
  <w:footnote w:id="2637">
    <w:p>
      <w:pPr>
        <w:pStyle w:val="FootnoteText"/>
      </w:pPr>
      <w:r>
        <w:rPr>
          <w:rStyle w:val="FootnoteReference"/>
        </w:rPr>
        <w:footnoteRef/>
      </w:r>
      <w:r>
        <w:t xml:space="preserve"> </w:t>
      </w:r>
      <w:r>
        <w:t xml:space="preserve">Han 2026, PMID 41852258.</w:t>
      </w:r>
    </w:p>
  </w:footnote>
  <w:footnote w:id="2638">
    <w:p>
      <w:pPr>
        <w:pStyle w:val="FootnoteText"/>
      </w:pPr>
      <w:r>
        <w:rPr>
          <w:rStyle w:val="FootnoteReference"/>
        </w:rPr>
        <w:footnoteRef/>
      </w:r>
      <w:r>
        <w:t xml:space="preserve"> </w:t>
      </w:r>
      <w:r>
        <w:t xml:space="preserve">Ueda 2024, PMID 39226030.</w:t>
      </w:r>
    </w:p>
  </w:footnote>
  <w:footnote w:id="2639">
    <w:p>
      <w:pPr>
        <w:pStyle w:val="FootnoteText"/>
      </w:pPr>
      <w:r>
        <w:rPr>
          <w:rStyle w:val="FootnoteReference"/>
        </w:rPr>
        <w:footnoteRef/>
      </w:r>
      <w:r>
        <w:t xml:space="preserve"> </w:t>
      </w:r>
      <w:r>
        <w:t xml:space="preserve">Wadden 2026, PMID 41537305.</w:t>
      </w:r>
    </w:p>
  </w:footnote>
  <w:footnote w:id="2640">
    <w:p>
      <w:pPr>
        <w:pStyle w:val="FootnoteText"/>
      </w:pPr>
      <w:r>
        <w:rPr>
          <w:rStyle w:val="FootnoteReference"/>
        </w:rPr>
        <w:footnoteRef/>
      </w:r>
      <w:r>
        <w:t xml:space="preserve"> </w:t>
      </w:r>
      <w:r>
        <w:t xml:space="preserve">Silva 2026, PMID 42115753.</w:t>
      </w:r>
    </w:p>
  </w:footnote>
  <w:footnote w:id="2642">
    <w:p>
      <w:pPr>
        <w:pStyle w:val="FootnoteText"/>
      </w:pPr>
      <w:r>
        <w:rPr>
          <w:rStyle w:val="FootnoteReference"/>
        </w:rPr>
        <w:footnoteRef/>
      </w:r>
      <w:r>
        <w:t xml:space="preserve"> </w:t>
      </w:r>
      <w:r>
        <w:t xml:space="preserve">Sridharan 2026, PMID 39924461.</w:t>
      </w:r>
    </w:p>
  </w:footnote>
  <w:footnote w:id="2643">
    <w:p>
      <w:pPr>
        <w:pStyle w:val="FootnoteText"/>
      </w:pPr>
      <w:r>
        <w:rPr>
          <w:rStyle w:val="FootnoteReference"/>
        </w:rPr>
        <w:footnoteRef/>
      </w:r>
      <w:r>
        <w:t xml:space="preserve"> </w:t>
      </w:r>
      <w:r>
        <w:t xml:space="preserve">Kanti 2021, PMID 34058738.</w:t>
      </w:r>
    </w:p>
  </w:footnote>
  <w:footnote w:id="2644">
    <w:p>
      <w:pPr>
        <w:pStyle w:val="FootnoteText"/>
      </w:pPr>
      <w:r>
        <w:rPr>
          <w:rStyle w:val="FootnoteReference"/>
        </w:rPr>
        <w:footnoteRef/>
      </w:r>
      <w:r>
        <w:t xml:space="preserve"> </w:t>
      </w:r>
      <w:r>
        <w:t xml:space="preserve">Clayton 2022, PMID 35147466.</w:t>
      </w:r>
    </w:p>
  </w:footnote>
  <w:footnote w:id="2645">
    <w:p>
      <w:pPr>
        <w:pStyle w:val="FootnoteText"/>
      </w:pPr>
      <w:r>
        <w:rPr>
          <w:rStyle w:val="FootnoteReference"/>
        </w:rPr>
        <w:footnoteRef/>
      </w:r>
      <w:r>
        <w:t xml:space="preserve"> </w:t>
      </w:r>
      <w:r>
        <w:t xml:space="preserve">Burian 2019, PMID 31119650.</w:t>
      </w:r>
    </w:p>
  </w:footnote>
  <w:footnote w:id="2646">
    <w:p>
      <w:pPr>
        <w:pStyle w:val="FootnoteText"/>
      </w:pPr>
      <w:r>
        <w:rPr>
          <w:rStyle w:val="FootnoteReference"/>
        </w:rPr>
        <w:footnoteRef/>
      </w:r>
      <w:r>
        <w:t xml:space="preserve"> </w:t>
      </w:r>
      <w:r>
        <w:t xml:space="preserve">Gupta 2026, PMID 42930571.</w:t>
      </w:r>
    </w:p>
  </w:footnote>
  <w:footnote w:id="2647">
    <w:p>
      <w:pPr>
        <w:pStyle w:val="FootnoteText"/>
      </w:pPr>
      <w:r>
        <w:rPr>
          <w:rStyle w:val="FootnoteReference"/>
        </w:rPr>
        <w:footnoteRef/>
      </w:r>
      <w:r>
        <w:t xml:space="preserve"> </w:t>
      </w:r>
      <w:r>
        <w:t xml:space="preserve">Bellido 2026, PMID 42810372.</w:t>
      </w:r>
    </w:p>
  </w:footnote>
  <w:footnote w:id="2648">
    <w:p>
      <w:pPr>
        <w:pStyle w:val="FootnoteText"/>
      </w:pPr>
      <w:r>
        <w:rPr>
          <w:rStyle w:val="FootnoteReference"/>
        </w:rPr>
        <w:footnoteRef/>
      </w:r>
      <w:r>
        <w:t xml:space="preserve"> </w:t>
      </w:r>
      <w:r>
        <w:t xml:space="preserve">Dolkar 2018, PMID 29665030.</w:t>
      </w:r>
    </w:p>
  </w:footnote>
  <w:footnote w:id="2650">
    <w:p>
      <w:pPr>
        <w:pStyle w:val="FootnoteText"/>
      </w:pPr>
      <w:r>
        <w:rPr>
          <w:rStyle w:val="FootnoteReference"/>
        </w:rPr>
        <w:footnoteRef/>
      </w:r>
      <w:r>
        <w:t xml:space="preserve"> </w:t>
      </w:r>
      <w:r>
        <w:t xml:space="preserve">Arimura 2016, PMID 27020037.</w:t>
      </w:r>
    </w:p>
  </w:footnote>
  <w:footnote w:id="2651">
    <w:p>
      <w:pPr>
        <w:pStyle w:val="FootnoteText"/>
      </w:pPr>
      <w:r>
        <w:rPr>
          <w:rStyle w:val="FootnoteReference"/>
        </w:rPr>
        <w:footnoteRef/>
      </w:r>
      <w:r>
        <w:t xml:space="preserve"> </w:t>
      </w:r>
      <w:r>
        <w:t xml:space="preserve">MacLean 2014, PMID 24762108.</w:t>
      </w:r>
    </w:p>
  </w:footnote>
  <w:footnote w:id="2652">
    <w:p>
      <w:pPr>
        <w:pStyle w:val="FootnoteText"/>
      </w:pPr>
      <w:r>
        <w:rPr>
          <w:rStyle w:val="FootnoteReference"/>
        </w:rPr>
        <w:footnoteRef/>
      </w:r>
      <w:r>
        <w:t xml:space="preserve"> </w:t>
      </w:r>
      <w:r>
        <w:t xml:space="preserve">Liu 2007, PMID 17227934.</w:t>
      </w:r>
    </w:p>
  </w:footnote>
  <w:footnote w:id="2654">
    <w:p>
      <w:pPr>
        <w:pStyle w:val="FootnoteText"/>
      </w:pPr>
      <w:r>
        <w:rPr>
          <w:rStyle w:val="FootnoteReference"/>
        </w:rPr>
        <w:footnoteRef/>
      </w:r>
      <w:r>
        <w:t xml:space="preserve"> </w:t>
      </w:r>
      <w:r>
        <w:t xml:space="preserve">Chernausek 2007, PMID 17192294.</w:t>
      </w:r>
    </w:p>
  </w:footnote>
  <w:footnote w:id="2655">
    <w:p>
      <w:pPr>
        <w:pStyle w:val="FootnoteText"/>
      </w:pPr>
      <w:r>
        <w:rPr>
          <w:rStyle w:val="FootnoteReference"/>
        </w:rPr>
        <w:footnoteRef/>
      </w:r>
      <w:r>
        <w:t xml:space="preserve"> </w:t>
      </w:r>
      <w:r>
        <w:t xml:space="preserve">Edelman 2006, PMID 17003291.</w:t>
      </w:r>
    </w:p>
  </w:footnote>
  <w:footnote w:id="2656">
    <w:p>
      <w:pPr>
        <w:pStyle w:val="FootnoteText"/>
      </w:pPr>
      <w:r>
        <w:rPr>
          <w:rStyle w:val="FootnoteReference"/>
        </w:rPr>
        <w:footnoteRef/>
      </w:r>
      <w:r>
        <w:t xml:space="preserve"> </w:t>
      </w:r>
      <w:r>
        <w:t xml:space="preserve">Kendall 2005, PMID 15855571.</w:t>
      </w:r>
    </w:p>
  </w:footnote>
  <w:footnote w:id="2657">
    <w:p>
      <w:pPr>
        <w:pStyle w:val="FootnoteText"/>
      </w:pPr>
      <w:r>
        <w:rPr>
          <w:rStyle w:val="FootnoteReference"/>
        </w:rPr>
        <w:footnoteRef/>
      </w:r>
      <w:r>
        <w:t xml:space="preserve"> </w:t>
      </w:r>
      <w:r>
        <w:t xml:space="preserve">Nass 2008, PMID 18981485.</w:t>
      </w:r>
    </w:p>
  </w:footnote>
  <w:footnote w:id="2658">
    <w:p>
      <w:pPr>
        <w:pStyle w:val="FootnoteText"/>
      </w:pPr>
      <w:r>
        <w:rPr>
          <w:rStyle w:val="FootnoteReference"/>
        </w:rPr>
        <w:footnoteRef/>
      </w:r>
      <w:r>
        <w:t xml:space="preserve"> </w:t>
      </w:r>
      <w:r>
        <w:t xml:space="preserve">Liu 2007, PMID 17227934.</w:t>
      </w:r>
    </w:p>
  </w:footnote>
  <w:footnote w:id="2662">
    <w:p>
      <w:pPr>
        <w:pStyle w:val="FootnoteText"/>
      </w:pPr>
      <w:r>
        <w:rPr>
          <w:rStyle w:val="FootnoteReference"/>
        </w:rPr>
        <w:footnoteRef/>
      </w:r>
      <w:r>
        <w:t xml:space="preserve"> </w:t>
      </w:r>
      <w:r>
        <w:t xml:space="preserve">Silverii 2025, PMID 40437949.</w:t>
      </w:r>
    </w:p>
  </w:footnote>
  <w:footnote w:id="2664">
    <w:p>
      <w:pPr>
        <w:pStyle w:val="FootnoteText"/>
      </w:pPr>
      <w:r>
        <w:rPr>
          <w:rStyle w:val="FootnoteReference"/>
        </w:rPr>
        <w:footnoteRef/>
      </w:r>
      <w:r>
        <w:t xml:space="preserve"> </w:t>
      </w:r>
      <w:r>
        <w:t xml:space="preserve">Renehan 2004, PMID 15110491.</w:t>
      </w:r>
    </w:p>
  </w:footnote>
  <w:footnote w:id="2665">
    <w:p>
      <w:pPr>
        <w:pStyle w:val="FootnoteText"/>
      </w:pPr>
      <w:r>
        <w:rPr>
          <w:rStyle w:val="FootnoteReference"/>
        </w:rPr>
        <w:footnoteRef/>
      </w:r>
      <w:r>
        <w:t xml:space="preserve"> </w:t>
      </w:r>
      <w:r>
        <w:t xml:space="preserve">Murphy 2020, PMID 32169310.</w:t>
      </w:r>
    </w:p>
  </w:footnote>
  <w:footnote w:id="2666">
    <w:p>
      <w:pPr>
        <w:pStyle w:val="FootnoteText"/>
      </w:pPr>
      <w:r>
        <w:rPr>
          <w:rStyle w:val="FootnoteReference"/>
        </w:rPr>
        <w:footnoteRef/>
      </w:r>
      <w:r>
        <w:t xml:space="preserve"> </w:t>
      </w:r>
      <w:r>
        <w:t xml:space="preserve">Murphy 2020, PMID 31884074.</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Dal 2018, PMID 29590449.</w:t>
      </w:r>
    </w:p>
  </w:footnote>
  <w:footnote w:id="2669">
    <w:p>
      <w:pPr>
        <w:pStyle w:val="FootnoteText"/>
      </w:pPr>
      <w:r>
        <w:rPr>
          <w:rStyle w:val="FootnoteReference"/>
        </w:rPr>
        <w:footnoteRef/>
      </w:r>
      <w:r>
        <w:t xml:space="preserve"> </w:t>
      </w:r>
      <w:r>
        <w:t xml:space="preserve">Guevara-Aguirre 2011, PMID 21325617.</w:t>
      </w:r>
    </w:p>
  </w:footnote>
  <w:footnote w:id="2670">
    <w:p>
      <w:pPr>
        <w:pStyle w:val="FootnoteText"/>
      </w:pPr>
      <w:r>
        <w:rPr>
          <w:rStyle w:val="FootnoteReference"/>
        </w:rPr>
        <w:footnoteRef/>
      </w:r>
      <w:r>
        <w:t xml:space="preserve"> </w:t>
      </w:r>
      <w:r>
        <w:t xml:space="preserve">Swerdlow 2017, PMID 28187225.</w:t>
      </w:r>
    </w:p>
  </w:footnote>
  <w:footnote w:id="2671">
    <w:p>
      <w:pPr>
        <w:pStyle w:val="FootnoteText"/>
      </w:pPr>
      <w:r>
        <w:rPr>
          <w:rStyle w:val="FootnoteReference"/>
        </w:rPr>
        <w:footnoteRef/>
      </w:r>
      <w:r>
        <w:t xml:space="preserve"> </w:t>
      </w:r>
      <w:r>
        <w:t xml:space="preserve">Child 2015, PMID 25810462.</w:t>
      </w:r>
    </w:p>
  </w:footnote>
  <w:footnote w:id="2672">
    <w:p>
      <w:pPr>
        <w:pStyle w:val="FootnoteText"/>
      </w:pPr>
      <w:r>
        <w:rPr>
          <w:rStyle w:val="FootnoteReference"/>
        </w:rPr>
        <w:footnoteRef/>
      </w:r>
      <w:r>
        <w:t xml:space="preserve"> </w:t>
      </w:r>
      <w:r>
        <w:t xml:space="preserve">Nass 2008, PMID 18981485.</w:t>
      </w:r>
    </w:p>
  </w:footnote>
  <w:footnote w:id="2674">
    <w:p>
      <w:pPr>
        <w:pStyle w:val="FootnoteText"/>
      </w:pPr>
      <w:r>
        <w:rPr>
          <w:rStyle w:val="FootnoteReference"/>
        </w:rPr>
        <w:footnoteRef/>
      </w:r>
      <w:r>
        <w:t xml:space="preserve"> </w:t>
      </w:r>
      <w:r>
        <w:t xml:space="preserve">Hsieh 2017, PMID 27847966.</w:t>
      </w:r>
    </w:p>
  </w:footnote>
  <w:footnote w:id="2675">
    <w:p>
      <w:pPr>
        <w:pStyle w:val="FootnoteText"/>
      </w:pPr>
      <w:r>
        <w:rPr>
          <w:rStyle w:val="FootnoteReference"/>
        </w:rPr>
        <w:footnoteRef/>
      </w:r>
      <w:r>
        <w:t xml:space="preserve"> </w:t>
      </w:r>
      <w:r>
        <w:t xml:space="preserve">Sikiric 2025, PMID 40573323.</w:t>
      </w:r>
    </w:p>
  </w:footnote>
  <w:footnote w:id="2676">
    <w:p>
      <w:pPr>
        <w:pStyle w:val="FootnoteText"/>
      </w:pPr>
      <w:r>
        <w:rPr>
          <w:rStyle w:val="FootnoteReference"/>
        </w:rPr>
        <w:footnoteRef/>
      </w:r>
      <w:r>
        <w:t xml:space="preserve"> </w:t>
      </w:r>
      <w:r>
        <w:t xml:space="preserve">Wang 2016, PMID 27596300.</w:t>
      </w:r>
    </w:p>
  </w:footnote>
  <w:footnote w:id="2677">
    <w:p>
      <w:pPr>
        <w:pStyle w:val="FootnoteText"/>
      </w:pPr>
      <w:r>
        <w:rPr>
          <w:rStyle w:val="FootnoteReference"/>
        </w:rPr>
        <w:footnoteRef/>
      </w:r>
      <w:r>
        <w:t xml:space="preserve"> </w:t>
      </w:r>
      <w:r>
        <w:t xml:space="preserve">Larsson 2007, PMID 17495241.</w:t>
      </w:r>
    </w:p>
  </w:footnote>
  <w:footnote w:id="2678">
    <w:p>
      <w:pPr>
        <w:pStyle w:val="FootnoteText"/>
      </w:pPr>
      <w:r>
        <w:rPr>
          <w:rStyle w:val="FootnoteReference"/>
        </w:rPr>
        <w:footnoteRef/>
      </w:r>
      <w:r>
        <w:t xml:space="preserve"> </w:t>
      </w:r>
      <w:r>
        <w:t xml:space="preserve">Moreno Ayala 2020, PMID 32444831.</w:t>
      </w:r>
    </w:p>
  </w:footnote>
  <w:footnote w:id="2679">
    <w:p>
      <w:pPr>
        <w:pStyle w:val="FootnoteText"/>
      </w:pPr>
      <w:r>
        <w:rPr>
          <w:rStyle w:val="FootnoteReference"/>
        </w:rPr>
        <w:footnoteRef/>
      </w:r>
      <w:r>
        <w:t xml:space="preserve"> </w:t>
      </w:r>
      <w:r>
        <w:t xml:space="preserve">Al-Dulaimi 2025, PMID 40908429.</w:t>
      </w:r>
    </w:p>
  </w:footnote>
  <w:footnote w:id="2680">
    <w:p>
      <w:pPr>
        <w:pStyle w:val="FootnoteText"/>
      </w:pPr>
      <w:r>
        <w:rPr>
          <w:rStyle w:val="FootnoteReference"/>
        </w:rPr>
        <w:footnoteRef/>
      </w:r>
      <w:r>
        <w:t xml:space="preserve"> </w:t>
      </w:r>
      <w:r>
        <w:t xml:space="preserve">Anisimov 2003, PMID 14501183.</w:t>
      </w:r>
    </w:p>
  </w:footnote>
  <w:footnote w:id="2681">
    <w:p>
      <w:pPr>
        <w:pStyle w:val="FootnoteText"/>
      </w:pPr>
      <w:r>
        <w:rPr>
          <w:rStyle w:val="FootnoteReference"/>
        </w:rPr>
        <w:footnoteRef/>
      </w:r>
      <w:r>
        <w:t xml:space="preserve"> </w:t>
      </w:r>
      <w:r>
        <w:t xml:space="preserve">Chen 2018, PMID 29843147.</w:t>
      </w:r>
    </w:p>
  </w:footnote>
  <w:footnote w:id="2682">
    <w:p>
      <w:pPr>
        <w:pStyle w:val="FootnoteText"/>
      </w:pPr>
      <w:r>
        <w:rPr>
          <w:rStyle w:val="FootnoteReference"/>
        </w:rPr>
        <w:footnoteRef/>
      </w:r>
      <w:r>
        <w:t xml:space="preserve"> </w:t>
      </w:r>
      <w:r>
        <w:t xml:space="preserve">Wright 2015, PMID 25649658.</w:t>
      </w:r>
    </w:p>
  </w:footnote>
  <w:footnote w:id="2684">
    <w:p>
      <w:pPr>
        <w:pStyle w:val="FootnoteText"/>
      </w:pPr>
      <w:r>
        <w:rPr>
          <w:rStyle w:val="FootnoteReference"/>
        </w:rPr>
        <w:footnoteRef/>
      </w:r>
      <w:r>
        <w:t xml:space="preserve"> </w:t>
      </w:r>
      <w:r>
        <w:t xml:space="preserve">Habbema 2017, PMID 28266027.</w:t>
      </w:r>
    </w:p>
  </w:footnote>
  <w:footnote w:id="2685">
    <w:p>
      <w:pPr>
        <w:pStyle w:val="FootnoteText"/>
      </w:pPr>
      <w:r>
        <w:rPr>
          <w:rStyle w:val="FootnoteReference"/>
        </w:rPr>
        <w:footnoteRef/>
      </w:r>
      <w:r>
        <w:t xml:space="preserve"> </w:t>
      </w:r>
      <w:r>
        <w:t xml:space="preserve">Burian 2019, PMID 31119650.</w:t>
      </w:r>
    </w:p>
  </w:footnote>
  <w:footnote w:id="2686">
    <w:p>
      <w:pPr>
        <w:pStyle w:val="FootnoteText"/>
      </w:pPr>
      <w:r>
        <w:rPr>
          <w:rStyle w:val="FootnoteReference"/>
        </w:rPr>
        <w:footnoteRef/>
      </w:r>
      <w:r>
        <w:t xml:space="preserve"> </w:t>
      </w:r>
      <w:r>
        <w:t xml:space="preserve">Arisi 2021, PMID 33721252.</w:t>
      </w:r>
    </w:p>
  </w:footnote>
  <w:footnote w:id="2687">
    <w:p>
      <w:pPr>
        <w:pStyle w:val="FootnoteText"/>
      </w:pPr>
      <w:r>
        <w:rPr>
          <w:rStyle w:val="FootnoteReference"/>
        </w:rPr>
        <w:footnoteRef/>
      </w:r>
      <w:r>
        <w:t xml:space="preserve"> </w:t>
      </w:r>
      <w:r>
        <w:t xml:space="preserve">Kanti 2021, PMID 34058738.</w:t>
      </w:r>
    </w:p>
  </w:footnote>
  <w:footnote w:id="2689">
    <w:p>
      <w:pPr>
        <w:pStyle w:val="FootnoteText"/>
      </w:pPr>
      <w:r>
        <w:rPr>
          <w:rStyle w:val="FootnoteReference"/>
        </w:rPr>
        <w:footnoteRef/>
      </w:r>
      <w:r>
        <w:t xml:space="preserve"> </w:t>
      </w:r>
      <w:r>
        <w:t xml:space="preserve">Bjerre Knudsen 2010, PMID 20203154.</w:t>
      </w:r>
    </w:p>
  </w:footnote>
  <w:footnote w:id="2690">
    <w:p>
      <w:pPr>
        <w:pStyle w:val="FootnoteText"/>
      </w:pPr>
      <w:r>
        <w:rPr>
          <w:rStyle w:val="FootnoteReference"/>
        </w:rPr>
        <w:footnoteRef/>
      </w:r>
      <w:r>
        <w:t xml:space="preserve"> </w:t>
      </w:r>
      <w:r>
        <w:t xml:space="preserve">Gier 2012, PMID 22031513.</w:t>
      </w:r>
    </w:p>
  </w:footnote>
  <w:footnote w:id="2691">
    <w:p>
      <w:pPr>
        <w:pStyle w:val="FootnoteText"/>
      </w:pPr>
      <w:r>
        <w:rPr>
          <w:rStyle w:val="FootnoteReference"/>
        </w:rPr>
        <w:footnoteRef/>
      </w:r>
      <w:r>
        <w:t xml:space="preserve"> </w:t>
      </w:r>
      <w:r>
        <w:t xml:space="preserve">Hegedüs 2018, PMID 29279300.</w:t>
      </w:r>
    </w:p>
  </w:footnote>
  <w:footnote w:id="2692">
    <w:p>
      <w:pPr>
        <w:pStyle w:val="FootnoteText"/>
      </w:pPr>
      <w:r>
        <w:rPr>
          <w:rStyle w:val="FootnoteReference"/>
        </w:rPr>
        <w:footnoteRef/>
      </w:r>
      <w:r>
        <w:t xml:space="preserve"> </w:t>
      </w:r>
      <w:r>
        <w:t xml:space="preserve">Bezin 2023, PMID 36356111.</w:t>
      </w:r>
    </w:p>
  </w:footnote>
  <w:footnote w:id="2693">
    <w:p>
      <w:pPr>
        <w:pStyle w:val="FootnoteText"/>
      </w:pPr>
      <w:r>
        <w:rPr>
          <w:rStyle w:val="FootnoteReference"/>
        </w:rPr>
        <w:footnoteRef/>
      </w:r>
      <w:r>
        <w:t xml:space="preserve"> </w:t>
      </w:r>
      <w:r>
        <w:t xml:space="preserve">Pasternak 2024, PMID 38683947.</w:t>
      </w:r>
    </w:p>
  </w:footnote>
  <w:footnote w:id="2694">
    <w:p>
      <w:pPr>
        <w:pStyle w:val="FootnoteText"/>
      </w:pPr>
      <w:r>
        <w:rPr>
          <w:rStyle w:val="FootnoteReference"/>
        </w:rPr>
        <w:footnoteRef/>
      </w:r>
      <w:r>
        <w:t xml:space="preserve"> </w:t>
      </w:r>
      <w:r>
        <w:t xml:space="preserve">Silverii 2025, PMID 40437949.</w:t>
      </w:r>
    </w:p>
  </w:footnote>
  <w:footnote w:id="2696">
    <w:p>
      <w:pPr>
        <w:pStyle w:val="FootnoteText"/>
      </w:pPr>
      <w:r>
        <w:rPr>
          <w:rStyle w:val="FootnoteReference"/>
        </w:rPr>
        <w:footnoteRef/>
      </w:r>
      <w:r>
        <w:t xml:space="preserve"> </w:t>
      </w:r>
      <w:r>
        <w:t xml:space="preserve">Wen 2025, PMID 40988099.</w:t>
      </w:r>
    </w:p>
  </w:footnote>
  <w:footnote w:id="2697">
    <w:p>
      <w:pPr>
        <w:pStyle w:val="FootnoteText"/>
      </w:pPr>
      <w:r>
        <w:rPr>
          <w:rStyle w:val="FootnoteReference"/>
        </w:rPr>
        <w:footnoteRef/>
      </w:r>
      <w:r>
        <w:t xml:space="preserve"> </w:t>
      </w:r>
      <w:r>
        <w:t xml:space="preserve">Wang 2024, PMID 38967919.</w:t>
      </w:r>
    </w:p>
  </w:footnote>
  <w:footnote w:id="2698">
    <w:p>
      <w:pPr>
        <w:pStyle w:val="FootnoteText"/>
      </w:pPr>
      <w:r>
        <w:rPr>
          <w:rStyle w:val="FootnoteReference"/>
        </w:rPr>
        <w:footnoteRef/>
      </w:r>
      <w:r>
        <w:t xml:space="preserve"> </w:t>
      </w:r>
      <w:r>
        <w:t xml:space="preserve">Rajan 2026, PMID 42541759.</w:t>
      </w:r>
    </w:p>
  </w:footnote>
  <w:footnote w:id="2703">
    <w:p>
      <w:pPr>
        <w:pStyle w:val="FootnoteText"/>
      </w:pPr>
      <w:r>
        <w:rPr>
          <w:rStyle w:val="FootnoteReference"/>
        </w:rPr>
        <w:footnoteRef/>
      </w:r>
      <w:r>
        <w:t xml:space="preserve"> </w:t>
      </w:r>
      <w:r>
        <w:t xml:space="preserve">Shankar 2014, PMID 24764037.</w:t>
      </w:r>
    </w:p>
  </w:footnote>
  <w:footnote w:id="2705">
    <w:p>
      <w:pPr>
        <w:pStyle w:val="FootnoteText"/>
      </w:pPr>
      <w:r>
        <w:rPr>
          <w:rStyle w:val="FootnoteReference"/>
        </w:rPr>
        <w:footnoteRef/>
      </w:r>
      <w:r>
        <w:t xml:space="preserve"> </w:t>
      </w:r>
      <w:r>
        <w:t xml:space="preserve">Buse 2011, PMID 21450987.</w:t>
      </w:r>
    </w:p>
  </w:footnote>
  <w:footnote w:id="2706">
    <w:p>
      <w:pPr>
        <w:pStyle w:val="FootnoteText"/>
      </w:pPr>
      <w:r>
        <w:rPr>
          <w:rStyle w:val="FootnoteReference"/>
        </w:rPr>
        <w:footnoteRef/>
      </w:r>
      <w:r>
        <w:t xml:space="preserve"> </w:t>
      </w:r>
      <w:r>
        <w:t xml:space="preserve">Mullins 2024, PMID 37700637.</w:t>
      </w:r>
    </w:p>
  </w:footnote>
  <w:footnote w:id="2708">
    <w:p>
      <w:pPr>
        <w:pStyle w:val="FootnoteText"/>
      </w:pPr>
      <w:r>
        <w:rPr>
          <w:rStyle w:val="FootnoteReference"/>
        </w:rPr>
        <w:footnoteRef/>
      </w:r>
      <w:r>
        <w:t xml:space="preserve"> </w:t>
      </w:r>
      <w:r>
        <w:t xml:space="preserve">Taj 2026, PMID 41395692.</w:t>
      </w:r>
    </w:p>
  </w:footnote>
  <w:footnote w:id="2709">
    <w:p>
      <w:pPr>
        <w:pStyle w:val="FootnoteText"/>
      </w:pPr>
      <w:r>
        <w:rPr>
          <w:rStyle w:val="FootnoteReference"/>
        </w:rPr>
        <w:footnoteRef/>
      </w:r>
      <w:r>
        <w:t xml:space="preserve"> </w:t>
      </w:r>
      <w:r>
        <w:t xml:space="preserve">Wysham 2015, PMID 25744115.</w:t>
      </w:r>
    </w:p>
  </w:footnote>
  <w:footnote w:id="2710">
    <w:p>
      <w:pPr>
        <w:pStyle w:val="FootnoteText"/>
      </w:pPr>
      <w:r>
        <w:rPr>
          <w:rStyle w:val="FootnoteReference"/>
        </w:rPr>
        <w:footnoteRef/>
      </w:r>
      <w:r>
        <w:t xml:space="preserve"> </w:t>
      </w:r>
      <w:r>
        <w:t xml:space="preserve">Chen 2021, PMID 33748252.</w:t>
      </w:r>
    </w:p>
  </w:footnote>
  <w:footnote w:id="2712">
    <w:p>
      <w:pPr>
        <w:pStyle w:val="FootnoteText"/>
      </w:pPr>
      <w:r>
        <w:rPr>
          <w:rStyle w:val="FootnoteReference"/>
        </w:rPr>
        <w:footnoteRef/>
      </w:r>
      <w:r>
        <w:t xml:space="preserve"> </w:t>
      </w:r>
      <w:r>
        <w:t xml:space="preserve">Anthony 2024, PMID 38363873.</w:t>
      </w:r>
    </w:p>
  </w:footnote>
  <w:footnote w:id="2713">
    <w:p>
      <w:pPr>
        <w:pStyle w:val="FootnoteText"/>
      </w:pPr>
      <w:r>
        <w:rPr>
          <w:rStyle w:val="FootnoteReference"/>
        </w:rPr>
        <w:footnoteRef/>
      </w:r>
      <w:r>
        <w:t xml:space="preserve"> </w:t>
      </w:r>
      <w:r>
        <w:t xml:space="preserve">Pradhan 2022, PMID 35136902.</w:t>
      </w:r>
    </w:p>
  </w:footnote>
  <w:footnote w:id="2714">
    <w:p>
      <w:pPr>
        <w:pStyle w:val="FootnoteText"/>
      </w:pPr>
      <w:r>
        <w:rPr>
          <w:rStyle w:val="FootnoteReference"/>
        </w:rPr>
        <w:footnoteRef/>
      </w:r>
      <w:r>
        <w:t xml:space="preserve"> </w:t>
      </w:r>
      <w:r>
        <w:t xml:space="preserve">Ornelas 2018, PMID 30350785.</w:t>
      </w:r>
    </w:p>
  </w:footnote>
  <w:footnote w:id="2715">
    <w:p>
      <w:pPr>
        <w:pStyle w:val="FootnoteText"/>
      </w:pPr>
      <w:r>
        <w:rPr>
          <w:rStyle w:val="FootnoteReference"/>
        </w:rPr>
        <w:footnoteRef/>
      </w:r>
      <w:r>
        <w:t xml:space="preserve"> </w:t>
      </w:r>
      <w:r>
        <w:t xml:space="preserve">Shamriz 2019, PMID 31296642.</w:t>
      </w:r>
    </w:p>
  </w:footnote>
  <w:footnote w:id="2716">
    <w:p>
      <w:pPr>
        <w:pStyle w:val="FootnoteText"/>
      </w:pPr>
      <w:r>
        <w:rPr>
          <w:rStyle w:val="FootnoteReference"/>
        </w:rPr>
        <w:footnoteRef/>
      </w:r>
      <w:r>
        <w:t xml:space="preserve"> </w:t>
      </w:r>
      <w:r>
        <w:t xml:space="preserve">He 2023, PMID 38186543.</w:t>
      </w:r>
    </w:p>
  </w:footnote>
  <w:footnote w:id="2717">
    <w:p>
      <w:pPr>
        <w:pStyle w:val="FootnoteText"/>
      </w:pPr>
      <w:r>
        <w:rPr>
          <w:rStyle w:val="FootnoteReference"/>
        </w:rPr>
        <w:footnoteRef/>
      </w:r>
      <w:r>
        <w:t xml:space="preserve"> </w:t>
      </w:r>
      <w:r>
        <w:t xml:space="preserve">Kraft 2026, PMID 42194666.</w:t>
      </w:r>
    </w:p>
  </w:footnote>
  <w:footnote w:id="2718">
    <w:p>
      <w:pPr>
        <w:pStyle w:val="FootnoteText"/>
      </w:pPr>
      <w:r>
        <w:rPr>
          <w:rStyle w:val="FootnoteReference"/>
        </w:rPr>
        <w:footnoteRef/>
      </w:r>
      <w:r>
        <w:t xml:space="preserve"> </w:t>
      </w:r>
      <w:r>
        <w:t xml:space="preserve">Trimmel 2024, PMID 39055722.</w:t>
      </w:r>
    </w:p>
  </w:footnote>
  <w:footnote w:id="2719">
    <w:p>
      <w:pPr>
        <w:pStyle w:val="FootnoteText"/>
      </w:pPr>
      <w:r>
        <w:rPr>
          <w:rStyle w:val="FootnoteReference"/>
        </w:rPr>
        <w:footnoteRef/>
      </w:r>
      <w:r>
        <w:t xml:space="preserve"> </w:t>
      </w:r>
      <w:r>
        <w:t xml:space="preserve">Röper 2004, PMID 15127162.</w:t>
      </w:r>
    </w:p>
  </w:footnote>
  <w:footnote w:id="2721">
    <w:p>
      <w:pPr>
        <w:pStyle w:val="FootnoteText"/>
      </w:pPr>
      <w:r>
        <w:rPr>
          <w:rStyle w:val="FootnoteReference"/>
        </w:rPr>
        <w:footnoteRef/>
      </w:r>
      <w:r>
        <w:t xml:space="preserve"> </w:t>
      </w:r>
      <w:r>
        <w:t xml:space="preserve">Lande 2007, PMID 17873860.</w:t>
      </w:r>
    </w:p>
  </w:footnote>
  <w:footnote w:id="2722">
    <w:p>
      <w:pPr>
        <w:pStyle w:val="FootnoteText"/>
      </w:pPr>
      <w:r>
        <w:rPr>
          <w:rStyle w:val="FootnoteReference"/>
        </w:rPr>
        <w:footnoteRef/>
      </w:r>
      <w:r>
        <w:t xml:space="preserve"> </w:t>
      </w:r>
      <w:r>
        <w:t xml:space="preserve">Lande 2014, PMID 25470744.</w:t>
      </w:r>
    </w:p>
  </w:footnote>
  <w:footnote w:id="2723">
    <w:p>
      <w:pPr>
        <w:pStyle w:val="FootnoteText"/>
      </w:pPr>
      <w:r>
        <w:rPr>
          <w:rStyle w:val="FootnoteReference"/>
        </w:rPr>
        <w:footnoteRef/>
      </w:r>
      <w:r>
        <w:t xml:space="preserve"> </w:t>
      </w:r>
      <w:r>
        <w:t xml:space="preserve">Dolkar 2018, PMID 29665030.</w:t>
      </w:r>
    </w:p>
  </w:footnote>
  <w:footnote w:id="2724">
    <w:p>
      <w:pPr>
        <w:pStyle w:val="FootnoteText"/>
      </w:pPr>
      <w:r>
        <w:rPr>
          <w:rStyle w:val="FootnoteReference"/>
        </w:rPr>
        <w:footnoteRef/>
      </w:r>
      <w:r>
        <w:t xml:space="preserve"> </w:t>
      </w:r>
      <w:r>
        <w:t xml:space="preserve">Gupta 2026, PMID 42930571.</w:t>
      </w:r>
    </w:p>
  </w:footnote>
  <w:footnote w:id="2726">
    <w:p>
      <w:pPr>
        <w:pStyle w:val="FootnoteText"/>
      </w:pPr>
      <w:r>
        <w:rPr>
          <w:rStyle w:val="FootnoteReference"/>
        </w:rPr>
        <w:footnoteRef/>
      </w:r>
      <w:r>
        <w:t xml:space="preserve"> </w:t>
      </w:r>
      <w:r>
        <w:t xml:space="preserve">De Groot 2023, PMID 37467878.</w:t>
      </w:r>
    </w:p>
  </w:footnote>
  <w:footnote w:id="2727">
    <w:p>
      <w:pPr>
        <w:pStyle w:val="FootnoteText"/>
      </w:pPr>
      <w:r>
        <w:rPr>
          <w:rStyle w:val="FootnoteReference"/>
        </w:rPr>
        <w:footnoteRef/>
      </w:r>
      <w:r>
        <w:t xml:space="preserve"> </w:t>
      </w:r>
      <w:r>
        <w:t xml:space="preserve">Mattei 2025, PMID 41445733.</w:t>
      </w:r>
    </w:p>
  </w:footnote>
  <w:footnote w:id="2728">
    <w:p>
      <w:pPr>
        <w:pStyle w:val="FootnoteText"/>
      </w:pPr>
      <w:r>
        <w:rPr>
          <w:rStyle w:val="FootnoteReference"/>
        </w:rPr>
        <w:footnoteRef/>
      </w:r>
      <w:r>
        <w:t xml:space="preserve"> </w:t>
      </w:r>
      <w:r>
        <w:t xml:space="preserve">Hach 2024, PMID 39379664.</w:t>
      </w:r>
    </w:p>
  </w:footnote>
  <w:footnote w:id="2729">
    <w:p>
      <w:pPr>
        <w:pStyle w:val="FootnoteText"/>
      </w:pPr>
      <w:r>
        <w:rPr>
          <w:rStyle w:val="FootnoteReference"/>
        </w:rPr>
        <w:footnoteRef/>
      </w:r>
      <w:r>
        <w:t xml:space="preserve"> </w:t>
      </w:r>
      <w:r>
        <w:t xml:space="preserve">Tang 2025, PMID 40398094.</w:t>
      </w:r>
    </w:p>
  </w:footnote>
  <w:footnote w:id="2730">
    <w:p>
      <w:pPr>
        <w:pStyle w:val="FootnoteText"/>
      </w:pPr>
      <w:r>
        <w:rPr>
          <w:rStyle w:val="FootnoteReference"/>
        </w:rPr>
        <w:footnoteRef/>
      </w:r>
      <w:r>
        <w:t xml:space="preserve"> </w:t>
      </w:r>
      <w:r>
        <w:t xml:space="preserve">Janvier 2018, PMID 28941153.</w:t>
      </w:r>
    </w:p>
  </w:footnote>
  <w:footnote w:id="2734">
    <w:p>
      <w:pPr>
        <w:pStyle w:val="FootnoteText"/>
      </w:pPr>
      <w:r>
        <w:rPr>
          <w:rStyle w:val="FootnoteReference"/>
        </w:rPr>
        <w:footnoteRef/>
      </w:r>
      <w:r>
        <w:t xml:space="preserve"> </w:t>
      </w:r>
      <w:r>
        <w:t xml:space="preserve">Vanhee 2015, PMID 26003685.</w:t>
      </w:r>
    </w:p>
  </w:footnote>
  <w:footnote w:id="2736">
    <w:p>
      <w:pPr>
        <w:pStyle w:val="FootnoteText"/>
      </w:pPr>
      <w:r>
        <w:rPr>
          <w:rStyle w:val="FootnoteReference"/>
        </w:rPr>
        <w:footnoteRef/>
      </w:r>
      <w:r>
        <w:t xml:space="preserve"> </w:t>
      </w:r>
      <w:r>
        <w:t xml:space="preserve">Høj 2021, PMID 33686802.</w:t>
      </w:r>
    </w:p>
  </w:footnote>
  <w:footnote w:id="2737">
    <w:p>
      <w:pPr>
        <w:pStyle w:val="FootnoteText"/>
      </w:pPr>
      <w:r>
        <w:rPr>
          <w:rStyle w:val="FootnoteReference"/>
        </w:rPr>
        <w:footnoteRef/>
      </w:r>
      <w:r>
        <w:t xml:space="preserve"> </w:t>
      </w:r>
      <w:r>
        <w:t xml:space="preserve">Venhuis 2016, PMID 26456392.</w:t>
      </w:r>
    </w:p>
  </w:footnote>
  <w:footnote w:id="2738">
    <w:p>
      <w:pPr>
        <w:pStyle w:val="FootnoteText"/>
      </w:pPr>
      <w:r>
        <w:rPr>
          <w:rStyle w:val="FootnoteReference"/>
        </w:rPr>
        <w:footnoteRef/>
      </w:r>
      <w:r>
        <w:t xml:space="preserve"> </w:t>
      </w:r>
      <w:r>
        <w:t xml:space="preserve">Vanhee 2017, PMID 27390261.</w:t>
      </w:r>
    </w:p>
  </w:footnote>
  <w:footnote w:id="2739">
    <w:p>
      <w:pPr>
        <w:pStyle w:val="FootnoteText"/>
      </w:pPr>
      <w:r>
        <w:rPr>
          <w:rStyle w:val="FootnoteReference"/>
        </w:rPr>
        <w:footnoteRef/>
      </w:r>
      <w:r>
        <w:t xml:space="preserve"> </w:t>
      </w:r>
      <w:r>
        <w:t xml:space="preserve">Delcourt 2023, PMID 36482504.</w:t>
      </w:r>
    </w:p>
  </w:footnote>
  <w:footnote w:id="2740">
    <w:p>
      <w:pPr>
        <w:pStyle w:val="FootnoteText"/>
      </w:pPr>
      <w:r>
        <w:rPr>
          <w:rStyle w:val="FootnoteReference"/>
        </w:rPr>
        <w:footnoteRef/>
      </w:r>
      <w:r>
        <w:t xml:space="preserve"> </w:t>
      </w:r>
      <w:r>
        <w:t xml:space="preserve">Van Wagoner 2017, PMID 29183075.</w:t>
      </w:r>
    </w:p>
  </w:footnote>
  <w:footnote w:id="2742">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Fabresse 2021, PMID 33838562.</w:t>
      </w:r>
    </w:p>
  </w:footnote>
  <w:footnote w:id="2744">
    <w:p>
      <w:pPr>
        <w:pStyle w:val="FootnoteText"/>
      </w:pPr>
      <w:r>
        <w:rPr>
          <w:rStyle w:val="FootnoteReference"/>
        </w:rPr>
        <w:footnoteRef/>
      </w:r>
      <w:r>
        <w:t xml:space="preserve"> </w:t>
      </w:r>
      <w:r>
        <w:t xml:space="preserve">Barrios 2025, PMID 40551438.</w:t>
      </w:r>
    </w:p>
  </w:footnote>
  <w:footnote w:id="2746">
    <w:p>
      <w:pPr>
        <w:pStyle w:val="FootnoteText"/>
      </w:pPr>
      <w:r>
        <w:rPr>
          <w:rStyle w:val="FootnoteReference"/>
        </w:rPr>
        <w:footnoteRef/>
      </w:r>
      <w:r>
        <w:t xml:space="preserve"> </w:t>
      </w:r>
      <w:r>
        <w:t xml:space="preserve">Janvier 2018, PMID 30029448.</w:t>
      </w:r>
    </w:p>
  </w:footnote>
  <w:footnote w:id="2747">
    <w:p>
      <w:pPr>
        <w:pStyle w:val="FootnoteText"/>
      </w:pPr>
      <w:r>
        <w:rPr>
          <w:rStyle w:val="FootnoteReference"/>
        </w:rPr>
        <w:footnoteRef/>
      </w:r>
      <w:r>
        <w:t xml:space="preserve"> </w:t>
      </w:r>
      <w:r>
        <w:t xml:space="preserve">Mongongu 2021, PMID 33587816.</w:t>
      </w:r>
    </w:p>
  </w:footnote>
  <w:footnote w:id="2748">
    <w:p>
      <w:pPr>
        <w:pStyle w:val="FootnoteText"/>
      </w:pPr>
      <w:r>
        <w:rPr>
          <w:rStyle w:val="FootnoteReference"/>
        </w:rPr>
        <w:footnoteRef/>
      </w:r>
      <w:r>
        <w:t xml:space="preserve"> </w:t>
      </w:r>
      <w:r>
        <w:t xml:space="preserve">Deville 2024, PMID 39302005.</w:t>
      </w:r>
    </w:p>
  </w:footnote>
  <w:footnote w:id="2749">
    <w:p>
      <w:pPr>
        <w:pStyle w:val="FootnoteText"/>
      </w:pPr>
      <w:r>
        <w:rPr>
          <w:rStyle w:val="FootnoteReference"/>
        </w:rPr>
        <w:footnoteRef/>
      </w:r>
      <w:r>
        <w:t xml:space="preserve"> </w:t>
      </w:r>
      <w:r>
        <w:t xml:space="preserve">Gajda 2019, PMID 30136411.</w:t>
      </w:r>
    </w:p>
  </w:footnote>
  <w:footnote w:id="2751">
    <w:p>
      <w:pPr>
        <w:pStyle w:val="FootnoteText"/>
      </w:pPr>
      <w:r>
        <w:rPr>
          <w:rStyle w:val="FootnoteReference"/>
        </w:rPr>
        <w:footnoteRef/>
      </w:r>
      <w:r>
        <w:t xml:space="preserve"> </w:t>
      </w:r>
      <w:r>
        <w:t xml:space="preserve">Janvier 2018, PMID 30029448.</w:t>
      </w:r>
    </w:p>
  </w:footnote>
  <w:footnote w:id="2752">
    <w:p>
      <w:pPr>
        <w:pStyle w:val="FootnoteText"/>
      </w:pPr>
      <w:r>
        <w:rPr>
          <w:rStyle w:val="FootnoteReference"/>
        </w:rPr>
        <w:footnoteRef/>
      </w:r>
      <w:r>
        <w:t xml:space="preserve"> </w:t>
      </w:r>
      <w:r>
        <w:t xml:space="preserve">Janvier 2018, PMID 28941153.</w:t>
      </w:r>
    </w:p>
  </w:footnote>
  <w:footnote w:id="2753">
    <w:p>
      <w:pPr>
        <w:pStyle w:val="FootnoteText"/>
      </w:pPr>
      <w:r>
        <w:rPr>
          <w:rStyle w:val="FootnoteReference"/>
        </w:rPr>
        <w:footnoteRef/>
      </w:r>
      <w:r>
        <w:t xml:space="preserve"> </w:t>
      </w:r>
      <w:r>
        <w:t xml:space="preserve">Ashraf 2024, PMID 39509151.</w:t>
      </w:r>
    </w:p>
  </w:footnote>
  <w:footnote w:id="2756">
    <w:p>
      <w:pPr>
        <w:pStyle w:val="FootnoteText"/>
      </w:pPr>
      <w:r>
        <w:rPr>
          <w:rStyle w:val="FootnoteReference"/>
        </w:rPr>
        <w:footnoteRef/>
      </w:r>
      <w:r>
        <w:t xml:space="preserve"> </w:t>
      </w:r>
      <w:r>
        <w:t xml:space="preserve">Deconinck 2021, PMID 33453144.</w:t>
      </w:r>
    </w:p>
  </w:footnote>
  <w:footnote w:id="2757">
    <w:p>
      <w:pPr>
        <w:pStyle w:val="FootnoteText"/>
      </w:pPr>
      <w:r>
        <w:rPr>
          <w:rStyle w:val="FootnoteReference"/>
        </w:rPr>
        <w:footnoteRef/>
      </w:r>
      <w:r>
        <w:t xml:space="preserve"> </w:t>
      </w:r>
      <w:r>
        <w:t xml:space="preserve">Vanhee 2015, PMID 25535022.</w:t>
      </w:r>
    </w:p>
  </w:footnote>
  <w:footnote w:id="2758">
    <w:p>
      <w:pPr>
        <w:pStyle w:val="FootnoteText"/>
      </w:pPr>
      <w:r>
        <w:rPr>
          <w:rStyle w:val="FootnoteReference"/>
        </w:rPr>
        <w:footnoteRef/>
      </w:r>
      <w:r>
        <w:t xml:space="preserve"> </w:t>
      </w:r>
      <w:r>
        <w:t xml:space="preserve">Vanhee 2020, PMID 31667971.</w:t>
      </w:r>
    </w:p>
  </w:footnote>
  <w:footnote w:id="2759">
    <w:p>
      <w:pPr>
        <w:pStyle w:val="FootnoteText"/>
      </w:pPr>
      <w:r>
        <w:rPr>
          <w:rStyle w:val="FootnoteReference"/>
        </w:rPr>
        <w:footnoteRef/>
      </w:r>
      <w:r>
        <w:t xml:space="preserve"> </w:t>
      </w:r>
      <w:r>
        <w:t xml:space="preserve">White 2026, PMID 41480958.</w:t>
      </w:r>
    </w:p>
  </w:footnote>
  <w:footnote w:id="2760">
    <w:p>
      <w:pPr>
        <w:pStyle w:val="FootnoteText"/>
      </w:pPr>
      <w:r>
        <w:rPr>
          <w:rStyle w:val="FootnoteReference"/>
        </w:rPr>
        <w:footnoteRef/>
      </w:r>
      <w:r>
        <w:t xml:space="preserve"> </w:t>
      </w:r>
      <w:r>
        <w:t xml:space="preserve">Barrios 2025, PMID 40551438.</w:t>
      </w:r>
    </w:p>
  </w:footnote>
  <w:footnote w:id="2763">
    <w:p>
      <w:pPr>
        <w:pStyle w:val="FootnoteText"/>
      </w:pPr>
      <w:r>
        <w:rPr>
          <w:rStyle w:val="FootnoteReference"/>
        </w:rPr>
        <w:footnoteRef/>
      </w:r>
      <w:r>
        <w:t xml:space="preserve"> </w:t>
      </w:r>
      <w:r>
        <w:t xml:space="preserve">Gaw 2024, PMID 38421490.</w:t>
      </w:r>
    </w:p>
  </w:footnote>
  <w:footnote w:id="2764">
    <w:p>
      <w:pPr>
        <w:pStyle w:val="FootnoteText"/>
      </w:pPr>
      <w:r>
        <w:rPr>
          <w:rStyle w:val="FootnoteReference"/>
        </w:rPr>
        <w:footnoteRef/>
      </w:r>
      <w:r>
        <w:t xml:space="preserve"> </w:t>
      </w:r>
      <w:r>
        <w:t xml:space="preserve">Senthilkumar 2026, PMID 41784916.</w:t>
      </w:r>
    </w:p>
  </w:footnote>
  <w:footnote w:id="2765">
    <w:p>
      <w:pPr>
        <w:pStyle w:val="FootnoteText"/>
      </w:pPr>
      <w:r>
        <w:rPr>
          <w:rStyle w:val="FootnoteReference"/>
        </w:rPr>
        <w:footnoteRef/>
      </w:r>
      <w:r>
        <w:t xml:space="preserve"> </w:t>
      </w:r>
      <w:r>
        <w:t xml:space="preserve">Gaw 2024, PMID 38421490; Ho 2025, PMID 40371098.</w:t>
      </w:r>
    </w:p>
  </w:footnote>
  <w:footnote w:id="2766">
    <w:p>
      <w:pPr>
        <w:pStyle w:val="FootnoteText"/>
      </w:pPr>
      <w:r>
        <w:rPr>
          <w:rStyle w:val="FootnoteReference"/>
        </w:rPr>
        <w:footnoteRef/>
      </w:r>
      <w:r>
        <w:t xml:space="preserve"> </w:t>
      </w:r>
      <w:r>
        <w:t xml:space="preserve">Marshall 2024, PMID 38861153.</w:t>
      </w:r>
    </w:p>
  </w:footnote>
  <w:footnote w:id="2767">
    <w:p>
      <w:pPr>
        <w:pStyle w:val="FootnoteText"/>
      </w:pPr>
      <w:r>
        <w:rPr>
          <w:rStyle w:val="FootnoteReference"/>
        </w:rPr>
        <w:footnoteRef/>
      </w:r>
      <w:r>
        <w:t xml:space="preserve"> </w:t>
      </w:r>
      <w:r>
        <w:t xml:space="preserve">Ho 2025, PMID 40371098.</w:t>
      </w:r>
    </w:p>
  </w:footnote>
  <w:footnote w:id="2768">
    <w:p>
      <w:pPr>
        <w:pStyle w:val="FootnoteText"/>
      </w:pPr>
      <w:r>
        <w:rPr>
          <w:rStyle w:val="FootnoteReference"/>
        </w:rPr>
        <w:footnoteRef/>
      </w:r>
      <w:r>
        <w:t xml:space="preserve"> </w:t>
      </w:r>
      <w:r>
        <w:t xml:space="preserve">Gaw 2024, PMID 38421490; Senthilkumar 2026, PMID 41784916.</w:t>
      </w:r>
    </w:p>
  </w:footnote>
  <w:footnote w:id="2769">
    <w:p>
      <w:pPr>
        <w:pStyle w:val="FootnoteText"/>
      </w:pPr>
      <w:r>
        <w:rPr>
          <w:rStyle w:val="FootnoteReference"/>
        </w:rPr>
        <w:footnoteRef/>
      </w:r>
      <w:r>
        <w:t xml:space="preserve"> </w:t>
      </w:r>
      <w:r>
        <w:t xml:space="preserve">Muschler 2025, PMID 39803696.</w:t>
      </w:r>
    </w:p>
  </w:footnote>
  <w:footnote w:id="2770">
    <w:p>
      <w:pPr>
        <w:pStyle w:val="FootnoteText"/>
      </w:pPr>
      <w:r>
        <w:rPr>
          <w:rStyle w:val="FootnoteReference"/>
        </w:rPr>
        <w:footnoteRef/>
      </w:r>
      <w:r>
        <w:t xml:space="preserve"> </w:t>
      </w:r>
      <w:r>
        <w:t xml:space="preserve">Ho 2025, PMID 40371098.</w:t>
      </w:r>
    </w:p>
  </w:footnote>
  <w:footnote w:id="2771">
    <w:p>
      <w:pPr>
        <w:pStyle w:val="FootnoteText"/>
      </w:pPr>
      <w:r>
        <w:rPr>
          <w:rStyle w:val="FootnoteReference"/>
        </w:rPr>
        <w:footnoteRef/>
      </w:r>
      <w:r>
        <w:t xml:space="preserve"> </w:t>
      </w:r>
      <w:r>
        <w:t xml:space="preserve">Marshall 2024, PMID 38861153.</w:t>
      </w:r>
    </w:p>
  </w:footnote>
  <w:footnote w:id="2772">
    <w:p>
      <w:pPr>
        <w:pStyle w:val="FootnoteText"/>
      </w:pPr>
      <w:r>
        <w:rPr>
          <w:rStyle w:val="FootnoteReference"/>
        </w:rPr>
        <w:footnoteRef/>
      </w:r>
      <w:r>
        <w:t xml:space="preserve"> </w:t>
      </w:r>
      <w:r>
        <w:t xml:space="preserve">Kraft 2026, PMID 42194666.</w:t>
      </w:r>
    </w:p>
  </w:footnote>
  <w:footnote w:id="2773">
    <w:p>
      <w:pPr>
        <w:pStyle w:val="FootnoteText"/>
      </w:pPr>
      <w:r>
        <w:rPr>
          <w:rStyle w:val="FootnoteReference"/>
        </w:rPr>
        <w:footnoteRef/>
      </w:r>
      <w:r>
        <w:t xml:space="preserve"> </w:t>
      </w:r>
      <w:r>
        <w:t xml:space="preserve">Senthilkumar 2026, PMID 41784916.</w:t>
      </w:r>
    </w:p>
  </w:footnote>
  <w:footnote w:id="2778">
    <w:p>
      <w:pPr>
        <w:pStyle w:val="FootnoteText"/>
      </w:pPr>
      <w:r>
        <w:rPr>
          <w:rStyle w:val="FootnoteReference"/>
        </w:rPr>
        <w:footnoteRef/>
      </w:r>
      <w:r>
        <w:t xml:space="preserve"> </w:t>
      </w:r>
      <w:r>
        <w:t xml:space="preserve">Cesta 2024, PMID 38079178.</w:t>
      </w:r>
    </w:p>
  </w:footnote>
  <w:footnote w:id="2779">
    <w:p>
      <w:pPr>
        <w:pStyle w:val="FootnoteText"/>
      </w:pPr>
      <w:r>
        <w:rPr>
          <w:rStyle w:val="FootnoteReference"/>
        </w:rPr>
        <w:footnoteRef/>
      </w:r>
      <w:r>
        <w:t xml:space="preserve"> </w:t>
      </w:r>
      <w:r>
        <w:t xml:space="preserve">Dao 2024, PMID 38663923.</w:t>
      </w:r>
    </w:p>
  </w:footnote>
  <w:footnote w:id="2780">
    <w:p>
      <w:pPr>
        <w:pStyle w:val="FootnoteText"/>
      </w:pPr>
      <w:r>
        <w:rPr>
          <w:rStyle w:val="FootnoteReference"/>
        </w:rPr>
        <w:footnoteRef/>
      </w:r>
      <w:r>
        <w:t xml:space="preserve"> </w:t>
      </w:r>
      <w:r>
        <w:t xml:space="preserve">Brown 2026, PMID 42258827.</w:t>
      </w:r>
    </w:p>
  </w:footnote>
  <w:footnote w:id="2781">
    <w:p>
      <w:pPr>
        <w:pStyle w:val="FootnoteText"/>
      </w:pPr>
      <w:r>
        <w:rPr>
          <w:rStyle w:val="FootnoteReference"/>
        </w:rPr>
        <w:footnoteRef/>
      </w:r>
      <w:r>
        <w:t xml:space="preserve"> </w:t>
      </w:r>
      <w:r>
        <w:t xml:space="preserve">Uysal 2026, PMID 42420519.</w:t>
      </w:r>
    </w:p>
  </w:footnote>
  <w:footnote w:id="2782">
    <w:p>
      <w:pPr>
        <w:pStyle w:val="FootnoteText"/>
      </w:pPr>
      <w:r>
        <w:rPr>
          <w:rStyle w:val="FootnoteReference"/>
        </w:rPr>
        <w:footnoteRef/>
      </w:r>
      <w:r>
        <w:t xml:space="preserve"> </w:t>
      </w:r>
      <w:r>
        <w:t xml:space="preserve">NCT06867835.</w:t>
      </w:r>
    </w:p>
  </w:footnote>
  <w:footnote w:id="2784">
    <w:p>
      <w:pPr>
        <w:pStyle w:val="FootnoteText"/>
      </w:pPr>
      <w:r>
        <w:rPr>
          <w:rStyle w:val="FootnoteReference"/>
        </w:rPr>
        <w:footnoteRef/>
      </w:r>
      <w:r>
        <w:t xml:space="preserve"> </w:t>
      </w:r>
      <w:r>
        <w:t xml:space="preserve">Kapitza 2015, PMID 25475122.</w:t>
      </w:r>
    </w:p>
  </w:footnote>
  <w:footnote w:id="2785">
    <w:p>
      <w:pPr>
        <w:pStyle w:val="FootnoteText"/>
      </w:pPr>
      <w:r>
        <w:rPr>
          <w:rStyle w:val="FootnoteReference"/>
        </w:rPr>
        <w:footnoteRef/>
      </w:r>
      <w:r>
        <w:t xml:space="preserve"> </w:t>
      </w:r>
      <w:r>
        <w:t xml:space="preserve">Skelley 2024, PMID 37940101.</w:t>
      </w:r>
    </w:p>
  </w:footnote>
  <w:footnote w:id="2786">
    <w:p>
      <w:pPr>
        <w:pStyle w:val="FootnoteText"/>
      </w:pPr>
      <w:r>
        <w:rPr>
          <w:rStyle w:val="FootnoteReference"/>
        </w:rPr>
        <w:footnoteRef/>
      </w:r>
      <w:r>
        <w:t xml:space="preserve"> </w:t>
      </w:r>
      <w:r>
        <w:t xml:space="preserve">Clayton 2022, PMID 35147466.</w:t>
      </w:r>
    </w:p>
  </w:footnote>
  <w:footnote w:id="2787">
    <w:p>
      <w:pPr>
        <w:pStyle w:val="FootnoteText"/>
      </w:pPr>
      <w:r>
        <w:rPr>
          <w:rStyle w:val="FootnoteReference"/>
        </w:rPr>
        <w:footnoteRef/>
      </w:r>
      <w:r>
        <w:t xml:space="preserve"> </w:t>
      </w:r>
      <w:r>
        <w:t xml:space="preserve">Lissy 2021, PMID 32961034.</w:t>
      </w:r>
    </w:p>
  </w:footnote>
  <w:footnote w:id="2789">
    <w:p>
      <w:pPr>
        <w:pStyle w:val="FootnoteText"/>
      </w:pPr>
      <w:r>
        <w:rPr>
          <w:rStyle w:val="FootnoteReference"/>
        </w:rPr>
        <w:footnoteRef/>
      </w:r>
      <w:r>
        <w:t xml:space="preserve"> </w:t>
      </w:r>
      <w:r>
        <w:t xml:space="preserve">Baig 2025, PMID 39694296.</w:t>
      </w:r>
    </w:p>
  </w:footnote>
  <w:footnote w:id="2790">
    <w:p>
      <w:pPr>
        <w:pStyle w:val="FootnoteText"/>
      </w:pPr>
      <w:r>
        <w:rPr>
          <w:rStyle w:val="FootnoteReference"/>
        </w:rPr>
        <w:footnoteRef/>
      </w:r>
      <w:r>
        <w:t xml:space="preserve"> </w:t>
      </w:r>
      <w:r>
        <w:t xml:space="preserve">Vlaeminck 2026, PMID 41631344.</w:t>
      </w:r>
    </w:p>
  </w:footnote>
  <w:footnote w:id="2791">
    <w:p>
      <w:pPr>
        <w:pStyle w:val="FootnoteText"/>
      </w:pPr>
      <w:r>
        <w:rPr>
          <w:rStyle w:val="FootnoteReference"/>
        </w:rPr>
        <w:footnoteRef/>
      </w:r>
      <w:r>
        <w:t xml:space="preserve"> </w:t>
      </w:r>
      <w:r>
        <w:t xml:space="preserve">Wu 2026, PMID 40940281.</w:t>
      </w:r>
    </w:p>
  </w:footnote>
  <w:footnote w:id="2792">
    <w:p>
      <w:pPr>
        <w:pStyle w:val="FootnoteText"/>
      </w:pPr>
      <w:r>
        <w:rPr>
          <w:rStyle w:val="FootnoteReference"/>
        </w:rPr>
        <w:footnoteRef/>
      </w:r>
      <w:r>
        <w:t xml:space="preserve"> </w:t>
      </w:r>
      <w:r>
        <w:t xml:space="preserve">NCT07276763.</w:t>
      </w:r>
    </w:p>
  </w:footnote>
  <w:footnote w:id="2794">
    <w:p>
      <w:pPr>
        <w:pStyle w:val="FootnoteText"/>
      </w:pPr>
      <w:r>
        <w:rPr>
          <w:rStyle w:val="FootnoteReference"/>
        </w:rPr>
        <w:footnoteRef/>
      </w:r>
      <w:r>
        <w:t xml:space="preserve"> </w:t>
      </w:r>
      <w:r>
        <w:t xml:space="preserve">Kendall 2005, PMID 15855571.</w:t>
      </w:r>
    </w:p>
  </w:footnote>
  <w:footnote w:id="2795">
    <w:p>
      <w:pPr>
        <w:pStyle w:val="FootnoteText"/>
      </w:pPr>
      <w:r>
        <w:rPr>
          <w:rStyle w:val="FootnoteReference"/>
        </w:rPr>
        <w:footnoteRef/>
      </w:r>
      <w:r>
        <w:t xml:space="preserve"> </w:t>
      </w:r>
      <w:r>
        <w:t xml:space="preserve">Edelman 2006, PMID 17003291.</w:t>
      </w:r>
    </w:p>
  </w:footnote>
  <w:footnote w:id="2797">
    <w:p>
      <w:pPr>
        <w:pStyle w:val="FootnoteText"/>
      </w:pPr>
      <w:r>
        <w:rPr>
          <w:rStyle w:val="FootnoteReference"/>
        </w:rPr>
        <w:footnoteRef/>
      </w:r>
      <w:r>
        <w:t xml:space="preserve"> </w:t>
      </w:r>
      <w:r>
        <w:t xml:space="preserve">Kelly 2020, PMID 32233338.</w:t>
      </w:r>
    </w:p>
  </w:footnote>
  <w:footnote w:id="2798">
    <w:p>
      <w:pPr>
        <w:pStyle w:val="FootnoteText"/>
      </w:pPr>
      <w:r>
        <w:rPr>
          <w:rStyle w:val="FootnoteReference"/>
        </w:rPr>
        <w:footnoteRef/>
      </w:r>
      <w:r>
        <w:t xml:space="preserve"> </w:t>
      </w:r>
      <w:r>
        <w:t xml:space="preserve">Silva 2026, PMID 42115753.</w:t>
      </w:r>
    </w:p>
  </w:footnote>
  <w:footnote w:id="2799">
    <w:p>
      <w:pPr>
        <w:pStyle w:val="FootnoteText"/>
      </w:pPr>
      <w:r>
        <w:rPr>
          <w:rStyle w:val="FootnoteReference"/>
        </w:rPr>
        <w:footnoteRef/>
      </w:r>
      <w:r>
        <w:t xml:space="preserve"> </w:t>
      </w:r>
      <w:r>
        <w:t xml:space="preserve">Senthilkumar 2026, PMID 41784916.</w:t>
      </w:r>
    </w:p>
  </w:footnote>
  <w:footnote w:id="2800">
    <w:p>
      <w:pPr>
        <w:pStyle w:val="FootnoteText"/>
      </w:pPr>
      <w:r>
        <w:rPr>
          <w:rStyle w:val="FootnoteReference"/>
        </w:rPr>
        <w:footnoteRef/>
      </w:r>
      <w:r>
        <w:t xml:space="preserve"> </w:t>
      </w:r>
      <w:r>
        <w:t xml:space="preserve">Coutinho 2026, PMID 41880199.</w:t>
      </w:r>
    </w:p>
  </w:footnote>
  <w:footnote w:id="2802">
    <w:p>
      <w:pPr>
        <w:pStyle w:val="FootnoteText"/>
      </w:pPr>
      <w:r>
        <w:rPr>
          <w:rStyle w:val="FootnoteReference"/>
        </w:rPr>
        <w:footnoteRef/>
      </w:r>
      <w:r>
        <w:t xml:space="preserve"> </w:t>
      </w:r>
      <w:r>
        <w:t xml:space="preserve">Liu 2007, PMID 17227934.</w:t>
      </w:r>
    </w:p>
  </w:footnote>
  <w:footnote w:id="2803">
    <w:p>
      <w:pPr>
        <w:pStyle w:val="FootnoteText"/>
      </w:pPr>
      <w:r>
        <w:rPr>
          <w:rStyle w:val="FootnoteReference"/>
        </w:rPr>
        <w:footnoteRef/>
      </w:r>
      <w:r>
        <w:t xml:space="preserve"> </w:t>
      </w:r>
      <w:r>
        <w:t xml:space="preserve">Adunsky 2011, PMID 21067829.</w:t>
      </w:r>
    </w:p>
  </w:footnote>
  <w:footnote w:id="2805">
    <w:p>
      <w:pPr>
        <w:pStyle w:val="FootnoteText"/>
      </w:pPr>
      <w:r>
        <w:rPr>
          <w:rStyle w:val="FootnoteReference"/>
        </w:rPr>
        <w:footnoteRef/>
      </w:r>
      <w:r>
        <w:t xml:space="preserve"> </w:t>
      </w:r>
      <w:r>
        <w:t xml:space="preserve">Look 2025, PMID 39996356.</w:t>
      </w:r>
    </w:p>
  </w:footnote>
  <w:footnote w:id="2806">
    <w:p>
      <w:pPr>
        <w:pStyle w:val="FootnoteText"/>
      </w:pPr>
      <w:r>
        <w:rPr>
          <w:rStyle w:val="FootnoteReference"/>
        </w:rPr>
        <w:footnoteRef/>
      </w:r>
      <w:r>
        <w:t xml:space="preserve"> </w:t>
      </w:r>
      <w:r>
        <w:t xml:space="preserve">Karakasis 2025, PMID 39719170.</w:t>
      </w:r>
    </w:p>
  </w:footnote>
  <w:footnote w:id="2807">
    <w:p>
      <w:pPr>
        <w:pStyle w:val="FootnoteText"/>
      </w:pPr>
      <w:r>
        <w:rPr>
          <w:rStyle w:val="FootnoteReference"/>
        </w:rPr>
        <w:footnoteRef/>
      </w:r>
      <w:r>
        <w:t xml:space="preserve"> </w:t>
      </w:r>
      <w:r>
        <w:t xml:space="preserve">Batsis 2026, PMID 41996180.</w:t>
      </w:r>
    </w:p>
  </w:footnote>
  <w:footnote w:id="2808">
    <w:p>
      <w:pPr>
        <w:pStyle w:val="FootnoteText"/>
      </w:pPr>
      <w:r>
        <w:rPr>
          <w:rStyle w:val="FootnoteReference"/>
        </w:rPr>
        <w:footnoteRef/>
      </w:r>
      <w:r>
        <w:t xml:space="preserve"> </w:t>
      </w:r>
      <w:r>
        <w:t xml:space="preserve">Laverde 2026, PMID 42321502.</w:t>
      </w:r>
    </w:p>
  </w:footnote>
  <w:footnote w:id="2810">
    <w:p>
      <w:pPr>
        <w:pStyle w:val="FootnoteText"/>
      </w:pPr>
      <w:r>
        <w:rPr>
          <w:rStyle w:val="FootnoteReference"/>
        </w:rPr>
        <w:footnoteRef/>
      </w:r>
      <w:r>
        <w:t xml:space="preserve"> </w:t>
      </w:r>
      <w:r>
        <w:t xml:space="preserve">Guerdjikova 2024, PMID 38329147.</w:t>
      </w:r>
    </w:p>
  </w:footnote>
  <w:footnote w:id="2811">
    <w:p>
      <w:pPr>
        <w:pStyle w:val="FootnoteText"/>
      </w:pPr>
      <w:r>
        <w:rPr>
          <w:rStyle w:val="FootnoteReference"/>
        </w:rPr>
        <w:footnoteRef/>
      </w:r>
      <w:r>
        <w:t xml:space="preserve"> </w:t>
      </w:r>
      <w:r>
        <w:t xml:space="preserve">Peiper 2026, PMID 42340738.</w:t>
      </w:r>
    </w:p>
  </w:footnote>
  <w:footnote w:id="2812">
    <w:p>
      <w:pPr>
        <w:pStyle w:val="FootnoteText"/>
      </w:pPr>
      <w:r>
        <w:rPr>
          <w:rStyle w:val="FootnoteReference"/>
        </w:rPr>
        <w:footnoteRef/>
      </w:r>
      <w:r>
        <w:t xml:space="preserve"> </w:t>
      </w:r>
      <w:r>
        <w:t xml:space="preserve">Keshen 2026, PMID 42742590.</w:t>
      </w:r>
    </w:p>
  </w:footnote>
  <w:footnote w:id="2813">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Borschel 2026, PMID 42874322.</w:t>
      </w:r>
    </w:p>
  </w:footnote>
  <w:footnote w:id="2816">
    <w:p>
      <w:pPr>
        <w:pStyle w:val="FootnoteText"/>
      </w:pPr>
      <w:r>
        <w:rPr>
          <w:rStyle w:val="FootnoteReference"/>
        </w:rPr>
        <w:footnoteRef/>
      </w:r>
      <w:r>
        <w:t xml:space="preserve"> </w:t>
      </w:r>
      <w:r>
        <w:t xml:space="preserve">Barrios 2025, PMID 40551438.</w:t>
      </w:r>
    </w:p>
  </w:footnote>
  <w:footnote w:id="2817">
    <w:p>
      <w:pPr>
        <w:pStyle w:val="FootnoteText"/>
      </w:pPr>
      <w:r>
        <w:rPr>
          <w:rStyle w:val="FootnoteReference"/>
        </w:rPr>
        <w:footnoteRef/>
      </w:r>
      <w:r>
        <w:t xml:space="preserve"> </w:t>
      </w:r>
      <w:r>
        <w:t xml:space="preserve">Gajda 2019, PMID 30136411.</w:t>
      </w:r>
    </w:p>
  </w:footnote>
  <w:footnote w:id="2818">
    <w:p>
      <w:pPr>
        <w:pStyle w:val="FootnoteText"/>
      </w:pPr>
      <w:r>
        <w:rPr>
          <w:rStyle w:val="FootnoteReference"/>
        </w:rPr>
        <w:footnoteRef/>
      </w:r>
      <w:r>
        <w:t xml:space="preserve"> </w:t>
      </w:r>
      <w:r>
        <w:t xml:space="preserve">La Vignera 2026, PMID 42511463.</w:t>
      </w:r>
    </w:p>
  </w:footnote>
  <w:footnote w:id="2819">
    <w:p>
      <w:pPr>
        <w:pStyle w:val="FootnoteText"/>
      </w:pPr>
      <w:r>
        <w:rPr>
          <w:rStyle w:val="FootnoteReference"/>
        </w:rPr>
        <w:footnoteRef/>
      </w:r>
      <w:r>
        <w:t xml:space="preserve"> </w:t>
      </w:r>
      <w:r>
        <w:t xml:space="preserve">Villegas Meza 2026, PMID 42160466.</w:t>
      </w:r>
    </w:p>
  </w:footnote>
  <w:footnote w:id="2824">
    <w:p>
      <w:pPr>
        <w:pStyle w:val="FootnoteText"/>
      </w:pPr>
      <w:r>
        <w:rPr>
          <w:rStyle w:val="FootnoteReference"/>
        </w:rPr>
        <w:footnoteRef/>
      </w:r>
      <w:r>
        <w:t xml:space="preserve"> </w:t>
      </w:r>
      <w:r>
        <w:t xml:space="preserve">NCT07543458.</w:t>
      </w:r>
    </w:p>
  </w:footnote>
  <w:footnote w:id="2825">
    <w:p>
      <w:pPr>
        <w:pStyle w:val="FootnoteText"/>
      </w:pPr>
      <w:r>
        <w:rPr>
          <w:rStyle w:val="FootnoteReference"/>
        </w:rPr>
        <w:footnoteRef/>
      </w:r>
      <w:r>
        <w:t xml:space="preserve"> </w:t>
      </w:r>
      <w:r>
        <w:t xml:space="preserve">NCT04020055, NCT06904261.</w:t>
      </w:r>
    </w:p>
  </w:footnote>
  <w:footnote w:id="2827">
    <w:p>
      <w:pPr>
        <w:pStyle w:val="FootnoteText"/>
      </w:pPr>
      <w:r>
        <w:rPr>
          <w:rStyle w:val="FootnoteReference"/>
        </w:rPr>
        <w:footnoteRef/>
      </w:r>
      <w:r>
        <w:t xml:space="preserve"> </w:t>
      </w:r>
      <w:r>
        <w:t xml:space="preserve">NCT05086614.</w:t>
      </w:r>
    </w:p>
  </w:footnote>
  <w:footnote w:id="2828">
    <w:p>
      <w:pPr>
        <w:pStyle w:val="FootnoteText"/>
      </w:pPr>
      <w:r>
        <w:rPr>
          <w:rStyle w:val="FootnoteReference"/>
        </w:rPr>
        <w:footnoteRef/>
      </w:r>
      <w:r>
        <w:t xml:space="preserve"> </w:t>
      </w:r>
      <w:r>
        <w:t xml:space="preserve">NCT05555589.</w:t>
      </w:r>
    </w:p>
  </w:footnote>
  <w:footnote w:id="2829">
    <w:p>
      <w:pPr>
        <w:pStyle w:val="FootnoteText"/>
      </w:pPr>
      <w:r>
        <w:rPr>
          <w:rStyle w:val="FootnoteReference"/>
        </w:rPr>
        <w:footnoteRef/>
      </w:r>
      <w:r>
        <w:t xml:space="preserve"> </w:t>
      </w:r>
      <w:r>
        <w:t xml:space="preserve">NCT06373731.</w:t>
      </w:r>
    </w:p>
  </w:footnote>
  <w:footnote w:id="2830">
    <w:p>
      <w:pPr>
        <w:pStyle w:val="FootnoteText"/>
      </w:pPr>
      <w:r>
        <w:rPr>
          <w:rStyle w:val="FootnoteReference"/>
        </w:rPr>
        <w:footnoteRef/>
      </w:r>
      <w:r>
        <w:t xml:space="preserve"> </w:t>
      </w:r>
      <w:r>
        <w:t xml:space="preserve">NCT06109649.</w:t>
      </w:r>
    </w:p>
  </w:footnote>
  <w:footnote w:id="2831">
    <w:p>
      <w:pPr>
        <w:pStyle w:val="FootnoteText"/>
      </w:pPr>
      <w:r>
        <w:rPr>
          <w:rStyle w:val="FootnoteReference"/>
        </w:rPr>
        <w:footnoteRef/>
      </w:r>
      <w:r>
        <w:t xml:space="preserve"> </w:t>
      </w:r>
      <w:r>
        <w:t xml:space="preserve">NCT06948214.</w:t>
      </w:r>
    </w:p>
  </w:footnote>
  <w:footnote w:id="2832">
    <w:p>
      <w:pPr>
        <w:pStyle w:val="FootnoteText"/>
      </w:pPr>
      <w:r>
        <w:rPr>
          <w:rStyle w:val="FootnoteReference"/>
        </w:rPr>
        <w:footnoteRef/>
      </w:r>
      <w:r>
        <w:t xml:space="preserve"> </w:t>
      </w:r>
      <w:r>
        <w:t xml:space="preserve">NCT04903002.</w:t>
      </w:r>
    </w:p>
  </w:footnote>
  <w:footnote w:id="2833">
    <w:p>
      <w:pPr>
        <w:pStyle w:val="FootnoteText"/>
      </w:pPr>
      <w:r>
        <w:rPr>
          <w:rStyle w:val="FootnoteReference"/>
        </w:rPr>
        <w:footnoteRef/>
      </w:r>
      <w:r>
        <w:t xml:space="preserve"> </w:t>
      </w:r>
      <w:r>
        <w:t xml:space="preserve">NCT07675980.</w:t>
      </w:r>
    </w:p>
  </w:footnote>
  <w:footnote w:id="2836">
    <w:p>
      <w:pPr>
        <w:pStyle w:val="FootnoteText"/>
      </w:pPr>
      <w:r>
        <w:rPr>
          <w:rStyle w:val="FootnoteReference"/>
        </w:rPr>
        <w:footnoteRef/>
      </w:r>
      <w:r>
        <w:t xml:space="preserve"> </w:t>
      </w:r>
      <w:r>
        <w:t xml:space="preserve">NCT06662383.</w:t>
      </w:r>
    </w:p>
  </w:footnote>
  <w:footnote w:id="2837">
    <w:p>
      <w:pPr>
        <w:pStyle w:val="FootnoteText"/>
      </w:pPr>
      <w:r>
        <w:rPr>
          <w:rStyle w:val="FootnoteReference"/>
        </w:rPr>
        <w:footnoteRef/>
      </w:r>
      <w:r>
        <w:t xml:space="preserve"> </w:t>
      </w:r>
      <w:r>
        <w:t xml:space="preserve">NCT07889648.</w:t>
      </w:r>
    </w:p>
  </w:footnote>
  <w:footnote w:id="2838">
    <w:p>
      <w:pPr>
        <w:pStyle w:val="FootnoteText"/>
      </w:pPr>
      <w:r>
        <w:rPr>
          <w:rStyle w:val="FootnoteReference"/>
        </w:rPr>
        <w:footnoteRef/>
      </w:r>
      <w:r>
        <w:t xml:space="preserve"> </w:t>
      </w:r>
      <w:r>
        <w:t xml:space="preserve">NCT06780449.</w:t>
      </w:r>
    </w:p>
  </w:footnote>
  <w:footnote w:id="2839">
    <w:p>
      <w:pPr>
        <w:pStyle w:val="FootnoteText"/>
      </w:pPr>
      <w:r>
        <w:rPr>
          <w:rStyle w:val="FootnoteReference"/>
        </w:rPr>
        <w:footnoteRef/>
      </w:r>
      <w:r>
        <w:t xml:space="preserve"> </w:t>
      </w:r>
      <w:r>
        <w:t xml:space="preserve">NCT07575399.</w:t>
      </w:r>
    </w:p>
  </w:footnote>
  <w:footnote w:id="2840">
    <w:p>
      <w:pPr>
        <w:pStyle w:val="FootnoteText"/>
      </w:pPr>
      <w:r>
        <w:rPr>
          <w:rStyle w:val="FootnoteReference"/>
        </w:rPr>
        <w:footnoteRef/>
      </w:r>
      <w:r>
        <w:t xml:space="preserve"> </w:t>
      </w:r>
      <w:r>
        <w:t xml:space="preserve">NCT07845500.</w:t>
      </w:r>
    </w:p>
  </w:footnote>
  <w:footnote w:id="2841">
    <w:p>
      <w:pPr>
        <w:pStyle w:val="FootnoteText"/>
      </w:pPr>
      <w:r>
        <w:rPr>
          <w:rStyle w:val="FootnoteReference"/>
        </w:rPr>
        <w:footnoteRef/>
      </w:r>
      <w:r>
        <w:t xml:space="preserve"> </w:t>
      </w:r>
      <w:r>
        <w:t xml:space="preserve">Aronne 2024, PMID 38078870.</w:t>
      </w:r>
    </w:p>
  </w:footnote>
  <w:footnote w:id="2842">
    <w:p>
      <w:pPr>
        <w:pStyle w:val="FootnoteText"/>
      </w:pPr>
      <w:r>
        <w:rPr>
          <w:rStyle w:val="FootnoteReference"/>
        </w:rPr>
        <w:footnoteRef/>
      </w:r>
      <w:r>
        <w:t xml:space="preserve"> </w:t>
      </w:r>
      <w:r>
        <w:t xml:space="preserve">NCT06257966.</w:t>
      </w:r>
    </w:p>
  </w:footnote>
  <w:footnote w:id="2843">
    <w:p>
      <w:pPr>
        <w:pStyle w:val="FootnoteText"/>
      </w:pPr>
      <w:r>
        <w:rPr>
          <w:rStyle w:val="FootnoteReference"/>
        </w:rPr>
        <w:footnoteRef/>
      </w:r>
      <w:r>
        <w:t xml:space="preserve"> </w:t>
      </w:r>
      <w:r>
        <w:t xml:space="preserve">NCT06439277, NCT07817875.</w:t>
      </w:r>
    </w:p>
  </w:footnote>
  <w:footnote w:id="2844">
    <w:p>
      <w:pPr>
        <w:pStyle w:val="FootnoteText"/>
      </w:pPr>
      <w:r>
        <w:rPr>
          <w:rStyle w:val="FootnoteReference"/>
        </w:rPr>
        <w:footnoteRef/>
      </w:r>
      <w:r>
        <w:t xml:space="preserve"> </w:t>
      </w:r>
      <w:r>
        <w:t xml:space="preserve">NCT06672939.</w:t>
      </w:r>
    </w:p>
  </w:footnote>
  <w:footnote w:id="2846">
    <w:p>
      <w:pPr>
        <w:pStyle w:val="FootnoteText"/>
      </w:pPr>
      <w:r>
        <w:rPr>
          <w:rStyle w:val="FootnoteReference"/>
        </w:rPr>
        <w:footnoteRef/>
      </w:r>
      <w:r>
        <w:t xml:space="preserve"> </w:t>
      </w:r>
      <w:r>
        <w:t xml:space="preserve">Jastreboff 2023, PMID 37366315.</w:t>
      </w:r>
    </w:p>
  </w:footnote>
  <w:footnote w:id="2847">
    <w:p>
      <w:pPr>
        <w:pStyle w:val="FootnoteText"/>
      </w:pPr>
      <w:r>
        <w:rPr>
          <w:rStyle w:val="FootnoteReference"/>
        </w:rPr>
        <w:footnoteRef/>
      </w:r>
      <w:r>
        <w:t xml:space="preserve"> </w:t>
      </w:r>
      <w:r>
        <w:t xml:space="preserve">Jastreboff 2026, PMID 42814954.</w:t>
      </w:r>
    </w:p>
  </w:footnote>
  <w:footnote w:id="2848">
    <w:p>
      <w:pPr>
        <w:pStyle w:val="FootnoteText"/>
      </w:pPr>
      <w:r>
        <w:rPr>
          <w:rStyle w:val="FootnoteReference"/>
        </w:rPr>
        <w:footnoteRef/>
      </w:r>
      <w:r>
        <w:t xml:space="preserve"> </w:t>
      </w:r>
      <w:r>
        <w:t xml:space="preserve">NCT06383390.</w:t>
      </w:r>
    </w:p>
  </w:footnote>
  <w:footnote w:id="2850">
    <w:p>
      <w:pPr>
        <w:pStyle w:val="FootnoteText"/>
      </w:pPr>
      <w:r>
        <w:rPr>
          <w:rStyle w:val="FootnoteReference"/>
        </w:rPr>
        <w:footnoteRef/>
      </w:r>
      <w:r>
        <w:t xml:space="preserve"> </w:t>
      </w:r>
      <w:r>
        <w:t xml:space="preserve">Garvey 2025, PMID 40544433.</w:t>
      </w:r>
    </w:p>
  </w:footnote>
  <w:footnote w:id="2851">
    <w:p>
      <w:pPr>
        <w:pStyle w:val="FootnoteText"/>
      </w:pPr>
      <w:r>
        <w:rPr>
          <w:rStyle w:val="FootnoteReference"/>
        </w:rPr>
        <w:footnoteRef/>
      </w:r>
      <w:r>
        <w:t xml:space="preserve"> </w:t>
      </w:r>
      <w:r>
        <w:t xml:space="preserve">Dahl 2025, PMID 40550231.</w:t>
      </w:r>
    </w:p>
  </w:footnote>
  <w:footnote w:id="2852">
    <w:p>
      <w:pPr>
        <w:pStyle w:val="FootnoteText"/>
      </w:pPr>
      <w:r>
        <w:rPr>
          <w:rStyle w:val="FootnoteReference"/>
        </w:rPr>
        <w:footnoteRef/>
      </w:r>
      <w:r>
        <w:t xml:space="preserve"> </w:t>
      </w:r>
      <w:r>
        <w:t xml:space="preserve">Billings 2025, PMID 41207310.</w:t>
      </w:r>
    </w:p>
  </w:footnote>
  <w:footnote w:id="2853">
    <w:p>
      <w:pPr>
        <w:pStyle w:val="FootnoteText"/>
      </w:pPr>
      <w:r>
        <w:rPr>
          <w:rStyle w:val="FootnoteReference"/>
        </w:rPr>
        <w:footnoteRef/>
      </w:r>
      <w:r>
        <w:t xml:space="preserve"> </w:t>
      </w:r>
      <w:r>
        <w:t xml:space="preserve">Garvey 2026, PMID 42810355.</w:t>
      </w:r>
    </w:p>
  </w:footnote>
  <w:footnote w:id="2855">
    <w:p>
      <w:pPr>
        <w:pStyle w:val="FootnoteText"/>
      </w:pPr>
      <w:r>
        <w:rPr>
          <w:rStyle w:val="FootnoteReference"/>
        </w:rPr>
        <w:footnoteRef/>
      </w:r>
      <w:r>
        <w:t xml:space="preserve"> </w:t>
      </w:r>
      <w:r>
        <w:t xml:space="preserve">Yie 2026, PMID 42592044.</w:t>
      </w:r>
    </w:p>
  </w:footnote>
  <w:footnote w:id="2856">
    <w:p>
      <w:pPr>
        <w:pStyle w:val="FootnoteText"/>
      </w:pPr>
      <w:r>
        <w:rPr>
          <w:rStyle w:val="FootnoteReference"/>
        </w:rPr>
        <w:footnoteRef/>
      </w:r>
      <w:r>
        <w:t xml:space="preserve"> </w:t>
      </w:r>
      <w:r>
        <w:t xml:space="preserve">Jastreboff 2025, PMID 40549887.</w:t>
      </w:r>
    </w:p>
  </w:footnote>
  <w:footnote w:id="2858">
    <w:p>
      <w:pPr>
        <w:pStyle w:val="FootnoteText"/>
      </w:pPr>
      <w:r>
        <w:rPr>
          <w:rStyle w:val="FootnoteReference"/>
        </w:rPr>
        <w:footnoteRef/>
      </w:r>
      <w:r>
        <w:t xml:space="preserve"> </w:t>
      </w:r>
      <w:r>
        <w:t xml:space="preserve">Heymsfield 2021, PMID 33439265.</w:t>
      </w:r>
    </w:p>
  </w:footnote>
  <w:footnote w:id="2859">
    <w:p>
      <w:pPr>
        <w:pStyle w:val="FootnoteText"/>
      </w:pPr>
      <w:r>
        <w:rPr>
          <w:rStyle w:val="FootnoteReference"/>
        </w:rPr>
        <w:footnoteRef/>
      </w:r>
      <w:r>
        <w:t xml:space="preserve"> </w:t>
      </w:r>
      <w:r>
        <w:t xml:space="preserve">Heymsfield 2026, PMID 41772149.</w:t>
      </w:r>
    </w:p>
  </w:footnote>
  <w:footnote w:id="2860">
    <w:p>
      <w:pPr>
        <w:pStyle w:val="FootnoteText"/>
      </w:pPr>
      <w:r>
        <w:rPr>
          <w:rStyle w:val="FootnoteReference"/>
        </w:rPr>
        <w:footnoteRef/>
      </w:r>
      <w:r>
        <w:t xml:space="preserve"> </w:t>
      </w:r>
      <w:r>
        <w:t xml:space="preserve">NCT05933499.</w:t>
      </w:r>
    </w:p>
  </w:footnote>
  <w:footnote w:id="2866">
    <w:p>
      <w:pPr>
        <w:pStyle w:val="FootnoteText"/>
      </w:pPr>
      <w:r>
        <w:rPr>
          <w:rStyle w:val="FootnoteReference"/>
        </w:rPr>
        <w:footnoteRef/>
      </w:r>
      <w:r>
        <w:t xml:space="preserve"> </w:t>
      </w:r>
      <w:r>
        <w:t xml:space="preserve">Drucker 2020, PMID 31848464.</w:t>
      </w:r>
    </w:p>
  </w:footnote>
  <w:footnote w:id="2867">
    <w:p>
      <w:pPr>
        <w:pStyle w:val="FootnoteText"/>
      </w:pPr>
      <w:r>
        <w:rPr>
          <w:rStyle w:val="FootnoteReference"/>
        </w:rPr>
        <w:footnoteRef/>
      </w:r>
      <w:r>
        <w:t xml:space="preserve"> </w:t>
      </w:r>
      <w:r>
        <w:t xml:space="preserve">Vahora 2026, PMID 42687069.</w:t>
      </w:r>
    </w:p>
  </w:footnote>
  <w:footnote w:id="2869">
    <w:p>
      <w:pPr>
        <w:pStyle w:val="FootnoteText"/>
      </w:pPr>
      <w:r>
        <w:rPr>
          <w:rStyle w:val="FootnoteReference"/>
        </w:rPr>
        <w:footnoteRef/>
      </w:r>
      <w:r>
        <w:t xml:space="preserve"> </w:t>
      </w:r>
      <w:r>
        <w:t xml:space="preserve">Levi 2026, PMID 42437874.</w:t>
      </w:r>
    </w:p>
  </w:footnote>
  <w:footnote w:id="2871">
    <w:p>
      <w:pPr>
        <w:pStyle w:val="FootnoteText"/>
      </w:pPr>
      <w:r>
        <w:rPr>
          <w:rStyle w:val="FootnoteReference"/>
        </w:rPr>
        <w:footnoteRef/>
      </w:r>
      <w:r>
        <w:t xml:space="preserve"> </w:t>
      </w:r>
      <w:r>
        <w:t xml:space="preserve">McGuire 2025, PMID 40162642.</w:t>
      </w:r>
    </w:p>
  </w:footnote>
  <w:footnote w:id="2873">
    <w:p>
      <w:pPr>
        <w:pStyle w:val="FootnoteText"/>
      </w:pPr>
      <w:r>
        <w:rPr>
          <w:rStyle w:val="FootnoteReference"/>
        </w:rPr>
        <w:footnoteRef/>
      </w:r>
      <w:r>
        <w:t xml:space="preserve"> </w:t>
      </w:r>
      <w:r>
        <w:t xml:space="preserve">Mora 2026, PMID 42532079.</w:t>
      </w:r>
    </w:p>
  </w:footnote>
  <w:footnote w:id="2874">
    <w:p>
      <w:pPr>
        <w:pStyle w:val="FootnoteText"/>
      </w:pPr>
      <w:r>
        <w:rPr>
          <w:rStyle w:val="FootnoteReference"/>
        </w:rPr>
        <w:footnoteRef/>
      </w:r>
      <w:r>
        <w:t xml:space="preserve"> </w:t>
      </w:r>
      <w:r>
        <w:t xml:space="preserve">NCT07815067.</w:t>
      </w:r>
    </w:p>
  </w:footnote>
  <w:footnote w:id="2876">
    <w:p>
      <w:pPr>
        <w:pStyle w:val="FootnoteText"/>
      </w:pPr>
      <w:r>
        <w:rPr>
          <w:rStyle w:val="FootnoteReference"/>
        </w:rPr>
        <w:footnoteRef/>
      </w:r>
      <w:r>
        <w:t xml:space="preserve"> </w:t>
      </w:r>
      <w:r>
        <w:t xml:space="preserve">Johns 2023, PMID 37125593.</w:t>
      </w:r>
    </w:p>
  </w:footnote>
  <w:footnote w:id="2877">
    <w:p>
      <w:pPr>
        <w:pStyle w:val="FootnoteText"/>
      </w:pPr>
      <w:r>
        <w:rPr>
          <w:rStyle w:val="FootnoteReference"/>
        </w:rPr>
        <w:footnoteRef/>
      </w:r>
      <w:r>
        <w:t xml:space="preserve"> </w:t>
      </w:r>
      <w:r>
        <w:t xml:space="preserve">Navar 2026, PMID 41879224.</w:t>
      </w:r>
    </w:p>
  </w:footnote>
  <w:footnote w:id="2878">
    <w:p>
      <w:pPr>
        <w:pStyle w:val="FootnoteText"/>
      </w:pPr>
      <w:r>
        <w:rPr>
          <w:rStyle w:val="FootnoteReference"/>
        </w:rPr>
        <w:footnoteRef/>
      </w:r>
      <w:r>
        <w:t xml:space="preserve"> </w:t>
      </w:r>
      <w:r>
        <w:t xml:space="preserve">Bissonnette 2025, PMID 41191940.</w:t>
      </w:r>
    </w:p>
  </w:footnote>
  <w:footnote w:id="2879">
    <w:p>
      <w:pPr>
        <w:pStyle w:val="FootnoteText"/>
      </w:pPr>
      <w:r>
        <w:rPr>
          <w:rStyle w:val="FootnoteReference"/>
        </w:rPr>
        <w:footnoteRef/>
      </w:r>
      <w:r>
        <w:t xml:space="preserve"> </w:t>
      </w:r>
      <w:r>
        <w:t xml:space="preserve">Knight 2025, PMID 40629250.</w:t>
      </w:r>
    </w:p>
  </w:footnote>
  <w:footnote w:id="2882">
    <w:p>
      <w:pPr>
        <w:pStyle w:val="FootnoteText"/>
      </w:pPr>
      <w:r>
        <w:rPr>
          <w:rStyle w:val="FootnoteReference"/>
        </w:rPr>
        <w:footnoteRef/>
      </w:r>
      <w:r>
        <w:t xml:space="preserve"> </w:t>
      </w:r>
      <w:r>
        <w:t xml:space="preserve">Rosenstock 2026, PMID 41765029.</w:t>
      </w:r>
    </w:p>
  </w:footnote>
  <w:footnote w:id="2883">
    <w:p>
      <w:pPr>
        <w:pStyle w:val="FootnoteText"/>
      </w:pPr>
      <w:r>
        <w:rPr>
          <w:rStyle w:val="FootnoteReference"/>
        </w:rPr>
        <w:footnoteRef/>
      </w:r>
      <w:r>
        <w:t xml:space="preserve"> </w:t>
      </w:r>
      <w:r>
        <w:t xml:space="preserve">Wharton 2025, PMID 40960239.</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Aronne 2026, PMID 42120723.</w:t>
      </w:r>
    </w:p>
  </w:footnote>
  <w:footnote w:id="2886">
    <w:p>
      <w:pPr>
        <w:pStyle w:val="FootnoteText"/>
      </w:pPr>
      <w:r>
        <w:rPr>
          <w:rStyle w:val="FootnoteReference"/>
        </w:rPr>
        <w:footnoteRef/>
      </w:r>
      <w:r>
        <w:t xml:space="preserve"> </w:t>
      </w:r>
      <w:r>
        <w:t xml:space="preserve">Wharton 2026, PMID 42338042.</w:t>
      </w:r>
    </w:p>
  </w:footnote>
  <w:footnote w:id="2888">
    <w:p>
      <w:pPr>
        <w:pStyle w:val="FootnoteText"/>
      </w:pPr>
      <w:r>
        <w:rPr>
          <w:rStyle w:val="FootnoteReference"/>
        </w:rPr>
        <w:footnoteRef/>
      </w:r>
      <w:r>
        <w:t xml:space="preserve"> </w:t>
      </w:r>
      <w:r>
        <w:t xml:space="preserve">Buckeridge 2025, PMID 40539310.</w:t>
      </w:r>
    </w:p>
  </w:footnote>
  <w:footnote w:id="2891">
    <w:p>
      <w:pPr>
        <w:pStyle w:val="FootnoteText"/>
      </w:pPr>
      <w:r>
        <w:rPr>
          <w:rStyle w:val="FootnoteReference"/>
        </w:rPr>
        <w:footnoteRef/>
      </w:r>
      <w:r>
        <w:t xml:space="preserve"> </w:t>
      </w:r>
      <w:r>
        <w:t xml:space="preserve">Michalak 2026, PMID 42225305.</w:t>
      </w:r>
    </w:p>
  </w:footnote>
  <w:footnote w:id="2893">
    <w:p>
      <w:pPr>
        <w:pStyle w:val="FootnoteText"/>
      </w:pPr>
      <w:r>
        <w:rPr>
          <w:rStyle w:val="FootnoteReference"/>
        </w:rPr>
        <w:footnoteRef/>
      </w:r>
      <w:r>
        <w:t xml:space="preserve"> </w:t>
      </w:r>
      <w:r>
        <w:t xml:space="preserve">Vahora 2026, PMID 42687069.</w:t>
      </w:r>
    </w:p>
  </w:footnote>
  <w:footnote w:id="2894">
    <w:p>
      <w:pPr>
        <w:pStyle w:val="FootnoteText"/>
      </w:pPr>
      <w:r>
        <w:rPr>
          <w:rStyle w:val="FootnoteReference"/>
        </w:rPr>
        <w:footnoteRef/>
      </w:r>
      <w:r>
        <w:t xml:space="preserve"> </w:t>
      </w:r>
      <w:r>
        <w:t xml:space="preserve">NCT07241390.</w:t>
      </w:r>
    </w:p>
  </w:footnote>
  <w:footnote w:id="2895">
    <w:p>
      <w:pPr>
        <w:pStyle w:val="FootnoteText"/>
      </w:pPr>
      <w:r>
        <w:rPr>
          <w:rStyle w:val="FootnoteReference"/>
        </w:rPr>
        <w:footnoteRef/>
      </w:r>
      <w:r>
        <w:t xml:space="preserve"> </w:t>
      </w:r>
      <w:r>
        <w:t xml:space="preserve">Levi 2026, PMID 42437874.</w:t>
      </w:r>
    </w:p>
  </w:footnote>
  <w:footnote w:id="2896">
    <w:p>
      <w:pPr>
        <w:pStyle w:val="FootnoteText"/>
      </w:pPr>
      <w:r>
        <w:rPr>
          <w:rStyle w:val="FootnoteReference"/>
        </w:rPr>
        <w:footnoteRef/>
      </w:r>
      <w:r>
        <w:t xml:space="preserve"> </w:t>
      </w:r>
      <w:r>
        <w:t xml:space="preserve">Belcourt 2026, PMID 41689811.</w:t>
      </w:r>
    </w:p>
  </w:footnote>
  <w:footnote w:id="2897">
    <w:p>
      <w:pPr>
        <w:pStyle w:val="FootnoteText"/>
      </w:pPr>
      <w:r>
        <w:rPr>
          <w:rStyle w:val="FootnoteReference"/>
        </w:rPr>
        <w:footnoteRef/>
      </w:r>
      <w:r>
        <w:t xml:space="preserve"> </w:t>
      </w:r>
      <w:r>
        <w:t xml:space="preserve">Hach 2024, PMID 39379664.</w:t>
      </w:r>
    </w:p>
  </w:footnote>
  <w:footnote w:id="2902">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Rubino 2022, PMID 35015037.</w:t>
      </w:r>
    </w:p>
  </w:footnote>
  <w:footnote w:id="2906">
    <w:p>
      <w:pPr>
        <w:pStyle w:val="FootnoteText"/>
      </w:pPr>
      <w:r>
        <w:rPr>
          <w:rStyle w:val="FootnoteReference"/>
        </w:rPr>
        <w:footnoteRef/>
      </w:r>
      <w:r>
        <w:t xml:space="preserve"> </w:t>
      </w:r>
      <w:r>
        <w:t xml:space="preserve">Levi 2026, PMID 42437874.</w:t>
      </w:r>
    </w:p>
  </w:footnote>
  <w:footnote w:id="2907">
    <w:p>
      <w:pPr>
        <w:pStyle w:val="FootnoteText"/>
      </w:pPr>
      <w:r>
        <w:rPr>
          <w:rStyle w:val="FootnoteReference"/>
        </w:rPr>
        <w:footnoteRef/>
      </w:r>
      <w:r>
        <w:t xml:space="preserve"> </w:t>
      </w:r>
      <w:r>
        <w:t xml:space="preserve">Mohan 2026, PMID 42747945.</w:t>
      </w:r>
    </w:p>
  </w:footnote>
  <w:footnote w:id="2908">
    <w:p>
      <w:pPr>
        <w:pStyle w:val="FootnoteText"/>
      </w:pPr>
      <w:r>
        <w:rPr>
          <w:rStyle w:val="FootnoteReference"/>
        </w:rPr>
        <w:footnoteRef/>
      </w:r>
      <w:r>
        <w:t xml:space="preserve"> </w:t>
      </w:r>
      <w:r>
        <w:t xml:space="preserve">Mani 2025, PMID 41358329.</w:t>
      </w:r>
    </w:p>
  </w:footnote>
  <w:footnote w:id="2909">
    <w:p>
      <w:pPr>
        <w:pStyle w:val="FootnoteText"/>
      </w:pPr>
      <w:r>
        <w:rPr>
          <w:rStyle w:val="FootnoteReference"/>
        </w:rPr>
        <w:footnoteRef/>
      </w:r>
      <w:r>
        <w:t xml:space="preserve"> </w:t>
      </w:r>
      <w:r>
        <w:t xml:space="preserve">Celletti 2026, PMID 41324410.</w:t>
      </w:r>
    </w:p>
  </w:footnote>
  <w:footnote w:id="2912">
    <w:p>
      <w:pPr>
        <w:pStyle w:val="FootnoteText"/>
      </w:pPr>
      <w:r>
        <w:rPr>
          <w:rStyle w:val="FootnoteReference"/>
        </w:rPr>
        <w:footnoteRef/>
      </w:r>
      <w:r>
        <w:t xml:space="preserve"> </w:t>
      </w:r>
      <w:r>
        <w:t xml:space="preserve">DiStefano 2025, PMID 39776466.</w:t>
      </w:r>
    </w:p>
  </w:footnote>
  <w:footnote w:id="2913">
    <w:p>
      <w:pPr>
        <w:pStyle w:val="FootnoteText"/>
      </w:pPr>
      <w:r>
        <w:rPr>
          <w:rStyle w:val="FootnoteReference"/>
        </w:rPr>
        <w:footnoteRef/>
      </w:r>
      <w:r>
        <w:t xml:space="preserve"> </w:t>
      </w:r>
      <w:r>
        <w:t xml:space="preserve">Belcourt 2026, PMID 41689811.</w:t>
      </w:r>
    </w:p>
  </w:footnote>
  <w:footnote w:id="2914">
    <w:p>
      <w:pPr>
        <w:pStyle w:val="FootnoteText"/>
      </w:pPr>
      <w:r>
        <w:rPr>
          <w:rStyle w:val="FootnoteReference"/>
        </w:rPr>
        <w:footnoteRef/>
      </w:r>
      <w:r>
        <w:t xml:space="preserve"> </w:t>
      </w:r>
      <w:r>
        <w:t xml:space="preserve">Jordan 2026, PMID 42010938.</w:t>
      </w:r>
    </w:p>
  </w:footnote>
  <w:footnote w:id="2916">
    <w:p>
      <w:pPr>
        <w:pStyle w:val="FootnoteText"/>
      </w:pPr>
      <w:r>
        <w:rPr>
          <w:rStyle w:val="FootnoteReference"/>
        </w:rPr>
        <w:footnoteRef/>
      </w:r>
      <w:r>
        <w:t xml:space="preserve"> </w:t>
      </w:r>
      <w:r>
        <w:t xml:space="preserve">Mailhac 2024, PMID 38685990.</w:t>
      </w:r>
    </w:p>
  </w:footnote>
  <w:footnote w:id="2917">
    <w:p>
      <w:pPr>
        <w:pStyle w:val="FootnoteText"/>
      </w:pPr>
      <w:r>
        <w:rPr>
          <w:rStyle w:val="FootnoteReference"/>
        </w:rPr>
        <w:footnoteRef/>
      </w:r>
      <w:r>
        <w:t xml:space="preserve"> </w:t>
      </w:r>
      <w:r>
        <w:t xml:space="preserve">Gasoyan 2025, PMID 41039650.</w:t>
      </w:r>
    </w:p>
  </w:footnote>
  <w:footnote w:id="2919">
    <w:p>
      <w:pPr>
        <w:pStyle w:val="FootnoteText"/>
      </w:pPr>
      <w:r>
        <w:rPr>
          <w:rStyle w:val="FootnoteReference"/>
        </w:rPr>
        <w:footnoteRef/>
      </w:r>
      <w:r>
        <w:t xml:space="preserve"> </w:t>
      </w:r>
      <w:r>
        <w:t xml:space="preserve">Hwang 2025, PMID 40085108.</w:t>
      </w:r>
    </w:p>
  </w:footnote>
  <w:footnote w:id="2920">
    <w:p>
      <w:pPr>
        <w:pStyle w:val="FootnoteText"/>
      </w:pPr>
      <w:r>
        <w:rPr>
          <w:rStyle w:val="FootnoteReference"/>
        </w:rPr>
        <w:footnoteRef/>
      </w:r>
      <w:r>
        <w:t xml:space="preserve"> </w:t>
      </w:r>
      <w:r>
        <w:t xml:space="preserve">Dhippayom 2026, PMID 41365841.</w:t>
      </w:r>
    </w:p>
  </w:footnote>
  <w:footnote w:id="2921">
    <w:p>
      <w:pPr>
        <w:pStyle w:val="FootnoteText"/>
      </w:pPr>
      <w:r>
        <w:rPr>
          <w:rStyle w:val="FootnoteReference"/>
        </w:rPr>
        <w:footnoteRef/>
      </w:r>
      <w:r>
        <w:t xml:space="preserve"> </w:t>
      </w:r>
      <w:r>
        <w:t xml:space="preserve">Hennessy 2026, PMID 41637062.</w:t>
      </w:r>
    </w:p>
  </w:footnote>
  <w:footnote w:id="2922">
    <w:p>
      <w:pPr>
        <w:pStyle w:val="FootnoteText"/>
      </w:pPr>
      <w:r>
        <w:rPr>
          <w:rStyle w:val="FootnoteReference"/>
        </w:rPr>
        <w:footnoteRef/>
      </w:r>
      <w:r>
        <w:t xml:space="preserve"> </w:t>
      </w:r>
      <w:r>
        <w:t xml:space="preserve">Scannell 2026, PMID 42640207.</w:t>
      </w:r>
    </w:p>
  </w:footnote>
  <w:footnote w:id="2925">
    <w:p>
      <w:pPr>
        <w:pStyle w:val="FootnoteText"/>
      </w:pPr>
      <w:r>
        <w:rPr>
          <w:rStyle w:val="FootnoteReference"/>
        </w:rPr>
        <w:footnoteRef/>
      </w:r>
      <w:r>
        <w:t xml:space="preserve"> </w:t>
      </w:r>
      <w:r>
        <w:t xml:space="preserve">Wilding 2022, PMID 35441470.</w:t>
      </w:r>
    </w:p>
  </w:footnote>
  <w:footnote w:id="2929">
    <w:p>
      <w:pPr>
        <w:pStyle w:val="FootnoteText"/>
      </w:pPr>
      <w:r>
        <w:rPr>
          <w:rStyle w:val="FootnoteReference"/>
        </w:rPr>
        <w:footnoteRef/>
      </w:r>
      <w:r>
        <w:t xml:space="preserve"> </w:t>
      </w:r>
      <w:r>
        <w:t xml:space="preserve">Cummings 2026, PMID 41865758.</w:t>
      </w:r>
    </w:p>
  </w:footnote>
  <w:footnote w:id="2930">
    <w:p>
      <w:pPr>
        <w:pStyle w:val="FootnoteText"/>
      </w:pPr>
      <w:r>
        <w:rPr>
          <w:rStyle w:val="FootnoteReference"/>
        </w:rPr>
        <w:footnoteRef/>
      </w:r>
      <w:r>
        <w:t xml:space="preserve"> </w:t>
      </w:r>
      <w:r>
        <w:t xml:space="preserve">Vijiaratnam 2025, PMID 39919773.</w:t>
      </w:r>
    </w:p>
  </w:footnote>
  <w:footnote w:id="2931">
    <w:p>
      <w:pPr>
        <w:pStyle w:val="FootnoteText"/>
      </w:pPr>
      <w:r>
        <w:rPr>
          <w:rStyle w:val="FootnoteReference"/>
        </w:rPr>
        <w:footnoteRef/>
      </w:r>
      <w:r>
        <w:t xml:space="preserve"> </w:t>
      </w:r>
      <w:r>
        <w:t xml:space="preserve">NCT05556512.</w:t>
      </w:r>
    </w:p>
  </w:footnote>
  <w:footnote w:id="2932">
    <w:p>
      <w:pPr>
        <w:pStyle w:val="FootnoteText"/>
      </w:pPr>
      <w:r>
        <w:rPr>
          <w:rStyle w:val="FootnoteReference"/>
        </w:rPr>
        <w:footnoteRef/>
      </w:r>
      <w:r>
        <w:t xml:space="preserve"> </w:t>
      </w:r>
      <w:r>
        <w:t xml:space="preserve">NCT05669755.</w:t>
      </w:r>
    </w:p>
  </w:footnote>
  <w:footnote w:id="2933">
    <w:p>
      <w:pPr>
        <w:pStyle w:val="FootnoteText"/>
      </w:pPr>
      <w:r>
        <w:rPr>
          <w:rStyle w:val="FootnoteReference"/>
        </w:rPr>
        <w:footnoteRef/>
      </w:r>
      <w:r>
        <w:t xml:space="preserve"> </w:t>
      </w:r>
      <w:r>
        <w:t xml:space="preserve">NCT06383390.</w:t>
      </w:r>
    </w:p>
  </w:footnote>
  <w:footnote w:id="2934">
    <w:p>
      <w:pPr>
        <w:pStyle w:val="FootnoteText"/>
      </w:pPr>
      <w:r>
        <w:rPr>
          <w:rStyle w:val="FootnoteReference"/>
        </w:rPr>
        <w:footnoteRef/>
      </w:r>
      <w:r>
        <w:t xml:space="preserve"> </w:t>
      </w:r>
      <w:r>
        <w:t xml:space="preserve">NCT06632457.</w:t>
      </w:r>
    </w:p>
  </w:footnote>
  <w:footnote w:id="2935">
    <w:p>
      <w:pPr>
        <w:pStyle w:val="FootnoteText"/>
      </w:pPr>
      <w:r>
        <w:rPr>
          <w:rStyle w:val="FootnoteReference"/>
        </w:rPr>
        <w:footnoteRef/>
      </w:r>
      <w:r>
        <w:t xml:space="preserve"> </w:t>
      </w:r>
      <w:r>
        <w:t xml:space="preserve">NCT07037433, NCT07037459.</w:t>
      </w:r>
    </w:p>
  </w:footnote>
  <w:footnote w:id="2936">
    <w:p>
      <w:pPr>
        <w:pStyle w:val="FootnoteText"/>
      </w:pPr>
      <w:r>
        <w:rPr>
          <w:rStyle w:val="FootnoteReference"/>
        </w:rPr>
        <w:footnoteRef/>
      </w:r>
      <w:r>
        <w:t xml:space="preserve"> </w:t>
      </w:r>
      <w:r>
        <w:t xml:space="preserve">NCT07861100.</w:t>
      </w:r>
    </w:p>
  </w:footnote>
  <w:footnote w:id="2937">
    <w:p>
      <w:pPr>
        <w:pStyle w:val="FootnoteText"/>
      </w:pPr>
      <w:r>
        <w:rPr>
          <w:rStyle w:val="FootnoteReference"/>
        </w:rPr>
        <w:footnoteRef/>
      </w:r>
      <w:r>
        <w:t xml:space="preserve"> </w:t>
      </w:r>
      <w:r>
        <w:t xml:space="preserve">NCT07241390.</w:t>
      </w:r>
    </w:p>
  </w:footnote>
  <w:footnote w:id="2938">
    <w:p>
      <w:pPr>
        <w:pStyle w:val="FootnoteText"/>
      </w:pPr>
      <w:r>
        <w:rPr>
          <w:rStyle w:val="FootnoteReference"/>
        </w:rPr>
        <w:footnoteRef/>
      </w:r>
      <w:r>
        <w:t xml:space="preserve"> </w:t>
      </w:r>
      <w:r>
        <w:t xml:space="preserve">NCT07165028.</w:t>
      </w:r>
    </w:p>
  </w:footnote>
  <w:footnote w:id="2939">
    <w:p>
      <w:pPr>
        <w:pStyle w:val="FootnoteText"/>
      </w:pPr>
      <w:r>
        <w:rPr>
          <w:rStyle w:val="FootnoteReference"/>
        </w:rPr>
        <w:footnoteRef/>
      </w:r>
      <w:r>
        <w:t xml:space="preserve"> </w:t>
      </w:r>
      <w:r>
        <w:t xml:space="preserve">Levi 2026, PMID 42437874.</w:t>
      </w:r>
    </w:p>
  </w:footnote>
  <w:footnote w:id="2941">
    <w:p>
      <w:pPr>
        <w:pStyle w:val="FootnoteText"/>
      </w:pPr>
      <w:r>
        <w:rPr>
          <w:rStyle w:val="FootnoteReference"/>
        </w:rPr>
        <w:footnoteRef/>
      </w:r>
      <w:r>
        <w:t xml:space="preserve"> </w:t>
      </w:r>
      <w:r>
        <w:t xml:space="preserve">NCT05086614.</w:t>
      </w:r>
    </w:p>
  </w:footnote>
  <w:footnote w:id="2942">
    <w:p>
      <w:pPr>
        <w:pStyle w:val="FootnoteText"/>
      </w:pPr>
      <w:r>
        <w:rPr>
          <w:rStyle w:val="FootnoteReference"/>
        </w:rPr>
        <w:footnoteRef/>
      </w:r>
      <w:r>
        <w:t xml:space="preserve"> </w:t>
      </w:r>
      <w:r>
        <w:t xml:space="preserve">NCT05555589.</w:t>
      </w:r>
    </w:p>
  </w:footnote>
  <w:footnote w:id="2944">
    <w:p>
      <w:pPr>
        <w:pStyle w:val="FootnoteText"/>
      </w:pPr>
      <w:r>
        <w:rPr>
          <w:rStyle w:val="FootnoteReference"/>
        </w:rPr>
        <w:footnoteRef/>
      </w:r>
      <w:r>
        <w:t xml:space="preserve"> </w:t>
      </w:r>
      <w:r>
        <w:t xml:space="preserve">NCT00903110.</w:t>
      </w:r>
    </w:p>
  </w:footnote>
  <w:footnote w:id="2946">
    <w:p>
      <w:pPr>
        <w:pStyle w:val="FootnoteText"/>
      </w:pPr>
      <w:r>
        <w:rPr>
          <w:rStyle w:val="FootnoteReference"/>
        </w:rPr>
        <w:footnoteRef/>
      </w:r>
      <w:r>
        <w:t xml:space="preserve"> </w:t>
      </w:r>
      <w:r>
        <w:t xml:space="preserve">NCT06373731.</w:t>
      </w:r>
    </w:p>
  </w:footnote>
  <w:footnote w:id="2947">
    <w:p>
      <w:pPr>
        <w:pStyle w:val="FootnoteText"/>
      </w:pPr>
      <w:r>
        <w:rPr>
          <w:rStyle w:val="FootnoteReference"/>
        </w:rPr>
        <w:footnoteRef/>
      </w:r>
      <w:r>
        <w:t xml:space="preserve"> </w:t>
      </w:r>
      <w:r>
        <w:t xml:space="preserve">NCT05755997.</w:t>
      </w:r>
    </w:p>
  </w:footnote>
  <w:footnote w:id="2948">
    <w:p>
      <w:pPr>
        <w:pStyle w:val="FootnoteText"/>
      </w:pPr>
      <w:r>
        <w:rPr>
          <w:rStyle w:val="FootnoteReference"/>
        </w:rPr>
        <w:footnoteRef/>
      </w:r>
      <w:r>
        <w:t xml:space="preserve"> </w:t>
      </w:r>
      <w:r>
        <w:t xml:space="preserve">NCT07888595.</w:t>
      </w:r>
    </w:p>
  </w:footnote>
  <w:footnote w:id="2950">
    <w:p>
      <w:pPr>
        <w:pStyle w:val="FootnoteText"/>
      </w:pPr>
      <w:r>
        <w:rPr>
          <w:rStyle w:val="FootnoteReference"/>
        </w:rPr>
        <w:footnoteRef/>
      </w:r>
      <w:r>
        <w:t xml:space="preserve"> </w:t>
      </w:r>
      <w:r>
        <w:t xml:space="preserve">NCT06109649.</w:t>
      </w:r>
    </w:p>
  </w:footnote>
  <w:footnote w:id="2953">
    <w:p>
      <w:pPr>
        <w:pStyle w:val="FootnoteText"/>
      </w:pPr>
      <w:r>
        <w:rPr>
          <w:rStyle w:val="FootnoteReference"/>
        </w:rPr>
        <w:footnoteRef/>
      </w:r>
      <w:r>
        <w:t xml:space="preserve"> </w:t>
      </w:r>
      <w:r>
        <w:t xml:space="preserve">Celletti 2026, PMID 41324410.</w:t>
      </w:r>
    </w:p>
  </w:footnote>
  <w:footnote w:id="2955">
    <w:p>
      <w:pPr>
        <w:pStyle w:val="FootnoteText"/>
      </w:pPr>
      <w:r>
        <w:rPr>
          <w:rStyle w:val="FootnoteReference"/>
        </w:rPr>
        <w:footnoteRef/>
      </w:r>
      <w:r>
        <w:t xml:space="preserve"> </w:t>
      </w:r>
      <w:r>
        <w:t xml:space="preserve">Wilding 2022, PMID 35441470.</w:t>
      </w:r>
    </w:p>
  </w:footnote>
  <w:footnote w:id="2956">
    <w:p>
      <w:pPr>
        <w:pStyle w:val="FootnoteText"/>
      </w:pPr>
      <w:r>
        <w:rPr>
          <w:rStyle w:val="FootnoteReference"/>
        </w:rPr>
        <w:footnoteRef/>
      </w:r>
      <w:r>
        <w:t xml:space="preserve"> </w:t>
      </w:r>
      <w:r>
        <w:t xml:space="preserve">Aronne 2024, PMID 38078870.</w:t>
      </w:r>
    </w:p>
  </w:footnote>
  <w:footnote w:id="2957">
    <w:p>
      <w:pPr>
        <w:pStyle w:val="FootnoteText"/>
      </w:pPr>
      <w:r>
        <w:rPr>
          <w:rStyle w:val="FootnoteReference"/>
        </w:rPr>
        <w:footnoteRef/>
      </w:r>
      <w:r>
        <w:t xml:space="preserve"> </w:t>
      </w:r>
      <w:r>
        <w:t xml:space="preserve">Aronne 2026, PMID 42120723.</w:t>
      </w:r>
    </w:p>
  </w:footnote>
  <w:footnote w:id="2958">
    <w:p>
      <w:pPr>
        <w:pStyle w:val="FootnoteText"/>
      </w:pPr>
      <w:r>
        <w:rPr>
          <w:rStyle w:val="FootnoteReference"/>
        </w:rPr>
        <w:footnoteRef/>
      </w:r>
      <w:r>
        <w:t xml:space="preserve"> </w:t>
      </w:r>
      <w:r>
        <w:t xml:space="preserve">Cengiz 2025, PMID 39950222.</w:t>
      </w:r>
    </w:p>
  </w:footnote>
  <w:footnote w:id="2960">
    <w:p>
      <w:pPr>
        <w:pStyle w:val="FootnoteText"/>
      </w:pPr>
      <w:r>
        <w:rPr>
          <w:rStyle w:val="FootnoteReference"/>
        </w:rPr>
        <w:footnoteRef/>
      </w:r>
      <w:r>
        <w:t xml:space="preserve"> </w:t>
      </w:r>
      <w:r>
        <w:t xml:space="preserve">Celletti 2026, PMID 41324410.</w:t>
      </w:r>
    </w:p>
  </w:footnote>
  <w:footnote w:id="2962">
    <w:p>
      <w:pPr>
        <w:pStyle w:val="FootnoteText"/>
      </w:pPr>
      <w:r>
        <w:rPr>
          <w:rStyle w:val="FootnoteReference"/>
        </w:rPr>
        <w:footnoteRef/>
      </w:r>
      <w:r>
        <w:t xml:space="preserve"> </w:t>
      </w:r>
      <w:r>
        <w:t xml:space="preserve">Rubin 2026, PMID 42853576.</w:t>
      </w:r>
    </w:p>
  </w:footnote>
  <w:footnote w:id="2963">
    <w:p>
      <w:pPr>
        <w:pStyle w:val="FootnoteText"/>
      </w:pPr>
      <w:r>
        <w:rPr>
          <w:rStyle w:val="FootnoteReference"/>
        </w:rPr>
        <w:footnoteRef/>
      </w:r>
      <w:r>
        <w:t xml:space="preserve"> </w:t>
      </w:r>
      <w:r>
        <w:t xml:space="preserve">Belcourt 2026, PMID 41689811.</w:t>
      </w:r>
    </w:p>
  </w:footnote>
  <w:footnote w:id="2964">
    <w:p>
      <w:pPr>
        <w:pStyle w:val="FootnoteText"/>
      </w:pPr>
      <w:r>
        <w:rPr>
          <w:rStyle w:val="FootnoteReference"/>
        </w:rPr>
        <w:footnoteRef/>
      </w:r>
      <w:r>
        <w:t xml:space="preserve"> </w:t>
      </w:r>
      <w:r>
        <w:t xml:space="preserve">Willis 2026, PMID 42752426.</w:t>
      </w:r>
    </w:p>
  </w:footnote>
  <w:footnote w:id="2966">
    <w:p>
      <w:pPr>
        <w:pStyle w:val="FootnoteText"/>
      </w:pPr>
      <w:r>
        <w:rPr>
          <w:rStyle w:val="FootnoteReference"/>
        </w:rPr>
        <w:footnoteRef/>
      </w:r>
      <w:r>
        <w:t xml:space="preserve"> </w:t>
      </w:r>
      <w:r>
        <w:t xml:space="preserve">Wei 2025, PMID 40787887.</w:t>
      </w:r>
    </w:p>
  </w:footnote>
  <w:footnote w:id="2967">
    <w:p>
      <w:pPr>
        <w:pStyle w:val="FootnoteText"/>
      </w:pPr>
      <w:r>
        <w:rPr>
          <w:rStyle w:val="FootnoteReference"/>
        </w:rPr>
        <w:footnoteRef/>
      </w:r>
      <w:r>
        <w:t xml:space="preserve"> </w:t>
      </w:r>
      <w:r>
        <w:t xml:space="preserve">Rettie 2025, PMID 40542165.</w:t>
      </w:r>
    </w:p>
  </w:footnote>
  <w:footnote w:id="2968">
    <w:p>
      <w:pPr>
        <w:pStyle w:val="FootnoteText"/>
      </w:pPr>
      <w:r>
        <w:rPr>
          <w:rStyle w:val="FootnoteReference"/>
        </w:rPr>
        <w:footnoteRef/>
      </w:r>
      <w:r>
        <w:t xml:space="preserve"> </w:t>
      </w:r>
      <w:r>
        <w:t xml:space="preserve">Wang 2025, PMID 39825096.</w:t>
      </w:r>
    </w:p>
  </w:footnote>
  <w:footnote w:id="2969">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2026-10-29T19:05:30Z</dcterms:created>
  <dcterms:modified xsi:type="dcterms:W3CDTF">2026-10-29T19:05:30Z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