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2026-11</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copyright"/>
    <w:p>
      <w:pPr>
        <w:pStyle w:val="Heading1"/>
      </w:pPr>
      <w:r>
        <w:t xml:space="preserve">Copyright</w:t>
      </w:r>
    </w:p>
    <w:p>
      <w:pPr>
        <w:pStyle w:val="FirstParagraph"/>
      </w:pPr>
      <w:r>
        <w:rPr>
          <w:bCs/>
          <w:b/>
        </w:rPr>
        <w:t xml:space="preserve">The Peptide Handbook</w:t>
      </w:r>
      <w:r>
        <w:t xml:space="preserve"> </w:t>
      </w:r>
      <w:r>
        <w:t xml:space="preserve">Every Human Study Compared – Effects, Risks, Legal Status and Outlook</w:t>
      </w:r>
    </w:p>
    <w:p>
      <w:pPr>
        <w:pStyle w:val="BodyText"/>
      </w:pPr>
      <w:r>
        <w:t xml:space="preserve">© 2026 Josef Gallab. All rights reserved.</w:t>
      </w:r>
    </w:p>
    <w:p>
      <w:pPr>
        <w:pStyle w:val="BodyText"/>
      </w:pPr>
      <w:r>
        <w:t xml:space="preserve">First edition. Research status: October/November 2026. Translated from the German original.</w:t>
      </w:r>
    </w:p>
    <w:p>
      <w:pPr>
        <w:pStyle w:val="BodyText"/>
      </w:pPr>
      <w:r>
        <w:t xml:space="preserve">This book is for information only. It does not replace medical advice, diagnosis or treatment</w:t>
      </w:r>
      <w:r>
        <w:t xml:space="preserve"> </w:t>
      </w:r>
      <w:r>
        <w:t xml:space="preserve">and contains no recommendations for use. Many of the substances described are not approved as medicines.</w:t>
      </w:r>
    </w:p>
    <w:p>
      <w:pPr>
        <w:pStyle w:val="BodyText"/>
      </w:pPr>
      <w:r>
        <w:t xml:space="preserve">Cover: Josef Gallab</w:t>
      </w:r>
    </w:p>
    <w:p>
      <w:pPr>
        <w:pStyle w:val="BodyText"/>
      </w:pPr>
      <w:r>
        <w:t xml:space="preserve">Information on approval, legal status and anti-doping status reflects the situation in October/November 2026. It can change at any time – please check for updates before any decision. The sources for every statement are given in the footnotes and in the index of studies.</w:t>
      </w:r>
    </w:p>
    <w:p>
      <w:pPr>
        <w:pStyle w:val="BodyText"/>
      </w:pPr>
      <w:r>
        <w:t xml:space="preserve">No part of this work may be reproduced or distributed without the author’s written permission.</w:t>
      </w:r>
    </w:p>
    <w:bookmarkEnd w:id="20"/>
    <w:bookmarkStart w:id="27" w:name="important-notice"/>
    <w:p>
      <w:pPr>
        <w:pStyle w:val="Heading1"/>
      </w:pPr>
      <w:r>
        <w:t xml:space="preserve">Important Notice</w:t>
      </w:r>
    </w:p>
    <w:bookmarkStart w:id="21" w:name="no-substitute-for-medical-advice"/>
    <w:p>
      <w:pPr>
        <w:pStyle w:val="Heading3"/>
      </w:pPr>
      <w:r>
        <w:t xml:space="preserve">No Substitute for Medical Advice</w:t>
      </w:r>
    </w:p>
    <w:p>
      <w:pPr>
        <w:pStyle w:val="FirstParagraph"/>
      </w:pPr>
      <w:r>
        <w:t xml:space="preserve">This book is intended solely for general information and education. It does not replace medical advice, diagnosis, or treatment. Before you make decisions about your health or start, stop, or change a medication, please talk to a physician or a pharmacist. If you have acute symptoms, contact an emergency medical service or call the emergency number.</w:t>
      </w:r>
    </w:p>
    <w:bookmarkEnd w:id="21"/>
    <w:bookmarkStart w:id="22" w:name="no-recommendations-for-use"/>
    <w:p>
      <w:pPr>
        <w:pStyle w:val="Heading3"/>
      </w:pPr>
      <w:r>
        <w:t xml:space="preserve">No Recommendations for Use</w:t>
      </w:r>
    </w:p>
    <w:p>
      <w:pPr>
        <w:pStyle w:val="FirstParagraph"/>
      </w:pPr>
      <w:r>
        <w:t xml:space="preserve">This book deliberately contains no recommendations on the use of peptides, no dosages, no instructions for taking or injecting them, no usage cycles, and no recommendations for combinations. When a dose is mentioned in the text, it describes only what was investigated in a specific study. It is not a recommendation and cannot be applied to your personal situation. For approved medicines, the summary of product characteristics (prescribing information), the patient leaflet, and medical supervision are authoritative.</w:t>
      </w:r>
    </w:p>
    <w:bookmarkEnd w:id="22"/>
    <w:bookmarkStart w:id="23" w:name="many-substances-are-not-approved"/>
    <w:p>
      <w:pPr>
        <w:pStyle w:val="Heading3"/>
      </w:pPr>
      <w:r>
        <w:t xml:space="preserve">Many Substances Are Not Approved</w:t>
      </w:r>
    </w:p>
    <w:p>
      <w:pPr>
        <w:pStyle w:val="FirstParagraph"/>
      </w:pPr>
      <w:r>
        <w:t xml:space="preserve">Many of the peptides described in this book are</w:t>
      </w:r>
      <w:r>
        <w:t xml:space="preserve"> </w:t>
      </w:r>
      <w:r>
        <w:rPr>
          <w:bCs/>
          <w:b/>
        </w:rPr>
        <w:t xml:space="preserve">not</w:t>
      </w:r>
      <w:r>
        <w:t xml:space="preserve"> </w:t>
      </w:r>
      <w:r>
        <w:t xml:space="preserve">approved as medicines in the European Union, in Austria, in Germany, or in the USA. For many of them, only animal or laboratory studies are available. The presentation of such substances in this book is not a statement about their efficacy or safety in humans and is not an invitation to use them. Products offered on the internet as</w:t>
      </w:r>
      <w:r>
        <w:t xml:space="preserve"> </w:t>
      </w:r>
      <w:r>
        <w:t xml:space="preserve">“</w:t>
      </w:r>
      <w:r>
        <w:t xml:space="preserve">research peptides</w:t>
      </w:r>
      <w:r>
        <w:t xml:space="preserve">”</w:t>
      </w:r>
      <w:r>
        <w:t xml:space="preserve"> </w:t>
      </w:r>
      <w:r>
        <w:t xml:space="preserve">or</w:t>
      </w:r>
      <w:r>
        <w:t xml:space="preserve"> </w:t>
      </w:r>
      <w:r>
        <w:t xml:space="preserve">“</w:t>
      </w:r>
      <w:r>
        <w:t xml:space="preserve">for research purposes only</w:t>
      </w:r>
      <w:r>
        <w:t xml:space="preserve">”</w:t>
      </w:r>
      <w:r>
        <w:t xml:space="preserve"> </w:t>
      </w:r>
      <w:r>
        <w:t xml:space="preserve">may be incorrectly dosed, contaminated, or counterfeit. Using them can have serious health and legal consequences.</w:t>
      </w:r>
    </w:p>
    <w:bookmarkEnd w:id="23"/>
    <w:bookmarkStart w:id="24" w:name="doping"/>
    <w:p>
      <w:pPr>
        <w:pStyle w:val="Heading3"/>
      </w:pPr>
      <w:r>
        <w:t xml:space="preserve">Doping</w:t>
      </w:r>
    </w:p>
    <w:p>
      <w:pPr>
        <w:pStyle w:val="FirstParagraph"/>
      </w:pPr>
      <w:r>
        <w:t xml:space="preserve">Many of the peptides described are on the Prohibited List of the World Anti-Doping Agency (WADA). For athletes who are subject to doping controls, their use can lead to suspensions. In Austria and Germany, trafficking, passing on, and in certain cases even possessing doping substances can be a criminal offense.</w:t>
      </w:r>
    </w:p>
    <w:bookmarkEnd w:id="24"/>
    <w:bookmarkStart w:id="25" w:name="currency-and-disclaimer"/>
    <w:p>
      <w:pPr>
        <w:pStyle w:val="Heading3"/>
      </w:pPr>
      <w:r>
        <w:t xml:space="preserve">Currency and Disclaimer</w:t>
      </w:r>
    </w:p>
    <w:p>
      <w:pPr>
        <w:pStyle w:val="FirstParagraph"/>
      </w:pPr>
      <w:r>
        <w:t xml:space="preserve">The information in this book reflects the</w:t>
      </w:r>
      <w:r>
        <w:t xml:space="preserve"> </w:t>
      </w:r>
      <w:r>
        <w:rPr>
          <w:bCs/>
          <w:b/>
        </w:rPr>
        <w:t xml:space="preserve">status as of November 2026</w:t>
      </w:r>
      <w:r>
        <w:t xml:space="preserve">. The database research was carried out in October 2026. Medical knowledge, approvals, laws, and anti-doping regulations change constantly. All information has been compiled to the best of our knowledge and with great care, but no guarantee is given for its accuracy, completeness, or currency. The author accepts no liability for damages arising from the use of the information in this book, to the extent permitted by law. The presentation of the legal situation does not constitute legal advice.</w:t>
      </w:r>
    </w:p>
    <w:bookmarkEnd w:id="25"/>
    <w:bookmarkStart w:id="26" w:name="transparency-how-this-book-was-created"/>
    <w:p>
      <w:pPr>
        <w:pStyle w:val="Heading3"/>
      </w:pPr>
      <w:r>
        <w:t xml:space="preserve">Transparency: How This Book Was Created</w:t>
      </w:r>
    </w:p>
    <w:p>
      <w:pPr>
        <w:pStyle w:val="FirstParagraph"/>
      </w:pPr>
      <w:r>
        <w:t xml:space="preserve">This book was researched and written with the support of artificial intelligence (AI) and subsequently revised by the author. The AI was used to search for studies in the PubMed and ClinicalTrials.gov databases, to evaluate study summaries, and to produce draft texts.</w:t>
      </w:r>
    </w:p>
    <w:p>
      <w:pPr>
        <w:pStyle w:val="BodyText"/>
      </w:pPr>
      <w:r>
        <w:t xml:space="preserve">To avoid errors, strict rules apply: Every study mentioned is cited with its PubMed number (PMID) or its ClinicalTrials.gov registry number (NCT number). Every figure comes from the summary of the respective publication or from the registry entry. All cited numbers were additionally checked automatically against the databases. This allows you to look up every source yourself and verify the information. How to do this is explained in the following section; details on the research can be found in the appendix</w:t>
      </w:r>
      <w:r>
        <w:t xml:space="preserve"> </w:t>
      </w:r>
      <w:r>
        <w:t xml:space="preserve">“</w:t>
      </w:r>
      <w:r>
        <w:t xml:space="preserve">Methodology.</w:t>
      </w:r>
      <w:r>
        <w:t xml:space="preserve">”</w:t>
      </w:r>
    </w:p>
    <w:bookmarkEnd w:id="26"/>
    <w:bookmarkEnd w:id="27"/>
    <w:bookmarkStart w:id="36" w:name="about-this-book"/>
    <w:p>
      <w:pPr>
        <w:pStyle w:val="Heading1"/>
      </w:pPr>
      <w:r>
        <w:t xml:space="preserve">About This Book</w:t>
      </w:r>
    </w:p>
    <w:bookmarkStart w:id="28" w:name="what-this-book-is-for"/>
    <w:p>
      <w:pPr>
        <w:pStyle w:val="Heading3"/>
      </w:pPr>
      <w:r>
        <w:t xml:space="preserve">What This Book Is For</w:t>
      </w:r>
    </w:p>
    <w:p>
      <w:pPr>
        <w:pStyle w:val="FirstParagraph"/>
      </w:pPr>
      <w:r>
        <w:t xml:space="preserve">Peptides are on everyone’s lips. Weight-loss injections such as semaglutide and tirzepatide have changed the treatment of overweight, and dozens of other peptides are offered on the internet – for faster healing, more muscle, better skin, more energy, or a longer life. Between the promises made in forums, on social media, and in online shops and what has actually been studied in humans, there is often a wide gap.</w:t>
      </w:r>
    </w:p>
    <w:p>
      <w:pPr>
        <w:pStyle w:val="BodyText"/>
      </w:pPr>
      <w:r>
        <w:t xml:space="preserve">This book aims to make this gap visible. For each peptide covered, it sets out soberly which human studies exist, what they show and what they do not, which risks are known, and what the legal situation is. It compares the peptides with one another and assesses how robust the evidence is in each case. It is meant to help you critically examine claims and have informed conversations with physicians and pharmacies.</w:t>
      </w:r>
    </w:p>
    <w:bookmarkEnd w:id="28"/>
    <w:bookmarkStart w:id="29" w:name="who-this-book-is-written-for"/>
    <w:p>
      <w:pPr>
        <w:pStyle w:val="Heading3"/>
      </w:pPr>
      <w:r>
        <w:t xml:space="preserve">Who This Book Is Written For</w:t>
      </w:r>
    </w:p>
    <w:p>
      <w:pPr>
        <w:numPr>
          <w:ilvl w:val="0"/>
          <w:numId w:val="1001"/>
        </w:numPr>
        <w:pStyle w:val="Compact"/>
      </w:pPr>
      <w:r>
        <w:t xml:space="preserve">For</w:t>
      </w:r>
      <w:r>
        <w:t xml:space="preserve"> </w:t>
      </w:r>
      <w:r>
        <w:rPr>
          <w:bCs/>
          <w:b/>
        </w:rPr>
        <w:t xml:space="preserve">interested lay readers</w:t>
      </w:r>
      <w:r>
        <w:t xml:space="preserve"> </w:t>
      </w:r>
      <w:r>
        <w:t xml:space="preserve">who want to know what lies behind the peptide boom.</w:t>
      </w:r>
    </w:p>
    <w:p>
      <w:pPr>
        <w:numPr>
          <w:ilvl w:val="0"/>
          <w:numId w:val="1001"/>
        </w:numPr>
        <w:pStyle w:val="Compact"/>
      </w:pPr>
      <w:r>
        <w:t xml:space="preserve">For people who have been prescribed an</w:t>
      </w:r>
      <w:r>
        <w:t xml:space="preserve"> </w:t>
      </w:r>
      <w:r>
        <w:rPr>
          <w:bCs/>
          <w:b/>
        </w:rPr>
        <w:t xml:space="preserve">approved peptide medication</w:t>
      </w:r>
      <w:r>
        <w:t xml:space="preserve"> </w:t>
      </w:r>
      <w:r>
        <w:t xml:space="preserve">or are considering one and want to understand the evidence.</w:t>
      </w:r>
    </w:p>
    <w:p>
      <w:pPr>
        <w:numPr>
          <w:ilvl w:val="0"/>
          <w:numId w:val="1001"/>
        </w:numPr>
        <w:pStyle w:val="Compact"/>
      </w:pPr>
      <w:r>
        <w:t xml:space="preserve">For</w:t>
      </w:r>
      <w:r>
        <w:t xml:space="preserve"> </w:t>
      </w:r>
      <w:r>
        <w:rPr>
          <w:bCs/>
          <w:b/>
        </w:rPr>
        <w:t xml:space="preserve">athletes</w:t>
      </w:r>
      <w:r>
        <w:t xml:space="preserve"> </w:t>
      </w:r>
      <w:r>
        <w:t xml:space="preserve">and coaches who want to assess advertising claims and doping risks.</w:t>
      </w:r>
    </w:p>
    <w:p>
      <w:pPr>
        <w:numPr>
          <w:ilvl w:val="0"/>
          <w:numId w:val="1001"/>
        </w:numPr>
        <w:pStyle w:val="Compact"/>
      </w:pPr>
      <w:r>
        <w:t xml:space="preserve">For</w:t>
      </w:r>
      <w:r>
        <w:t xml:space="preserve"> </w:t>
      </w:r>
      <w:r>
        <w:rPr>
          <w:bCs/>
          <w:b/>
        </w:rPr>
        <w:t xml:space="preserve">professionals</w:t>
      </w:r>
      <w:r>
        <w:t xml:space="preserve"> </w:t>
      </w:r>
      <w:r>
        <w:t xml:space="preserve">in pharmacy, medicine, nutrition counseling, cosmetics, and journalism who are looking for a quick, source-based overview.</w:t>
      </w:r>
    </w:p>
    <w:p>
      <w:pPr>
        <w:pStyle w:val="FirstParagraph"/>
      </w:pPr>
      <w:r>
        <w:t xml:space="preserve">No prior knowledge is required. Technical terms are explained when they first appear and are also listed in the glossary.</w:t>
      </w:r>
    </w:p>
    <w:bookmarkEnd w:id="29"/>
    <w:bookmarkStart w:id="30" w:name="how-the-book-is-structured"/>
    <w:p>
      <w:pPr>
        <w:pStyle w:val="Heading3"/>
      </w:pPr>
      <w:r>
        <w:t xml:space="preserve">How the Book Is Structured</w:t>
      </w:r>
    </w:p>
    <w:p>
      <w:pPr>
        <w:pStyle w:val="FirstParagraph"/>
      </w:pPr>
      <w:r>
        <w:rPr>
          <w:bCs/>
          <w:b/>
        </w:rPr>
        <w:t xml:space="preserve">Part I – Fundamentals</w:t>
      </w:r>
      <w:r>
        <w:t xml:space="preserve"> </w:t>
      </w:r>
      <w:r>
        <w:t xml:space="preserve">explains what peptides are, how peptide medicine has developed, how peptides get into the body, how to read studies, what happens on the gray market, and which legal framework applies. If you are not familiar with these topics, you should start here.</w:t>
      </w:r>
    </w:p>
    <w:p>
      <w:pPr>
        <w:pStyle w:val="BodyText"/>
      </w:pPr>
      <w:r>
        <w:rPr>
          <w:bCs/>
          <w:b/>
        </w:rPr>
        <w:t xml:space="preserve">Part II – The Peptides</w:t>
      </w:r>
      <w:r>
        <w:t xml:space="preserve"> </w:t>
      </w:r>
      <w:r>
        <w:t xml:space="preserve">presents the individual substances in six groups: metabolism and weight; healing, regeneration, and the immune system; the growth hormone axis; brain, sleep, and longevity; hormones, sexuality, and pigmentation; collagen, nutrition, and cosmetics. Each chapter follows the same structure: profile, mechanism of action, human studies, animal and laboratory studies, risks and side effects, legal status, ongoing studies and outlook, conclusion. This makes it easy for you to compare peptides with one another and to look things up in a targeted way.</w:t>
      </w:r>
    </w:p>
    <w:p>
      <w:pPr>
        <w:pStyle w:val="BodyText"/>
      </w:pPr>
      <w:r>
        <w:rPr>
          <w:bCs/>
          <w:b/>
        </w:rPr>
        <w:t xml:space="preserve">Part III – The Big Comparison</w:t>
      </w:r>
      <w:r>
        <w:t xml:space="preserve"> </w:t>
      </w:r>
      <w:r>
        <w:t xml:space="preserve">places all peptides side by side and compares the GLP-1 medications directly.</w:t>
      </w:r>
    </w:p>
    <w:p>
      <w:pPr>
        <w:pStyle w:val="BodyText"/>
      </w:pPr>
      <w:r>
        <w:rPr>
          <w:bCs/>
          <w:b/>
        </w:rPr>
        <w:t xml:space="preserve">Part IV – Risks</w:t>
      </w:r>
      <w:r>
        <w:t xml:space="preserve"> </w:t>
      </w:r>
      <w:r>
        <w:t xml:space="preserve">summarizes side effects, cancer and immune risks, problems with gray-market products, and special risk groups.</w:t>
      </w:r>
    </w:p>
    <w:p>
      <w:pPr>
        <w:pStyle w:val="BodyText"/>
      </w:pPr>
      <w:r>
        <w:rPr>
          <w:bCs/>
          <w:b/>
        </w:rPr>
        <w:t xml:space="preserve">Part V – The Future</w:t>
      </w:r>
      <w:r>
        <w:t xml:space="preserve"> </w:t>
      </w:r>
      <w:r>
        <w:t xml:space="preserve">looks at the development pipeline, new dosage forms, patent expirations, and prices. Established facts and assessments are clearly separated.</w:t>
      </w:r>
    </w:p>
    <w:p>
      <w:pPr>
        <w:pStyle w:val="BodyText"/>
      </w:pPr>
      <w:r>
        <w:t xml:space="preserve">In the</w:t>
      </w:r>
      <w:r>
        <w:t xml:space="preserve"> </w:t>
      </w:r>
      <w:r>
        <w:rPr>
          <w:bCs/>
          <w:b/>
        </w:rPr>
        <w:t xml:space="preserve">appendix</w:t>
      </w:r>
      <w:r>
        <w:t xml:space="preserve"> </w:t>
      </w:r>
      <w:r>
        <w:t xml:space="preserve">you will find the glossary, the research methodology, and the index of the studies evaluated.</w:t>
      </w:r>
    </w:p>
    <w:bookmarkEnd w:id="30"/>
    <w:bookmarkStart w:id="31" w:name="the-evidence-levels"/>
    <w:p>
      <w:pPr>
        <w:pStyle w:val="Heading3"/>
      </w:pPr>
      <w:r>
        <w:t xml:space="preserve">The Evidence Levels</w:t>
      </w:r>
    </w:p>
    <w:p>
      <w:pPr>
        <w:pStyle w:val="FirstParagraph"/>
      </w:pPr>
      <w:r>
        <w:t xml:space="preserve">Each peptide is assigned an evidence level in its profile. It describes how good the data are</w:t>
      </w:r>
      <w:r>
        <w:t xml:space="preserve"> </w:t>
      </w:r>
      <w:r>
        <w:rPr>
          <w:bCs/>
          <w:b/>
        </w:rPr>
        <w:t xml:space="preserve">in humans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Meaning</w:t>
            </w:r>
          </w:p>
        </w:tc>
      </w:tr>
      <w:tr>
        <w:tc>
          <w:tcPr/>
          <w:p>
            <w:pPr>
              <w:pStyle w:val="Compact"/>
              <w:jc w:val="left"/>
            </w:pPr>
            <w:r>
              <w:t xml:space="preserve">A</w:t>
            </w:r>
          </w:p>
        </w:tc>
        <w:tc>
          <w:tcPr/>
          <w:p>
            <w:pPr>
              <w:pStyle w:val="Compact"/>
              <w:jc w:val="left"/>
            </w:pPr>
            <w:r>
              <w:t xml:space="preserve">several large randomized studies in humans, approval as a medicine</w:t>
            </w:r>
          </w:p>
        </w:tc>
      </w:tr>
      <w:tr>
        <w:tc>
          <w:tcPr/>
          <w:p>
            <w:pPr>
              <w:pStyle w:val="Compact"/>
              <w:jc w:val="left"/>
            </w:pPr>
            <w:r>
              <w:t xml:space="preserve">B</w:t>
            </w:r>
          </w:p>
        </w:tc>
        <w:tc>
          <w:tcPr/>
          <w:p>
            <w:pPr>
              <w:pStyle w:val="Compact"/>
              <w:jc w:val="left"/>
            </w:pPr>
            <w:r>
              <w:t xml:space="preserve">individual randomized studies in humans</w:t>
            </w:r>
          </w:p>
        </w:tc>
      </w:tr>
      <w:tr>
        <w:tc>
          <w:tcPr/>
          <w:p>
            <w:pPr>
              <w:pStyle w:val="Compact"/>
              <w:jc w:val="left"/>
            </w:pPr>
            <w:r>
              <w:t xml:space="preserve">C</w:t>
            </w:r>
          </w:p>
        </w:tc>
        <w:tc>
          <w:tcPr/>
          <w:p>
            <w:pPr>
              <w:pStyle w:val="Compact"/>
              <w:jc w:val="left"/>
            </w:pPr>
            <w:r>
              <w:t xml:space="preserve">only small or uncontrolled studies in humans</w:t>
            </w:r>
          </w:p>
        </w:tc>
      </w:tr>
      <w:tr>
        <w:tc>
          <w:tcPr/>
          <w:p>
            <w:pPr>
              <w:pStyle w:val="Compact"/>
              <w:jc w:val="left"/>
            </w:pPr>
            <w:r>
              <w:t xml:space="preserve">D</w:t>
            </w:r>
          </w:p>
        </w:tc>
        <w:tc>
          <w:tcPr/>
          <w:p>
            <w:pPr>
              <w:pStyle w:val="Compact"/>
              <w:jc w:val="left"/>
            </w:pPr>
            <w:r>
              <w:t xml:space="preserve">only animal and laboratory studies</w:t>
            </w:r>
          </w:p>
        </w:tc>
      </w:tr>
    </w:tbl>
    <w:p>
      <w:pPr>
        <w:pStyle w:val="BodyText"/>
      </w:pPr>
      <w:r>
        <w:t xml:space="preserve">The evidence level is not a recommendation and not a statement about whether a substance is safe. Even a substance at level A has side effects, and a substance at level D is not necessarily ineffective – it simply has not yet been adequately studied in humans. What lies behind the terms</w:t>
      </w:r>
      <w:r>
        <w:t xml:space="preserve"> </w:t>
      </w:r>
      <w:r>
        <w:t xml:space="preserve">“</w:t>
      </w:r>
      <w:r>
        <w:t xml:space="preserve">randomized,</w:t>
      </w:r>
      <w:r>
        <w:t xml:space="preserve">”</w:t>
      </w:r>
      <w:r>
        <w:t xml:space="preserve"> </w:t>
      </w:r>
      <w:r>
        <w:t xml:space="preserve">“</w:t>
      </w:r>
      <w:r>
        <w:t xml:space="preserve">controlled,</w:t>
      </w:r>
      <w:r>
        <w:t xml:space="preserve">”</w:t>
      </w:r>
      <w:r>
        <w:t xml:space="preserve"> </w:t>
      </w:r>
      <w:r>
        <w:t xml:space="preserve">or</w:t>
      </w:r>
      <w:r>
        <w:t xml:space="preserve"> </w:t>
      </w:r>
      <w:r>
        <w:t xml:space="preserve">“</w:t>
      </w:r>
      <w:r>
        <w:t xml:space="preserve">surrogate endpoint</w:t>
      </w:r>
      <w:r>
        <w:t xml:space="preserve">”</w:t>
      </w:r>
      <w:r>
        <w:t xml:space="preserve"> </w:t>
      </w:r>
      <w:r>
        <w:t xml:space="preserve">is explained in the chapter</w:t>
      </w:r>
      <w:r>
        <w:t xml:space="preserve"> </w:t>
      </w:r>
      <w:r>
        <w:t xml:space="preserve">“</w:t>
      </w:r>
      <w:r>
        <w:t xml:space="preserve">Reading Studies Correctly.</w:t>
      </w:r>
      <w:r>
        <w:t xml:space="preserve">”</w:t>
      </w:r>
    </w:p>
    <w:bookmarkEnd w:id="31"/>
    <w:bookmarkStart w:id="32" w:name="how-sources-are-cited"/>
    <w:p>
      <w:pPr>
        <w:pStyle w:val="Heading3"/>
      </w:pPr>
      <w:r>
        <w:t xml:space="preserve">How Sources Are Cited</w:t>
      </w:r>
    </w:p>
    <w:p>
      <w:pPr>
        <w:pStyle w:val="FirstParagraph"/>
      </w:pPr>
      <w:r>
        <w:t xml:space="preserve">To keep the text readable, sources are given in footnotes. In the e-book a small superscript number appears at the relevant point; tapping it shows the source. Each footnote names the first author, the year of publication and the PubMed number, for example: Wilding 2021, PMID 33567185.</w:t>
      </w:r>
    </w:p>
    <w:p>
      <w:pPr>
        <w:pStyle w:val="BodyText"/>
      </w:pPr>
      <w:r>
        <w:t xml:space="preserve">Registered studies, especially ongoing ones, are given with their number in the US trial registry ClinicalTrials.gov, for example NCT03548935. In tables, sources appear directly in the first column.</w:t>
      </w:r>
    </w:p>
    <w:p>
      <w:pPr>
        <w:pStyle w:val="BodyText"/>
      </w:pPr>
      <w:r>
        <w:t xml:space="preserve">The footnotes are collected at the end of each chapter; the complete index of studies is in the appendix.</w:t>
      </w:r>
    </w:p>
    <w:bookmarkEnd w:id="32"/>
    <w:bookmarkStart w:id="33" w:name="how-to-look-up-a-source"/>
    <w:p>
      <w:pPr>
        <w:pStyle w:val="Heading3"/>
      </w:pPr>
      <w:r>
        <w:t xml:space="preserve">How to Look Up a Source</w:t>
      </w:r>
    </w:p>
    <w:p>
      <w:pPr>
        <w:pStyle w:val="FirstParagraph"/>
      </w:pPr>
      <w:r>
        <w:rPr>
          <w:bCs/>
          <w:b/>
        </w:rPr>
        <w:t xml:space="preserve">PMID</w:t>
      </w:r>
      <w:r>
        <w:t xml:space="preserve">: The PubMed identifier is a unique number for each entry in PubMed, the freely accessible literature database of the US National Library of Medicine.</w:t>
      </w:r>
    </w:p>
    <w:p>
      <w:pPr>
        <w:numPr>
          <w:ilvl w:val="0"/>
          <w:numId w:val="1002"/>
        </w:numPr>
        <w:pStyle w:val="Compact"/>
      </w:pPr>
      <w:r>
        <w:t xml:space="preserve">Open the page pubmed.ncbi.nlm.nih.gov in your browser.</w:t>
      </w:r>
    </w:p>
    <w:p>
      <w:pPr>
        <w:numPr>
          <w:ilvl w:val="0"/>
          <w:numId w:val="1002"/>
        </w:numPr>
        <w:pStyle w:val="Compact"/>
      </w:pPr>
      <w:r>
        <w:t xml:space="preserve">Enter the number in the search field, for example 33567185, and start the search.</w:t>
      </w:r>
    </w:p>
    <w:p>
      <w:pPr>
        <w:numPr>
          <w:ilvl w:val="0"/>
          <w:numId w:val="1002"/>
        </w:numPr>
        <w:pStyle w:val="Compact"/>
      </w:pPr>
      <w:r>
        <w:t xml:space="preserve">You will be taken directly to the entry with the title, authors, journal, and usually a summary (abstract).</w:t>
      </w:r>
    </w:p>
    <w:p>
      <w:pPr>
        <w:pStyle w:val="FirstParagraph"/>
      </w:pPr>
      <w:r>
        <w:t xml:space="preserve">Alternatively, you can append the number directly to the address: pubmed.ncbi.nlm.nih.gov/33567185. Many entries contain a link to the full text, which is sometimes freely available and sometimes available only for a fee.</w:t>
      </w:r>
    </w:p>
    <w:p>
      <w:pPr>
        <w:pStyle w:val="BodyText"/>
      </w:pPr>
      <w:r>
        <w:rPr>
          <w:bCs/>
          <w:b/>
        </w:rPr>
        <w:t xml:space="preserve">NCT number</w:t>
      </w:r>
      <w:r>
        <w:t xml:space="preserve">: You can find registered studies on clinicaltrials.gov by entering the number in the search field or appending it to the address clinicaltrials.gov/study/, for example clinicaltrials.gov/study/NCT03548935. There you will see the study design, number of participants, endpoints, and current status.</w:t>
      </w:r>
    </w:p>
    <w:bookmarkEnd w:id="33"/>
    <w:bookmarkStart w:id="34" w:name="X1cd777e868272124a957b96de52307e7f168d3e"/>
    <w:p>
      <w:pPr>
        <w:pStyle w:val="Heading3"/>
      </w:pPr>
      <w:r>
        <w:t xml:space="preserve">What This Book Deliberately Does Not Contain</w:t>
      </w:r>
    </w:p>
    <w:p>
      <w:pPr>
        <w:numPr>
          <w:ilvl w:val="0"/>
          <w:numId w:val="1003"/>
        </w:numPr>
        <w:pStyle w:val="Compact"/>
      </w:pPr>
      <w:r>
        <w:rPr>
          <w:bCs/>
          <w:b/>
        </w:rPr>
        <w:t xml:space="preserve">No dosages or instructions for use.</w:t>
      </w:r>
      <w:r>
        <w:t xml:space="preserve"> </w:t>
      </w:r>
      <w:r>
        <w:t xml:space="preserve">There is no information on how much, how often, or for how long a peptide should be used, no instructions for reconstituting or injecting, and no combinations of several substances. For approved medicines, the book refers to the prescribing information and medical supervision.</w:t>
      </w:r>
    </w:p>
    <w:p>
      <w:pPr>
        <w:numPr>
          <w:ilvl w:val="0"/>
          <w:numId w:val="1003"/>
        </w:numPr>
        <w:pStyle w:val="Compact"/>
      </w:pPr>
      <w:r>
        <w:rPr>
          <w:bCs/>
          <w:b/>
        </w:rPr>
        <w:t xml:space="preserve">No sources of supply.</w:t>
      </w:r>
      <w:r>
        <w:t xml:space="preserve"> </w:t>
      </w:r>
      <w:r>
        <w:t xml:space="preserve">No shops, manufacturers, pharmacies, or countries where peptides can be purchased are named, and no hints are given on how to circumvent controls.</w:t>
      </w:r>
    </w:p>
    <w:p>
      <w:pPr>
        <w:numPr>
          <w:ilvl w:val="0"/>
          <w:numId w:val="1003"/>
        </w:numPr>
        <w:pStyle w:val="Compact"/>
      </w:pPr>
      <w:r>
        <w:rPr>
          <w:bCs/>
          <w:b/>
        </w:rPr>
        <w:t xml:space="preserve">No promises of cures.</w:t>
      </w:r>
      <w:r>
        <w:t xml:space="preserve"> </w:t>
      </w:r>
      <w:r>
        <w:t xml:space="preserve">The book reports what was observed in studies – not what a substance will do for you.</w:t>
      </w:r>
    </w:p>
    <w:p>
      <w:pPr>
        <w:numPr>
          <w:ilvl w:val="0"/>
          <w:numId w:val="1003"/>
        </w:numPr>
        <w:pStyle w:val="Compact"/>
      </w:pPr>
      <w:r>
        <w:rPr>
          <w:bCs/>
          <w:b/>
        </w:rPr>
        <w:t xml:space="preserve">No product recommendations.</w:t>
      </w:r>
      <w:r>
        <w:t xml:space="preserve"> </w:t>
      </w:r>
      <w:r>
        <w:t xml:space="preserve">Neither brands nor suppliers are recommended. Brand names of approved medicines are mentioned only when they are necessary for understanding.</w:t>
      </w:r>
    </w:p>
    <w:bookmarkEnd w:id="34"/>
    <w:bookmarkStart w:id="35" w:name="a-final-word"/>
    <w:p>
      <w:pPr>
        <w:pStyle w:val="Heading3"/>
      </w:pPr>
      <w:r>
        <w:t xml:space="preserve">A Final Word</w:t>
      </w:r>
    </w:p>
    <w:p>
      <w:pPr>
        <w:pStyle w:val="FirstParagraph"/>
      </w:pPr>
      <w:r>
        <w:t xml:space="preserve">This book is a tool for reflection, not a guide to self-treatment. If you have more questions after reading it than before, that is not a bad sign: often the most honest answer to the question</w:t>
      </w:r>
      <w:r>
        <w:t xml:space="preserve"> </w:t>
      </w:r>
      <w:r>
        <w:t xml:space="preserve">“</w:t>
      </w:r>
      <w:r>
        <w:t xml:space="preserve">Does this peptide work?</w:t>
      </w:r>
      <w:r>
        <w:t xml:space="preserve">”</w:t>
      </w:r>
      <w:r>
        <w:t xml:space="preserve"> </w:t>
      </w:r>
      <w:r>
        <w:t xml:space="preserve">is</w:t>
      </w:r>
      <w:r>
        <w:t xml:space="preserve"> </w:t>
      </w:r>
      <w:r>
        <w:t xml:space="preserve">“</w:t>
      </w:r>
      <w:r>
        <w:t xml:space="preserve">Nobody knows yet.</w:t>
      </w:r>
      <w:r>
        <w:t xml:space="preserve">”</w:t>
      </w:r>
    </w:p>
    <w:bookmarkEnd w:id="35"/>
    <w:bookmarkEnd w:id="36"/>
    <w:bookmarkStart w:id="230" w:name="part-i-fundamentals"/>
    <w:p>
      <w:pPr>
        <w:pStyle w:val="Heading1"/>
      </w:pPr>
      <w:r>
        <w:t xml:space="preserve">Part I – Fundamentals</w:t>
      </w:r>
    </w:p>
    <w:p>
      <w:pPr>
        <w:pStyle w:val="FirstParagraph"/>
      </w:pPr>
      <w:r>
        <w:t xml:space="preserve">Before Part II turns to individual substances, this part lays the foundation. You will learn what a peptide actually is chemically, how an extract from dog pancreases became one of the world’s highest-grossing groups of medicines within a century, why most peptides have to be injected, how to read a study without being misled by headlines, what is actually in the vials on the gray market, and which legal rules apply.</w:t>
      </w:r>
    </w:p>
    <w:p>
      <w:pPr>
        <w:pStyle w:val="BodyText"/>
      </w:pPr>
      <w:r>
        <w:t xml:space="preserve">If you only want to look up a specific peptide, you can jump straight to Part II. However, the chapters in this part explain the terms and standards that are used constantly there – such as</w:t>
      </w:r>
      <w:r>
        <w:t xml:space="preserve"> </w:t>
      </w:r>
      <w:r>
        <w:t xml:space="preserve">“</w:t>
      </w:r>
      <w:r>
        <w:t xml:space="preserve">randomized,</w:t>
      </w:r>
      <w:r>
        <w:t xml:space="preserve">”</w:t>
      </w:r>
      <w:r>
        <w:t xml:space="preserve"> </w:t>
      </w:r>
      <w:r>
        <w:t xml:space="preserve">“</w:t>
      </w:r>
      <w:r>
        <w:t xml:space="preserve">surrogate endpoint,</w:t>
      </w:r>
      <w:r>
        <w:t xml:space="preserve">”</w:t>
      </w:r>
      <w:r>
        <w:t xml:space="preserve"> </w:t>
      </w:r>
      <w:r>
        <w:t xml:space="preserve">“</w:t>
      </w:r>
      <w:r>
        <w:t xml:space="preserve">evidence level B,</w:t>
      </w:r>
      <w:r>
        <w:t xml:space="preserve">”</w:t>
      </w:r>
      <w:r>
        <w:t xml:space="preserve"> </w:t>
      </w:r>
      <w:r>
        <w:t xml:space="preserve">or</w:t>
      </w:r>
      <w:r>
        <w:t xml:space="preserve"> </w:t>
      </w:r>
      <w:r>
        <w:t xml:space="preserve">“</w:t>
      </w:r>
      <w:r>
        <w:t xml:space="preserve">research peptide.</w:t>
      </w:r>
      <w:r>
        <w:t xml:space="preserve">”</w:t>
      </w:r>
      <w:r>
        <w:t xml:space="preserve"> </w:t>
      </w:r>
      <w:r>
        <w:t xml:space="preserve">A brief look is therefore worthwhile even for readers in a hurry.</w:t>
      </w:r>
    </w:p>
    <w:bookmarkStart w:id="62" w:name="what-peptides-are-and-what-they-are-not"/>
    <w:p>
      <w:pPr>
        <w:pStyle w:val="Heading2"/>
      </w:pPr>
      <w:r>
        <w:t xml:space="preserve">What Peptides Are – and What They Are Not</w:t>
      </w:r>
    </w:p>
    <w:p>
      <w:pPr>
        <w:pStyle w:val="FirstParagraph"/>
      </w:pPr>
      <w:r>
        <w:t xml:space="preserve">The word</w:t>
      </w:r>
      <w:r>
        <w:t xml:space="preserve"> </w:t>
      </w:r>
      <w:r>
        <w:t xml:space="preserve">“</w:t>
      </w:r>
      <w:r>
        <w:t xml:space="preserve">peptide</w:t>
      </w:r>
      <w:r>
        <w:t xml:space="preserve">”</w:t>
      </w:r>
      <w:r>
        <w:t xml:space="preserve"> </w:t>
      </w:r>
      <w:r>
        <w:t xml:space="preserve">has had a remarkable career in recent years. It appears on skin creams and protein powders, in advertisements for weight-loss injections, and in online forums where</w:t>
      </w:r>
      <w:r>
        <w:t xml:space="preserve"> </w:t>
      </w:r>
      <w:r>
        <w:t xml:space="preserve">“</w:t>
      </w:r>
      <w:r>
        <w:t xml:space="preserve">healing peptides</w:t>
      </w:r>
      <w:r>
        <w:t xml:space="preserve">”</w:t>
      </w:r>
      <w:r>
        <w:t xml:space="preserve"> </w:t>
      </w:r>
      <w:r>
        <w:t xml:space="preserve">are discussed. Yet the term initially refers only to a particular chemical structure – nothing more and nothing less. It says nothing about whether a substance works, whether it is safe, or whether it even gets into the body. This chapter clarifies the basic terms and clears up some common misconceptions.</w:t>
      </w:r>
    </w:p>
    <w:bookmarkStart w:id="37" w:name="amino-acids-the-building-blocks"/>
    <w:p>
      <w:pPr>
        <w:pStyle w:val="Heading3"/>
      </w:pPr>
      <w:r>
        <w:t xml:space="preserve">Amino Acids: The Building Blocks</w:t>
      </w:r>
    </w:p>
    <w:p>
      <w:pPr>
        <w:pStyle w:val="FirstParagraph"/>
      </w:pPr>
      <w:r>
        <w:t xml:space="preserve">All peptides and proteins are made of amino acids. An amino acid is a small molecule with two characteristic components: an amino group (it contains nitrogen) and an acid group (carboxyl group). Between them sits a central carbon atom to which a so-called side chain is attached. This side chain distinguishes the amino acids from one another: it can be small and inconspicuous, as in glycine; oily and water-repellent, as in leucine; electrically charged, as in lysine; or sulfur-containing, as in cysteine.</w:t>
      </w:r>
    </w:p>
    <w:p>
      <w:pPr>
        <w:pStyle w:val="BodyText"/>
      </w:pPr>
      <w:r>
        <w:t xml:space="preserve">The human body builds its proteins essentially from 20 standard amino acids. It can produce some of them itself; others – the</w:t>
      </w:r>
      <w:r>
        <w:t xml:space="preserve"> </w:t>
      </w:r>
      <w:r>
        <w:t xml:space="preserve">“</w:t>
      </w:r>
      <w:r>
        <w:t xml:space="preserve">essential</w:t>
      </w:r>
      <w:r>
        <w:t xml:space="preserve">”</w:t>
      </w:r>
      <w:r>
        <w:t xml:space="preserve"> </w:t>
      </w:r>
      <w:r>
        <w:t xml:space="preserve">amino acids – must be obtained from food. In addition, there are hundreds of other amino acids that occur in nature or are produced in the laboratory. Such</w:t>
      </w:r>
      <w:r>
        <w:t xml:space="preserve"> </w:t>
      </w:r>
      <w:r>
        <w:t xml:space="preserve">“</w:t>
      </w:r>
      <w:r>
        <w:t xml:space="preserve">non-natural</w:t>
      </w:r>
      <w:r>
        <w:t xml:space="preserve">”</w:t>
      </w:r>
      <w:r>
        <w:t xml:space="preserve"> </w:t>
      </w:r>
      <w:r>
        <w:t xml:space="preserve">amino acids are important for drug development because they can make a peptide more stable. You will find an example below in the case of semaglutide.</w:t>
      </w:r>
    </w:p>
    <w:p>
      <w:pPr>
        <w:pStyle w:val="BodyText"/>
      </w:pPr>
      <w:r>
        <w:t xml:space="preserve">Important for understanding many advertising claims: individual amino acids are not peptides. A dietary supplement containing arginine, glutamine, or</w:t>
      </w:r>
      <w:r>
        <w:t xml:space="preserve"> </w:t>
      </w:r>
      <w:r>
        <w:t xml:space="preserve">“</w:t>
      </w:r>
      <w:r>
        <w:t xml:space="preserve">BCAAs</w:t>
      </w:r>
      <w:r>
        <w:t xml:space="preserve">”</w:t>
      </w:r>
      <w:r>
        <w:t xml:space="preserve"> </w:t>
      </w:r>
      <w:r>
        <w:t xml:space="preserve">contains free amino acids, i.e., loose building blocks – not a peptide.</w:t>
      </w:r>
    </w:p>
    <w:bookmarkEnd w:id="37"/>
    <w:bookmarkStart w:id="38" w:name="the-peptide-bond"/>
    <w:p>
      <w:pPr>
        <w:pStyle w:val="Heading3"/>
      </w:pPr>
      <w:r>
        <w:t xml:space="preserve">The Peptide Bond</w:t>
      </w:r>
    </w:p>
    <w:p>
      <w:pPr>
        <w:pStyle w:val="FirstParagraph"/>
      </w:pPr>
      <w:r>
        <w:t xml:space="preserve">When two amino acids join, the acid group of one reacts with the amino group of the other. A water molecule is split off in the process, and a stable link is formed: the peptide bond. The result is called a dipeptide. If another amino acid is added, a tripeptide is formed, then a tetrapeptide, and so on. Such a chain always has a direction: it begins with a free amino group (the</w:t>
      </w:r>
      <w:r>
        <w:t xml:space="preserve"> </w:t>
      </w:r>
      <w:r>
        <w:t xml:space="preserve">“</w:t>
      </w:r>
      <w:r>
        <w:t xml:space="preserve">N-terminus</w:t>
      </w:r>
      <w:r>
        <w:t xml:space="preserve">”</w:t>
      </w:r>
      <w:r>
        <w:t xml:space="preserve">) and ends with a free acid group (the</w:t>
      </w:r>
      <w:r>
        <w:t xml:space="preserve"> </w:t>
      </w:r>
      <w:r>
        <w:t xml:space="preserve">“</w:t>
      </w:r>
      <w:r>
        <w:t xml:space="preserve">C-terminus</w:t>
      </w:r>
      <w:r>
        <w:t xml:space="preserve">”</w:t>
      </w:r>
      <w:r>
        <w:t xml:space="preserve">). In scientific articles, amino acids are therefore always written from left to right, from the N-terminus to the C-terminus – often using one-letter abbreviations. The tripeptide</w:t>
      </w:r>
      <w:r>
        <w:t xml:space="preserve"> </w:t>
      </w:r>
      <w:r>
        <w:t xml:space="preserve">“</w:t>
      </w:r>
      <w:r>
        <w:t xml:space="preserve">GHK,</w:t>
      </w:r>
      <w:r>
        <w:t xml:space="preserve">”</w:t>
      </w:r>
      <w:r>
        <w:t xml:space="preserve"> </w:t>
      </w:r>
      <w:r>
        <w:t xml:space="preserve">for example, stands for glycine–histidine–lysine.</w:t>
      </w:r>
    </w:p>
    <w:p>
      <w:pPr>
        <w:pStyle w:val="BodyText"/>
      </w:pPr>
      <w:r>
        <w:t xml:space="preserve">The order of the amino acids is called the sequence or primary structure. It is crucial: two peptides made of the same building blocks in a different order are different substances with different properties – just as</w:t>
      </w:r>
      <w:r>
        <w:t xml:space="preserve"> </w:t>
      </w:r>
      <w:r>
        <w:t xml:space="preserve">“</w:t>
      </w:r>
      <w:r>
        <w:t xml:space="preserve">rose</w:t>
      </w:r>
      <w:r>
        <w:t xml:space="preserve">”</w:t>
      </w:r>
      <w:r>
        <w:t xml:space="preserve"> </w:t>
      </w:r>
      <w:r>
        <w:t xml:space="preserve">and</w:t>
      </w:r>
      <w:r>
        <w:t xml:space="preserve"> </w:t>
      </w:r>
      <w:r>
        <w:t xml:space="preserve">“</w:t>
      </w:r>
      <w:r>
        <w:t xml:space="preserve">eros</w:t>
      </w:r>
      <w:r>
        <w:t xml:space="preserve">”</w:t>
      </w:r>
      <w:r>
        <w:t xml:space="preserve"> </w:t>
      </w:r>
      <w:r>
        <w:t xml:space="preserve">consist of the same letters.</w:t>
      </w:r>
    </w:p>
    <w:bookmarkEnd w:id="38"/>
    <w:bookmarkStart w:id="41" w:name="peptide-or-protein-a-question-of-length"/>
    <w:p>
      <w:pPr>
        <w:pStyle w:val="Heading3"/>
      </w:pPr>
      <w:r>
        <w:t xml:space="preserve">Peptide or Protein? A Question of Length</w:t>
      </w:r>
    </w:p>
    <w:p>
      <w:pPr>
        <w:pStyle w:val="FirstParagraph"/>
      </w:pPr>
      <w:r>
        <w:t xml:space="preserve">There is no sharp scientific boundary between peptides and proteins, only a convention. Roughly speaking:</w:t>
      </w:r>
    </w:p>
    <w:p>
      <w:pPr>
        <w:numPr>
          <w:ilvl w:val="0"/>
          <w:numId w:val="1004"/>
        </w:numPr>
        <w:pStyle w:val="Compact"/>
      </w:pPr>
      <w:r>
        <w:rPr>
          <w:bCs/>
          <w:b/>
        </w:rPr>
        <w:t xml:space="preserve">Oligopeptides</w:t>
      </w:r>
      <w:r>
        <w:t xml:space="preserve">: about 2 to 10 amino acids, for example the tripeptide glutathione or the dipeptide carnosine.</w:t>
      </w:r>
    </w:p>
    <w:p>
      <w:pPr>
        <w:numPr>
          <w:ilvl w:val="0"/>
          <w:numId w:val="1004"/>
        </w:numPr>
        <w:pStyle w:val="Compact"/>
      </w:pPr>
      <w:r>
        <w:rPr>
          <w:bCs/>
          <w:b/>
        </w:rPr>
        <w:t xml:space="preserve">Polypeptides</w:t>
      </w:r>
      <w:r>
        <w:t xml:space="preserve">: longer chains of up to about 50 amino acids.</w:t>
      </w:r>
    </w:p>
    <w:p>
      <w:pPr>
        <w:numPr>
          <w:ilvl w:val="0"/>
          <w:numId w:val="1004"/>
        </w:numPr>
        <w:pStyle w:val="Compact"/>
      </w:pPr>
      <w:r>
        <w:rPr>
          <w:bCs/>
          <w:b/>
        </w:rPr>
        <w:t xml:space="preserve">Proteins</w:t>
      </w:r>
      <w:r>
        <w:t xml:space="preserve">: larger molecules, usually with more than 50 amino acids and a fixed three-dimensional fold.</w:t>
      </w:r>
    </w:p>
    <w:p>
      <w:pPr>
        <w:pStyle w:val="FirstParagraph"/>
      </w:pPr>
      <w:r>
        <w:t xml:space="preserve">Insulin, with 51 amino acids, lies right at this boundary. It consists of two chains connected by sulfur bridges and, depending on the textbook, is called either a peptide or a small protein. Human growth hormone, by contrast, is clearly a protein: its most common form consists of 191 amino acids and weighs around 22,000 daltons</w:t>
      </w:r>
      <w:r>
        <w:rPr>
          <w:rStyle w:val="FootnoteReference"/>
        </w:rPr>
        <w:footnoteReference w:id="39"/>
      </w:r>
      <w:r>
        <w:t xml:space="preserve">. The dalton is the unit for the mass of molecules; an average amino acid in a chain weighs a little more than 100 daltons.</w:t>
      </w:r>
    </w:p>
    <w:p>
      <w:pPr>
        <w:pStyle w:val="BodyText"/>
      </w:pPr>
      <w:r>
        <w:t xml:space="preserve">Some examples from this book for orientation: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Substance</w:t>
            </w:r>
          </w:p>
        </w:tc>
        <w:tc>
          <w:tcPr/>
          <w:p>
            <w:pPr>
              <w:pStyle w:val="Compact"/>
              <w:jc w:val="left"/>
            </w:pPr>
            <w:r>
              <w:t xml:space="preserve">Length</w:t>
            </w:r>
          </w:p>
        </w:tc>
        <w:tc>
          <w:tcPr/>
          <w:p>
            <w:pPr>
              <w:pStyle w:val="Compact"/>
              <w:jc w:val="left"/>
            </w:pPr>
            <w:r>
              <w:t xml:space="preserve">Remark</w:t>
            </w:r>
          </w:p>
        </w:tc>
      </w:tr>
      <w:tr>
        <w:tc>
          <w:tcPr/>
          <w:p>
            <w:pPr>
              <w:pStyle w:val="Compact"/>
              <w:jc w:val="left"/>
            </w:pPr>
            <w:r>
              <w:t xml:space="preserve">Carnosine</w:t>
            </w:r>
          </w:p>
        </w:tc>
        <w:tc>
          <w:tcPr/>
          <w:p>
            <w:pPr>
              <w:pStyle w:val="Compact"/>
              <w:jc w:val="left"/>
            </w:pPr>
            <w:r>
              <w:t xml:space="preserve">2 amino acids</w:t>
            </w:r>
          </w:p>
        </w:tc>
        <w:tc>
          <w:tcPr/>
          <w:p>
            <w:pPr>
              <w:pStyle w:val="Compact"/>
              <w:jc w:val="left"/>
            </w:pPr>
            <w:r>
              <w:t xml:space="preserve">found in muscle</w:t>
            </w:r>
          </w:p>
        </w:tc>
      </w:tr>
      <w:tr>
        <w:tc>
          <w:tcPr/>
          <w:p>
            <w:pPr>
              <w:pStyle w:val="Compact"/>
              <w:jc w:val="left"/>
            </w:pPr>
            <w:r>
              <w:t xml:space="preserve">Glutathione</w:t>
            </w:r>
          </w:p>
        </w:tc>
        <w:tc>
          <w:tcPr/>
          <w:p>
            <w:pPr>
              <w:pStyle w:val="Compact"/>
              <w:jc w:val="left"/>
            </w:pPr>
            <w:r>
              <w:t xml:space="preserve">3 amino acids</w:t>
            </w:r>
          </w:p>
        </w:tc>
        <w:tc>
          <w:tcPr/>
          <w:p>
            <w:pPr>
              <w:pStyle w:val="Compact"/>
              <w:jc w:val="left"/>
            </w:pPr>
            <w:r>
              <w:t xml:space="preserve">endogenous protective molecule</w:t>
            </w:r>
          </w:p>
        </w:tc>
      </w:tr>
      <w:tr>
        <w:tc>
          <w:tcPr/>
          <w:p>
            <w:pPr>
              <w:pStyle w:val="Compact"/>
              <w:jc w:val="left"/>
            </w:pPr>
            <w:r>
              <w:t xml:space="preserve">Oxytocin</w:t>
            </w:r>
          </w:p>
        </w:tc>
        <w:tc>
          <w:tcPr/>
          <w:p>
            <w:pPr>
              <w:pStyle w:val="Compact"/>
              <w:jc w:val="left"/>
            </w:pPr>
            <w:r>
              <w:t xml:space="preserve">9 amino acids</w:t>
            </w:r>
          </w:p>
        </w:tc>
        <w:tc>
          <w:tcPr/>
          <w:p>
            <w:pPr>
              <w:pStyle w:val="Compact"/>
              <w:jc w:val="left"/>
            </w:pPr>
            <w:r>
              <w:t xml:space="preserve">hormone, ring-shaped structure</w:t>
            </w:r>
          </w:p>
        </w:tc>
      </w:tr>
      <w:tr>
        <w:tc>
          <w:tcPr/>
          <w:p>
            <w:pPr>
              <w:pStyle w:val="Compact"/>
              <w:jc w:val="left"/>
            </w:pPr>
            <w:r>
              <w:t xml:space="preserve">GLP-1 (active form)</w:t>
            </w:r>
          </w:p>
        </w:tc>
        <w:tc>
          <w:tcPr/>
          <w:p>
            <w:pPr>
              <w:pStyle w:val="Compact"/>
              <w:jc w:val="left"/>
            </w:pPr>
            <w:r>
              <w:t xml:space="preserve">30 amino acids</w:t>
            </w:r>
          </w:p>
        </w:tc>
        <w:tc>
          <w:tcPr/>
          <w:p>
            <w:pPr>
              <w:pStyle w:val="Compact"/>
              <w:jc w:val="left"/>
            </w:pPr>
            <w:r>
              <w:t xml:space="preserve">gut hormone</w:t>
            </w:r>
          </w:p>
        </w:tc>
      </w:tr>
      <w:tr>
        <w:tc>
          <w:tcPr/>
          <w:p>
            <w:pPr>
              <w:pStyle w:val="Compact"/>
              <w:jc w:val="left"/>
            </w:pPr>
            <w:r>
              <w:t xml:space="preserve">Exendin-4 (exenatide)</w:t>
            </w:r>
          </w:p>
        </w:tc>
        <w:tc>
          <w:tcPr/>
          <w:p>
            <w:pPr>
              <w:pStyle w:val="Compact"/>
              <w:jc w:val="left"/>
            </w:pPr>
            <w:r>
              <w:t xml:space="preserve">39 amino acids</w:t>
            </w:r>
          </w:p>
        </w:tc>
        <w:tc>
          <w:tcPr/>
          <w:p>
            <w:pPr>
              <w:pStyle w:val="Compact"/>
              <w:jc w:val="left"/>
            </w:pPr>
            <w:r>
              <w:t xml:space="preserve">from lizard venom</w:t>
            </w:r>
          </w:p>
        </w:tc>
      </w:tr>
      <w:tr>
        <w:tc>
          <w:tcPr/>
          <w:p>
            <w:pPr>
              <w:pStyle w:val="Compact"/>
              <w:jc w:val="left"/>
            </w:pPr>
            <w:r>
              <w:t xml:space="preserve">Insulin</w:t>
            </w:r>
          </w:p>
        </w:tc>
        <w:tc>
          <w:tcPr/>
          <w:p>
            <w:pPr>
              <w:pStyle w:val="Compact"/>
              <w:jc w:val="left"/>
            </w:pPr>
            <w:r>
              <w:t xml:space="preserve">51 amino acids</w:t>
            </w:r>
          </w:p>
        </w:tc>
        <w:tc>
          <w:tcPr/>
          <w:p>
            <w:pPr>
              <w:pStyle w:val="Compact"/>
              <w:jc w:val="left"/>
            </w:pPr>
            <w:r>
              <w:t xml:space="preserve">two chains</w:t>
            </w:r>
          </w:p>
        </w:tc>
      </w:tr>
      <w:tr>
        <w:tc>
          <w:tcPr/>
          <w:p>
            <w:pPr>
              <w:pStyle w:val="Compact"/>
              <w:jc w:val="left"/>
            </w:pPr>
            <w:r>
              <w:t xml:space="preserve">Growth hormone</w:t>
            </w:r>
          </w:p>
        </w:tc>
        <w:tc>
          <w:tcPr/>
          <w:p>
            <w:pPr>
              <w:pStyle w:val="Compact"/>
              <w:jc w:val="left"/>
            </w:pPr>
            <w:r>
              <w:t xml:space="preserve">191 amino acids</w:t>
            </w:r>
          </w:p>
        </w:tc>
        <w:tc>
          <w:tcPr/>
          <w:p>
            <w:pPr>
              <w:pStyle w:val="Compact"/>
              <w:jc w:val="left"/>
            </w:pPr>
            <w:r>
              <w:t xml:space="preserve">protein</w:t>
            </w:r>
          </w:p>
        </w:tc>
      </w:tr>
    </w:tbl>
    <w:p>
      <w:pPr>
        <w:pStyle w:val="BodyText"/>
      </w:pPr>
      <w:r>
        <w:t xml:space="preserve">The length of exendin-4 is given in its first description</w:t>
      </w:r>
      <w:r>
        <w:rPr>
          <w:rStyle w:val="FootnoteReference"/>
        </w:rPr>
        <w:footnoteReference w:id="40"/>
      </w:r>
      <w:r>
        <w:t xml:space="preserve">; the other figures reflect textbook knowledge.</w:t>
      </w:r>
    </w:p>
    <w:p>
      <w:pPr>
        <w:pStyle w:val="BodyText"/>
      </w:pPr>
      <w:r>
        <w:t xml:space="preserve">In practice, length matters for several reasons. Short peptides are easier and cheaper to produce chemically. Long chains fold into complex shapes that can be indispensable for their effect. And the larger a molecule, the harder it is for it to pass through the skin or the intestinal wall – more on this in the chapter on dosage forms.</w:t>
      </w:r>
    </w:p>
    <w:bookmarkEnd w:id="41"/>
    <w:bookmarkStart w:id="43" w:name="how-peptides-work-in-the-body"/>
    <w:p>
      <w:pPr>
        <w:pStyle w:val="Heading3"/>
      </w:pPr>
      <w:r>
        <w:t xml:space="preserve">How Peptides Work in the Body</w:t>
      </w:r>
    </w:p>
    <w:p>
      <w:pPr>
        <w:pStyle w:val="FirstParagraph"/>
      </w:pPr>
      <w:r>
        <w:t xml:space="preserve">The human body uses peptides primarily as messengers. A peptide hormone is produced in one cell, released into the blood or tissue, and docks onto a matching receptor on another cell. Receptors are protein molecules in the cell membrane that function like a lock: only the matching key triggers a signal inside the cell.</w:t>
      </w:r>
    </w:p>
    <w:p>
      <w:pPr>
        <w:pStyle w:val="BodyText"/>
      </w:pPr>
      <w:r>
        <w:t xml:space="preserve">Because peptides are usually too large and too water-soluble to slip through the fatty cell membrane, most of them act via receptors on the cell surface. Many of these belong to the large family of G protein-coupled receptors. The GLP-1 receptor, through which semaglutide or liraglutide act, is such a receptor. It is found not only in the pancreas but also in the gastrointestinal tract, heart, lungs, kidneys, and brain</w:t>
      </w:r>
      <w:r>
        <w:rPr>
          <w:rStyle w:val="FootnoteReference"/>
        </w:rPr>
        <w:footnoteReference w:id="42"/>
      </w:r>
      <w:r>
        <w:t xml:space="preserve"> </w:t>
      </w:r>
      <w:r>
        <w:t xml:space="preserve">– which explains why these drugs have so many different effects.</w:t>
      </w:r>
    </w:p>
    <w:p>
      <w:pPr>
        <w:pStyle w:val="BodyText"/>
      </w:pPr>
      <w:r>
        <w:t xml:space="preserve">Peptides perform very different tasks in the body:</w:t>
      </w:r>
    </w:p>
    <w:p>
      <w:pPr>
        <w:numPr>
          <w:ilvl w:val="0"/>
          <w:numId w:val="1005"/>
        </w:numPr>
        <w:pStyle w:val="Compact"/>
      </w:pPr>
      <w:r>
        <w:rPr>
          <w:bCs/>
          <w:b/>
        </w:rPr>
        <w:t xml:space="preserve">Hormones</w:t>
      </w:r>
      <w:r>
        <w:t xml:space="preserve"> </w:t>
      </w:r>
      <w:r>
        <w:t xml:space="preserve">such as insulin, glucagon, GLP-1, oxytocin, or vasopressin regulate metabolism, fluid balance, and reproduction.</w:t>
      </w:r>
    </w:p>
    <w:p>
      <w:pPr>
        <w:numPr>
          <w:ilvl w:val="0"/>
          <w:numId w:val="1005"/>
        </w:numPr>
        <w:pStyle w:val="Compact"/>
      </w:pPr>
      <w:r>
        <w:rPr>
          <w:bCs/>
          <w:b/>
        </w:rPr>
        <w:t xml:space="preserve">Releasing factors</w:t>
      </w:r>
      <w:r>
        <w:t xml:space="preserve"> </w:t>
      </w:r>
      <w:r>
        <w:t xml:space="preserve">from the diencephalon, such as gonadotropin-releasing hormone (GnRH), give commands to the pituitary gland.</w:t>
      </w:r>
    </w:p>
    <w:p>
      <w:pPr>
        <w:numPr>
          <w:ilvl w:val="0"/>
          <w:numId w:val="1005"/>
        </w:numPr>
        <w:pStyle w:val="Compact"/>
      </w:pPr>
      <w:r>
        <w:rPr>
          <w:bCs/>
          <w:b/>
        </w:rPr>
        <w:t xml:space="preserve">Neuropeptides</w:t>
      </w:r>
      <w:r>
        <w:t xml:space="preserve"> </w:t>
      </w:r>
      <w:r>
        <w:t xml:space="preserve">such as endorphins act as signaling substances in the nervous system.</w:t>
      </w:r>
    </w:p>
    <w:p>
      <w:pPr>
        <w:numPr>
          <w:ilvl w:val="0"/>
          <w:numId w:val="1005"/>
        </w:numPr>
        <w:pStyle w:val="Compact"/>
      </w:pPr>
      <w:r>
        <w:rPr>
          <w:bCs/>
          <w:b/>
        </w:rPr>
        <w:t xml:space="preserve">Antimicrobial peptides</w:t>
      </w:r>
      <w:r>
        <w:t xml:space="preserve"> </w:t>
      </w:r>
      <w:r>
        <w:t xml:space="preserve">such as LL-37 are part of the innate immune defense.</w:t>
      </w:r>
    </w:p>
    <w:p>
      <w:pPr>
        <w:numPr>
          <w:ilvl w:val="0"/>
          <w:numId w:val="1005"/>
        </w:numPr>
        <w:pStyle w:val="Compact"/>
      </w:pPr>
      <w:r>
        <w:rPr>
          <w:bCs/>
          <w:b/>
        </w:rPr>
        <w:t xml:space="preserve">Structural components and breakdown products</w:t>
      </w:r>
      <w:r>
        <w:t xml:space="preserve">: when collagen or milk protein is digested, short peptides are formed, some of which can be detected in the blood.</w:t>
      </w:r>
    </w:p>
    <w:p>
      <w:pPr>
        <w:pStyle w:val="FirstParagraph"/>
      </w:pPr>
      <w:r>
        <w:t xml:space="preserve">This diversity explains why such different substances are grouped under the term</w:t>
      </w:r>
      <w:r>
        <w:t xml:space="preserve"> </w:t>
      </w:r>
      <w:r>
        <w:t xml:space="preserve">“</w:t>
      </w:r>
      <w:r>
        <w:t xml:space="preserve">peptide</w:t>
      </w:r>
      <w:r>
        <w:t xml:space="preserve">”</w:t>
      </w:r>
      <w:r>
        <w:t xml:space="preserve">: a highly potent prescription diabetes medication as well as a collagen powder from the supermarket.</w:t>
      </w:r>
    </w:p>
    <w:bookmarkEnd w:id="43"/>
    <w:bookmarkStart w:id="47" w:name="X2ef1213a8daa169471112df234d75b0b4f9b94a"/>
    <w:p>
      <w:pPr>
        <w:pStyle w:val="Heading3"/>
      </w:pPr>
      <w:r>
        <w:t xml:space="preserve">Short Lifespan: The Fundamental Problem of Natural Peptides</w:t>
      </w:r>
    </w:p>
    <w:p>
      <w:pPr>
        <w:pStyle w:val="FirstParagraph"/>
      </w:pPr>
      <w:r>
        <w:t xml:space="preserve">The body’s own peptides are usually built for a short, precise effect. The body keeps a wide range of enzymes on hand that cleave peptide bonds – so-called peptidases or proteases. This makes sense: a hormone signal is meant to come after a meal and then go away again.</w:t>
      </w:r>
    </w:p>
    <w:p>
      <w:pPr>
        <w:pStyle w:val="BodyText"/>
      </w:pPr>
      <w:r>
        <w:t xml:space="preserve">For a medication, however, this short lifespan is a problem. Natural GLP-1 is rapidly cut up by the enzyme dipeptidyl peptidase-4 (DPP-4). In human blood plasma in the test tube, its half-life was around 20 minutes</w:t>
      </w:r>
      <w:r>
        <w:rPr>
          <w:rStyle w:val="FootnoteReference"/>
        </w:rPr>
        <w:footnoteReference w:id="44"/>
      </w:r>
      <w:r>
        <w:t xml:space="preserve">; in the body, GLP-1 is additionally cleared rapidly from the circulation. Unmodified GLP-1 would therefore hardly be usable as a medication.</w:t>
      </w:r>
    </w:p>
    <w:p>
      <w:pPr>
        <w:pStyle w:val="BodyText"/>
      </w:pPr>
      <w:r>
        <w:t xml:space="preserve">The solution found by pharmaceutical research was to modify the molecule in a targeted way. In semaglutide, two amino acids of natural GLP-1 were exchanged – at position 8 there is the non-natural amino acid Aib, which protects the molecule from DPP-4 – and a fatty acid was attached to the chain via a linker. The fatty acid causes semaglutide to bind reversibly to the transport protein albumin in the blood</w:t>
      </w:r>
      <w:r>
        <w:rPr>
          <w:rStyle w:val="FootnoteReference"/>
        </w:rPr>
        <w:footnoteReference w:id="45"/>
      </w:r>
      <w:r>
        <w:t xml:space="preserve">. This creates a depot from which the drug is released slowly. The half-life in humans is about one week</w:t>
      </w:r>
      <w:r>
        <w:rPr>
          <w:rStyle w:val="FootnoteReference"/>
        </w:rPr>
        <w:footnoteReference w:id="46"/>
      </w:r>
      <w:r>
        <w:t xml:space="preserve"> </w:t>
      </w:r>
      <w:r>
        <w:t xml:space="preserve">– which is why one injection per week is sufficient.</w:t>
      </w:r>
    </w:p>
    <w:p>
      <w:pPr>
        <w:pStyle w:val="BodyText"/>
      </w:pPr>
      <w:r>
        <w:t xml:space="preserve">This principle – a natural model, specifically stabilized – runs through modern peptide medicine. But it also means that a peptide drug is usually</w:t>
      </w:r>
      <w:r>
        <w:t xml:space="preserve"> </w:t>
      </w:r>
      <w:r>
        <w:rPr>
          <w:bCs/>
          <w:b/>
        </w:rPr>
        <w:t xml:space="preserve">not</w:t>
      </w:r>
      <w:r>
        <w:t xml:space="preserve"> </w:t>
      </w:r>
      <w:r>
        <w:t xml:space="preserve">a</w:t>
      </w:r>
      <w:r>
        <w:t xml:space="preserve"> </w:t>
      </w:r>
      <w:r>
        <w:t xml:space="preserve">“</w:t>
      </w:r>
      <w:r>
        <w:t xml:space="preserve">natural</w:t>
      </w:r>
      <w:r>
        <w:t xml:space="preserve">”</w:t>
      </w:r>
      <w:r>
        <w:t xml:space="preserve"> </w:t>
      </w:r>
      <w:r>
        <w:t xml:space="preserve">substance in the sense of being unchanged and endogenous. It is a molecule inspired by nature but optimized in the laboratory.</w:t>
      </w:r>
    </w:p>
    <w:bookmarkEnd w:id="47"/>
    <w:bookmarkStart w:id="51" w:name="how-peptides-are-produced"/>
    <w:p>
      <w:pPr>
        <w:pStyle w:val="Heading3"/>
      </w:pPr>
      <w:r>
        <w:t xml:space="preserve">How Peptides Are Produced</w:t>
      </w:r>
    </w:p>
    <w:p>
      <w:pPr>
        <w:pStyle w:val="FirstParagraph"/>
      </w:pPr>
      <w:r>
        <w:t xml:space="preserve">There are three basic ways to obtain peptides:</w:t>
      </w:r>
    </w:p>
    <w:p>
      <w:pPr>
        <w:pStyle w:val="BodyText"/>
      </w:pPr>
      <w:r>
        <w:rPr>
          <w:bCs/>
          <w:b/>
        </w:rPr>
        <w:t xml:space="preserve">Chemical synthesis.</w:t>
      </w:r>
      <w:r>
        <w:t xml:space="preserve"> </w:t>
      </w:r>
      <w:r>
        <w:t xml:space="preserve">Since the 1960s, peptides have been built up building block by building block on a solid support material. This process of solid-phase peptide synthesis was developed by Robert Bruce Merrifield</w:t>
      </w:r>
      <w:r>
        <w:rPr>
          <w:rStyle w:val="FootnoteReference"/>
        </w:rPr>
        <w:footnoteReference w:id="48"/>
      </w:r>
      <w:r>
        <w:t xml:space="preserve">, who received the Nobel Prize in Chemistry for it in 1984. Today, such syntheses are largely automated. They are the basis of almost all short peptides, including those offered on the gray market. However, errors can occur at every coupling step – such as missing or duplicated amino acids. A careful purification step is therefore indispensable.</w:t>
      </w:r>
    </w:p>
    <w:p>
      <w:pPr>
        <w:pStyle w:val="BodyText"/>
      </w:pPr>
      <w:r>
        <w:rPr>
          <w:bCs/>
          <w:b/>
        </w:rPr>
        <w:t xml:space="preserve">Genetic engineering (recombinant) production.</w:t>
      </w:r>
      <w:r>
        <w:t xml:space="preserve"> </w:t>
      </w:r>
      <w:r>
        <w:t xml:space="preserve">Here, the blueprint for the peptide is introduced into bacteria or yeast cells, which then produce it in large tanks. Human insulin was the first medication produced in this way; it was used in clinical studies in humans from 1980 onward</w:t>
      </w:r>
      <w:r>
        <w:rPr>
          <w:rStyle w:val="FootnoteReference"/>
        </w:rPr>
        <w:footnoteReference w:id="49"/>
      </w:r>
      <w:r>
        <w:t xml:space="preserve">. Larger peptides and proteins are still predominantly obtained in this way today, sometimes combined with chemical modification steps.</w:t>
      </w:r>
    </w:p>
    <w:p>
      <w:pPr>
        <w:pStyle w:val="BodyText"/>
      </w:pPr>
      <w:r>
        <w:rPr>
          <w:bCs/>
          <w:b/>
        </w:rPr>
        <w:t xml:space="preserve">Extraction from natural sources.</w:t>
      </w:r>
      <w:r>
        <w:t xml:space="preserve"> </w:t>
      </w:r>
      <w:r>
        <w:t xml:space="preserve">Early insulins were obtained from the pancreases of cattle and pigs. Collagen peptides are produced today by breaking down collagen from skin, bones, or fish scales into smaller pieces using enzymes (hydrolysis). Such hydrolysates are mixtures of many different peptides – not a uniform active substance.</w:t>
      </w:r>
    </w:p>
    <w:p>
      <w:pPr>
        <w:pStyle w:val="BodyText"/>
      </w:pPr>
      <w:r>
        <w:t xml:space="preserve">The production route is significant for safety. One investigation compared copycat products of semaglutide and liraglutide with the originator products and found new impurities in some of the copycat active substances, including higher-molecular-weight proteins, trace metals, and solvent residues</w:t>
      </w:r>
      <w:r>
        <w:rPr>
          <w:rStyle w:val="FootnoteReference"/>
        </w:rPr>
        <w:footnoteReference w:id="50"/>
      </w:r>
      <w:r>
        <w:t xml:space="preserve">. Whether such differences are clinically relevant remains open – but they show that</w:t>
      </w:r>
      <w:r>
        <w:t xml:space="preserve"> </w:t>
      </w:r>
      <w:r>
        <w:t xml:space="preserve">“</w:t>
      </w:r>
      <w:r>
        <w:t xml:space="preserve">the same active substance</w:t>
      </w:r>
      <w:r>
        <w:t xml:space="preserve">”</w:t>
      </w:r>
      <w:r>
        <w:t xml:space="preserve"> </w:t>
      </w:r>
      <w:r>
        <w:t xml:space="preserve">does not automatically mean</w:t>
      </w:r>
      <w:r>
        <w:t xml:space="preserve"> </w:t>
      </w:r>
      <w:r>
        <w:t xml:space="preserve">“</w:t>
      </w:r>
      <w:r>
        <w:t xml:space="preserve">the same product.</w:t>
      </w:r>
      <w:r>
        <w:t xml:space="preserve">”</w:t>
      </w:r>
      <w:r>
        <w:t xml:space="preserve"> </w:t>
      </w:r>
      <w:r>
        <w:t xml:space="preserve">Incidentally, the investigation was carried out by the manufacturer of the originator products, which should be taken into account in the assessment.</w:t>
      </w:r>
    </w:p>
    <w:bookmarkEnd w:id="51"/>
    <w:bookmarkStart w:id="54" w:name="peptides-as-medicines-a-growing-group"/>
    <w:p>
      <w:pPr>
        <w:pStyle w:val="Heading3"/>
      </w:pPr>
      <w:r>
        <w:t xml:space="preserve">Peptides as Medicines: A Growing Group</w:t>
      </w:r>
    </w:p>
    <w:p>
      <w:pPr>
        <w:pStyle w:val="FirstParagraph"/>
      </w:pPr>
      <w:r>
        <w:t xml:space="preserve">Peptides occupy a niche between classic</w:t>
      </w:r>
      <w:r>
        <w:t xml:space="preserve"> </w:t>
      </w:r>
      <w:r>
        <w:t xml:space="preserve">“</w:t>
      </w:r>
      <w:r>
        <w:t xml:space="preserve">small molecules</w:t>
      </w:r>
      <w:r>
        <w:t xml:space="preserve">”</w:t>
      </w:r>
      <w:r>
        <w:t xml:space="preserve"> </w:t>
      </w:r>
      <w:r>
        <w:t xml:space="preserve">(such as aspirin or metformin) and large biologics (such as antibodies). They can bind very specifically to a receptor, which often leads to few undesirable side effects elsewhere. At the same time, they are harder to put into tablet form and often expensive to produce.</w:t>
      </w:r>
    </w:p>
    <w:p>
      <w:pPr>
        <w:pStyle w:val="BodyText"/>
      </w:pPr>
      <w:r>
        <w:t xml:space="preserve">According to one review, more than 80 peptide drugs have reached the market since the introduction of insulin, for example for diabetes, cancer, osteoporosis, multiple sclerosis, HIV infection, and chronic pain</w:t>
      </w:r>
      <w:r>
        <w:rPr>
          <w:rStyle w:val="FootnoteReference"/>
        </w:rPr>
        <w:footnoteReference w:id="52"/>
      </w:r>
      <w:r>
        <w:t xml:space="preserve">. Another analysis counted over 150 peptides in active clinical development</w:t>
      </w:r>
      <w:r>
        <w:rPr>
          <w:rStyle w:val="FootnoteReference"/>
        </w:rPr>
        <w:footnoteReference w:id="53"/>
      </w:r>
      <w:r>
        <w:t xml:space="preserve">. The figures differ depending on how they are counted, but they point in the same direction: peptides are an established and growing part of medicine.</w:t>
      </w:r>
    </w:p>
    <w:p>
      <w:pPr>
        <w:pStyle w:val="BodyText"/>
      </w:pPr>
      <w:r>
        <w:t xml:space="preserve">You may know many peptide drugs without having perceived them as peptides: insulin; the osteoporosis drug teriparatide (a fragment of parathyroid hormone consisting of 34 amino acids); prostate cancer drugs that influence the GnRH system; the labor-inducing drug oxytocin; or the antibiotic vancomycin, a glycopeptide.</w:t>
      </w:r>
    </w:p>
    <w:bookmarkEnd w:id="54"/>
    <w:bookmarkStart w:id="56" w:name="what-peptides-are-not"/>
    <w:p>
      <w:pPr>
        <w:pStyle w:val="Heading3"/>
      </w:pPr>
      <w:r>
        <w:t xml:space="preserve">What Peptides Are Not</w:t>
      </w:r>
    </w:p>
    <w:p>
      <w:pPr>
        <w:pStyle w:val="FirstParagraph"/>
      </w:pPr>
      <w:r>
        <w:t xml:space="preserve">Precisely because the term has become so popular, it is worth looking at common misconceptions.</w:t>
      </w:r>
    </w:p>
    <w:p>
      <w:pPr>
        <w:pStyle w:val="BodyText"/>
      </w:pPr>
      <w:r>
        <w:rPr>
          <w:bCs/>
          <w:b/>
        </w:rPr>
        <w:t xml:space="preserve">“</w:t>
      </w:r>
      <w:r>
        <w:rPr>
          <w:bCs/>
          <w:b/>
        </w:rPr>
        <w:t xml:space="preserve">Peptide</w:t>
      </w:r>
      <w:r>
        <w:rPr>
          <w:bCs/>
          <w:b/>
        </w:rPr>
        <w:t xml:space="preserve">”</w:t>
      </w:r>
      <w:r>
        <w:rPr>
          <w:bCs/>
          <w:b/>
        </w:rPr>
        <w:t xml:space="preserve"> </w:t>
      </w:r>
      <w:r>
        <w:rPr>
          <w:bCs/>
          <w:b/>
        </w:rPr>
        <w:t xml:space="preserve">is not a mark of quality.</w:t>
      </w:r>
      <w:r>
        <w:t xml:space="preserve"> </w:t>
      </w:r>
      <w:r>
        <w:t xml:space="preserve">The chemical structure says nothing about benefit or risk. Insulin saves lives every day – in the wrong amount it can be fatal. A peptide is not automatically gentler than a</w:t>
      </w:r>
      <w:r>
        <w:t xml:space="preserve"> </w:t>
      </w:r>
      <w:r>
        <w:t xml:space="preserve">“</w:t>
      </w:r>
      <w:r>
        <w:t xml:space="preserve">chemical</w:t>
      </w:r>
      <w:r>
        <w:t xml:space="preserve">”</w:t>
      </w:r>
      <w:r>
        <w:t xml:space="preserve"> </w:t>
      </w:r>
      <w:r>
        <w:t xml:space="preserve">medication.</w:t>
      </w:r>
    </w:p>
    <w:p>
      <w:pPr>
        <w:pStyle w:val="BodyText"/>
      </w:pPr>
      <w:r>
        <w:rPr>
          <w:bCs/>
          <w:b/>
        </w:rPr>
        <w:t xml:space="preserve">“</w:t>
      </w:r>
      <w:r>
        <w:rPr>
          <w:bCs/>
          <w:b/>
        </w:rPr>
        <w:t xml:space="preserve">Endogenous</w:t>
      </w:r>
      <w:r>
        <w:rPr>
          <w:bCs/>
          <w:b/>
        </w:rPr>
        <w:t xml:space="preserve">”</w:t>
      </w:r>
      <w:r>
        <w:rPr>
          <w:bCs/>
          <w:b/>
        </w:rPr>
        <w:t xml:space="preserve"> </w:t>
      </w:r>
      <w:r>
        <w:rPr>
          <w:bCs/>
          <w:b/>
        </w:rPr>
        <w:t xml:space="preserve">does not mean</w:t>
      </w:r>
      <w:r>
        <w:rPr>
          <w:bCs/>
          <w:b/>
        </w:rPr>
        <w:t xml:space="preserve"> </w:t>
      </w:r>
      <w:r>
        <w:rPr>
          <w:bCs/>
          <w:b/>
        </w:rPr>
        <w:t xml:space="preserve">“</w:t>
      </w:r>
      <w:r>
        <w:rPr>
          <w:bCs/>
          <w:b/>
        </w:rPr>
        <w:t xml:space="preserve">harmless.</w:t>
      </w:r>
      <w:r>
        <w:rPr>
          <w:bCs/>
          <w:b/>
        </w:rPr>
        <w:t xml:space="preserve">”</w:t>
      </w:r>
      <w:r>
        <w:t xml:space="preserve"> </w:t>
      </w:r>
      <w:r>
        <w:t xml:space="preserve">Many gray-market peptides are advertised as</w:t>
      </w:r>
      <w:r>
        <w:t xml:space="preserve"> </w:t>
      </w:r>
      <w:r>
        <w:t xml:space="preserve">“</w:t>
      </w:r>
      <w:r>
        <w:t xml:space="preserve">endogenous</w:t>
      </w:r>
      <w:r>
        <w:t xml:space="preserve">”</w:t>
      </w:r>
      <w:r>
        <w:t xml:space="preserve"> </w:t>
      </w:r>
      <w:r>
        <w:t xml:space="preserve">or</w:t>
      </w:r>
      <w:r>
        <w:t xml:space="preserve"> </w:t>
      </w:r>
      <w:r>
        <w:t xml:space="preserve">“</w:t>
      </w:r>
      <w:r>
        <w:t xml:space="preserve">bioidentical.</w:t>
      </w:r>
      <w:r>
        <w:t xml:space="preserve">”</w:t>
      </w:r>
      <w:r>
        <w:t xml:space="preserve"> </w:t>
      </w:r>
      <w:r>
        <w:t xml:space="preserve">But even substances produced by the body can cause harm in unnaturally high amounts, in the wrong place, or over long periods. One example is the growth hormone system: a deficiency makes you ill, and so does a permanent excess. In addition, many supposedly endogenous peptides are in fact modifications or fragments that do not occur in this form in the body at all. BPC-157, for instance, is a sequence of 15 amino acids</w:t>
      </w:r>
      <w:r>
        <w:rPr>
          <w:rStyle w:val="FootnoteReference"/>
        </w:rPr>
        <w:footnoteReference w:id="55"/>
      </w:r>
      <w:r>
        <w:t xml:space="preserve"> </w:t>
      </w:r>
      <w:r>
        <w:t xml:space="preserve">that its discoverers derived from gastric juice; it is not established as a human hormone in its own right.</w:t>
      </w:r>
    </w:p>
    <w:p>
      <w:pPr>
        <w:pStyle w:val="BodyText"/>
      </w:pPr>
      <w:r>
        <w:rPr>
          <w:bCs/>
          <w:b/>
        </w:rPr>
        <w:t xml:space="preserve">Peptides are not steroids.</w:t>
      </w:r>
      <w:r>
        <w:t xml:space="preserve"> </w:t>
      </w:r>
      <w:r>
        <w:t xml:space="preserve">Anabolic agents such as testosterone are steroid hormones with a completely different chemical framework made of carbon rings. They act via receptors inside the cell. In the fitness world, the two groups are sometimes lumped together; chemically and pharmacologically, they have little in common.</w:t>
      </w:r>
    </w:p>
    <w:p>
      <w:pPr>
        <w:pStyle w:val="BodyText"/>
      </w:pPr>
      <w:r>
        <w:rPr>
          <w:bCs/>
          <w:b/>
        </w:rPr>
        <w:t xml:space="preserve">Not everything that acts similarly is a peptide.</w:t>
      </w:r>
      <w:r>
        <w:t xml:space="preserve"> </w:t>
      </w:r>
      <w:r>
        <w:t xml:space="preserve">Orforglipron, for example, activates the GLP-1 receptor like semaglutide but is a small, non-peptide molecule. Ibutamoren (MK-677) stimulates growth hormone release like some peptides but is not one itself. Both are therefore covered in this book only for comparison.</w:t>
      </w:r>
    </w:p>
    <w:p>
      <w:pPr>
        <w:pStyle w:val="BodyText"/>
      </w:pPr>
      <w:r>
        <w:rPr>
          <w:bCs/>
          <w:b/>
        </w:rPr>
        <w:t xml:space="preserve">A peptide in a cream is not the same as a peptide in a syringe.</w:t>
      </w:r>
      <w:r>
        <w:t xml:space="preserve"> </w:t>
      </w:r>
      <w:r>
        <w:t xml:space="preserve">Cosmetic peptides such as palmitoyl pentapeptide-4 are specifically designed to act in the uppermost layer of the skin. Whether and how deeply they penetrate is a separate question. Conversely, a peptide that is injected as a medication does not simply pass through the skin when applied to it.</w:t>
      </w:r>
    </w:p>
    <w:p>
      <w:pPr>
        <w:pStyle w:val="BodyText"/>
      </w:pPr>
      <w:r>
        <w:rPr>
          <w:bCs/>
          <w:b/>
        </w:rPr>
        <w:t xml:space="preserve">Peptides that are eaten are usually digested.</w:t>
      </w:r>
      <w:r>
        <w:t xml:space="preserve"> </w:t>
      </w:r>
      <w:r>
        <w:t xml:space="preserve">The gastrointestinal tract is designed to break down proteins into amino acids and very short fragments. A peptide hormone that is swallowed is therefore, as a rule, broken down before it can act. Exceptions – such as very small peptides from collagen that can be detected in the blood, or the semaglutide tablet with its excipient – are explained in the chapter after next.</w:t>
      </w:r>
    </w:p>
    <w:bookmarkEnd w:id="56"/>
    <w:bookmarkStart w:id="57" w:name="natural-nature-identical-modified"/>
    <w:p>
      <w:pPr>
        <w:pStyle w:val="Heading3"/>
      </w:pPr>
      <w:r>
        <w:t xml:space="preserve">Natural, Nature-Identical, Modified</w:t>
      </w:r>
    </w:p>
    <w:p>
      <w:pPr>
        <w:pStyle w:val="FirstParagraph"/>
      </w:pPr>
      <w:r>
        <w:t xml:space="preserve">A simple distinction helps to classify the peptides in Part II:</w:t>
      </w:r>
    </w:p>
    <w:p>
      <w:pPr>
        <w:numPr>
          <w:ilvl w:val="0"/>
          <w:numId w:val="1006"/>
        </w:numPr>
        <w:pStyle w:val="Compact"/>
      </w:pPr>
      <w:r>
        <w:rPr>
          <w:bCs/>
          <w:b/>
        </w:rPr>
        <w:t xml:space="preserve">Nature-identical peptides</w:t>
      </w:r>
      <w:r>
        <w:t xml:space="preserve"> </w:t>
      </w:r>
      <w:r>
        <w:t xml:space="preserve">correspond exactly to an endogenous molecule, such as oxytocin or glutathione.</w:t>
      </w:r>
    </w:p>
    <w:p>
      <w:pPr>
        <w:numPr>
          <w:ilvl w:val="0"/>
          <w:numId w:val="1006"/>
        </w:numPr>
        <w:pStyle w:val="Compact"/>
      </w:pPr>
      <w:r>
        <w:rPr>
          <w:bCs/>
          <w:b/>
        </w:rPr>
        <w:t xml:space="preserve">Modified analogs</w:t>
      </w:r>
      <w:r>
        <w:t xml:space="preserve"> </w:t>
      </w:r>
      <w:r>
        <w:t xml:space="preserve">are derived from the natural model but deliberately altered – by exchanged amino acids, attached fatty acids, or ring-shaped structures. Almost all modern peptide drugs belong to this group.</w:t>
      </w:r>
    </w:p>
    <w:p>
      <w:pPr>
        <w:numPr>
          <w:ilvl w:val="0"/>
          <w:numId w:val="1006"/>
        </w:numPr>
        <w:pStyle w:val="Compact"/>
      </w:pPr>
      <w:r>
        <w:rPr>
          <w:bCs/>
          <w:b/>
        </w:rPr>
        <w:t xml:space="preserve">Foreign or newly designed peptides</w:t>
      </w:r>
      <w:r>
        <w:t xml:space="preserve"> </w:t>
      </w:r>
      <w:r>
        <w:t xml:space="preserve">come from other organisms (such as exendin-4 from the saliva of the Gila monster) or were newly developed in the laboratory (such as the cosmetic peptides or the dual and triple agonists tirzepatide and retatrutide).</w:t>
      </w:r>
    </w:p>
    <w:p>
      <w:pPr>
        <w:pStyle w:val="FirstParagraph"/>
      </w:pPr>
      <w:r>
        <w:t xml:space="preserve">This classification alone is not decisive for safety. But it helps to understand why human studies are indispensable for all three groups: even a nature-identical molecule behaves differently when it is supplied from outside in large amounts.</w:t>
      </w:r>
    </w:p>
    <w:bookmarkEnd w:id="57"/>
    <w:bookmarkStart w:id="60" w:name="Xe8a9237400f558f43e15212d32d79f189b268f4"/>
    <w:p>
      <w:pPr>
        <w:pStyle w:val="Heading3"/>
      </w:pPr>
      <w:r>
        <w:t xml:space="preserve">Why Peptides Are Getting So Much Attention Right Now</w:t>
      </w:r>
    </w:p>
    <w:p>
      <w:pPr>
        <w:pStyle w:val="FirstParagraph"/>
      </w:pPr>
      <w:r>
        <w:t xml:space="preserve">Three developments explain the boom of recent years:</w:t>
      </w:r>
    </w:p>
    <w:p>
      <w:pPr>
        <w:pStyle w:val="BodyText"/>
      </w:pPr>
      <w:r>
        <w:rPr>
          <w:bCs/>
          <w:b/>
        </w:rPr>
        <w:t xml:space="preserve">First, the GLP-1 medications.</w:t>
      </w:r>
      <w:r>
        <w:t xml:space="preserve"> </w:t>
      </w:r>
      <w:r>
        <w:t xml:space="preserve">The results of drugs such as semaglutide and tirzepatide in overweight have brought peptides into the headlines. In the pivotal trial STEP 1, participants on semaglutide lost on average 14.9% of their body weight, compared with 2.4% on placebo</w:t>
      </w:r>
      <w:r>
        <w:rPr>
          <w:rStyle w:val="FootnoteReference"/>
        </w:rPr>
        <w:footnoteReference w:id="58"/>
      </w:r>
      <w:r>
        <w:t xml:space="preserve">. Such figures had never before been achieved with medications.</w:t>
      </w:r>
    </w:p>
    <w:p>
      <w:pPr>
        <w:pStyle w:val="BodyText"/>
      </w:pPr>
      <w:r>
        <w:rPr>
          <w:bCs/>
          <w:b/>
        </w:rPr>
        <w:t xml:space="preserve">Second, easy availability.</w:t>
      </w:r>
      <w:r>
        <w:t xml:space="preserve"> </w:t>
      </w:r>
      <w:r>
        <w:t xml:space="preserve">Short peptides can now be synthesized cheaply in many countries and are offered worldwide over the internet – often labeled</w:t>
      </w:r>
      <w:r>
        <w:t xml:space="preserve"> </w:t>
      </w:r>
      <w:r>
        <w:t xml:space="preserve">“</w:t>
      </w:r>
      <w:r>
        <w:t xml:space="preserve">for research purposes only.</w:t>
      </w:r>
      <w:r>
        <w:t xml:space="preserve">”</w:t>
      </w:r>
      <w:r>
        <w:t xml:space="preserve"> </w:t>
      </w:r>
      <w:r>
        <w:t xml:space="preserve">What this means is covered in the chapter on the gray market.</w:t>
      </w:r>
    </w:p>
    <w:p>
      <w:pPr>
        <w:pStyle w:val="BodyText"/>
      </w:pPr>
      <w:r>
        <w:rPr>
          <w:bCs/>
          <w:b/>
        </w:rPr>
        <w:t xml:space="preserve">Third, social media.</w:t>
      </w:r>
      <w:r>
        <w:t xml:space="preserve"> </w:t>
      </w:r>
      <w:r>
        <w:t xml:space="preserve">Personal testimonials, before-and-after pictures, and influencer recommendations spread faster than scientific data. One review describes how digital advertising, gray-market access, and self-injection interact and normalize products whose identity, purity, and safety are unclear</w:t>
      </w:r>
      <w:r>
        <w:rPr>
          <w:rStyle w:val="FootnoteReference"/>
        </w:rPr>
        <w:footnoteReference w:id="59"/>
      </w:r>
      <w:r>
        <w:t xml:space="preserve">.</w:t>
      </w:r>
    </w:p>
    <w:p>
      <w:pPr>
        <w:pStyle w:val="BodyText"/>
      </w:pPr>
      <w:r>
        <w:t xml:space="preserve">This book aims to offer a sober counterweight here: for each peptide, it examines what has actually been studied in humans – and what has not.</w:t>
      </w:r>
    </w:p>
    <w:bookmarkEnd w:id="60"/>
    <w:bookmarkStart w:id="61" w:name="key-points-in-brief"/>
    <w:p>
      <w:pPr>
        <w:pStyle w:val="Heading3"/>
      </w:pPr>
      <w:r>
        <w:t xml:space="preserve">Key Points in Brief</w:t>
      </w:r>
    </w:p>
    <w:p>
      <w:pPr>
        <w:numPr>
          <w:ilvl w:val="0"/>
          <w:numId w:val="1007"/>
        </w:numPr>
        <w:pStyle w:val="Compact"/>
      </w:pPr>
      <w:r>
        <w:t xml:space="preserve">Peptides are chains of amino acids linked by peptide bonds. From about 50 amino acids upward, they are usually called proteins.</w:t>
      </w:r>
    </w:p>
    <w:p>
      <w:pPr>
        <w:numPr>
          <w:ilvl w:val="0"/>
          <w:numId w:val="1007"/>
        </w:numPr>
        <w:pStyle w:val="Compact"/>
      </w:pPr>
      <w:r>
        <w:t xml:space="preserve">In the body, peptides act primarily as messengers via receptors on the cell surface.</w:t>
      </w:r>
    </w:p>
    <w:p>
      <w:pPr>
        <w:numPr>
          <w:ilvl w:val="0"/>
          <w:numId w:val="1007"/>
        </w:numPr>
        <w:pStyle w:val="Compact"/>
      </w:pPr>
      <w:r>
        <w:t xml:space="preserve">Natural peptides are broken down quickly. Modern peptide drugs are therefore almost always deliberately modified molecules.</w:t>
      </w:r>
    </w:p>
    <w:p>
      <w:pPr>
        <w:numPr>
          <w:ilvl w:val="0"/>
          <w:numId w:val="1007"/>
        </w:numPr>
        <w:pStyle w:val="Compact"/>
      </w:pPr>
      <w:r>
        <w:t xml:space="preserve">Peptides are chemically synthesized, produced by genetic engineering, or obtained from natural sources. The production route and purity influence safety.</w:t>
      </w:r>
    </w:p>
    <w:p>
      <w:pPr>
        <w:numPr>
          <w:ilvl w:val="0"/>
          <w:numId w:val="1007"/>
        </w:numPr>
        <w:pStyle w:val="Compact"/>
      </w:pPr>
      <w:r>
        <w:t xml:space="preserve">“</w:t>
      </w:r>
      <w:r>
        <w:t xml:space="preserve">Peptide</w:t>
      </w:r>
      <w:r>
        <w:t xml:space="preserve">”</w:t>
      </w:r>
      <w:r>
        <w:t xml:space="preserve"> </w:t>
      </w:r>
      <w:r>
        <w:t xml:space="preserve">is a chemical description, not a seal of quality. Only good studies can show whether a particular peptide works in humans and is safe.</w:t>
      </w:r>
    </w:p>
    <w:bookmarkEnd w:id="61"/>
    <w:bookmarkEnd w:id="62"/>
    <w:bookmarkStart w:id="99" w:name="X4d3140ce8d911340c9e7f6411cbb6db5b67b859"/>
    <w:p>
      <w:pPr>
        <w:pStyle w:val="Heading2"/>
      </w:pPr>
      <w:r>
        <w:t xml:space="preserve">A Brief History: From Insulin to the GLP-1 Medications</w:t>
      </w:r>
    </w:p>
    <w:p>
      <w:pPr>
        <w:pStyle w:val="FirstParagraph"/>
      </w:pPr>
      <w:r>
        <w:t xml:space="preserve">The history of peptide medications is a history of breakthroughs, wrong turns, and astonishing coincidences. It begins with a desperate experiment in Toronto, leads via the venom of an American desert lizard, and ends – for now – with weight-loss injections that are among the best-selling medicines in the world. This chapter tells the most important milestones. It is meant to help you put today’s excitement about peptides into perspective: much of what is sold as revolutionary stands on the shoulders of a hundred years of painstaking research.</w:t>
      </w:r>
    </w:p>
    <w:bookmarkStart w:id="63" w:name="before-1922-messengers-are-discovered"/>
    <w:p>
      <w:pPr>
        <w:pStyle w:val="Heading3"/>
      </w:pPr>
      <w:r>
        <w:t xml:space="preserve">Before 1922: Messengers Are Discovered</w:t>
      </w:r>
    </w:p>
    <w:p>
      <w:pPr>
        <w:pStyle w:val="FirstParagraph"/>
      </w:pPr>
      <w:r>
        <w:t xml:space="preserve">Around 1900, a new idea took hold in physiology: organs communicate not only via nerves but also via chemical messengers in the blood. In 1902, the British physiologists William Bayliss and Ernest Starling described secretin, a substance from the intestinal wall that stimulates the pancreas to produce its juice. Shortly afterward, Starling coined the term</w:t>
      </w:r>
      <w:r>
        <w:t xml:space="preserve"> </w:t>
      </w:r>
      <w:r>
        <w:t xml:space="preserve">“</w:t>
      </w:r>
      <w:r>
        <w:t xml:space="preserve">hormone</w:t>
      </w:r>
      <w:r>
        <w:t xml:space="preserve">”</w:t>
      </w:r>
      <w:r>
        <w:t xml:space="preserve"> </w:t>
      </w:r>
      <w:r>
        <w:t xml:space="preserve">for such messengers. Secretin is – as we know today – a peptide. A peptide thus stood at the very beginning of all hormone research.</w:t>
      </w:r>
    </w:p>
    <w:p>
      <w:pPr>
        <w:pStyle w:val="BodyText"/>
      </w:pPr>
      <w:r>
        <w:t xml:space="preserve">At the same time, it was known that diabetes mellitus was connected with the pancreas. Dogs whose pancreas had been removed developed fatal diabetes. Many research groups tried to extract the suspected blood-sugar-lowering substance from the gland. However, the extracts were either ineffective or so contaminated that they triggered severe reactions.</w:t>
      </w:r>
    </w:p>
    <w:bookmarkEnd w:id="63"/>
    <w:bookmarkStart w:id="67" w:name="insulin-the-first-peptide-medication"/>
    <w:p>
      <w:pPr>
        <w:pStyle w:val="Heading3"/>
      </w:pPr>
      <w:r>
        <w:t xml:space="preserve">1922: Insulin – The First Peptide Medication</w:t>
      </w:r>
    </w:p>
    <w:p>
      <w:pPr>
        <w:pStyle w:val="FirstParagraph"/>
      </w:pPr>
      <w:r>
        <w:t xml:space="preserve">In the summer of 1921, a group at the University of Toronto achieved the decisive step. Frederick Banting and Charles Best, under the direction of John Macleod, obtained an extract that lowered blood sugar in dogs without a pancreas. The biochemist James Collip improved the purification to the point where the extract could be tested in humans. In January 1922, a 14-year-old boy with severe diabetes received the first injections in Toronto. In the same year, the group reported on its experience in patients</w:t>
      </w:r>
      <w:r>
        <w:rPr>
          <w:rStyle w:val="FootnoteReference"/>
        </w:rPr>
        <w:footnoteReference w:id="64"/>
      </w:r>
      <w:r>
        <w:t xml:space="preserve">.</w:t>
      </w:r>
    </w:p>
    <w:p>
      <w:pPr>
        <w:pStyle w:val="BodyText"/>
      </w:pPr>
      <w:r>
        <w:t xml:space="preserve">The effect was dramatic: type 1 diabetes, until then fatal within a short time, became a treatable chronic disease. A review marking the centenary describes precisely this transformation as the core of the discovery</w:t>
      </w:r>
      <w:r>
        <w:rPr>
          <w:rStyle w:val="FootnoteReference"/>
        </w:rPr>
        <w:footnoteReference w:id="65"/>
      </w:r>
      <w:r>
        <w:t xml:space="preserve">. Banting and Macleod received the Nobel Prize in Medicine in 1923.</w:t>
      </w:r>
    </w:p>
    <w:p>
      <w:pPr>
        <w:pStyle w:val="BodyText"/>
      </w:pPr>
      <w:r>
        <w:t xml:space="preserve">The following decades, as one historical review summarizes, revolved around very practical questions: producing enough insulin, making it purer to avoid allergic reactions, establishing standards, and extending its duration of action so that fewer injections were needed</w:t>
      </w:r>
      <w:r>
        <w:rPr>
          <w:rStyle w:val="FootnoteReference"/>
        </w:rPr>
        <w:footnoteReference w:id="66"/>
      </w:r>
      <w:r>
        <w:t xml:space="preserve">. Exactly these themes – production, purity, duration of action, administration – accompany peptide medicine to this day.</w:t>
      </w:r>
    </w:p>
    <w:bookmarkEnd w:id="67"/>
    <w:bookmarkStart w:id="70" w:name="X4897d6fb02d4ff8ab60a71d190fae775eaa60d8"/>
    <w:p>
      <w:pPr>
        <w:pStyle w:val="Heading3"/>
      </w:pPr>
      <w:r>
        <w:t xml:space="preserve">The 1950s: Peptides Become Readable and Producible</w:t>
      </w:r>
    </w:p>
    <w:p>
      <w:pPr>
        <w:pStyle w:val="FirstParagraph"/>
      </w:pPr>
      <w:r>
        <w:t xml:space="preserve">For a long time, it was unclear how insulin was chemically structured. In the early 1950s, the British biochemist Frederick Sanger deciphered, step by step, the sequence of amino acids in the two insulin chains</w:t>
      </w:r>
      <w:r>
        <w:rPr>
          <w:rStyle w:val="FootnoteReference"/>
        </w:rPr>
        <w:footnoteReference w:id="68"/>
      </w:r>
      <w:r>
        <w:t xml:space="preserve">. Insulin thus became the first protein molecule whose complete sequence was known. Sanger received the Nobel Prize in Chemistry for this in 1958. The realization that proteins have a fixed, precisely defined order of building blocks was fundamental to all of molecular biology.</w:t>
      </w:r>
    </w:p>
    <w:p>
      <w:pPr>
        <w:pStyle w:val="BodyText"/>
      </w:pPr>
      <w:r>
        <w:t xml:space="preserve">At almost the same time, the American chemist Vincent du Vigneaud achieved the first chemical synthesis of a peptide hormone: oxytocin, a hormone consisting of nine amino acids that triggers labor contractions and milk flow. He was awarded the Nobel Prize in Chemistry in 1955 for this. For the first time, an endogenous hormone had been</w:t>
      </w:r>
      <w:r>
        <w:t xml:space="preserve"> </w:t>
      </w:r>
      <w:r>
        <w:t xml:space="preserve">“</w:t>
      </w:r>
      <w:r>
        <w:t xml:space="preserve">rebuilt</w:t>
      </w:r>
      <w:r>
        <w:t xml:space="preserve">”</w:t>
      </w:r>
      <w:r>
        <w:t xml:space="preserve"> </w:t>
      </w:r>
      <w:r>
        <w:t xml:space="preserve">in the laboratory – synthetic oxytocin is still used in obstetrics today.</w:t>
      </w:r>
    </w:p>
    <w:p>
      <w:pPr>
        <w:pStyle w:val="BodyText"/>
      </w:pPr>
      <w:r>
        <w:t xml:space="preserve">In the 1960s, Robert Bruce Merrifield developed solid-phase synthesis, in which a peptide chain is extended building block by building block on a solid support</w:t>
      </w:r>
      <w:r>
        <w:rPr>
          <w:rStyle w:val="FootnoteReference"/>
        </w:rPr>
        <w:footnoteReference w:id="69"/>
      </w:r>
      <w:r>
        <w:t xml:space="preserve">. The process could be automated and made the production of any short peptide practical for the first time. Merrifield received the Nobel Prize in Chemistry in 1984. Without this technique, neither most modern peptide drugs nor today’s gray market would exist.</w:t>
      </w:r>
    </w:p>
    <w:bookmarkEnd w:id="70"/>
    <w:bookmarkStart w:id="72" w:name="X8aa0eae33cc7abf98307d7af0d8e9de35bb2c43"/>
    <w:p>
      <w:pPr>
        <w:pStyle w:val="Heading3"/>
      </w:pPr>
      <w:r>
        <w:t xml:space="preserve">The 1960s and 1970s: Measuring and Controlling</w:t>
      </w:r>
    </w:p>
    <w:p>
      <w:pPr>
        <w:pStyle w:val="FirstParagraph"/>
      </w:pPr>
      <w:r>
        <w:t xml:space="preserve">Another obstacle was measurability. Peptide hormones occur in the blood in tiny amounts. Rosalyn Yalow and Solomon Berson developed a measurement method using antibodies and radioactively labeled molecules, the radioimmunoassay, and with it measured insulin in human blood for the first time</w:t>
      </w:r>
      <w:r>
        <w:rPr>
          <w:rStyle w:val="FootnoteReference"/>
        </w:rPr>
        <w:footnoteReference w:id="71"/>
      </w:r>
      <w:r>
        <w:t xml:space="preserve">. Yalow received the Nobel Prize in 1977. Suddenly it was possible to track when the body releases which peptide hormones.</w:t>
      </w:r>
    </w:p>
    <w:p>
      <w:pPr>
        <w:pStyle w:val="BodyText"/>
      </w:pPr>
      <w:r>
        <w:t xml:space="preserve">In the same year, Roger Guillemin and Andrew Schally were honored. They had deciphered the peptide messengers of the hypothalamus – the brain region that gives commands to the pituitary gland. Entire classes of medicines emerged from these discoveries: modified forms of gonadotropin-releasing hormone (GnRH) are used, for example, in prostate cancer, endometriosis, and fertility treatment. The hormone somatostatin became the model for octreotide, which is used for hormone-producing tumors and acromegaly. The growth hormone-releasing peptides, which are covered in detail in Part II, also have their roots here.</w:t>
      </w:r>
    </w:p>
    <w:bookmarkEnd w:id="72"/>
    <w:bookmarkStart w:id="76" w:name="X941771aa8f2540e406f73d4bea26d2e6164cd5a"/>
    <w:p>
      <w:pPr>
        <w:pStyle w:val="Heading3"/>
      </w:pPr>
      <w:r>
        <w:t xml:space="preserve">The 1980s: Genetic Engineering Changes Everything</w:t>
      </w:r>
    </w:p>
    <w:p>
      <w:pPr>
        <w:pStyle w:val="FirstParagraph"/>
      </w:pPr>
      <w:r>
        <w:t xml:space="preserve">Until the 1980s, insulin came from the pancreases of slaughtered animals. Human growth hormone was obtained from the pituitary glands of deceased people; this period lasted from 1958 to 1985</w:t>
      </w:r>
      <w:r>
        <w:rPr>
          <w:rStyle w:val="FootnoteReference"/>
        </w:rPr>
        <w:footnoteReference w:id="73"/>
      </w:r>
      <w:r>
        <w:t xml:space="preserve">. This method of extraction had a tragic downside: some children who had received such hormone developed Creutzfeldt-Jakob disease years later, transmitted through contaminated preparations. The episode remains a stark reminder of how important purity and origin are for biological active substances.</w:t>
      </w:r>
    </w:p>
    <w:p>
      <w:pPr>
        <w:pStyle w:val="BodyText"/>
      </w:pPr>
      <w:r>
        <w:t xml:space="preserve">Genetic engineering offered a way out. Human insulin, produced in bacteria, was used in clinical studies in humans from 1980 onward and was the first medicine made using recombinant DNA technology</w:t>
      </w:r>
      <w:r>
        <w:rPr>
          <w:rStyle w:val="FootnoteReference"/>
        </w:rPr>
        <w:footnoteReference w:id="74"/>
      </w:r>
      <w:r>
        <w:t xml:space="preserve">. Recombinant growth hormone followed a few years later. For the first time, human peptides and proteins were available in practically unlimited quantities.</w:t>
      </w:r>
    </w:p>
    <w:p>
      <w:pPr>
        <w:pStyle w:val="BodyText"/>
      </w:pPr>
      <w:r>
        <w:t xml:space="preserve">In the 1990s, manufacturers went one step further: they deliberately modified insulin molecules to make them act faster or more slowly. These</w:t>
      </w:r>
      <w:r>
        <w:t xml:space="preserve"> </w:t>
      </w:r>
      <w:r>
        <w:t xml:space="preserve">“</w:t>
      </w:r>
      <w:r>
        <w:t xml:space="preserve">insulin analogs</w:t>
      </w:r>
      <w:r>
        <w:t xml:space="preserve">”</w:t>
      </w:r>
      <w:r>
        <w:t xml:space="preserve"> </w:t>
      </w:r>
      <w:r>
        <w:t xml:space="preserve">were a forerunner of the principle that later made the GLP-1 medications so successful: a natural model, optimized in the laboratory for clinical use.</w:t>
      </w:r>
    </w:p>
    <w:p>
      <w:pPr>
        <w:pStyle w:val="BodyText"/>
      </w:pPr>
      <w:r>
        <w:t xml:space="preserve">Other peptide drugs also became established. One example is teriparatide, a fragment of parathyroid hormone. In a large study of 1,637 postmenopausal women with osteoporosis, new vertebral fractures occurred in 14% of the women on placebo, but in only 5% and 4%, respectively, in the two teriparatide groups</w:t>
      </w:r>
      <w:r>
        <w:rPr>
          <w:rStyle w:val="FootnoteReference"/>
        </w:rPr>
        <w:footnoteReference w:id="75"/>
      </w:r>
      <w:r>
        <w:t xml:space="preserve">. Such studies with</w:t>
      </w:r>
      <w:r>
        <w:t xml:space="preserve"> </w:t>
      </w:r>
      <w:r>
        <w:t xml:space="preserve">“</w:t>
      </w:r>
      <w:r>
        <w:t xml:space="preserve">hard</w:t>
      </w:r>
      <w:r>
        <w:t xml:space="preserve">”</w:t>
      </w:r>
      <w:r>
        <w:t xml:space="preserve"> </w:t>
      </w:r>
      <w:r>
        <w:t xml:space="preserve">endpoints such as bone fractures set the standard against which new peptides must also be measured.</w:t>
      </w:r>
    </w:p>
    <w:bookmarkEnd w:id="76"/>
    <w:bookmarkStart w:id="79" w:name="X5b2861459e37b0075f127d48468a046dcdf24e7"/>
    <w:p>
      <w:pPr>
        <w:pStyle w:val="Heading3"/>
      </w:pPr>
      <w:r>
        <w:t xml:space="preserve">The Incretins: From the Gut to the Medication</w:t>
      </w:r>
    </w:p>
    <w:p>
      <w:pPr>
        <w:pStyle w:val="FirstParagraph"/>
      </w:pPr>
      <w:r>
        <w:t xml:space="preserve">The story of the GLP-1 medications begins with an observation from the 1960s: sugar that is swallowed triggers a much stronger insulin release than the same amount of sugar injected directly into the blood. The gut must therefore send signals to the pancreas during a meal. These signaling substances were called incretins.</w:t>
      </w:r>
    </w:p>
    <w:p>
      <w:pPr>
        <w:pStyle w:val="BodyText"/>
      </w:pPr>
      <w:r>
        <w:t xml:space="preserve">The first known incretin was GIP (glucose-dependent insulinotropic polypeptide). In the 1980s, a second one was discovered: glucagon-like peptide-1, or GLP-1 for short. In 1987, a British group showed that GLP-1 rises in human blood after a meal, that – when infused in amounts similar to those after eating – it increased insulin release and lowered blood sugar in seven volunteers, and that it was more effective than GIP in doing so</w:t>
      </w:r>
      <w:r>
        <w:rPr>
          <w:rStyle w:val="FootnoteReference"/>
        </w:rPr>
        <w:footnoteReference w:id="77"/>
      </w:r>
      <w:r>
        <w:t xml:space="preserve">.</w:t>
      </w:r>
    </w:p>
    <w:p>
      <w:pPr>
        <w:pStyle w:val="BodyText"/>
      </w:pPr>
      <w:r>
        <w:t xml:space="preserve">The problem: natural GLP-1 is broken down in the blood within minutes by the enzyme DPP-4</w:t>
      </w:r>
      <w:r>
        <w:rPr>
          <w:rStyle w:val="FootnoteReference"/>
        </w:rPr>
        <w:footnoteReference w:id="78"/>
      </w:r>
      <w:r>
        <w:t xml:space="preserve">. As a medication, it was therefore hardly usable. Two approaches were pursued: inhibitors of the degrading enzyme (the so-called gliptins, which are approved as tablets and are not peptides) and stable mimetics of GLP-1 itself.</w:t>
      </w:r>
    </w:p>
    <w:bookmarkEnd w:id="79"/>
    <w:bookmarkStart w:id="82" w:name="the-lizard-venom-exenatide"/>
    <w:p>
      <w:pPr>
        <w:pStyle w:val="Heading3"/>
      </w:pPr>
      <w:r>
        <w:t xml:space="preserve">The Lizard Venom: Exenatide</w:t>
      </w:r>
    </w:p>
    <w:p>
      <w:pPr>
        <w:pStyle w:val="FirstParagraph"/>
      </w:pPr>
      <w:r>
        <w:t xml:space="preserve">The first stable mimetic came from an unexpected direction. In the early 1990s, the American endocrinologist John Eng studied the venom of the Gila monster (Heloderma suspectum), a venomous reptile from the southwestern USA. From it he isolated a peptide of 39 amino acids, which he named exendin-4</w:t>
      </w:r>
      <w:r>
        <w:rPr>
          <w:rStyle w:val="FootnoteReference"/>
        </w:rPr>
        <w:footnoteReference w:id="80"/>
      </w:r>
      <w:r>
        <w:t xml:space="preserve">. Exendin-4 resembles human GLP-1 and activates the same receptor, but is barely attacked by DPP-4.</w:t>
      </w:r>
    </w:p>
    <w:p>
      <w:pPr>
        <w:pStyle w:val="BodyText"/>
      </w:pPr>
      <w:r>
        <w:t xml:space="preserve">Synthetic exendin-4 was given the name exenatide and, in 2005, was approved in the USA as the first medication in this class. In one of the pivotal trials involving 336 people with type 2 diabetes who were already taking metformin, the long-term blood sugar value HbA1c fell after 30 weeks by 0.78 percentage points in the higher-dose group, while on placebo it rose slightly by 0.08 percentage points. At the same time, participants on exenatide lost weight, 2.8 kg at the higher dose</w:t>
      </w:r>
      <w:r>
        <w:rPr>
          <w:rStyle w:val="FootnoteReference"/>
        </w:rPr>
        <w:footnoteReference w:id="81"/>
      </w:r>
      <w:r>
        <w:t xml:space="preserve">. Initially, exenatide had to be injected twice daily.</w:t>
      </w:r>
    </w:p>
    <w:p>
      <w:pPr>
        <w:pStyle w:val="BodyText"/>
      </w:pPr>
      <w:r>
        <w:t xml:space="preserve">At the time, the weight loss was regarded as a welcome side effect. Few people probably suspected that precisely this effect would make the entire class famous two decades later.</w:t>
      </w:r>
    </w:p>
    <w:bookmarkEnd w:id="82"/>
    <w:bookmarkStart w:id="87" w:name="X23563e47f1a38d0c5824d0b3e312cb5f3bf8482"/>
    <w:p>
      <w:pPr>
        <w:pStyle w:val="Heading3"/>
      </w:pPr>
      <w:r>
        <w:t xml:space="preserve">Longer-Acting: Liraglutide and Semaglutide</w:t>
      </w:r>
    </w:p>
    <w:p>
      <w:pPr>
        <w:pStyle w:val="FirstParagraph"/>
      </w:pPr>
      <w:r>
        <w:t xml:space="preserve">The Danish manufacturer Novo Nordisk took a different path. Instead of using a foreign peptide, it modified human GLP-1 so that it binds to the transport protein albumin in the blood and is therefore broken down more slowly. The result was liraglutide, which is injected once daily and was approved in the EU in 2009. A review by the developers describes how suitable combinations of fatty acid and linker were sought to maximize albumin binding without losing activity at the receptor</w:t>
      </w:r>
      <w:r>
        <w:rPr>
          <w:rStyle w:val="FootnoteReference"/>
        </w:rPr>
        <w:footnoteReference w:id="83"/>
      </w:r>
      <w:r>
        <w:t xml:space="preserve">.</w:t>
      </w:r>
    </w:p>
    <w:p>
      <w:pPr>
        <w:pStyle w:val="BodyText"/>
      </w:pPr>
      <w:r>
        <w:t xml:space="preserve">Liraglutide was later also tested at a higher dose for weight management. In the SCALE trial with 3,731 participants without diabetes, people on liraglutide lost on average 8.4 kg over 56 weeks, compared with 2.8 kg on placebo</w:t>
      </w:r>
      <w:r>
        <w:rPr>
          <w:rStyle w:val="FootnoteReference"/>
        </w:rPr>
        <w:footnoteReference w:id="84"/>
      </w:r>
      <w:r>
        <w:t xml:space="preserve">.</w:t>
      </w:r>
    </w:p>
    <w:p>
      <w:pPr>
        <w:pStyle w:val="BodyText"/>
      </w:pPr>
      <w:r>
        <w:t xml:space="preserve">The next step was marked by semaglutide: a molecule bound even more strongly to albumin that needs to be injected only once a week</w:t>
      </w:r>
      <w:r>
        <w:rPr>
          <w:rStyle w:val="FootnoteReference"/>
        </w:rPr>
        <w:footnoteReference w:id="85"/>
      </w:r>
      <w:r>
        <w:t xml:space="preserve">. In the pivotal trial STEP 1 with 1,961 adults with overweight or obesity, body weight fell on average by 14.9% over 68 weeks, compared with 2.4% on placebo</w:t>
      </w:r>
      <w:r>
        <w:rPr>
          <w:rStyle w:val="FootnoteReference"/>
        </w:rPr>
        <w:footnoteReference w:id="86"/>
      </w:r>
      <w:r>
        <w:t xml:space="preserve">. This magnitude was well above anything that earlier weight-loss medications had achieved.</w:t>
      </w:r>
    </w:p>
    <w:bookmarkEnd w:id="87"/>
    <w:bookmarkStart w:id="91" w:name="from-blood-sugar-to-the-heart"/>
    <w:p>
      <w:pPr>
        <w:pStyle w:val="Heading3"/>
      </w:pPr>
      <w:r>
        <w:t xml:space="preserve">From Blood Sugar to the Heart</w:t>
      </w:r>
    </w:p>
    <w:p>
      <w:pPr>
        <w:pStyle w:val="FirstParagraph"/>
      </w:pPr>
      <w:r>
        <w:t xml:space="preserve">A turning point came when, after problems with another diabetes drug, the authorities began requiring from 2008 onward that new diabetes medications demonstrate their cardiovascular safety in large studies. These studies were actually only meant to show that the drugs did not endanger the heart. In the case of the GLP-1 medications, they showed more.</w:t>
      </w:r>
    </w:p>
    <w:p>
      <w:pPr>
        <w:pStyle w:val="BodyText"/>
      </w:pPr>
      <w:r>
        <w:t xml:space="preserve">In the LEADER trial with 9,340 people with type 2 diabetes and high cardiovascular risk, the composite event of cardiovascular death, nonfatal myocardial infarction, or stroke occurred in 13.0% on liraglutide and 14.9% on placebo</w:t>
      </w:r>
      <w:r>
        <w:rPr>
          <w:rStyle w:val="FootnoteReference"/>
        </w:rPr>
        <w:footnoteReference w:id="88"/>
      </w:r>
      <w:r>
        <w:t xml:space="preserve">. In the SUSTAIN-6 trial with 3,297 participants, the figures were 6.6% on semaglutide and 8.9% on placebo; however, retinal complications occurred more frequently on semaglutide</w:t>
      </w:r>
      <w:r>
        <w:rPr>
          <w:rStyle w:val="FootnoteReference"/>
        </w:rPr>
        <w:footnoteReference w:id="89"/>
      </w:r>
      <w:r>
        <w:t xml:space="preserve">.</w:t>
      </w:r>
    </w:p>
    <w:p>
      <w:pPr>
        <w:pStyle w:val="BodyText"/>
      </w:pPr>
      <w:r>
        <w:t xml:space="preserve">In 2023 came the SELECT trial, which for the first time studied people with overweight and cardiovascular disease but without diabetes. Among 17,604 participants, the composite cardiovascular event occurred over a mean of 39.8 months in 6.5% on semaglutide and 8.0% on placebo</w:t>
      </w:r>
      <w:r>
        <w:rPr>
          <w:rStyle w:val="FootnoteReference"/>
        </w:rPr>
        <w:footnoteReference w:id="90"/>
      </w:r>
      <w:r>
        <w:t xml:space="preserve">. This showed that a peptide medication in obesity can influence not only weight but also hard events such as heart attacks. What these percentages mean – and why one must distinguish between relative and absolute differences – is explained in the chapter</w:t>
      </w:r>
      <w:r>
        <w:t xml:space="preserve"> </w:t>
      </w:r>
      <w:r>
        <w:t xml:space="preserve">“</w:t>
      </w:r>
      <w:r>
        <w:t xml:space="preserve">Reading Studies Correctly.</w:t>
      </w:r>
      <w:r>
        <w:t xml:space="preserve">”</w:t>
      </w:r>
    </w:p>
    <w:bookmarkEnd w:id="91"/>
    <w:bookmarkStart w:id="95" w:name="the-tablet-and-the-multi-agonists"/>
    <w:p>
      <w:pPr>
        <w:pStyle w:val="Heading3"/>
      </w:pPr>
      <w:r>
        <w:t xml:space="preserve">The Tablet and the Multi-Agonists</w:t>
      </w:r>
    </w:p>
    <w:p>
      <w:pPr>
        <w:pStyle w:val="FirstParagraph"/>
      </w:pPr>
      <w:r>
        <w:t xml:space="preserve">Two further developments have shaped recent years.</w:t>
      </w:r>
    </w:p>
    <w:p>
      <w:pPr>
        <w:pStyle w:val="BodyText"/>
      </w:pPr>
      <w:r>
        <w:rPr>
          <w:bCs/>
          <w:b/>
        </w:rPr>
        <w:t xml:space="preserve">The first peptide tablet in this class.</w:t>
      </w:r>
      <w:r>
        <w:t xml:space="preserve"> </w:t>
      </w:r>
      <w:r>
        <w:t xml:space="preserve">With a special excipient, it became possible to make semaglutide available as a tablet. In the PIONEER 1 trial, oral semaglutide lowered HbA1c in people with type 2 diabetes considerably more than placebo</w:t>
      </w:r>
      <w:r>
        <w:rPr>
          <w:rStyle w:val="FootnoteReference"/>
        </w:rPr>
        <w:footnoteReference w:id="92"/>
      </w:r>
      <w:r>
        <w:t xml:space="preserve">. How this works technically is explained in the next chapter.</w:t>
      </w:r>
    </w:p>
    <w:p>
      <w:pPr>
        <w:pStyle w:val="BodyText"/>
      </w:pPr>
      <w:r>
        <w:rPr>
          <w:bCs/>
          <w:b/>
        </w:rPr>
        <w:t xml:space="preserve">Combined active substances.</w:t>
      </w:r>
      <w:r>
        <w:t xml:space="preserve"> </w:t>
      </w:r>
      <w:r>
        <w:t xml:space="preserve">Tirzepatide simultaneously activates the GLP-1 and the GIP receptor. In the SURMOUNT-1 trial with 2,539 adults with obesity, mean weight loss after 72 weeks was 15.0% to 20.9% depending on the dose, compared with 3.1% on placebo</w:t>
      </w:r>
      <w:r>
        <w:rPr>
          <w:rStyle w:val="FootnoteReference"/>
        </w:rPr>
        <w:footnoteReference w:id="93"/>
      </w:r>
      <w:r>
        <w:t xml:space="preserve">. Triple agonists such as retatrutide and combinations with the hormone amylin are now being tested in large studies. Part II presents them individually, and Part V takes a look at the pipeline.</w:t>
      </w:r>
    </w:p>
    <w:p>
      <w:pPr>
        <w:pStyle w:val="BodyText"/>
      </w:pPr>
      <w:r>
        <w:t xml:space="preserve">It is remarkable that the incretin GIP, which in the 1980s was considered weaker than GLP-1</w:t>
      </w:r>
      <w:r>
        <w:rPr>
          <w:rStyle w:val="FootnoteReference"/>
        </w:rPr>
        <w:footnoteReference w:id="94"/>
      </w:r>
      <w:r>
        <w:t xml:space="preserve">, is playing a role again in combination. Research rarely proceeds in a straight line.</w:t>
      </w:r>
    </w:p>
    <w:bookmarkEnd w:id="95"/>
    <w:bookmarkStart w:id="96" w:name="the-downside-of-success"/>
    <w:p>
      <w:pPr>
        <w:pStyle w:val="Heading3"/>
      </w:pPr>
      <w:r>
        <w:t xml:space="preserve">The Downside of Success</w:t>
      </w:r>
    </w:p>
    <w:p>
      <w:pPr>
        <w:pStyle w:val="FirstParagraph"/>
      </w:pPr>
      <w:r>
        <w:t xml:space="preserve">The enormous success of the GLP-1 medications had side effects beyond pharmacology. Supply shortages from 2022 onward meant that people with diabetes were at times unable to obtain their medications. In the USA, pharmacies used an exemption rule to produce copycat preparations. Counterfeits appeared worldwide, some of which contained insulin instead of semaglutide. And the growing interest in</w:t>
      </w:r>
      <w:r>
        <w:t xml:space="preserve"> </w:t>
      </w:r>
      <w:r>
        <w:t xml:space="preserve">“</w:t>
      </w:r>
      <w:r>
        <w:t xml:space="preserve">peptides</w:t>
      </w:r>
      <w:r>
        <w:t xml:space="preserve">”</w:t>
      </w:r>
      <w:r>
        <w:t xml:space="preserve"> </w:t>
      </w:r>
      <w:r>
        <w:t xml:space="preserve">in general opened up a market for substances that have never been properly studied in humans. The chapter on the gray market covers this in detail.</w:t>
      </w:r>
    </w:p>
    <w:bookmarkEnd w:id="96"/>
    <w:bookmarkStart w:id="97" w:name="what-history-teaches"/>
    <w:p>
      <w:pPr>
        <w:pStyle w:val="Heading3"/>
      </w:pPr>
      <w:r>
        <w:t xml:space="preserve">What History Teaches</w:t>
      </w:r>
    </w:p>
    <w:p>
      <w:pPr>
        <w:pStyle w:val="FirstParagraph"/>
      </w:pPr>
      <w:r>
        <w:t xml:space="preserve">From a hundred years of peptide medicine, several lessons can be drawn that are useful for evaluating the substances in this book:</w:t>
      </w:r>
    </w:p>
    <w:p>
      <w:pPr>
        <w:numPr>
          <w:ilvl w:val="0"/>
          <w:numId w:val="1008"/>
        </w:numPr>
        <w:pStyle w:val="Compact"/>
      </w:pPr>
      <w:r>
        <w:rPr>
          <w:bCs/>
          <w:b/>
        </w:rPr>
        <w:t xml:space="preserve">Purity is not a detail.</w:t>
      </w:r>
      <w:r>
        <w:t xml:space="preserve"> </w:t>
      </w:r>
      <w:r>
        <w:t xml:space="preserve">From the contaminated insulin extracts of the early days to growth hormone from cadaver pituitary glands, history shows that manufacturing quality can be a matter of life and death.</w:t>
      </w:r>
    </w:p>
    <w:p>
      <w:pPr>
        <w:numPr>
          <w:ilvl w:val="0"/>
          <w:numId w:val="1008"/>
        </w:numPr>
        <w:pStyle w:val="Compact"/>
      </w:pPr>
      <w:r>
        <w:rPr>
          <w:bCs/>
          <w:b/>
        </w:rPr>
        <w:t xml:space="preserve">Mechanism of action does not equal benefit.</w:t>
      </w:r>
      <w:r>
        <w:t xml:space="preserve"> </w:t>
      </w:r>
      <w:r>
        <w:t xml:space="preserve">That a peptide acts on a receptor does not yet mean that it benefits people. For the GLP-1 medications, large studies with thousands of participants and several years of follow-up were needed to show this.</w:t>
      </w:r>
    </w:p>
    <w:p>
      <w:pPr>
        <w:numPr>
          <w:ilvl w:val="0"/>
          <w:numId w:val="1008"/>
        </w:numPr>
        <w:pStyle w:val="Compact"/>
      </w:pPr>
      <w:r>
        <w:rPr>
          <w:bCs/>
          <w:b/>
        </w:rPr>
        <w:t xml:space="preserve">Surprises happen in both directions.</w:t>
      </w:r>
      <w:r>
        <w:t xml:space="preserve"> </w:t>
      </w:r>
      <w:r>
        <w:t xml:space="preserve">The weight loss with exenatide was initially a side note, and the heart-protective effects were discovered in safety studies. Conversely, large studies also revealed unexpected risks, such as the retinal complications in SUSTAIN-6.</w:t>
      </w:r>
    </w:p>
    <w:p>
      <w:pPr>
        <w:numPr>
          <w:ilvl w:val="0"/>
          <w:numId w:val="1008"/>
        </w:numPr>
        <w:pStyle w:val="Compact"/>
      </w:pPr>
      <w:r>
        <w:rPr>
          <w:bCs/>
          <w:b/>
        </w:rPr>
        <w:t xml:space="preserve">Good ideas take time.</w:t>
      </w:r>
      <w:r>
        <w:t xml:space="preserve"> </w:t>
      </w:r>
      <w:r>
        <w:t xml:space="preserve">More than three decades passed between the description of GLP-1 in humans in 1987 and the approval of semaglutide for weight management. Peptides that are advertised on the internet today as a</w:t>
      </w:r>
      <w:r>
        <w:t xml:space="preserve"> </w:t>
      </w:r>
      <w:r>
        <w:t xml:space="preserve">“</w:t>
      </w:r>
      <w:r>
        <w:t xml:space="preserve">breakthrough</w:t>
      </w:r>
      <w:r>
        <w:t xml:space="preserve">”</w:t>
      </w:r>
      <w:r>
        <w:t xml:space="preserve"> </w:t>
      </w:r>
      <w:r>
        <w:t xml:space="preserve">without a single controlled human study are, at best, at the beginning of such a path.</w:t>
      </w:r>
    </w:p>
    <w:bookmarkEnd w:id="97"/>
    <w:bookmarkStart w:id="98" w:name="timeline"/>
    <w:p>
      <w:pPr>
        <w:pStyle w:val="Heading3"/>
      </w:pPr>
      <w:r>
        <w:t xml:space="preserve">Timeline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Year</w:t>
            </w:r>
          </w:p>
        </w:tc>
        <w:tc>
          <w:tcPr/>
          <w:p>
            <w:pPr>
              <w:pStyle w:val="Compact"/>
              <w:jc w:val="left"/>
            </w:pPr>
            <w:r>
              <w:t xml:space="preserve">Event</w:t>
            </w:r>
          </w:p>
        </w:tc>
      </w:tr>
      <w:tr>
        <w:tc>
          <w:tcPr/>
          <w:p>
            <w:pPr>
              <w:pStyle w:val="Compact"/>
              <w:jc w:val="left"/>
            </w:pPr>
            <w:r>
              <w:t xml:space="preserve">1902</w:t>
            </w:r>
          </w:p>
        </w:tc>
        <w:tc>
          <w:tcPr/>
          <w:p>
            <w:pPr>
              <w:pStyle w:val="Compact"/>
              <w:jc w:val="left"/>
            </w:pPr>
            <w:r>
              <w:t xml:space="preserve">Secretin described, the first hormone (a peptide)</w:t>
            </w:r>
          </w:p>
        </w:tc>
      </w:tr>
      <w:tr>
        <w:tc>
          <w:tcPr/>
          <w:p>
            <w:pPr>
              <w:pStyle w:val="Compact"/>
              <w:jc w:val="left"/>
            </w:pPr>
            <w:r>
              <w:t xml:space="preserve">1922</w:t>
            </w:r>
          </w:p>
        </w:tc>
        <w:tc>
          <w:tcPr/>
          <w:p>
            <w:pPr>
              <w:pStyle w:val="Compact"/>
              <w:jc w:val="left"/>
            </w:pPr>
            <w:r>
              <w:t xml:space="preserve">First insulin treatment of a human in Toronto</w:t>
            </w:r>
          </w:p>
        </w:tc>
      </w:tr>
      <w:tr>
        <w:tc>
          <w:tcPr/>
          <w:p>
            <w:pPr>
              <w:pStyle w:val="Compact"/>
              <w:jc w:val="left"/>
            </w:pPr>
            <w:r>
              <w:t xml:space="preserve">1951–1955</w:t>
            </w:r>
          </w:p>
        </w:tc>
        <w:tc>
          <w:tcPr/>
          <w:p>
            <w:pPr>
              <w:pStyle w:val="Compact"/>
              <w:jc w:val="left"/>
            </w:pPr>
            <w:r>
              <w:t xml:space="preserve">Sanger deciphers the insulin sequence</w:t>
            </w:r>
          </w:p>
        </w:tc>
      </w:tr>
      <w:tr>
        <w:tc>
          <w:tcPr/>
          <w:p>
            <w:pPr>
              <w:pStyle w:val="Compact"/>
              <w:jc w:val="left"/>
            </w:pPr>
            <w:r>
              <w:t xml:space="preserve">1953</w:t>
            </w:r>
          </w:p>
        </w:tc>
        <w:tc>
          <w:tcPr/>
          <w:p>
            <w:pPr>
              <w:pStyle w:val="Compact"/>
              <w:jc w:val="left"/>
            </w:pPr>
            <w:r>
              <w:t xml:space="preserve">First chemical synthesis of a peptide hormone (oxytocin)</w:t>
            </w:r>
          </w:p>
        </w:tc>
      </w:tr>
      <w:tr>
        <w:tc>
          <w:tcPr/>
          <w:p>
            <w:pPr>
              <w:pStyle w:val="Compact"/>
              <w:jc w:val="left"/>
            </w:pPr>
            <w:r>
              <w:t xml:space="preserve">1960s</w:t>
            </w:r>
          </w:p>
        </w:tc>
        <w:tc>
          <w:tcPr/>
          <w:p>
            <w:pPr>
              <w:pStyle w:val="Compact"/>
              <w:jc w:val="left"/>
            </w:pPr>
            <w:r>
              <w:t xml:space="preserve">Solid-phase synthesis (Merrifield), radioimmunoassay</w:t>
            </w:r>
          </w:p>
        </w:tc>
      </w:tr>
      <w:tr>
        <w:tc>
          <w:tcPr/>
          <w:p>
            <w:pPr>
              <w:pStyle w:val="Compact"/>
              <w:jc w:val="left"/>
            </w:pPr>
            <w:r>
              <w:t xml:space="preserve">1980</w:t>
            </w:r>
          </w:p>
        </w:tc>
        <w:tc>
          <w:tcPr/>
          <w:p>
            <w:pPr>
              <w:pStyle w:val="Compact"/>
              <w:jc w:val="left"/>
            </w:pPr>
            <w:r>
              <w:t xml:space="preserve">Genetically engineered human insulin in clinical studies</w:t>
            </w:r>
          </w:p>
        </w:tc>
      </w:tr>
      <w:tr>
        <w:tc>
          <w:tcPr/>
          <w:p>
            <w:pPr>
              <w:pStyle w:val="Compact"/>
              <w:jc w:val="left"/>
            </w:pPr>
            <w:r>
              <w:t xml:space="preserve">1985</w:t>
            </w:r>
          </w:p>
        </w:tc>
        <w:tc>
          <w:tcPr/>
          <w:p>
            <w:pPr>
              <w:pStyle w:val="Compact"/>
              <w:jc w:val="left"/>
            </w:pPr>
            <w:r>
              <w:t xml:space="preserve">End of growth hormone extraction from pituitary glands</w:t>
            </w:r>
          </w:p>
        </w:tc>
      </w:tr>
      <w:tr>
        <w:tc>
          <w:tcPr/>
          <w:p>
            <w:pPr>
              <w:pStyle w:val="Compact"/>
              <w:jc w:val="left"/>
            </w:pPr>
            <w:r>
              <w:t xml:space="preserve">1987</w:t>
            </w:r>
          </w:p>
        </w:tc>
        <w:tc>
          <w:tcPr/>
          <w:p>
            <w:pPr>
              <w:pStyle w:val="Compact"/>
              <w:jc w:val="left"/>
            </w:pPr>
            <w:r>
              <w:t xml:space="preserve">GLP-1 described as an incretin in humans</w:t>
            </w:r>
          </w:p>
        </w:tc>
      </w:tr>
      <w:tr>
        <w:tc>
          <w:tcPr/>
          <w:p>
            <w:pPr>
              <w:pStyle w:val="Compact"/>
              <w:jc w:val="left"/>
            </w:pPr>
            <w:r>
              <w:t xml:space="preserve">1992</w:t>
            </w:r>
          </w:p>
        </w:tc>
        <w:tc>
          <w:tcPr/>
          <w:p>
            <w:pPr>
              <w:pStyle w:val="Compact"/>
              <w:jc w:val="left"/>
            </w:pPr>
            <w:r>
              <w:t xml:space="preserve">Exendin-4 discovered in lizard venom</w:t>
            </w:r>
          </w:p>
        </w:tc>
      </w:tr>
      <w:tr>
        <w:tc>
          <w:tcPr/>
          <w:p>
            <w:pPr>
              <w:pStyle w:val="Compact"/>
              <w:jc w:val="left"/>
            </w:pPr>
            <w:r>
              <w:t xml:space="preserve">2005</w:t>
            </w:r>
          </w:p>
        </w:tc>
        <w:tc>
          <w:tcPr/>
          <w:p>
            <w:pPr>
              <w:pStyle w:val="Compact"/>
              <w:jc w:val="left"/>
            </w:pPr>
            <w:r>
              <w:t xml:space="preserve">Exenatide approved in the USA</w:t>
            </w:r>
          </w:p>
        </w:tc>
      </w:tr>
      <w:tr>
        <w:tc>
          <w:tcPr/>
          <w:p>
            <w:pPr>
              <w:pStyle w:val="Compact"/>
              <w:jc w:val="left"/>
            </w:pPr>
            <w:r>
              <w:t xml:space="preserve">2009</w:t>
            </w:r>
          </w:p>
        </w:tc>
        <w:tc>
          <w:tcPr/>
          <w:p>
            <w:pPr>
              <w:pStyle w:val="Compact"/>
              <w:jc w:val="left"/>
            </w:pPr>
            <w:r>
              <w:t xml:space="preserve">Liraglutide approved in the EU</w:t>
            </w:r>
          </w:p>
        </w:tc>
      </w:tr>
      <w:tr>
        <w:tc>
          <w:tcPr/>
          <w:p>
            <w:pPr>
              <w:pStyle w:val="Compact"/>
              <w:jc w:val="left"/>
            </w:pPr>
            <w:r>
              <w:t xml:space="preserve">2016</w:t>
            </w:r>
          </w:p>
        </w:tc>
        <w:tc>
          <w:tcPr/>
          <w:p>
            <w:pPr>
              <w:pStyle w:val="Compact"/>
              <w:jc w:val="left"/>
            </w:pPr>
            <w:r>
              <w:t xml:space="preserve">LEADER and SUSTAIN-6: fewer cardiovascular events</w:t>
            </w:r>
          </w:p>
        </w:tc>
      </w:tr>
      <w:tr>
        <w:tc>
          <w:tcPr/>
          <w:p>
            <w:pPr>
              <w:pStyle w:val="Compact"/>
              <w:jc w:val="left"/>
            </w:pPr>
            <w:r>
              <w:t xml:space="preserve">2019</w:t>
            </w:r>
          </w:p>
        </w:tc>
        <w:tc>
          <w:tcPr/>
          <w:p>
            <w:pPr>
              <w:pStyle w:val="Compact"/>
              <w:jc w:val="left"/>
            </w:pPr>
            <w:r>
              <w:t xml:space="preserve">First GLP-1 tablet (oral semaglutide)</w:t>
            </w:r>
          </w:p>
        </w:tc>
      </w:tr>
      <w:tr>
        <w:tc>
          <w:tcPr/>
          <w:p>
            <w:pPr>
              <w:pStyle w:val="Compact"/>
              <w:jc w:val="left"/>
            </w:pPr>
            <w:r>
              <w:t xml:space="preserve">2021</w:t>
            </w:r>
          </w:p>
        </w:tc>
        <w:tc>
          <w:tcPr/>
          <w:p>
            <w:pPr>
              <w:pStyle w:val="Compact"/>
              <w:jc w:val="left"/>
            </w:pPr>
            <w:r>
              <w:t xml:space="preserve">Semaglutide for weight management (STEP program)</w:t>
            </w:r>
          </w:p>
        </w:tc>
      </w:tr>
      <w:tr>
        <w:tc>
          <w:tcPr/>
          <w:p>
            <w:pPr>
              <w:pStyle w:val="Compact"/>
              <w:jc w:val="left"/>
            </w:pPr>
            <w:r>
              <w:t xml:space="preserve">2022</w:t>
            </w:r>
          </w:p>
        </w:tc>
        <w:tc>
          <w:tcPr/>
          <w:p>
            <w:pPr>
              <w:pStyle w:val="Compact"/>
              <w:jc w:val="left"/>
            </w:pPr>
            <w:r>
              <w:t xml:space="preserve">Tirzepatide: first GIP/GLP-1 dual agonist</w:t>
            </w:r>
          </w:p>
        </w:tc>
      </w:tr>
      <w:tr>
        <w:tc>
          <w:tcPr/>
          <w:p>
            <w:pPr>
              <w:pStyle w:val="Compact"/>
              <w:jc w:val="left"/>
            </w:pPr>
            <w:r>
              <w:t xml:space="preserve">2023</w:t>
            </w:r>
          </w:p>
        </w:tc>
        <w:tc>
          <w:tcPr/>
          <w:p>
            <w:pPr>
              <w:pStyle w:val="Compact"/>
              <w:jc w:val="left"/>
            </w:pPr>
            <w:r>
              <w:t xml:space="preserve">SELECT: cardioprotection in obesity without diabetes</w:t>
            </w:r>
          </w:p>
        </w:tc>
      </w:tr>
    </w:tbl>
    <w:p>
      <w:pPr>
        <w:pStyle w:val="BodyText"/>
      </w:pPr>
      <w:r>
        <w:t xml:space="preserve">The approval years refer to the respective first approval; in other countries and for further indications, different dates sometimes apply. Status as of 2026; please check for current information if needed.</w:t>
      </w:r>
    </w:p>
    <w:bookmarkEnd w:id="98"/>
    <w:bookmarkEnd w:id="99"/>
    <w:bookmarkStart w:id="134" w:name="Xaec05fd6613ddc919103ad689deab410e66aa52"/>
    <w:p>
      <w:pPr>
        <w:pStyle w:val="Heading2"/>
      </w:pPr>
      <w:r>
        <w:t xml:space="preserve">How Peptides Get into the Body – and Why That Is Difficult</w:t>
      </w:r>
    </w:p>
    <w:p>
      <w:pPr>
        <w:pStyle w:val="FirstParagraph"/>
      </w:pPr>
      <w:r>
        <w:t xml:space="preserve">Almost every peptide medication you know is injected: insulin, semaglutide, tirzepatide, teriparatide. This is neither a coincidence nor a preference of the pharmaceutical industry, but a consequence of biology. The human body is extremely good at breaking down proteins and peptides – after all, it lives by splitting the proteins in food into their building blocks. This chapter explains which hurdles a peptide must overcome on its way to its site of action, which routes medicine has found, and why many promises about drops, capsules, and creams should be viewed with caution.</w:t>
      </w:r>
    </w:p>
    <w:bookmarkStart w:id="101" w:name="the-fundamental-problem-bioavailability"/>
    <w:p>
      <w:pPr>
        <w:pStyle w:val="Heading3"/>
      </w:pPr>
      <w:r>
        <w:t xml:space="preserve">The Fundamental Problem: Bioavailability</w:t>
      </w:r>
    </w:p>
    <w:p>
      <w:pPr>
        <w:pStyle w:val="FirstParagraph"/>
      </w:pPr>
      <w:r>
        <w:t xml:space="preserve">A key term in this chapter is</w:t>
      </w:r>
      <w:r>
        <w:t xml:space="preserve"> </w:t>
      </w:r>
      <w:r>
        <w:rPr>
          <w:bCs/>
          <w:b/>
        </w:rPr>
        <w:t xml:space="preserve">bioavailability</w:t>
      </w:r>
      <w:r>
        <w:t xml:space="preserve">. It indicates what proportion of an administered amount actually arrives unchanged in the bloodstream. With an infusion directly into a vein, this is by definition 100%. With all other routes, part of it is lost – through breakdown, through barriers, or because the substance is simply excreted again.</w:t>
      </w:r>
    </w:p>
    <w:p>
      <w:pPr>
        <w:pStyle w:val="BodyText"/>
      </w:pPr>
      <w:r>
        <w:t xml:space="preserve">For peptides, bioavailability is particularly critical because three properties come together:</w:t>
      </w:r>
    </w:p>
    <w:p>
      <w:pPr>
        <w:numPr>
          <w:ilvl w:val="0"/>
          <w:numId w:val="1009"/>
        </w:numPr>
        <w:pStyle w:val="Compact"/>
      </w:pPr>
      <w:r>
        <w:rPr>
          <w:bCs/>
          <w:b/>
        </w:rPr>
        <w:t xml:space="preserve">They are sensitive to enzymes.</w:t>
      </w:r>
      <w:r>
        <w:t xml:space="preserve"> </w:t>
      </w:r>
      <w:r>
        <w:t xml:space="preserve">Peptide bonds are specifically cleaved by digestive enzymes such as pepsin in the stomach or trypsin in the small intestine, as well as by numerous enzymes in the blood and tissues.</w:t>
      </w:r>
    </w:p>
    <w:p>
      <w:pPr>
        <w:numPr>
          <w:ilvl w:val="0"/>
          <w:numId w:val="1009"/>
        </w:numPr>
        <w:pStyle w:val="Compact"/>
      </w:pPr>
      <w:r>
        <w:rPr>
          <w:bCs/>
          <w:b/>
        </w:rPr>
        <w:t xml:space="preserve">They are large.</w:t>
      </w:r>
      <w:r>
        <w:t xml:space="preserve"> </w:t>
      </w:r>
      <w:r>
        <w:t xml:space="preserve">Compared with classic drugs such as ibuprofen, most peptides are huge. Even a peptide of ten amino acids weighs more than 1,000 daltons.</w:t>
      </w:r>
    </w:p>
    <w:p>
      <w:pPr>
        <w:numPr>
          <w:ilvl w:val="0"/>
          <w:numId w:val="1009"/>
        </w:numPr>
        <w:pStyle w:val="Compact"/>
      </w:pPr>
      <w:r>
        <w:rPr>
          <w:bCs/>
          <w:b/>
        </w:rPr>
        <w:t xml:space="preserve">They are mostly water-soluble and often electrically charged.</w:t>
      </w:r>
      <w:r>
        <w:t xml:space="preserve"> </w:t>
      </w:r>
      <w:r>
        <w:t xml:space="preserve">This makes it difficult for them to pass through the fatty membranes of cells.</w:t>
      </w:r>
    </w:p>
    <w:p>
      <w:pPr>
        <w:pStyle w:val="FirstParagraph"/>
      </w:pPr>
      <w:r>
        <w:t xml:space="preserve">Every route of administration is an attempt to get around these hurdles. A review of oral peptides summarizes that protein and peptide drugs generally have to be administered by bypassing the digestive tract, which can impair treatment adherence</w:t>
      </w:r>
      <w:r>
        <w:rPr>
          <w:rStyle w:val="FootnoteReference"/>
        </w:rPr>
        <w:footnoteReference w:id="100"/>
      </w:r>
      <w:r>
        <w:t xml:space="preserve">.</w:t>
      </w:r>
    </w:p>
    <w:bookmarkEnd w:id="101"/>
    <w:bookmarkStart w:id="105" w:name="X91af59c520524263703bea400965de31670c6cb"/>
    <w:p>
      <w:pPr>
        <w:pStyle w:val="Heading3"/>
      </w:pPr>
      <w:r>
        <w:t xml:space="preserve">The Injection: Standard Route with Drawbacks</w:t>
      </w:r>
    </w:p>
    <w:p>
      <w:pPr>
        <w:pStyle w:val="FirstParagraph"/>
      </w:pPr>
      <w:r>
        <w:t xml:space="preserve">Most peptide medications are injected</w:t>
      </w:r>
      <w:r>
        <w:t xml:space="preserve"> </w:t>
      </w:r>
      <w:r>
        <w:rPr>
          <w:bCs/>
          <w:b/>
        </w:rPr>
        <w:t xml:space="preserve">subcutaneously</w:t>
      </w:r>
      <w:r>
        <w:t xml:space="preserve">, i.e., into the fatty tissue under the skin – typically in the abdomen, thigh, or upper arm. From there, the drug enters the circulation via small blood vessels and lymphatic vessels. Bioavailability is high, and patients can administer the injection themselves after training. Less often, peptides are given into the muscle (</w:t>
      </w:r>
      <w:r>
        <w:rPr>
          <w:bCs/>
          <w:b/>
        </w:rPr>
        <w:t xml:space="preserve">intramuscularly</w:t>
      </w:r>
      <w:r>
        <w:t xml:space="preserve">) or directly into a vein (</w:t>
      </w:r>
      <w:r>
        <w:rPr>
          <w:bCs/>
          <w:b/>
        </w:rPr>
        <w:t xml:space="preserve">intravenously</w:t>
      </w:r>
      <w:r>
        <w:t xml:space="preserve">), for example in the hospital.</w:t>
      </w:r>
    </w:p>
    <w:p>
      <w:pPr>
        <w:pStyle w:val="BodyText"/>
      </w:pPr>
      <w:r>
        <w:t xml:space="preserve">Although injection bypasses the digestive tract, it does not bypass the enzymes in the blood. Pharmaceutical research has therefore put a great deal of effort into making peptides last longer:</w:t>
      </w:r>
    </w:p>
    <w:p>
      <w:pPr>
        <w:numPr>
          <w:ilvl w:val="0"/>
          <w:numId w:val="1010"/>
        </w:numPr>
        <w:pStyle w:val="Compact"/>
      </w:pPr>
      <w:r>
        <w:rPr>
          <w:bCs/>
          <w:b/>
        </w:rPr>
        <w:t xml:space="preserve">Exchanging amino acids</w:t>
      </w:r>
      <w:r>
        <w:t xml:space="preserve"> </w:t>
      </w:r>
      <w:r>
        <w:t xml:space="preserve">at the sites where enzymes attack.</w:t>
      </w:r>
    </w:p>
    <w:p>
      <w:pPr>
        <w:numPr>
          <w:ilvl w:val="0"/>
          <w:numId w:val="1010"/>
        </w:numPr>
        <w:pStyle w:val="Compact"/>
      </w:pPr>
      <w:r>
        <w:rPr>
          <w:bCs/>
          <w:b/>
        </w:rPr>
        <w:t xml:space="preserve">Attaching fatty acids</w:t>
      </w:r>
      <w:r>
        <w:t xml:space="preserve"> </w:t>
      </w:r>
      <w:r>
        <w:t xml:space="preserve">so that the peptide binds to the blood protein albumin. Liraglutide and semaglutide use this principle</w:t>
      </w:r>
      <w:r>
        <w:rPr>
          <w:rStyle w:val="FootnoteReference"/>
        </w:rPr>
        <w:footnoteReference w:id="102"/>
      </w:r>
      <w:r>
        <w:t xml:space="preserve">. In semaglutide, this results in a half-life of about one week</w:t>
      </w:r>
      <w:r>
        <w:rPr>
          <w:rStyle w:val="FootnoteReference"/>
        </w:rPr>
        <w:footnoteReference w:id="103"/>
      </w:r>
      <w:r>
        <w:t xml:space="preserve">.</w:t>
      </w:r>
    </w:p>
    <w:p>
      <w:pPr>
        <w:numPr>
          <w:ilvl w:val="0"/>
          <w:numId w:val="1010"/>
        </w:numPr>
        <w:pStyle w:val="Compact"/>
      </w:pPr>
      <w:r>
        <w:rPr>
          <w:bCs/>
          <w:b/>
        </w:rPr>
        <w:t xml:space="preserve">Coupling to larger molecules</w:t>
      </w:r>
      <w:r>
        <w:t xml:space="preserve">, for example to parts of antibodies or to polymers such as polyethylene glycol. Dulaglutide is an example of a GLP-1 molecule bound to an antibody fragment.</w:t>
      </w:r>
    </w:p>
    <w:p>
      <w:pPr>
        <w:numPr>
          <w:ilvl w:val="0"/>
          <w:numId w:val="1010"/>
        </w:numPr>
        <w:pStyle w:val="Compact"/>
      </w:pPr>
      <w:r>
        <w:rPr>
          <w:bCs/>
          <w:b/>
        </w:rPr>
        <w:t xml:space="preserve">Depot formulations</w:t>
      </w:r>
      <w:r>
        <w:t xml:space="preserve">, in which the drug is embedded in tiny microspheres or gels from which it is released slowly.</w:t>
      </w:r>
    </w:p>
    <w:p>
      <w:pPr>
        <w:pStyle w:val="FirstParagraph"/>
      </w:pPr>
      <w:r>
        <w:t xml:space="preserve">For users, injections also come with obligations: the product must be sterile, the needle may only be used once, and many preparations must be stored refrigerated. Prefilled pens with set dose increments considerably reduce the risk of errors. How important this is is shown by a case series from a US poison control center: with semaglutide that had been dispensed by pharmacies as vials with syringes, tenfold overdoses occurred, partly because milliliters,</w:t>
      </w:r>
      <w:r>
        <w:t xml:space="preserve"> </w:t>
      </w:r>
      <w:r>
        <w:t xml:space="preserve">“</w:t>
      </w:r>
      <w:r>
        <w:t xml:space="preserve">units,</w:t>
      </w:r>
      <w:r>
        <w:t xml:space="preserve">”</w:t>
      </w:r>
      <w:r>
        <w:t xml:space="preserve"> </w:t>
      </w:r>
      <w:r>
        <w:t xml:space="preserve">and milligrams were confused</w:t>
      </w:r>
      <w:r>
        <w:rPr>
          <w:rStyle w:val="FootnoteReference"/>
        </w:rPr>
        <w:footnoteReference w:id="104"/>
      </w:r>
      <w:r>
        <w:t xml:space="preserve">. More on this in the chapter on the gray market.</w:t>
      </w:r>
    </w:p>
    <w:bookmarkEnd w:id="105"/>
    <w:bookmarkStart w:id="107" w:name="the-tablet-the-most-difficult-route"/>
    <w:p>
      <w:pPr>
        <w:pStyle w:val="Heading3"/>
      </w:pPr>
      <w:r>
        <w:t xml:space="preserve">The Tablet: The Most Difficult Route</w:t>
      </w:r>
    </w:p>
    <w:p>
      <w:pPr>
        <w:pStyle w:val="FirstParagraph"/>
      </w:pPr>
      <w:r>
        <w:t xml:space="preserve">For most people, a tablet would be the most convenient solution. For peptides, it is also the most demanding. Several obstacles lie in wait on the way from the mouth to the blood:</w:t>
      </w:r>
    </w:p>
    <w:p>
      <w:pPr>
        <w:numPr>
          <w:ilvl w:val="0"/>
          <w:numId w:val="1011"/>
        </w:numPr>
        <w:pStyle w:val="Compact"/>
      </w:pPr>
      <w:r>
        <w:rPr>
          <w:bCs/>
          <w:b/>
        </w:rPr>
        <w:t xml:space="preserve">Stomach acid</w:t>
      </w:r>
      <w:r>
        <w:t xml:space="preserve"> </w:t>
      </w:r>
      <w:r>
        <w:t xml:space="preserve">can destroy the three-dimensional structure of peptides.</w:t>
      </w:r>
    </w:p>
    <w:p>
      <w:pPr>
        <w:numPr>
          <w:ilvl w:val="0"/>
          <w:numId w:val="1011"/>
        </w:numPr>
        <w:pStyle w:val="Compact"/>
      </w:pPr>
      <w:r>
        <w:rPr>
          <w:bCs/>
          <w:b/>
        </w:rPr>
        <w:t xml:space="preserve">Pepsin</w:t>
      </w:r>
      <w:r>
        <w:t xml:space="preserve"> </w:t>
      </w:r>
      <w:r>
        <w:t xml:space="preserve">in the stomach and</w:t>
      </w:r>
      <w:r>
        <w:t xml:space="preserve"> </w:t>
      </w:r>
      <w:r>
        <w:rPr>
          <w:bCs/>
          <w:b/>
        </w:rPr>
        <w:t xml:space="preserve">pancreatic enzymes</w:t>
      </w:r>
      <w:r>
        <w:t xml:space="preserve"> </w:t>
      </w:r>
      <w:r>
        <w:t xml:space="preserve">in the small intestine break peptides down into small fragments.</w:t>
      </w:r>
    </w:p>
    <w:p>
      <w:pPr>
        <w:numPr>
          <w:ilvl w:val="0"/>
          <w:numId w:val="1011"/>
        </w:numPr>
        <w:pStyle w:val="Compact"/>
      </w:pPr>
      <w:r>
        <w:t xml:space="preserve">A</w:t>
      </w:r>
      <w:r>
        <w:t xml:space="preserve"> </w:t>
      </w:r>
      <w:r>
        <w:rPr>
          <w:bCs/>
          <w:b/>
        </w:rPr>
        <w:t xml:space="preserve">mucus layer</w:t>
      </w:r>
      <w:r>
        <w:t xml:space="preserve"> </w:t>
      </w:r>
      <w:r>
        <w:t xml:space="preserve">over the intestinal lining holds back large molecules.</w:t>
      </w:r>
    </w:p>
    <w:p>
      <w:pPr>
        <w:numPr>
          <w:ilvl w:val="0"/>
          <w:numId w:val="1011"/>
        </w:numPr>
        <w:pStyle w:val="Compact"/>
      </w:pPr>
      <w:r>
        <w:t xml:space="preserve">The</w:t>
      </w:r>
      <w:r>
        <w:t xml:space="preserve"> </w:t>
      </w:r>
      <w:r>
        <w:rPr>
          <w:bCs/>
          <w:b/>
        </w:rPr>
        <w:t xml:space="preserve">intestinal cells</w:t>
      </w:r>
      <w:r>
        <w:t xml:space="preserve"> </w:t>
      </w:r>
      <w:r>
        <w:t xml:space="preserve">themselves are tightly joined to one another. Large, water-soluble molecules can pass neither through the cells nor between them.</w:t>
      </w:r>
    </w:p>
    <w:p>
      <w:pPr>
        <w:numPr>
          <w:ilvl w:val="0"/>
          <w:numId w:val="1011"/>
        </w:numPr>
        <w:pStyle w:val="Compact"/>
      </w:pPr>
      <w:r>
        <w:t xml:space="preserve">Whatever does make it into the blood first passes through the</w:t>
      </w:r>
      <w:r>
        <w:t xml:space="preserve"> </w:t>
      </w:r>
      <w:r>
        <w:rPr>
          <w:bCs/>
          <w:b/>
        </w:rPr>
        <w:t xml:space="preserve">liver</w:t>
      </w:r>
      <w:r>
        <w:t xml:space="preserve">, which can break down another portion.</w:t>
      </w:r>
    </w:p>
    <w:p>
      <w:pPr>
        <w:pStyle w:val="FirstParagraph"/>
      </w:pPr>
      <w:r>
        <w:t xml:space="preserve">Drucker’s review names as possible solutions substances that increase permeability, inhibitors of digestive enzymes, and mucus- and cell-penetrating carrier peptides. In clinical studies, oral forms of insulin, calcitonin, parathyroid hormone, and vasopressin, among others, have been tested</w:t>
      </w:r>
      <w:r>
        <w:rPr>
          <w:rStyle w:val="FootnoteReference"/>
        </w:rPr>
        <w:footnoteReference w:id="106"/>
      </w:r>
      <w:r>
        <w:t xml:space="preserve">. The breakthrough for a widely used drug, however, came only with the semaglutide tablet.</w:t>
      </w:r>
    </w:p>
    <w:bookmarkEnd w:id="107"/>
    <w:bookmarkStart w:id="117" w:name="Xa0c0265146d845497c7d03ef00e30e78f4383b1"/>
    <w:p>
      <w:pPr>
        <w:pStyle w:val="Heading3"/>
      </w:pPr>
      <w:r>
        <w:t xml:space="preserve">The SNAC Technology: How the Semaglutide Tablet Works</w:t>
      </w:r>
    </w:p>
    <w:p>
      <w:pPr>
        <w:pStyle w:val="FirstParagraph"/>
      </w:pPr>
      <w:r>
        <w:t xml:space="preserve">In addition to the drug, the semaglutide tablet contains an excipient called</w:t>
      </w:r>
      <w:r>
        <w:t xml:space="preserve"> </w:t>
      </w:r>
      <w:r>
        <w:rPr>
          <w:bCs/>
          <w:b/>
        </w:rPr>
        <w:t xml:space="preserve">SNAC</w:t>
      </w:r>
      <w:r>
        <w:t xml:space="preserve"> </w:t>
      </w:r>
      <w:r>
        <w:t xml:space="preserve">(sodium N-[8-(2-hydroxybenzoyl)amino]caprylate). A study that combined data from investigations in humans and dogs clarified what happens</w:t>
      </w:r>
      <w:r>
        <w:rPr>
          <w:rStyle w:val="FootnoteReference"/>
        </w:rPr>
        <w:footnoteReference w:id="108"/>
      </w:r>
      <w:r>
        <w:t xml:space="preserve">:</w:t>
      </w:r>
    </w:p>
    <w:p>
      <w:pPr>
        <w:numPr>
          <w:ilvl w:val="0"/>
          <w:numId w:val="1012"/>
        </w:numPr>
        <w:pStyle w:val="Compact"/>
      </w:pPr>
      <w:r>
        <w:t xml:space="preserve">Surprisingly, absorption does not take place in the intestine but</w:t>
      </w:r>
      <w:r>
        <w:t xml:space="preserve"> </w:t>
      </w:r>
      <w:r>
        <w:rPr>
          <w:bCs/>
          <w:b/>
        </w:rPr>
        <w:t xml:space="preserve">in the stomach</w:t>
      </w:r>
      <w:r>
        <w:t xml:space="preserve">.</w:t>
      </w:r>
    </w:p>
    <w:p>
      <w:pPr>
        <w:numPr>
          <w:ilvl w:val="0"/>
          <w:numId w:val="1012"/>
        </w:numPr>
        <w:pStyle w:val="Compact"/>
      </w:pPr>
      <w:r>
        <w:t xml:space="preserve">It is limited to a small area</w:t>
      </w:r>
      <w:r>
        <w:t xml:space="preserve"> </w:t>
      </w:r>
      <w:r>
        <w:rPr>
          <w:bCs/>
          <w:b/>
        </w:rPr>
        <w:t xml:space="preserve">directly at the tablet surface</w:t>
      </w:r>
      <w:r>
        <w:t xml:space="preserve">.</w:t>
      </w:r>
    </w:p>
    <w:p>
      <w:pPr>
        <w:numPr>
          <w:ilvl w:val="0"/>
          <w:numId w:val="1012"/>
        </w:numPr>
        <w:pStyle w:val="Compact"/>
      </w:pPr>
      <w:r>
        <w:t xml:space="preserve">There, SNAC locally buffers the stomach acid and thus</w:t>
      </w:r>
      <w:r>
        <w:t xml:space="preserve"> </w:t>
      </w:r>
      <w:r>
        <w:rPr>
          <w:bCs/>
          <w:b/>
        </w:rPr>
        <w:t xml:space="preserve">protects</w:t>
      </w:r>
      <w:r>
        <w:t xml:space="preserve"> </w:t>
      </w:r>
      <w:r>
        <w:t xml:space="preserve">semaglutide from breakdown by enzymes.</w:t>
      </w:r>
    </w:p>
    <w:p>
      <w:pPr>
        <w:numPr>
          <w:ilvl w:val="0"/>
          <w:numId w:val="1012"/>
        </w:numPr>
        <w:pStyle w:val="Compact"/>
      </w:pPr>
      <w:r>
        <w:t xml:space="preserve">SNAC increases the permeability of the gastric mucosa only</w:t>
      </w:r>
      <w:r>
        <w:t xml:space="preserve"> </w:t>
      </w:r>
      <w:r>
        <w:rPr>
          <w:bCs/>
          <w:b/>
        </w:rPr>
        <w:t xml:space="preserve">briefly</w:t>
      </w:r>
      <w:r>
        <w:t xml:space="preserve">.</w:t>
      </w:r>
    </w:p>
    <w:p>
      <w:pPr>
        <w:numPr>
          <w:ilvl w:val="0"/>
          <w:numId w:val="1012"/>
        </w:numPr>
        <w:pStyle w:val="Compact"/>
      </w:pPr>
      <w:r>
        <w:t xml:space="preserve">Semaglutide passes</w:t>
      </w:r>
      <w:r>
        <w:t xml:space="preserve"> </w:t>
      </w:r>
      <w:r>
        <w:rPr>
          <w:bCs/>
          <w:b/>
        </w:rPr>
        <w:t xml:space="preserve">through the cells</w:t>
      </w:r>
      <w:r>
        <w:t xml:space="preserve"> </w:t>
      </w:r>
      <w:r>
        <w:t xml:space="preserve">into the blood without opening the junctions between cells.</w:t>
      </w:r>
    </w:p>
    <w:p>
      <w:pPr>
        <w:pStyle w:val="FirstParagraph"/>
      </w:pPr>
      <w:r>
        <w:t xml:space="preserve">A more recent review adds that SNAC raises the pH in the immediate vicinity, dampens the activation of pepsin, and helps semaglutide to exist as single molecules instead of clustering into larger assemblies that are less easily absorbed</w:t>
      </w:r>
      <w:r>
        <w:rPr>
          <w:rStyle w:val="FootnoteReference"/>
        </w:rPr>
        <w:footnoteReference w:id="109"/>
      </w:r>
      <w:r>
        <w:t xml:space="preserve">.</w:t>
      </w:r>
    </w:p>
    <w:p>
      <w:pPr>
        <w:pStyle w:val="BodyText"/>
      </w:pPr>
      <w:r>
        <w:t xml:space="preserve">Despite this technology, the yield is low. The same review gives the absolute bioavailability of oral semaglutide as only about 0.4 to 1% – and that under optimized conditions: on an empty stomach and with little water. After a meal, practically no semaglutide can be detected in the blood</w:t>
      </w:r>
      <w:r>
        <w:rPr>
          <w:rStyle w:val="FootnoteReference"/>
        </w:rPr>
        <w:footnoteReference w:id="110"/>
      </w:r>
      <w:r>
        <w:t xml:space="preserve">. For this reason, strict rules for taking the tablet apply; they are described in the prescribing information and should be discussed with the treating physician.</w:t>
      </w:r>
    </w:p>
    <w:p>
      <w:pPr>
        <w:pStyle w:val="BodyText"/>
      </w:pPr>
      <w:r>
        <w:t xml:space="preserve">The low bioavailability has a practical consequence: the tablet requires many times more drug. In the SUSTAIN-6 trial, participants received 0.5 or 1.0 mg semaglutide once a week as an injection</w:t>
      </w:r>
      <w:r>
        <w:rPr>
          <w:rStyle w:val="FootnoteReference"/>
        </w:rPr>
        <w:footnoteReference w:id="111"/>
      </w:r>
      <w:r>
        <w:t xml:space="preserve">. In the tablet trial PIONEER 1, by contrast, daily doses of 3, 7, or 14 mg were studied</w:t>
      </w:r>
      <w:r>
        <w:rPr>
          <w:rStyle w:val="FootnoteReference"/>
        </w:rPr>
        <w:footnoteReference w:id="112"/>
      </w:r>
      <w:r>
        <w:t xml:space="preserve">. The fact that the long-term effect is nevertheless steady is due to the long half-life: day-to-day fluctuations in absorption largely even out over the week</w:t>
      </w:r>
      <w:r>
        <w:rPr>
          <w:rStyle w:val="FootnoteReference"/>
        </w:rPr>
        <w:footnoteReference w:id="113"/>
      </w:r>
      <w:r>
        <w:t xml:space="preserve">.</w:t>
      </w:r>
    </w:p>
    <w:p>
      <w:pPr>
        <w:pStyle w:val="BodyText"/>
      </w:pPr>
      <w:r>
        <w:t xml:space="preserve">The tablet works, as the studies show. In PIONEER 1 with 703 people with type 2 diabetes, HbA1c fell after 26 weeks at the highest dose by 1.1 percentage points more than on placebo</w:t>
      </w:r>
      <w:r>
        <w:rPr>
          <w:rStyle w:val="FootnoteReference"/>
        </w:rPr>
        <w:footnoteReference w:id="114"/>
      </w:r>
      <w:r>
        <w:t xml:space="preserve">. In the OASIS 1 trial, a higher dose of 50 mg daily was tested in 667 adults with overweight or obesity without diabetes. After 68 weeks, mean weight loss was 15.1%, compared with 2.4% on placebo</w:t>
      </w:r>
      <w:r>
        <w:rPr>
          <w:rStyle w:val="FootnoteReference"/>
        </w:rPr>
        <w:footnoteReference w:id="115"/>
      </w:r>
      <w:r>
        <w:t xml:space="preserve">. Gastrointestinal complaints occurred in 80% of participants on semaglutide and in 46% on placebo.</w:t>
      </w:r>
    </w:p>
    <w:p>
      <w:pPr>
        <w:pStyle w:val="BodyText"/>
      </w:pPr>
      <w:r>
        <w:t xml:space="preserve">An important note for practice: the SNAC technology is tied to the exact composition of the tablet. An investigation of copycat products found considerably less drug than stated in several oral semaglutide preparations, as well as a different release behavior of semaglutide and SNAC, which could reduce absorption</w:t>
      </w:r>
      <w:r>
        <w:rPr>
          <w:rStyle w:val="FootnoteReference"/>
        </w:rPr>
        <w:footnoteReference w:id="116"/>
      </w:r>
      <w:r>
        <w:t xml:space="preserve">. A tablet that contains</w:t>
      </w:r>
      <w:r>
        <w:t xml:space="preserve"> </w:t>
      </w:r>
      <w:r>
        <w:t xml:space="preserve">“</w:t>
      </w:r>
      <w:r>
        <w:t xml:space="preserve">semaglutide</w:t>
      </w:r>
      <w:r>
        <w:t xml:space="preserve">”</w:t>
      </w:r>
      <w:r>
        <w:t xml:space="preserve"> </w:t>
      </w:r>
      <w:r>
        <w:t xml:space="preserve">is therefore not automatically as effective as the approved preparation.</w:t>
      </w:r>
    </w:p>
    <w:p>
      <w:pPr>
        <w:pStyle w:val="BodyText"/>
      </w:pPr>
      <w:r>
        <w:t xml:space="preserve">In parallel with the peptide tablets, small non-peptide molecules are being developed that activate the same receptor and can be taken as ordinary tablets, such as orforglipron. They are presented for comparison in Part II and discussed in Part V in connection with the future of tablet therapies.</w:t>
      </w:r>
    </w:p>
    <w:bookmarkEnd w:id="117"/>
    <w:bookmarkStart w:id="119" w:name="X25777323d36911cc500d60c3da36d6cf7ad7fdd"/>
    <w:p>
      <w:pPr>
        <w:pStyle w:val="Heading3"/>
      </w:pPr>
      <w:r>
        <w:t xml:space="preserve">The Food Exception: Short Peptides from Collagen and Milk</w:t>
      </w:r>
    </w:p>
    <w:p>
      <w:pPr>
        <w:pStyle w:val="FirstParagraph"/>
      </w:pPr>
      <w:r>
        <w:t xml:space="preserve">If peptides are broken down in the gastrointestinal tract, how can collagen peptides or milk peptides that are consumed as powder or drinks have any effect? The answer is nuanced.</w:t>
      </w:r>
    </w:p>
    <w:p>
      <w:pPr>
        <w:pStyle w:val="BodyText"/>
      </w:pPr>
      <w:r>
        <w:t xml:space="preserve">Digestion produces not only individual amino acids but also very short fragments of two or three building blocks. Some of these are relatively resistant to enzymes and are absorbed via their own transport systems. For example, after consumption of collagen hydrolysate by five healthy volunteers, the dipeptides prolyl-hydroxyproline and hydroxyprolyl-glycine were measured in blood plasma</w:t>
      </w:r>
      <w:r>
        <w:rPr>
          <w:rStyle w:val="FootnoteReference"/>
        </w:rPr>
        <w:footnoteReference w:id="118"/>
      </w:r>
      <w:r>
        <w:t xml:space="preserve">.</w:t>
      </w:r>
    </w:p>
    <w:p>
      <w:pPr>
        <w:pStyle w:val="BodyText"/>
      </w:pPr>
      <w:r>
        <w:t xml:space="preserve">However, it does not automatically follow that these fragments exert a particular effect in the body – for example on the skin or the joints. Whether this is the case can only be clarified in controlled studies with clinical endpoints. These data are discussed in Part II in the chapter on collagen peptides. For larger peptides such as hormones, on the other hand, the rule is: if swallowed, they are digested.</w:t>
      </w:r>
    </w:p>
    <w:bookmarkEnd w:id="119"/>
    <w:bookmarkStart w:id="121" w:name="under-the-tongue-little-evidence"/>
    <w:p>
      <w:pPr>
        <w:pStyle w:val="Heading3"/>
      </w:pPr>
      <w:r>
        <w:t xml:space="preserve">Under the Tongue: Little Evidence</w:t>
      </w:r>
    </w:p>
    <w:p>
      <w:pPr>
        <w:pStyle w:val="FirstParagraph"/>
      </w:pPr>
      <w:r>
        <w:t xml:space="preserve">The oral mucosa, especially under the tongue, has a good blood supply. Substances absorbed here bypass the stomach and liver. This works well for some small drugs, but for peptides the mucosa is a considerable barrier.</w:t>
      </w:r>
    </w:p>
    <w:p>
      <w:pPr>
        <w:pStyle w:val="BodyText"/>
      </w:pPr>
      <w:r>
        <w:t xml:space="preserve">Nevertheless, semaglutide and tirzepatide are offered, especially in the USA, as drops or orally disintegrating tablets for use under the tongue. An analysis of offerings from US compounding pharmacies found 33 products that differ from the approved preparations. Of the 17 products with only one active ingredient, 82% were intended for use under the tongue and the rest as orally disintegrating tablets. The authors consider such a dosage form understandable in principle, but note that an advantage over the approved preparations has not been demonstrated and that data on safety and efficacy are lacking</w:t>
      </w:r>
      <w:r>
        <w:rPr>
          <w:rStyle w:val="FootnoteReference"/>
        </w:rPr>
        <w:footnoteReference w:id="120"/>
      </w:r>
      <w:r>
        <w:t xml:space="preserve">.</w:t>
      </w:r>
    </w:p>
    <w:bookmarkEnd w:id="121"/>
    <w:bookmarkStart w:id="123" w:name="the-nasal-spray-fast-but-limited"/>
    <w:p>
      <w:pPr>
        <w:pStyle w:val="Heading3"/>
      </w:pPr>
      <w:r>
        <w:t xml:space="preserve">The Nasal Spray: Fast but Limited</w:t>
      </w:r>
    </w:p>
    <w:p>
      <w:pPr>
        <w:pStyle w:val="FirstParagraph"/>
      </w:pPr>
      <w:r>
        <w:t xml:space="preserve">The nasal mucosa has a large surface area with a good blood supply, and substances pass from there directly into the blood. Some peptide medications have used this route for a long time, such as the vasopressin analog desmopressin. Oxytocin is also being studied as a nasal spray.</w:t>
      </w:r>
    </w:p>
    <w:p>
      <w:pPr>
        <w:pStyle w:val="BodyText"/>
      </w:pPr>
      <w:r>
        <w:t xml:space="preserve">The limitations, however, are clear:</w:t>
      </w:r>
    </w:p>
    <w:p>
      <w:pPr>
        <w:numPr>
          <w:ilvl w:val="0"/>
          <w:numId w:val="1013"/>
        </w:numPr>
        <w:pStyle w:val="Compact"/>
      </w:pPr>
      <w:r>
        <w:t xml:space="preserve">Absorption is low for larger peptides and varies greatly – depending on spray technique, a cold, or the amount of mucus.</w:t>
      </w:r>
    </w:p>
    <w:p>
      <w:pPr>
        <w:numPr>
          <w:ilvl w:val="0"/>
          <w:numId w:val="1013"/>
        </w:numPr>
        <w:pStyle w:val="Compact"/>
      </w:pPr>
      <w:r>
        <w:t xml:space="preserve">A large part of each spray is swallowed or carried away by the cilia.</w:t>
      </w:r>
    </w:p>
    <w:p>
      <w:pPr>
        <w:numPr>
          <w:ilvl w:val="0"/>
          <w:numId w:val="1013"/>
        </w:numPr>
        <w:pStyle w:val="Compact"/>
      </w:pPr>
      <w:r>
        <w:t xml:space="preserve">Frequently used irritants or excipients can strain the mucosa.</w:t>
      </w:r>
    </w:p>
    <w:p>
      <w:pPr>
        <w:pStyle w:val="FirstParagraph"/>
      </w:pPr>
      <w:r>
        <w:t xml:space="preserve">A particularly popular notion is that peptides could reach the brain</w:t>
      </w:r>
      <w:r>
        <w:t xml:space="preserve"> </w:t>
      </w:r>
      <w:r>
        <w:t xml:space="preserve">“</w:t>
      </w:r>
      <w:r>
        <w:t xml:space="preserve">directly</w:t>
      </w:r>
      <w:r>
        <w:t xml:space="preserve">”</w:t>
      </w:r>
      <w:r>
        <w:t xml:space="preserve"> </w:t>
      </w:r>
      <w:r>
        <w:t xml:space="preserve">via the nose. For some substances there are indications of such routes via the olfactory and facial nerves, but the data are thin. A much-cited critical review concluded for oxytocin that only very little of the oxytocin given via the nose arrives in the cerebrospinal fluid, while blood concentrations rise to values above the natural level – with possible effects on the gastrointestinal tract, heart, and reproductive organs</w:t>
      </w:r>
      <w:r>
        <w:rPr>
          <w:rStyle w:val="FootnoteReference"/>
        </w:rPr>
        <w:footnoteReference w:id="122"/>
      </w:r>
      <w:r>
        <w:t xml:space="preserve">. The authors urge skepticism toward studies reporting behavioral effects and call for preregistered studies. This is relevant for all peptides marketed as a</w:t>
      </w:r>
      <w:r>
        <w:t xml:space="preserve"> </w:t>
      </w:r>
      <w:r>
        <w:t xml:space="preserve">“</w:t>
      </w:r>
      <w:r>
        <w:t xml:space="preserve">nasal spray for the brain,</w:t>
      </w:r>
      <w:r>
        <w:t xml:space="preserve">”</w:t>
      </w:r>
      <w:r>
        <w:t xml:space="preserve"> </w:t>
      </w:r>
      <w:r>
        <w:t xml:space="preserve">such as Semax or Selank, which are covered in Part II.</w:t>
      </w:r>
    </w:p>
    <w:bookmarkEnd w:id="123"/>
    <w:bookmarkStart w:id="125" w:name="inhalation-an-instructive-failure"/>
    <w:p>
      <w:pPr>
        <w:pStyle w:val="Heading3"/>
      </w:pPr>
      <w:r>
        <w:t xml:space="preserve">Inhalation: An Instructive Failure</w:t>
      </w:r>
    </w:p>
    <w:p>
      <w:pPr>
        <w:pStyle w:val="FirstParagraph"/>
      </w:pPr>
      <w:r>
        <w:t xml:space="preserve">The lungs offer an enormous surface area with a very thin barrier to the blood. For this reason, intensive work was done on inhalable insulin. A first product came onto the market but was soon withdrawn; other developments were stopped. A commentary from that time describes the advantages and disadvantages from the perspective of patients, physicians, industry, and payers – including the size of the inhalation devices and the costs</w:t>
      </w:r>
      <w:r>
        <w:rPr>
          <w:rStyle w:val="FootnoteReference"/>
        </w:rPr>
        <w:footnoteReference w:id="124"/>
      </w:r>
      <w:r>
        <w:t xml:space="preserve">. Later, a different inhalable insulin was approved in the USA. For most other peptides, inhalation has so far played no role.</w:t>
      </w:r>
    </w:p>
    <w:bookmarkEnd w:id="125"/>
    <w:bookmarkStart w:id="127" w:name="the-skin-a-very-good-barrier"/>
    <w:p>
      <w:pPr>
        <w:pStyle w:val="Heading3"/>
      </w:pPr>
      <w:r>
        <w:t xml:space="preserve">The Skin: A Very Good Barrier</w:t>
      </w:r>
    </w:p>
    <w:p>
      <w:pPr>
        <w:pStyle w:val="FirstParagraph"/>
      </w:pPr>
      <w:r>
        <w:t xml:space="preserve">The skin is one of the densest organs of the body. Its outermost layer, the stratum corneum, consists of dead cells embedded in lipids – a kind of brickwork with mortar. A well-known rule of thumb from dermatology states that a substance must be smaller than about 500 daltons to pass through the skin to any significant extent. The authors justify this, among other things, by the fact that practically all known contact allergens and all drugs used in transdermal patches lie below this limit</w:t>
      </w:r>
      <w:r>
        <w:rPr>
          <w:rStyle w:val="FootnoteReference"/>
        </w:rPr>
        <w:footnoteReference w:id="126"/>
      </w:r>
      <w:r>
        <w:t xml:space="preserve">.</w:t>
      </w:r>
    </w:p>
    <w:p>
      <w:pPr>
        <w:pStyle w:val="BodyText"/>
      </w:pPr>
      <w:r>
        <w:t xml:space="preserve">For peptides this means: from about four to five amino acids upward, they generally lie above this limit. A tripeptide such as GHK can fall below it, while peptides such as palmitoyl pentapeptide-4 or acetyl hexapeptide-8 lie well above it. Cosmetic manufacturers try to improve penetration through fatty acid attachments (as with the</w:t>
      </w:r>
      <w:r>
        <w:t xml:space="preserve"> </w:t>
      </w:r>
      <w:r>
        <w:t xml:space="preserve">“</w:t>
      </w:r>
      <w:r>
        <w:t xml:space="preserve">palmitoyl</w:t>
      </w:r>
      <w:r>
        <w:t xml:space="preserve">”</w:t>
      </w:r>
      <w:r>
        <w:t xml:space="preserve"> </w:t>
      </w:r>
      <w:r>
        <w:t xml:space="preserve">peptide) or special carrier systems. Whether the peptides reach their presumed target cells in deeper skin layers in sufficient quantities is a question that would have to be investigated separately for each product. The study data on this are discussed in Part II.</w:t>
      </w:r>
    </w:p>
    <w:p>
      <w:pPr>
        <w:pStyle w:val="BodyText"/>
      </w:pPr>
      <w:r>
        <w:t xml:space="preserve">A rule of thumb is only a rule of thumb: there are exceptions, and aids such as microneedle patches can overcome the barrier. Such patches carry tiny needles that penetrate only the uppermost layer of skin. For peptides, they are still largely under development.</w:t>
      </w:r>
    </w:p>
    <w:p>
      <w:pPr>
        <w:pStyle w:val="BodyText"/>
      </w:pPr>
      <w:r>
        <w:t xml:space="preserve">For drug peptides such as GLP-1 analogs, growth hormone secretagogues, or melanotan, the following applies: a simple cream or gel does not get them into the blood in any appreciable quantity. You should view internet offers claiming otherwise with great skepticism.</w:t>
      </w:r>
    </w:p>
    <w:bookmarkEnd w:id="127"/>
    <w:bookmarkStart w:id="129" w:name="stability-the-underestimated-problem"/>
    <w:p>
      <w:pPr>
        <w:pStyle w:val="Heading3"/>
      </w:pPr>
      <w:r>
        <w:t xml:space="preserve">Stability: The Underestimated Problem</w:t>
      </w:r>
    </w:p>
    <w:p>
      <w:pPr>
        <w:pStyle w:val="FirstParagraph"/>
      </w:pPr>
      <w:r>
        <w:t xml:space="preserve">Peptides are sensitive outside the body as well. They can decompose, change chemically (for example through oxidation), or clump into larger assemblies. Such clumping – experts speak of aggregation or fibril formation – can reduce efficacy and irritate the immune system. One investigation found a greater tendency to fibril formation and lower physical stability in copycat preparations of liraglutide than in the original</w:t>
      </w:r>
      <w:r>
        <w:rPr>
          <w:rStyle w:val="FootnoteReference"/>
        </w:rPr>
        <w:footnoteReference w:id="128"/>
      </w:r>
      <w:r>
        <w:t xml:space="preserve">.</w:t>
      </w:r>
    </w:p>
    <w:p>
      <w:pPr>
        <w:pStyle w:val="BodyText"/>
      </w:pPr>
      <w:r>
        <w:t xml:space="preserve">For this reason, approved peptide medications are manufactured, packaged, transported under refrigeration, and labeled with expiration dates under precisely defined conditions. Gray-market peptides, on the other hand, are usually sold as freeze-dried powder that has to be reconstituted by the user before use. Each of these steps – transport without refrigeration, storage, reconstitution, drawing up – is a possible source of error.</w:t>
      </w:r>
    </w:p>
    <w:bookmarkEnd w:id="129"/>
    <w:bookmarkStart w:id="131" w:name="immune-reactions"/>
    <w:p>
      <w:pPr>
        <w:pStyle w:val="Heading3"/>
      </w:pPr>
      <w:r>
        <w:t xml:space="preserve">Immune Reactions</w:t>
      </w:r>
    </w:p>
    <w:p>
      <w:pPr>
        <w:pStyle w:val="FirstParagraph"/>
      </w:pPr>
      <w:r>
        <w:t xml:space="preserve">Peptides are proteinaceous substances and can be recognized by the immune system as foreign, especially if they do not correspond exactly to an endogenous molecule or contain impurities. Possible consequences are reactions at the injection site, allergic reactions, or the formation of antibodies that can weaken the effect. In the analysis of copycat semaglutide, computationally predicted new binding sites for the immune system were found, indicating a possible risk of immune reactions</w:t>
      </w:r>
      <w:r>
        <w:rPr>
          <w:rStyle w:val="FootnoteReference"/>
        </w:rPr>
        <w:footnoteReference w:id="130"/>
      </w:r>
      <w:r>
        <w:t xml:space="preserve">. Part IV covers immune reactions in detail.</w:t>
      </w:r>
    </w:p>
    <w:bookmarkEnd w:id="131"/>
    <w:bookmarkStart w:id="132" w:name="Xc71f6878a86aae68f0ba3b271041ea3d421c87c"/>
    <w:p>
      <w:pPr>
        <w:pStyle w:val="Heading3"/>
      </w:pPr>
      <w:r>
        <w:t xml:space="preserve">Overview: Routes of Administration Compared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Main problem</w:t>
            </w:r>
          </w:p>
        </w:tc>
        <w:tc>
          <w:tcPr/>
          <w:p>
            <w:pPr>
              <w:pStyle w:val="Compact"/>
              <w:jc w:val="left"/>
            </w:pPr>
            <w:r>
              <w:t xml:space="preserve">Examples</w:t>
            </w:r>
          </w:p>
        </w:tc>
      </w:tr>
      <w:tr>
        <w:tc>
          <w:tcPr/>
          <w:p>
            <w:pPr>
              <w:pStyle w:val="Compact"/>
              <w:jc w:val="left"/>
            </w:pPr>
            <w:r>
              <w:t xml:space="preserve">Injection under the skin</w:t>
            </w:r>
          </w:p>
        </w:tc>
        <w:tc>
          <w:tcPr/>
          <w:p>
            <w:pPr>
              <w:pStyle w:val="Compact"/>
              <w:jc w:val="left"/>
            </w:pPr>
            <w:r>
              <w:t xml:space="preserve">needle, sterility, refrigeration</w:t>
            </w:r>
          </w:p>
        </w:tc>
        <w:tc>
          <w:tcPr/>
          <w:p>
            <w:pPr>
              <w:pStyle w:val="Compact"/>
              <w:jc w:val="left"/>
            </w:pPr>
            <w:r>
              <w:t xml:space="preserve">insulin, semaglutide, tirzepatide</w:t>
            </w:r>
          </w:p>
        </w:tc>
      </w:tr>
      <w:tr>
        <w:tc>
          <w:tcPr/>
          <w:p>
            <w:pPr>
              <w:pStyle w:val="Compact"/>
              <w:jc w:val="left"/>
            </w:pPr>
            <w:r>
              <w:t xml:space="preserve">Tablet</w:t>
            </w:r>
          </w:p>
        </w:tc>
        <w:tc>
          <w:tcPr/>
          <w:p>
            <w:pPr>
              <w:pStyle w:val="Compact"/>
              <w:jc w:val="left"/>
            </w:pPr>
            <w:r>
              <w:t xml:space="preserve">breakdown in the gastrointestinal tract</w:t>
            </w:r>
          </w:p>
        </w:tc>
        <w:tc>
          <w:tcPr/>
          <w:p>
            <w:pPr>
              <w:pStyle w:val="Compact"/>
              <w:jc w:val="left"/>
            </w:pPr>
            <w:r>
              <w:t xml:space="preserve">semaglutide with SNAC</w:t>
            </w:r>
          </w:p>
        </w:tc>
      </w:tr>
      <w:tr>
        <w:tc>
          <w:tcPr/>
          <w:p>
            <w:pPr>
              <w:pStyle w:val="Compact"/>
              <w:jc w:val="left"/>
            </w:pPr>
            <w:r>
              <w:t xml:space="preserve">Under the tongue</w:t>
            </w:r>
          </w:p>
        </w:tc>
        <w:tc>
          <w:tcPr/>
          <w:p>
            <w:pPr>
              <w:pStyle w:val="Compact"/>
              <w:jc w:val="left"/>
            </w:pPr>
            <w:r>
              <w:t xml:space="preserve">mucosa as a barrier</w:t>
            </w:r>
          </w:p>
        </w:tc>
        <w:tc>
          <w:tcPr/>
          <w:p>
            <w:pPr>
              <w:pStyle w:val="Compact"/>
              <w:jc w:val="left"/>
            </w:pPr>
            <w:r>
              <w:t xml:space="preserve">no robust data</w:t>
            </w:r>
          </w:p>
        </w:tc>
      </w:tr>
      <w:tr>
        <w:tc>
          <w:tcPr/>
          <w:p>
            <w:pPr>
              <w:pStyle w:val="Compact"/>
              <w:jc w:val="left"/>
            </w:pPr>
            <w:r>
              <w:t xml:space="preserve">Nasal spray</w:t>
            </w:r>
          </w:p>
        </w:tc>
        <w:tc>
          <w:tcPr/>
          <w:p>
            <w:pPr>
              <w:pStyle w:val="Compact"/>
              <w:jc w:val="left"/>
            </w:pPr>
            <w:r>
              <w:t xml:space="preserve">low, variable absorption</w:t>
            </w:r>
          </w:p>
        </w:tc>
        <w:tc>
          <w:tcPr/>
          <w:p>
            <w:pPr>
              <w:pStyle w:val="Compact"/>
              <w:jc w:val="left"/>
            </w:pPr>
            <w:r>
              <w:t xml:space="preserve">desmopressin, oxytocin</w:t>
            </w:r>
          </w:p>
        </w:tc>
      </w:tr>
      <w:tr>
        <w:tc>
          <w:tcPr/>
          <w:p>
            <w:pPr>
              <w:pStyle w:val="Compact"/>
              <w:jc w:val="left"/>
            </w:pPr>
            <w:r>
              <w:t xml:space="preserve">Inhalation</w:t>
            </w:r>
          </w:p>
        </w:tc>
        <w:tc>
          <w:tcPr/>
          <w:p>
            <w:pPr>
              <w:pStyle w:val="Compact"/>
              <w:jc w:val="left"/>
            </w:pPr>
            <w:r>
              <w:t xml:space="preserve">devices, lung safety</w:t>
            </w:r>
          </w:p>
        </w:tc>
        <w:tc>
          <w:tcPr/>
          <w:p>
            <w:pPr>
              <w:pStyle w:val="Compact"/>
              <w:jc w:val="left"/>
            </w:pPr>
            <w:r>
              <w:t xml:space="preserve">inhalable insulin</w:t>
            </w:r>
          </w:p>
        </w:tc>
      </w:tr>
      <w:tr>
        <w:tc>
          <w:tcPr/>
          <w:p>
            <w:pPr>
              <w:pStyle w:val="Compact"/>
              <w:jc w:val="left"/>
            </w:pPr>
            <w:r>
              <w:t xml:space="preserve">Skin</w:t>
            </w:r>
          </w:p>
        </w:tc>
        <w:tc>
          <w:tcPr/>
          <w:p>
            <w:pPr>
              <w:pStyle w:val="Compact"/>
              <w:jc w:val="left"/>
            </w:pPr>
            <w:r>
              <w:t xml:space="preserve">stratum corneum, molecular size</w:t>
            </w:r>
          </w:p>
        </w:tc>
        <w:tc>
          <w:tcPr/>
          <w:p>
            <w:pPr>
              <w:pStyle w:val="Compact"/>
              <w:jc w:val="left"/>
            </w:pPr>
            <w:r>
              <w:t xml:space="preserve">cosmetic peptides</w:t>
            </w:r>
          </w:p>
        </w:tc>
      </w:tr>
    </w:tbl>
    <w:bookmarkEnd w:id="132"/>
    <w:bookmarkStart w:id="133" w:name="key-points-in-brief-1"/>
    <w:p>
      <w:pPr>
        <w:pStyle w:val="Heading3"/>
      </w:pPr>
      <w:r>
        <w:t xml:space="preserve">Key Points in Brief</w:t>
      </w:r>
    </w:p>
    <w:p>
      <w:pPr>
        <w:numPr>
          <w:ilvl w:val="0"/>
          <w:numId w:val="1014"/>
        </w:numPr>
        <w:pStyle w:val="Compact"/>
      </w:pPr>
      <w:r>
        <w:t xml:space="preserve">Peptides are broken down in the digestive tract, are large, and pass poorly through membranes. That is why most peptide medications are injected.</w:t>
      </w:r>
    </w:p>
    <w:p>
      <w:pPr>
        <w:numPr>
          <w:ilvl w:val="0"/>
          <w:numId w:val="1014"/>
        </w:numPr>
        <w:pStyle w:val="Compact"/>
      </w:pPr>
      <w:r>
        <w:t xml:space="preserve">A long duration of action is achieved through targeted modifications of the molecule, such as fatty acid attachments for binding to albumin.</w:t>
      </w:r>
    </w:p>
    <w:p>
      <w:pPr>
        <w:numPr>
          <w:ilvl w:val="0"/>
          <w:numId w:val="1014"/>
        </w:numPr>
        <w:pStyle w:val="Compact"/>
      </w:pPr>
      <w:r>
        <w:t xml:space="preserve">The semaglutide tablet uses the excipient SNAC, which enables absorption in the stomach. At about 0.4 to 1%, bioavailability remains very low.</w:t>
      </w:r>
    </w:p>
    <w:p>
      <w:pPr>
        <w:numPr>
          <w:ilvl w:val="0"/>
          <w:numId w:val="1014"/>
        </w:numPr>
        <w:pStyle w:val="Compact"/>
      </w:pPr>
      <w:r>
        <w:t xml:space="preserve">With nasal sprays and creams, absorption of larger peptides is limited. Promises such as</w:t>
      </w:r>
      <w:r>
        <w:t xml:space="preserve"> </w:t>
      </w:r>
      <w:r>
        <w:t xml:space="preserve">“</w:t>
      </w:r>
      <w:r>
        <w:t xml:space="preserve">directly into the brain</w:t>
      </w:r>
      <w:r>
        <w:t xml:space="preserve">”</w:t>
      </w:r>
      <w:r>
        <w:t xml:space="preserve"> </w:t>
      </w:r>
      <w:r>
        <w:t xml:space="preserve">or</w:t>
      </w:r>
      <w:r>
        <w:t xml:space="preserve"> </w:t>
      </w:r>
      <w:r>
        <w:t xml:space="preserve">“</w:t>
      </w:r>
      <w:r>
        <w:t xml:space="preserve">through the skin into the blood</w:t>
      </w:r>
      <w:r>
        <w:t xml:space="preserve">”</w:t>
      </w:r>
      <w:r>
        <w:t xml:space="preserve"> </w:t>
      </w:r>
      <w:r>
        <w:t xml:space="preserve">are mostly unsupported.</w:t>
      </w:r>
    </w:p>
    <w:p>
      <w:pPr>
        <w:numPr>
          <w:ilvl w:val="0"/>
          <w:numId w:val="1014"/>
        </w:numPr>
        <w:pStyle w:val="Compact"/>
      </w:pPr>
      <w:r>
        <w:t xml:space="preserve">With peptides, stability, sterility, and purity are not minor matters but prerequisites for safety and efficacy.</w:t>
      </w:r>
    </w:p>
    <w:bookmarkEnd w:id="133"/>
    <w:bookmarkEnd w:id="134"/>
    <w:bookmarkStart w:id="166" w:name="reading-studies-correctly"/>
    <w:p>
      <w:pPr>
        <w:pStyle w:val="Heading2"/>
      </w:pPr>
      <w:r>
        <w:t xml:space="preserve">Reading Studies Correctly</w:t>
      </w:r>
    </w:p>
    <w:p>
      <w:pPr>
        <w:pStyle w:val="FirstParagraph"/>
      </w:pPr>
      <w:r>
        <w:t xml:space="preserve">“</w:t>
      </w:r>
      <w:r>
        <w:t xml:space="preserve">Studies show …</w:t>
      </w:r>
      <w:r>
        <w:t xml:space="preserve">”</w:t>
      </w:r>
      <w:r>
        <w:t xml:space="preserve"> </w:t>
      </w:r>
      <w:r>
        <w:t xml:space="preserve">– hardly any phrase is used as often in advertising for peptides. It can mean all sorts of things: an experiment with cells in a Petri dish, an experiment on twelve rats, a testimonial from a single patient, or a study with 17,000 participants over more than three years. If you want to evaluate peptides, you need to know these differences. This chapter is a kind of toolbox. It explains the most important study types, the pitfalls in interpreting results, and how you can check for yourself what lies behind a claim.</w:t>
      </w:r>
    </w:p>
    <w:bookmarkStart w:id="135" w:name="the-evidence-pyramid"/>
    <w:p>
      <w:pPr>
        <w:pStyle w:val="Heading3"/>
      </w:pPr>
      <w:r>
        <w:t xml:space="preserve">The Evidence Pyramid</w:t>
      </w:r>
    </w:p>
    <w:p>
      <w:pPr>
        <w:pStyle w:val="FirstParagraph"/>
      </w:pPr>
      <w:r>
        <w:t xml:space="preserve">Experts often arrange study types in a pyramid. At the bottom are study designs that provide many clues but little certainty; at the top are those that show most reliably whether a treatment works in humans. From bottom to top:</w:t>
      </w:r>
    </w:p>
    <w:p>
      <w:pPr>
        <w:numPr>
          <w:ilvl w:val="0"/>
          <w:numId w:val="1015"/>
        </w:numPr>
        <w:pStyle w:val="Compact"/>
      </w:pPr>
      <w:r>
        <w:rPr>
          <w:bCs/>
          <w:b/>
        </w:rPr>
        <w:t xml:space="preserve">Laboratory and cell studies</w:t>
      </w:r>
      <w:r>
        <w:t xml:space="preserve"> </w:t>
      </w:r>
      <w:r>
        <w:t xml:space="preserve">(in vitro,</w:t>
      </w:r>
      <w:r>
        <w:t xml:space="preserve"> </w:t>
      </w:r>
      <w:r>
        <w:t xml:space="preserve">“</w:t>
      </w:r>
      <w:r>
        <w:t xml:space="preserve">in glass</w:t>
      </w:r>
      <w:r>
        <w:t xml:space="preserve">”</w:t>
      </w:r>
      <w:r>
        <w:t xml:space="preserve">): cells or tissues are exposed to a substance in the laboratory.</w:t>
      </w:r>
    </w:p>
    <w:p>
      <w:pPr>
        <w:numPr>
          <w:ilvl w:val="0"/>
          <w:numId w:val="1015"/>
        </w:numPr>
        <w:pStyle w:val="Compact"/>
      </w:pPr>
      <w:r>
        <w:rPr>
          <w:bCs/>
          <w:b/>
        </w:rPr>
        <w:t xml:space="preserve">Animal studies</w:t>
      </w:r>
      <w:r>
        <w:t xml:space="preserve"> </w:t>
      </w:r>
      <w:r>
        <w:t xml:space="preserve">(mostly in mice or rats).</w:t>
      </w:r>
    </w:p>
    <w:p>
      <w:pPr>
        <w:numPr>
          <w:ilvl w:val="0"/>
          <w:numId w:val="1015"/>
        </w:numPr>
        <w:pStyle w:val="Compact"/>
      </w:pPr>
      <w:r>
        <w:rPr>
          <w:bCs/>
          <w:b/>
        </w:rPr>
        <w:t xml:space="preserve">Case reports and case series</w:t>
      </w:r>
      <w:r>
        <w:t xml:space="preserve">: descriptions of individual patients or a small number of patients.</w:t>
      </w:r>
    </w:p>
    <w:p>
      <w:pPr>
        <w:numPr>
          <w:ilvl w:val="0"/>
          <w:numId w:val="1015"/>
        </w:numPr>
        <w:pStyle w:val="Compact"/>
      </w:pPr>
      <w:r>
        <w:rPr>
          <w:bCs/>
          <w:b/>
        </w:rPr>
        <w:t xml:space="preserve">Observational studies</w:t>
      </w:r>
      <w:r>
        <w:t xml:space="preserve">: people who take or do not take a substance anyway are observed, and what happens to them is compared.</w:t>
      </w:r>
    </w:p>
    <w:p>
      <w:pPr>
        <w:numPr>
          <w:ilvl w:val="0"/>
          <w:numId w:val="1015"/>
        </w:numPr>
        <w:pStyle w:val="Compact"/>
      </w:pPr>
      <w:r>
        <w:rPr>
          <w:bCs/>
          <w:b/>
        </w:rPr>
        <w:t xml:space="preserve">Controlled studies without random allocation</w:t>
      </w:r>
      <w:r>
        <w:t xml:space="preserve"> </w:t>
      </w:r>
      <w:r>
        <w:t xml:space="preserve">and</w:t>
      </w:r>
      <w:r>
        <w:t xml:space="preserve"> </w:t>
      </w:r>
      <w:r>
        <w:rPr>
          <w:bCs/>
          <w:b/>
        </w:rPr>
        <w:t xml:space="preserve">open-label studies</w:t>
      </w:r>
      <w:r>
        <w:t xml:space="preserve">.</w:t>
      </w:r>
    </w:p>
    <w:p>
      <w:pPr>
        <w:numPr>
          <w:ilvl w:val="0"/>
          <w:numId w:val="1015"/>
        </w:numPr>
        <w:pStyle w:val="Compact"/>
      </w:pPr>
      <w:r>
        <w:rPr>
          <w:bCs/>
          <w:b/>
        </w:rPr>
        <w:t xml:space="preserve">Randomized controlled trials</w:t>
      </w:r>
      <w:r>
        <w:t xml:space="preserve"> </w:t>
      </w:r>
      <w:r>
        <w:t xml:space="preserve">(RCTs).</w:t>
      </w:r>
    </w:p>
    <w:p>
      <w:pPr>
        <w:numPr>
          <w:ilvl w:val="0"/>
          <w:numId w:val="1015"/>
        </w:numPr>
        <w:pStyle w:val="Compact"/>
      </w:pPr>
      <w:r>
        <w:rPr>
          <w:bCs/>
          <w:b/>
        </w:rPr>
        <w:t xml:space="preserve">Systematic reviews and meta-analyses</w:t>
      </w:r>
      <w:r>
        <w:t xml:space="preserve">, which summarize all available good studies on a question.</w:t>
      </w:r>
    </w:p>
    <w:p>
      <w:pPr>
        <w:pStyle w:val="FirstParagraph"/>
      </w:pPr>
      <w:r>
        <w:t xml:space="preserve">The pyramid is a simplification. A large, careful observational study can be more informative than a tiny, poorly conducted RCT, and a meta-analysis is only as good as the studies that go into it. As a rough guide, however, it is helpful – above all for recognizing how far down the pyramid the evidence for many gray-market peptides lies.</w:t>
      </w:r>
    </w:p>
    <w:bookmarkEnd w:id="135"/>
    <w:bookmarkStart w:id="136" w:name="Xe2779363fd97c3871d1de36997c2bebb5bd14c9"/>
    <w:p>
      <w:pPr>
        <w:pStyle w:val="Heading3"/>
      </w:pPr>
      <w:r>
        <w:t xml:space="preserve">Laboratory Studies: What Happens in the Petri Dish</w:t>
      </w:r>
    </w:p>
    <w:p>
      <w:pPr>
        <w:pStyle w:val="FirstParagraph"/>
      </w:pPr>
      <w:r>
        <w:t xml:space="preserve">Mechanisms can be studied well in cell cultures: Which receptor is activated? Which genes are read? Do cells grow or migrate faster? Such studies are indispensable for basic research.</w:t>
      </w:r>
    </w:p>
    <w:p>
      <w:pPr>
        <w:pStyle w:val="BodyText"/>
      </w:pPr>
      <w:r>
        <w:t xml:space="preserve">But their limitations are considerable. Cells in a dish have no circulation, no liver that breaks down substances, no immune system, and no digestion. The concentrations used in the laboratory are often much higher than those that could ever be reached in the human body. A substance that kills cancer cells in a Petri dish may be ineffective or toxic in the body. If an advertising text refers to</w:t>
      </w:r>
      <w:r>
        <w:t xml:space="preserve"> </w:t>
      </w:r>
      <w:r>
        <w:t xml:space="preserve">“</w:t>
      </w:r>
      <w:r>
        <w:t xml:space="preserve">studies</w:t>
      </w:r>
      <w:r>
        <w:t xml:space="preserve">”</w:t>
      </w:r>
      <w:r>
        <w:t xml:space="preserve"> </w:t>
      </w:r>
      <w:r>
        <w:t xml:space="preserve">and these are cell cultures, this is an indication of a possible mechanism – not of a benefit in humans.</w:t>
      </w:r>
    </w:p>
    <w:bookmarkEnd w:id="136"/>
    <w:bookmarkStart w:id="138" w:name="X2a969ad2bcbdcff25955328e21d5b3a74ed7898"/>
    <w:p>
      <w:pPr>
        <w:pStyle w:val="Heading3"/>
      </w:pPr>
      <w:r>
        <w:t xml:space="preserve">Animal Studies: Important, but Not Transferable</w:t>
      </w:r>
    </w:p>
    <w:p>
      <w:pPr>
        <w:pStyle w:val="FirstParagraph"/>
      </w:pPr>
      <w:r>
        <w:t xml:space="preserve">Animal experiments make it possible to study effects in a whole organism and to clarify safety questions before people are exposed to a new substance. At the same time, mice and rats differ considerably from humans in metabolism, lifespan, body size, and disease development. In addition, diseases in animals are often induced artificially – for example, a tendon injury by an incision – which corresponds only partly to the situation in humans.</w:t>
      </w:r>
    </w:p>
    <w:p>
      <w:pPr>
        <w:pStyle w:val="BodyText"/>
      </w:pPr>
      <w:r>
        <w:t xml:space="preserve">How difficult the transfer is was shown by a systematic review that compared treatment effects in animal experiments with those in clinical trials</w:t>
      </w:r>
      <w:r>
        <w:rPr>
          <w:rStyle w:val="FootnoteReference"/>
        </w:rPr>
        <w:footnoteReference w:id="137"/>
      </w:r>
      <w:r>
        <w:t xml:space="preserve">. Some examples from it:</w:t>
      </w:r>
    </w:p>
    <w:p>
      <w:pPr>
        <w:numPr>
          <w:ilvl w:val="0"/>
          <w:numId w:val="1016"/>
        </w:numPr>
        <w:pStyle w:val="Compact"/>
      </w:pPr>
      <w:r>
        <w:t xml:space="preserve">Corticosteroid preparations improved outcomes after head injury in animal models; in clinical trials in humans, no benefit was seen.</w:t>
      </w:r>
    </w:p>
    <w:p>
      <w:pPr>
        <w:numPr>
          <w:ilvl w:val="0"/>
          <w:numId w:val="1016"/>
        </w:numPr>
        <w:pStyle w:val="Compact"/>
      </w:pPr>
      <w:r>
        <w:t xml:space="preserve">The drug tirilazad reduced the damaged brain area in animals with stroke by 29% and improved neurological scores by 48%. In people with stroke, it was associated with a worse outcome.</w:t>
      </w:r>
    </w:p>
    <w:p>
      <w:pPr>
        <w:numPr>
          <w:ilvl w:val="0"/>
          <w:numId w:val="1016"/>
        </w:numPr>
        <w:pStyle w:val="Compact"/>
      </w:pPr>
      <w:r>
        <w:t xml:space="preserve">Other treatments, such as dissolving blood clots in stroke, worked in both animals and humans.</w:t>
      </w:r>
    </w:p>
    <w:p>
      <w:pPr>
        <w:pStyle w:val="FirstParagraph"/>
      </w:pPr>
      <w:r>
        <w:t xml:space="preserve">The authors attribute the discrepancies to biases in the animal studies and to the fact that animal models do not adequately reflect human diseases.</w:t>
      </w:r>
    </w:p>
    <w:p>
      <w:pPr>
        <w:pStyle w:val="BodyText"/>
      </w:pPr>
      <w:r>
        <w:t xml:space="preserve">For this book, this has a clear consequence: if only animal data are available for a peptide, it receives evidence level D – regardless of how impressive the results in rats look. And the text always states explicitly when a result comes from animals or from the laboratory.</w:t>
      </w:r>
    </w:p>
    <w:bookmarkEnd w:id="138"/>
    <w:bookmarkStart w:id="139" w:name="case-reports-and-observational-studies"/>
    <w:p>
      <w:pPr>
        <w:pStyle w:val="Heading3"/>
      </w:pPr>
      <w:r>
        <w:t xml:space="preserve">Case Reports and Observational Studies</w:t>
      </w:r>
    </w:p>
    <w:p>
      <w:pPr>
        <w:pStyle w:val="FirstParagraph"/>
      </w:pPr>
      <w:r>
        <w:rPr>
          <w:bCs/>
          <w:b/>
        </w:rPr>
        <w:t xml:space="preserve">Case reports</w:t>
      </w:r>
      <w:r>
        <w:t xml:space="preserve"> </w:t>
      </w:r>
      <w:r>
        <w:t xml:space="preserve">describe individual patients. They say little about efficacy, but they can be very valuable for safety: rare or unexpected side effects are often first noticed in case reports. In the chapter on the gray market, you will encounter several such reports, for example on severe hypoglycemia caused by counterfeit preparations.</w:t>
      </w:r>
    </w:p>
    <w:p>
      <w:pPr>
        <w:pStyle w:val="BodyText"/>
      </w:pPr>
      <w:r>
        <w:rPr>
          <w:bCs/>
          <w:b/>
        </w:rPr>
        <w:t xml:space="preserve">Observational studies</w:t>
      </w:r>
      <w:r>
        <w:t xml:space="preserve"> </w:t>
      </w:r>
      <w:r>
        <w:t xml:space="preserve">compare people who take a substance with people who do not. Their main problem is so-called</w:t>
      </w:r>
      <w:r>
        <w:t xml:space="preserve"> </w:t>
      </w:r>
      <w:r>
        <w:rPr>
          <w:bCs/>
          <w:b/>
        </w:rPr>
        <w:t xml:space="preserve">confounding</w:t>
      </w:r>
      <w:r>
        <w:t xml:space="preserve">: people who take a particular preparation often also differ in other respects – for example, in income, health awareness, or pre-existing conditions. An association that is found therefore need not be a cause-and-effect relationship.</w:t>
      </w:r>
    </w:p>
    <w:p>
      <w:pPr>
        <w:pStyle w:val="BodyText"/>
      </w:pPr>
      <w:r>
        <w:t xml:space="preserve">A special form is the analysis of</w:t>
      </w:r>
      <w:r>
        <w:t xml:space="preserve"> </w:t>
      </w:r>
      <w:r>
        <w:rPr>
          <w:bCs/>
          <w:b/>
        </w:rPr>
        <w:t xml:space="preserve">adverse event reporting systems</w:t>
      </w:r>
      <w:r>
        <w:t xml:space="preserve"> </w:t>
      </w:r>
      <w:r>
        <w:t xml:space="preserve">such as the European database EudraVigilance or the US FAERS. They collect reports of suspected side effects from physicians, patients, and manufacturers. Such data reveal signals that should be investigated further, but they do not prove a connection and say nothing about how common a side effect actually is.</w:t>
      </w:r>
    </w:p>
    <w:bookmarkEnd w:id="139"/>
    <w:bookmarkStart w:id="140" w:name="the-randomized-controlled-trial-rct"/>
    <w:p>
      <w:pPr>
        <w:pStyle w:val="Heading3"/>
      </w:pPr>
      <w:r>
        <w:t xml:space="preserve">The Randomized Controlled Trial (RCT)</w:t>
      </w:r>
    </w:p>
    <w:p>
      <w:pPr>
        <w:pStyle w:val="FirstParagraph"/>
      </w:pPr>
      <w:r>
        <w:t xml:space="preserve">The RCT is considered the gold standard for testing the effect of a treatment. It is defined by three elements:</w:t>
      </w:r>
    </w:p>
    <w:p>
      <w:pPr>
        <w:pStyle w:val="BodyText"/>
      </w:pPr>
      <w:r>
        <w:rPr>
          <w:bCs/>
          <w:b/>
        </w:rPr>
        <w:t xml:space="preserve">Control group.</w:t>
      </w:r>
      <w:r>
        <w:t xml:space="preserve"> </w:t>
      </w:r>
      <w:r>
        <w:t xml:space="preserve">In addition to the group that receives the drug, there is a comparison group – with placebo, a standard treatment, or no treatment at all. Only in this way can one say whether a change is due to the drug or would have occurred without it.</w:t>
      </w:r>
    </w:p>
    <w:p>
      <w:pPr>
        <w:pStyle w:val="BodyText"/>
      </w:pPr>
      <w:r>
        <w:rPr>
          <w:bCs/>
          <w:b/>
        </w:rPr>
        <w:t xml:space="preserve">Randomization.</w:t>
      </w:r>
      <w:r>
        <w:t xml:space="preserve"> </w:t>
      </w:r>
      <w:r>
        <w:t xml:space="preserve">Chance decides who goes into which group. As a result, known and unknown influencing factors are distributed evenly between the groups. Differences in outcome can then be attributed to the treatment with high probability.</w:t>
      </w:r>
    </w:p>
    <w:p>
      <w:pPr>
        <w:pStyle w:val="BodyText"/>
      </w:pPr>
      <w:r>
        <w:rPr>
          <w:bCs/>
          <w:b/>
        </w:rPr>
        <w:t xml:space="preserve">Blinding.</w:t>
      </w:r>
      <w:r>
        <w:t xml:space="preserve"> </w:t>
      </w:r>
      <w:r>
        <w:t xml:space="preserve">In a</w:t>
      </w:r>
      <w:r>
        <w:t xml:space="preserve"> </w:t>
      </w:r>
      <w:r>
        <w:rPr>
          <w:bCs/>
          <w:b/>
        </w:rPr>
        <w:t xml:space="preserve">double-blind</w:t>
      </w:r>
      <w:r>
        <w:t xml:space="preserve"> </w:t>
      </w:r>
      <w:r>
        <w:t xml:space="preserve">study, neither the participants nor the study staff know who is receiving the drug and who is receiving the placebo. This prevents expectations from influencing the result. In an</w:t>
      </w:r>
      <w:r>
        <w:t xml:space="preserve"> </w:t>
      </w:r>
      <w:r>
        <w:rPr>
          <w:bCs/>
          <w:b/>
        </w:rPr>
        <w:t xml:space="preserve">open-label</w:t>
      </w:r>
      <w:r>
        <w:t xml:space="preserve"> </w:t>
      </w:r>
      <w:r>
        <w:t xml:space="preserve">study, everyone involved knows; sometimes this is unavoidable, but it makes the results more susceptible to bias, especially with subjective endpoints such as pain, mood, or skin appearance.</w:t>
      </w:r>
    </w:p>
    <w:bookmarkEnd w:id="140"/>
    <w:bookmarkStart w:id="143" w:name="Xe8c608abfce2ce8255d4645b53d4bb1067377a1"/>
    <w:p>
      <w:pPr>
        <w:pStyle w:val="Heading3"/>
      </w:pPr>
      <w:r>
        <w:t xml:space="preserve">The Placebo Effect and Why Control Groups Are Indispensable</w:t>
      </w:r>
    </w:p>
    <w:p>
      <w:pPr>
        <w:pStyle w:val="FirstParagraph"/>
      </w:pPr>
      <w:r>
        <w:t xml:space="preserve">People in studies often feel better even if they receive only a dummy preparation. This is due to expectations, to the extra attention, to lifestyle changes during a study, and to the fact that many complaints improve on their own anyway.</w:t>
      </w:r>
    </w:p>
    <w:p>
      <w:pPr>
        <w:pStyle w:val="BodyText"/>
      </w:pPr>
      <w:r>
        <w:t xml:space="preserve">The STEP 1 trial provides a vivid example: the placebo group also lost on average 2.4% of its body weight over 68 weeks, because all participants additionally received lifestyle counseling</w:t>
      </w:r>
      <w:r>
        <w:rPr>
          <w:rStyle w:val="FootnoteReference"/>
        </w:rPr>
        <w:footnoteReference w:id="141"/>
      </w:r>
      <w:r>
        <w:t xml:space="preserve">. The actual effect of the drug is the difference between the groups – in this case 12.4 percentage points, not 14.9%.</w:t>
      </w:r>
    </w:p>
    <w:p>
      <w:pPr>
        <w:pStyle w:val="BodyText"/>
      </w:pPr>
      <w:r>
        <w:t xml:space="preserve">A review of peptides in sports medicine explicitly points out that the placebo effect could explain part of the reported effects of unregulated peptides and that social media amplify this effect</w:t>
      </w:r>
      <w:r>
        <w:rPr>
          <w:rStyle w:val="FootnoteReference"/>
        </w:rPr>
        <w:footnoteReference w:id="142"/>
      </w:r>
      <w:r>
        <w:t xml:space="preserve">. Testimonials from forums are therefore no substitute for controlled studies.</w:t>
      </w:r>
    </w:p>
    <w:bookmarkEnd w:id="143"/>
    <w:bookmarkStart w:id="144" w:name="study-phases"/>
    <w:p>
      <w:pPr>
        <w:pStyle w:val="Heading3"/>
      </w:pPr>
      <w:r>
        <w:t xml:space="preserve">Study Phases</w:t>
      </w:r>
    </w:p>
    <w:p>
      <w:pPr>
        <w:pStyle w:val="FirstParagraph"/>
      </w:pPr>
      <w:r>
        <w:t xml:space="preserve">New medicines typically pass through four phases in humans: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Aim</w:t>
            </w:r>
          </w:p>
        </w:tc>
        <w:tc>
          <w:tcPr/>
          <w:p>
            <w:pPr>
              <w:pStyle w:val="Compact"/>
              <w:jc w:val="left"/>
            </w:pPr>
            <w:r>
              <w:t xml:space="preserve">Typical size</w:t>
            </w:r>
          </w:p>
        </w:tc>
      </w:tr>
      <w:tr>
        <w:tc>
          <w:tcPr/>
          <w:p>
            <w:pPr>
              <w:pStyle w:val="Compact"/>
              <w:jc w:val="left"/>
            </w:pPr>
            <w:r>
              <w:t xml:space="preserve">Phase 1</w:t>
            </w:r>
          </w:p>
        </w:tc>
        <w:tc>
          <w:tcPr/>
          <w:p>
            <w:pPr>
              <w:pStyle w:val="Compact"/>
              <w:jc w:val="left"/>
            </w:pPr>
            <w:r>
              <w:t xml:space="preserve">tolerability, behavior in the body</w:t>
            </w:r>
          </w:p>
        </w:tc>
        <w:tc>
          <w:tcPr/>
          <w:p>
            <w:pPr>
              <w:pStyle w:val="Compact"/>
              <w:jc w:val="left"/>
            </w:pPr>
            <w:r>
              <w:t xml:space="preserve">a few dozen healthy people</w:t>
            </w:r>
          </w:p>
        </w:tc>
      </w:tr>
      <w:tr>
        <w:tc>
          <w:tcPr/>
          <w:p>
            <w:pPr>
              <w:pStyle w:val="Compact"/>
              <w:jc w:val="left"/>
            </w:pPr>
            <w:r>
              <w:t xml:space="preserve">Phase 2</w:t>
            </w:r>
          </w:p>
        </w:tc>
        <w:tc>
          <w:tcPr/>
          <w:p>
            <w:pPr>
              <w:pStyle w:val="Compact"/>
              <w:jc w:val="left"/>
            </w:pPr>
            <w:r>
              <w:t xml:space="preserve">first efficacy, dose finding</w:t>
            </w:r>
          </w:p>
        </w:tc>
        <w:tc>
          <w:tcPr/>
          <w:p>
            <w:pPr>
              <w:pStyle w:val="Compact"/>
              <w:jc w:val="left"/>
            </w:pPr>
            <w:r>
              <w:t xml:space="preserve">about 100 to a few hundred</w:t>
            </w:r>
          </w:p>
        </w:tc>
      </w:tr>
      <w:tr>
        <w:tc>
          <w:tcPr/>
          <w:p>
            <w:pPr>
              <w:pStyle w:val="Compact"/>
              <w:jc w:val="left"/>
            </w:pPr>
            <w:r>
              <w:t xml:space="preserve">Phase 3</w:t>
            </w:r>
          </w:p>
        </w:tc>
        <w:tc>
          <w:tcPr/>
          <w:p>
            <w:pPr>
              <w:pStyle w:val="Compact"/>
              <w:jc w:val="left"/>
            </w:pPr>
            <w:r>
              <w:t xml:space="preserve">efficacy and safety in comparison</w:t>
            </w:r>
          </w:p>
        </w:tc>
        <w:tc>
          <w:tcPr/>
          <w:p>
            <w:pPr>
              <w:pStyle w:val="Compact"/>
              <w:jc w:val="left"/>
            </w:pPr>
            <w:r>
              <w:t xml:space="preserve">hundreds to thousands</w:t>
            </w:r>
          </w:p>
        </w:tc>
      </w:tr>
      <w:tr>
        <w:tc>
          <w:tcPr/>
          <w:p>
            <w:pPr>
              <w:pStyle w:val="Compact"/>
              <w:jc w:val="left"/>
            </w:pPr>
            <w:r>
              <w:t xml:space="preserve">Phase 4</w:t>
            </w:r>
          </w:p>
        </w:tc>
        <w:tc>
          <w:tcPr/>
          <w:p>
            <w:pPr>
              <w:pStyle w:val="Compact"/>
              <w:jc w:val="left"/>
            </w:pPr>
            <w:r>
              <w:t xml:space="preserve">monitoring after approval</w:t>
            </w:r>
          </w:p>
        </w:tc>
        <w:tc>
          <w:tcPr/>
          <w:p>
            <w:pPr>
              <w:pStyle w:val="Compact"/>
              <w:jc w:val="left"/>
            </w:pPr>
            <w:r>
              <w:t xml:space="preserve">often very large</w:t>
            </w:r>
          </w:p>
        </w:tc>
      </w:tr>
    </w:tbl>
    <w:p>
      <w:pPr>
        <w:pStyle w:val="BodyText"/>
      </w:pPr>
      <w:r>
        <w:t xml:space="preserve">Many drugs fail between phase 2 and phase 3. A promising phase 2 result is therefore no guarantee of later approval.</w:t>
      </w:r>
    </w:p>
    <w:bookmarkEnd w:id="144"/>
    <w:bookmarkStart w:id="146" w:name="Xc03c37e238031373feb9bdd6602494f49a9b01c"/>
    <w:p>
      <w:pPr>
        <w:pStyle w:val="Heading3"/>
      </w:pPr>
      <w:r>
        <w:t xml:space="preserve">Endpoints: What Is Actually Being Measured?</w:t>
      </w:r>
    </w:p>
    <w:p>
      <w:pPr>
        <w:pStyle w:val="FirstParagraph"/>
      </w:pPr>
      <w:r>
        <w:t xml:space="preserve">Every study defines a</w:t>
      </w:r>
      <w:r>
        <w:t xml:space="preserve"> </w:t>
      </w:r>
      <w:r>
        <w:rPr>
          <w:bCs/>
          <w:b/>
        </w:rPr>
        <w:t xml:space="preserve">primary endpoint</w:t>
      </w:r>
      <w:r>
        <w:t xml:space="preserve"> </w:t>
      </w:r>
      <w:r>
        <w:t xml:space="preserve">in advance – the main goal by which success is measured. In addition, there are secondary endpoints. If a result is highlighted as important only after the fact, caution is warranted: anyone who measures many endpoints will almost always find a</w:t>
      </w:r>
      <w:r>
        <w:t xml:space="preserve"> </w:t>
      </w:r>
      <w:r>
        <w:t xml:space="preserve">“</w:t>
      </w:r>
      <w:r>
        <w:t xml:space="preserve">significant</w:t>
      </w:r>
      <w:r>
        <w:t xml:space="preserve">”</w:t>
      </w:r>
      <w:r>
        <w:t xml:space="preserve"> </w:t>
      </w:r>
      <w:r>
        <w:t xml:space="preserve">difference somewhere.</w:t>
      </w:r>
    </w:p>
    <w:p>
      <w:pPr>
        <w:pStyle w:val="BodyText"/>
      </w:pPr>
      <w:r>
        <w:t xml:space="preserve">The distinction between</w:t>
      </w:r>
      <w:r>
        <w:t xml:space="preserve"> </w:t>
      </w:r>
      <w:r>
        <w:rPr>
          <w:bCs/>
          <w:b/>
        </w:rPr>
        <w:t xml:space="preserve">hard endpoints</w:t>
      </w:r>
      <w:r>
        <w:t xml:space="preserve"> </w:t>
      </w:r>
      <w:r>
        <w:t xml:space="preserve">and</w:t>
      </w:r>
      <w:r>
        <w:t xml:space="preserve"> </w:t>
      </w:r>
      <w:r>
        <w:rPr>
          <w:bCs/>
          <w:b/>
        </w:rPr>
        <w:t xml:space="preserve">surrogate endpoints</w:t>
      </w:r>
      <w:r>
        <w:t xml:space="preserve"> </w:t>
      </w:r>
      <w:r>
        <w:t xml:space="preserve">is particularly important:</w:t>
      </w:r>
    </w:p>
    <w:p>
      <w:pPr>
        <w:numPr>
          <w:ilvl w:val="0"/>
          <w:numId w:val="1017"/>
        </w:numPr>
        <w:pStyle w:val="Compact"/>
      </w:pPr>
      <w:r>
        <w:rPr>
          <w:bCs/>
          <w:b/>
        </w:rPr>
        <w:t xml:space="preserve">Hard endpoints</w:t>
      </w:r>
      <w:r>
        <w:t xml:space="preserve"> </w:t>
      </w:r>
      <w:r>
        <w:t xml:space="preserve">are events that matter directly to patients: death, heart attack, stroke, bone fracture, blindness, quality of life.</w:t>
      </w:r>
    </w:p>
    <w:p>
      <w:pPr>
        <w:numPr>
          <w:ilvl w:val="0"/>
          <w:numId w:val="1017"/>
        </w:numPr>
        <w:pStyle w:val="Compact"/>
      </w:pPr>
      <w:r>
        <w:rPr>
          <w:bCs/>
          <w:b/>
        </w:rPr>
        <w:t xml:space="preserve">Surrogate endpoints</w:t>
      </w:r>
      <w:r>
        <w:t xml:space="preserve"> </w:t>
      </w:r>
      <w:r>
        <w:t xml:space="preserve">(substitute endpoints) are measurements that are assumed to be related to hard endpoints: blood sugar, HbA1c, cholesterol, blood pressure, bone density, body weight, or laboratory values such as IGF-1.</w:t>
      </w:r>
    </w:p>
    <w:p>
      <w:pPr>
        <w:pStyle w:val="FirstParagraph"/>
      </w:pPr>
      <w:r>
        <w:t xml:space="preserve">Surrogate endpoints are practical because they can be measured more quickly and with fewer participants. But they can be misleading. The best-known example is the Cardiac Arrhythmia Suppression Trial (CAST) from the late 1980s. It was assumed that medications that suppress certain cardiac arrhythmias after a heart attack would also prevent deaths. The medications did indeed suppress the arrhythmias – the surrogate endpoint was achieved. But in the randomized study, more people died on two of these medications than on placebo: 43 participants on the drug died of arrhythmias, compared with 16 on placebo</w:t>
      </w:r>
      <w:r>
        <w:rPr>
          <w:rStyle w:val="FootnoteReference"/>
        </w:rPr>
        <w:footnoteReference w:id="145"/>
      </w:r>
      <w:r>
        <w:t xml:space="preserve">.</w:t>
      </w:r>
    </w:p>
    <w:p>
      <w:pPr>
        <w:pStyle w:val="BodyText"/>
      </w:pPr>
      <w:r>
        <w:t xml:space="preserve">With peptides, you will encounter surrogate endpoints constantly. For growth hormone secretagogues, often only whether the level of growth hormone or IGF-1 rises is measured – not whether people become healthier, stronger, or live longer as a result. For the GLP-1 medications, by contrast, there are now large studies with hard endpoints such as heart attack and stroke. This is one of the reasons why they receive the highest evidence level in this book.</w:t>
      </w:r>
    </w:p>
    <w:bookmarkEnd w:id="146"/>
    <w:bookmarkStart w:id="149" w:name="relative-and-absolute-risks"/>
    <w:p>
      <w:pPr>
        <w:pStyle w:val="Heading3"/>
      </w:pPr>
      <w:r>
        <w:t xml:space="preserve">Relative and Absolute Risks</w:t>
      </w:r>
    </w:p>
    <w:p>
      <w:pPr>
        <w:pStyle w:val="FirstParagraph"/>
      </w:pPr>
      <w:r>
        <w:t xml:space="preserve">Hardly any statistical detail is misunderstood as often as this one. Take the SELECT trial: over a mean of 39.8 months, the composite cardiovascular event occurred in 6.5% of participants on semaglutide and in 8.0% on placebo. The hazard ratio – a measure of relative risk over time – was 0.80</w:t>
      </w:r>
      <w:r>
        <w:rPr>
          <w:rStyle w:val="FootnoteReference"/>
        </w:rPr>
        <w:footnoteReference w:id="147"/>
      </w:r>
      <w:r>
        <w:t xml:space="preserve">.</w:t>
      </w:r>
    </w:p>
    <w:p>
      <w:pPr>
        <w:pStyle w:val="BodyText"/>
      </w:pPr>
      <w:r>
        <w:t xml:space="preserve">Two statements can be derived from this, both of which are correct:</w:t>
      </w:r>
    </w:p>
    <w:p>
      <w:pPr>
        <w:numPr>
          <w:ilvl w:val="0"/>
          <w:numId w:val="1018"/>
        </w:numPr>
        <w:pStyle w:val="Compact"/>
      </w:pPr>
      <w:r>
        <w:rPr>
          <w:bCs/>
          <w:b/>
        </w:rPr>
        <w:t xml:space="preserve">Relative:</w:t>
      </w:r>
      <w:r>
        <w:t xml:space="preserve"> </w:t>
      </w:r>
      <w:r>
        <w:t xml:space="preserve">The risk was about 20% lower.</w:t>
      </w:r>
    </w:p>
    <w:p>
      <w:pPr>
        <w:numPr>
          <w:ilvl w:val="0"/>
          <w:numId w:val="1018"/>
        </w:numPr>
        <w:pStyle w:val="Compact"/>
      </w:pPr>
      <w:r>
        <w:rPr>
          <w:bCs/>
          <w:b/>
        </w:rPr>
        <w:t xml:space="preserve">Absolute:</w:t>
      </w:r>
      <w:r>
        <w:t xml:space="preserve"> </w:t>
      </w:r>
      <w:r>
        <w:t xml:space="preserve">The proportion of those affected fell by 1.5 percentage points – from 8.0 to 6.5 out of 100 people.</w:t>
      </w:r>
    </w:p>
    <w:p>
      <w:pPr>
        <w:pStyle w:val="FirstParagraph"/>
      </w:pPr>
      <w:r>
        <w:t xml:space="preserve">From the absolute difference, the</w:t>
      </w:r>
      <w:r>
        <w:t xml:space="preserve"> </w:t>
      </w:r>
      <w:r>
        <w:rPr>
          <w:bCs/>
          <w:b/>
        </w:rPr>
        <w:t xml:space="preserve">number needed to treat (NNT)</w:t>
      </w:r>
      <w:r>
        <w:t xml:space="preserve"> </w:t>
      </w:r>
      <w:r>
        <w:t xml:space="preserve">can be calculated: how many people must be treated for one of them to avoid an event. Here, arithmetically, that is about 67 people over a good three years. This does not mean that the treatment is unimportant – with millions of people affected, the effect is significant. But it shows that most of those treated would not have had an event even without the medication, and that some have one despite the medication.</w:t>
      </w:r>
    </w:p>
    <w:p>
      <w:pPr>
        <w:pStyle w:val="BodyText"/>
      </w:pPr>
      <w:r>
        <w:t xml:space="preserve">Advertising and headlines prefer relative figures because they sound bigger. Good study reports state both. So always pay attention to the baseline frequency: a</w:t>
      </w:r>
      <w:r>
        <w:t xml:space="preserve"> </w:t>
      </w:r>
      <w:r>
        <w:t xml:space="preserve">“</w:t>
      </w:r>
      <w:r>
        <w:t xml:space="preserve">halving</w:t>
      </w:r>
      <w:r>
        <w:t xml:space="preserve">”</w:t>
      </w:r>
      <w:r>
        <w:t xml:space="preserve"> </w:t>
      </w:r>
      <w:r>
        <w:t xml:space="preserve">of the risk from 2 to 1 in 10,000 is something completely different from 20 to 10 in 100.</w:t>
      </w:r>
    </w:p>
    <w:p>
      <w:pPr>
        <w:pStyle w:val="BodyText"/>
      </w:pPr>
      <w:r>
        <w:t xml:space="preserve">The same applies to side effects. In SELECT, 16.6% of participants on semaglutide discontinued treatment because of adverse events, compared with 8.2% on placebo</w:t>
      </w:r>
      <w:r>
        <w:rPr>
          <w:rStyle w:val="FootnoteReference"/>
        </w:rPr>
        <w:footnoteReference w:id="148"/>
      </w:r>
      <w:r>
        <w:t xml:space="preserve">. In relative terms, that is a doubling; in absolute terms, a difference of 8.4 percentage points.</w:t>
      </w:r>
    </w:p>
    <w:bookmarkEnd w:id="149"/>
    <w:bookmarkStart w:id="151" w:name="X195da9b5887fc6b28745e9054e35c369a033cac"/>
    <w:p>
      <w:pPr>
        <w:pStyle w:val="Heading3"/>
      </w:pPr>
      <w:r>
        <w:t xml:space="preserve">Statistical Significance and Confidence Intervals</w:t>
      </w:r>
    </w:p>
    <w:p>
      <w:pPr>
        <w:pStyle w:val="FirstParagraph"/>
      </w:pPr>
      <w:r>
        <w:t xml:space="preserve">A</w:t>
      </w:r>
      <w:r>
        <w:t xml:space="preserve"> </w:t>
      </w:r>
      <w:r>
        <w:rPr>
          <w:bCs/>
          <w:b/>
        </w:rPr>
        <w:t xml:space="preserve">p-value</w:t>
      </w:r>
      <w:r>
        <w:t xml:space="preserve"> </w:t>
      </w:r>
      <w:r>
        <w:t xml:space="preserve">indicates how likely a difference at least as large would be if in reality there were no effect. If it is less than 0.05, a result is usually considered</w:t>
      </w:r>
      <w:r>
        <w:t xml:space="preserve"> </w:t>
      </w:r>
      <w:r>
        <w:t xml:space="preserve">“</w:t>
      </w:r>
      <w:r>
        <w:t xml:space="preserve">statistically significant.</w:t>
      </w:r>
      <w:r>
        <w:t xml:space="preserve">”</w:t>
      </w:r>
      <w:r>
        <w:t xml:space="preserve"> </w:t>
      </w:r>
      <w:r>
        <w:t xml:space="preserve">This does not mean that the effect is large or meaningful – in very large studies, even tiny differences become significant.</w:t>
      </w:r>
    </w:p>
    <w:p>
      <w:pPr>
        <w:pStyle w:val="BodyText"/>
      </w:pPr>
      <w:r>
        <w:t xml:space="preserve">The</w:t>
      </w:r>
      <w:r>
        <w:t xml:space="preserve"> </w:t>
      </w:r>
      <w:r>
        <w:rPr>
          <w:bCs/>
          <w:b/>
        </w:rPr>
        <w:t xml:space="preserve">95% confidence interval</w:t>
      </w:r>
      <w:r>
        <w:t xml:space="preserve"> </w:t>
      </w:r>
      <w:r>
        <w:t xml:space="preserve">is often more informative. It gives a range within which the true effect lies with high probability. In STEP 1, the difference in body weight between semaglutide and placebo was 12.4 percentage points, with a confidence interval of 11.5 to 13.4</w:t>
      </w:r>
      <w:r>
        <w:rPr>
          <w:rStyle w:val="FootnoteReference"/>
        </w:rPr>
        <w:footnoteReference w:id="150"/>
      </w:r>
      <w:r>
        <w:t xml:space="preserve">. Such a narrow interval indicates a precise estimate. In small studies, the intervals are often very wide – a sign that the true effect could be large, small, or even zero.</w:t>
      </w:r>
    </w:p>
    <w:bookmarkEnd w:id="151"/>
    <w:bookmarkStart w:id="153" w:name="X5650512562fc64533bce982af2043a085587ac1"/>
    <w:p>
      <w:pPr>
        <w:pStyle w:val="Heading3"/>
      </w:pPr>
      <w:r>
        <w:t xml:space="preserve">How to Count: The Question of the Estimand</w:t>
      </w:r>
    </w:p>
    <w:p>
      <w:pPr>
        <w:pStyle w:val="FirstParagraph"/>
      </w:pPr>
      <w:r>
        <w:t xml:space="preserve">A detail that has become important in more recent studies: how are people counted who discontinue treatment or take additional medications? In the PIONEER 1 trial, two analyses were reported. If all participants are analyzed, regardless of whether they continued taking the tablets, HbA1c fell at the highest dose by 1.1 percentage points more than on placebo. If only the time during which the tablets were actually taken is considered, the figure was 1.4 percentage points</w:t>
      </w:r>
      <w:r>
        <w:rPr>
          <w:rStyle w:val="FootnoteReference"/>
        </w:rPr>
        <w:footnoteReference w:id="152"/>
      </w:r>
      <w:r>
        <w:t xml:space="preserve">. Both figures are correct but answer different questions. The first is usually more realistic for everyday life.</w:t>
      </w:r>
    </w:p>
    <w:bookmarkEnd w:id="153"/>
    <w:bookmarkStart w:id="155" w:name="duration-and-size"/>
    <w:p>
      <w:pPr>
        <w:pStyle w:val="Heading3"/>
      </w:pPr>
      <w:r>
        <w:t xml:space="preserve">Duration and Size</w:t>
      </w:r>
    </w:p>
    <w:p>
      <w:pPr>
        <w:pStyle w:val="FirstParagraph"/>
      </w:pPr>
      <w:r>
        <w:t xml:space="preserve">Many peptide studies are short. A change in laboratory values after two weeks says little about what happens after two years – neither about the benefit nor about risks such as cancer, which often appear only after years. Size is just as important: rare side effects that affect one in a thousand people inevitably remain undetected in a study with 40 participants. The absence of side effects in a small study is not proof of safety.</w:t>
      </w:r>
    </w:p>
    <w:p>
      <w:pPr>
        <w:pStyle w:val="BodyText"/>
      </w:pPr>
      <w:r>
        <w:t xml:space="preserve">From theoretical considerations and simulations, the epidemiologist John Ioannidis concluded that research findings are less reliable the smaller the studies and the effects, the more questions are tested without preselection, the more flexible the design and analysis, and the greater the financial interests and prejudices in a field</w:t>
      </w:r>
      <w:r>
        <w:rPr>
          <w:rStyle w:val="FootnoteReference"/>
        </w:rPr>
        <w:footnoteReference w:id="154"/>
      </w:r>
      <w:r>
        <w:t xml:space="preserve">. Many of these characteristics apply to research on poorly studied peptides.</w:t>
      </w:r>
    </w:p>
    <w:bookmarkEnd w:id="155"/>
    <w:bookmarkStart w:id="157" w:name="conflicts-of-interest"/>
    <w:p>
      <w:pPr>
        <w:pStyle w:val="Heading3"/>
      </w:pPr>
      <w:r>
        <w:t xml:space="preserve">Conflicts of Interest</w:t>
      </w:r>
    </w:p>
    <w:p>
      <w:pPr>
        <w:pStyle w:val="FirstParagraph"/>
      </w:pPr>
      <w:r>
        <w:t xml:space="preserve">The large pivotal trials are almost always funded by the manufacturers. This is provided for by law and is not automatically a flaw – these studies are subject to strict rules, are registered in advance, and are reviewed by the authorities. Nevertheless, it is worth looking at the funding. A Cochrane review concluded that industry-sponsored studies more often reported favorable efficacy results (relative risk 1.27) and more often favorable conclusions (relative risk 1.34) than studies with other funding</w:t>
      </w:r>
      <w:r>
        <w:rPr>
          <w:rStyle w:val="FootnoteReference"/>
        </w:rPr>
        <w:footnoteReference w:id="156"/>
      </w:r>
      <w:r>
        <w:t xml:space="preserve">.</w:t>
      </w:r>
    </w:p>
    <w:p>
      <w:pPr>
        <w:pStyle w:val="BodyText"/>
      </w:pPr>
      <w:r>
        <w:t xml:space="preserve">Conflicts of interest do not exist only at pharmaceutical companies. Researchers who discovered a substance and hold patents, clinics that sell peptide therapies, or influencers with discount codes also have an interest in positive results. It is a warning sign when almost all studies on a substance come from a single research group and have not been confirmed by independent teams.</w:t>
      </w:r>
    </w:p>
    <w:bookmarkEnd w:id="157"/>
    <w:bookmarkStart w:id="159" w:name="the-problem-of-vanishing-studies"/>
    <w:p>
      <w:pPr>
        <w:pStyle w:val="Heading3"/>
      </w:pPr>
      <w:r>
        <w:t xml:space="preserve">The Problem of Vanishing Studies</w:t>
      </w:r>
    </w:p>
    <w:p>
      <w:pPr>
        <w:pStyle w:val="FirstParagraph"/>
      </w:pPr>
      <w:r>
        <w:t xml:space="preserve">Not every study is published – and it is mainly the disappointing ones that disappear. How strongly this can distort the picture was shown by an investigation of antidepressants. Of 74 studies registered with the US Food and Drug Administration (FDA), 31% were not published. According to the published literature, 94% of the studies were positive; according to the FDA’s analysis, only 51%</w:t>
      </w:r>
      <w:r>
        <w:rPr>
          <w:rStyle w:val="FootnoteReference"/>
        </w:rPr>
        <w:footnoteReference w:id="158"/>
      </w:r>
      <w:r>
        <w:t xml:space="preserve">. Anyone who reads only the journals gets an overly rosy picture.</w:t>
      </w:r>
    </w:p>
    <w:bookmarkEnd w:id="159"/>
    <w:bookmarkStart w:id="161" w:name="study-registries"/>
    <w:p>
      <w:pPr>
        <w:pStyle w:val="Heading3"/>
      </w:pPr>
      <w:r>
        <w:t xml:space="preserve">Study Registries</w:t>
      </w:r>
    </w:p>
    <w:p>
      <w:pPr>
        <w:pStyle w:val="FirstParagraph"/>
      </w:pPr>
      <w:r>
        <w:t xml:space="preserve">In response to such findings, the International Committee of Medical Journal Editors declared in 2004 that clinical trials must be entered in a public registry before they begin in order to be published later</w:t>
      </w:r>
      <w:r>
        <w:rPr>
          <w:rStyle w:val="FootnoteReference"/>
        </w:rPr>
        <w:footnoteReference w:id="160"/>
      </w:r>
      <w:r>
        <w:t xml:space="preserve">. Today, registries are a central tool:</w:t>
      </w:r>
    </w:p>
    <w:p>
      <w:pPr>
        <w:numPr>
          <w:ilvl w:val="0"/>
          <w:numId w:val="1019"/>
        </w:numPr>
        <w:pStyle w:val="Compact"/>
      </w:pPr>
      <w:r>
        <w:rPr>
          <w:bCs/>
          <w:b/>
        </w:rPr>
        <w:t xml:space="preserve">ClinicalTrials.gov</w:t>
      </w:r>
      <w:r>
        <w:t xml:space="preserve"> </w:t>
      </w:r>
      <w:r>
        <w:t xml:space="preserve">(USA) is the largest registry. Each study receives a number in the format</w:t>
      </w:r>
      <w:r>
        <w:t xml:space="preserve"> </w:t>
      </w:r>
      <w:r>
        <w:t xml:space="preserve">“</w:t>
      </w:r>
      <w:r>
        <w:t xml:space="preserve">NCT</w:t>
      </w:r>
      <w:r>
        <w:t xml:space="preserve">”</w:t>
      </w:r>
      <w:r>
        <w:t xml:space="preserve"> </w:t>
      </w:r>
      <w:r>
        <w:t xml:space="preserve">plus eight digits. The SELECT trial, for example, has the number NCT03574597.</w:t>
      </w:r>
    </w:p>
    <w:p>
      <w:pPr>
        <w:numPr>
          <w:ilvl w:val="0"/>
          <w:numId w:val="1019"/>
        </w:numPr>
        <w:pStyle w:val="Compact"/>
      </w:pPr>
      <w:r>
        <w:t xml:space="preserve">In the</w:t>
      </w:r>
      <w:r>
        <w:t xml:space="preserve"> </w:t>
      </w:r>
      <w:r>
        <w:rPr>
          <w:bCs/>
          <w:b/>
        </w:rPr>
        <w:t xml:space="preserve">EU</w:t>
      </w:r>
      <w:r>
        <w:t xml:space="preserve">, clinical trials are recorded in the Clinical Trials Information System (CTIS) of the European Medicines Agency; older studies can be found in the EU Clinical Trials Register.</w:t>
      </w:r>
    </w:p>
    <w:p>
      <w:pPr>
        <w:numPr>
          <w:ilvl w:val="0"/>
          <w:numId w:val="1019"/>
        </w:numPr>
        <w:pStyle w:val="Compact"/>
      </w:pPr>
      <w:r>
        <w:t xml:space="preserve">The</w:t>
      </w:r>
      <w:r>
        <w:t xml:space="preserve"> </w:t>
      </w:r>
      <w:r>
        <w:rPr>
          <w:bCs/>
          <w:b/>
        </w:rPr>
        <w:t xml:space="preserve">World Health Organization</w:t>
      </w:r>
      <w:r>
        <w:t xml:space="preserve"> </w:t>
      </w:r>
      <w:r>
        <w:t xml:space="preserve">brings together many national registries in a search portal (ICTRP).</w:t>
      </w:r>
    </w:p>
    <w:p>
      <w:pPr>
        <w:pStyle w:val="FirstParagraph"/>
      </w:pPr>
      <w:r>
        <w:t xml:space="preserve">Among other things, the registry lists the planned study design, the number of participants, the primary endpoint, and the status. This makes it possible to check whether a published study reports its originally planned endpoints – and whether studies on a substance were started but never published. For this book, registries were used primarily to find ongoing studies. Important: a registry entry is not a result. The fact that a study is registered says nothing about whether the substance works.</w:t>
      </w:r>
    </w:p>
    <w:bookmarkEnd w:id="161"/>
    <w:bookmarkStart w:id="162" w:name="other-warning-signs"/>
    <w:p>
      <w:pPr>
        <w:pStyle w:val="Heading3"/>
      </w:pPr>
      <w:r>
        <w:t xml:space="preserve">Other Warning Signs</w:t>
      </w:r>
    </w:p>
    <w:p>
      <w:pPr>
        <w:numPr>
          <w:ilvl w:val="0"/>
          <w:numId w:val="1020"/>
        </w:numPr>
        <w:pStyle w:val="Compact"/>
      </w:pPr>
      <w:r>
        <w:rPr>
          <w:bCs/>
          <w:b/>
        </w:rPr>
        <w:t xml:space="preserve">Only a conference abstract or a preprint.</w:t>
      </w:r>
      <w:r>
        <w:t xml:space="preserve"> </w:t>
      </w:r>
      <w:r>
        <w:t xml:space="preserve">Advance publications (for example on medRxiv) and conference contributions have not yet been fully peer-reviewed.</w:t>
      </w:r>
    </w:p>
    <w:p>
      <w:pPr>
        <w:numPr>
          <w:ilvl w:val="0"/>
          <w:numId w:val="1020"/>
        </w:numPr>
        <w:pStyle w:val="Compact"/>
      </w:pPr>
      <w:r>
        <w:rPr>
          <w:bCs/>
          <w:b/>
        </w:rPr>
        <w:t xml:space="preserve">Journals with questionable standards.</w:t>
      </w:r>
      <w:r>
        <w:t xml:space="preserve"> </w:t>
      </w:r>
      <w:r>
        <w:t xml:space="preserve">Some journals publish almost anything for a fee.</w:t>
      </w:r>
    </w:p>
    <w:p>
      <w:pPr>
        <w:numPr>
          <w:ilvl w:val="0"/>
          <w:numId w:val="1020"/>
        </w:numPr>
        <w:pStyle w:val="Compact"/>
      </w:pPr>
      <w:r>
        <w:rPr>
          <w:bCs/>
          <w:b/>
        </w:rPr>
        <w:t xml:space="preserve">Studies that cannot be found.</w:t>
      </w:r>
      <w:r>
        <w:t xml:space="preserve"> </w:t>
      </w:r>
      <w:r>
        <w:t xml:space="preserve">If a cited study cannot be found in PubMed or a registry, caution is warranted.</w:t>
      </w:r>
    </w:p>
    <w:p>
      <w:pPr>
        <w:numPr>
          <w:ilvl w:val="0"/>
          <w:numId w:val="1020"/>
        </w:numPr>
        <w:pStyle w:val="Compact"/>
      </w:pPr>
      <w:r>
        <w:rPr>
          <w:bCs/>
          <w:b/>
        </w:rPr>
        <w:t xml:space="preserve">Transfer from sick people to healthy people.</w:t>
      </w:r>
      <w:r>
        <w:t xml:space="preserve"> </w:t>
      </w:r>
      <w:r>
        <w:t xml:space="preserve">A substance that helps with a particular disease need not have any benefit in healthy people – the risk-benefit ratio there is completely different.</w:t>
      </w:r>
    </w:p>
    <w:p>
      <w:pPr>
        <w:numPr>
          <w:ilvl w:val="0"/>
          <w:numId w:val="1020"/>
        </w:numPr>
        <w:pStyle w:val="Compact"/>
      </w:pPr>
      <w:r>
        <w:rPr>
          <w:bCs/>
          <w:b/>
        </w:rPr>
        <w:t xml:space="preserve">Transfer from one substance to another.</w:t>
      </w:r>
      <w:r>
        <w:t xml:space="preserve"> </w:t>
      </w:r>
      <w:r>
        <w:t xml:space="preserve">Results on semaglutide do not automatically apply to a gray-market product labeled</w:t>
      </w:r>
      <w:r>
        <w:t xml:space="preserve"> </w:t>
      </w:r>
      <w:r>
        <w:t xml:space="preserve">“</w:t>
      </w:r>
      <w:r>
        <w:t xml:space="preserve">semaglutide</w:t>
      </w:r>
      <w:r>
        <w:t xml:space="preserve">”</w:t>
      </w:r>
      <w:r>
        <w:t xml:space="preserve"> </w:t>
      </w:r>
      <w:r>
        <w:t xml:space="preserve">– and studies on thymosin beta-4 do not automatically apply to the fragment</w:t>
      </w:r>
      <w:r>
        <w:t xml:space="preserve"> </w:t>
      </w:r>
      <w:r>
        <w:t xml:space="preserve">“</w:t>
      </w:r>
      <w:r>
        <w:t xml:space="preserve">TB-500.</w:t>
      </w:r>
      <w:r>
        <w:t xml:space="preserve">”</w:t>
      </w:r>
    </w:p>
    <w:bookmarkEnd w:id="162"/>
    <w:bookmarkStart w:id="163" w:name="ten-questions-to-ask-of-any-study"/>
    <w:p>
      <w:pPr>
        <w:pStyle w:val="Heading3"/>
      </w:pPr>
      <w:r>
        <w:t xml:space="preserve">Ten Questions to Ask of Any Study</w:t>
      </w:r>
    </w:p>
    <w:p>
      <w:pPr>
        <w:numPr>
          <w:ilvl w:val="0"/>
          <w:numId w:val="1021"/>
        </w:numPr>
        <w:pStyle w:val="Compact"/>
      </w:pPr>
      <w:r>
        <w:t xml:space="preserve">Were humans studied – or animals or cells?</w:t>
      </w:r>
    </w:p>
    <w:p>
      <w:pPr>
        <w:numPr>
          <w:ilvl w:val="0"/>
          <w:numId w:val="1021"/>
        </w:numPr>
        <w:pStyle w:val="Compact"/>
      </w:pPr>
      <w:r>
        <w:t xml:space="preserve">Was there a control group, and was allocation random?</w:t>
      </w:r>
    </w:p>
    <w:p>
      <w:pPr>
        <w:numPr>
          <w:ilvl w:val="0"/>
          <w:numId w:val="1021"/>
        </w:numPr>
        <w:pStyle w:val="Compact"/>
      </w:pPr>
      <w:r>
        <w:t xml:space="preserve">Was the study blinded?</w:t>
      </w:r>
    </w:p>
    <w:p>
      <w:pPr>
        <w:numPr>
          <w:ilvl w:val="0"/>
          <w:numId w:val="1021"/>
        </w:numPr>
        <w:pStyle w:val="Compact"/>
      </w:pPr>
      <w:r>
        <w:t xml:space="preserve">How many participants were there, and how long were they followed?</w:t>
      </w:r>
    </w:p>
    <w:p>
      <w:pPr>
        <w:numPr>
          <w:ilvl w:val="0"/>
          <w:numId w:val="1021"/>
        </w:numPr>
        <w:pStyle w:val="Compact"/>
      </w:pPr>
      <w:r>
        <w:t xml:space="preserve">Who was studied – sick or healthy people, young or old?</w:t>
      </w:r>
    </w:p>
    <w:p>
      <w:pPr>
        <w:numPr>
          <w:ilvl w:val="0"/>
          <w:numId w:val="1021"/>
        </w:numPr>
        <w:pStyle w:val="Compact"/>
      </w:pPr>
      <w:r>
        <w:t xml:space="preserve">What was the primary endpoint: a hard endpoint or a surrogate?</w:t>
      </w:r>
    </w:p>
    <w:p>
      <w:pPr>
        <w:numPr>
          <w:ilvl w:val="0"/>
          <w:numId w:val="1021"/>
        </w:numPr>
        <w:pStyle w:val="Compact"/>
      </w:pPr>
      <w:r>
        <w:t xml:space="preserve">How large was the difference in absolute terms, not just relative terms?</w:t>
      </w:r>
    </w:p>
    <w:p>
      <w:pPr>
        <w:numPr>
          <w:ilvl w:val="0"/>
          <w:numId w:val="1021"/>
        </w:numPr>
        <w:pStyle w:val="Compact"/>
      </w:pPr>
      <w:r>
        <w:t xml:space="preserve">How many dropped out, and which side effects occurred?</w:t>
      </w:r>
    </w:p>
    <w:p>
      <w:pPr>
        <w:numPr>
          <w:ilvl w:val="0"/>
          <w:numId w:val="1021"/>
        </w:numPr>
        <w:pStyle w:val="Compact"/>
      </w:pPr>
      <w:r>
        <w:t xml:space="preserve">Who paid for the study, and were the results confirmed independently?</w:t>
      </w:r>
    </w:p>
    <w:p>
      <w:pPr>
        <w:numPr>
          <w:ilvl w:val="0"/>
          <w:numId w:val="1021"/>
        </w:numPr>
        <w:pStyle w:val="Compact"/>
      </w:pPr>
      <w:r>
        <w:t xml:space="preserve">Was the study registered in advance, and do the reported endpoints match the registry?</w:t>
      </w:r>
    </w:p>
    <w:bookmarkEnd w:id="163"/>
    <w:bookmarkStart w:id="164" w:name="how-this-book-grades-the-evidence"/>
    <w:p>
      <w:pPr>
        <w:pStyle w:val="Heading3"/>
      </w:pPr>
      <w:r>
        <w:t xml:space="preserve">How This Book Grades the Evidence</w:t>
      </w:r>
    </w:p>
    <w:p>
      <w:pPr>
        <w:pStyle w:val="FirstParagraph"/>
      </w:pPr>
      <w:r>
        <w:t xml:space="preserve">Each peptide in Part II receives an evidence level:</w:t>
      </w:r>
    </w:p>
    <w:p>
      <w:pPr>
        <w:numPr>
          <w:ilvl w:val="0"/>
          <w:numId w:val="1022"/>
        </w:numPr>
        <w:pStyle w:val="Compact"/>
      </w:pPr>
      <w:r>
        <w:rPr>
          <w:bCs/>
          <w:b/>
        </w:rPr>
        <w:t xml:space="preserve">A</w:t>
      </w:r>
      <w:r>
        <w:t xml:space="preserve">: several large randomized studies in humans, approval as a medicine.</w:t>
      </w:r>
    </w:p>
    <w:p>
      <w:pPr>
        <w:numPr>
          <w:ilvl w:val="0"/>
          <w:numId w:val="1022"/>
        </w:numPr>
        <w:pStyle w:val="Compact"/>
      </w:pPr>
      <w:r>
        <w:rPr>
          <w:bCs/>
          <w:b/>
        </w:rPr>
        <w:t xml:space="preserve">B</w:t>
      </w:r>
      <w:r>
        <w:t xml:space="preserve">: individual randomized studies in humans.</w:t>
      </w:r>
    </w:p>
    <w:p>
      <w:pPr>
        <w:numPr>
          <w:ilvl w:val="0"/>
          <w:numId w:val="1022"/>
        </w:numPr>
        <w:pStyle w:val="Compact"/>
      </w:pPr>
      <w:r>
        <w:rPr>
          <w:bCs/>
          <w:b/>
        </w:rPr>
        <w:t xml:space="preserve">C</w:t>
      </w:r>
      <w:r>
        <w:t xml:space="preserve">: only small or uncontrolled human studies.</w:t>
      </w:r>
    </w:p>
    <w:p>
      <w:pPr>
        <w:numPr>
          <w:ilvl w:val="0"/>
          <w:numId w:val="1022"/>
        </w:numPr>
        <w:pStyle w:val="Compact"/>
      </w:pPr>
      <w:r>
        <w:rPr>
          <w:bCs/>
          <w:b/>
        </w:rPr>
        <w:t xml:space="preserve">D</w:t>
      </w:r>
      <w:r>
        <w:t xml:space="preserve">: only animal and laboratory studies.</w:t>
      </w:r>
    </w:p>
    <w:p>
      <w:pPr>
        <w:pStyle w:val="FirstParagraph"/>
      </w:pPr>
      <w:r>
        <w:t xml:space="preserve">The level assesses the</w:t>
      </w:r>
      <w:r>
        <w:t xml:space="preserve"> </w:t>
      </w:r>
      <w:r>
        <w:rPr>
          <w:bCs/>
          <w:b/>
        </w:rPr>
        <w:t xml:space="preserve">quantity and quality of data in humans</w:t>
      </w:r>
      <w:r>
        <w:t xml:space="preserve">, not whether a substance is</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A peptide at level A can have considerable side effects, and a peptide at level D may well prove useful in the future – it simply has not yet been adequately studied. The grading also applies to a specific use: a substance can be well supported for one disease and not at all for another.</w:t>
      </w:r>
    </w:p>
    <w:bookmarkEnd w:id="164"/>
    <w:bookmarkStart w:id="165" w:name="key-points-in-brief-2"/>
    <w:p>
      <w:pPr>
        <w:pStyle w:val="Heading3"/>
      </w:pPr>
      <w:r>
        <w:t xml:space="preserve">Key Points in Brief</w:t>
      </w:r>
    </w:p>
    <w:p>
      <w:pPr>
        <w:numPr>
          <w:ilvl w:val="0"/>
          <w:numId w:val="1023"/>
        </w:numPr>
        <w:pStyle w:val="Compact"/>
      </w:pPr>
      <w:r>
        <w:t xml:space="preserve">Laboratory and animal studies provide clues to mechanisms but no proof of benefit in humans.</w:t>
      </w:r>
    </w:p>
    <w:p>
      <w:pPr>
        <w:numPr>
          <w:ilvl w:val="0"/>
          <w:numId w:val="1023"/>
        </w:numPr>
        <w:pStyle w:val="Compact"/>
      </w:pPr>
      <w:r>
        <w:t xml:space="preserve">The randomized, controlled, blinded comparison is the most reliable way to demonstrate an effect.</w:t>
      </w:r>
    </w:p>
    <w:p>
      <w:pPr>
        <w:numPr>
          <w:ilvl w:val="0"/>
          <w:numId w:val="1023"/>
        </w:numPr>
        <w:pStyle w:val="Compact"/>
      </w:pPr>
      <w:r>
        <w:t xml:space="preserve">Surrogate endpoints such as laboratory values can be misleading; hard endpoints are what count.</w:t>
      </w:r>
    </w:p>
    <w:p>
      <w:pPr>
        <w:numPr>
          <w:ilvl w:val="0"/>
          <w:numId w:val="1023"/>
        </w:numPr>
        <w:pStyle w:val="Compact"/>
      </w:pPr>
      <w:r>
        <w:t xml:space="preserve">Relative figures sound bigger than absolute ones. Always ask about the baseline frequency.</w:t>
      </w:r>
    </w:p>
    <w:p>
      <w:pPr>
        <w:numPr>
          <w:ilvl w:val="0"/>
          <w:numId w:val="1023"/>
        </w:numPr>
        <w:pStyle w:val="Compact"/>
      </w:pPr>
      <w:r>
        <w:t xml:space="preserve">Funding, publication bias, and lack of confirmation by independent groups can distort the picture. Study registries help to check this.</w:t>
      </w:r>
    </w:p>
    <w:bookmarkEnd w:id="165"/>
    <w:bookmarkEnd w:id="166"/>
    <w:bookmarkStart w:id="211" w:name="the-gray-market"/>
    <w:p>
      <w:pPr>
        <w:pStyle w:val="Heading2"/>
      </w:pPr>
      <w:r>
        <w:t xml:space="preserve">The Gray Market</w:t>
      </w:r>
    </w:p>
    <w:p>
      <w:pPr>
        <w:pStyle w:val="FirstParagraph"/>
      </w:pPr>
      <w:r>
        <w:t xml:space="preserve">If you search for peptides on the internet, you quickly end up at online shops with professional-looking websites, laboratory photos, and purity certificates. On offer are vials of white powder: BPC-157, TB-500, ipamorelin, melanotan II – and increasingly also semaglutide, tirzepatide, or drugs that are not yet approved at all, such as retatrutide. Almost always, somewhere there is the notice</w:t>
      </w:r>
      <w:r>
        <w:t xml:space="preserve"> </w:t>
      </w:r>
      <w:r>
        <w:t xml:space="preserve">“</w:t>
      </w:r>
      <w:r>
        <w:t xml:space="preserve">Research Use Only</w:t>
      </w:r>
      <w:r>
        <w:t xml:space="preserve">”</w:t>
      </w:r>
      <w:r>
        <w:t xml:space="preserve"> </w:t>
      </w:r>
      <w:r>
        <w:t xml:space="preserve">or</w:t>
      </w:r>
      <w:r>
        <w:t xml:space="preserve"> </w:t>
      </w:r>
      <w:r>
        <w:t xml:space="preserve">“</w:t>
      </w:r>
      <w:r>
        <w:t xml:space="preserve">not for human consumption.</w:t>
      </w:r>
      <w:r>
        <w:t xml:space="preserve">”</w:t>
      </w:r>
    </w:p>
    <w:p>
      <w:pPr>
        <w:pStyle w:val="BodyText"/>
      </w:pPr>
      <w:r>
        <w:t xml:space="preserve">This chapter describes what is known about this market: from laboratory analyses of purchased and seized products, from case reports of poisonings, and from analyses of adverse event reports. It is meant to help you assess the risks realistically. As a matter of principle, this book does not name sources of supply.</w:t>
      </w:r>
    </w:p>
    <w:bookmarkStart w:id="169" w:name="what-research-peptides-are"/>
    <w:p>
      <w:pPr>
        <w:pStyle w:val="Heading3"/>
      </w:pPr>
      <w:r>
        <w:t xml:space="preserve">What</w:t>
      </w:r>
      <w:r>
        <w:t xml:space="preserve"> </w:t>
      </w:r>
      <w:r>
        <w:t xml:space="preserve">“</w:t>
      </w:r>
      <w:r>
        <w:t xml:space="preserve">Research Peptides</w:t>
      </w:r>
      <w:r>
        <w:t xml:space="preserve">”</w:t>
      </w:r>
      <w:r>
        <w:t xml:space="preserve"> </w:t>
      </w:r>
      <w:r>
        <w:t xml:space="preserve">Are</w:t>
      </w:r>
    </w:p>
    <w:p>
      <w:pPr>
        <w:pStyle w:val="FirstParagraph"/>
      </w:pPr>
      <w:r>
        <w:t xml:space="preserve">“</w:t>
      </w:r>
      <w:r>
        <w:t xml:space="preserve">Research peptides</w:t>
      </w:r>
      <w:r>
        <w:t xml:space="preserve">”</w:t>
      </w:r>
      <w:r>
        <w:t xml:space="preserve"> </w:t>
      </w:r>
      <w:r>
        <w:t xml:space="preserve">or</w:t>
      </w:r>
      <w:r>
        <w:t xml:space="preserve"> </w:t>
      </w:r>
      <w:r>
        <w:t xml:space="preserve">“</w:t>
      </w:r>
      <w:r>
        <w:t xml:space="preserve">research chemicals</w:t>
      </w:r>
      <w:r>
        <w:t xml:space="preserve">”</w:t>
      </w:r>
      <w:r>
        <w:t xml:space="preserve"> </w:t>
      </w:r>
      <w:r>
        <w:t xml:space="preserve">are substances that are officially sold only to laboratories for research purposes. The label</w:t>
      </w:r>
      <w:r>
        <w:t xml:space="preserve"> </w:t>
      </w:r>
      <w:r>
        <w:t xml:space="preserve">“</w:t>
      </w:r>
      <w:r>
        <w:t xml:space="preserve">not for human use</w:t>
      </w:r>
      <w:r>
        <w:t xml:space="preserve">”</w:t>
      </w:r>
      <w:r>
        <w:t xml:space="preserve"> </w:t>
      </w:r>
      <w:r>
        <w:t xml:space="preserve">is meant to provide legal cover for the sale: a product that is not offered as a medicine – according to the vendors’ logic – does not need a marketing authorization as a medicine. In practice, however, many of these shops are recognizably aimed at private individuals who want to inject the substances themselves. Whether this construction holds up legally is discussed in the next chapter; in many cases it does not.</w:t>
      </w:r>
    </w:p>
    <w:p>
      <w:pPr>
        <w:pStyle w:val="BodyText"/>
      </w:pPr>
      <w:r>
        <w:t xml:space="preserve">One review describes the pattern using semaglutide and tirzepatide as examples: manufacturers sell vials</w:t>
      </w:r>
      <w:r>
        <w:t xml:space="preserve"> </w:t>
      </w:r>
      <w:r>
        <w:t xml:space="preserve">“</w:t>
      </w:r>
      <w:r>
        <w:t xml:space="preserve">for research purposes only</w:t>
      </w:r>
      <w:r>
        <w:t xml:space="preserve">”</w:t>
      </w:r>
      <w:r>
        <w:t xml:space="preserve"> </w:t>
      </w:r>
      <w:r>
        <w:t xml:space="preserve">or</w:t>
      </w:r>
      <w:r>
        <w:t xml:space="preserve"> </w:t>
      </w:r>
      <w:r>
        <w:t xml:space="preserve">“</w:t>
      </w:r>
      <w:r>
        <w:t xml:space="preserve">not for human consumption</w:t>
      </w:r>
      <w:r>
        <w:t xml:space="preserve">”</w:t>
      </w:r>
      <w:r>
        <w:t xml:space="preserve"> </w:t>
      </w:r>
      <w:r>
        <w:t xml:space="preserve">directly to consumers, often without the materials and knowledge needed to reconstitute, draw up, and inject the drug. This bypasses physicians and pharmacies – and with them the check for interactions and medical monitoring</w:t>
      </w:r>
      <w:r>
        <w:rPr>
          <w:rStyle w:val="FootnoteReference"/>
        </w:rPr>
        <w:footnoteReference w:id="167"/>
      </w:r>
      <w:r>
        <w:t xml:space="preserve">.</w:t>
      </w:r>
    </w:p>
    <w:p>
      <w:pPr>
        <w:pStyle w:val="BodyText"/>
      </w:pPr>
      <w:r>
        <w:t xml:space="preserve">How difficult use is for lay people was investigated by a small study at a US university. Twenty adults were asked to carry out the steps needed to reconstitute such a semaglutide powder and prepare a syringe, using information from the internet. Of 34 steps, they performed on average 15 correctly. The researchers observed errors that could lead to incorrect dosing, needlestick injuries, or infections</w:t>
      </w:r>
      <w:r>
        <w:rPr>
          <w:rStyle w:val="FootnoteReference"/>
        </w:rPr>
        <w:footnoteReference w:id="168"/>
      </w:r>
      <w:r>
        <w:t xml:space="preserve">.</w:t>
      </w:r>
    </w:p>
    <w:bookmarkEnd w:id="169"/>
    <w:bookmarkStart w:id="184" w:name="what-is-in-the-vials-laboratory-analyses"/>
    <w:p>
      <w:pPr>
        <w:pStyle w:val="Heading3"/>
      </w:pPr>
      <w:r>
        <w:t xml:space="preserve">What Is in the Vials: Laboratory Analyses</w:t>
      </w:r>
    </w:p>
    <w:p>
      <w:pPr>
        <w:pStyle w:val="FirstParagraph"/>
      </w:pPr>
      <w:r>
        <w:t xml:space="preserve">The most reliable information on gray-market products comes from laboratory analyses. These are carried out mainly by anti-doping laboratories, medicines regulators, and individual research groups that purchase products specifically or receive them from customs and police.</w:t>
      </w:r>
    </w:p>
    <w:bookmarkStart w:id="171" w:name="X12ef706948d5b220a7266f831d626ea802d313c"/>
    <w:p>
      <w:pPr>
        <w:pStyle w:val="Heading4"/>
      </w:pPr>
      <w:r>
        <w:t xml:space="preserve">Semaglutide from Illegal Online Pharmacies</w:t>
      </w:r>
    </w:p>
    <w:p>
      <w:pPr>
        <w:pStyle w:val="FirstParagraph"/>
      </w:pPr>
      <w:r>
        <w:t xml:space="preserve">A particularly thorough investigation combined a market analysis with test purchases</w:t>
      </w:r>
      <w:r>
        <w:rPr>
          <w:rStyle w:val="FootnoteReference"/>
        </w:rPr>
        <w:footnoteReference w:id="170"/>
      </w:r>
      <w:r>
        <w:t xml:space="preserve">. The researchers evaluated 1,080 links from search engines. 317 led to online pharmacies, 134 of them to 59 different illegal websites. The 30 most important domains linked to illegal pharmacies recorded more than 4.7 million visits in three months of 2023.</w:t>
      </w:r>
    </w:p>
    <w:p>
      <w:pPr>
        <w:pStyle w:val="BodyText"/>
      </w:pPr>
      <w:r>
        <w:t xml:space="preserve">Test purchases were made from six illegal vendors. The results:</w:t>
      </w:r>
    </w:p>
    <w:p>
      <w:pPr>
        <w:numPr>
          <w:ilvl w:val="0"/>
          <w:numId w:val="1024"/>
        </w:numPr>
        <w:pStyle w:val="Compact"/>
      </w:pPr>
      <w:r>
        <w:t xml:space="preserve">Three ordered Ozempic prefilled pens never arrived – these were scams with no delivery.</w:t>
      </w:r>
    </w:p>
    <w:p>
      <w:pPr>
        <w:numPr>
          <w:ilvl w:val="0"/>
          <w:numId w:val="1024"/>
        </w:numPr>
        <w:pStyle w:val="Compact"/>
      </w:pPr>
      <w:r>
        <w:t xml:space="preserve">Three vials of powder were delivered. All were considered likely substandard or counterfeit; on visual inspection, they failed 59 to 63% of the criteria.</w:t>
      </w:r>
    </w:p>
    <w:p>
      <w:pPr>
        <w:numPr>
          <w:ilvl w:val="0"/>
          <w:numId w:val="1024"/>
        </w:numPr>
        <w:pStyle w:val="Compact"/>
      </w:pPr>
      <w:r>
        <w:t xml:space="preserve">The semaglutide content was 28.6 to 38.7%</w:t>
      </w:r>
      <w:r>
        <w:t xml:space="preserve"> </w:t>
      </w:r>
      <w:r>
        <w:rPr>
          <w:bCs/>
          <w:b/>
        </w:rPr>
        <w:t xml:space="preserve">above</w:t>
      </w:r>
      <w:r>
        <w:t xml:space="preserve"> </w:t>
      </w:r>
      <w:r>
        <w:t xml:space="preserve">the stated amount.</w:t>
      </w:r>
    </w:p>
    <w:p>
      <w:pPr>
        <w:numPr>
          <w:ilvl w:val="0"/>
          <w:numId w:val="1024"/>
        </w:numPr>
        <w:pStyle w:val="Compact"/>
      </w:pPr>
      <w:r>
        <w:t xml:space="preserve">The measured purity was only 7.7 to 14.4% – instead of the 99% promised on the label.</w:t>
      </w:r>
    </w:p>
    <w:p>
      <w:pPr>
        <w:numPr>
          <w:ilvl w:val="0"/>
          <w:numId w:val="1024"/>
        </w:numPr>
        <w:pStyle w:val="Compact"/>
      </w:pPr>
      <w:r>
        <w:t xml:space="preserve">No live microorganisms were found, but endotoxins were detectable in</w:t>
      </w:r>
      <w:r>
        <w:t xml:space="preserve"> </w:t>
      </w:r>
      <w:r>
        <w:rPr>
          <w:bCs/>
          <w:b/>
        </w:rPr>
        <w:t xml:space="preserve">all</w:t>
      </w:r>
      <w:r>
        <w:t xml:space="preserve"> </w:t>
      </w:r>
      <w:r>
        <w:t xml:space="preserve">samples.</w:t>
      </w:r>
    </w:p>
    <w:p>
      <w:pPr>
        <w:pStyle w:val="FirstParagraph"/>
      </w:pPr>
      <w:r>
        <w:t xml:space="preserve">This study shows several typical problems at once: incorrect quantity information, low purity, contamination, and plain fraud.</w:t>
      </w:r>
    </w:p>
    <w:bookmarkEnd w:id="171"/>
    <w:bookmarkStart w:id="173" w:name="X02d6a12325115fd9f3c6c4ff9adef5ba262f5af"/>
    <w:p>
      <w:pPr>
        <w:pStyle w:val="Heading4"/>
      </w:pPr>
      <w:r>
        <w:t xml:space="preserve">Copycat Products Compared with the Original</w:t>
      </w:r>
    </w:p>
    <w:p>
      <w:pPr>
        <w:pStyle w:val="FirstParagraph"/>
      </w:pPr>
      <w:r>
        <w:t xml:space="preserve">Another investigation analyzed 16 injectable and 8 oral semaglutide copycat products as well as 2 liraglutide copycats and compared them with the originator products</w:t>
      </w:r>
      <w:r>
        <w:rPr>
          <w:rStyle w:val="FootnoteReference"/>
        </w:rPr>
        <w:footnoteReference w:id="172"/>
      </w:r>
      <w:r>
        <w:t xml:space="preserve">. New impurities were found, including larger protein molecules, trace metals, and solvent residues. Several oral preparations contained considerably less semaglutide than stated. In addition, structures were found that, according to computer predictions, could be recognized by the immune system. Since the study comes from the manufacturer of the originator products, it should be read with appropriate caution; however, the problems described are consistent with independent findings.</w:t>
      </w:r>
    </w:p>
    <w:bookmarkEnd w:id="173"/>
    <w:bookmarkStart w:id="175" w:name="melanotan-ii-from-online-shops"/>
    <w:p>
      <w:pPr>
        <w:pStyle w:val="Heading4"/>
      </w:pPr>
      <w:r>
        <w:t xml:space="preserve">Melanotan II from Online Shops</w:t>
      </w:r>
    </w:p>
    <w:p>
      <w:pPr>
        <w:pStyle w:val="FirstParagraph"/>
      </w:pPr>
      <w:r>
        <w:t xml:space="preserve">For the tanning peptide melanotan II, a research group examined vials from three online shops. All shops stated 10 mg per vial; in fact, the vials contained between 4.32 and 8.84 mg. Products from two shops contained unknown impurities of 4.1 to 5.9%</w:t>
      </w:r>
      <w:r>
        <w:rPr>
          <w:rStyle w:val="FootnoteReference"/>
        </w:rPr>
        <w:footnoteReference w:id="174"/>
      </w:r>
      <w:r>
        <w:t xml:space="preserve">.</w:t>
      </w:r>
    </w:p>
    <w:bookmarkEnd w:id="175"/>
    <w:bookmarkStart w:id="183" w:name="seized-products-from-the-doping-scene"/>
    <w:p>
      <w:pPr>
        <w:pStyle w:val="Heading4"/>
      </w:pPr>
      <w:r>
        <w:t xml:space="preserve">Seized Products from the Doping Scene</w:t>
      </w:r>
    </w:p>
    <w:p>
      <w:pPr>
        <w:pStyle w:val="FirstParagraph"/>
      </w:pPr>
      <w:r>
        <w:t xml:space="preserve">The Cologne anti-doping laboratory has been analyzing seized products for years. In a report on the year 2009, it described, among other things, vials labeled as growth hormone with no pharmacologically active content at all, unpurified Long-R3-IGF-1, and dietary supplements containing the growth hormone-releasing peptide GHRP-2</w:t>
      </w:r>
      <w:r>
        <w:rPr>
          <w:rStyle w:val="FootnoteReference"/>
        </w:rPr>
        <w:footnoteReference w:id="176"/>
      </w:r>
      <w:r>
        <w:t xml:space="preserve">. In tablets offered as an over-the-counter dietary supplement, about 50 micrograms of GHRP-2 per tablet were measured</w:t>
      </w:r>
      <w:r>
        <w:rPr>
          <w:rStyle w:val="FootnoteReference"/>
        </w:rPr>
        <w:footnoteReference w:id="177"/>
      </w:r>
      <w:r>
        <w:t xml:space="preserve"> </w:t>
      </w:r>
      <w:r>
        <w:t xml:space="preserve">– a substance that is prohibited in sport and for which there is no approval.</w:t>
      </w:r>
    </w:p>
    <w:p>
      <w:pPr>
        <w:pStyle w:val="BodyText"/>
      </w:pPr>
      <w:r>
        <w:t xml:space="preserve">Between 2010 and 2013, the same laboratory analyzed 337 further products. Peptide hormones and growth factors accounted for 12.8%, mainly growth hormone and growth hormone-releasing peptides. Notable findings included thymosin beta-4 and a fusion protein with unknown biological activity</w:t>
      </w:r>
      <w:r>
        <w:rPr>
          <w:rStyle w:val="FootnoteReference"/>
        </w:rPr>
        <w:footnoteReference w:id="178"/>
      </w:r>
      <w:r>
        <w:t xml:space="preserve">. In Norway, 28% of the products seized and analyzed between 2011 and 2014 contained peptide- or protein-based doping agents</w:t>
      </w:r>
      <w:r>
        <w:rPr>
          <w:rStyle w:val="FootnoteReference"/>
        </w:rPr>
        <w:footnoteReference w:id="179"/>
      </w:r>
      <w:r>
        <w:t xml:space="preserve">.</w:t>
      </w:r>
    </w:p>
    <w:p>
      <w:pPr>
        <w:pStyle w:val="BodyText"/>
      </w:pPr>
      <w:r>
        <w:t xml:space="preserve">A later Cologne report describes modified variants of known peptides that do not exist as medicines: Gly-GHRP-6, Gly-GHRP-2, and Gly-ipamorelin – i.e., the respective peptides with an additional glycine amino acid at the beginning – as well as a slightly altered form of growth hormone</w:t>
      </w:r>
      <w:r>
        <w:rPr>
          <w:rStyle w:val="FootnoteReference"/>
        </w:rPr>
        <w:footnoteReference w:id="180"/>
      </w:r>
      <w:r>
        <w:t xml:space="preserve">. Such modifications may be attempts to evade doping tests; their effects and safety in humans are unknown.</w:t>
      </w:r>
    </w:p>
    <w:p>
      <w:pPr>
        <w:pStyle w:val="BodyText"/>
      </w:pPr>
      <w:r>
        <w:t xml:space="preserve">BPC-157 has also been identified in seized vials. A research group then developed a detection method for urine samples</w:t>
      </w:r>
      <w:r>
        <w:rPr>
          <w:rStyle w:val="FootnoteReference"/>
        </w:rPr>
        <w:footnoteReference w:id="181"/>
      </w:r>
      <w:r>
        <w:t xml:space="preserve">.</w:t>
      </w:r>
    </w:p>
    <w:p>
      <w:pPr>
        <w:pStyle w:val="BodyText"/>
      </w:pPr>
      <w:r>
        <w:t xml:space="preserve">One review summarizes that counterfeit peptide and protein medicines have repeatedly been found to contain the wrong drug, the wrong amount, or no drug at all; that toxic impurities and manufacturing by-products have caused harm to health; and that seizures have also turned up substances that had failed in clinical trials or were still in the animal-testing phase</w:t>
      </w:r>
      <w:r>
        <w:rPr>
          <w:rStyle w:val="FootnoteReference"/>
        </w:rPr>
        <w:footnoteReference w:id="182"/>
      </w:r>
      <w:r>
        <w:t xml:space="preserve">.</w:t>
      </w:r>
    </w:p>
    <w:bookmarkEnd w:id="183"/>
    <w:bookmarkEnd w:id="184"/>
    <w:bookmarkStart w:id="185" w:name="overview-of-the-typical-quality-problems"/>
    <w:p>
      <w:pPr>
        <w:pStyle w:val="Heading3"/>
      </w:pPr>
      <w:r>
        <w:t xml:space="preserve">Overview of the Typical Quality Problems</w:t>
      </w:r>
    </w:p>
    <w:p>
      <w:pPr>
        <w:pStyle w:val="FirstParagraph"/>
      </w:pPr>
      <w:r>
        <w:t xml:space="preserve">A recurring picture emerges from these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Problem</w:t>
            </w:r>
          </w:p>
        </w:tc>
        <w:tc>
          <w:tcPr/>
          <w:p>
            <w:pPr>
              <w:pStyle w:val="Compact"/>
              <w:jc w:val="left"/>
            </w:pPr>
            <w:r>
              <w:t xml:space="preserve">Consequence</w:t>
            </w:r>
          </w:p>
        </w:tc>
        <w:tc>
          <w:tcPr/>
          <w:p>
            <w:pPr>
              <w:pStyle w:val="Compact"/>
              <w:jc w:val="left"/>
            </w:pPr>
            <w:r>
              <w:t xml:space="preserve">Example</w:t>
            </w:r>
          </w:p>
        </w:tc>
      </w:tr>
      <w:tr>
        <w:tc>
          <w:tcPr/>
          <w:p>
            <w:pPr>
              <w:pStyle w:val="Compact"/>
              <w:jc w:val="left"/>
            </w:pPr>
            <w:r>
              <w:t xml:space="preserve">Too much drug</w:t>
            </w:r>
          </w:p>
        </w:tc>
        <w:tc>
          <w:tcPr/>
          <w:p>
            <w:pPr>
              <w:pStyle w:val="Compact"/>
              <w:jc w:val="left"/>
            </w:pPr>
            <w:r>
              <w:t xml:space="preserve">overdose, more side effects</w:t>
            </w:r>
          </w:p>
        </w:tc>
        <w:tc>
          <w:tcPr/>
          <w:p>
            <w:pPr>
              <w:pStyle w:val="Compact"/>
              <w:jc w:val="left"/>
            </w:pPr>
            <w:r>
              <w:t xml:space="preserve">semaglutide up to 38.7% above label</w:t>
            </w:r>
          </w:p>
        </w:tc>
      </w:tr>
      <w:tr>
        <w:tc>
          <w:tcPr/>
          <w:p>
            <w:pPr>
              <w:pStyle w:val="Compact"/>
              <w:jc w:val="left"/>
            </w:pPr>
            <w:r>
              <w:t xml:space="preserve">Too little drug</w:t>
            </w:r>
          </w:p>
        </w:tc>
        <w:tc>
          <w:tcPr/>
          <w:p>
            <w:pPr>
              <w:pStyle w:val="Compact"/>
              <w:jc w:val="left"/>
            </w:pPr>
            <w:r>
              <w:t xml:space="preserve">lack of effect</w:t>
            </w:r>
          </w:p>
        </w:tc>
        <w:tc>
          <w:tcPr/>
          <w:p>
            <w:pPr>
              <w:pStyle w:val="Compact"/>
              <w:jc w:val="left"/>
            </w:pPr>
            <w:r>
              <w:t xml:space="preserve">melanotan II 4.32 instead of 10 mg</w:t>
            </w:r>
          </w:p>
        </w:tc>
      </w:tr>
      <w:tr>
        <w:tc>
          <w:tcPr/>
          <w:p>
            <w:pPr>
              <w:pStyle w:val="Compact"/>
              <w:jc w:val="left"/>
            </w:pPr>
            <w:r>
              <w:t xml:space="preserve">Wrong drug</w:t>
            </w:r>
          </w:p>
        </w:tc>
        <w:tc>
          <w:tcPr/>
          <w:p>
            <w:pPr>
              <w:pStyle w:val="Compact"/>
              <w:jc w:val="left"/>
            </w:pPr>
            <w:r>
              <w:t xml:space="preserve">unpredictable, sometimes life-threatening effects</w:t>
            </w:r>
          </w:p>
        </w:tc>
        <w:tc>
          <w:tcPr/>
          <w:p>
            <w:pPr>
              <w:pStyle w:val="Compact"/>
              <w:jc w:val="left"/>
            </w:pPr>
            <w:r>
              <w:t xml:space="preserve">insulin instead of semaglutide</w:t>
            </w:r>
          </w:p>
        </w:tc>
      </w:tr>
      <w:tr>
        <w:tc>
          <w:tcPr/>
          <w:p>
            <w:pPr>
              <w:pStyle w:val="Compact"/>
              <w:jc w:val="left"/>
            </w:pPr>
            <w:r>
              <w:t xml:space="preserve">No drug</w:t>
            </w:r>
          </w:p>
        </w:tc>
        <w:tc>
          <w:tcPr/>
          <w:p>
            <w:pPr>
              <w:pStyle w:val="Compact"/>
              <w:jc w:val="left"/>
            </w:pPr>
            <w:r>
              <w:t xml:space="preserve">fraud, lack of effect</w:t>
            </w:r>
          </w:p>
        </w:tc>
        <w:tc>
          <w:tcPr/>
          <w:p>
            <w:pPr>
              <w:pStyle w:val="Compact"/>
              <w:jc w:val="left"/>
            </w:pPr>
            <w:r>
              <w:t xml:space="preserve">empty</w:t>
            </w:r>
            <w:r>
              <w:t xml:space="preserve"> </w:t>
            </w:r>
            <w:r>
              <w:t xml:space="preserve">“</w:t>
            </w:r>
            <w:r>
              <w:t xml:space="preserve">growth hormone</w:t>
            </w:r>
            <w:r>
              <w:t xml:space="preserve">”</w:t>
            </w:r>
            <w:r>
              <w:t xml:space="preserve"> </w:t>
            </w:r>
            <w:r>
              <w:t xml:space="preserve">vials</w:t>
            </w:r>
          </w:p>
        </w:tc>
      </w:tr>
      <w:tr>
        <w:tc>
          <w:tcPr/>
          <w:p>
            <w:pPr>
              <w:pStyle w:val="Compact"/>
              <w:jc w:val="left"/>
            </w:pPr>
            <w:r>
              <w:t xml:space="preserve">Impurities</w:t>
            </w:r>
          </w:p>
        </w:tc>
        <w:tc>
          <w:tcPr/>
          <w:p>
            <w:pPr>
              <w:pStyle w:val="Compact"/>
              <w:jc w:val="left"/>
            </w:pPr>
            <w:r>
              <w:t xml:space="preserve">immune reactions, toxic effects</w:t>
            </w:r>
          </w:p>
        </w:tc>
        <w:tc>
          <w:tcPr/>
          <w:p>
            <w:pPr>
              <w:pStyle w:val="Compact"/>
              <w:jc w:val="left"/>
            </w:pPr>
            <w:r>
              <w:t xml:space="preserve">synthesis by-products</w:t>
            </w:r>
          </w:p>
        </w:tc>
      </w:tr>
      <w:tr>
        <w:tc>
          <w:tcPr/>
          <w:p>
            <w:pPr>
              <w:pStyle w:val="Compact"/>
              <w:jc w:val="left"/>
            </w:pPr>
            <w:r>
              <w:t xml:space="preserve">Endotoxins</w:t>
            </w:r>
          </w:p>
        </w:tc>
        <w:tc>
          <w:tcPr/>
          <w:p>
            <w:pPr>
              <w:pStyle w:val="Compact"/>
              <w:jc w:val="left"/>
            </w:pPr>
            <w:r>
              <w:t xml:space="preserve">fever, inflammation, circulatory reactions</w:t>
            </w:r>
          </w:p>
        </w:tc>
        <w:tc>
          <w:tcPr/>
          <w:p>
            <w:pPr>
              <w:pStyle w:val="Compact"/>
              <w:jc w:val="left"/>
            </w:pPr>
            <w:r>
              <w:t xml:space="preserve">in all semaglutide test purchases</w:t>
            </w:r>
          </w:p>
        </w:tc>
      </w:tr>
    </w:tbl>
    <w:bookmarkEnd w:id="185"/>
    <w:bookmarkStart w:id="187" w:name="X566628853c715ada2f99117b20afd62eb74ee30"/>
    <w:p>
      <w:pPr>
        <w:pStyle w:val="Heading3"/>
      </w:pPr>
      <w:r>
        <w:t xml:space="preserve">Purity: What the Percentage Means – and What It Does Not</w:t>
      </w:r>
    </w:p>
    <w:p>
      <w:pPr>
        <w:pStyle w:val="FirstParagraph"/>
      </w:pPr>
      <w:r>
        <w:t xml:space="preserve">Many vendors advertise</w:t>
      </w:r>
      <w:r>
        <w:t xml:space="preserve"> </w:t>
      </w:r>
      <w:r>
        <w:t xml:space="preserve">“</w:t>
      </w:r>
      <w:r>
        <w:t xml:space="preserve">99% purity</w:t>
      </w:r>
      <w:r>
        <w:t xml:space="preserve">”</w:t>
      </w:r>
      <w:r>
        <w:t xml:space="preserve"> </w:t>
      </w:r>
      <w:r>
        <w:t xml:space="preserve">and enclose certificates of analysis. A few points on this:</w:t>
      </w:r>
    </w:p>
    <w:p>
      <w:pPr>
        <w:numPr>
          <w:ilvl w:val="0"/>
          <w:numId w:val="1025"/>
        </w:numPr>
        <w:pStyle w:val="Compact"/>
      </w:pPr>
      <w:r>
        <w:rPr>
          <w:bCs/>
          <w:b/>
        </w:rPr>
        <w:t xml:space="preserve">Purity measures only certain impurities.</w:t>
      </w:r>
      <w:r>
        <w:t xml:space="preserve"> </w:t>
      </w:r>
      <w:r>
        <w:t xml:space="preserve">A typical measurement (high-performance liquid chromatography, HPLC) shows what percentage of the measurable peptide signals is accounted for by the desired substance. Salts, water, solvent residues, metals, or endotoxins are often not captured.</w:t>
      </w:r>
    </w:p>
    <w:p>
      <w:pPr>
        <w:numPr>
          <w:ilvl w:val="0"/>
          <w:numId w:val="1025"/>
        </w:numPr>
        <w:pStyle w:val="Compact"/>
      </w:pPr>
      <w:r>
        <w:rPr>
          <w:bCs/>
          <w:b/>
        </w:rPr>
        <w:t xml:space="preserve">Purity says nothing about quantity.</w:t>
      </w:r>
      <w:r>
        <w:t xml:space="preserve"> </w:t>
      </w:r>
      <w:r>
        <w:t xml:space="preserve">A vial can contain a very pure substance, but in the wrong amount.</w:t>
      </w:r>
    </w:p>
    <w:p>
      <w:pPr>
        <w:numPr>
          <w:ilvl w:val="0"/>
          <w:numId w:val="1025"/>
        </w:numPr>
        <w:pStyle w:val="Compact"/>
      </w:pPr>
      <w:r>
        <w:rPr>
          <w:bCs/>
          <w:b/>
        </w:rPr>
        <w:t xml:space="preserve">Purity says nothing about sterility.</w:t>
      </w:r>
      <w:r>
        <w:t xml:space="preserve"> </w:t>
      </w:r>
      <w:r>
        <w:t xml:space="preserve">A powder can be chemically pure and still be contaminated with bacteria or bacterial components.</w:t>
      </w:r>
    </w:p>
    <w:p>
      <w:pPr>
        <w:numPr>
          <w:ilvl w:val="0"/>
          <w:numId w:val="1025"/>
        </w:numPr>
        <w:pStyle w:val="Compact"/>
      </w:pPr>
      <w:r>
        <w:rPr>
          <w:bCs/>
          <w:b/>
        </w:rPr>
        <w:t xml:space="preserve">Certificates cannot be verified.</w:t>
      </w:r>
      <w:r>
        <w:t xml:space="preserve"> </w:t>
      </w:r>
      <w:r>
        <w:t xml:space="preserve">As a buyer, you cannot determine whether an enclosed certificate actually belongs to the vial delivered. The semaglutide test purchases showed a purity of 7.7 to 14.4% despite a label stating 99%</w:t>
      </w:r>
      <w:r>
        <w:rPr>
          <w:rStyle w:val="FootnoteReference"/>
        </w:rPr>
        <w:footnoteReference w:id="186"/>
      </w:r>
      <w:r>
        <w:t xml:space="preserve">.</w:t>
      </w:r>
    </w:p>
    <w:p>
      <w:pPr>
        <w:pStyle w:val="FirstParagraph"/>
      </w:pPr>
      <w:r>
        <w:t xml:space="preserve">In addition, there are impurities that typically arise during chemical synthesis: peptides with missing or duplicated building blocks, misfolded or chemically altered variants, residues of protecting groups and reagents. For approved medicines, limits for such impurities are specified and regularly checked.</w:t>
      </w:r>
    </w:p>
    <w:bookmarkEnd w:id="187"/>
    <w:bookmarkStart w:id="189" w:name="endotoxins-invisible-and-dangerous"/>
    <w:p>
      <w:pPr>
        <w:pStyle w:val="Heading3"/>
      </w:pPr>
      <w:r>
        <w:t xml:space="preserve">Endotoxins: Invisible and Dangerous</w:t>
      </w:r>
    </w:p>
    <w:p>
      <w:pPr>
        <w:pStyle w:val="FirstParagraph"/>
      </w:pPr>
      <w:r>
        <w:t xml:space="preserve">Endotoxins are components of the cell wall of certain bacteria. They persist even when the bacteria have been killed and are very heat-stable. If they enter the blood, they can trigger fever, chills, a drop in blood pressure, and in larger amounts a life-threatening shock. For this reason, strict limits apply to injections and infusions, and drug manufacturers test every batch.</w:t>
      </w:r>
    </w:p>
    <w:p>
      <w:pPr>
        <w:pStyle w:val="BodyText"/>
      </w:pPr>
      <w:r>
        <w:t xml:space="preserve">A powder that is</w:t>
      </w:r>
      <w:r>
        <w:t xml:space="preserve"> </w:t>
      </w:r>
      <w:r>
        <w:t xml:space="preserve">“</w:t>
      </w:r>
      <w:r>
        <w:t xml:space="preserve">sterile</w:t>
      </w:r>
      <w:r>
        <w:t xml:space="preserve">”</w:t>
      </w:r>
      <w:r>
        <w:t xml:space="preserve"> </w:t>
      </w:r>
      <w:r>
        <w:t xml:space="preserve">or</w:t>
      </w:r>
      <w:r>
        <w:t xml:space="preserve"> </w:t>
      </w:r>
      <w:r>
        <w:t xml:space="preserve">“</w:t>
      </w:r>
      <w:r>
        <w:t xml:space="preserve">germ-free</w:t>
      </w:r>
      <w:r>
        <w:t xml:space="preserve">”</w:t>
      </w:r>
      <w:r>
        <w:t xml:space="preserve"> </w:t>
      </w:r>
      <w:r>
        <w:t xml:space="preserve">can nevertheless contain endotoxins – this is exactly what the semaglutide test purchases showed: no live microorganisms, but endotoxins in all samples</w:t>
      </w:r>
      <w:r>
        <w:rPr>
          <w:rStyle w:val="FootnoteReference"/>
        </w:rPr>
        <w:footnoteReference w:id="188"/>
      </w:r>
      <w:r>
        <w:t xml:space="preserve">. Reconstituting with non-sterile water, drawing repeatedly from the same vial, or reusing needles can also introduce germs.</w:t>
      </w:r>
    </w:p>
    <w:bookmarkEnd w:id="189"/>
    <w:bookmarkStart w:id="191" w:name="dosing-errors"/>
    <w:p>
      <w:pPr>
        <w:pStyle w:val="Heading3"/>
      </w:pPr>
      <w:r>
        <w:t xml:space="preserve">Dosing Errors</w:t>
      </w:r>
    </w:p>
    <w:p>
      <w:pPr>
        <w:pStyle w:val="FirstParagraph"/>
      </w:pPr>
      <w:r>
        <w:t xml:space="preserve">Even if a product contains exactly what is on the label, correct dosing on the gray market is difficult. Powder has to be reconstituted with a specific amount of liquid; the dose then results from a conversion. Anyone who miscalculates or confuses units can easily inject many times the intended amount.</w:t>
      </w:r>
    </w:p>
    <w:p>
      <w:pPr>
        <w:pStyle w:val="BodyText"/>
      </w:pPr>
      <w:r>
        <w:t xml:space="preserve">A case series from a US poison control center describes three cases involving semaglutide from pharmacies and a beauty salon. Two people had accidentally injected ten times the amount. All had nausea, vomiting, and abdominal pain for days. One person had received a vial with syringes without any counseling; another confused milliliters,</w:t>
      </w:r>
      <w:r>
        <w:t xml:space="preserve"> </w:t>
      </w:r>
      <w:r>
        <w:t xml:space="preserve">“</w:t>
      </w:r>
      <w:r>
        <w:t xml:space="preserve">units,</w:t>
      </w:r>
      <w:r>
        <w:t xml:space="preserve">”</w:t>
      </w:r>
      <w:r>
        <w:t xml:space="preserve"> </w:t>
      </w:r>
      <w:r>
        <w:t xml:space="preserve">and milligrams</w:t>
      </w:r>
      <w:r>
        <w:rPr>
          <w:rStyle w:val="FootnoteReference"/>
        </w:rPr>
        <w:footnoteReference w:id="190"/>
      </w:r>
      <w:r>
        <w:t xml:space="preserve">. The authors emphasize that, unlike prefilled pens, vials offer no safety mechanisms against such errors.</w:t>
      </w:r>
    </w:p>
    <w:bookmarkEnd w:id="191"/>
    <w:bookmarkStart w:id="196" w:name="Xf223738bfdc537c1c68bcf11dab9f311f7e0d56"/>
    <w:p>
      <w:pPr>
        <w:pStyle w:val="Heading3"/>
      </w:pPr>
      <w:r>
        <w:t xml:space="preserve">Counterfeits of Ozempic and Other GLP-1 Medications</w:t>
      </w:r>
    </w:p>
    <w:p>
      <w:pPr>
        <w:pStyle w:val="FirstParagraph"/>
      </w:pPr>
      <w:r>
        <w:t xml:space="preserve">With the enormous demand for semaglutide, counterfeits appeared worldwide. In 2024, the World Health Organization warned about counterfeit Ozempic in the global supply chain</w:t>
      </w:r>
      <w:r>
        <w:rPr>
          <w:rStyle w:val="FootnoteReference"/>
        </w:rPr>
        <w:footnoteReference w:id="192"/>
      </w:r>
      <w:r>
        <w:t xml:space="preserve">.</w:t>
      </w:r>
    </w:p>
    <w:p>
      <w:pPr>
        <w:pStyle w:val="BodyText"/>
      </w:pPr>
      <w:r>
        <w:t xml:space="preserve">Counterfeits that contain a different drug are particularly dangerous. In Italy, a 31-year-old woman was brought to the emergency department in a hypoglycemic coma after injecting supposed Ozempic bought on the internet. Toxicological analysis revealed that the vial contained insulin instead of semaglutide</w:t>
      </w:r>
      <w:r>
        <w:rPr>
          <w:rStyle w:val="FootnoteReference"/>
        </w:rPr>
        <w:footnoteReference w:id="193"/>
      </w:r>
      <w:r>
        <w:t xml:space="preserve">. Two similar cases were reported from the Netherlands: two people without diabetes and without obesity had injected semaglutide obtained without a prescription and were in a coma with severe hypoglycemia, potassium deficiency, and hypothermia. The cause was poisoning with synthetic insulin. Continuous glucose infusion for up to two days was needed to keep blood sugar stable</w:t>
      </w:r>
      <w:r>
        <w:rPr>
          <w:rStyle w:val="FootnoteReference"/>
        </w:rPr>
        <w:footnoteReference w:id="194"/>
      </w:r>
      <w:r>
        <w:t xml:space="preserve">.</w:t>
      </w:r>
    </w:p>
    <w:p>
      <w:pPr>
        <w:pStyle w:val="BodyText"/>
      </w:pPr>
      <w:r>
        <w:t xml:space="preserve">These cases are so significant because genuine semaglutide alone hardly causes any appreciable hypoglycemia in healthy people. Hypoglycemia after a</w:t>
      </w:r>
      <w:r>
        <w:t xml:space="preserve"> </w:t>
      </w:r>
      <w:r>
        <w:t xml:space="preserve">“</w:t>
      </w:r>
      <w:r>
        <w:t xml:space="preserve">weight-loss injection</w:t>
      </w:r>
      <w:r>
        <w:t xml:space="preserve">”</w:t>
      </w:r>
      <w:r>
        <w:t xml:space="preserve"> </w:t>
      </w:r>
      <w:r>
        <w:t xml:space="preserve">is therefore a warning sign of a counterfeit product.</w:t>
      </w:r>
    </w:p>
    <w:p>
      <w:pPr>
        <w:pStyle w:val="BodyText"/>
      </w:pPr>
      <w:r>
        <w:t xml:space="preserve">An analysis of the European adverse event database EudraVigilance found a total of 234 reports of possibly counterfeit semaglutide from 2018 to 2025. 73.5% concerned women, and 89.3% of the reported side effects were serious. Vomiting, nausea, and hypoglycemia were reported most frequently. Compared with genuine semaglutide, hypoglycemia, use outside the approved indication, malaise, and lack of effect were reported disproportionately often</w:t>
      </w:r>
      <w:r>
        <w:rPr>
          <w:rStyle w:val="FootnoteReference"/>
        </w:rPr>
        <w:footnoteReference w:id="195"/>
      </w:r>
      <w:r>
        <w:t xml:space="preserve">. As with all reporting data: they show signals, not frequencies.</w:t>
      </w:r>
    </w:p>
    <w:bookmarkEnd w:id="196"/>
    <w:bookmarkStart w:id="199" w:name="unapproved-glp-1-drugs"/>
    <w:p>
      <w:pPr>
        <w:pStyle w:val="Heading3"/>
      </w:pPr>
      <w:r>
        <w:t xml:space="preserve">Unapproved GLP-1 Drugs</w:t>
      </w:r>
    </w:p>
    <w:p>
      <w:pPr>
        <w:pStyle w:val="FirstParagraph"/>
      </w:pPr>
      <w:r>
        <w:t xml:space="preserve">Drugs that are not yet approved at all, such as the triple agonist retatrutide, are now also being offered on the gray market. For such substances there are studies by the manufacturers, but no tested products – what is actually in a vial labeled</w:t>
      </w:r>
      <w:r>
        <w:t xml:space="preserve"> </w:t>
      </w:r>
      <w:r>
        <w:t xml:space="preserve">“</w:t>
      </w:r>
      <w:r>
        <w:t xml:space="preserve">retatrutide</w:t>
      </w:r>
      <w:r>
        <w:t xml:space="preserve">”</w:t>
      </w:r>
      <w:r>
        <w:t xml:space="preserve"> </w:t>
      </w:r>
      <w:r>
        <w:t xml:space="preserve">is unknown. In 2026, a medical journal devoted a dedicated report to this black market</w:t>
      </w:r>
      <w:r>
        <w:rPr>
          <w:rStyle w:val="FootnoteReference"/>
        </w:rPr>
        <w:footnoteReference w:id="197"/>
      </w:r>
      <w:r>
        <w:t xml:space="preserve">.</w:t>
      </w:r>
    </w:p>
    <w:p>
      <w:pPr>
        <w:pStyle w:val="BodyText"/>
      </w:pPr>
      <w:r>
        <w:t xml:space="preserve">One case report describes a woman in her mid-twenties who came to the hospital with five days of persistent nausea, repeated vomiting, and diarrhea. Her symptoms initially did not improve despite several anti-nausea medications. Only through repeated questioning did it emerge that a self-styled life coach without medical qualifications had given her four weekly injections of a product that allegedly contained retatrutide. She herself had not regarded the injections as medication</w:t>
      </w:r>
      <w:r>
        <w:rPr>
          <w:rStyle w:val="FootnoteReference"/>
        </w:rPr>
        <w:footnoteReference w:id="198"/>
      </w:r>
      <w:r>
        <w:t xml:space="preserve">. The case illustrates another problem: people who do not perceive peptides as medicines do not mention them to their physicians either.</w:t>
      </w:r>
    </w:p>
    <w:bookmarkEnd w:id="199"/>
    <w:bookmarkStart w:id="203" w:name="dangers-beyond-contamination"/>
    <w:p>
      <w:pPr>
        <w:pStyle w:val="Heading3"/>
      </w:pPr>
      <w:r>
        <w:t xml:space="preserve">Dangers Beyond Contamination</w:t>
      </w:r>
    </w:p>
    <w:p>
      <w:pPr>
        <w:pStyle w:val="FirstParagraph"/>
      </w:pPr>
      <w:r>
        <w:t xml:space="preserve">Even a perfectly pure gray-market peptide can be dangerous if the substance itself has never been adequately studied in humans. One case report describes a 39-year-old man who injected melanotan II bought on the internet – by his own account, six times the starting amount that had been recommended to him. He developed a racing heart, agitation, sweating, and massive muscle breakdown (rhabdomyolysis) with kidney dysfunction and had to be treated in the intensive care unit. Analysis confirmed that the product actually contained melanotan II</w:t>
      </w:r>
      <w:r>
        <w:rPr>
          <w:rStyle w:val="FootnoteReference"/>
        </w:rPr>
        <w:footnoteReference w:id="200"/>
      </w:r>
      <w:r>
        <w:t xml:space="preserve">.</w:t>
      </w:r>
    </w:p>
    <w:p>
      <w:pPr>
        <w:pStyle w:val="BodyText"/>
      </w:pPr>
      <w:r>
        <w:t xml:space="preserve">Reviews list possible risks of unregulated peptides including contamination, inaccurate dosing, pathological formation of new blood vessels, carcinogenesis, strain on the cardiovascular system, and excessive hormone signals</w:t>
      </w:r>
      <w:r>
        <w:rPr>
          <w:rStyle w:val="FootnoteReference"/>
        </w:rPr>
        <w:footnoteReference w:id="201"/>
      </w:r>
      <w:r>
        <w:t xml:space="preserve">. Many of these risks are derived theoretically, precisely because there are hardly any human studies. A sports medicine review concludes that many unapproved peptides show favorable effects in animal models, but that robust human safety data are scarce and serious harm is possible</w:t>
      </w:r>
      <w:r>
        <w:rPr>
          <w:rStyle w:val="FootnoteReference"/>
        </w:rPr>
        <w:footnoteReference w:id="202"/>
      </w:r>
      <w:r>
        <w:t xml:space="preserve">.</w:t>
      </w:r>
    </w:p>
    <w:bookmarkEnd w:id="203"/>
    <w:bookmarkStart w:id="206" w:name="compounding-in-the-usa"/>
    <w:p>
      <w:pPr>
        <w:pStyle w:val="Heading3"/>
      </w:pPr>
      <w:r>
        <w:t xml:space="preserve">Compounding in the USA</w:t>
      </w:r>
    </w:p>
    <w:p>
      <w:pPr>
        <w:pStyle w:val="FirstParagraph"/>
      </w:pPr>
      <w:r>
        <w:t xml:space="preserve">A special feature of the US market is</w:t>
      </w:r>
      <w:r>
        <w:t xml:space="preserve"> </w:t>
      </w:r>
      <w:r>
        <w:rPr>
          <w:bCs/>
          <w:b/>
        </w:rPr>
        <w:t xml:space="preserve">compounding</w:t>
      </w:r>
      <w:r>
        <w:t xml:space="preserve">: under certain conditions, pharmacies may prepare medicines themselves, for example when an approved preparation is unavailable. During the shortages of semaglutide and tirzepatide, a large market thus emerged for copycat preparations, often distributed via telemedicine providers. These preparations are not approved medicines; their efficacy and safety have not been tested in studies.</w:t>
      </w:r>
    </w:p>
    <w:p>
      <w:pPr>
        <w:pStyle w:val="BodyText"/>
      </w:pPr>
      <w:r>
        <w:t xml:space="preserve">An analysis of the US adverse event database FAERS compared reports on compounded and approved GLP-1 preparations. Of 81,078 reports, 707 concerned compounded products. For these, abdominal pain, gallbladder inflammation, compounding errors, and contamination, among others, were reported disproportionately often, as were hospitalizations; administration and dosing errors, on the other hand, were reported less often</w:t>
      </w:r>
      <w:r>
        <w:rPr>
          <w:rStyle w:val="FootnoteReference"/>
        </w:rPr>
        <w:footnoteReference w:id="204"/>
      </w:r>
      <w:r>
        <w:t xml:space="preserve">. The authors emphasize that such data do not prove a cause-and-effect relationship.</w:t>
      </w:r>
    </w:p>
    <w:p>
      <w:pPr>
        <w:pStyle w:val="BodyText"/>
      </w:pPr>
      <w:r>
        <w:t xml:space="preserve">Since the end of the shortages, under US law pharmacies may only produce preparations that differ from the approved ones – for example, through a different dosage form or additives. One investigation found 33 such products, including combinations with vitamin B12, glycine, niacinamide, a laxative, or an anti-nausea drug, as well as drops and orally disintegrating tablets for use under the tongue. For vitamins and the laxative, the authors found hardly any rationale. For the addition of the anti-nausea drug and for the new dosage forms, they see an understandable idea, but no evidence of efficacy and safety</w:t>
      </w:r>
      <w:r>
        <w:rPr>
          <w:rStyle w:val="FootnoteReference"/>
        </w:rPr>
        <w:footnoteReference w:id="205"/>
      </w:r>
      <w:r>
        <w:t xml:space="preserve">.</w:t>
      </w:r>
    </w:p>
    <w:p>
      <w:pPr>
        <w:pStyle w:val="BodyText"/>
      </w:pPr>
      <w:r>
        <w:t xml:space="preserve">Compounding is not a gray market in the narrower sense: the pharmacies are licensed and subject to oversight. For patients, however, the boundary becomes blurred when products are distributed via online platforms with little medical supervision. There is no comparable system in Europe; here, preparation in the pharmacy is subject to considerably narrower conditions (more on this in the next chapter).</w:t>
      </w:r>
    </w:p>
    <w:bookmarkEnd w:id="206"/>
    <w:bookmarkStart w:id="208" w:name="who-uses-the-gray-market-and-why"/>
    <w:p>
      <w:pPr>
        <w:pStyle w:val="Heading3"/>
      </w:pPr>
      <w:r>
        <w:t xml:space="preserve">Who Uses the Gray Market – and Why</w:t>
      </w:r>
    </w:p>
    <w:p>
      <w:pPr>
        <w:pStyle w:val="FirstParagraph"/>
      </w:pPr>
      <w:r>
        <w:t xml:space="preserve">The reasons for turning to the gray market are varied: high prices and lack of reimbursement for approved medicines, supply shortages, the desire for weight loss without a medical indication, performance enhancement in sport, hope for faster healing of injuries, or for a longer life. One review describes how online advertising, testimonials on social media, self-injection, combinations of several substances, and weak adverse event monitoring interact and normalize products of unclear nature</w:t>
      </w:r>
      <w:r>
        <w:rPr>
          <w:rStyle w:val="FootnoteReference"/>
        </w:rPr>
        <w:footnoteReference w:id="207"/>
      </w:r>
      <w:r>
        <w:t xml:space="preserve">.</w:t>
      </w:r>
    </w:p>
    <w:p>
      <w:pPr>
        <w:pStyle w:val="BodyText"/>
      </w:pPr>
      <w:r>
        <w:t xml:space="preserve">These motives are understandable. The analyses in this chapter show, however, that buyers on the gray market cannot know what they are actually getting.</w:t>
      </w:r>
    </w:p>
    <w:bookmarkEnd w:id="208"/>
    <w:bookmarkStart w:id="209" w:name="Xf5ced76d32d187bab8452c09a671d241cb2287a"/>
    <w:p>
      <w:pPr>
        <w:pStyle w:val="Heading3"/>
      </w:pPr>
      <w:r>
        <w:t xml:space="preserve">If You Have Already Used Gray-Market Peptides</w:t>
      </w:r>
    </w:p>
    <w:p>
      <w:pPr>
        <w:pStyle w:val="FirstParagraph"/>
      </w:pPr>
      <w:r>
        <w:t xml:space="preserve">This book gives no instructions for use. However, some general points are important for safety reasons:</w:t>
      </w:r>
    </w:p>
    <w:p>
      <w:pPr>
        <w:numPr>
          <w:ilvl w:val="0"/>
          <w:numId w:val="1026"/>
        </w:numPr>
        <w:pStyle w:val="Compact"/>
      </w:pPr>
      <w:r>
        <w:t xml:space="preserve">Inform your physician about all injections, peptides, and</w:t>
      </w:r>
      <w:r>
        <w:t xml:space="preserve"> </w:t>
      </w:r>
      <w:r>
        <w:t xml:space="preserve">“</w:t>
      </w:r>
      <w:r>
        <w:t xml:space="preserve">research chemicals</w:t>
      </w:r>
      <w:r>
        <w:t xml:space="preserve">”</w:t>
      </w:r>
      <w:r>
        <w:t xml:space="preserve"> </w:t>
      </w:r>
      <w:r>
        <w:t xml:space="preserve">you use – even if you do not regard them as medication.</w:t>
      </w:r>
    </w:p>
    <w:p>
      <w:pPr>
        <w:numPr>
          <w:ilvl w:val="0"/>
          <w:numId w:val="1026"/>
        </w:numPr>
        <w:pStyle w:val="Compact"/>
      </w:pPr>
      <w:r>
        <w:t xml:space="preserve">Unexpected symptoms such as trembling, sweating, confusion, or impaired consciousness after an injection can indicate hypoglycemia and are an emergency.</w:t>
      </w:r>
    </w:p>
    <w:p>
      <w:pPr>
        <w:numPr>
          <w:ilvl w:val="0"/>
          <w:numId w:val="1026"/>
        </w:numPr>
        <w:pStyle w:val="Compact"/>
      </w:pPr>
      <w:r>
        <w:t xml:space="preserve">Suspicious products and side effects can be reported to the authorities: in Germany to the Federal Institute for Drugs and Medical Devices (BfArM), in Austria to the Federal Office for Safety in Health Care (BASG).</w:t>
      </w:r>
    </w:p>
    <w:bookmarkEnd w:id="209"/>
    <w:bookmarkStart w:id="210" w:name="key-points-in-brief-3"/>
    <w:p>
      <w:pPr>
        <w:pStyle w:val="Heading3"/>
      </w:pPr>
      <w:r>
        <w:t xml:space="preserve">Key Points in Brief</w:t>
      </w:r>
    </w:p>
    <w:p>
      <w:pPr>
        <w:numPr>
          <w:ilvl w:val="0"/>
          <w:numId w:val="1027"/>
        </w:numPr>
        <w:pStyle w:val="Compact"/>
      </w:pPr>
      <w:r>
        <w:t xml:space="preserve">The notice</w:t>
      </w:r>
      <w:r>
        <w:t xml:space="preserve"> </w:t>
      </w:r>
      <w:r>
        <w:t xml:space="preserve">“</w:t>
      </w:r>
      <w:r>
        <w:t xml:space="preserve">for research purposes only</w:t>
      </w:r>
      <w:r>
        <w:t xml:space="preserve">”</w:t>
      </w:r>
      <w:r>
        <w:t xml:space="preserve"> </w:t>
      </w:r>
      <w:r>
        <w:t xml:space="preserve">does not protect against risks; it shifts responsibility to the buyers.</w:t>
      </w:r>
    </w:p>
    <w:p>
      <w:pPr>
        <w:numPr>
          <w:ilvl w:val="0"/>
          <w:numId w:val="1027"/>
        </w:numPr>
        <w:pStyle w:val="Compact"/>
      </w:pPr>
      <w:r>
        <w:t xml:space="preserve">Laboratory analyses of gray-market peptides found too much, too little, the wrong, or no drug at all, as well as impurities and endotoxins.</w:t>
      </w:r>
    </w:p>
    <w:p>
      <w:pPr>
        <w:numPr>
          <w:ilvl w:val="0"/>
          <w:numId w:val="1027"/>
        </w:numPr>
        <w:pStyle w:val="Compact"/>
      </w:pPr>
      <w:r>
        <w:t xml:space="preserve">Counterfeit semaglutide products containing insulin led to life-threatening hypoglycemia.</w:t>
      </w:r>
    </w:p>
    <w:p>
      <w:pPr>
        <w:numPr>
          <w:ilvl w:val="0"/>
          <w:numId w:val="1027"/>
        </w:numPr>
        <w:pStyle w:val="Compact"/>
      </w:pPr>
      <w:r>
        <w:t xml:space="preserve">Compounded preparations from US pharmacies are not tested like approved medicines either.</w:t>
      </w:r>
    </w:p>
    <w:p>
      <w:pPr>
        <w:numPr>
          <w:ilvl w:val="0"/>
          <w:numId w:val="1027"/>
        </w:numPr>
        <w:pStyle w:val="Compact"/>
      </w:pPr>
      <w:r>
        <w:t xml:space="preserve">Even a pure product remains risky if the drug has never been adequately studied in humans.</w:t>
      </w:r>
    </w:p>
    <w:bookmarkEnd w:id="210"/>
    <w:bookmarkEnd w:id="211"/>
    <w:bookmarkStart w:id="229" w:name="legal-framework"/>
    <w:p>
      <w:pPr>
        <w:pStyle w:val="Heading2"/>
      </w:pPr>
      <w:r>
        <w:t xml:space="preserve">Legal Framework</w:t>
      </w:r>
    </w:p>
    <w:p>
      <w:pPr>
        <w:pStyle w:val="FirstParagraph"/>
      </w:pPr>
      <w:r>
        <w:t xml:space="preserve">Whether a peptide is a prescription medicine, a dietary supplement, a cosmetic, or a prohibited doping substance does not depend on the molecule alone. What also matters is what it is intended for, how it is offered, and how it acts in the body. The same collagen peptide can sit on the supermarket shelf as a food; a peptide with demonstrable hormone-like activity, by contrast, is almost always a medicine – regardless of what is on the label. This chapter provides an overview of the rules in the European Union, in Austria, in Germany, and in the USA, as well as the anti-doping regulations.</w:t>
      </w:r>
    </w:p>
    <w:p>
      <w:pPr>
        <w:pStyle w:val="BlockText"/>
      </w:pPr>
      <w:r>
        <w:rPr>
          <w:bCs/>
          <w:b/>
        </w:rPr>
        <w:t xml:space="preserve">Important note:</w:t>
      </w:r>
      <w:r>
        <w:t xml:space="preserve"> </w:t>
      </w:r>
      <w:r>
        <w:t xml:space="preserve">This chapter reflects the status as of 2026 to the best of our knowledge and does not constitute legal advice. Laws, regulations, administrative practice, and the Prohibited List of the World Anti-Doping Agency change regularly. Please check the current legal situation in each individual case and, for specific questions, consult a lawyer or the competent authority.</w:t>
      </w:r>
    </w:p>
    <w:bookmarkStart w:id="212" w:name="three-drawers-medicines-food-cosmetics"/>
    <w:p>
      <w:pPr>
        <w:pStyle w:val="Heading3"/>
      </w:pPr>
      <w:r>
        <w:t xml:space="preserve">Three Drawers: Medicines, Food, Cosmetics</w:t>
      </w:r>
    </w:p>
    <w:p>
      <w:pPr>
        <w:pStyle w:val="FirstParagraph"/>
      </w:pPr>
      <w:r>
        <w:t xml:space="preserve">European law essentially distinguishes three product categories into which peptides can fall. Each has its own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Regulatory review before sale</w:t>
            </w:r>
          </w:p>
        </w:tc>
        <w:tc>
          <w:tcPr/>
          <w:p>
            <w:pPr>
              <w:pStyle w:val="Compact"/>
              <w:jc w:val="left"/>
            </w:pPr>
            <w:r>
              <w:t xml:space="preserve">Typical peptides</w:t>
            </w:r>
          </w:p>
        </w:tc>
      </w:tr>
      <w:tr>
        <w:tc>
          <w:tcPr/>
          <w:p>
            <w:pPr>
              <w:pStyle w:val="Compact"/>
              <w:jc w:val="left"/>
            </w:pPr>
            <w:r>
              <w:t xml:space="preserve">Medicines</w:t>
            </w:r>
          </w:p>
        </w:tc>
        <w:tc>
          <w:tcPr/>
          <w:p>
            <w:pPr>
              <w:pStyle w:val="Compact"/>
              <w:jc w:val="left"/>
            </w:pPr>
            <w:r>
              <w:t xml:space="preserve">marketing authorization with proof of efficacy and safety</w:t>
            </w:r>
          </w:p>
        </w:tc>
        <w:tc>
          <w:tcPr/>
          <w:p>
            <w:pPr>
              <w:pStyle w:val="Compact"/>
              <w:jc w:val="left"/>
            </w:pPr>
            <w:r>
              <w:t xml:space="preserve">insulin, semaglutide, oxytocin</w:t>
            </w:r>
          </w:p>
        </w:tc>
      </w:tr>
      <w:tr>
        <w:tc>
          <w:tcPr/>
          <w:p>
            <w:pPr>
              <w:pStyle w:val="Compact"/>
              <w:jc w:val="left"/>
            </w:pPr>
            <w:r>
              <w:t xml:space="preserve">Food and dietary supplements</w:t>
            </w:r>
          </w:p>
        </w:tc>
        <w:tc>
          <w:tcPr/>
          <w:p>
            <w:pPr>
              <w:pStyle w:val="Compact"/>
              <w:jc w:val="left"/>
            </w:pPr>
            <w:r>
              <w:t xml:space="preserve">no authorization, manufacturer responsible</w:t>
            </w:r>
          </w:p>
        </w:tc>
        <w:tc>
          <w:tcPr/>
          <w:p>
            <w:pPr>
              <w:pStyle w:val="Compact"/>
              <w:jc w:val="left"/>
            </w:pPr>
            <w:r>
              <w:t xml:space="preserve">collagen peptides, milk peptides</w:t>
            </w:r>
          </w:p>
        </w:tc>
      </w:tr>
      <w:tr>
        <w:tc>
          <w:tcPr/>
          <w:p>
            <w:pPr>
              <w:pStyle w:val="Compact"/>
              <w:jc w:val="left"/>
            </w:pPr>
            <w:r>
              <w:t xml:space="preserve">Cosmetics</w:t>
            </w:r>
          </w:p>
        </w:tc>
        <w:tc>
          <w:tcPr/>
          <w:p>
            <w:pPr>
              <w:pStyle w:val="Compact"/>
              <w:jc w:val="left"/>
            </w:pPr>
            <w:r>
              <w:t xml:space="preserve">no authorization, safety assessment by manufacturer</w:t>
            </w:r>
          </w:p>
        </w:tc>
        <w:tc>
          <w:tcPr/>
          <w:p>
            <w:pPr>
              <w:pStyle w:val="Compact"/>
              <w:jc w:val="left"/>
            </w:pPr>
            <w:r>
              <w:t xml:space="preserve">palmitoyl pentapeptide-4, Argireline</w:t>
            </w:r>
          </w:p>
        </w:tc>
      </w:tr>
    </w:tbl>
    <w:p>
      <w:pPr>
        <w:pStyle w:val="BodyText"/>
      </w:pPr>
      <w:r>
        <w:t xml:space="preserve">In addition, there are substances that do not lawfully fit into any of these categories – for example, unapproved active substances with pharmacological activity that are sold as</w:t>
      </w:r>
      <w:r>
        <w:t xml:space="preserve"> </w:t>
      </w:r>
      <w:r>
        <w:t xml:space="preserve">“</w:t>
      </w:r>
      <w:r>
        <w:t xml:space="preserve">research chemicals.</w:t>
      </w:r>
      <w:r>
        <w:t xml:space="preserve">”</w:t>
      </w:r>
      <w:r>
        <w:t xml:space="preserve"> </w:t>
      </w:r>
      <w:r>
        <w:t xml:space="preserve">For them, there is no legal route onto the market as a product for human use.</w:t>
      </w:r>
    </w:p>
    <w:bookmarkEnd w:id="212"/>
    <w:bookmarkStart w:id="213" w:name="what-a-medicine-is"/>
    <w:p>
      <w:pPr>
        <w:pStyle w:val="Heading3"/>
      </w:pPr>
      <w:r>
        <w:t xml:space="preserve">What a Medicine Is</w:t>
      </w:r>
    </w:p>
    <w:p>
      <w:pPr>
        <w:pStyle w:val="FirstParagraph"/>
      </w:pPr>
      <w:r>
        <w:t xml:space="preserve">The definition of a medicinal product is laid down in the EU by a directive (Directive 2001/83/EC) and implemented in the national medicines laws. It has two sides:</w:t>
      </w:r>
    </w:p>
    <w:p>
      <w:pPr>
        <w:numPr>
          <w:ilvl w:val="0"/>
          <w:numId w:val="1028"/>
        </w:numPr>
        <w:pStyle w:val="Compact"/>
      </w:pPr>
      <w:r>
        <w:rPr>
          <w:bCs/>
          <w:b/>
        </w:rPr>
        <w:t xml:space="preserve">Medicinal product by presentation</w:t>
      </w:r>
      <w:r>
        <w:t xml:space="preserve">: A product is a medicine if it is</w:t>
      </w:r>
      <w:r>
        <w:t xml:space="preserve"> </w:t>
      </w:r>
      <w:r>
        <w:rPr>
          <w:bCs/>
          <w:b/>
        </w:rPr>
        <w:t xml:space="preserve">presented</w:t>
      </w:r>
      <w:r>
        <w:t xml:space="preserve"> </w:t>
      </w:r>
      <w:r>
        <w:t xml:space="preserve">as a means of treating or preventing disease. Even advertising with claims such as</w:t>
      </w:r>
      <w:r>
        <w:t xml:space="preserve"> </w:t>
      </w:r>
      <w:r>
        <w:t xml:space="preserve">“</w:t>
      </w:r>
      <w:r>
        <w:t xml:space="preserve">accelerates the healing of tendon injuries</w:t>
      </w:r>
      <w:r>
        <w:t xml:space="preserve">”</w:t>
      </w:r>
      <w:r>
        <w:t xml:space="preserve"> </w:t>
      </w:r>
      <w:r>
        <w:t xml:space="preserve">can make a product a medicine.</w:t>
      </w:r>
    </w:p>
    <w:p>
      <w:pPr>
        <w:numPr>
          <w:ilvl w:val="0"/>
          <w:numId w:val="1028"/>
        </w:numPr>
        <w:pStyle w:val="Compact"/>
      </w:pPr>
      <w:r>
        <w:rPr>
          <w:bCs/>
          <w:b/>
        </w:rPr>
        <w:t xml:space="preserve">Medicinal product by function</w:t>
      </w:r>
      <w:r>
        <w:t xml:space="preserve">: A product is a medicine if it can restore, correct, or modify human physiological functions through a</w:t>
      </w:r>
      <w:r>
        <w:t xml:space="preserve"> </w:t>
      </w:r>
      <w:r>
        <w:rPr>
          <w:bCs/>
          <w:b/>
        </w:rPr>
        <w:t xml:space="preserve">pharmacological, immunological, or metabolic action</w:t>
      </w:r>
      <w:r>
        <w:t xml:space="preserve"> </w:t>
      </w:r>
      <w:r>
        <w:t xml:space="preserve">– regardless of how it is advertised.</w:t>
      </w:r>
    </w:p>
    <w:p>
      <w:pPr>
        <w:pStyle w:val="FirstParagraph"/>
      </w:pPr>
      <w:r>
        <w:t xml:space="preserve">If a product falls both under the definition of a medicine and under that of another product, medicines law takes precedence in case of doubt under this directive. For peptides with hormone-like activity – such as growth hormone secretagogues, GLP-1 analogs, or melanotan – this means: they are as a rule medicines, even if they are declared as dietary supplements, cosmetics, or</w:t>
      </w:r>
      <w:r>
        <w:t xml:space="preserve"> </w:t>
      </w:r>
      <w:r>
        <w:t xml:space="preserve">“</w:t>
      </w:r>
      <w:r>
        <w:t xml:space="preserve">research chemicals.</w:t>
      </w:r>
      <w:r>
        <w:t xml:space="preserve">”</w:t>
      </w:r>
    </w:p>
    <w:bookmarkEnd w:id="213"/>
    <w:bookmarkStart w:id="214" w:name="authorization-in-the-eu"/>
    <w:p>
      <w:pPr>
        <w:pStyle w:val="Heading3"/>
      </w:pPr>
      <w:r>
        <w:t xml:space="preserve">Authorization in the EU</w:t>
      </w:r>
    </w:p>
    <w:p>
      <w:pPr>
        <w:pStyle w:val="FirstParagraph"/>
      </w:pPr>
      <w:r>
        <w:t xml:space="preserve">A medicine may only be placed on the market in the EU if it is authorized. For authorization, the manufacturer must submit data on quality, efficacy, and safety – usually from the phase 3 trials described in the chapter</w:t>
      </w:r>
      <w:r>
        <w:t xml:space="preserve"> </w:t>
      </w:r>
      <w:r>
        <w:t xml:space="preserve">“</w:t>
      </w:r>
      <w:r>
        <w:t xml:space="preserve">Reading Studies Correctly.</w:t>
      </w:r>
      <w:r>
        <w:t xml:space="preserve">”</w:t>
      </w:r>
    </w:p>
    <w:p>
      <w:pPr>
        <w:pStyle w:val="BodyText"/>
      </w:pPr>
      <w:r>
        <w:t xml:space="preserve">There are two main routes:</w:t>
      </w:r>
    </w:p>
    <w:p>
      <w:pPr>
        <w:numPr>
          <w:ilvl w:val="0"/>
          <w:numId w:val="1029"/>
        </w:numPr>
        <w:pStyle w:val="Compact"/>
      </w:pPr>
      <w:r>
        <w:rPr>
          <w:bCs/>
          <w:b/>
        </w:rPr>
        <w:t xml:space="preserve">Centralized procedure</w:t>
      </w:r>
      <w:r>
        <w:t xml:space="preserve"> </w:t>
      </w:r>
      <w:r>
        <w:t xml:space="preserve">via the European Medicines Agency (EMA). The authorization is then valid in all member states. This route is mandatory for biotechnologically produced medicines and new active substances for certain diseases – including diabetes. Most modern peptide medicines are centrally authorized.</w:t>
      </w:r>
    </w:p>
    <w:p>
      <w:pPr>
        <w:numPr>
          <w:ilvl w:val="0"/>
          <w:numId w:val="1029"/>
        </w:numPr>
        <w:pStyle w:val="Compact"/>
      </w:pPr>
      <w:r>
        <w:rPr>
          <w:bCs/>
          <w:b/>
        </w:rPr>
        <w:t xml:space="preserve">National and decentralized procedures</w:t>
      </w:r>
      <w:r>
        <w:t xml:space="preserve"> </w:t>
      </w:r>
      <w:r>
        <w:t xml:space="preserve">via the authorities of the member states: in Austria the Federal Office for Safety in Health Care (BASG), in Germany the Federal Institute for Drugs and Medical Devices (BfArM) or, for certain biological medicines, the Paul-Ehrlich-Institut.</w:t>
      </w:r>
    </w:p>
    <w:p>
      <w:pPr>
        <w:pStyle w:val="FirstParagraph"/>
      </w:pPr>
      <w:r>
        <w:t xml:space="preserve">Together with the authorization, it is determined whether a medicine is</w:t>
      </w:r>
      <w:r>
        <w:t xml:space="preserve"> </w:t>
      </w:r>
      <w:r>
        <w:rPr>
          <w:bCs/>
          <w:b/>
        </w:rPr>
        <w:t xml:space="preserve">prescription-only</w:t>
      </w:r>
      <w:r>
        <w:t xml:space="preserve">. Almost all peptide medicines are. The exact indications, dosages, contraindications, and side effects are set out in the</w:t>
      </w:r>
      <w:r>
        <w:t xml:space="preserve"> </w:t>
      </w:r>
      <w:r>
        <w:rPr>
          <w:bCs/>
          <w:b/>
        </w:rPr>
        <w:t xml:space="preserve">summary of product characteristics</w:t>
      </w:r>
      <w:r>
        <w:t xml:space="preserve"> </w:t>
      </w:r>
      <w:r>
        <w:t xml:space="preserve">(for professionals) and the</w:t>
      </w:r>
      <w:r>
        <w:t xml:space="preserve"> </w:t>
      </w:r>
      <w:r>
        <w:rPr>
          <w:bCs/>
          <w:b/>
        </w:rPr>
        <w:t xml:space="preserve">package leaflet</w:t>
      </w:r>
      <w:r>
        <w:t xml:space="preserve"> </w:t>
      </w:r>
      <w:r>
        <w:t xml:space="preserve">(patient information). The authorization applies to specific indications. Under certain conditions, physicians may also prescribe an authorized medicine outside these indications (</w:t>
      </w:r>
      <w:r>
        <w:t xml:space="preserve">“</w:t>
      </w:r>
      <w:r>
        <w:t xml:space="preserve">off-label use</w:t>
      </w:r>
      <w:r>
        <w:t xml:space="preserve">”</w:t>
      </w:r>
      <w:r>
        <w:t xml:space="preserve">), but they then bear increased responsibility for informing the patient and weighing the risks; as a rule, the costs are not covered by health insurance.</w:t>
      </w:r>
    </w:p>
    <w:p>
      <w:pPr>
        <w:pStyle w:val="BodyText"/>
      </w:pPr>
      <w:r>
        <w:t xml:space="preserve">Some peptides that appear in this book are approved in other countries but not in the EU – for example, some preparations used in Russia. A foreign approval does not make a product marketable in the EU.</w:t>
      </w:r>
    </w:p>
    <w:bookmarkEnd w:id="214"/>
    <w:bookmarkStart w:id="216" w:name="dietary-supplements"/>
    <w:p>
      <w:pPr>
        <w:pStyle w:val="Heading3"/>
      </w:pPr>
      <w:r>
        <w:t xml:space="preserve">Dietary Supplements</w:t>
      </w:r>
    </w:p>
    <w:p>
      <w:pPr>
        <w:pStyle w:val="FirstParagraph"/>
      </w:pPr>
      <w:r>
        <w:t xml:space="preserve">Legally, dietary supplements are foods. They are intended to supplement the normal diet and contain nutrients or other substances with a nutritional or physiological effect (Directive 2002/46/EC). They require</w:t>
      </w:r>
      <w:r>
        <w:t xml:space="preserve"> </w:t>
      </w:r>
      <w:r>
        <w:rPr>
          <w:bCs/>
          <w:b/>
        </w:rPr>
        <w:t xml:space="preserve">no authorization</w:t>
      </w:r>
      <w:r>
        <w:t xml:space="preserve">. Depending on the country, they must be notified to an authority before first sale; in Germany, for example, to the Federal Office of Consumer Protection and Food Safety. The manufacturer is responsible for safety, and food control authorities carry out spot checks.</w:t>
      </w:r>
    </w:p>
    <w:p>
      <w:pPr>
        <w:pStyle w:val="BodyText"/>
      </w:pPr>
      <w:r>
        <w:t xml:space="preserve">Important limits:</w:t>
      </w:r>
    </w:p>
    <w:p>
      <w:pPr>
        <w:numPr>
          <w:ilvl w:val="0"/>
          <w:numId w:val="1030"/>
        </w:numPr>
        <w:pStyle w:val="Compact"/>
      </w:pPr>
      <w:r>
        <w:t xml:space="preserve">A substance with pharmacological activity cannot be a dietary supplement. If it is nevertheless sold as such, it is an unauthorized medicine.</w:t>
      </w:r>
    </w:p>
    <w:p>
      <w:pPr>
        <w:numPr>
          <w:ilvl w:val="0"/>
          <w:numId w:val="1030"/>
        </w:numPr>
        <w:pStyle w:val="Compact"/>
      </w:pPr>
      <w:r>
        <w:rPr>
          <w:bCs/>
          <w:b/>
        </w:rPr>
        <w:t xml:space="preserve">Health claims</w:t>
      </w:r>
      <w:r>
        <w:t xml:space="preserve"> </w:t>
      </w:r>
      <w:r>
        <w:t xml:space="preserve">such as</w:t>
      </w:r>
      <w:r>
        <w:t xml:space="preserve"> </w:t>
      </w:r>
      <w:r>
        <w:t xml:space="preserve">“</w:t>
      </w:r>
      <w:r>
        <w:t xml:space="preserve">supports the joints</w:t>
      </w:r>
      <w:r>
        <w:t xml:space="preserve">”</w:t>
      </w:r>
      <w:r>
        <w:t xml:space="preserve"> </w:t>
      </w:r>
      <w:r>
        <w:t xml:space="preserve">or</w:t>
      </w:r>
      <w:r>
        <w:t xml:space="preserve"> </w:t>
      </w:r>
      <w:r>
        <w:t xml:space="preserve">“</w:t>
      </w:r>
      <w:r>
        <w:t xml:space="preserve">lowers blood pressure</w:t>
      </w:r>
      <w:r>
        <w:t xml:space="preserve">”</w:t>
      </w:r>
      <w:r>
        <w:t xml:space="preserve"> </w:t>
      </w:r>
      <w:r>
        <w:t xml:space="preserve">are only permitted if they have been authorized by the EU after review by the European Food Safety Authority (EFSA) and are included in a list (Regulation (EC) No 1924/2006). To our knowledge, there is no authorized claim for many of the advertised effects of peptide foods. Advertising that nevertheless promises such an effect is not permitted.</w:t>
      </w:r>
    </w:p>
    <w:p>
      <w:pPr>
        <w:numPr>
          <w:ilvl w:val="0"/>
          <w:numId w:val="1030"/>
        </w:numPr>
        <w:pStyle w:val="Compact"/>
      </w:pPr>
      <w:r>
        <w:rPr>
          <w:bCs/>
          <w:b/>
        </w:rPr>
        <w:t xml:space="preserve">Disease-related claims</w:t>
      </w:r>
      <w:r>
        <w:t xml:space="preserve"> </w:t>
      </w:r>
      <w:r>
        <w:t xml:space="preserve">(such as</w:t>
      </w:r>
      <w:r>
        <w:t xml:space="preserve"> </w:t>
      </w:r>
      <w:r>
        <w:t xml:space="preserve">“</w:t>
      </w:r>
      <w:r>
        <w:t xml:space="preserve">works against osteoarthritis</w:t>
      </w:r>
      <w:r>
        <w:t xml:space="preserve">”</w:t>
      </w:r>
      <w:r>
        <w:t xml:space="preserve">) are generally prohibited for foods.</w:t>
      </w:r>
    </w:p>
    <w:p>
      <w:pPr>
        <w:pStyle w:val="FirstParagraph"/>
      </w:pPr>
      <w:r>
        <w:t xml:space="preserve">That dietary supplements are not free of prohibited substances either is shown by a case from an anti-doping laboratory: the growth hormone-releasing peptide GHRP-2 was detected in tablets offered as an over-the-counter dietary supplement</w:t>
      </w:r>
      <w:r>
        <w:rPr>
          <w:rStyle w:val="FootnoteReference"/>
        </w:rPr>
        <w:footnoteReference w:id="215"/>
      </w:r>
      <w:r>
        <w:t xml:space="preserve">.</w:t>
      </w:r>
    </w:p>
    <w:bookmarkEnd w:id="216"/>
    <w:bookmarkStart w:id="217" w:name="novel-food"/>
    <w:p>
      <w:pPr>
        <w:pStyle w:val="Heading3"/>
      </w:pPr>
      <w:r>
        <w:t xml:space="preserve">Novel Food</w:t>
      </w:r>
    </w:p>
    <w:p>
      <w:pPr>
        <w:pStyle w:val="FirstParagraph"/>
      </w:pPr>
      <w:r>
        <w:t xml:space="preserve">A separate hurdle for foods is the</w:t>
      </w:r>
      <w:r>
        <w:t xml:space="preserve"> </w:t>
      </w:r>
      <w:r>
        <w:rPr>
          <w:bCs/>
          <w:b/>
        </w:rPr>
        <w:t xml:space="preserve">Novel Food Regulation</w:t>
      </w:r>
      <w:r>
        <w:t xml:space="preserve"> </w:t>
      </w:r>
      <w:r>
        <w:t xml:space="preserve">(Regulation (EU) 2015/2283). Foods and ingredients that were not used for human consumption to a significant degree in the EU before May 15, 1997, are considered</w:t>
      </w:r>
      <w:r>
        <w:t xml:space="preserve"> </w:t>
      </w:r>
      <w:r>
        <w:t xml:space="preserve">“</w:t>
      </w:r>
      <w:r>
        <w:t xml:space="preserve">novel.</w:t>
      </w:r>
      <w:r>
        <w:t xml:space="preserve">”</w:t>
      </w:r>
      <w:r>
        <w:t xml:space="preserve"> </w:t>
      </w:r>
      <w:r>
        <w:t xml:space="preserve">They may only be sold after a safety assessment and authorization by the EU.</w:t>
      </w:r>
    </w:p>
    <w:p>
      <w:pPr>
        <w:pStyle w:val="BodyText"/>
      </w:pPr>
      <w:r>
        <w:t xml:space="preserve">For peptides, this means: collagen hydrolysates from gelatin have a long history of consumption and are not novel foods. A newly synthesized peptide with no history of consumption that is to be sold as a food, on the other hand, would in principle be a novel food and would require authorization – unless it must be classified as a medicine anyway because of its pharmacological activity. Whether a substance counts as a novel food must be examined on a case-by-case basis; the European Commission maintains a catalog for this purpose.</w:t>
      </w:r>
    </w:p>
    <w:bookmarkEnd w:id="217"/>
    <w:bookmarkStart w:id="218" w:name="cosmetics"/>
    <w:p>
      <w:pPr>
        <w:pStyle w:val="Heading3"/>
      </w:pPr>
      <w:r>
        <w:t xml:space="preserve">Cosmetics</w:t>
      </w:r>
    </w:p>
    <w:p>
      <w:pPr>
        <w:pStyle w:val="FirstParagraph"/>
      </w:pPr>
      <w:r>
        <w:t xml:space="preserve">Cosmetic products are regulated in the EU by the Cosmetics Regulation (Regulation (EC) No 1223/2009). They are intended for external application to the skin, hair, nails, lips, teeth, or mucous membranes of the oral cavity – for cleansing, care, protection, or changing appearance.</w:t>
      </w:r>
    </w:p>
    <w:p>
      <w:pPr>
        <w:numPr>
          <w:ilvl w:val="0"/>
          <w:numId w:val="1031"/>
        </w:numPr>
        <w:pStyle w:val="Compact"/>
      </w:pPr>
      <w:r>
        <w:t xml:space="preserve">Cosmetics require</w:t>
      </w:r>
      <w:r>
        <w:t xml:space="preserve"> </w:t>
      </w:r>
      <w:r>
        <w:rPr>
          <w:bCs/>
          <w:b/>
        </w:rPr>
        <w:t xml:space="preserve">no authorization</w:t>
      </w:r>
      <w:r>
        <w:t xml:space="preserve">. However, a responsible person in the EU must provide a safety assessment and notify the product in an EU portal before sale.</w:t>
      </w:r>
    </w:p>
    <w:p>
      <w:pPr>
        <w:numPr>
          <w:ilvl w:val="0"/>
          <w:numId w:val="1031"/>
        </w:numPr>
        <w:pStyle w:val="Compact"/>
      </w:pPr>
      <w:r>
        <w:t xml:space="preserve">Certain substances are prohibited or only permitted with restrictions.</w:t>
      </w:r>
    </w:p>
    <w:p>
      <w:pPr>
        <w:numPr>
          <w:ilvl w:val="0"/>
          <w:numId w:val="1031"/>
        </w:numPr>
        <w:pStyle w:val="Compact"/>
      </w:pPr>
      <w:r>
        <w:t xml:space="preserve">Advertising claims must be substantiated and must not be misleading. Claims about treating diseases are not permitted.</w:t>
      </w:r>
    </w:p>
    <w:p>
      <w:pPr>
        <w:numPr>
          <w:ilvl w:val="0"/>
          <w:numId w:val="1031"/>
        </w:numPr>
        <w:pStyle w:val="Compact"/>
      </w:pPr>
      <w:r>
        <w:rPr>
          <w:bCs/>
          <w:b/>
        </w:rPr>
        <w:t xml:space="preserve">Anything that is injected is never a cosmetic.</w:t>
      </w:r>
      <w:r>
        <w:t xml:space="preserve"> </w:t>
      </w:r>
      <w:r>
        <w:t xml:space="preserve">Injections do not fall under the definition of cosmetic products.</w:t>
      </w:r>
    </w:p>
    <w:p>
      <w:pPr>
        <w:pStyle w:val="FirstParagraph"/>
      </w:pPr>
      <w:r>
        <w:t xml:space="preserve">Cosmetic peptides such as palmitoyl pentapeptide-4 or acetyl hexapeptide-8 are therefore legal in creams and serums. A peptide such as melanotan II, which is injected under the skin and acts throughout the body, is by contrast not a cosmetic, even if it is advertised as a</w:t>
      </w:r>
      <w:r>
        <w:t xml:space="preserve"> </w:t>
      </w:r>
      <w:r>
        <w:t xml:space="preserve">“</w:t>
      </w:r>
      <w:r>
        <w:t xml:space="preserve">tanning agent.</w:t>
      </w:r>
      <w:r>
        <w:t xml:space="preserve">”</w:t>
      </w:r>
    </w:p>
    <w:bookmarkEnd w:id="218"/>
    <w:bookmarkStart w:id="219" w:name="austria"/>
    <w:p>
      <w:pPr>
        <w:pStyle w:val="Heading3"/>
      </w:pPr>
      <w:r>
        <w:t xml:space="preserve">Austria</w:t>
      </w:r>
    </w:p>
    <w:p>
      <w:pPr>
        <w:pStyle w:val="FirstParagraph"/>
      </w:pPr>
      <w:r>
        <w:t xml:space="preserve">In Austria, the</w:t>
      </w:r>
      <w:r>
        <w:t xml:space="preserve"> </w:t>
      </w:r>
      <w:r>
        <w:rPr>
          <w:bCs/>
          <w:b/>
        </w:rPr>
        <w:t xml:space="preserve">Medicinal Products Act (Arzneimittelgesetz, AMG)</w:t>
      </w:r>
      <w:r>
        <w:t xml:space="preserve"> </w:t>
      </w:r>
      <w:r>
        <w:t xml:space="preserve">governs the authorization, manufacture, and dispensing of medicines. Responsibility for authorization and surveillance lies with the Federal Office for Safety in Health Care (BASG) together with AGES Medicines and Medical Devices Agency. Prescription medicines are dispensed only in pharmacies against a prescription; mail order from pharmacies is limited to non-prescription medicines.</w:t>
      </w:r>
    </w:p>
    <w:p>
      <w:pPr>
        <w:pStyle w:val="BodyText"/>
      </w:pPr>
      <w:r>
        <w:t xml:space="preserve">The import of medicines is governed by the</w:t>
      </w:r>
      <w:r>
        <w:t xml:space="preserve"> </w:t>
      </w:r>
      <w:r>
        <w:rPr>
          <w:bCs/>
          <w:b/>
        </w:rPr>
        <w:t xml:space="preserve">Medicinal Products Import Act (Arzneiwareneinfuhrgesetz)</w:t>
      </w:r>
      <w:r>
        <w:t xml:space="preserve">. Private individuals may import medicines only under certain conditions and in quantities for personal use; stricter rules apply to orders from countries outside the European Economic Area. Unapproved active substances from</w:t>
      </w:r>
      <w:r>
        <w:t xml:space="preserve"> </w:t>
      </w:r>
      <w:r>
        <w:t xml:space="preserve">“</w:t>
      </w:r>
      <w:r>
        <w:t xml:space="preserve">research chemical</w:t>
      </w:r>
      <w:r>
        <w:t xml:space="preserve">”</w:t>
      </w:r>
      <w:r>
        <w:t xml:space="preserve"> </w:t>
      </w:r>
      <w:r>
        <w:t xml:space="preserve">shops as a rule do not meet these conditions. Customs can seize such shipments.</w:t>
      </w:r>
    </w:p>
    <w:p>
      <w:pPr>
        <w:pStyle w:val="BodyText"/>
      </w:pPr>
      <w:r>
        <w:t xml:space="preserve">For sport, the</w:t>
      </w:r>
      <w:r>
        <w:t xml:space="preserve"> </w:t>
      </w:r>
      <w:r>
        <w:rPr>
          <w:bCs/>
          <w:b/>
        </w:rPr>
        <w:t xml:space="preserve">Federal Anti-Doping Act 2021 (Anti-Doping-Bundesgesetz 2021)</w:t>
      </w:r>
      <w:r>
        <w:t xml:space="preserve"> </w:t>
      </w:r>
      <w:r>
        <w:t xml:space="preserve">applies. It refers to the Prohibited List of the World Anti-Doping Agency and contains prohibitions and penal provisions, in particular for placing prohibited substances on the market and passing them on. The National Anti-Doping Agency Austria (NADA Austria) is responsible for testing.</w:t>
      </w:r>
    </w:p>
    <w:p>
      <w:pPr>
        <w:pStyle w:val="BodyText"/>
      </w:pPr>
      <w:r>
        <w:t xml:space="preserve">Status as of 2026; please check for current information.</w:t>
      </w:r>
    </w:p>
    <w:bookmarkEnd w:id="219"/>
    <w:bookmarkStart w:id="220" w:name="germany"/>
    <w:p>
      <w:pPr>
        <w:pStyle w:val="Heading3"/>
      </w:pPr>
      <w:r>
        <w:t xml:space="preserve">Germany</w:t>
      </w:r>
    </w:p>
    <w:p>
      <w:pPr>
        <w:pStyle w:val="FirstParagraph"/>
      </w:pPr>
      <w:r>
        <w:t xml:space="preserve">In Germany, the</w:t>
      </w:r>
      <w:r>
        <w:t xml:space="preserve"> </w:t>
      </w:r>
      <w:r>
        <w:rPr>
          <w:bCs/>
          <w:b/>
        </w:rPr>
        <w:t xml:space="preserve">Medicinal Products Act (Arzneimittelgesetz, AMG)</w:t>
      </w:r>
      <w:r>
        <w:t xml:space="preserve"> </w:t>
      </w:r>
      <w:r>
        <w:t xml:space="preserve">applies. The licensing authorities are the BfArM and the Paul-Ehrlich-Institut. Prescription medicines may only be dispensed against a prescription, including by mail order through licensed mail-order pharmacies.</w:t>
      </w:r>
    </w:p>
    <w:p>
      <w:pPr>
        <w:pStyle w:val="BodyText"/>
      </w:pPr>
      <w:r>
        <w:t xml:space="preserve">For imports, there is in principle a ban on bringing unauthorized medicines into Germany. An exception exists for personal use if the medicine is lawfully on the market in the country of origin and is obtained from a member state of the EU or the European Economic Area without commercial intermediation; in addition, there are narrowly limited special rules. In our understanding, this exception does not apply to gray-market peptides that are not authorized as medicines anywhere.</w:t>
      </w:r>
    </w:p>
    <w:p>
      <w:pPr>
        <w:pStyle w:val="BodyText"/>
      </w:pPr>
      <w:r>
        <w:t xml:space="preserve">Anyone who manufactures, places on the market, or supplies medicines to others without a license may be liable to prosecution under the AMG. This applies in particular to so-called questionable medicines, for which there is a justified suspicion of harmful effects.</w:t>
      </w:r>
    </w:p>
    <w:p>
      <w:pPr>
        <w:pStyle w:val="BodyText"/>
      </w:pPr>
      <w:r>
        <w:t xml:space="preserve">For sport, the</w:t>
      </w:r>
      <w:r>
        <w:t xml:space="preserve"> </w:t>
      </w:r>
      <w:r>
        <w:rPr>
          <w:bCs/>
          <w:b/>
        </w:rPr>
        <w:t xml:space="preserve">Anti-Doping Act (Anti-Doping-Gesetz, AntiDopG)</w:t>
      </w:r>
      <w:r>
        <w:t xml:space="preserve"> </w:t>
      </w:r>
      <w:r>
        <w:t xml:space="preserve">applies in addition. Among other things, it prohibits the manufacture, trafficking, and placing on the market of doping substances as well as their use on others. Acquisition and possession of certain substances listed in an annex to the act – including peptide hormones – in not insignificant quantities for doping purposes are punishable. For elite athletes, self-doping is also a criminal offense. The National Anti Doping Agency Germany (NADA) is responsible for testing.</w:t>
      </w:r>
    </w:p>
    <w:p>
      <w:pPr>
        <w:pStyle w:val="BodyText"/>
      </w:pPr>
      <w:r>
        <w:t xml:space="preserve">Status as of 2026; please check for current information.</w:t>
      </w:r>
    </w:p>
    <w:bookmarkEnd w:id="220"/>
    <w:bookmarkStart w:id="223" w:name="usa"/>
    <w:p>
      <w:pPr>
        <w:pStyle w:val="Heading3"/>
      </w:pPr>
      <w:r>
        <w:t xml:space="preserve">USA</w:t>
      </w:r>
    </w:p>
    <w:p>
      <w:pPr>
        <w:pStyle w:val="FirstParagraph"/>
      </w:pPr>
      <w:r>
        <w:t xml:space="preserve">In the USA, the</w:t>
      </w:r>
      <w:r>
        <w:t xml:space="preserve"> </w:t>
      </w:r>
      <w:r>
        <w:rPr>
          <w:bCs/>
          <w:b/>
        </w:rPr>
        <w:t xml:space="preserve">Food and Drug Administration (FDA)</w:t>
      </w:r>
      <w:r>
        <w:t xml:space="preserve"> </w:t>
      </w:r>
      <w:r>
        <w:t xml:space="preserve">is responsible. New medicines require approval (for chemically produced active substances via a</w:t>
      </w:r>
      <w:r>
        <w:t xml:space="preserve"> </w:t>
      </w:r>
      <w:r>
        <w:t xml:space="preserve">“</w:t>
      </w:r>
      <w:r>
        <w:t xml:space="preserve">New Drug Application,</w:t>
      </w:r>
      <w:r>
        <w:t xml:space="preserve">”</w:t>
      </w:r>
      <w:r>
        <w:t xml:space="preserve"> </w:t>
      </w:r>
      <w:r>
        <w:t xml:space="preserve">for biological active substances via a</w:t>
      </w:r>
      <w:r>
        <w:t xml:space="preserve"> </w:t>
      </w:r>
      <w:r>
        <w:t xml:space="preserve">“</w:t>
      </w:r>
      <w:r>
        <w:t xml:space="preserve">Biologics License Application</w:t>
      </w:r>
      <w:r>
        <w:t xml:space="preserve">”</w:t>
      </w:r>
      <w:r>
        <w:t xml:space="preserve">).</w:t>
      </w:r>
    </w:p>
    <w:p>
      <w:pPr>
        <w:pStyle w:val="BodyText"/>
      </w:pPr>
      <w:r>
        <w:rPr>
          <w:bCs/>
          <w:b/>
        </w:rPr>
        <w:t xml:space="preserve">Dietary supplements</w:t>
      </w:r>
      <w:r>
        <w:t xml:space="preserve"> </w:t>
      </w:r>
      <w:r>
        <w:t xml:space="preserve">have been marketable largely without prior review since a law passed in 1994. However, a substance that was first approved as a drug or substantially investigated clinically as a drug may in principle not subsequently be sold as a dietary supplement. For this reason, many peptides cannot legally be marketed as supplements in the USA.</w:t>
      </w:r>
    </w:p>
    <w:p>
      <w:pPr>
        <w:pStyle w:val="BodyText"/>
      </w:pPr>
      <w:r>
        <w:rPr>
          <w:bCs/>
          <w:b/>
        </w:rPr>
        <w:t xml:space="preserve">Compounding</w:t>
      </w:r>
      <w:r>
        <w:t xml:space="preserve">: Under certain conditions, US pharmacies may prepare medicines themselves – individually for specific patients or on a larger scale in specially supervised facilities. During shortages of approved medicines, they may also produce copies. Since the end of the shortages of semaglutide and tirzepatide, under US law they may only produce differing preparations</w:t>
      </w:r>
      <w:r>
        <w:rPr>
          <w:rStyle w:val="FootnoteReference"/>
        </w:rPr>
        <w:footnoteReference w:id="221"/>
      </w:r>
      <w:r>
        <w:t xml:space="preserve">. The FDA specifies in lists which active substances may be used as bulk substances for compounding. To our knowledge, the FDA has classified several popular gray-market peptides, including BPC-157, as unsuitable for compounding because of safety concerns. These lists and the political debate about them are changing; please check the current status.</w:t>
      </w:r>
    </w:p>
    <w:p>
      <w:pPr>
        <w:pStyle w:val="BodyText"/>
      </w:pPr>
      <w:r>
        <w:rPr>
          <w:bCs/>
          <w:b/>
        </w:rPr>
        <w:t xml:space="preserve">“</w:t>
      </w:r>
      <w:r>
        <w:rPr>
          <w:bCs/>
          <w:b/>
        </w:rPr>
        <w:t xml:space="preserve">Research Use Only</w:t>
      </w:r>
      <w:r>
        <w:rPr>
          <w:bCs/>
          <w:b/>
        </w:rPr>
        <w:t xml:space="preserve">”</w:t>
      </w:r>
      <w:r>
        <w:t xml:space="preserve">: In the USA, too, the sale of peptides labeled</w:t>
      </w:r>
      <w:r>
        <w:t xml:space="preserve"> </w:t>
      </w:r>
      <w:r>
        <w:t xml:space="preserve">“</w:t>
      </w:r>
      <w:r>
        <w:t xml:space="preserve">for research purposes only</w:t>
      </w:r>
      <w:r>
        <w:t xml:space="preserve">”</w:t>
      </w:r>
      <w:r>
        <w:t xml:space="preserve"> </w:t>
      </w:r>
      <w:r>
        <w:t xml:space="preserve">to consumers takes place in a legal gray area that experts describe as a circumvention of prescription requirements</w:t>
      </w:r>
      <w:r>
        <w:rPr>
          <w:rStyle w:val="FootnoteReference"/>
        </w:rPr>
        <w:footnoteReference w:id="222"/>
      </w:r>
      <w:r>
        <w:t xml:space="preserve">. The FDA has sent warning letters to individual vendors.</w:t>
      </w:r>
    </w:p>
    <w:p>
      <w:pPr>
        <w:pStyle w:val="BodyText"/>
      </w:pPr>
      <w:r>
        <w:rPr>
          <w:bCs/>
          <w:b/>
        </w:rPr>
        <w:t xml:space="preserve">Import</w:t>
      </w:r>
      <w:r>
        <w:t xml:space="preserve">: Under narrow conditions, the FDA tolerates the import of small quantities of medicines for personal use. There is no legal entitlement to this, and unapproved active substances without medical supervision are generally not covered.</w:t>
      </w:r>
    </w:p>
    <w:p>
      <w:pPr>
        <w:pStyle w:val="BodyText"/>
      </w:pPr>
      <w:r>
        <w:t xml:space="preserve">Status as of 2026; please check for current information.</w:t>
      </w:r>
    </w:p>
    <w:bookmarkEnd w:id="223"/>
    <w:bookmarkStart w:id="225" w:name="doping-the-wada-prohibited-list"/>
    <w:p>
      <w:pPr>
        <w:pStyle w:val="Heading3"/>
      </w:pPr>
      <w:r>
        <w:t xml:space="preserve">Doping: The WADA Prohibited List</w:t>
      </w:r>
    </w:p>
    <w:p>
      <w:pPr>
        <w:pStyle w:val="FirstParagraph"/>
      </w:pPr>
      <w:r>
        <w:t xml:space="preserve">For athletes who are subject to doping controls, the</w:t>
      </w:r>
      <w:r>
        <w:t xml:space="preserve"> </w:t>
      </w:r>
      <w:r>
        <w:rPr>
          <w:bCs/>
          <w:b/>
        </w:rPr>
        <w:t xml:space="preserve">Prohibited List of the World Anti-Doping Agency (WADA)</w:t>
      </w:r>
      <w:r>
        <w:t xml:space="preserve"> </w:t>
      </w:r>
      <w:r>
        <w:t xml:space="preserve">is authoritative. It is revised annually and comes into force on January 1 of each year. For peptides, two sections that apply both in and out of competition are particularly important:</w:t>
      </w:r>
    </w:p>
    <w:p>
      <w:pPr>
        <w:pStyle w:val="BodyText"/>
      </w:pPr>
      <w:r>
        <w:rPr>
          <w:bCs/>
          <w:b/>
        </w:rPr>
        <w:t xml:space="preserve">S0 – Non-approved substances.</w:t>
      </w:r>
      <w:r>
        <w:t xml:space="preserve"> </w:t>
      </w:r>
      <w:r>
        <w:t xml:space="preserve">Prohibited are pharmacologically active substances that are not addressed by any other section of the list and are not approved by any health authority for human use – for example, drugs in preclinical or clinical development, discontinued developments, designer drugs, and substances approved only for veterinary use. Many gray-market peptides fall into this group. To our knowledge, BPC-157 is explicitly named in the list as an example.</w:t>
      </w:r>
    </w:p>
    <w:p>
      <w:pPr>
        <w:pStyle w:val="BodyText"/>
      </w:pPr>
      <w:r>
        <w:rPr>
          <w:bCs/>
          <w:b/>
        </w:rPr>
        <w:t xml:space="preserve">S2 – Peptide hormones, growth factors, related substances, and mimetics.</w:t>
      </w:r>
      <w:r>
        <w:t xml:space="preserve"> </w:t>
      </w:r>
      <w:r>
        <w:t xml:space="preserve">These include, among others:</w:t>
      </w:r>
    </w:p>
    <w:p>
      <w:pPr>
        <w:numPr>
          <w:ilvl w:val="0"/>
          <w:numId w:val="1032"/>
        </w:numPr>
        <w:pStyle w:val="Compact"/>
      </w:pPr>
      <w:r>
        <w:t xml:space="preserve">growth hormone and its fragments (for example AOD-9604),</w:t>
      </w:r>
    </w:p>
    <w:p>
      <w:pPr>
        <w:numPr>
          <w:ilvl w:val="0"/>
          <w:numId w:val="1032"/>
        </w:numPr>
        <w:pStyle w:val="Compact"/>
      </w:pPr>
      <w:r>
        <w:t xml:space="preserve">growth hormone-releasing hormone and its analogs (for example CJC-1295, sermorelin, tesamorelin),</w:t>
      </w:r>
    </w:p>
    <w:p>
      <w:pPr>
        <w:numPr>
          <w:ilvl w:val="0"/>
          <w:numId w:val="1032"/>
        </w:numPr>
        <w:pStyle w:val="Compact"/>
      </w:pPr>
      <w:r>
        <w:t xml:space="preserve">growth hormone secretagogues and growth hormone-releasing peptides (for example ipamorelin, GHRP-2, GHRP-6, hexarelin, macimorelin, and, to our knowledge, also the non-peptide ibutamoren),</w:t>
      </w:r>
    </w:p>
    <w:p>
      <w:pPr>
        <w:numPr>
          <w:ilvl w:val="0"/>
          <w:numId w:val="1032"/>
        </w:numPr>
        <w:pStyle w:val="Compact"/>
      </w:pPr>
      <w:r>
        <w:t xml:space="preserve">growth factors such as IGF-1 and its analogs, as well as thymosin beta-4 and its derivatives (for example TB-500),</w:t>
      </w:r>
    </w:p>
    <w:p>
      <w:pPr>
        <w:numPr>
          <w:ilvl w:val="0"/>
          <w:numId w:val="1032"/>
        </w:numPr>
        <w:pStyle w:val="Compact"/>
      </w:pPr>
      <w:r>
        <w:t xml:space="preserve">in men, hormones and releasing factors of the sex hormone axis (for example gonadorelin and kisspeptin).</w:t>
      </w:r>
    </w:p>
    <w:p>
      <w:pPr>
        <w:pStyle w:val="FirstParagraph"/>
      </w:pPr>
      <w:r>
        <w:t xml:space="preserve">In addition, section S4 prohibits, among others, insulins as metabolic modulators. To our knowledge, GLP-1 medications such as semaglutide or tirzepatide are currently not on the Prohibited List. The list gives examples but is not exhaustive: substances not named but with a similar chemical structure or similar biological effect can also be prohibited.</w:t>
      </w:r>
    </w:p>
    <w:p>
      <w:pPr>
        <w:pStyle w:val="BodyText"/>
      </w:pPr>
      <w:r>
        <w:t xml:space="preserve">Anti-doping law applies</w:t>
      </w:r>
      <w:r>
        <w:t xml:space="preserve"> </w:t>
      </w:r>
      <w:r>
        <w:rPr>
          <w:bCs/>
          <w:b/>
        </w:rPr>
        <w:t xml:space="preserve">strict liability</w:t>
      </w:r>
      <w:r>
        <w:t xml:space="preserve">: if a prohibited substance is found in a sample, this is a violation – regardless of whether it was taken intentionally or came, for example, from a contaminated dietary supplement. Anyone who needs an approved, prohibited medicine for medical reasons can apply for a</w:t>
      </w:r>
      <w:r>
        <w:t xml:space="preserve"> </w:t>
      </w:r>
      <w:r>
        <w:rPr>
          <w:bCs/>
          <w:b/>
        </w:rPr>
        <w:t xml:space="preserve">Therapeutic Use Exemption</w:t>
      </w:r>
      <w:r>
        <w:t xml:space="preserve"> </w:t>
      </w:r>
      <w:r>
        <w:t xml:space="preserve">(TUE). For non-approved substances from section S0, this is practically impossible.</w:t>
      </w:r>
    </w:p>
    <w:p>
      <w:pPr>
        <w:pStyle w:val="BodyText"/>
      </w:pPr>
      <w:r>
        <w:t xml:space="preserve">Doping control laboratories are continuously developing detection methods for new peptides, often on the basis of seized products</w:t>
      </w:r>
      <w:r>
        <w:rPr>
          <w:rStyle w:val="FootnoteReference"/>
        </w:rPr>
        <w:footnoteReference w:id="224"/>
      </w:r>
      <w:r>
        <w:t xml:space="preserve">. The fact that a substance was not detectable yesterday does not mean it will not be detectable tomorrow – and frozen samples can be reanalyzed years later.</w:t>
      </w:r>
    </w:p>
    <w:p>
      <w:pPr>
        <w:pStyle w:val="BodyText"/>
      </w:pPr>
      <w:r>
        <w:t xml:space="preserve">Status as of 2026; please check the current WADA Prohibited List.</w:t>
      </w:r>
    </w:p>
    <w:bookmarkEnd w:id="225"/>
    <w:bookmarkStart w:id="226" w:name="liability-who-bears-the-risk"/>
    <w:p>
      <w:pPr>
        <w:pStyle w:val="Heading3"/>
      </w:pPr>
      <w:r>
        <w:t xml:space="preserve">Liability: Who Bears the Risk?</w:t>
      </w:r>
    </w:p>
    <w:p>
      <w:pPr>
        <w:pStyle w:val="FirstParagraph"/>
      </w:pPr>
      <w:r>
        <w:t xml:space="preserve">With</w:t>
      </w:r>
      <w:r>
        <w:t xml:space="preserve"> </w:t>
      </w:r>
      <w:r>
        <w:rPr>
          <w:bCs/>
          <w:b/>
        </w:rPr>
        <w:t xml:space="preserve">approved medicines</w:t>
      </w:r>
      <w:r>
        <w:t xml:space="preserve">, manufacturers, pharmacies, and prescribing physicians are embedded in a system of responsibility and liability. In Germany, the Medicinal Products Act provides for special liability of the manufacturer for damage caused by approved medicines that does not depend on fault; in Austria, general tort law and the Product Liability Act apply. Side effects are reported and evaluated and can lead to warnings or market withdrawals.</w:t>
      </w:r>
    </w:p>
    <w:p>
      <w:pPr>
        <w:pStyle w:val="BodyText"/>
      </w:pPr>
      <w:r>
        <w:t xml:space="preserve">With</w:t>
      </w:r>
      <w:r>
        <w:t xml:space="preserve"> </w:t>
      </w:r>
      <w:r>
        <w:rPr>
          <w:bCs/>
          <w:b/>
        </w:rPr>
        <w:t xml:space="preserve">gray-market products</w:t>
      </w:r>
      <w:r>
        <w:t xml:space="preserve">, this system is largely absent:</w:t>
      </w:r>
    </w:p>
    <w:p>
      <w:pPr>
        <w:numPr>
          <w:ilvl w:val="0"/>
          <w:numId w:val="1033"/>
        </w:numPr>
        <w:pStyle w:val="Compact"/>
      </w:pPr>
      <w:r>
        <w:t xml:space="preserve">The vendors are often based abroad, frequently change their names and websites, and are practically impossible to pin down.</w:t>
      </w:r>
    </w:p>
    <w:p>
      <w:pPr>
        <w:numPr>
          <w:ilvl w:val="0"/>
          <w:numId w:val="1033"/>
        </w:numPr>
        <w:pStyle w:val="Compact"/>
      </w:pPr>
      <w:r>
        <w:t xml:space="preserve">With the notice</w:t>
      </w:r>
      <w:r>
        <w:t xml:space="preserve"> </w:t>
      </w:r>
      <w:r>
        <w:t xml:space="preserve">“</w:t>
      </w:r>
      <w:r>
        <w:t xml:space="preserve">not for human use,</w:t>
      </w:r>
      <w:r>
        <w:t xml:space="preserve">”</w:t>
      </w:r>
      <w:r>
        <w:t xml:space="preserve"> </w:t>
      </w:r>
      <w:r>
        <w:t xml:space="preserve">they try to disclaim all responsibility.</w:t>
      </w:r>
    </w:p>
    <w:p>
      <w:pPr>
        <w:numPr>
          <w:ilvl w:val="0"/>
          <w:numId w:val="1033"/>
        </w:numPr>
        <w:pStyle w:val="Compact"/>
      </w:pPr>
      <w:r>
        <w:t xml:space="preserve">Anyone who uses such a product themselves bears the health and financial risk largely alone.</w:t>
      </w:r>
    </w:p>
    <w:p>
      <w:pPr>
        <w:numPr>
          <w:ilvl w:val="0"/>
          <w:numId w:val="1033"/>
        </w:numPr>
        <w:pStyle w:val="Compact"/>
      </w:pPr>
      <w:r>
        <w:t xml:space="preserve">Anyone who passes on such a product to others or uses it on others – for example in a gym, beauty salon, or wellness business – may be liable to prosecution and may be liable for damages.</w:t>
      </w:r>
    </w:p>
    <w:p>
      <w:pPr>
        <w:pStyle w:val="FirstParagraph"/>
      </w:pPr>
      <w:r>
        <w:t xml:space="preserve">Strict standards also apply to</w:t>
      </w:r>
      <w:r>
        <w:t xml:space="preserve"> </w:t>
      </w:r>
      <w:r>
        <w:rPr>
          <w:bCs/>
          <w:b/>
        </w:rPr>
        <w:t xml:space="preserve">use by physicians</w:t>
      </w:r>
      <w:r>
        <w:t xml:space="preserve">. Anyone who administers unapproved active substances must provide comprehensive information about the uncertain data and is liable for treatment errors. Professional disciplinary consequences are possible.</w:t>
      </w:r>
    </w:p>
    <w:bookmarkEnd w:id="226"/>
    <w:bookmarkStart w:id="227" w:name="the-legal-situation-at-a-glance"/>
    <w:p>
      <w:pPr>
        <w:pStyle w:val="Heading3"/>
      </w:pPr>
      <w:r>
        <w:t xml:space="preserve">The Legal Situation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Classification (simplified)</w:t>
            </w:r>
          </w:p>
        </w:tc>
      </w:tr>
      <w:tr>
        <w:tc>
          <w:tcPr/>
          <w:p>
            <w:pPr>
              <w:pStyle w:val="Compact"/>
              <w:jc w:val="left"/>
            </w:pPr>
            <w:r>
              <w:t xml:space="preserve">Approved peptide on prescription from a pharmacy</w:t>
            </w:r>
          </w:p>
        </w:tc>
        <w:tc>
          <w:tcPr/>
          <w:p>
            <w:pPr>
              <w:pStyle w:val="Compact"/>
              <w:jc w:val="left"/>
            </w:pPr>
            <w:r>
              <w:t xml:space="preserve">legal, medically supervised</w:t>
            </w:r>
          </w:p>
        </w:tc>
      </w:tr>
      <w:tr>
        <w:tc>
          <w:tcPr/>
          <w:p>
            <w:pPr>
              <w:pStyle w:val="Compact"/>
              <w:jc w:val="left"/>
            </w:pPr>
            <w:r>
              <w:t xml:space="preserve">Approved peptide without prescription from the internet</w:t>
            </w:r>
          </w:p>
        </w:tc>
        <w:tc>
          <w:tcPr/>
          <w:p>
            <w:pPr>
              <w:pStyle w:val="Compact"/>
              <w:jc w:val="left"/>
            </w:pPr>
            <w:r>
              <w:t xml:space="preserve">generally illegal, risk of counterfeits</w:t>
            </w:r>
          </w:p>
        </w:tc>
      </w:tr>
      <w:tr>
        <w:tc>
          <w:tcPr/>
          <w:p>
            <w:pPr>
              <w:pStyle w:val="Compact"/>
              <w:jc w:val="left"/>
            </w:pPr>
            <w:r>
              <w:t xml:space="preserve">Unapproved peptide as a</w:t>
            </w:r>
            <w:r>
              <w:t xml:space="preserve"> </w:t>
            </w:r>
            <w:r>
              <w:t xml:space="preserve">“</w:t>
            </w:r>
            <w:r>
              <w:t xml:space="preserve">research chemical</w:t>
            </w:r>
            <w:r>
              <w:t xml:space="preserve">”</w:t>
            </w:r>
          </w:p>
        </w:tc>
        <w:tc>
          <w:tcPr/>
          <w:p>
            <w:pPr>
              <w:pStyle w:val="Compact"/>
              <w:jc w:val="left"/>
            </w:pPr>
            <w:r>
              <w:t xml:space="preserve">generally a non-marketable medicine</w:t>
            </w:r>
          </w:p>
        </w:tc>
      </w:tr>
      <w:tr>
        <w:tc>
          <w:tcPr/>
          <w:p>
            <w:pPr>
              <w:pStyle w:val="Compact"/>
              <w:jc w:val="left"/>
            </w:pPr>
            <w:r>
              <w:t xml:space="preserve">Collagen peptides as food</w:t>
            </w:r>
          </w:p>
        </w:tc>
        <w:tc>
          <w:tcPr/>
          <w:p>
            <w:pPr>
              <w:pStyle w:val="Compact"/>
              <w:jc w:val="left"/>
            </w:pPr>
            <w:r>
              <w:t xml:space="preserve">legal, advertising claims restricted</w:t>
            </w:r>
          </w:p>
        </w:tc>
      </w:tr>
      <w:tr>
        <w:tc>
          <w:tcPr/>
          <w:p>
            <w:pPr>
              <w:pStyle w:val="Compact"/>
              <w:jc w:val="left"/>
            </w:pPr>
            <w:r>
              <w:t xml:space="preserve">Peptide cream as a cosmetic</w:t>
            </w:r>
          </w:p>
        </w:tc>
        <w:tc>
          <w:tcPr/>
          <w:p>
            <w:pPr>
              <w:pStyle w:val="Compact"/>
              <w:jc w:val="left"/>
            </w:pPr>
            <w:r>
              <w:t xml:space="preserve">legal, provided it is safe and not advertised as a remedy</w:t>
            </w:r>
          </w:p>
        </w:tc>
      </w:tr>
      <w:tr>
        <w:tc>
          <w:tcPr/>
          <w:p>
            <w:pPr>
              <w:pStyle w:val="Compact"/>
              <w:jc w:val="left"/>
            </w:pPr>
            <w:r>
              <w:t xml:space="preserve">Prohibited peptide in controlled sport</w:t>
            </w:r>
          </w:p>
        </w:tc>
        <w:tc>
          <w:tcPr/>
          <w:p>
            <w:pPr>
              <w:pStyle w:val="Compact"/>
              <w:jc w:val="left"/>
            </w:pPr>
            <w:r>
              <w:t xml:space="preserve">doping violation, sometimes a criminal offense</w:t>
            </w:r>
          </w:p>
        </w:tc>
      </w:tr>
    </w:tbl>
    <w:bookmarkEnd w:id="227"/>
    <w:bookmarkStart w:id="228" w:name="key-points-in-brief-4"/>
    <w:p>
      <w:pPr>
        <w:pStyle w:val="Heading3"/>
      </w:pPr>
      <w:r>
        <w:t xml:space="preserve">Key Points in Brief</w:t>
      </w:r>
    </w:p>
    <w:p>
      <w:pPr>
        <w:numPr>
          <w:ilvl w:val="0"/>
          <w:numId w:val="1034"/>
        </w:numPr>
        <w:pStyle w:val="Compact"/>
      </w:pPr>
      <w:r>
        <w:t xml:space="preserve">Whether a peptide is a medicine, a food, or a cosmetic depends on its effect, intended purpose, and presentation. In the case of pharmacological activity, medicines law takes precedence.</w:t>
      </w:r>
    </w:p>
    <w:p>
      <w:pPr>
        <w:numPr>
          <w:ilvl w:val="0"/>
          <w:numId w:val="1034"/>
        </w:numPr>
        <w:pStyle w:val="Compact"/>
      </w:pPr>
      <w:r>
        <w:t xml:space="preserve">Medicines require a marketing authorization. Most peptide medicines are prescription-only.</w:t>
      </w:r>
    </w:p>
    <w:p>
      <w:pPr>
        <w:numPr>
          <w:ilvl w:val="0"/>
          <w:numId w:val="1034"/>
        </w:numPr>
        <w:pStyle w:val="Compact"/>
      </w:pPr>
      <w:r>
        <w:t xml:space="preserve">The label</w:t>
      </w:r>
      <w:r>
        <w:t xml:space="preserve"> </w:t>
      </w:r>
      <w:r>
        <w:t xml:space="preserve">“</w:t>
      </w:r>
      <w:r>
        <w:t xml:space="preserve">for research purposes only</w:t>
      </w:r>
      <w:r>
        <w:t xml:space="preserve">”</w:t>
      </w:r>
      <w:r>
        <w:t xml:space="preserve"> </w:t>
      </w:r>
      <w:r>
        <w:t xml:space="preserve">does not make sale to private individuals legal and does not protect them.</w:t>
      </w:r>
    </w:p>
    <w:p>
      <w:pPr>
        <w:numPr>
          <w:ilvl w:val="0"/>
          <w:numId w:val="1034"/>
        </w:numPr>
        <w:pStyle w:val="Compact"/>
      </w:pPr>
      <w:r>
        <w:t xml:space="preserve">Many gray-market peptides are prohibited in sport, often via sections S0 and S2 of the WADA list.</w:t>
      </w:r>
    </w:p>
    <w:p>
      <w:pPr>
        <w:numPr>
          <w:ilvl w:val="0"/>
          <w:numId w:val="1034"/>
        </w:numPr>
        <w:pStyle w:val="Compact"/>
      </w:pPr>
      <w:r>
        <w:t xml:space="preserve">With gray-market products, users bear the risk largely alone.</w:t>
      </w:r>
    </w:p>
    <w:p>
      <w:pPr>
        <w:pStyle w:val="FirstParagraph"/>
      </w:pPr>
      <w:r>
        <w:t xml:space="preserve">All information in this chapter: status as of 2026, not legal advice, please check for current information.</w:t>
      </w:r>
    </w:p>
    <w:bookmarkEnd w:id="228"/>
    <w:bookmarkEnd w:id="229"/>
    <w:bookmarkEnd w:id="230"/>
    <w:bookmarkStart w:id="892" w:name="part-ii-a-metabolism-and-weight"/>
    <w:p>
      <w:pPr>
        <w:pStyle w:val="Heading1"/>
      </w:pPr>
      <w:r>
        <w:t xml:space="preserve">Part II · A – Metabolism and Weight</w:t>
      </w:r>
    </w:p>
    <w:p>
      <w:pPr>
        <w:pStyle w:val="FirstParagraph"/>
      </w:pPr>
      <w:r>
        <w:t xml:space="preserve">No group of peptides has changed medicine in recent years as much as the drugs in this section. They were originally developed for type 2 diabetes, then became the most effective weight-loss medications ever, and are now being studied in heart failure, sleep apnea, fatty liver disease, and kidney disease. At the same time, hardly any area is as heavily affected by the gray market: drugs that are still in clinical trials are sold on the internet as</w:t>
      </w:r>
      <w:r>
        <w:t xml:space="preserve"> </w:t>
      </w:r>
      <w:r>
        <w:t xml:space="preserve">“</w:t>
      </w:r>
      <w:r>
        <w:t xml:space="preserve">research peptides.</w:t>
      </w:r>
      <w:r>
        <w:t xml:space="preserve">”</w:t>
      </w:r>
    </w:p>
    <w:bookmarkStart w:id="231" w:name="X5da101e600b8a8cb1c4b5c3feaa0fcfbe680be5"/>
    <w:p>
      <w:pPr>
        <w:pStyle w:val="Heading3"/>
      </w:pPr>
      <w:r>
        <w:t xml:space="preserve">What These Drugs Have in Common: Hormones from the Gut and Pancreas</w:t>
      </w:r>
    </w:p>
    <w:p>
      <w:pPr>
        <w:pStyle w:val="FirstParagraph"/>
      </w:pPr>
      <w:r>
        <w:t xml:space="preserve">Almost all the drugs in this group mimic hormones that the body releases around a meal. You should know four of them:</w:t>
      </w:r>
    </w:p>
    <w:p>
      <w:pPr>
        <w:numPr>
          <w:ilvl w:val="0"/>
          <w:numId w:val="1035"/>
        </w:numPr>
        <w:pStyle w:val="Compact"/>
      </w:pPr>
      <w:r>
        <w:rPr>
          <w:bCs/>
          <w:b/>
        </w:rPr>
        <w:t xml:space="preserve">GLP-1 (glucagon-like peptide-1)</w:t>
      </w:r>
      <w:r>
        <w:t xml:space="preserve"> </w:t>
      </w:r>
      <w:r>
        <w:t xml:space="preserve">is released by cells in the small and large intestine as soon as food arrives. It enhances insulin release – but only when blood sugar is elevated – slows gastric emptying, and signals satiety to the brain. The body’s own GLP-1 is broken down within a few minutes; the medications are modified so that they act for one day to one week.</w:t>
      </w:r>
    </w:p>
    <w:p>
      <w:pPr>
        <w:numPr>
          <w:ilvl w:val="0"/>
          <w:numId w:val="1035"/>
        </w:numPr>
        <w:pStyle w:val="Compact"/>
      </w:pPr>
      <w:r>
        <w:rPr>
          <w:bCs/>
          <w:b/>
        </w:rPr>
        <w:t xml:space="preserve">GIP (glucose-dependent insulinotropic polypeptide)</w:t>
      </w:r>
      <w:r>
        <w:t xml:space="preserve"> </w:t>
      </w:r>
      <w:r>
        <w:t xml:space="preserve">comes from the upper small intestine and likewise enhances insulin release. Its role in appetite and body weight is contradictory: tirzepatide activates the GIP receptor, maridebart cafraglutide blocks it – and both lead to weight loss.</w:t>
      </w:r>
    </w:p>
    <w:p>
      <w:pPr>
        <w:numPr>
          <w:ilvl w:val="0"/>
          <w:numId w:val="1035"/>
        </w:numPr>
        <w:pStyle w:val="Compact"/>
      </w:pPr>
      <w:r>
        <w:rPr>
          <w:bCs/>
          <w:b/>
        </w:rPr>
        <w:t xml:space="preserve">Glucagon</w:t>
      </w:r>
      <w:r>
        <w:t xml:space="preserve"> </w:t>
      </w:r>
      <w:r>
        <w:t xml:space="preserve">is the counter-regulatory hormone to insulin and comes from the pancreas. It raises blood sugar but also increases energy expenditure and fat breakdown in the liver. Newer drugs make targeted use of this second side.</w:t>
      </w:r>
    </w:p>
    <w:p>
      <w:pPr>
        <w:numPr>
          <w:ilvl w:val="0"/>
          <w:numId w:val="1035"/>
        </w:numPr>
        <w:pStyle w:val="Compact"/>
      </w:pPr>
      <w:r>
        <w:rPr>
          <w:bCs/>
          <w:b/>
        </w:rPr>
        <w:t xml:space="preserve">Amylin</w:t>
      </w:r>
      <w:r>
        <w:t xml:space="preserve"> </w:t>
      </w:r>
      <w:r>
        <w:t xml:space="preserve">is released together with insulin from the beta cells of the pancreas. It acts in the brainstem to promote satiety and slows gastric emptying.</w:t>
      </w:r>
    </w:p>
    <w:p>
      <w:pPr>
        <w:pStyle w:val="FirstParagraph"/>
      </w:pPr>
      <w:r>
        <w:t xml:space="preserve">GLP-1 and GIP are called</w:t>
      </w:r>
      <w:r>
        <w:t xml:space="preserve"> </w:t>
      </w:r>
      <w:r>
        <w:rPr>
          <w:bCs/>
          <w:b/>
        </w:rPr>
        <w:t xml:space="preserve">incretins</w:t>
      </w:r>
      <w:r>
        <w:t xml:space="preserve"> </w:t>
      </w:r>
      <w:r>
        <w:t xml:space="preserve">(derived from</w:t>
      </w:r>
      <w:r>
        <w:t xml:space="preserve"> </w:t>
      </w:r>
      <w:r>
        <w:t xml:space="preserve">“</w:t>
      </w:r>
      <w:r>
        <w:t xml:space="preserve">INtestinal seCRETion of INsulin,</w:t>
      </w:r>
      <w:r>
        <w:t xml:space="preserve">”</w:t>
      </w:r>
      <w:r>
        <w:t xml:space="preserve"> </w:t>
      </w:r>
      <w:r>
        <w:t xml:space="preserve">i.e., insulin release triggered by the gut): they explain why sugar that is eaten releases more insulin than the same amount of sugar given directly into a vein. The development can be read as a sequence of stages: first pure GLP-1 agonists, then combinations with GIP, glucagon, or amylin in a single molecule, and finally tablets that are no longer peptides at all.</w:t>
      </w:r>
    </w:p>
    <w:p>
      <w:pPr>
        <w:pStyle w:val="BodyText"/>
      </w:pPr>
      <w:r>
        <w:t xml:space="preserve">Two drugs in this group do not fit this pattern:</w:t>
      </w:r>
      <w:r>
        <w:t xml:space="preserve"> </w:t>
      </w:r>
      <w:r>
        <w:rPr>
          <w:bCs/>
          <w:b/>
        </w:rPr>
        <w:t xml:space="preserve">setmelanotide</w:t>
      </w:r>
      <w:r>
        <w:t xml:space="preserve"> </w:t>
      </w:r>
      <w:r>
        <w:t xml:space="preserve">acts deeper in the brain, at the melanocortin-4 receptor, and is intended only for rare genetic forms of obesity.</w:t>
      </w:r>
      <w:r>
        <w:t xml:space="preserve"> </w:t>
      </w:r>
      <w:r>
        <w:rPr>
          <w:bCs/>
          <w:b/>
        </w:rPr>
        <w:t xml:space="preserve">AOD-9604</w:t>
      </w:r>
      <w:r>
        <w:t xml:space="preserve"> </w:t>
      </w:r>
      <w:r>
        <w:t xml:space="preserve">is a fragment of growth hormone that is marketed as a</w:t>
      </w:r>
      <w:r>
        <w:t xml:space="preserve"> </w:t>
      </w:r>
      <w:r>
        <w:t xml:space="preserve">“</w:t>
      </w:r>
      <w:r>
        <w:t xml:space="preserve">fat burner</w:t>
      </w:r>
      <w:r>
        <w:t xml:space="preserve">”</w:t>
      </w:r>
      <w:r>
        <w:t xml:space="preserve"> </w:t>
      </w:r>
      <w:r>
        <w:t xml:space="preserve">without any published human studies.</w:t>
      </w:r>
    </w:p>
    <w:bookmarkEnd w:id="231"/>
    <w:bookmarkStart w:id="232" w:name="overview"/>
    <w:p>
      <w:pPr>
        <w:pStyle w:val="Heading3"/>
      </w:pPr>
      <w:r>
        <w:t xml:space="preserve">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first GLP-1 agonist, from lizard venom</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daily injection, generics</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weekly, antibody fusion</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injection and tablet, cardioprotection demonstrated</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GIP plus GLP-1, benchmark in 2026</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GIP, GLP-1, and glucagon</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glucagon plus GLP-1, liver focus</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China only</w:t>
            </w:r>
          </w:p>
        </w:tc>
        <w:tc>
          <w:tcPr/>
          <w:p>
            <w:pPr>
              <w:pStyle w:val="Compact"/>
              <w:jc w:val="left"/>
            </w:pPr>
            <w:r>
              <w:t xml:space="preserve">glucagon plus GLP-1</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w:t>
            </w:r>
          </w:p>
        </w:tc>
        <w:tc>
          <w:tcPr/>
          <w:p>
            <w:pPr>
              <w:pStyle w:val="Compact"/>
              <w:jc w:val="left"/>
            </w:pPr>
            <w:r>
              <w:t xml:space="preserve">amylin, combined with semaglutide</w:t>
            </w:r>
          </w:p>
        </w:tc>
      </w:tr>
      <w:tr>
        <w:tc>
          <w:tcPr/>
          <w:p>
            <w:pPr>
              <w:pStyle w:val="Compact"/>
              <w:jc w:val="left"/>
            </w:pPr>
            <w:r>
              <w:t xml:space="preserve">Amycretin (zenagamtide)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amylin and GLP-1 in one molecule</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GIP blocker, monthly dosing</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USA only</w:t>
            </w:r>
          </w:p>
        </w:tc>
        <w:tc>
          <w:tcPr/>
          <w:p>
            <w:pPr>
              <w:pStyle w:val="Compact"/>
              <w:jc w:val="left"/>
            </w:pPr>
            <w:r>
              <w:t xml:space="preserve">first amylin medication</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EU, USA</w:t>
            </w:r>
          </w:p>
        </w:tc>
        <w:tc>
          <w:tcPr/>
          <w:p>
            <w:pPr>
              <w:pStyle w:val="Compact"/>
              <w:jc w:val="left"/>
            </w:pPr>
            <w:r>
              <w:t xml:space="preserve">rare genetic obesity</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w:t>
            </w:r>
          </w:p>
        </w:tc>
        <w:tc>
          <w:tcPr/>
          <w:p>
            <w:pPr>
              <w:pStyle w:val="Compact"/>
              <w:jc w:val="left"/>
            </w:pPr>
            <w:r>
              <w:t xml:space="preserve">growth hormone fragment, gray market</w:t>
            </w:r>
          </w:p>
        </w:tc>
      </w:tr>
      <w:tr>
        <w:tc>
          <w:tcPr/>
          <w:p>
            <w:pPr>
              <w:pStyle w:val="Compact"/>
              <w:jc w:val="left"/>
            </w:pPr>
            <w:r>
              <w:t xml:space="preserve">Orforglipron</w:t>
            </w:r>
          </w:p>
        </w:tc>
        <w:tc>
          <w:tcPr/>
          <w:p>
            <w:pPr>
              <w:pStyle w:val="Compact"/>
              <w:jc w:val="left"/>
            </w:pPr>
            <w:r>
              <w:t xml:space="preserve">A</w:t>
            </w:r>
          </w:p>
        </w:tc>
        <w:tc>
          <w:tcPr/>
          <w:p>
            <w:pPr>
              <w:pStyle w:val="Compact"/>
              <w:jc w:val="left"/>
            </w:pPr>
            <w:r>
              <w:t xml:space="preserve">pending</w:t>
            </w:r>
          </w:p>
        </w:tc>
        <w:tc>
          <w:tcPr/>
          <w:p>
            <w:pPr>
              <w:pStyle w:val="Compact"/>
              <w:jc w:val="left"/>
            </w:pPr>
            <w:r>
              <w:t xml:space="preserve">not a peptide, tablet (comparison)</w:t>
            </w:r>
          </w:p>
        </w:tc>
      </w:tr>
    </w:tbl>
    <w:p>
      <w:pPr>
        <w:pStyle w:val="BodyText"/>
      </w:pPr>
      <w:r>
        <w:t xml:space="preserve">The evidence levels are explained in Part I. Approval information reflects the status as of October 2026 and refers to at least one indication; details are given in the respective chapter. Please check the current status, because approvals change quickly, especially in this group.</w:t>
      </w:r>
    </w:p>
    <w:bookmarkEnd w:id="232"/>
    <w:bookmarkStart w:id="233" w:name="reading-guide"/>
    <w:p>
      <w:pPr>
        <w:pStyle w:val="Heading3"/>
      </w:pPr>
      <w:r>
        <w:t xml:space="preserve">Reading Guide</w:t>
      </w:r>
    </w:p>
    <w:p>
      <w:pPr>
        <w:pStyle w:val="FirstParagraph"/>
      </w:pPr>
      <w:r>
        <w:t xml:space="preserve">The chapters roughly follow the historical development: from the established GLP-1 agonists (exenatide to semaglutide) via the combination drugs (tirzepatide to maridebart cafraglutide) to the special cases (pramlintide, setmelanotide, AOD-9604) and finally to orforglipron, which is included as a non-peptide for comparison.</w:t>
      </w:r>
    </w:p>
    <w:p>
      <w:pPr>
        <w:pStyle w:val="BodyText"/>
      </w:pPr>
      <w:r>
        <w:t xml:space="preserve">If you want a quick overview, start with semaglutide and tirzepatide – all others are measured against them. Direct comparisons of weight loss, blood sugar reduction, cardiovascular outcomes, and side effects across all drugs can be found in Part III. Class risks such as gallbladder and pancreatic problems, muscle loss, and questions about the thyroid are covered in detail in Part IV.</w:t>
      </w:r>
    </w:p>
    <w:p>
      <w:pPr>
        <w:pStyle w:val="BodyText"/>
      </w:pPr>
      <w:r>
        <w:t xml:space="preserve">Two principles apply to the entire group: first, the chapters describe study results, not treatment instructions – for approved medications, the prescribing information and medical supervision are authoritative. Second, for almost all drugs, a large part of the weight lost returns when treatment ends. These medications work as long as they are taken; they are not a cure.</w:t>
      </w:r>
    </w:p>
    <w:bookmarkEnd w:id="233"/>
    <w:bookmarkStart w:id="288" w:name="exenatide"/>
    <w:p>
      <w:pPr>
        <w:pStyle w:val="Heading2"/>
      </w:pPr>
      <w:r>
        <w:t xml:space="preserve">Exenatide</w:t>
      </w:r>
    </w:p>
    <w:bookmarkStart w:id="235" w:name="profile"/>
    <w:p>
      <w:pPr>
        <w:pStyle w:val="Heading3"/>
      </w:pPr>
      <w:r>
        <w:t xml:space="preserve">Profile</w:t>
      </w:r>
    </w:p>
    <w:p>
      <w:pPr>
        <w:numPr>
          <w:ilvl w:val="0"/>
          <w:numId w:val="1036"/>
        </w:numPr>
        <w:pStyle w:val="Compact"/>
      </w:pPr>
      <w:r>
        <w:rPr>
          <w:bCs/>
          <w:b/>
        </w:rPr>
        <w:t xml:space="preserve">Type/structure:</w:t>
      </w:r>
      <w:r>
        <w:t xml:space="preserve"> </w:t>
      </w:r>
      <w:r>
        <w:t xml:space="preserve">Peptide of 39 amino acids, a synthetically produced form of exendin-4. About half of the sequence matches the human gut hormone GLP-1.</w:t>
      </w:r>
    </w:p>
    <w:p>
      <w:pPr>
        <w:numPr>
          <w:ilvl w:val="0"/>
          <w:numId w:val="1036"/>
        </w:numPr>
        <w:pStyle w:val="Compact"/>
      </w:pPr>
      <w:r>
        <w:rPr>
          <w:bCs/>
          <w:b/>
        </w:rPr>
        <w:t xml:space="preserve">Origin:</w:t>
      </w:r>
      <w:r>
        <w:t xml:space="preserve"> </w:t>
      </w:r>
      <w:r>
        <w:t xml:space="preserve">Exendin-4 was isolated in 1992 from the venom of the Gila monster (</w:t>
      </w:r>
      <w:r>
        <w:rPr>
          <w:iCs/>
          <w:i/>
        </w:rPr>
        <w:t xml:space="preserve">Heloderma suspectum</w:t>
      </w:r>
      <w:r>
        <w:t xml:space="preserve">)</w:t>
      </w:r>
      <w:r>
        <w:rPr>
          <w:rStyle w:val="FootnoteReference"/>
        </w:rPr>
        <w:footnoteReference w:id="234"/>
      </w:r>
      <w:r>
        <w:t xml:space="preserve">.</w:t>
      </w:r>
    </w:p>
    <w:p>
      <w:pPr>
        <w:numPr>
          <w:ilvl w:val="0"/>
          <w:numId w:val="1036"/>
        </w:numPr>
        <w:pStyle w:val="Compact"/>
      </w:pPr>
      <w:r>
        <w:rPr>
          <w:bCs/>
          <w:b/>
        </w:rPr>
        <w:t xml:space="preserve">Mechanism of action:</w:t>
      </w:r>
      <w:r>
        <w:t xml:space="preserve"> </w:t>
      </w:r>
      <w:r>
        <w:t xml:space="preserve">GLP-1 receptor agonist. Exenatide mimics the satiety and incretin hormone GLP-1 but is broken down much more slowly.</w:t>
      </w:r>
    </w:p>
    <w:p>
      <w:pPr>
        <w:numPr>
          <w:ilvl w:val="0"/>
          <w:numId w:val="1036"/>
        </w:numPr>
        <w:pStyle w:val="Compact"/>
      </w:pPr>
      <w:r>
        <w:rPr>
          <w:bCs/>
          <w:b/>
        </w:rPr>
        <w:t xml:space="preserve">Dosage forms:</w:t>
      </w:r>
      <w:r>
        <w:t xml:space="preserve"> </w:t>
      </w:r>
      <w:r>
        <w:t xml:space="preserve">twice daily (Byetta) and once weekly as a depot with microspheres (Bydureon, later as a prefilled pen or autoinjector). Additionally in studies: pump implant (ITCA 650) and pegylated variants (PB-119, NLY01).</w:t>
      </w:r>
    </w:p>
    <w:p>
      <w:pPr>
        <w:numPr>
          <w:ilvl w:val="0"/>
          <w:numId w:val="1036"/>
        </w:numPr>
        <w:pStyle w:val="Compact"/>
      </w:pPr>
      <w:r>
        <w:rPr>
          <w:bCs/>
          <w:b/>
        </w:rPr>
        <w:t xml:space="preserve">EU approval:</w:t>
      </w:r>
      <w:r>
        <w:t xml:space="preserve"> </w:t>
      </w:r>
      <w:r>
        <w:t xml:space="preserve">yes, for the treatment of type 2 diabetes (Byetta, Bydureon). No approval for weight reduction.</w:t>
      </w:r>
    </w:p>
    <w:p>
      <w:pPr>
        <w:numPr>
          <w:ilvl w:val="0"/>
          <w:numId w:val="1036"/>
        </w:numPr>
        <w:pStyle w:val="Compact"/>
      </w:pPr>
      <w:r>
        <w:rPr>
          <w:bCs/>
          <w:b/>
        </w:rPr>
        <w:t xml:space="preserve">US approval:</w:t>
      </w:r>
      <w:r>
        <w:t xml:space="preserve"> </w:t>
      </w:r>
      <w:r>
        <w:t xml:space="preserve">yes, type 2 diabetes (Byetta in 2005 as the very first GLP-1 receptor agonist, Bydureon/Bydureon BCise), the weekly form also for adolescents aged 10 and older. Copycat versions of the twice-daily form are now also available there. Availability of individual products varies – please check for current information.</w:t>
      </w:r>
    </w:p>
    <w:p>
      <w:pPr>
        <w:numPr>
          <w:ilvl w:val="0"/>
          <w:numId w:val="1036"/>
        </w:numPr>
        <w:pStyle w:val="Compact"/>
      </w:pPr>
      <w:r>
        <w:rPr>
          <w:bCs/>
          <w:b/>
        </w:rPr>
        <w:t xml:space="preserve">WADA:</w:t>
      </w:r>
      <w:r>
        <w:t xml:space="preserve"> </w:t>
      </w:r>
      <w:r>
        <w:t xml:space="preserve">not listed.</w:t>
      </w:r>
    </w:p>
    <w:p>
      <w:pPr>
        <w:numPr>
          <w:ilvl w:val="0"/>
          <w:numId w:val="1036"/>
        </w:numPr>
        <w:pStyle w:val="Compact"/>
      </w:pPr>
      <w:r>
        <w:rPr>
          <w:bCs/>
          <w:b/>
        </w:rPr>
        <w:t xml:space="preserve">Evidence level:</w:t>
      </w:r>
      <w:r>
        <w:t xml:space="preserve"> </w:t>
      </w:r>
      <w:r>
        <w:rPr>
          <w:bCs/>
          <w:b/>
        </w:rPr>
        <w:t xml:space="preserve">A</w:t>
      </w:r>
      <w:r>
        <w:t xml:space="preserve"> </w:t>
      </w:r>
      <w:r>
        <w:t xml:space="preserve">– numerous large randomized studies, one large cardiovascular outcomes trial, approved since 2005.</w:t>
      </w:r>
    </w:p>
    <w:bookmarkEnd w:id="235"/>
    <w:bookmarkStart w:id="236" w:name="how-it-is-supposed-to-work"/>
    <w:p>
      <w:pPr>
        <w:pStyle w:val="Heading3"/>
      </w:pPr>
      <w:r>
        <w:t xml:space="preserve">How it is supposed to work</w:t>
      </w:r>
    </w:p>
    <w:p>
      <w:pPr>
        <w:pStyle w:val="FirstParagraph"/>
      </w:pPr>
      <w:r>
        <w:t xml:space="preserve">After a meal, the gut releases the hormone GLP-1 (glucagon-like peptide-1). It signals the pancreas to release more insulin – but only as long as blood sugar is elevated. At the same time, it suppresses the hormone glucagon, which raises blood sugar, slows gastric emptying, and acts on centers in the brain that control hunger and satiety. Because insulin release is glucose-dependent, GLP-1 receptor agonists on their own rarely cause hypoglycemia.</w:t>
      </w:r>
    </w:p>
    <w:p>
      <w:pPr>
        <w:pStyle w:val="BodyText"/>
      </w:pPr>
      <w:r>
        <w:t xml:space="preserve">The body’s own GLP-1, however, has a decisive disadvantage: the enzyme DPP-4 breaks it down within about two minutes. It is therefore useless as a medication. Exendin-4 from lizard venom also binds to the GLP-1 receptor but is largely insensitive to DPP-4. This chance discovery made exenatide the first representative of a drug class that two decades later, with semaglutide and tirzepatide, would transform medicine.</w:t>
      </w:r>
    </w:p>
    <w:p>
      <w:pPr>
        <w:pStyle w:val="BodyText"/>
      </w:pPr>
      <w:r>
        <w:t xml:space="preserve">The original form acts for only a few hours and must therefore be injected twice daily before the main meals. Above all, it lowers the rise in blood sugar after eating, partly because it markedly slows gastric emptying. The weekly form packages the same drug in biodegradable polymer microspheres (PLGA) from which it is slowly released. As a result, levels remain more constant; the effect on fasting glucose becomes stronger, while the effect on gastric emptying weakens somewhat over time.</w:t>
      </w:r>
    </w:p>
    <w:p>
      <w:pPr>
        <w:pStyle w:val="BodyText"/>
      </w:pPr>
      <w:r>
        <w:t xml:space="preserve">An important difference from the later drugs: exenatide is only about half similar to human GLP-1. The immune system therefore more often recognizes it as foreign and forms antibodies. In most people treated, this has no consequences; in a small proportion with high antibody levels, the effect may diminish.</w:t>
      </w:r>
    </w:p>
    <w:bookmarkEnd w:id="236"/>
    <w:bookmarkStart w:id="264" w:name="human-studies"/>
    <w:p>
      <w:pPr>
        <w:pStyle w:val="Heading3"/>
      </w:pPr>
      <w:r>
        <w:t xml:space="preserve">Human studies</w:t>
      </w:r>
    </w:p>
    <w:p>
      <w:pPr>
        <w:pStyle w:val="FirstParagraph"/>
      </w:pPr>
      <w:r>
        <w:t xml:space="preserve">The body of research on exenatide is extensive. The PubMed query evaluated for this book (search term</w:t>
      </w:r>
      <w:r>
        <w:t xml:space="preserve"> </w:t>
      </w:r>
      <w:r>
        <w:t xml:space="preserve">“</w:t>
      </w:r>
      <w:r>
        <w:t xml:space="preserve">exenatide</w:t>
      </w:r>
      <w:r>
        <w:t xml:space="preserve">”</w:t>
      </w:r>
      <w:r>
        <w:t xml:space="preserve"> </w:t>
      </w:r>
      <w:r>
        <w:t xml:space="preserve">in title or abstract, query date October 2026) yielded 437 human studies; ClinicalTrials.gov lists 379 registry entries involving exenatide. Many of these are small mechanistic or combination studies. Three groups carry most weight for the assessment: the AMIGO (twice-daily form) and DURATION (weekly form) approval programs, the cardiovascular outcomes trial EXSCEL, and a series of studies beyond diabetes, particularly on Parkinson’s disease.</w:t>
      </w:r>
    </w:p>
    <w:bookmarkStart w:id="238" w:name="the-amigo-trials-the-start-of-the-class"/>
    <w:p>
      <w:pPr>
        <w:pStyle w:val="Heading4"/>
      </w:pPr>
      <w:r>
        <w:t xml:space="preserve">The AMIGO Trials: The Start of the Class</w:t>
      </w:r>
    </w:p>
    <w:p>
      <w:pPr>
        <w:pStyle w:val="FirstParagraph"/>
      </w:pPr>
      <w:r>
        <w:t xml:space="preserve">Three placebo-controlled trials, each lasting 30 weeks, formed the basis of the first approval. They tested exenatide twice daily (5 or 10 micrograms per dose) as an add-on to existing tablets.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 (10 µg arm vs. placebo)</w:t>
            </w:r>
          </w:p>
        </w:tc>
      </w:tr>
      <w:tr>
        <w:tc>
          <w:tcPr/>
          <w:p>
            <w:pPr>
              <w:pStyle w:val="Compact"/>
              <w:jc w:val="left"/>
            </w:pPr>
            <w:r>
              <w:t xml:space="preserve">Buse 2004, PMID 15504997</w:t>
            </w:r>
          </w:p>
        </w:tc>
        <w:tc>
          <w:tcPr/>
          <w:p>
            <w:pPr>
              <w:pStyle w:val="Compact"/>
              <w:jc w:val="left"/>
            </w:pPr>
            <w:r>
              <w:t xml:space="preserve">Type 2 diabetes on sulfonylurea, RCT vs. placebo</w:t>
            </w:r>
          </w:p>
        </w:tc>
        <w:tc>
          <w:tcPr/>
          <w:p>
            <w:pPr>
              <w:pStyle w:val="Compact"/>
              <w:jc w:val="left"/>
            </w:pPr>
            <w:r>
              <w:t xml:space="preserve">30 weeks</w:t>
            </w:r>
          </w:p>
        </w:tc>
        <w:tc>
          <w:tcPr/>
          <w:p>
            <w:pPr>
              <w:pStyle w:val="Compact"/>
              <w:jc w:val="left"/>
            </w:pPr>
            <w:r>
              <w:t xml:space="preserve">HbA1c −0.86 vs. +0.12 percentage points; weight −1.6 kg</w:t>
            </w:r>
          </w:p>
        </w:tc>
      </w:tr>
      <w:tr>
        <w:tc>
          <w:tcPr/>
          <w:p>
            <w:pPr>
              <w:pStyle w:val="Compact"/>
              <w:jc w:val="left"/>
            </w:pPr>
            <w:r>
              <w:t xml:space="preserve">DeFronzo 2005, PMID 15855572</w:t>
            </w:r>
          </w:p>
        </w:tc>
        <w:tc>
          <w:tcPr/>
          <w:p>
            <w:pPr>
              <w:pStyle w:val="Compact"/>
              <w:jc w:val="left"/>
            </w:pPr>
            <w:r>
              <w:t xml:space="preserve">Type 2 diabetes on metformin, RCT vs. placebo</w:t>
            </w:r>
          </w:p>
        </w:tc>
        <w:tc>
          <w:tcPr/>
          <w:p>
            <w:pPr>
              <w:pStyle w:val="Compact"/>
              <w:jc w:val="left"/>
            </w:pPr>
            <w:r>
              <w:t xml:space="preserve">30 weeks</w:t>
            </w:r>
          </w:p>
        </w:tc>
        <w:tc>
          <w:tcPr/>
          <w:p>
            <w:pPr>
              <w:pStyle w:val="Compact"/>
              <w:jc w:val="left"/>
            </w:pPr>
            <w:r>
              <w:t xml:space="preserve">HbA1c −0.78 vs. +0.08; weight −2.8 kg; 46% vs. 13% reached HbA1c ≤ 7%</w:t>
            </w:r>
          </w:p>
        </w:tc>
      </w:tr>
      <w:tr>
        <w:tc>
          <w:tcPr/>
          <w:p>
            <w:pPr>
              <w:pStyle w:val="Compact"/>
              <w:jc w:val="left"/>
            </w:pPr>
            <w:r>
              <w:t xml:space="preserve">Kendall 2005, PMID 15855571</w:t>
            </w:r>
          </w:p>
        </w:tc>
        <w:tc>
          <w:tcPr/>
          <w:p>
            <w:pPr>
              <w:pStyle w:val="Compact"/>
              <w:jc w:val="left"/>
            </w:pPr>
            <w:r>
              <w:t xml:space="preserve">Type 2 diabetes on metformin plus sulfonylurea, RCT</w:t>
            </w:r>
          </w:p>
        </w:tc>
        <w:tc>
          <w:tcPr/>
          <w:p>
            <w:pPr>
              <w:pStyle w:val="Compact"/>
              <w:jc w:val="left"/>
            </w:pPr>
            <w:r>
              <w:t xml:space="preserve">30 weeks</w:t>
            </w:r>
          </w:p>
        </w:tc>
        <w:tc>
          <w:tcPr/>
          <w:p>
            <w:pPr>
              <w:pStyle w:val="Compact"/>
              <w:jc w:val="left"/>
            </w:pPr>
            <w:r>
              <w:t xml:space="preserve">HbA1c −0.8 vs. +0.2; mild hypoglycemia 28% vs. 13%</w:t>
            </w:r>
          </w:p>
        </w:tc>
      </w:tr>
      <w:tr>
        <w:tc>
          <w:tcPr/>
          <w:p>
            <w:pPr>
              <w:pStyle w:val="Compact"/>
              <w:jc w:val="left"/>
            </w:pPr>
            <w:r>
              <w:t xml:space="preserve">Heine 2005, PMID 16230722</w:t>
            </w:r>
          </w:p>
        </w:tc>
        <w:tc>
          <w:tcPr/>
          <w:p>
            <w:pPr>
              <w:pStyle w:val="Compact"/>
              <w:jc w:val="left"/>
            </w:pPr>
            <w:r>
              <w:t xml:space="preserve">551 people, open-label comparison with insulin glargine</w:t>
            </w:r>
          </w:p>
        </w:tc>
        <w:tc>
          <w:tcPr/>
          <w:p>
            <w:pPr>
              <w:pStyle w:val="Compact"/>
              <w:jc w:val="left"/>
            </w:pPr>
            <w:r>
              <w:t xml:space="preserve">26 weeks</w:t>
            </w:r>
          </w:p>
        </w:tc>
        <w:tc>
          <w:tcPr/>
          <w:p>
            <w:pPr>
              <w:pStyle w:val="Compact"/>
              <w:jc w:val="left"/>
            </w:pPr>
            <w:r>
              <w:t xml:space="preserve">HbA1c −1.11 in each group; weight −2.3 kg vs. +1.8 kg</w:t>
            </w:r>
          </w:p>
        </w:tc>
      </w:tr>
    </w:tbl>
    <w:p>
      <w:pPr>
        <w:pStyle w:val="BodyText"/>
      </w:pPr>
      <w:r>
        <w:t xml:space="preserve">The HbA1c value (long-term blood sugar) describes the proportion of</w:t>
      </w:r>
      <w:r>
        <w:t xml:space="preserve"> </w:t>
      </w:r>
      <w:r>
        <w:t xml:space="preserve">“</w:t>
      </w:r>
      <w:r>
        <w:t xml:space="preserve">glycated</w:t>
      </w:r>
      <w:r>
        <w:t xml:space="preserve">”</w:t>
      </w:r>
      <w:r>
        <w:t xml:space="preserve"> </w:t>
      </w:r>
      <w:r>
        <w:t xml:space="preserve">hemoglobin and reflects blood sugar over the past two to three months. A reduction of 0.8 to 1 percentage point was considered clinically meaningful at the time. What was new was that weight did not increase, as is usual with insulin or sulfonylureas, but decreased. However, the Kendall study also shows that in combination with a sulfonylurea, which releases insulin independently of blood sugar, mild hypoglycemia increased.</w:t>
      </w:r>
    </w:p>
    <w:p>
      <w:pPr>
        <w:pStyle w:val="BodyText"/>
      </w:pPr>
      <w:r>
        <w:t xml:space="preserve">In a direct comparison with insulin glargine</w:t>
      </w:r>
      <w:r>
        <w:rPr>
          <w:rStyle w:val="FootnoteReference"/>
        </w:rPr>
        <w:footnoteReference w:id="237"/>
      </w:r>
      <w:r>
        <w:t xml:space="preserve">, both treatments lowered HbA1c equally. The weight difference was 4.1 kg in favor of exenatide, and nocturnal hypoglycemia was less frequent (0.9 vs. 2.4 events per patient-year). The price: nausea occurred in 57.1% versus 8.6%, vomiting in 17.4% versus 3.7%. 19.4% of the exenatide group discontinued the study, compared with 9.7% on insulin.</w:t>
      </w:r>
    </w:p>
    <w:bookmarkEnd w:id="238"/>
    <w:bookmarkStart w:id="242" w:name="the-duration-program-once-a-week"/>
    <w:p>
      <w:pPr>
        <w:pStyle w:val="Heading4"/>
      </w:pPr>
      <w:r>
        <w:t xml:space="preserve">The DURATION Program: Once a Week</w:t>
      </w:r>
    </w:p>
    <w:p>
      <w:pPr>
        <w:pStyle w:val="FirstParagraph"/>
      </w:pPr>
      <w:r>
        <w:t xml:space="preserve">The weekly form was tested in a series of trials named DURATION – against the twice-daily form, against tablets, against insulin, and against liraglutide.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DURATION-1 (Drucker 2008), PMID 18782641</w:t>
            </w:r>
          </w:p>
        </w:tc>
        <w:tc>
          <w:tcPr/>
          <w:p>
            <w:pPr>
              <w:pStyle w:val="Compact"/>
              <w:jc w:val="left"/>
            </w:pPr>
            <w:r>
              <w:t xml:space="preserve">295 people, open-label: exenatide weekly vs. twice daily</w:t>
            </w:r>
          </w:p>
        </w:tc>
        <w:tc>
          <w:tcPr/>
          <w:p>
            <w:pPr>
              <w:pStyle w:val="Compact"/>
              <w:jc w:val="left"/>
            </w:pPr>
            <w:r>
              <w:t xml:space="preserve">30 weeks</w:t>
            </w:r>
          </w:p>
        </w:tc>
        <w:tc>
          <w:tcPr/>
          <w:p>
            <w:pPr>
              <w:pStyle w:val="Compact"/>
              <w:jc w:val="left"/>
            </w:pPr>
            <w:r>
              <w:t xml:space="preserve">HbA1c −1.9 vs. −1.5; target ≤ 7% in 77% vs. 61%</w:t>
            </w:r>
          </w:p>
        </w:tc>
      </w:tr>
      <w:tr>
        <w:tc>
          <w:tcPr/>
          <w:p>
            <w:pPr>
              <w:pStyle w:val="Compact"/>
              <w:jc w:val="left"/>
            </w:pPr>
            <w:r>
              <w:t xml:space="preserve">DURATION-1, 5-year data (Wysham 2015), PMID 25744115</w:t>
            </w:r>
          </w:p>
        </w:tc>
        <w:tc>
          <w:tcPr/>
          <w:p>
            <w:pPr>
              <w:pStyle w:val="Compact"/>
              <w:jc w:val="left"/>
            </w:pPr>
            <w:r>
              <w:t xml:space="preserve">258 people in the extension, 153 remained for 5 years</w:t>
            </w:r>
          </w:p>
        </w:tc>
        <w:tc>
          <w:tcPr/>
          <w:p>
            <w:pPr>
              <w:pStyle w:val="Compact"/>
              <w:jc w:val="left"/>
            </w:pPr>
            <w:r>
              <w:t xml:space="preserve">5 years</w:t>
            </w:r>
          </w:p>
        </w:tc>
        <w:tc>
          <w:tcPr/>
          <w:p>
            <w:pPr>
              <w:pStyle w:val="Compact"/>
              <w:jc w:val="left"/>
            </w:pPr>
            <w:r>
              <w:t xml:space="preserve">HbA1c still −1.6; weight −3.0 kg</w:t>
            </w:r>
          </w:p>
        </w:tc>
      </w:tr>
      <w:tr>
        <w:tc>
          <w:tcPr/>
          <w:p>
            <w:pPr>
              <w:pStyle w:val="Compact"/>
              <w:jc w:val="left"/>
            </w:pPr>
            <w:r>
              <w:t xml:space="preserve">DURATION-2 (Bergenstal 2010), PMID 20580422</w:t>
            </w:r>
          </w:p>
        </w:tc>
        <w:tc>
          <w:tcPr/>
          <w:p>
            <w:pPr>
              <w:pStyle w:val="Compact"/>
              <w:jc w:val="left"/>
            </w:pPr>
            <w:r>
              <w:t xml:space="preserve">514 people on metformin, vs. sitagliptin or pioglitazone</w:t>
            </w:r>
          </w:p>
        </w:tc>
        <w:tc>
          <w:tcPr/>
          <w:p>
            <w:pPr>
              <w:pStyle w:val="Compact"/>
              <w:jc w:val="left"/>
            </w:pPr>
            <w:r>
              <w:t xml:space="preserve">26 weeks</w:t>
            </w:r>
          </w:p>
        </w:tc>
        <w:tc>
          <w:tcPr/>
          <w:p>
            <w:pPr>
              <w:pStyle w:val="Compact"/>
              <w:jc w:val="left"/>
            </w:pPr>
            <w:r>
              <w:t xml:space="preserve">HbA1c −1.5 vs. −0.9 and −1.2, respectively; weight −2.3 kg</w:t>
            </w:r>
          </w:p>
        </w:tc>
      </w:tr>
      <w:tr>
        <w:tc>
          <w:tcPr/>
          <w:p>
            <w:pPr>
              <w:pStyle w:val="Compact"/>
              <w:jc w:val="left"/>
            </w:pPr>
            <w:r>
              <w:t xml:space="preserve">DURATION-3 (Diamant 2010), PMID 20609969</w:t>
            </w:r>
          </w:p>
        </w:tc>
        <w:tc>
          <w:tcPr/>
          <w:p>
            <w:pPr>
              <w:pStyle w:val="Compact"/>
              <w:jc w:val="left"/>
            </w:pPr>
            <w:r>
              <w:t xml:space="preserve">456 people, open-label vs. insulin glargine</w:t>
            </w:r>
          </w:p>
        </w:tc>
        <w:tc>
          <w:tcPr/>
          <w:p>
            <w:pPr>
              <w:pStyle w:val="Compact"/>
              <w:jc w:val="left"/>
            </w:pPr>
            <w:r>
              <w:t xml:space="preserve">26 weeks</w:t>
            </w:r>
          </w:p>
        </w:tc>
        <w:tc>
          <w:tcPr/>
          <w:p>
            <w:pPr>
              <w:pStyle w:val="Compact"/>
              <w:jc w:val="left"/>
            </w:pPr>
            <w:r>
              <w:t xml:space="preserve">HbA1c −1.5 vs. −1.3; discontinuation due to side effects 5% vs. 1%</w:t>
            </w:r>
          </w:p>
        </w:tc>
      </w:tr>
      <w:tr>
        <w:tc>
          <w:tcPr/>
          <w:p>
            <w:pPr>
              <w:pStyle w:val="Compact"/>
              <w:jc w:val="left"/>
            </w:pPr>
            <w:r>
              <w:t xml:space="preserve">DURATION-6 (Buse 2013), PMID 23141817</w:t>
            </w:r>
          </w:p>
        </w:tc>
        <w:tc>
          <w:tcPr/>
          <w:p>
            <w:pPr>
              <w:pStyle w:val="Compact"/>
              <w:jc w:val="left"/>
            </w:pPr>
            <w:r>
              <w:t xml:space="preserve">911 people, open-label vs. liraglutide daily</w:t>
            </w:r>
          </w:p>
        </w:tc>
        <w:tc>
          <w:tcPr/>
          <w:p>
            <w:pPr>
              <w:pStyle w:val="Compact"/>
              <w:jc w:val="left"/>
            </w:pPr>
            <w:r>
              <w:t xml:space="preserve">26 weeks</w:t>
            </w:r>
          </w:p>
        </w:tc>
        <w:tc>
          <w:tcPr/>
          <w:p>
            <w:pPr>
              <w:pStyle w:val="Compact"/>
              <w:jc w:val="left"/>
            </w:pPr>
            <w:r>
              <w:t xml:space="preserve">HbA1c −1.28 vs. −1.48; non-inferiority not met</w:t>
            </w:r>
          </w:p>
        </w:tc>
      </w:tr>
    </w:tbl>
    <w:p>
      <w:pPr>
        <w:pStyle w:val="BodyText"/>
      </w:pPr>
      <w:r>
        <w:t xml:space="preserve">In DURATION-1, the weekly form lowered long-term blood sugar more than the daily form, with comparable weight loss and without more hypoglycemia. The five-year analysis is noteworthy</w:t>
      </w:r>
      <w:r>
        <w:rPr>
          <w:rStyle w:val="FootnoteReference"/>
        </w:rPr>
        <w:footnoteReference w:id="239"/>
      </w:r>
      <w:r>
        <w:t xml:space="preserve">: of the 258 people in the extension phase, 153 (59.3%) remained on treatment for five years. In them, HbA1c remained 1.6 percentage points below baseline, and 43.9% achieved a value below 7%. Such extensions, however, have a built-in bias: people who responded poorly or had side effects are often no longer included.</w:t>
      </w:r>
    </w:p>
    <w:p>
      <w:pPr>
        <w:pStyle w:val="BodyText"/>
      </w:pPr>
      <w:r>
        <w:t xml:space="preserve">In DURATION-2</w:t>
      </w:r>
      <w:r>
        <w:rPr>
          <w:rStyle w:val="FootnoteReference"/>
        </w:rPr>
        <w:footnoteReference w:id="240"/>
      </w:r>
      <w:r>
        <w:t xml:space="preserve">, the weekly form was superior to two tablets commonly used at the time: the difference compared with sitagliptin was 0.6 percentage points, and compared with pioglitazone 0.3 percentage points. In terms of weight, the difference compared with pioglitazone, which tends to cause weight gain, was 5.1 kg. In DURATION-3</w:t>
      </w:r>
      <w:r>
        <w:rPr>
          <w:rStyle w:val="FootnoteReference"/>
        </w:rPr>
        <w:footnoteReference w:id="241"/>
      </w:r>
      <w:r>
        <w:t xml:space="preserve">, weekly exenatide was slightly superior to the basal insulin glargine (difference −0.16 percentage points), although more people discontinued treatment because of side effects.</w:t>
      </w:r>
    </w:p>
    <w:bookmarkEnd w:id="242"/>
    <w:bookmarkStart w:id="245" w:name="X79312cf927b8d8f564acb4e2f3c8921ce4155b6"/>
    <w:p>
      <w:pPr>
        <w:pStyle w:val="Heading4"/>
      </w:pPr>
      <w:r>
        <w:t xml:space="preserve">Head-to-Head Comparisons Within the GLP-1 Class</w:t>
      </w:r>
    </w:p>
    <w:p>
      <w:pPr>
        <w:pStyle w:val="FirstParagraph"/>
      </w:pPr>
      <w:r>
        <w:t xml:space="preserve">To place exenatide in context, the head-to-head trials with later drugs are particularly revealing. They show that exenatide is effective but is surpassed by its successors.</w:t>
      </w:r>
    </w:p>
    <w:p>
      <w:pPr>
        <w:pStyle w:val="BodyText"/>
      </w:pPr>
      <w:r>
        <w:t xml:space="preserve">In</w:t>
      </w:r>
      <w:r>
        <w:t xml:space="preserve"> </w:t>
      </w:r>
      <w:r>
        <w:rPr>
          <w:bCs/>
          <w:b/>
        </w:rPr>
        <w:t xml:space="preserve">DURATION-6</w:t>
      </w:r>
      <w:r>
        <w:rPr>
          <w:rStyle w:val="FootnoteReference"/>
        </w:rPr>
        <w:footnoteReference w:id="243"/>
      </w:r>
      <w:r>
        <w:t xml:space="preserve">, the weekly form was pitted against once-daily liraglutide. Liraglutide lowered HbA1c by 1.48 percentage points, exenatide by 1.28. The difference of 0.21 percentage points missed the prespecified margin for</w:t>
      </w:r>
      <w:r>
        <w:t xml:space="preserve"> </w:t>
      </w:r>
      <w:r>
        <w:t xml:space="preserve">“</w:t>
      </w:r>
      <w:r>
        <w:t xml:space="preserve">not worse.</w:t>
      </w:r>
      <w:r>
        <w:t xml:space="preserve">”</w:t>
      </w:r>
      <w:r>
        <w:t xml:space="preserve"> </w:t>
      </w:r>
      <w:r>
        <w:t xml:space="preserve">On the other hand, exenatide was better tolerated: nausea occurred in 9% versus 21%, diarrhea in 6% versus 13%, vomiting in 4% versus 11%.</w:t>
      </w:r>
    </w:p>
    <w:p>
      <w:pPr>
        <w:pStyle w:val="BodyText"/>
      </w:pPr>
      <w:r>
        <w:t xml:space="preserve">In</w:t>
      </w:r>
      <w:r>
        <w:t xml:space="preserve"> </w:t>
      </w:r>
      <w:r>
        <w:rPr>
          <w:bCs/>
          <w:b/>
        </w:rPr>
        <w:t xml:space="preserve">SUSTAIN 3</w:t>
      </w:r>
      <w:r>
        <w:rPr>
          <w:rStyle w:val="FootnoteReference"/>
        </w:rPr>
        <w:footnoteReference w:id="244"/>
      </w:r>
      <w:r>
        <w:t xml:space="preserve">, weekly exenatide lost clearly to weekly semaglutide over 56 weeks. HbA1c fell by 0.9 versus 1.5 percentage points, weight by 1.9 versus 5.6 kg. An HbA1c below 7% was reached by 40% versus 67%. Gastrointestinal complaints were somewhat less frequent with exenatide (33.3% vs. 41.8%), but injection-site reactions were much more frequent (22.0% vs. 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Comparison</w:t>
            </w:r>
          </w:p>
        </w:tc>
        <w:tc>
          <w:tcPr/>
          <w:p>
            <w:pPr>
              <w:pStyle w:val="Compact"/>
              <w:jc w:val="left"/>
            </w:pPr>
            <w:r>
              <w:t xml:space="preserve">Design</w:t>
            </w:r>
          </w:p>
        </w:tc>
        <w:tc>
          <w:tcPr/>
          <w:p>
            <w:pPr>
              <w:pStyle w:val="Compact"/>
              <w:jc w:val="left"/>
            </w:pPr>
            <w:r>
              <w:t xml:space="preserve">Duration</w:t>
            </w:r>
          </w:p>
        </w:tc>
        <w:tc>
          <w:tcPr/>
          <w:p>
            <w:pPr>
              <w:pStyle w:val="Compact"/>
              <w:jc w:val="left"/>
            </w:pPr>
            <w:r>
              <w:t xml:space="preserve">Result (exenatide weekly vs. comparator)</w:t>
            </w:r>
          </w:p>
        </w:tc>
      </w:tr>
      <w:tr>
        <w:tc>
          <w:tcPr/>
          <w:p>
            <w:pPr>
              <w:pStyle w:val="Compact"/>
              <w:jc w:val="left"/>
            </w:pPr>
            <w:r>
              <w:t xml:space="preserve">DURATION-6 (Buse 2013), PMID 23141817</w:t>
            </w:r>
          </w:p>
        </w:tc>
        <w:tc>
          <w:tcPr/>
          <w:p>
            <w:pPr>
              <w:pStyle w:val="Compact"/>
              <w:jc w:val="left"/>
            </w:pPr>
            <w:r>
              <w:t xml:space="preserve">911 people, open-label vs. liraglutide</w:t>
            </w:r>
          </w:p>
        </w:tc>
        <w:tc>
          <w:tcPr/>
          <w:p>
            <w:pPr>
              <w:pStyle w:val="Compact"/>
              <w:jc w:val="left"/>
            </w:pPr>
            <w:r>
              <w:t xml:space="preserve">26 weeks</w:t>
            </w:r>
          </w:p>
        </w:tc>
        <w:tc>
          <w:tcPr/>
          <w:p>
            <w:pPr>
              <w:pStyle w:val="Compact"/>
              <w:jc w:val="left"/>
            </w:pPr>
            <w:r>
              <w:t xml:space="preserve">HbA1c −1.28 vs. −1.48; nausea 9% vs. 21%</w:t>
            </w:r>
          </w:p>
        </w:tc>
      </w:tr>
      <w:tr>
        <w:tc>
          <w:tcPr/>
          <w:p>
            <w:pPr>
              <w:pStyle w:val="Compact"/>
              <w:jc w:val="left"/>
            </w:pPr>
            <w:r>
              <w:t xml:space="preserve">SUSTAIN 3 (Ahmann 2018), PMID 29246950</w:t>
            </w:r>
          </w:p>
        </w:tc>
        <w:tc>
          <w:tcPr/>
          <w:p>
            <w:pPr>
              <w:pStyle w:val="Compact"/>
              <w:jc w:val="left"/>
            </w:pPr>
            <w:r>
              <w:t xml:space="preserve">open-label vs. semaglutide weekly</w:t>
            </w:r>
          </w:p>
        </w:tc>
        <w:tc>
          <w:tcPr/>
          <w:p>
            <w:pPr>
              <w:pStyle w:val="Compact"/>
              <w:jc w:val="left"/>
            </w:pPr>
            <w:r>
              <w:t xml:space="preserve">56 weeks</w:t>
            </w:r>
          </w:p>
        </w:tc>
        <w:tc>
          <w:tcPr/>
          <w:p>
            <w:pPr>
              <w:pStyle w:val="Compact"/>
              <w:jc w:val="left"/>
            </w:pPr>
            <w:r>
              <w:t xml:space="preserve">HbA1c −0.9 vs. −1.5; weight −1.9 vs. −5.6 kg</w:t>
            </w:r>
          </w:p>
        </w:tc>
      </w:tr>
    </w:tbl>
    <w:p>
      <w:pPr>
        <w:pStyle w:val="BodyText"/>
      </w:pPr>
      <w:r>
        <w:t xml:space="preserve">The comparison with dulaglutide and with liraglutide versus twice-daily exenatide (the AWARD-1 and LEAD-6 trials) is discussed in the respective chapters.</w:t>
      </w:r>
    </w:p>
    <w:p>
      <w:pPr>
        <w:pStyle w:val="BodyText"/>
      </w:pPr>
      <w:r>
        <w:t xml:space="preserve">In summary, exenatide ranks in the lower middle of its class: stronger than the DPP-4 inhibitors (gliptins), weaker than liraglutide, dulaglutide, and above all semaglutide.</w:t>
      </w:r>
    </w:p>
    <w:bookmarkEnd w:id="245"/>
    <w:bookmarkStart w:id="249" w:name="exscel-the-cardiovascular-trial"/>
    <w:p>
      <w:pPr>
        <w:pStyle w:val="Heading4"/>
      </w:pPr>
      <w:r>
        <w:t xml:space="preserve">EXSCEL: The Cardiovascular Trial</w:t>
      </w:r>
    </w:p>
    <w:p>
      <w:pPr>
        <w:pStyle w:val="FirstParagraph"/>
      </w:pPr>
      <w:r>
        <w:t xml:space="preserve">Since 2008, the US Food and Drug Administration (FDA) has required new diabetes medications to demonstrate that they do not increase cardiovascular risk. For weekly exenatide, EXSCEL was conducted for this purpose – one of the largest trials of its kind.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EXSCEL (Holman 2017), PMID 28910237</w:t>
            </w:r>
          </w:p>
        </w:tc>
        <w:tc>
          <w:tcPr/>
          <w:p>
            <w:pPr>
              <w:pStyle w:val="Compact"/>
              <w:jc w:val="left"/>
            </w:pPr>
            <w:r>
              <w:t xml:space="preserve">14,752 people with type 2 diabetes, 73.1% with prior cardiovascular disease, RCT vs. placebo</w:t>
            </w:r>
          </w:p>
        </w:tc>
        <w:tc>
          <w:tcPr/>
          <w:p>
            <w:pPr>
              <w:pStyle w:val="Compact"/>
              <w:jc w:val="left"/>
            </w:pPr>
            <w:r>
              <w:t xml:space="preserve">median 3.2 years</w:t>
            </w:r>
          </w:p>
        </w:tc>
        <w:tc>
          <w:tcPr/>
          <w:p>
            <w:pPr>
              <w:pStyle w:val="Compact"/>
              <w:jc w:val="left"/>
            </w:pPr>
            <w:r>
              <w:t xml:space="preserve">Major cardiovascular events 11.4% vs. 12.2%; HR 0.91 (0.83–1.00), superiority narrowly missed (p = 0.06)</w:t>
            </w:r>
          </w:p>
        </w:tc>
      </w:tr>
      <w:tr>
        <w:tc>
          <w:tcPr/>
          <w:p>
            <w:pPr>
              <w:pStyle w:val="Compact"/>
              <w:jc w:val="left"/>
            </w:pPr>
            <w:r>
              <w:t xml:space="preserve">FREEDOM-CVO (Ruff 2022), PMID 34873344</w:t>
            </w:r>
          </w:p>
        </w:tc>
        <w:tc>
          <w:tcPr/>
          <w:p>
            <w:pPr>
              <w:pStyle w:val="Compact"/>
              <w:jc w:val="left"/>
            </w:pPr>
            <w:r>
              <w:t xml:space="preserve">4,156 people, exenatide pump implant ITCA 650 vs. placebo</w:t>
            </w:r>
          </w:p>
        </w:tc>
        <w:tc>
          <w:tcPr/>
          <w:p>
            <w:pPr>
              <w:pStyle w:val="Compact"/>
              <w:jc w:val="left"/>
            </w:pPr>
            <w:r>
              <w:t xml:space="preserve">median 16 months</w:t>
            </w:r>
          </w:p>
        </w:tc>
        <w:tc>
          <w:tcPr/>
          <w:p>
            <w:pPr>
              <w:pStyle w:val="Compact"/>
              <w:jc w:val="left"/>
            </w:pPr>
            <w:r>
              <w:t xml:space="preserve">Events 4.6% vs. 3.8%; HR 1.21 (0.90–1.63), safety criterion met</w:t>
            </w:r>
          </w:p>
        </w:tc>
      </w:tr>
    </w:tbl>
    <w:p>
      <w:pPr>
        <w:pStyle w:val="BodyText"/>
      </w:pPr>
      <w:r>
        <w:t xml:space="preserve">The composite primary endpoint of EXSCEL</w:t>
      </w:r>
      <w:r>
        <w:rPr>
          <w:rStyle w:val="FootnoteReference"/>
        </w:rPr>
        <w:footnoteReference w:id="246"/>
      </w:r>
      <w:r>
        <w:t xml:space="preserve"> </w:t>
      </w:r>
      <w:r>
        <w:t xml:space="preserve">– death from cardiovascular causes, nonfatal myocardial infarction, or stroke – occurred in 839 of 7,356 people (11.4%) on exenatide and in 905 of 7,396 (12.2%) on placebo. This corresponds to a hazard ratio (relative risk over time) of 0.91. Exenatide was thus safe, but not demonstrably protective. Acute pancreatitis, pancreatic cancer, and medullary thyroid carcinoma did not occur more frequently than on placebo.</w:t>
      </w:r>
    </w:p>
    <w:p>
      <w:pPr>
        <w:pStyle w:val="BodyText"/>
      </w:pPr>
      <w:r>
        <w:t xml:space="preserve">Why exenatide performed worse in EXSCEL than liraglutide in LEADER or dulaglutide in REWIND has not been conclusively explained. Possible reasons under discussion include a weaker effect of the molecule itself, the high discontinuation rate in the trial, and a pragmatic design with little control. In a joint meta-analysis of the seven large GLP-1 outcomes trials with a total of 56,004 participants</w:t>
      </w:r>
      <w:r>
        <w:rPr>
          <w:rStyle w:val="FootnoteReference"/>
        </w:rPr>
        <w:footnoteReference w:id="247"/>
      </w:r>
      <w:r>
        <w:t xml:space="preserve">, the class reduced major cardiovascular events by 12% (HR 0.88) – without meaningful differences between subgroups. EXSCEL therefore fits the overall picture but lies at the weaker end.</w:t>
      </w:r>
    </w:p>
    <w:p>
      <w:pPr>
        <w:pStyle w:val="BodyText"/>
      </w:pPr>
      <w:r>
        <w:t xml:space="preserve">The pump implant ITCA 650, a matchstick-sized device intended to deliver exenatide evenly over months, met only the generous 2008 safety margin in FREEDOM-CVO</w:t>
      </w:r>
      <w:r>
        <w:rPr>
          <w:rStyle w:val="FootnoteReference"/>
        </w:rPr>
        <w:footnoteReference w:id="248"/>
      </w:r>
      <w:r>
        <w:t xml:space="preserve">. The point estimate lay unfavorably above 1, and side effects were more frequent than on placebo (72% vs. 63.9%). The system did not receive approval.</w:t>
      </w:r>
    </w:p>
    <w:bookmarkEnd w:id="249"/>
    <w:bookmarkStart w:id="253" w:name="X67436cea58090890f9516432b243210f2f41c4e"/>
    <w:p>
      <w:pPr>
        <w:pStyle w:val="Heading4"/>
      </w:pPr>
      <w:r>
        <w:t xml:space="preserve">Weight Without Diabetes and in Adolescents</w:t>
      </w:r>
    </w:p>
    <w:p>
      <w:pPr>
        <w:pStyle w:val="FirstParagraph"/>
      </w:pPr>
      <w:r>
        <w:t xml:space="preserve">Exenatide is not approved for weight reduction but has been studied for this purpose in smaller trials. Among 152 adults with obesity without diabetes, participants on exenatide twice daily plus a lifestyle program lost 5.1 kg over 24 weeks, compared with 1.6 kg on placebo</w:t>
      </w:r>
      <w:r>
        <w:rPr>
          <w:rStyle w:val="FootnoteReference"/>
        </w:rPr>
        <w:footnoteReference w:id="250"/>
      </w:r>
      <w:r>
        <w:t xml:space="preserve">. A meta-analysis of six small studies with 362 participants found a mean additional loss of 4.47 kg compared with controls</w:t>
      </w:r>
      <w:r>
        <w:rPr>
          <w:rStyle w:val="FootnoteReference"/>
        </w:rPr>
        <w:footnoteReference w:id="251"/>
      </w:r>
      <w:r>
        <w:t xml:space="preserve">. This is a fraction of what was later achieved with semaglutide or tirzepatide.</w:t>
      </w:r>
    </w:p>
    <w:p>
      <w:pPr>
        <w:pStyle w:val="BodyText"/>
      </w:pPr>
      <w:r>
        <w:t xml:space="preserve">In adolescents with type 2 diabetes, the weekly form lowered HbA1c after 24 weeks by 0.85 percentage points more than placebo in a study with 83 participants</w:t>
      </w:r>
      <w:r>
        <w:rPr>
          <w:rStyle w:val="FootnoteReference"/>
        </w:rPr>
        <w:footnoteReference w:id="252"/>
      </w:r>
      <w:r>
        <w:t xml:space="preserve">. A weight difference of −1.22 kg was not statistically significant. This study formed the basis for extending the approval to adolescents.</w:t>
      </w:r>
    </w:p>
    <w:bookmarkEnd w:id="253"/>
    <w:bookmarkStart w:id="258" w:name="Xc503abfc5a95b12ba0c0af226c066d5bf764c24"/>
    <w:p>
      <w:pPr>
        <w:pStyle w:val="Heading4"/>
      </w:pPr>
      <w:r>
        <w:t xml:space="preserve">Parkinson’s Disease: Hope, Disillusionment, and an Expression of Concern</w:t>
      </w:r>
    </w:p>
    <w:p>
      <w:pPr>
        <w:pStyle w:val="FirstParagraph"/>
      </w:pPr>
      <w:r>
        <w:t xml:space="preserve">No other area of use has brought exenatide as much attention beyond diabetes as Parkinson’s disease. The starting point was animal and cell experiments in which GLP-1 receptor agonists protected nerve cells.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Exenatide-PD (Athauda 2017), PMID 28781108</w:t>
            </w:r>
          </w:p>
        </w:tc>
        <w:tc>
          <w:tcPr/>
          <w:p>
            <w:pPr>
              <w:pStyle w:val="Compact"/>
              <w:jc w:val="left"/>
            </w:pPr>
            <w:r>
              <w:t xml:space="preserve">62 people with moderate Parkinson’s disease, RCT vs. placebo</w:t>
            </w:r>
          </w:p>
        </w:tc>
        <w:tc>
          <w:tcPr/>
          <w:p>
            <w:pPr>
              <w:pStyle w:val="Compact"/>
              <w:jc w:val="left"/>
            </w:pPr>
            <w:r>
              <w:t xml:space="preserve">48 weeks + 12-week washout</w:t>
            </w:r>
          </w:p>
        </w:tc>
        <w:tc>
          <w:tcPr/>
          <w:p>
            <w:pPr>
              <w:pStyle w:val="Compact"/>
              <w:jc w:val="left"/>
            </w:pPr>
            <w:r>
              <w:t xml:space="preserve">Motor score 3.5 points better than placebo (p = 0.0318)</w:t>
            </w:r>
          </w:p>
        </w:tc>
      </w:tr>
      <w:tr>
        <w:tc>
          <w:tcPr/>
          <w:p>
            <w:pPr>
              <w:pStyle w:val="Compact"/>
              <w:jc w:val="left"/>
            </w:pPr>
            <w:r>
              <w:t xml:space="preserve">Exenatide-PD3 (Vijiaratnam 2025), PMID 39919773</w:t>
            </w:r>
          </w:p>
        </w:tc>
        <w:tc>
          <w:tcPr/>
          <w:p>
            <w:pPr>
              <w:pStyle w:val="Compact"/>
              <w:jc w:val="left"/>
            </w:pPr>
            <w:r>
              <w:t xml:space="preserve">194 people, RCT vs. placebo, six centers</w:t>
            </w:r>
          </w:p>
        </w:tc>
        <w:tc>
          <w:tcPr/>
          <w:p>
            <w:pPr>
              <w:pStyle w:val="Compact"/>
              <w:jc w:val="left"/>
            </w:pPr>
            <w:r>
              <w:t xml:space="preserve">96 weeks</w:t>
            </w:r>
          </w:p>
        </w:tc>
        <w:tc>
          <w:tcPr/>
          <w:p>
            <w:pPr>
              <w:pStyle w:val="Compact"/>
              <w:jc w:val="left"/>
            </w:pPr>
            <w:r>
              <w:t xml:space="preserve">No difference: +5.7 vs. +4.5 points of worsening (p = 0.47)</w:t>
            </w:r>
          </w:p>
        </w:tc>
      </w:tr>
      <w:tr>
        <w:tc>
          <w:tcPr/>
          <w:p>
            <w:pPr>
              <w:pStyle w:val="Compact"/>
              <w:jc w:val="left"/>
            </w:pPr>
            <w:r>
              <w:t xml:space="preserve">NLY01 (McGarry 2024), PMID 38101901</w:t>
            </w:r>
          </w:p>
        </w:tc>
        <w:tc>
          <w:tcPr/>
          <w:p>
            <w:pPr>
              <w:pStyle w:val="Compact"/>
              <w:jc w:val="left"/>
            </w:pPr>
            <w:r>
              <w:t xml:space="preserve">255 people with early untreated Parkinson’s disease, pegylated exenatide vs. placebo</w:t>
            </w:r>
          </w:p>
        </w:tc>
        <w:tc>
          <w:tcPr/>
          <w:p>
            <w:pPr>
              <w:pStyle w:val="Compact"/>
              <w:jc w:val="left"/>
            </w:pPr>
            <w:r>
              <w:t xml:space="preserve">36 weeks</w:t>
            </w:r>
          </w:p>
        </w:tc>
        <w:tc>
          <w:tcPr/>
          <w:p>
            <w:pPr>
              <w:pStyle w:val="Compact"/>
              <w:jc w:val="left"/>
            </w:pPr>
            <w:r>
              <w:t xml:space="preserve">No difference in either dose group</w:t>
            </w:r>
          </w:p>
        </w:tc>
      </w:tr>
    </w:tbl>
    <w:p>
      <w:pPr>
        <w:pStyle w:val="BodyText"/>
      </w:pPr>
      <w:r>
        <w:t xml:space="preserve">The small study by Athauda 2017</w:t>
      </w:r>
      <w:r>
        <w:rPr>
          <w:rStyle w:val="FootnoteReference"/>
        </w:rPr>
        <w:footnoteReference w:id="254"/>
      </w:r>
      <w:r>
        <w:t xml:space="preserve"> </w:t>
      </w:r>
      <w:r>
        <w:t xml:space="preserve">found a difference of 3.5 points on the motor rating scale MDS-UPDRS Part III after 60 weeks, which persisted even after discontinuation. This was widely interpreted as a possible first indication of a disease-slowing effect. The authors remained cautious: whether exenatide influences the course of the disease or merely has long-lasting symptomatic effects was unclear, they said.</w:t>
      </w:r>
    </w:p>
    <w:p>
      <w:pPr>
        <w:pStyle w:val="BodyText"/>
      </w:pPr>
      <w:r>
        <w:t xml:space="preserve">The larger phase 3 trial Exenatide-PD3</w:t>
      </w:r>
      <w:r>
        <w:rPr>
          <w:rStyle w:val="FootnoteReference"/>
        </w:rPr>
        <w:footnoteReference w:id="255"/>
      </w:r>
      <w:r>
        <w:t xml:space="preserve"> </w:t>
      </w:r>
      <w:r>
        <w:t xml:space="preserve">could not confirm this. After 96 weeks, the motor score had worsened similarly in both groups. The researchers concluded that there was no evidence for exenatide as a disease-modifying treatment. In 2026, the journal published a so-called Expression of Concern regarding this publication (Expression of Concern, The Lancet 2026, PMID 42330995) – an editorial notice that questions about a publication are being examined. The PubMed entry contains no summary of the reasons; the assessment of the study should therefore be made with reservations until the matter is clarified. A pegylated, longer-acting exenatide variant (NLY01) also showed no benefit in early Parkinson’s disease</w:t>
      </w:r>
      <w:r>
        <w:rPr>
          <w:rStyle w:val="FootnoteReference"/>
        </w:rPr>
        <w:footnoteReference w:id="256"/>
      </w:r>
      <w:r>
        <w:t xml:space="preserve">.</w:t>
      </w:r>
    </w:p>
    <w:p>
      <w:pPr>
        <w:pStyle w:val="BodyText"/>
      </w:pPr>
      <w:r>
        <w:t xml:space="preserve">In multiple system atrophy, a rare related disease, an open-label study with 50 participants found an advantage in the primary endpoint but no difference in objective measures such as biomarkers or imaging</w:t>
      </w:r>
      <w:r>
        <w:rPr>
          <w:rStyle w:val="FootnoteReference"/>
        </w:rPr>
        <w:footnoteReference w:id="257"/>
      </w:r>
      <w:r>
        <w:t xml:space="preserve">. The authors themselves consider a placebo or observer effect possible.</w:t>
      </w:r>
    </w:p>
    <w:bookmarkEnd w:id="258"/>
    <w:bookmarkStart w:id="263" w:name="other-areas-of-use-in-studies"/>
    <w:p>
      <w:pPr>
        <w:pStyle w:val="Heading4"/>
      </w:pPr>
      <w:r>
        <w:t xml:space="preserve">Other Areas of Use in Studies</w:t>
      </w:r>
    </w:p>
    <w:p>
      <w:pPr>
        <w:numPr>
          <w:ilvl w:val="0"/>
          <w:numId w:val="1037"/>
        </w:numPr>
        <w:pStyle w:val="Compact"/>
      </w:pPr>
      <w:r>
        <w:rPr>
          <w:bCs/>
          <w:b/>
        </w:rPr>
        <w:t xml:space="preserve">Alzheimer’s disease and mild cognitive impairment:</w:t>
      </w:r>
      <w:r>
        <w:t xml:space="preserve"> </w:t>
      </w:r>
      <w:r>
        <w:t xml:space="preserve">A pilot study that was ended early found no differences in memory or imaging measures</w:t>
      </w:r>
      <w:r>
        <w:rPr>
          <w:rStyle w:val="FootnoteReference"/>
        </w:rPr>
        <w:footnoteReference w:id="259"/>
      </w:r>
      <w:r>
        <w:t xml:space="preserve">. A 32-week study in mild cognitive impairment likewise showed no benefit</w:t>
      </w:r>
      <w:r>
        <w:rPr>
          <w:rStyle w:val="FootnoteReference"/>
        </w:rPr>
        <w:footnoteReference w:id="260"/>
      </w:r>
      <w:r>
        <w:t xml:space="preserve">.</w:t>
      </w:r>
    </w:p>
    <w:p>
      <w:pPr>
        <w:numPr>
          <w:ilvl w:val="0"/>
          <w:numId w:val="1037"/>
        </w:numPr>
        <w:pStyle w:val="Compact"/>
      </w:pPr>
      <w:r>
        <w:rPr>
          <w:bCs/>
          <w:b/>
        </w:rPr>
        <w:t xml:space="preserve">Alcohol dependence:</w:t>
      </w:r>
      <w:r>
        <w:t xml:space="preserve"> </w:t>
      </w:r>
      <w:r>
        <w:t xml:space="preserve">In a study with 127 participants, weekly exenatide did not significantly reduce the number of heavy drinking days. In a post hoc subgroup analysis of people with obesity, an effect was seen; on brain MRI, the response to alcohol cues was attenuated</w:t>
      </w:r>
      <w:r>
        <w:rPr>
          <w:rStyle w:val="FootnoteReference"/>
        </w:rPr>
        <w:footnoteReference w:id="261"/>
      </w:r>
      <w:r>
        <w:t xml:space="preserve">. Such subgroup findings are hypotheses, not evidence.</w:t>
      </w:r>
    </w:p>
    <w:p>
      <w:pPr>
        <w:numPr>
          <w:ilvl w:val="0"/>
          <w:numId w:val="1037"/>
        </w:numPr>
        <w:pStyle w:val="Compact"/>
      </w:pPr>
      <w:r>
        <w:rPr>
          <w:bCs/>
          <w:b/>
        </w:rPr>
        <w:t xml:space="preserve">Idiopathic intracranial hypertension</w:t>
      </w:r>
      <w:r>
        <w:t xml:space="preserve"> </w:t>
      </w:r>
      <w:r>
        <w:t xml:space="preserve">(raised intracranial pressure without an identifiable cause, mostly in young women with overweight): in 16 women, exenatide lowered measured intracranial pressure after 24 hours by an average of 6.4 cm of water compared with placebo</w:t>
      </w:r>
      <w:r>
        <w:rPr>
          <w:rStyle w:val="FootnoteReference"/>
        </w:rPr>
        <w:footnoteReference w:id="262"/>
      </w:r>
      <w:r>
        <w:t xml:space="preserve">. The study is very small; a larger study is pending.</w:t>
      </w:r>
    </w:p>
    <w:bookmarkEnd w:id="263"/>
    <w:bookmarkEnd w:id="264"/>
    <w:bookmarkStart w:id="268" w:name="animal-and-laboratory-studies"/>
    <w:p>
      <w:pPr>
        <w:pStyle w:val="Heading3"/>
      </w:pPr>
      <w:r>
        <w:t xml:space="preserve">Animal and laboratory studies</w:t>
      </w:r>
    </w:p>
    <w:p>
      <w:pPr>
        <w:pStyle w:val="FirstParagraph"/>
      </w:pPr>
      <w:r>
        <w:t xml:space="preserve">Exendin-4 was originally not sought as a diabetes drug at all. In the first description in 1992, the researchers studied its effect on cells from the pancreas of guinea pigs</w:t>
      </w:r>
      <w:r>
        <w:rPr>
          <w:rStyle w:val="FootnoteReference"/>
        </w:rPr>
        <w:footnoteReference w:id="265"/>
      </w:r>
      <w:r>
        <w:t xml:space="preserve">. Only later did it become clear that it acts on the GLP-1 receptor.</w:t>
      </w:r>
    </w:p>
    <w:p>
      <w:pPr>
        <w:pStyle w:val="BodyText"/>
      </w:pPr>
      <w:r>
        <w:t xml:space="preserve">A large number of animal studies followed. In rats from which part of the pancreas had been removed, exendin-4 promoted the formation and division of insulin-producing beta cells and attenuated the development of diabetes</w:t>
      </w:r>
      <w:r>
        <w:rPr>
          <w:rStyle w:val="FootnoteReference"/>
        </w:rPr>
        <w:footnoteReference w:id="266"/>
      </w:r>
      <w:r>
        <w:t xml:space="preserve">. Whether such beta cell regeneration can also be achieved to a meaningful extent in humans has not been demonstrated to this day.</w:t>
      </w:r>
    </w:p>
    <w:p>
      <w:pPr>
        <w:pStyle w:val="BodyText"/>
      </w:pPr>
      <w:r>
        <w:t xml:space="preserve">In addition, there were experiments in rodents on neuroprotection (Parkinson’s disease, Alzheimer’s disease, stroke), alcohol and addictive behavior, and intracranial pressure. These animal data were the reason for the human studies described above – whose results have so far been considerably more modest. This is an instructive example of how difficult it is to transfer results from rats and mice to humans.</w:t>
      </w:r>
    </w:p>
    <w:p>
      <w:pPr>
        <w:pStyle w:val="BodyText"/>
      </w:pPr>
      <w:r>
        <w:t xml:space="preserve">On the thyroid: in rats and mice, GLP-1 receptor agonists trigger proliferation of the C cells of the thyroid, whereas in primates and humans these cells have hardly any receptors</w:t>
      </w:r>
      <w:r>
        <w:rPr>
          <w:rStyle w:val="FootnoteReference"/>
        </w:rPr>
        <w:footnoteReference w:id="267"/>
      </w:r>
      <w:r>
        <w:t xml:space="preserve">. More on this in the chapter Liraglutide and in Part IV.</w:t>
      </w:r>
    </w:p>
    <w:bookmarkEnd w:id="268"/>
    <w:bookmarkStart w:id="278" w:name="risks-and-side-effects"/>
    <w:p>
      <w:pPr>
        <w:pStyle w:val="Heading3"/>
      </w:pPr>
      <w:r>
        <w:t xml:space="preserve">Risks and side effects</w:t>
      </w:r>
    </w:p>
    <w:p>
      <w:pPr>
        <w:pStyle w:val="FirstParagraph"/>
      </w:pPr>
      <w:r>
        <w:rPr>
          <w:bCs/>
          <w:b/>
        </w:rPr>
        <w:t xml:space="preserve">Established from randomized trials:</w:t>
      </w:r>
    </w:p>
    <w:p>
      <w:pPr>
        <w:numPr>
          <w:ilvl w:val="0"/>
          <w:numId w:val="1038"/>
        </w:numPr>
        <w:pStyle w:val="Compact"/>
      </w:pPr>
      <w:r>
        <w:rPr>
          <w:bCs/>
          <w:b/>
        </w:rPr>
        <w:t xml:space="preserve">Gastrointestinal complaints</w:t>
      </w:r>
      <w:r>
        <w:t xml:space="preserve"> </w:t>
      </w:r>
      <w:r>
        <w:t xml:space="preserve">are the most common side effect. With the twice-daily form, nausea occurred in 57.1% of those treated in the comparison with insulin glargine, and vomiting in 17.4%</w:t>
      </w:r>
      <w:r>
        <w:rPr>
          <w:rStyle w:val="FootnoteReference"/>
        </w:rPr>
        <w:footnoteReference w:id="269"/>
      </w:r>
      <w:r>
        <w:t xml:space="preserve">. The weekly form causes less nausea; in DURATION-6 it was 9%</w:t>
      </w:r>
      <w:r>
        <w:rPr>
          <w:rStyle w:val="FootnoteReference"/>
        </w:rPr>
        <w:footnoteReference w:id="270"/>
      </w:r>
      <w:r>
        <w:t xml:space="preserve">. The complaints usually decrease over time.</w:t>
      </w:r>
    </w:p>
    <w:p>
      <w:pPr>
        <w:numPr>
          <w:ilvl w:val="0"/>
          <w:numId w:val="1038"/>
        </w:numPr>
        <w:pStyle w:val="Compact"/>
      </w:pPr>
      <w:r>
        <w:rPr>
          <w:bCs/>
          <w:b/>
        </w:rPr>
        <w:t xml:space="preserve">Hypoglycemia</w:t>
      </w:r>
      <w:r>
        <w:t xml:space="preserve"> </w:t>
      </w:r>
      <w:r>
        <w:t xml:space="preserve">is rare on exenatide alone but becomes more frequent in combination with sulfonylureas or insulin</w:t>
      </w:r>
      <w:r>
        <w:rPr>
          <w:rStyle w:val="FootnoteReference"/>
        </w:rPr>
        <w:footnoteReference w:id="271"/>
      </w:r>
      <w:r>
        <w:t xml:space="preserve">.</w:t>
      </w:r>
    </w:p>
    <w:p>
      <w:pPr>
        <w:numPr>
          <w:ilvl w:val="0"/>
          <w:numId w:val="1038"/>
        </w:numPr>
        <w:pStyle w:val="Compact"/>
      </w:pPr>
      <w:r>
        <w:rPr>
          <w:bCs/>
          <w:b/>
        </w:rPr>
        <w:t xml:space="preserve">Injection-site reactions:</w:t>
      </w:r>
      <w:r>
        <w:t xml:space="preserve"> </w:t>
      </w:r>
      <w:r>
        <w:t xml:space="preserve">With the weekly form, palpable nodules frequently form under the skin because the microspheres are slowly broken down there. In the five-year analysis of DURATION-1, such reactions became less frequent over time</w:t>
      </w:r>
      <w:r>
        <w:rPr>
          <w:rStyle w:val="FootnoteReference"/>
        </w:rPr>
        <w:footnoteReference w:id="272"/>
      </w:r>
      <w:r>
        <w:t xml:space="preserve">.</w:t>
      </w:r>
    </w:p>
    <w:p>
      <w:pPr>
        <w:numPr>
          <w:ilvl w:val="0"/>
          <w:numId w:val="1038"/>
        </w:numPr>
        <w:pStyle w:val="Compact"/>
      </w:pPr>
      <w:r>
        <w:rPr>
          <w:bCs/>
          <w:b/>
        </w:rPr>
        <w:t xml:space="preserve">Antibody formation:</w:t>
      </w:r>
      <w:r>
        <w:t xml:space="preserve"> </w:t>
      </w:r>
      <w:r>
        <w:t xml:space="preserve">Because of its origin in lizard venom, a proportion of those treated form antibodies. This is described in more detail in Part IV.</w:t>
      </w:r>
    </w:p>
    <w:p>
      <w:pPr>
        <w:pStyle w:val="FirstParagraph"/>
      </w:pPr>
      <w:r>
        <w:rPr>
          <w:bCs/>
          <w:b/>
        </w:rPr>
        <w:t xml:space="preserve">Investigated but not confirmed or uncertain:</w:t>
      </w:r>
    </w:p>
    <w:p>
      <w:pPr>
        <w:numPr>
          <w:ilvl w:val="0"/>
          <w:numId w:val="1039"/>
        </w:numPr>
        <w:pStyle w:val="Compact"/>
      </w:pPr>
      <w:r>
        <w:rPr>
          <w:bCs/>
          <w:b/>
        </w:rPr>
        <w:t xml:space="preserve">Acute pancreatitis:</w:t>
      </w:r>
      <w:r>
        <w:t xml:space="preserve"> </w:t>
      </w:r>
      <w:r>
        <w:t xml:space="preserve">Shortly after market launch, there were spontaneous reports that led to warnings. In a pooled analysis of two insurance databases with 49,956 people on exenatide twice daily, the risk was not increased without adjustment (relative risk 1.0) and was slightly increased after correction for misclassification (1.3; confidence interval 1.0–1.7)</w:t>
      </w:r>
      <w:r>
        <w:rPr>
          <w:rStyle w:val="FootnoteReference"/>
        </w:rPr>
        <w:footnoteReference w:id="273"/>
      </w:r>
      <w:r>
        <w:t xml:space="preserve">. In EXSCEL, pancreatitis did not occur more frequently than on placebo</w:t>
      </w:r>
      <w:r>
        <w:rPr>
          <w:rStyle w:val="FootnoteReference"/>
        </w:rPr>
        <w:footnoteReference w:id="274"/>
      </w:r>
      <w:r>
        <w:t xml:space="preserve">. Pancreatitis remains listed as a rare side effect in the prescribing information.</w:t>
      </w:r>
    </w:p>
    <w:p>
      <w:pPr>
        <w:numPr>
          <w:ilvl w:val="0"/>
          <w:numId w:val="1039"/>
        </w:numPr>
        <w:pStyle w:val="Compact"/>
      </w:pPr>
      <w:r>
        <w:rPr>
          <w:bCs/>
          <w:b/>
        </w:rPr>
        <w:t xml:space="preserve">Pancreatic and thyroid cancer:</w:t>
      </w:r>
      <w:r>
        <w:t xml:space="preserve"> </w:t>
      </w:r>
      <w:r>
        <w:t xml:space="preserve">In a US cohort study with 33,629 people on exenatide, the risk of pancreatic cancer was not increased (HR 0.76); for thyroid cancer, the estimate was 1.46, with a confidence interval of 0.98 to 2.19, i.e., not statistically significant</w:t>
      </w:r>
      <w:r>
        <w:rPr>
          <w:rStyle w:val="FootnoteReference"/>
        </w:rPr>
        <w:footnoteReference w:id="275"/>
      </w:r>
      <w:r>
        <w:t xml:space="preserve">. A meta-analysis of 50 randomized trials on the entire GLP-1 class found no overall increase in cancer risk, but a signal for thyroid cancer (odds ratio 1.55) that needs further investigation</w:t>
      </w:r>
      <w:r>
        <w:rPr>
          <w:rStyle w:val="FootnoteReference"/>
        </w:rPr>
        <w:footnoteReference w:id="276"/>
      </w:r>
      <w:r>
        <w:t xml:space="preserve">. A European safety study on pancreatic cancer with exenatide is ongoing</w:t>
      </w:r>
      <w:r>
        <w:rPr>
          <w:rStyle w:val="FootnoteReference"/>
        </w:rPr>
        <w:footnoteReference w:id="277"/>
      </w:r>
      <w:r>
        <w:t xml:space="preserve">.</w:t>
      </w:r>
    </w:p>
    <w:p>
      <w:pPr>
        <w:numPr>
          <w:ilvl w:val="0"/>
          <w:numId w:val="1039"/>
        </w:numPr>
        <w:pStyle w:val="Compact"/>
      </w:pPr>
      <w:r>
        <w:rPr>
          <w:bCs/>
          <w:b/>
        </w:rPr>
        <w:t xml:space="preserve">Cardiovascular risk:</w:t>
      </w:r>
      <w:r>
        <w:t xml:space="preserve"> </w:t>
      </w:r>
      <w:r>
        <w:t xml:space="preserve">not increased in EXSCEL.</w:t>
      </w:r>
    </w:p>
    <w:p>
      <w:pPr>
        <w:pStyle w:val="FirstParagraph"/>
      </w:pPr>
      <w:r>
        <w:rPr>
          <w:bCs/>
          <w:b/>
        </w:rPr>
        <w:t xml:space="preserve">Notes for practice:</w:t>
      </w:r>
      <w:r>
        <w:t xml:space="preserve"> </w:t>
      </w:r>
      <w:r>
        <w:t xml:space="preserve">Exenatide is excreted via the kidneys; it is not recommended in severely impaired kidney function. Like all GLP-1 receptor agonists, it slows gastric emptying and can thereby affect the absorption of other medications. For use, contraindications, and interactions, the current prescribing information is authoritative; treatment belongs in the hands of a physician.</w:t>
      </w:r>
    </w:p>
    <w:bookmarkEnd w:id="278"/>
    <w:bookmarkStart w:id="279" w:name="legal-status"/>
    <w:p>
      <w:pPr>
        <w:pStyle w:val="Heading3"/>
      </w:pPr>
      <w:r>
        <w:t xml:space="preserve">Legal status</w:t>
      </w:r>
    </w:p>
    <w:p>
      <w:pPr>
        <w:numPr>
          <w:ilvl w:val="0"/>
          <w:numId w:val="1040"/>
        </w:numPr>
        <w:pStyle w:val="Compact"/>
      </w:pPr>
      <w:r>
        <w:rPr>
          <w:bCs/>
          <w:b/>
        </w:rPr>
        <w:t xml:space="preserve">EU:</w:t>
      </w:r>
      <w:r>
        <w:t xml:space="preserve"> </w:t>
      </w:r>
      <w:r>
        <w:t xml:space="preserve">Exenatide is centrally authorized as a prescription medicine for the treatment of type 2 diabetes (Byetta since 2006, Bydureon since 2011). It is not approved for weight reduction.</w:t>
      </w:r>
    </w:p>
    <w:p>
      <w:pPr>
        <w:numPr>
          <w:ilvl w:val="0"/>
          <w:numId w:val="1040"/>
        </w:numPr>
        <w:pStyle w:val="Compact"/>
      </w:pPr>
      <w:r>
        <w:rPr>
          <w:bCs/>
          <w:b/>
        </w:rPr>
        <w:t xml:space="preserve">Germany and Austria:</w:t>
      </w:r>
      <w:r>
        <w:t xml:space="preserve"> </w:t>
      </w:r>
      <w:r>
        <w:t xml:space="preserve">prescription-only. Prescribing it purely for weight loss would be off-label use and is generally not covered by health insurers. Some dosage forms are not permanently on the market in all countries – please check for current information.</w:t>
      </w:r>
    </w:p>
    <w:p>
      <w:pPr>
        <w:numPr>
          <w:ilvl w:val="0"/>
          <w:numId w:val="1040"/>
        </w:numPr>
        <w:pStyle w:val="Compact"/>
      </w:pPr>
      <w:r>
        <w:rPr>
          <w:bCs/>
          <w:b/>
        </w:rPr>
        <w:t xml:space="preserve">USA:</w:t>
      </w:r>
      <w:r>
        <w:t xml:space="preserve"> </w:t>
      </w:r>
      <w:r>
        <w:t xml:space="preserve">approved for type 2 diabetes; the weekly form also for adolescents aged 10 and older. Generics are approved for the twice-daily form.</w:t>
      </w:r>
    </w:p>
    <w:p>
      <w:pPr>
        <w:numPr>
          <w:ilvl w:val="0"/>
          <w:numId w:val="1040"/>
        </w:numPr>
        <w:pStyle w:val="Compact"/>
      </w:pPr>
      <w:r>
        <w:rPr>
          <w:bCs/>
          <w:b/>
        </w:rPr>
        <w:t xml:space="preserve">Sport (WADA):</w:t>
      </w:r>
      <w:r>
        <w:t xml:space="preserve"> </w:t>
      </w:r>
      <w:r>
        <w:t xml:space="preserve">GLP-1 receptor agonists are not on the Prohibited List (status as of 2026; please check for current information).</w:t>
      </w:r>
    </w:p>
    <w:p>
      <w:pPr>
        <w:numPr>
          <w:ilvl w:val="0"/>
          <w:numId w:val="1040"/>
        </w:numPr>
        <w:pStyle w:val="Compact"/>
      </w:pPr>
      <w:r>
        <w:rPr>
          <w:bCs/>
          <w:b/>
        </w:rPr>
        <w:t xml:space="preserve">Gray market:</w:t>
      </w:r>
      <w:r>
        <w:t xml:space="preserve"> </w:t>
      </w:r>
      <w:r>
        <w:t xml:space="preserve">Alongside semaglutide and tirzepatide, exenatide plays hardly any role on the gray market. General risks of unapproved sources of supply are described in Part I.</w:t>
      </w:r>
    </w:p>
    <w:bookmarkEnd w:id="279"/>
    <w:bookmarkStart w:id="286" w:name="ongoing-studies-and-outlook"/>
    <w:p>
      <w:pPr>
        <w:pStyle w:val="Heading3"/>
      </w:pPr>
      <w:r>
        <w:t xml:space="preserve">Ongoing studies and outlook</w:t>
      </w:r>
    </w:p>
    <w:p>
      <w:pPr>
        <w:pStyle w:val="FirstParagraph"/>
      </w:pPr>
      <w:r>
        <w:rPr>
          <w:bCs/>
          <w:b/>
        </w:rPr>
        <w:t xml:space="preserve">Established (registered studies):</w:t>
      </w:r>
      <w:r>
        <w:t xml:space="preserve"> </w:t>
      </w:r>
      <w:r>
        <w:t xml:space="preserve">As a diabetes drug, exenatide has been largely</w:t>
      </w:r>
      <w:r>
        <w:t xml:space="preserve"> </w:t>
      </w:r>
      <w:r>
        <w:t xml:space="preserve">“</w:t>
      </w:r>
      <w:r>
        <w:t xml:space="preserve">researched out</w:t>
      </w:r>
      <w:r>
        <w:t xml:space="preserve">”</w:t>
      </w:r>
      <w:r>
        <w:t xml:space="preserve">; there are hardly any new approval trials in this indication. Current registry entries mainly concern:</w:t>
      </w:r>
    </w:p>
    <w:p>
      <w:pPr>
        <w:numPr>
          <w:ilvl w:val="0"/>
          <w:numId w:val="1041"/>
        </w:numPr>
        <w:pStyle w:val="Compact"/>
      </w:pPr>
      <w:r>
        <w:t xml:space="preserve">Modifications of the molecule: pegylated variants are being developed in China. For PB-119, a phase 2 trial with 251 participants lowered HbA1c after 12 weeks by up to 1.18 percentage points more than placebo</w:t>
      </w:r>
      <w:r>
        <w:rPr>
          <w:rStyle w:val="FootnoteReference"/>
        </w:rPr>
        <w:footnoteReference w:id="280"/>
      </w:r>
      <w:r>
        <w:t xml:space="preserve">. Another candidate, JY09 – exendin-4 coupled to an antibody component (Fc fusion protein), injected every two weeks in the studies – is being tested in phase 3 trials against placebo and against dulaglutide</w:t>
      </w:r>
      <w:r>
        <w:rPr>
          <w:rStyle w:val="FootnoteReference"/>
        </w:rPr>
        <w:footnoteReference w:id="281"/>
      </w:r>
      <w:r>
        <w:t xml:space="preserve">.</w:t>
      </w:r>
    </w:p>
    <w:p>
      <w:pPr>
        <w:numPr>
          <w:ilvl w:val="0"/>
          <w:numId w:val="1041"/>
        </w:numPr>
        <w:pStyle w:val="Compact"/>
      </w:pPr>
      <w:r>
        <w:t xml:space="preserve">Neurology: the pegylated variant NLY01 is being studied in multiple sclerosis in a phase 2 trial with 120 participants</w:t>
      </w:r>
      <w:r>
        <w:rPr>
          <w:rStyle w:val="FootnoteReference"/>
        </w:rPr>
        <w:footnoteReference w:id="282"/>
      </w:r>
      <w:r>
        <w:t xml:space="preserve">.</w:t>
      </w:r>
    </w:p>
    <w:p>
      <w:pPr>
        <w:numPr>
          <w:ilvl w:val="0"/>
          <w:numId w:val="1041"/>
        </w:numPr>
        <w:pStyle w:val="Compact"/>
      </w:pPr>
      <w:r>
        <w:t xml:space="preserve">Safety: in addition to the European study on pancreatic cancer</w:t>
      </w:r>
      <w:r>
        <w:rPr>
          <w:rStyle w:val="FootnoteReference"/>
        </w:rPr>
        <w:footnoteReference w:id="283"/>
      </w:r>
      <w:r>
        <w:t xml:space="preserve">, a long-term surveillance program for medullary thyroid carcinoma under GLP-1 receptor agonists is ongoing</w:t>
      </w:r>
      <w:r>
        <w:rPr>
          <w:rStyle w:val="FootnoteReference"/>
        </w:rPr>
        <w:footnoteReference w:id="284"/>
      </w:r>
      <w:r>
        <w:t xml:space="preserve">.</w:t>
      </w:r>
    </w:p>
    <w:p>
      <w:pPr>
        <w:numPr>
          <w:ilvl w:val="0"/>
          <w:numId w:val="1041"/>
        </w:numPr>
        <w:pStyle w:val="Compact"/>
      </w:pPr>
      <w:r>
        <w:t xml:space="preserve">Diagnostics: radiolabeled exendin-4 is used as a tracer in PET imaging of insulinomas (rare insulin-producing tumors)</w:t>
      </w:r>
      <w:r>
        <w:rPr>
          <w:rStyle w:val="FootnoteReference"/>
        </w:rPr>
        <w:footnoteReference w:id="285"/>
      </w:r>
      <w:r>
        <w:t xml:space="preserve">.</w:t>
      </w:r>
    </w:p>
    <w:p>
      <w:pPr>
        <w:pStyle w:val="FirstParagraph"/>
      </w:pPr>
      <w:r>
        <w:rPr>
          <w:bCs/>
          <w:b/>
        </w:rPr>
        <w:t xml:space="preserve">Assessment:</w:t>
      </w:r>
      <w:r>
        <w:t xml:space="preserve"> </w:t>
      </w:r>
      <w:r>
        <w:t xml:space="preserve">Exenatide will continue to lose importance in diabetes treatment because stronger and more convenient successors are available. Its lasting role is that of a pioneer and a research tool. Whether the Parkinson’s hypothesis will be revived depends on drugs that penetrate the brain better and on clarification of the questions surrounding Exenatide-PD3.</w:t>
      </w:r>
    </w:p>
    <w:bookmarkEnd w:id="286"/>
    <w:bookmarkStart w:id="287" w:name="conclusion"/>
    <w:p>
      <w:pPr>
        <w:pStyle w:val="Heading3"/>
      </w:pPr>
      <w:r>
        <w:t xml:space="preserve">Conclusion</w:t>
      </w:r>
    </w:p>
    <w:p>
      <w:pPr>
        <w:pStyle w:val="FirstParagraph"/>
      </w:pPr>
      <w:r>
        <w:t xml:space="preserve">In 2005, exenatide was the first GLP-1 receptor agonist on the market and is among the best-studied peptide drugs of all. In large trials, it lowered long-term blood sugar by about 1 to 1.5 percentage points and weight by a few kilograms; in EXSCEL, with 14,752 participants, it showed no increased cardiovascular risk, but also no demonstrated protection. In direct comparisons, it is inferior to liraglutide and semaglutide. The initially promising data on Parkinson’s disease were not confirmed in the larger phase 3 trial. For people with type 2 diabetes, exenatide remains a tested option, but no longer the first choice – the decision belongs in the hands of a physician.</w:t>
      </w:r>
    </w:p>
    <w:bookmarkEnd w:id="287"/>
    <w:bookmarkEnd w:id="288"/>
    <w:bookmarkStart w:id="341" w:name="liraglutide"/>
    <w:p>
      <w:pPr>
        <w:pStyle w:val="Heading2"/>
      </w:pPr>
      <w:r>
        <w:t xml:space="preserve">Liraglutide</w:t>
      </w:r>
    </w:p>
    <w:bookmarkStart w:id="290" w:name="profile-1"/>
    <w:p>
      <w:pPr>
        <w:pStyle w:val="Heading3"/>
      </w:pPr>
      <w:r>
        <w:t xml:space="preserve">Profile</w:t>
      </w:r>
    </w:p>
    <w:p>
      <w:pPr>
        <w:numPr>
          <w:ilvl w:val="0"/>
          <w:numId w:val="1042"/>
        </w:numPr>
        <w:pStyle w:val="Compact"/>
      </w:pPr>
      <w:r>
        <w:rPr>
          <w:bCs/>
          <w:b/>
        </w:rPr>
        <w:t xml:space="preserve">Type/structure:</w:t>
      </w:r>
      <w:r>
        <w:t xml:space="preserve"> </w:t>
      </w:r>
      <w:r>
        <w:t xml:space="preserve">Modified human GLP-1 of 31 amino acids. It is 97% identical to the body’s own hormone; at one position an amino acid has been exchanged, and at another a fatty acid with 16 carbon atoms is attached via a short linker.</w:t>
      </w:r>
    </w:p>
    <w:p>
      <w:pPr>
        <w:numPr>
          <w:ilvl w:val="0"/>
          <w:numId w:val="1042"/>
        </w:numPr>
        <w:pStyle w:val="Compact"/>
      </w:pPr>
      <w:r>
        <w:rPr>
          <w:bCs/>
          <w:b/>
        </w:rPr>
        <w:t xml:space="preserve">Origin:</w:t>
      </w:r>
      <w:r>
        <w:t xml:space="preserve"> </w:t>
      </w:r>
      <w:r>
        <w:t xml:space="preserve">developed by Novo Nordisk</w:t>
      </w:r>
      <w:r>
        <w:rPr>
          <w:rStyle w:val="FootnoteReference"/>
        </w:rPr>
        <w:footnoteReference w:id="289"/>
      </w:r>
      <w:r>
        <w:t xml:space="preserve">, produced by genetic engineering in yeast.</w:t>
      </w:r>
    </w:p>
    <w:p>
      <w:pPr>
        <w:numPr>
          <w:ilvl w:val="0"/>
          <w:numId w:val="1042"/>
        </w:numPr>
        <w:pStyle w:val="Compact"/>
      </w:pPr>
      <w:r>
        <w:rPr>
          <w:bCs/>
          <w:b/>
        </w:rPr>
        <w:t xml:space="preserve">Mechanism of action:</w:t>
      </w:r>
      <w:r>
        <w:t xml:space="preserve"> </w:t>
      </w:r>
      <w:r>
        <w:t xml:space="preserve">GLP-1 receptor agonist. The fatty acid causes the molecule to bind to the blood protein albumin; as a result, one injection per day is sufficient.</w:t>
      </w:r>
    </w:p>
    <w:p>
      <w:pPr>
        <w:numPr>
          <w:ilvl w:val="0"/>
          <w:numId w:val="1042"/>
        </w:numPr>
        <w:pStyle w:val="Compact"/>
      </w:pPr>
      <w:r>
        <w:rPr>
          <w:bCs/>
          <w:b/>
        </w:rPr>
        <w:t xml:space="preserve">Products:</w:t>
      </w:r>
      <w:r>
        <w:t xml:space="preserve"> </w:t>
      </w:r>
      <w:r>
        <w:t xml:space="preserve">Victoza (type 2 diabetes, up to 1.8 mg daily), Saxenda (weight management, up to 3.0 mg daily), Xultophy (fixed combination with insulin degludec). Copycat products have been available since 2024.</w:t>
      </w:r>
    </w:p>
    <w:p>
      <w:pPr>
        <w:numPr>
          <w:ilvl w:val="0"/>
          <w:numId w:val="1042"/>
        </w:numPr>
        <w:pStyle w:val="Compact"/>
      </w:pPr>
      <w:r>
        <w:rPr>
          <w:bCs/>
          <w:b/>
        </w:rPr>
        <w:t xml:space="preserve">EU approval:</w:t>
      </w:r>
      <w:r>
        <w:t xml:space="preserve"> </w:t>
      </w:r>
      <w:r>
        <w:t xml:space="preserve">yes – type 2 diabetes (since 2009) and weight management (since 2015), in each case also for adolescents.</w:t>
      </w:r>
    </w:p>
    <w:p>
      <w:pPr>
        <w:numPr>
          <w:ilvl w:val="0"/>
          <w:numId w:val="1042"/>
        </w:numPr>
        <w:pStyle w:val="Compact"/>
      </w:pPr>
      <w:r>
        <w:rPr>
          <w:bCs/>
          <w:b/>
        </w:rPr>
        <w:t xml:space="preserve">US approval:</w:t>
      </w:r>
      <w:r>
        <w:t xml:space="preserve"> </w:t>
      </w:r>
      <w:r>
        <w:t xml:space="preserve">yes – type 2 diabetes (since 2010, from age 10), reduction of cardiovascular risk in type 2 diabetes, and weight management (since 2014, from age 12). Generics are approved for both indications.</w:t>
      </w:r>
    </w:p>
    <w:p>
      <w:pPr>
        <w:numPr>
          <w:ilvl w:val="0"/>
          <w:numId w:val="1042"/>
        </w:numPr>
        <w:pStyle w:val="Compact"/>
      </w:pPr>
      <w:r>
        <w:rPr>
          <w:bCs/>
          <w:b/>
        </w:rPr>
        <w:t xml:space="preserve">WADA:</w:t>
      </w:r>
      <w:r>
        <w:t xml:space="preserve"> </w:t>
      </w:r>
      <w:r>
        <w:t xml:space="preserve">not listed.</w:t>
      </w:r>
    </w:p>
    <w:p>
      <w:pPr>
        <w:numPr>
          <w:ilvl w:val="0"/>
          <w:numId w:val="1042"/>
        </w:numPr>
        <w:pStyle w:val="Compact"/>
      </w:pPr>
      <w:r>
        <w:rPr>
          <w:bCs/>
          <w:b/>
        </w:rPr>
        <w:t xml:space="preserve">Evidence level:</w:t>
      </w:r>
      <w:r>
        <w:t xml:space="preserve"> </w:t>
      </w:r>
      <w:r>
        <w:rPr>
          <w:bCs/>
          <w:b/>
        </w:rPr>
        <w:t xml:space="preserve">A</w:t>
      </w:r>
      <w:r>
        <w:t xml:space="preserve"> </w:t>
      </w:r>
      <w:r>
        <w:t xml:space="preserve">– two large approval programs (LEAD, SCALE), one large outcomes trial (LEADER), studies in children and adolescents.</w:t>
      </w:r>
    </w:p>
    <w:bookmarkEnd w:id="290"/>
    <w:bookmarkStart w:id="293" w:name="how-it-is-supposed-to-work-1"/>
    <w:p>
      <w:pPr>
        <w:pStyle w:val="Heading3"/>
      </w:pPr>
      <w:r>
        <w:t xml:space="preserve">How it is supposed to work</w:t>
      </w:r>
    </w:p>
    <w:p>
      <w:pPr>
        <w:pStyle w:val="FirstParagraph"/>
      </w:pPr>
      <w:r>
        <w:t xml:space="preserve">Liraglutide acts like the body’s own gut hormone GLP-1: it enhances glucose-dependent insulin release, inhibits glucagon, which raises blood sugar, slows gastric emptying, and dampens appetite in the brain. The basic mechanism of the class is described in the chapter Exenatide.</w:t>
      </w:r>
    </w:p>
    <w:p>
      <w:pPr>
        <w:pStyle w:val="BodyText"/>
      </w:pPr>
      <w:r>
        <w:t xml:space="preserve">The difference lies in the structure. Whereas exenatide comes from the venom of a lizard and is only half identical to the human hormone, liraglutide is almost identical to the body’s own GLP-1. The trick that makes it long-lasting is the attached fatty acid. It causes the molecule to attach to albumin in the blood and to cluster into small assemblies, thereby protecting it from breakdown by the enzyme DPP-4 and from excretion via the kidneys. As a result, the half-life increases from a few minutes to about half a day.</w:t>
      </w:r>
    </w:p>
    <w:p>
      <w:pPr>
        <w:pStyle w:val="BodyText"/>
      </w:pPr>
      <w:r>
        <w:t xml:space="preserve">Effects in the brain are primarily responsible for weight loss. In mice and rats, labeled liraglutide reaches certain regions of the hypothalamus, the control center for hunger and satiety, and activates nerve cells there that promote satiety</w:t>
      </w:r>
      <w:r>
        <w:rPr>
          <w:rStyle w:val="FootnoteReference"/>
        </w:rPr>
        <w:footnoteReference w:id="291"/>
      </w:r>
      <w:r>
        <w:t xml:space="preserve">. In humans, this manifests as reduced food intake; a meaningful increase in energy expenditure has not been demonstrated.</w:t>
      </w:r>
    </w:p>
    <w:p>
      <w:pPr>
        <w:pStyle w:val="BodyText"/>
      </w:pPr>
      <w:r>
        <w:t xml:space="preserve">Semaglutide later emerged from liraglutide: the same basic idea, but with stronger albumin binding that allows one injection per week</w:t>
      </w:r>
      <w:r>
        <w:rPr>
          <w:rStyle w:val="FootnoteReference"/>
        </w:rPr>
        <w:footnoteReference w:id="292"/>
      </w:r>
      <w:r>
        <w:t xml:space="preserve">.</w:t>
      </w:r>
    </w:p>
    <w:bookmarkEnd w:id="293"/>
    <w:bookmarkStart w:id="319" w:name="human-studies-1"/>
    <w:p>
      <w:pPr>
        <w:pStyle w:val="Heading3"/>
      </w:pPr>
      <w:r>
        <w:t xml:space="preserve">Human studies</w:t>
      </w:r>
    </w:p>
    <w:p>
      <w:pPr>
        <w:pStyle w:val="FirstParagraph"/>
      </w:pPr>
      <w:r>
        <w:t xml:space="preserve">Liraglutide is among the best-studied peptide drugs. The PubMed query evaluated for this book (search term</w:t>
      </w:r>
      <w:r>
        <w:t xml:space="preserve"> </w:t>
      </w:r>
      <w:r>
        <w:t xml:space="preserve">“</w:t>
      </w:r>
      <w:r>
        <w:t xml:space="preserve">liraglutide</w:t>
      </w:r>
      <w:r>
        <w:t xml:space="preserve">”</w:t>
      </w:r>
      <w:r>
        <w:t xml:space="preserve"> </w:t>
      </w:r>
      <w:r>
        <w:t xml:space="preserve">in title or abstract, query date October 2026) yielded 613 human studies – more than for any other peptide in this book. ClinicalTrials.gov lists 517 registry entries. The following focuses on the approval and outcomes trials; in addition, there are hundreds of smaller studies on the liver, heart, brain, fertility, and eating disorders.</w:t>
      </w:r>
    </w:p>
    <w:bookmarkStart w:id="296" w:name="type-2-diabetes-the-lead-program"/>
    <w:p>
      <w:pPr>
        <w:pStyle w:val="Heading4"/>
      </w:pPr>
      <w:r>
        <w:t xml:space="preserve">Type 2 Diabetes: The LEAD Program</w:t>
      </w:r>
    </w:p>
    <w:p>
      <w:pPr>
        <w:pStyle w:val="FirstParagraph"/>
      </w:pPr>
      <w:r>
        <w:t xml:space="preserve">For the diabetes approval, liraglutide was tested in six trials under the name LEAD (Liraglutide Effect and Action in Diabetes), each with 1.2 or 1.8 mg per day. Two are particularly revealing because they competed against therapies established at the time. In addition, there is the comparison with the DPP-4 inhibitor sitagliptin.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LEAD-3 Mono (Garber 2009), PMID 18819705</w:t>
            </w:r>
          </w:p>
        </w:tc>
        <w:tc>
          <w:tcPr/>
          <w:p>
            <w:pPr>
              <w:pStyle w:val="Compact"/>
              <w:jc w:val="left"/>
            </w:pPr>
            <w:r>
              <w:t xml:space="preserve">746 people with early type 2 diabetes, double-blind vs. glimepiride</w:t>
            </w:r>
          </w:p>
        </w:tc>
        <w:tc>
          <w:tcPr/>
          <w:p>
            <w:pPr>
              <w:pStyle w:val="Compact"/>
              <w:jc w:val="left"/>
            </w:pPr>
            <w:r>
              <w:t xml:space="preserve">52 weeks</w:t>
            </w:r>
          </w:p>
        </w:tc>
        <w:tc>
          <w:tcPr/>
          <w:p>
            <w:pPr>
              <w:pStyle w:val="Compact"/>
              <w:jc w:val="left"/>
            </w:pPr>
            <w:r>
              <w:t xml:space="preserve">HbA1c −1.14 (1.8 mg) vs. −0.51 percentage points</w:t>
            </w:r>
          </w:p>
        </w:tc>
      </w:tr>
      <w:tr>
        <w:tc>
          <w:tcPr/>
          <w:p>
            <w:pPr>
              <w:pStyle w:val="Compact"/>
              <w:jc w:val="left"/>
            </w:pPr>
            <w:r>
              <w:t xml:space="preserve">LEAD-6 (Buse 2009), PMID 19515413</w:t>
            </w:r>
          </w:p>
        </w:tc>
        <w:tc>
          <w:tcPr/>
          <w:p>
            <w:pPr>
              <w:pStyle w:val="Compact"/>
              <w:jc w:val="left"/>
            </w:pPr>
            <w:r>
              <w:t xml:space="preserve">open-label vs. exenatide twice daily</w:t>
            </w:r>
          </w:p>
        </w:tc>
        <w:tc>
          <w:tcPr/>
          <w:p>
            <w:pPr>
              <w:pStyle w:val="Compact"/>
              <w:jc w:val="left"/>
            </w:pPr>
            <w:r>
              <w:t xml:space="preserve">26 weeks</w:t>
            </w:r>
          </w:p>
        </w:tc>
        <w:tc>
          <w:tcPr/>
          <w:p>
            <w:pPr>
              <w:pStyle w:val="Compact"/>
              <w:jc w:val="left"/>
            </w:pPr>
            <w:r>
              <w:t xml:space="preserve">HbA1c −1.12 vs. −0.79; weight −3.24 vs. −2.87 kg</w:t>
            </w:r>
          </w:p>
        </w:tc>
      </w:tr>
      <w:tr>
        <w:tc>
          <w:tcPr/>
          <w:p>
            <w:pPr>
              <w:pStyle w:val="Compact"/>
              <w:jc w:val="left"/>
            </w:pPr>
            <w:r>
              <w:t xml:space="preserve">Pratley 2010, PMID 20417856</w:t>
            </w:r>
          </w:p>
        </w:tc>
        <w:tc>
          <w:tcPr/>
          <w:p>
            <w:pPr>
              <w:pStyle w:val="Compact"/>
              <w:jc w:val="left"/>
            </w:pPr>
            <w:r>
              <w:t xml:space="preserve">658 people on metformin, open-label vs. sitagliptin</w:t>
            </w:r>
          </w:p>
        </w:tc>
        <w:tc>
          <w:tcPr/>
          <w:p>
            <w:pPr>
              <w:pStyle w:val="Compact"/>
              <w:jc w:val="left"/>
            </w:pPr>
            <w:r>
              <w:t xml:space="preserve">26 weeks</w:t>
            </w:r>
          </w:p>
        </w:tc>
        <w:tc>
          <w:tcPr/>
          <w:p>
            <w:pPr>
              <w:pStyle w:val="Compact"/>
              <w:jc w:val="left"/>
            </w:pPr>
            <w:r>
              <w:t xml:space="preserve">HbA1c −1.50 (1.8 mg) vs. −0.90; nausea 27% vs. 5%</w:t>
            </w:r>
          </w:p>
        </w:tc>
      </w:tr>
    </w:tbl>
    <w:p>
      <w:pPr>
        <w:pStyle w:val="BodyText"/>
      </w:pPr>
      <w:r>
        <w:t xml:space="preserve">In these trials, long-term blood sugar (HbA1c) fell by 1.1 to 1.5 percentage points on liraglutide. In LEAD-3</w:t>
      </w:r>
      <w:r>
        <w:rPr>
          <w:rStyle w:val="FootnoteReference"/>
        </w:rPr>
        <w:footnoteReference w:id="294"/>
      </w:r>
      <w:r>
        <w:t xml:space="preserve">, liraglutide was the first diabetes drug to prove superior to the sulfonylurea glimepiride, which lowers blood sugar independently of meals and more often leads to hypoglycemia. Against sitagliptin</w:t>
      </w:r>
      <w:r>
        <w:rPr>
          <w:rStyle w:val="FootnoteReference"/>
        </w:rPr>
        <w:footnoteReference w:id="295"/>
      </w:r>
      <w:r>
        <w:t xml:space="preserve">, the advantage was 0.6 percentage points, albeit with considerably more nausea.</w:t>
      </w:r>
    </w:p>
    <w:bookmarkEnd w:id="296"/>
    <w:bookmarkStart w:id="301" w:name="X680e3142c52730443bc181bf23fd1d997b7e46b"/>
    <w:p>
      <w:pPr>
        <w:pStyle w:val="Heading4"/>
      </w:pPr>
      <w:r>
        <w:t xml:space="preserve">Head-to-Head Comparisons Within the GLP-1 Class</w:t>
      </w:r>
    </w:p>
    <w:p>
      <w:pPr>
        <w:pStyle w:val="FirstParagraph"/>
      </w:pPr>
      <w:r>
        <w:t xml:space="preserve">Liraglutide is the most frequently used comparator in its class. The results yield a clear ranking: liraglutide is stronger than exenatide, roughly as strong as dulaglutide, and weaker than semaglutide.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Duration</w:t>
            </w:r>
          </w:p>
        </w:tc>
        <w:tc>
          <w:tcPr/>
          <w:p>
            <w:pPr>
              <w:pStyle w:val="Compact"/>
              <w:jc w:val="left"/>
            </w:pPr>
            <w:r>
              <w:t xml:space="preserve">Result (liraglutide vs. comparator)</w:t>
            </w:r>
          </w:p>
        </w:tc>
      </w:tr>
      <w:tr>
        <w:tc>
          <w:tcPr/>
          <w:p>
            <w:pPr>
              <w:pStyle w:val="Compact"/>
              <w:jc w:val="left"/>
            </w:pPr>
            <w:r>
              <w:t xml:space="preserve">LEAD-6 (Buse 2009), PMID 19515413</w:t>
            </w:r>
          </w:p>
        </w:tc>
        <w:tc>
          <w:tcPr/>
          <w:p>
            <w:pPr>
              <w:pStyle w:val="Compact"/>
              <w:jc w:val="left"/>
            </w:pPr>
            <w:r>
              <w:t xml:space="preserve">vs. exenatide twice daily</w:t>
            </w:r>
          </w:p>
        </w:tc>
        <w:tc>
          <w:tcPr/>
          <w:p>
            <w:pPr>
              <w:pStyle w:val="Compact"/>
              <w:jc w:val="left"/>
            </w:pPr>
            <w:r>
              <w:t xml:space="preserve">26 weeks</w:t>
            </w:r>
          </w:p>
        </w:tc>
        <w:tc>
          <w:tcPr/>
          <w:p>
            <w:pPr>
              <w:pStyle w:val="Compact"/>
              <w:jc w:val="left"/>
            </w:pPr>
            <w:r>
              <w:t xml:space="preserve">HbA1c −1.12 vs. −0.79; target &lt; 7% in 54% vs. 43%</w:t>
            </w:r>
          </w:p>
        </w:tc>
      </w:tr>
      <w:tr>
        <w:tc>
          <w:tcPr/>
          <w:p>
            <w:pPr>
              <w:pStyle w:val="Compact"/>
              <w:jc w:val="left"/>
            </w:pPr>
            <w:r>
              <w:t xml:space="preserve">DURATION-6 (Buse 2013), PMID 23141817</w:t>
            </w:r>
          </w:p>
        </w:tc>
        <w:tc>
          <w:tcPr/>
          <w:p>
            <w:pPr>
              <w:pStyle w:val="Compact"/>
              <w:jc w:val="left"/>
            </w:pPr>
            <w:r>
              <w:t xml:space="preserve">911 people, vs. exenatide weekly</w:t>
            </w:r>
          </w:p>
        </w:tc>
        <w:tc>
          <w:tcPr/>
          <w:p>
            <w:pPr>
              <w:pStyle w:val="Compact"/>
              <w:jc w:val="left"/>
            </w:pPr>
            <w:r>
              <w:t xml:space="preserve">26 weeks</w:t>
            </w:r>
          </w:p>
        </w:tc>
        <w:tc>
          <w:tcPr/>
          <w:p>
            <w:pPr>
              <w:pStyle w:val="Compact"/>
              <w:jc w:val="left"/>
            </w:pPr>
            <w:r>
              <w:t xml:space="preserve">HbA1c −1.48 vs. −1.28; nausea 21% vs. 9%</w:t>
            </w:r>
          </w:p>
        </w:tc>
      </w:tr>
      <w:tr>
        <w:tc>
          <w:tcPr/>
          <w:p>
            <w:pPr>
              <w:pStyle w:val="Compact"/>
              <w:jc w:val="left"/>
            </w:pPr>
            <w:r>
              <w:t xml:space="preserve">AWARD-6 (Dungan 2014), PMID 25018121</w:t>
            </w:r>
          </w:p>
        </w:tc>
        <w:tc>
          <w:tcPr/>
          <w:p>
            <w:pPr>
              <w:pStyle w:val="Compact"/>
              <w:jc w:val="left"/>
            </w:pPr>
            <w:r>
              <w:t xml:space="preserve">599 people, vs. dulaglutide weekly</w:t>
            </w:r>
          </w:p>
        </w:tc>
        <w:tc>
          <w:tcPr/>
          <w:p>
            <w:pPr>
              <w:pStyle w:val="Compact"/>
              <w:jc w:val="left"/>
            </w:pPr>
            <w:r>
              <w:t xml:space="preserve">26 weeks</w:t>
            </w:r>
          </w:p>
        </w:tc>
        <w:tc>
          <w:tcPr/>
          <w:p>
            <w:pPr>
              <w:pStyle w:val="Compact"/>
              <w:jc w:val="left"/>
            </w:pPr>
            <w:r>
              <w:t xml:space="preserve">HbA1c −1.36 vs. −1.42; equivalent</w:t>
            </w:r>
          </w:p>
        </w:tc>
      </w:tr>
      <w:tr>
        <w:tc>
          <w:tcPr/>
          <w:p>
            <w:pPr>
              <w:pStyle w:val="Compact"/>
              <w:jc w:val="left"/>
            </w:pPr>
            <w:r>
              <w:t xml:space="preserve">PIONEER 4 (Pratley 2019), PMID 31186120</w:t>
            </w:r>
          </w:p>
        </w:tc>
        <w:tc>
          <w:tcPr/>
          <w:p>
            <w:pPr>
              <w:pStyle w:val="Compact"/>
              <w:jc w:val="left"/>
            </w:pPr>
            <w:r>
              <w:t xml:space="preserve">711 people, vs. semaglutide tablet and placebo</w:t>
            </w:r>
          </w:p>
        </w:tc>
        <w:tc>
          <w:tcPr/>
          <w:p>
            <w:pPr>
              <w:pStyle w:val="Compact"/>
              <w:jc w:val="left"/>
            </w:pPr>
            <w:r>
              <w:t xml:space="preserve">52 weeks</w:t>
            </w:r>
          </w:p>
        </w:tc>
        <w:tc>
          <w:tcPr/>
          <w:p>
            <w:pPr>
              <w:pStyle w:val="Compact"/>
              <w:jc w:val="left"/>
            </w:pPr>
            <w:r>
              <w:t xml:space="preserve">HbA1c −1.1 vs. −1.2 after 26 weeks; weight −3.1 vs. −4.4 kg</w:t>
            </w:r>
          </w:p>
        </w:tc>
      </w:tr>
      <w:tr>
        <w:tc>
          <w:tcPr/>
          <w:p>
            <w:pPr>
              <w:pStyle w:val="Compact"/>
              <w:jc w:val="left"/>
            </w:pPr>
            <w:r>
              <w:t xml:space="preserve">SUSTAIN 10 (Capehorn 2020), PMID 31539622</w:t>
            </w:r>
          </w:p>
        </w:tc>
        <w:tc>
          <w:tcPr/>
          <w:p>
            <w:pPr>
              <w:pStyle w:val="Compact"/>
              <w:jc w:val="left"/>
            </w:pPr>
            <w:r>
              <w:t xml:space="preserve">liraglutide 1.2 mg vs. semaglutide 1.0 mg weekly</w:t>
            </w:r>
          </w:p>
        </w:tc>
        <w:tc>
          <w:tcPr/>
          <w:p>
            <w:pPr>
              <w:pStyle w:val="Compact"/>
              <w:jc w:val="left"/>
            </w:pPr>
            <w:r>
              <w:t xml:space="preserve">30 weeks</w:t>
            </w:r>
          </w:p>
        </w:tc>
        <w:tc>
          <w:tcPr/>
          <w:p>
            <w:pPr>
              <w:pStyle w:val="Compact"/>
              <w:jc w:val="left"/>
            </w:pPr>
            <w:r>
              <w:t xml:space="preserve">HbA1c −1.0 vs. −1.7; weight −1.9 vs. −5.8 kg</w:t>
            </w:r>
          </w:p>
        </w:tc>
      </w:tr>
      <w:tr>
        <w:tc>
          <w:tcPr/>
          <w:p>
            <w:pPr>
              <w:pStyle w:val="Compact"/>
              <w:jc w:val="left"/>
            </w:pPr>
            <w:r>
              <w:t xml:space="preserve">STEP 8 (Rubino 2022), PMID 35015037</w:t>
            </w:r>
          </w:p>
        </w:tc>
        <w:tc>
          <w:tcPr/>
          <w:p>
            <w:pPr>
              <w:pStyle w:val="Compact"/>
              <w:jc w:val="left"/>
            </w:pPr>
            <w:r>
              <w:t xml:space="preserve">338 people with obesity without diabetes, liraglutide 3.0 mg vs. semaglutide 2.4 mg</w:t>
            </w:r>
          </w:p>
        </w:tc>
        <w:tc>
          <w:tcPr/>
          <w:p>
            <w:pPr>
              <w:pStyle w:val="Compact"/>
              <w:jc w:val="left"/>
            </w:pPr>
            <w:r>
              <w:t xml:space="preserve">68 weeks</w:t>
            </w:r>
          </w:p>
        </w:tc>
        <w:tc>
          <w:tcPr/>
          <w:p>
            <w:pPr>
              <w:pStyle w:val="Compact"/>
              <w:jc w:val="left"/>
            </w:pPr>
            <w:r>
              <w:t xml:space="preserve">Weight −6.4% vs. −15.8%</w:t>
            </w:r>
          </w:p>
        </w:tc>
      </w:tr>
    </w:tbl>
    <w:p>
      <w:pPr>
        <w:pStyle w:val="BodyText"/>
      </w:pPr>
      <w:r>
        <w:t xml:space="preserve">In LEAD-6</w:t>
      </w:r>
      <w:r>
        <w:rPr>
          <w:rStyle w:val="FootnoteReference"/>
        </w:rPr>
        <w:footnoteReference w:id="297"/>
      </w:r>
      <w:r>
        <w:t xml:space="preserve">, liraglutide lowered fasting glucose considerably more than exenatide twice daily, but lowered the rise in glucose after breakfast and dinner less – an indication that short-acting forms act more strongly via gastric emptying. Nausea lasted for a shorter time with liraglutide, and mild hypoglycemia was less frequent (25.5% vs. 33.6% of participants).</w:t>
      </w:r>
    </w:p>
    <w:p>
      <w:pPr>
        <w:pStyle w:val="BodyText"/>
      </w:pPr>
      <w:r>
        <w:t xml:space="preserve">Against dulaglutide, liraglutide was equivalent in AWARD-6</w:t>
      </w:r>
      <w:r>
        <w:rPr>
          <w:rStyle w:val="FootnoteReference"/>
        </w:rPr>
        <w:footnoteReference w:id="298"/>
      </w:r>
      <w:r>
        <w:t xml:space="preserve">, with similar tolerability; nausea occurred in 18% versus 20%.</w:t>
      </w:r>
    </w:p>
    <w:p>
      <w:pPr>
        <w:pStyle w:val="BodyText"/>
      </w:pPr>
      <w:r>
        <w:t xml:space="preserve">Against semaglutide, liraglutide lost in all comparisons. This was most evident for weight in STEP 8</w:t>
      </w:r>
      <w:r>
        <w:rPr>
          <w:rStyle w:val="FootnoteReference"/>
        </w:rPr>
        <w:footnoteReference w:id="299"/>
      </w:r>
      <w:r>
        <w:t xml:space="preserve">: with the dose approved for obesity in each case, participants on semaglutide lost on average 15.8%, those on liraglutide 6.4% (placebo: 1.9%). A loss of at least 15% was achieved by 55.6% versus 12.0%. Treatment had been discontinued prematurely by 27.6% on liraglutide and 13.5% on semaglutide. With the semaglutide tablet, the difference in PIONEER 4</w:t>
      </w:r>
      <w:r>
        <w:rPr>
          <w:rStyle w:val="FootnoteReference"/>
        </w:rPr>
        <w:footnoteReference w:id="300"/>
      </w:r>
      <w:r>
        <w:t xml:space="preserve"> </w:t>
      </w:r>
      <w:r>
        <w:t xml:space="preserve">was smaller: for HbA1c, the tablet was not worse according to the main analysis method, and for weight it was superior by 1.2 kg. Details of these trials can be found in the chapter Semaglutide.</w:t>
      </w:r>
    </w:p>
    <w:bookmarkEnd w:id="301"/>
    <w:bookmarkStart w:id="305" w:name="leader-heart-circulation-and-kidneys"/>
    <w:p>
      <w:pPr>
        <w:pStyle w:val="Heading4"/>
      </w:pPr>
      <w:r>
        <w:t xml:space="preserve">LEADER: Heart, Circulation, and Kidneys</w:t>
      </w:r>
    </w:p>
    <w:p>
      <w:pPr>
        <w:pStyle w:val="FirstParagraph"/>
      </w:pPr>
      <w:r>
        <w:t xml:space="preserve">LEADER was the first large trial to show protection against cardiovascular events for a GLP-1 receptor agonist. It changed the role of the entire class in diabetes guidelines.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LEADER (Marso 2016), PMID 27295427</w:t>
            </w:r>
          </w:p>
        </w:tc>
        <w:tc>
          <w:tcPr/>
          <w:p>
            <w:pPr>
              <w:pStyle w:val="Compact"/>
              <w:jc w:val="left"/>
            </w:pPr>
            <w:r>
              <w:t xml:space="preserve">9,340 people with type 2 diabetes and high cardiovascular risk, RCT vs. placebo</w:t>
            </w:r>
          </w:p>
        </w:tc>
        <w:tc>
          <w:tcPr/>
          <w:p>
            <w:pPr>
              <w:pStyle w:val="Compact"/>
              <w:jc w:val="left"/>
            </w:pPr>
            <w:r>
              <w:t xml:space="preserve">median 3.8 years</w:t>
            </w:r>
          </w:p>
        </w:tc>
        <w:tc>
          <w:tcPr/>
          <w:p>
            <w:pPr>
              <w:pStyle w:val="Compact"/>
              <w:jc w:val="left"/>
            </w:pPr>
            <w:r>
              <w:t xml:space="preserve">Major cardiovascular events 13.0% vs. 14.9%; HR 0.87 (0.78–0.97)</w:t>
            </w:r>
          </w:p>
        </w:tc>
      </w:tr>
      <w:tr>
        <w:tc>
          <w:tcPr/>
          <w:p>
            <w:pPr>
              <w:pStyle w:val="Compact"/>
              <w:jc w:val="left"/>
            </w:pPr>
            <w:r>
              <w:t xml:space="preserve">LEADER, kidney analysis (Mann 2017), PMID 28854085</w:t>
            </w:r>
          </w:p>
        </w:tc>
        <w:tc>
          <w:tcPr/>
          <w:p>
            <w:pPr>
              <w:pStyle w:val="Compact"/>
              <w:jc w:val="left"/>
            </w:pPr>
            <w:r>
              <w:t xml:space="preserve">the same 9,340 people, prespecified analysis</w:t>
            </w:r>
          </w:p>
        </w:tc>
        <w:tc>
          <w:tcPr/>
          <w:p>
            <w:pPr>
              <w:pStyle w:val="Compact"/>
              <w:jc w:val="left"/>
            </w:pPr>
            <w:r>
              <w:t xml:space="preserve">median 3.84 years</w:t>
            </w:r>
          </w:p>
        </w:tc>
        <w:tc>
          <w:tcPr/>
          <w:p>
            <w:pPr>
              <w:pStyle w:val="Compact"/>
              <w:jc w:val="left"/>
            </w:pPr>
            <w:r>
              <w:t xml:space="preserve">Kidney endpoint 268 vs. 337 cases; HR 0.78, mainly less new macroalbuminuria</w:t>
            </w:r>
          </w:p>
        </w:tc>
      </w:tr>
    </w:tbl>
    <w:p>
      <w:pPr>
        <w:pStyle w:val="BodyText"/>
      </w:pPr>
      <w:r>
        <w:t xml:space="preserve">The primary endpoint – death from cardiovascular causes, nonfatal myocardial infarction, or stroke – occurred in 608 of 4,668 people (13.0%) on liraglutide and in 694 of 4,672 (14.9%) on placebo</w:t>
      </w:r>
      <w:r>
        <w:rPr>
          <w:rStyle w:val="FootnoteReference"/>
        </w:rPr>
        <w:footnoteReference w:id="302"/>
      </w:r>
      <w:r>
        <w:t xml:space="preserve">. This corresponds to a relative risk reduction of 13%. The effect was driven mainly by fewer cardiovascular deaths (4.7% vs. 6.0%; HR 0.78). All-cause mortality was also lower (8.2% vs. 9.6%; HR 0.85). The individual components of myocardial infarction, stroke, and hospitalization for heart failure were not significantly reduced on their own.</w:t>
      </w:r>
    </w:p>
    <w:p>
      <w:pPr>
        <w:pStyle w:val="BodyText"/>
      </w:pPr>
      <w:r>
        <w:t xml:space="preserve">In absolute numbers, this means: over almost four years, about two in a hundred people treated had one fewer major cardiovascular event. For a high-risk group, this is a relevant effect.</w:t>
      </w:r>
    </w:p>
    <w:p>
      <w:pPr>
        <w:pStyle w:val="BodyText"/>
      </w:pPr>
      <w:r>
        <w:t xml:space="preserve">The kidney analysis</w:t>
      </w:r>
      <w:r>
        <w:rPr>
          <w:rStyle w:val="FootnoteReference"/>
        </w:rPr>
        <w:footnoteReference w:id="303"/>
      </w:r>
      <w:r>
        <w:t xml:space="preserve"> </w:t>
      </w:r>
      <w:r>
        <w:t xml:space="preserve">showed fewer cases of newly occurring heavy protein excretion in the urine (macroalbuminuria). Hard kidney endpoints such as the need for dialysis were rare and did not differ clearly. Acute kidney failure occurred about as often as on placebo.</w:t>
      </w:r>
    </w:p>
    <w:p>
      <w:pPr>
        <w:pStyle w:val="BodyText"/>
      </w:pPr>
      <w:r>
        <w:t xml:space="preserve">Not every cardiac group benefits. In the FIGHT trial with 300 people who had recently been hospitalized for severe heart failure with markedly reduced pump function, liraglutide did not improve the course</w:t>
      </w:r>
      <w:r>
        <w:rPr>
          <w:rStyle w:val="FootnoteReference"/>
        </w:rPr>
        <w:footnoteReference w:id="304"/>
      </w:r>
      <w:r>
        <w:t xml:space="preserve">. There were even somewhat more rehospitalizations for heart failure (41% vs. 34%), although the difference was not statistically significant. The authors saw no basis for its use in this situation.</w:t>
      </w:r>
    </w:p>
    <w:bookmarkEnd w:id="305"/>
    <w:bookmarkStart w:id="310" w:name="obesity-the-scale-program"/>
    <w:p>
      <w:pPr>
        <w:pStyle w:val="Heading4"/>
      </w:pPr>
      <w:r>
        <w:t xml:space="preserve">Obesity: The SCALE Program</w:t>
      </w:r>
    </w:p>
    <w:p>
      <w:pPr>
        <w:pStyle w:val="FirstParagraph"/>
      </w:pPr>
      <w:r>
        <w:t xml:space="preserve">At 3.0 mg per day – almost twice the highest diabetes dose – liraglutide was approved in 2014/2015 as the first GLP-1 medication for weight reduction. The basis was the SCALE study program.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SCALE Obesity and Prediabetes (Pi-Sunyer 2015), PMID 26132939</w:t>
            </w:r>
          </w:p>
        </w:tc>
        <w:tc>
          <w:tcPr/>
          <w:p>
            <w:pPr>
              <w:pStyle w:val="Compact"/>
              <w:jc w:val="left"/>
            </w:pPr>
            <w:r>
              <w:t xml:space="preserve">3,731 adults with obesity without diabetes, RCT vs. placebo</w:t>
            </w:r>
          </w:p>
        </w:tc>
        <w:tc>
          <w:tcPr/>
          <w:p>
            <w:pPr>
              <w:pStyle w:val="Compact"/>
              <w:jc w:val="left"/>
            </w:pPr>
            <w:r>
              <w:t xml:space="preserve">56 weeks</w:t>
            </w:r>
          </w:p>
        </w:tc>
        <w:tc>
          <w:tcPr/>
          <w:p>
            <w:pPr>
              <w:pStyle w:val="Compact"/>
              <w:jc w:val="left"/>
            </w:pPr>
            <w:r>
              <w:t xml:space="preserve">−8.4 kg vs. −2.8 kg; ≥ 5% loss in 63.2% vs. 27.1%</w:t>
            </w:r>
          </w:p>
        </w:tc>
      </w:tr>
      <w:tr>
        <w:tc>
          <w:tcPr/>
          <w:p>
            <w:pPr>
              <w:pStyle w:val="Compact"/>
              <w:jc w:val="left"/>
            </w:pPr>
            <w:r>
              <w:t xml:space="preserve">SCALE, 3-year part (le Roux 2017), PMID 28237263</w:t>
            </w:r>
          </w:p>
        </w:tc>
        <w:tc>
          <w:tcPr/>
          <w:p>
            <w:pPr>
              <w:pStyle w:val="Compact"/>
              <w:jc w:val="left"/>
            </w:pPr>
            <w:r>
              <w:t xml:space="preserve">2,254 people with prediabetes</w:t>
            </w:r>
          </w:p>
        </w:tc>
        <w:tc>
          <w:tcPr/>
          <w:p>
            <w:pPr>
              <w:pStyle w:val="Compact"/>
              <w:jc w:val="left"/>
            </w:pPr>
            <w:r>
              <w:t xml:space="preserve">160 weeks</w:t>
            </w:r>
          </w:p>
        </w:tc>
        <w:tc>
          <w:tcPr/>
          <w:p>
            <w:pPr>
              <w:pStyle w:val="Compact"/>
              <w:jc w:val="left"/>
            </w:pPr>
            <w:r>
              <w:t xml:space="preserve">New diabetes in 2% vs. 6%; weight −6.1% vs. −1.9%</w:t>
            </w:r>
          </w:p>
        </w:tc>
      </w:tr>
      <w:tr>
        <w:tc>
          <w:tcPr/>
          <w:p>
            <w:pPr>
              <w:pStyle w:val="Compact"/>
              <w:jc w:val="left"/>
            </w:pPr>
            <w:r>
              <w:t xml:space="preserve">SCALE Diabetes (Davies 2015), PMID 26284720</w:t>
            </w:r>
          </w:p>
        </w:tc>
        <w:tc>
          <w:tcPr/>
          <w:p>
            <w:pPr>
              <w:pStyle w:val="Compact"/>
              <w:jc w:val="left"/>
            </w:pPr>
            <w:r>
              <w:t xml:space="preserve">846 people with type 2 diabetes and overweight</w:t>
            </w:r>
          </w:p>
        </w:tc>
        <w:tc>
          <w:tcPr/>
          <w:p>
            <w:pPr>
              <w:pStyle w:val="Compact"/>
              <w:jc w:val="left"/>
            </w:pPr>
            <w:r>
              <w:t xml:space="preserve">56 weeks</w:t>
            </w:r>
          </w:p>
        </w:tc>
        <w:tc>
          <w:tcPr/>
          <w:p>
            <w:pPr>
              <w:pStyle w:val="Compact"/>
              <w:jc w:val="left"/>
            </w:pPr>
            <w:r>
              <w:t xml:space="preserve">−6.0% (3.0 mg) vs. −2.0%</w:t>
            </w:r>
          </w:p>
        </w:tc>
      </w:tr>
      <w:tr>
        <w:tc>
          <w:tcPr/>
          <w:p>
            <w:pPr>
              <w:pStyle w:val="Compact"/>
              <w:jc w:val="left"/>
            </w:pPr>
            <w:r>
              <w:t xml:space="preserve">SCALE Maintenance (Wadden 2013), PMID 23812094</w:t>
            </w:r>
          </w:p>
        </w:tc>
        <w:tc>
          <w:tcPr/>
          <w:p>
            <w:pPr>
              <w:pStyle w:val="Compact"/>
              <w:jc w:val="left"/>
            </w:pPr>
            <w:r>
              <w:t xml:space="preserve">422 people after a diet with ≥ 5% loss</w:t>
            </w:r>
          </w:p>
        </w:tc>
        <w:tc>
          <w:tcPr/>
          <w:p>
            <w:pPr>
              <w:pStyle w:val="Compact"/>
              <w:jc w:val="left"/>
            </w:pPr>
            <w:r>
              <w:t xml:space="preserve">56 weeks</w:t>
            </w:r>
          </w:p>
        </w:tc>
        <w:tc>
          <w:tcPr/>
          <w:p>
            <w:pPr>
              <w:pStyle w:val="Compact"/>
              <w:jc w:val="left"/>
            </w:pPr>
            <w:r>
              <w:t xml:space="preserve">additional −6.2% vs. −0.2%</w:t>
            </w:r>
          </w:p>
        </w:tc>
      </w:tr>
      <w:tr>
        <w:tc>
          <w:tcPr/>
          <w:p>
            <w:pPr>
              <w:pStyle w:val="Compact"/>
              <w:jc w:val="left"/>
            </w:pPr>
            <w:r>
              <w:t xml:space="preserve">SCALE Sleep Apnea (Blackman 2016), PMID 27005405</w:t>
            </w:r>
          </w:p>
        </w:tc>
        <w:tc>
          <w:tcPr/>
          <w:p>
            <w:pPr>
              <w:pStyle w:val="Compact"/>
              <w:jc w:val="left"/>
            </w:pPr>
            <w:r>
              <w:t xml:space="preserve">adults with obesity and moderate to severe sleep apnea</w:t>
            </w:r>
          </w:p>
        </w:tc>
        <w:tc>
          <w:tcPr/>
          <w:p>
            <w:pPr>
              <w:pStyle w:val="Compact"/>
              <w:jc w:val="left"/>
            </w:pPr>
            <w:r>
              <w:t xml:space="preserve">32 weeks</w:t>
            </w:r>
          </w:p>
        </w:tc>
        <w:tc>
          <w:tcPr/>
          <w:p>
            <w:pPr>
              <w:pStyle w:val="Compact"/>
              <w:jc w:val="left"/>
            </w:pPr>
            <w:r>
              <w:t xml:space="preserve">Breathing pauses −12.2 vs. −6.1 per hour; weight −5.7% vs. −1.6%</w:t>
            </w:r>
          </w:p>
        </w:tc>
      </w:tr>
    </w:tbl>
    <w:p>
      <w:pPr>
        <w:pStyle w:val="BodyText"/>
      </w:pPr>
      <w:r>
        <w:t xml:space="preserve">In the largest trial</w:t>
      </w:r>
      <w:r>
        <w:rPr>
          <w:rStyle w:val="FootnoteReference"/>
        </w:rPr>
        <w:footnoteReference w:id="306"/>
      </w:r>
      <w:r>
        <w:t xml:space="preserve">, participants on liraglutide lost on average 8.4 kg, compared with 2.8 kg on placebo – in each case with diet and exercise counseling. One third (33.1%) lost more than 10% of their body weight, compared with 10.6% on placebo. Serious adverse events occurred in 6.2% versus 5.0%.</w:t>
      </w:r>
    </w:p>
    <w:p>
      <w:pPr>
        <w:pStyle w:val="BodyText"/>
      </w:pPr>
      <w:r>
        <w:t xml:space="preserve">Participants with prediabetes (a precursor of diabetes) were treated for three years</w:t>
      </w:r>
      <w:r>
        <w:rPr>
          <w:rStyle w:val="FootnoteReference"/>
        </w:rPr>
        <w:footnoteReference w:id="307"/>
      </w:r>
      <w:r>
        <w:t xml:space="preserve">. On liraglutide, 2% developed type 2 diabetes, compared with 6% on placebo. However, the study has an important weakness: only half of the participants (50%) remained until the end, and those who dropped out were not followed further. The results should therefore be read with caution.</w:t>
      </w:r>
    </w:p>
    <w:p>
      <w:pPr>
        <w:pStyle w:val="BodyText"/>
      </w:pPr>
      <w:r>
        <w:t xml:space="preserve">In people with type 2 diabetes, weight loss was smaller</w:t>
      </w:r>
      <w:r>
        <w:rPr>
          <w:rStyle w:val="FootnoteReference"/>
        </w:rPr>
        <w:footnoteReference w:id="308"/>
      </w:r>
      <w:r>
        <w:t xml:space="preserve"> </w:t>
      </w:r>
      <w:r>
        <w:t xml:space="preserve">– a pattern that is repeated with all GLP-1 medications. In SCALE Maintenance</w:t>
      </w:r>
      <w:r>
        <w:rPr>
          <w:rStyle w:val="FootnoteReference"/>
        </w:rPr>
        <w:footnoteReference w:id="309"/>
      </w:r>
      <w:r>
        <w:t xml:space="preserve">, liraglutide helped people maintain their weight after a diet phase: 81.4% maintained the weight loss previously achieved, compared with 48.9% on placebo.</w:t>
      </w:r>
    </w:p>
    <w:p>
      <w:pPr>
        <w:pStyle w:val="BodyText"/>
      </w:pPr>
      <w:r>
        <w:t xml:space="preserve">In retrospect, the weight effect of liraglutide seems modest now that semaglutide and tirzepatide achieve on average 15 to over 20%. For its time, it was a breakthrough: no previously approved drug had shown similar values in trials of this size.</w:t>
      </w:r>
    </w:p>
    <w:bookmarkEnd w:id="310"/>
    <w:bookmarkStart w:id="314" w:name="children-and-adolescents"/>
    <w:p>
      <w:pPr>
        <w:pStyle w:val="Heading4"/>
      </w:pPr>
      <w:r>
        <w:t xml:space="preserve">Children and Adolescents</w:t>
      </w:r>
    </w:p>
    <w:p>
      <w:pPr>
        <w:pStyle w:val="FirstParagraph"/>
      </w:pPr>
      <w:r>
        <w:t xml:space="preserve">Liraglutide is one of the few drugs in this class that have been specifically studied in children and adolescents.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ELLIPSE (Tamborlane 2019), PMID 31034184</w:t>
            </w:r>
          </w:p>
        </w:tc>
        <w:tc>
          <w:tcPr/>
          <w:p>
            <w:pPr>
              <w:pStyle w:val="Compact"/>
              <w:jc w:val="left"/>
            </w:pPr>
            <w:r>
              <w:t xml:space="preserve">134 children and adolescents (10 to under 17 years) with type 2 diabetes, RCT vs. placebo</w:t>
            </w:r>
          </w:p>
        </w:tc>
        <w:tc>
          <w:tcPr/>
          <w:p>
            <w:pPr>
              <w:pStyle w:val="Compact"/>
              <w:jc w:val="left"/>
            </w:pPr>
            <w:r>
              <w:t xml:space="preserve">52 weeks</w:t>
            </w:r>
          </w:p>
        </w:tc>
        <w:tc>
          <w:tcPr/>
          <w:p>
            <w:pPr>
              <w:pStyle w:val="Compact"/>
              <w:jc w:val="left"/>
            </w:pPr>
            <w:r>
              <w:t xml:space="preserve">HbA1c −1.06 percentage points vs. placebo after 26 weeks, −1.30 after 52 weeks</w:t>
            </w:r>
          </w:p>
        </w:tc>
      </w:tr>
      <w:tr>
        <w:tc>
          <w:tcPr/>
          <w:p>
            <w:pPr>
              <w:pStyle w:val="Compact"/>
              <w:jc w:val="left"/>
            </w:pPr>
            <w:r>
              <w:t xml:space="preserve">SCALE Teens (Kelly 2020), PMID 32233338</w:t>
            </w:r>
          </w:p>
        </w:tc>
        <w:tc>
          <w:tcPr/>
          <w:p>
            <w:pPr>
              <w:pStyle w:val="Compact"/>
              <w:jc w:val="left"/>
            </w:pPr>
            <w:r>
              <w:t xml:space="preserve">251 adolescents (12 to under 18 years) with obesity, RCT vs. placebo</w:t>
            </w:r>
          </w:p>
        </w:tc>
        <w:tc>
          <w:tcPr/>
          <w:p>
            <w:pPr>
              <w:pStyle w:val="Compact"/>
              <w:jc w:val="left"/>
            </w:pPr>
            <w:r>
              <w:t xml:space="preserve">56 weeks</w:t>
            </w:r>
          </w:p>
        </w:tc>
        <w:tc>
          <w:tcPr/>
          <w:p>
            <w:pPr>
              <w:pStyle w:val="Compact"/>
              <w:jc w:val="left"/>
            </w:pPr>
            <w:r>
              <w:t xml:space="preserve">BMI reduction ≥ 5% in 43.3% vs. 18.7%; weight −4.50 kg vs. placebo</w:t>
            </w:r>
          </w:p>
        </w:tc>
      </w:tr>
      <w:tr>
        <w:tc>
          <w:tcPr/>
          <w:p>
            <w:pPr>
              <w:pStyle w:val="Compact"/>
              <w:jc w:val="left"/>
            </w:pPr>
            <w:r>
              <w:t xml:space="preserve">SCALE Kids (Fox 2025), PMID 39258838</w:t>
            </w:r>
          </w:p>
        </w:tc>
        <w:tc>
          <w:tcPr/>
          <w:p>
            <w:pPr>
              <w:pStyle w:val="Compact"/>
              <w:jc w:val="left"/>
            </w:pPr>
            <w:r>
              <w:t xml:space="preserve">82 children (6 to under 12 years) with obesity, RCT vs. placebo</w:t>
            </w:r>
          </w:p>
        </w:tc>
        <w:tc>
          <w:tcPr/>
          <w:p>
            <w:pPr>
              <w:pStyle w:val="Compact"/>
              <w:jc w:val="left"/>
            </w:pPr>
            <w:r>
              <w:t xml:space="preserve">56 weeks</w:t>
            </w:r>
          </w:p>
        </w:tc>
        <w:tc>
          <w:tcPr/>
          <w:p>
            <w:pPr>
              <w:pStyle w:val="Compact"/>
              <w:jc w:val="left"/>
            </w:pPr>
            <w:r>
              <w:t xml:space="preserve">BMI −5.8% vs. +1.6%</w:t>
            </w:r>
          </w:p>
        </w:tc>
      </w:tr>
    </w:tbl>
    <w:p>
      <w:pPr>
        <w:pStyle w:val="BodyText"/>
      </w:pPr>
      <w:r>
        <w:t xml:space="preserve">In SCALE Teens</w:t>
      </w:r>
      <w:r>
        <w:rPr>
          <w:rStyle w:val="FootnoteReference"/>
        </w:rPr>
        <w:footnoteReference w:id="311"/>
      </w:r>
      <w:r>
        <w:t xml:space="preserve">, BMI rose again after discontinuation, more so than on placebo. Gastrointestinal complaints affected 64.8% versus 36.5%; 10.4% discontinued treatment because of side effects. There was one suicide in the liraglutide group, which the investigators classified as probably unrelated to the treatment.</w:t>
      </w:r>
    </w:p>
    <w:p>
      <w:pPr>
        <w:pStyle w:val="BodyText"/>
      </w:pPr>
      <w:r>
        <w:t xml:space="preserve">In SCALE Kids</w:t>
      </w:r>
      <w:r>
        <w:rPr>
          <w:rStyle w:val="FootnoteReference"/>
        </w:rPr>
        <w:footnoteReference w:id="312"/>
      </w:r>
      <w:r>
        <w:t xml:space="preserve">, the body weight of the growing children increased on average by 1.6% on liraglutide and by 10.0% on placebo. Gastrointestinal complaints occurred in 80% versus 54%, serious adverse events in 12% versus 8%. In children, the questions of how long such treatment should last and what long-term effects there are on growth and bones arise in particular. Among other things, a study on bone metabolism in 12- to 21-year-olds on GLP-1 therapy is ongoing</w:t>
      </w:r>
      <w:r>
        <w:rPr>
          <w:rStyle w:val="FootnoteReference"/>
        </w:rPr>
        <w:footnoteReference w:id="313"/>
      </w:r>
      <w:r>
        <w:t xml:space="preserve">.</w:t>
      </w:r>
    </w:p>
    <w:bookmarkEnd w:id="314"/>
    <w:bookmarkStart w:id="318" w:name="other-areas-of-use-in-studies-1"/>
    <w:p>
      <w:pPr>
        <w:pStyle w:val="Heading4"/>
      </w:pPr>
      <w:r>
        <w:t xml:space="preserve">Other Areas of Use in Studies</w:t>
      </w:r>
    </w:p>
    <w:p>
      <w:pPr>
        <w:numPr>
          <w:ilvl w:val="0"/>
          <w:numId w:val="1043"/>
        </w:numPr>
        <w:pStyle w:val="Compact"/>
      </w:pPr>
      <w:r>
        <w:rPr>
          <w:bCs/>
          <w:b/>
        </w:rPr>
        <w:t xml:space="preserve">Fatty liver inflammation (NASH/MASH):</w:t>
      </w:r>
      <w:r>
        <w:t xml:space="preserve"> </w:t>
      </w:r>
      <w:r>
        <w:t xml:space="preserve">In the small phase 2 trial LEAN with 52 participants, the inflammation on liver biopsy resolved in 39% on liraglutide and in 9% on placebo; progression of scarring (fibrosis) was less frequent (9% vs. 36%)</w:t>
      </w:r>
      <w:r>
        <w:rPr>
          <w:rStyle w:val="FootnoteReference"/>
        </w:rPr>
        <w:footnoteReference w:id="315"/>
      </w:r>
      <w:r>
        <w:t xml:space="preserve">. Larger trials were later conducted with semaglutide.</w:t>
      </w:r>
    </w:p>
    <w:p>
      <w:pPr>
        <w:numPr>
          <w:ilvl w:val="0"/>
          <w:numId w:val="1043"/>
        </w:numPr>
        <w:pStyle w:val="Compact"/>
      </w:pPr>
      <w:r>
        <w:rPr>
          <w:bCs/>
          <w:b/>
        </w:rPr>
        <w:t xml:space="preserve">Alzheimer’s disease:</w:t>
      </w:r>
      <w:r>
        <w:t xml:space="preserve"> </w:t>
      </w:r>
      <w:r>
        <w:t xml:space="preserve">In the phase 2b trial ELAD with 204 people without diabetes, the primary endpoint, glucose metabolism in the brain, did not change</w:t>
      </w:r>
      <w:r>
        <w:rPr>
          <w:rStyle w:val="FootnoteReference"/>
        </w:rPr>
        <w:footnoteReference w:id="316"/>
      </w:r>
      <w:r>
        <w:t xml:space="preserve">. In a secondary endpoint on executive function, liraglutide performed better, but not for activities of daily living or dementia severity. Secondary endpoints without correction for multiple testing are only indications.</w:t>
      </w:r>
    </w:p>
    <w:p>
      <w:pPr>
        <w:numPr>
          <w:ilvl w:val="0"/>
          <w:numId w:val="1043"/>
        </w:numPr>
        <w:pStyle w:val="Compact"/>
      </w:pPr>
      <w:r>
        <w:rPr>
          <w:bCs/>
          <w:b/>
        </w:rPr>
        <w:t xml:space="preserve">Alcohol and other addictions:</w:t>
      </w:r>
      <w:r>
        <w:t xml:space="preserve"> </w:t>
      </w:r>
      <w:r>
        <w:t xml:space="preserve">In a Swedish registry study of 227,866 people with alcohol dependence, the use of liraglutide was associated with a 28% lower risk of alcohol-related hospital admissions</w:t>
      </w:r>
      <w:r>
        <w:rPr>
          <w:rStyle w:val="FootnoteReference"/>
        </w:rPr>
        <w:footnoteReference w:id="317"/>
      </w:r>
      <w:r>
        <w:t xml:space="preserve">. Observational data of this kind show associations, not cause-and-effect relationships.</w:t>
      </w:r>
    </w:p>
    <w:bookmarkEnd w:id="318"/>
    <w:bookmarkEnd w:id="319"/>
    <w:bookmarkStart w:id="322" w:name="animal-and-laboratory-studies-1"/>
    <w:p>
      <w:pPr>
        <w:pStyle w:val="Heading3"/>
      </w:pPr>
      <w:r>
        <w:t xml:space="preserve">Animal and laboratory studies</w:t>
      </w:r>
    </w:p>
    <w:p>
      <w:pPr>
        <w:pStyle w:val="FirstParagraph"/>
      </w:pPr>
      <w:r>
        <w:t xml:space="preserve">Much of today’s understanding of GLP-1 action in the brain comes from animal experiments with liraglutide. In rats and mice, it was shown that, despite its size, the molecule reaches certain brain regions without a tight blood-brain barrier and stimulates appetite-suppressing nerve cells there</w:t>
      </w:r>
      <w:r>
        <w:rPr>
          <w:rStyle w:val="FootnoteReference"/>
        </w:rPr>
        <w:footnoteReference w:id="320"/>
      </w:r>
      <w:r>
        <w:t xml:space="preserve">.</w:t>
      </w:r>
    </w:p>
    <w:p>
      <w:pPr>
        <w:pStyle w:val="BodyText"/>
      </w:pPr>
      <w:r>
        <w:t xml:space="preserve">The findings on the thyroid had particularly far-reaching consequences. In long-term experiments with rats and mice, liraglutide led to proliferation of the C cells (which produce the hormone calcitonin) and to C-cell tumors. Investigation of the mechanism revealed that rodent C cells carry abundant GLP-1 receptors, whereas those of humans and monkeys hardly do</w:t>
      </w:r>
      <w:r>
        <w:rPr>
          <w:rStyle w:val="FootnoteReference"/>
        </w:rPr>
        <w:footnoteReference w:id="321"/>
      </w:r>
      <w:r>
        <w:t xml:space="preserve">. In cynomolgus monkeys, 20 months of liraglutide at an exposure more than 60 times higher than in humans did not lead to C-cell proliferation. Nevertheless, since then a warning about medullary thyroid carcinoma has been included in the prescribing information for the entire class, especially in the USA.</w:t>
      </w:r>
    </w:p>
    <w:p>
      <w:pPr>
        <w:pStyle w:val="BodyText"/>
      </w:pPr>
      <w:r>
        <w:t xml:space="preserve">Further animal studies have dealt with cardioprotection, neuroprotection (Alzheimer’s and Parkinson’s models), fatty liver, and kidney damage. As with exenatide, transferability to humans is limited: the Alzheimer’s trial ELAD, for example, missed its primary endpoint even though the animal data were positive.</w:t>
      </w:r>
    </w:p>
    <w:bookmarkEnd w:id="322"/>
    <w:bookmarkStart w:id="332" w:name="risks-and-side-effects-1"/>
    <w:p>
      <w:pPr>
        <w:pStyle w:val="Heading3"/>
      </w:pPr>
      <w:r>
        <w:t xml:space="preserve">Risks and side effects</w:t>
      </w:r>
    </w:p>
    <w:p>
      <w:pPr>
        <w:pStyle w:val="FirstParagraph"/>
      </w:pPr>
      <w:r>
        <w:rPr>
          <w:bCs/>
          <w:b/>
        </w:rPr>
        <w:t xml:space="preserve">Established from randomized trials:</w:t>
      </w:r>
    </w:p>
    <w:p>
      <w:pPr>
        <w:numPr>
          <w:ilvl w:val="0"/>
          <w:numId w:val="1044"/>
        </w:numPr>
        <w:pStyle w:val="Compact"/>
      </w:pPr>
      <w:r>
        <w:rPr>
          <w:bCs/>
          <w:b/>
        </w:rPr>
        <w:t xml:space="preserve">Gastrointestinal complaints:</w:t>
      </w:r>
      <w:r>
        <w:t xml:space="preserve"> </w:t>
      </w:r>
      <w:r>
        <w:t xml:space="preserve">Nausea, diarrhea, vomiting, and constipation are the most common side effects and usually the reason for discontinuing therapy</w:t>
      </w:r>
      <w:r>
        <w:rPr>
          <w:rStyle w:val="FootnoteReference"/>
        </w:rPr>
        <w:footnoteReference w:id="323"/>
      </w:r>
      <w:r>
        <w:t xml:space="preserve">. They occur mainly at the start and after dose increases. At the higher obesity dose, they are more frequent than at the diabetes dose</w:t>
      </w:r>
      <w:r>
        <w:rPr>
          <w:rStyle w:val="FootnoteReference"/>
        </w:rPr>
        <w:footnoteReference w:id="324"/>
      </w:r>
      <w:r>
        <w:t xml:space="preserve">.</w:t>
      </w:r>
    </w:p>
    <w:p>
      <w:pPr>
        <w:numPr>
          <w:ilvl w:val="0"/>
          <w:numId w:val="1044"/>
        </w:numPr>
        <w:pStyle w:val="Compact"/>
      </w:pPr>
      <w:r>
        <w:rPr>
          <w:bCs/>
          <w:b/>
        </w:rPr>
        <w:t xml:space="preserve">Gallbladder:</w:t>
      </w:r>
      <w:r>
        <w:t xml:space="preserve"> </w:t>
      </w:r>
      <w:r>
        <w:t xml:space="preserve">A meta-analysis of 76 randomized trials with 103,371 participants found a 37% increased relative risk for gallbladder and biliary diseases such as gallstones and cholecystitis for the GLP-1 class</w:t>
      </w:r>
      <w:r>
        <w:rPr>
          <w:rStyle w:val="FootnoteReference"/>
        </w:rPr>
        <w:footnoteReference w:id="325"/>
      </w:r>
      <w:r>
        <w:t xml:space="preserve">. The risk was greater at higher doses, with longer use, and in weight-loss trials (relative risk 2.29). Part of this is likely related to the rapid weight loss itself.</w:t>
      </w:r>
    </w:p>
    <w:p>
      <w:pPr>
        <w:numPr>
          <w:ilvl w:val="0"/>
          <w:numId w:val="1044"/>
        </w:numPr>
        <w:pStyle w:val="Compact"/>
      </w:pPr>
      <w:r>
        <w:rPr>
          <w:bCs/>
          <w:b/>
        </w:rPr>
        <w:t xml:space="preserve">Hypoglycemia:</w:t>
      </w:r>
      <w:r>
        <w:t xml:space="preserve"> </w:t>
      </w:r>
      <w:r>
        <w:t xml:space="preserve">rare on its own, more frequent in combination with sulfonylureas or insulin.</w:t>
      </w:r>
    </w:p>
    <w:p>
      <w:pPr>
        <w:numPr>
          <w:ilvl w:val="0"/>
          <w:numId w:val="1044"/>
        </w:numPr>
        <w:pStyle w:val="Compact"/>
      </w:pPr>
      <w:r>
        <w:rPr>
          <w:bCs/>
          <w:b/>
        </w:rPr>
        <w:t xml:space="preserve">Heart rate:</w:t>
      </w:r>
      <w:r>
        <w:t xml:space="preserve"> </w:t>
      </w:r>
      <w:r>
        <w:t xml:space="preserve">Liraglutide slightly increases the resting pulse by a few beats per minute; in view of the LEADER results, the clinical significance is considered small.</w:t>
      </w:r>
    </w:p>
    <w:p>
      <w:pPr>
        <w:pStyle w:val="FirstParagraph"/>
      </w:pPr>
      <w:r>
        <w:rPr>
          <w:bCs/>
          <w:b/>
        </w:rPr>
        <w:t xml:space="preserve">Investigated but uncertain or not confirmed:</w:t>
      </w:r>
    </w:p>
    <w:p>
      <w:pPr>
        <w:numPr>
          <w:ilvl w:val="0"/>
          <w:numId w:val="1045"/>
        </w:numPr>
        <w:pStyle w:val="Compact"/>
      </w:pPr>
      <w:r>
        <w:rPr>
          <w:bCs/>
          <w:b/>
        </w:rPr>
        <w:t xml:space="preserve">Pancreatitis:</w:t>
      </w:r>
      <w:r>
        <w:t xml:space="preserve"> </w:t>
      </w:r>
      <w:r>
        <w:t xml:space="preserve">In LEADER, it did not occur more frequently on liraglutide than on placebo</w:t>
      </w:r>
      <w:r>
        <w:rPr>
          <w:rStyle w:val="FootnoteReference"/>
        </w:rPr>
        <w:footnoteReference w:id="326"/>
      </w:r>
      <w:r>
        <w:t xml:space="preserve">. An older meta-analysis likewise found no increased risk</w:t>
      </w:r>
      <w:r>
        <w:rPr>
          <w:rStyle w:val="FootnoteReference"/>
        </w:rPr>
        <w:footnoteReference w:id="327"/>
      </w:r>
      <w:r>
        <w:t xml:space="preserve">. The prescribing information nevertheless lists it as a rare side effect; severe persistent abdominal pain requires medical evaluation.</w:t>
      </w:r>
    </w:p>
    <w:p>
      <w:pPr>
        <w:numPr>
          <w:ilvl w:val="0"/>
          <w:numId w:val="1045"/>
        </w:numPr>
        <w:pStyle w:val="Compact"/>
      </w:pPr>
      <w:r>
        <w:rPr>
          <w:bCs/>
          <w:b/>
        </w:rPr>
        <w:t xml:space="preserve">Thyroid cancer:</w:t>
      </w:r>
      <w:r>
        <w:t xml:space="preserve"> </w:t>
      </w:r>
      <w:r>
        <w:t xml:space="preserve">The animal findings are described above. In humans, the data are contradictory. A French case-control study with 2,562 cases found an increased risk of thyroid cancer overall (HR 1.58) and of the rare medullary carcinoma (HR 1.78) after one to three years of GLP-1 therapy</w:t>
      </w:r>
      <w:r>
        <w:rPr>
          <w:rStyle w:val="FootnoteReference"/>
        </w:rPr>
        <w:footnoteReference w:id="328"/>
      </w:r>
      <w:r>
        <w:t xml:space="preserve">. A meta-analysis of 50 randomized trials also showed a signal (odds ratio 1.55)</w:t>
      </w:r>
      <w:r>
        <w:rPr>
          <w:rStyle w:val="FootnoteReference"/>
        </w:rPr>
        <w:footnoteReference w:id="329"/>
      </w:r>
      <w:r>
        <w:t xml:space="preserve">. It is being debated whether part of this is due to more frequent examinations in those treated. According to the prescribing information, people with a personal or family history of medullary thyroid carcinoma should not use GLP-1 receptor agonists.</w:t>
      </w:r>
    </w:p>
    <w:p>
      <w:pPr>
        <w:numPr>
          <w:ilvl w:val="0"/>
          <w:numId w:val="1045"/>
        </w:numPr>
        <w:pStyle w:val="Compact"/>
      </w:pPr>
      <w:r>
        <w:rPr>
          <w:bCs/>
          <w:b/>
        </w:rPr>
        <w:t xml:space="preserve">Psychiatric side effects and suicidal thoughts:</w:t>
      </w:r>
      <w:r>
        <w:t xml:space="preserve"> </w:t>
      </w:r>
      <w:r>
        <w:t xml:space="preserve">Following individual reports, the European and US authorities examined a possible connection in 2023/2024 and found no evidence of a causal relationship. In a Scandinavian cohort study with 124,517 people on GLP-1 receptor agonists, the risk of suicide was not increased compared with SGLT2 inhibitors (HR 1.25; confidence interval 0.83–1.88)</w:t>
      </w:r>
      <w:r>
        <w:rPr>
          <w:rStyle w:val="FootnoteReference"/>
        </w:rPr>
        <w:footnoteReference w:id="330"/>
      </w:r>
      <w:r>
        <w:t xml:space="preserve">. A 2026 meta-analysis likewise found no association in randomized trials</w:t>
      </w:r>
      <w:r>
        <w:rPr>
          <w:rStyle w:val="FootnoteReference"/>
        </w:rPr>
        <w:footnoteReference w:id="331"/>
      </w:r>
      <w:r>
        <w:t xml:space="preserve">. The observation remains subject to further monitoring.</w:t>
      </w:r>
    </w:p>
    <w:p>
      <w:pPr>
        <w:pStyle w:val="FirstParagraph"/>
      </w:pPr>
      <w:r>
        <w:rPr>
          <w:bCs/>
          <w:b/>
        </w:rPr>
        <w:t xml:space="preserve">Notes for practice:</w:t>
      </w:r>
      <w:r>
        <w:t xml:space="preserve"> </w:t>
      </w:r>
      <w:r>
        <w:t xml:space="preserve">Liraglutide is not indicated during pregnancy. Like all GLP-1 receptor agonists, it slows gastric emptying, which can play a role during anesthesia and in the absorption of other medications. The prescribing information and medical supervision are authoritative, including for the gradual dose escalation.</w:t>
      </w:r>
    </w:p>
    <w:bookmarkEnd w:id="332"/>
    <w:bookmarkStart w:id="333" w:name="legal-status-1"/>
    <w:p>
      <w:pPr>
        <w:pStyle w:val="Heading3"/>
      </w:pPr>
      <w:r>
        <w:t xml:space="preserve">Legal status</w:t>
      </w:r>
    </w:p>
    <w:p>
      <w:pPr>
        <w:numPr>
          <w:ilvl w:val="0"/>
          <w:numId w:val="1046"/>
        </w:numPr>
        <w:pStyle w:val="Compact"/>
      </w:pPr>
      <w:r>
        <w:rPr>
          <w:bCs/>
          <w:b/>
        </w:rPr>
        <w:t xml:space="preserve">EU:</w:t>
      </w:r>
      <w:r>
        <w:t xml:space="preserve"> </w:t>
      </w:r>
      <w:r>
        <w:t xml:space="preserve">Victoza has been approved since 2009 for the treatment of type 2 diabetes, Saxenda since 2015 for weight management in adults and adolescents. Both are prescription-only.</w:t>
      </w:r>
    </w:p>
    <w:p>
      <w:pPr>
        <w:numPr>
          <w:ilvl w:val="0"/>
          <w:numId w:val="1046"/>
        </w:numPr>
        <w:pStyle w:val="Compact"/>
      </w:pPr>
      <w:r>
        <w:rPr>
          <w:bCs/>
          <w:b/>
        </w:rPr>
        <w:t xml:space="preserve">Germany:</w:t>
      </w:r>
      <w:r>
        <w:t xml:space="preserve"> </w:t>
      </w:r>
      <w:r>
        <w:t xml:space="preserve">For diabetes, statutory health insurers reimburse liraglutide. Weight-reduction drugs, by contrast, are in principle excluded from reimbursement under Section 34 of Book V of the Social Code (SGB V); insured persons generally have to pay for Saxenda themselves.</w:t>
      </w:r>
    </w:p>
    <w:p>
      <w:pPr>
        <w:numPr>
          <w:ilvl w:val="0"/>
          <w:numId w:val="1046"/>
        </w:numPr>
        <w:pStyle w:val="Compact"/>
      </w:pPr>
      <w:r>
        <w:rPr>
          <w:bCs/>
          <w:b/>
        </w:rPr>
        <w:t xml:space="preserve">Austria:</w:t>
      </w:r>
      <w:r>
        <w:t xml:space="preserve"> </w:t>
      </w:r>
      <w:r>
        <w:t xml:space="preserve">prescription-only; coverage of costs for weight management is restricted and subject to conditions (please check for current information).</w:t>
      </w:r>
    </w:p>
    <w:p>
      <w:pPr>
        <w:numPr>
          <w:ilvl w:val="0"/>
          <w:numId w:val="1046"/>
        </w:numPr>
        <w:pStyle w:val="Compact"/>
      </w:pPr>
      <w:r>
        <w:rPr>
          <w:bCs/>
          <w:b/>
        </w:rPr>
        <w:t xml:space="preserve">USA:</w:t>
      </w:r>
      <w:r>
        <w:t xml:space="preserve"> </w:t>
      </w:r>
      <w:r>
        <w:t xml:space="preserve">Victoza and Saxenda approved, Victoza additionally for reducing cardiovascular risk. Generics of the diabetes form have been on the market since 2024, and of the obesity form since 2025.</w:t>
      </w:r>
    </w:p>
    <w:p>
      <w:pPr>
        <w:numPr>
          <w:ilvl w:val="0"/>
          <w:numId w:val="1046"/>
        </w:numPr>
        <w:pStyle w:val="Compact"/>
      </w:pPr>
      <w:r>
        <w:rPr>
          <w:bCs/>
          <w:b/>
        </w:rPr>
        <w:t xml:space="preserve">Generics in Europe:</w:t>
      </w:r>
      <w:r>
        <w:t xml:space="preserve"> </w:t>
      </w:r>
      <w:r>
        <w:t xml:space="preserve">Since liraglutide is a synthetically or recombinantly producible peptide whose patent protection has expired, copycat products are also coming onto the market in Europe. The situation differs from country to country; please check for current information.</w:t>
      </w:r>
    </w:p>
    <w:p>
      <w:pPr>
        <w:numPr>
          <w:ilvl w:val="0"/>
          <w:numId w:val="1046"/>
        </w:numPr>
        <w:pStyle w:val="Compact"/>
      </w:pPr>
      <w:r>
        <w:rPr>
          <w:bCs/>
          <w:b/>
        </w:rPr>
        <w:t xml:space="preserve">Sport (WADA):</w:t>
      </w:r>
      <w:r>
        <w:t xml:space="preserve"> </w:t>
      </w:r>
      <w:r>
        <w:t xml:space="preserve">not listed (status as of 2026; please check for current information).</w:t>
      </w:r>
    </w:p>
    <w:p>
      <w:pPr>
        <w:pStyle w:val="FirstParagraph"/>
      </w:pPr>
      <w:r>
        <w:t xml:space="preserve">The generics make liraglutide a special case in its class: it is the first GLP-1 drug with proven cardiovascular benefit that can become considerably cheaper. This is particularly important in countries with limited health budgets, even though the daily injection and the smaller effect compared with semaglutide remain disadvantages. More on patent expirations and prices in Part V.</w:t>
      </w:r>
    </w:p>
    <w:bookmarkEnd w:id="333"/>
    <w:bookmarkStart w:id="339" w:name="ongoing-studies-and-outlook-1"/>
    <w:p>
      <w:pPr>
        <w:pStyle w:val="Heading3"/>
      </w:pPr>
      <w:r>
        <w:t xml:space="preserve">Ongoing studies and outlook</w:t>
      </w:r>
    </w:p>
    <w:p>
      <w:pPr>
        <w:pStyle w:val="FirstParagraph"/>
      </w:pPr>
      <w:r>
        <w:rPr>
          <w:bCs/>
          <w:b/>
        </w:rPr>
        <w:t xml:space="preserve">Established (registered studies):</w:t>
      </w:r>
      <w:r>
        <w:t xml:space="preserve"> </w:t>
      </w:r>
      <w:r>
        <w:t xml:space="preserve">There are hardly any new approval trials by Novo Nordisk; research is mainly carried out by hospitals and universities. Examples:</w:t>
      </w:r>
    </w:p>
    <w:p>
      <w:pPr>
        <w:numPr>
          <w:ilvl w:val="0"/>
          <w:numId w:val="1047"/>
        </w:numPr>
        <w:pStyle w:val="Compact"/>
      </w:pPr>
      <w:r>
        <w:t xml:space="preserve">A study with 890 women with obesity, unfulfilled desire for children, and polycystic ovary syndrome (PCOS) is testing liraglutide before fertility treatment</w:t>
      </w:r>
      <w:r>
        <w:rPr>
          <w:rStyle w:val="FootnoteReference"/>
        </w:rPr>
        <w:footnoteReference w:id="334"/>
      </w:r>
      <w:r>
        <w:t xml:space="preserve">.</w:t>
      </w:r>
    </w:p>
    <w:p>
      <w:pPr>
        <w:numPr>
          <w:ilvl w:val="0"/>
          <w:numId w:val="1047"/>
        </w:numPr>
        <w:pStyle w:val="Compact"/>
      </w:pPr>
      <w:r>
        <w:t xml:space="preserve">A phase 3 trial with 260 older people with diabetes is investigating whether liraglutide can prevent delirium after heart surgery</w:t>
      </w:r>
      <w:r>
        <w:rPr>
          <w:rStyle w:val="FootnoteReference"/>
        </w:rPr>
        <w:footnoteReference w:id="335"/>
      </w:r>
      <w:r>
        <w:t xml:space="preserve">.</w:t>
      </w:r>
    </w:p>
    <w:p>
      <w:pPr>
        <w:numPr>
          <w:ilvl w:val="0"/>
          <w:numId w:val="1047"/>
        </w:numPr>
        <w:pStyle w:val="Compact"/>
      </w:pPr>
      <w:r>
        <w:t xml:space="preserve">In a hereditary form of diabetes (MODY), liraglutide is being studied in a phase 2 trial</w:t>
      </w:r>
      <w:r>
        <w:rPr>
          <w:rStyle w:val="FootnoteReference"/>
        </w:rPr>
        <w:footnoteReference w:id="336"/>
      </w:r>
      <w:r>
        <w:t xml:space="preserve">.</w:t>
      </w:r>
    </w:p>
    <w:p>
      <w:pPr>
        <w:numPr>
          <w:ilvl w:val="0"/>
          <w:numId w:val="1047"/>
        </w:numPr>
        <w:pStyle w:val="Compact"/>
      </w:pPr>
      <w:r>
        <w:t xml:space="preserve">A large pragmatic trial with 6,000 participants is comparing treatment strategies for preventing heart and kidney disease in type 2 diabetes</w:t>
      </w:r>
      <w:r>
        <w:rPr>
          <w:rStyle w:val="FootnoteReference"/>
        </w:rPr>
        <w:footnoteReference w:id="337"/>
      </w:r>
      <w:r>
        <w:t xml:space="preserve">.</w:t>
      </w:r>
    </w:p>
    <w:p>
      <w:pPr>
        <w:numPr>
          <w:ilvl w:val="0"/>
          <w:numId w:val="1047"/>
        </w:numPr>
        <w:pStyle w:val="Compact"/>
      </w:pPr>
      <w:r>
        <w:t xml:space="preserve">Long-term follow-up of the SCALE Kids participants is continuing</w:t>
      </w:r>
      <w:r>
        <w:rPr>
          <w:rStyle w:val="FootnoteReference"/>
        </w:rPr>
        <w:footnoteReference w:id="338"/>
      </w:r>
      <w:r>
        <w:t xml:space="preserve">.</w:t>
      </w:r>
    </w:p>
    <w:p>
      <w:pPr>
        <w:pStyle w:val="FirstParagraph"/>
      </w:pPr>
      <w:r>
        <w:rPr>
          <w:bCs/>
          <w:b/>
        </w:rPr>
        <w:t xml:space="preserve">Assessment:</w:t>
      </w:r>
      <w:r>
        <w:t xml:space="preserve"> </w:t>
      </w:r>
      <w:r>
        <w:t xml:space="preserve">In wealthy countries, liraglutide is increasingly being displaced by weekly drugs such as semaglutide and tirzepatide. Thanks to generics, however, it is likely to enjoy a second career as a low-cost alternative – especially where the newer drugs are unaffordable or unavailable. Scientifically, it remains an important comparator standard.</w:t>
      </w:r>
    </w:p>
    <w:bookmarkEnd w:id="339"/>
    <w:bookmarkStart w:id="340" w:name="conclusion-1"/>
    <w:p>
      <w:pPr>
        <w:pStyle w:val="Heading3"/>
      </w:pPr>
      <w:r>
        <w:t xml:space="preserve">Conclusion</w:t>
      </w:r>
    </w:p>
    <w:p>
      <w:pPr>
        <w:pStyle w:val="FirstParagraph"/>
      </w:pPr>
      <w:r>
        <w:t xml:space="preserve">Liraglutide was the first almost human-identical GLP-1 drug and the first for which a large trial showed protection against cardiovascular events (LEADER, 9,340 participants, relative risk reduction of 13%). As Saxenda, it was the first GLP-1 medication for weight reduction; on average, participants without diabetes lost about 8 kg in one year. In direct comparisons, it is superior to exenatide, on a par with dulaglutide, and clearly inferior to semaglutide. The most common side effects are gastrointestinal complaints, along with an increased gallbladder risk; the question of thyroid cancer has not been conclusively resolved. With the expiry of patent protection, it is becoming the first low-cost option in its class – treatment nevertheless belongs in the hands of a physician.</w:t>
      </w:r>
    </w:p>
    <w:bookmarkEnd w:id="340"/>
    <w:bookmarkEnd w:id="341"/>
    <w:bookmarkStart w:id="401" w:name="dulaglutide"/>
    <w:p>
      <w:pPr>
        <w:pStyle w:val="Heading2"/>
      </w:pPr>
      <w:r>
        <w:t xml:space="preserve">Dulaglutide</w:t>
      </w:r>
    </w:p>
    <w:bookmarkStart w:id="343" w:name="profile-2"/>
    <w:p>
      <w:pPr>
        <w:pStyle w:val="Heading3"/>
      </w:pPr>
      <w:r>
        <w:t xml:space="preserve">Profile</w:t>
      </w:r>
    </w:p>
    <w:p>
      <w:pPr>
        <w:numPr>
          <w:ilvl w:val="0"/>
          <w:numId w:val="1048"/>
        </w:numPr>
        <w:pStyle w:val="Compact"/>
      </w:pPr>
      <w:r>
        <w:rPr>
          <w:bCs/>
          <w:b/>
        </w:rPr>
        <w:t xml:space="preserve">Type/structure:</w:t>
      </w:r>
      <w:r>
        <w:t xml:space="preserve"> </w:t>
      </w:r>
      <w:r>
        <w:t xml:space="preserve">Fusion protein. Two slightly modified GLP-1 chains are coupled via a short linker to the constant region (Fc portion) of a human IgG4 antibody. Dulaglutide is thus many times larger than liraglutide – strictly speaking more a protein than a small peptide.</w:t>
      </w:r>
    </w:p>
    <w:p>
      <w:pPr>
        <w:numPr>
          <w:ilvl w:val="0"/>
          <w:numId w:val="1048"/>
        </w:numPr>
        <w:pStyle w:val="Compact"/>
      </w:pPr>
      <w:r>
        <w:rPr>
          <w:bCs/>
          <w:b/>
        </w:rPr>
        <w:t xml:space="preserve">Origin:</w:t>
      </w:r>
      <w:r>
        <w:t xml:space="preserve"> </w:t>
      </w:r>
      <w:r>
        <w:t xml:space="preserve">developed by Eli Lilly, produced by genetic engineering in mammalian cells</w:t>
      </w:r>
      <w:r>
        <w:rPr>
          <w:rStyle w:val="FootnoteReference"/>
        </w:rPr>
        <w:footnoteReference w:id="342"/>
      </w:r>
      <w:r>
        <w:t xml:space="preserve">.</w:t>
      </w:r>
    </w:p>
    <w:p>
      <w:pPr>
        <w:numPr>
          <w:ilvl w:val="0"/>
          <w:numId w:val="1048"/>
        </w:numPr>
        <w:pStyle w:val="Compact"/>
      </w:pPr>
      <w:r>
        <w:rPr>
          <w:bCs/>
          <w:b/>
        </w:rPr>
        <w:t xml:space="preserve">Mechanism of action:</w:t>
      </w:r>
      <w:r>
        <w:t xml:space="preserve"> </w:t>
      </w:r>
      <w:r>
        <w:t xml:space="preserve">GLP-1 receptor agonist. The antibody portion protects against breakdown and excretion via the kidneys; one injection per week is sufficient.</w:t>
      </w:r>
    </w:p>
    <w:p>
      <w:pPr>
        <w:numPr>
          <w:ilvl w:val="0"/>
          <w:numId w:val="1048"/>
        </w:numPr>
        <w:pStyle w:val="Compact"/>
      </w:pPr>
      <w:r>
        <w:rPr>
          <w:bCs/>
          <w:b/>
        </w:rPr>
        <w:t xml:space="preserve">Product:</w:t>
      </w:r>
      <w:r>
        <w:t xml:space="preserve"> </w:t>
      </w:r>
      <w:r>
        <w:t xml:space="preserve">Trulicity (prefilled pen, weekly; approved strengths up to 4.5 mg).</w:t>
      </w:r>
    </w:p>
    <w:p>
      <w:pPr>
        <w:numPr>
          <w:ilvl w:val="0"/>
          <w:numId w:val="1048"/>
        </w:numPr>
        <w:pStyle w:val="Compact"/>
      </w:pPr>
      <w:r>
        <w:rPr>
          <w:bCs/>
          <w:b/>
        </w:rPr>
        <w:t xml:space="preserve">EU approval:</w:t>
      </w:r>
      <w:r>
        <w:t xml:space="preserve"> </w:t>
      </w:r>
      <w:r>
        <w:t xml:space="preserve">yes, type 2 diabetes in adults and adolescents aged 10 and older. No approval for weight reduction.</w:t>
      </w:r>
    </w:p>
    <w:p>
      <w:pPr>
        <w:numPr>
          <w:ilvl w:val="0"/>
          <w:numId w:val="1048"/>
        </w:numPr>
        <w:pStyle w:val="Compact"/>
      </w:pPr>
      <w:r>
        <w:rPr>
          <w:bCs/>
          <w:b/>
        </w:rPr>
        <w:t xml:space="preserve">US approval:</w:t>
      </w:r>
      <w:r>
        <w:t xml:space="preserve"> </w:t>
      </w:r>
      <w:r>
        <w:t xml:space="preserve">yes, type 2 diabetes from age 10 and for reducing cardiovascular risk in adults with type 2 diabetes.</w:t>
      </w:r>
    </w:p>
    <w:p>
      <w:pPr>
        <w:numPr>
          <w:ilvl w:val="0"/>
          <w:numId w:val="1048"/>
        </w:numPr>
        <w:pStyle w:val="Compact"/>
      </w:pPr>
      <w:r>
        <w:rPr>
          <w:bCs/>
          <w:b/>
        </w:rPr>
        <w:t xml:space="preserve">WADA:</w:t>
      </w:r>
      <w:r>
        <w:t xml:space="preserve"> </w:t>
      </w:r>
      <w:r>
        <w:t xml:space="preserve">not listed.</w:t>
      </w:r>
    </w:p>
    <w:p>
      <w:pPr>
        <w:numPr>
          <w:ilvl w:val="0"/>
          <w:numId w:val="1048"/>
        </w:numPr>
        <w:pStyle w:val="Compact"/>
      </w:pPr>
      <w:r>
        <w:rPr>
          <w:bCs/>
          <w:b/>
        </w:rPr>
        <w:t xml:space="preserve">Evidence level:</w:t>
      </w:r>
      <w:r>
        <w:t xml:space="preserve"> </w:t>
      </w:r>
      <w:r>
        <w:rPr>
          <w:bCs/>
          <w:b/>
        </w:rPr>
        <w:t xml:space="preserve">A</w:t>
      </w:r>
      <w:r>
        <w:t xml:space="preserve"> </w:t>
      </w:r>
      <w:r>
        <w:t xml:space="preserve">– AWARD study program with more than ten randomized phase 3 trials, outcomes trial REWIND, study in adolescents.</w:t>
      </w:r>
    </w:p>
    <w:bookmarkEnd w:id="343"/>
    <w:bookmarkStart w:id="346" w:name="how-it-is-supposed-to-work-2"/>
    <w:p>
      <w:pPr>
        <w:pStyle w:val="Heading3"/>
      </w:pPr>
      <w:r>
        <w:t xml:space="preserve">How it is supposed to work</w:t>
      </w:r>
    </w:p>
    <w:p>
      <w:pPr>
        <w:pStyle w:val="FirstParagraph"/>
      </w:pPr>
      <w:r>
        <w:t xml:space="preserve">Dulaglutide acts on the GLP-1 receptor like exenatide, liraglutide, and semaglutide: it enhances glucose-dependent insulin release, suppresses the hormone glucagon, slows gastric emptying, and dampens appetite. The basic mechanism is explained in the chapter Exenatide.</w:t>
      </w:r>
    </w:p>
    <w:p>
      <w:pPr>
        <w:pStyle w:val="BodyText"/>
      </w:pPr>
      <w:r>
        <w:t xml:space="preserve">The difference lies in the packaging. Liraglutide and semaglutide are bound to blood proteins via an attached fatty acid. Lilly took a different path and coupled the hormone to the Fc portion of an antibody. This building block is known from biotechnology: it makes molecules so large that the kidneys no longer filter them out, and it uses an endogenous recycling pathway that protects antibodies from breakdown. In rats and cynomolgus monkeys, the half-life of the drug was 1.5 to 2 days; in humans it is longer and allows weekly dosing</w:t>
      </w:r>
      <w:r>
        <w:rPr>
          <w:rStyle w:val="FootnoteReference"/>
        </w:rPr>
        <w:footnoteReference w:id="344"/>
      </w:r>
      <w:r>
        <w:t xml:space="preserve">.</w:t>
      </w:r>
    </w:p>
    <w:p>
      <w:pPr>
        <w:pStyle w:val="BodyText"/>
      </w:pPr>
      <w:r>
        <w:t xml:space="preserve">In the GLP-1 chains themselves, individual amino acids were exchanged – partly to prevent breakdown by the enzyme DPP-4, partly to reduce the formation of antibodies against the drug. Indeed, in nine studies only 1.6% of those treated with dulaglutide formed antibodies against the medication</w:t>
      </w:r>
      <w:r>
        <w:rPr>
          <w:rStyle w:val="FootnoteReference"/>
        </w:rPr>
        <w:footnoteReference w:id="345"/>
      </w:r>
      <w:r>
        <w:t xml:space="preserve"> </w:t>
      </w:r>
      <w:r>
        <w:t xml:space="preserve">– considerably fewer than with exenatide.</w:t>
      </w:r>
    </w:p>
    <w:p>
      <w:pPr>
        <w:pStyle w:val="BodyText"/>
      </w:pPr>
      <w:r>
        <w:t xml:space="preserve">A disadvantage of its size: the molecule presumably has more difficulty reaching the brain regions that control appetite. This could explain why dulaglutide produces less weight loss than semaglutide despite comparable blood sugar reduction. This explanation is plausible but not proven.</w:t>
      </w:r>
    </w:p>
    <w:bookmarkEnd w:id="346"/>
    <w:bookmarkStart w:id="378" w:name="human-studies-2"/>
    <w:p>
      <w:pPr>
        <w:pStyle w:val="Heading3"/>
      </w:pPr>
      <w:r>
        <w:t xml:space="preserve">Human studies</w:t>
      </w:r>
    </w:p>
    <w:p>
      <w:pPr>
        <w:pStyle w:val="FirstParagraph"/>
      </w:pPr>
      <w:r>
        <w:t xml:space="preserve">The PubMed query evaluated for this book (search term</w:t>
      </w:r>
      <w:r>
        <w:t xml:space="preserve"> </w:t>
      </w:r>
      <w:r>
        <w:t xml:space="preserve">“</w:t>
      </w:r>
      <w:r>
        <w:t xml:space="preserve">dulaglutide</w:t>
      </w:r>
      <w:r>
        <w:t xml:space="preserve">”</w:t>
      </w:r>
      <w:r>
        <w:t xml:space="preserve"> </w:t>
      </w:r>
      <w:r>
        <w:t xml:space="preserve">in title or abstract, query date October 2026) yielded 158 human studies; ClinicalTrials.gov lists 143 registry entries. The number is smaller than for liraglutide or semaglutide, but the studies are particularly systematic: the AWARD program (Assessment of Weekly AdministRation of LY2189265 in Diabetes) tested dulaglutide against almost every common diabetes therapy. It is also striking how often dulaglutide itself serves as the comparator for newer drugs – from semaglutide and tirzepatide to new Chinese developments.</w:t>
      </w:r>
    </w:p>
    <w:bookmarkStart w:id="351" w:name="the-award-program"/>
    <w:p>
      <w:pPr>
        <w:pStyle w:val="Heading4"/>
      </w:pPr>
      <w:r>
        <w:t xml:space="preserve">The AWARD Program</w:t>
      </w:r>
    </w:p>
    <w:p>
      <w:pPr>
        <w:pStyle w:val="FirstParagraph"/>
      </w:pPr>
      <w:r>
        <w:t xml:space="preserve">In most AWARD trials, the doses of 0.75 and 1.5 mg per week were tested. The table shows the result of the higher dose in each case.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 (dulaglutide 1.5 mg vs. comparator)</w:t>
            </w:r>
          </w:p>
        </w:tc>
      </w:tr>
      <w:tr>
        <w:tc>
          <w:tcPr/>
          <w:p>
            <w:pPr>
              <w:pStyle w:val="Compact"/>
              <w:jc w:val="left"/>
            </w:pPr>
            <w:r>
              <w:t xml:space="preserve">AWARD-1 (Wysham 2014), PMID 24879836</w:t>
            </w:r>
          </w:p>
        </w:tc>
        <w:tc>
          <w:tcPr/>
          <w:p>
            <w:pPr>
              <w:pStyle w:val="Compact"/>
              <w:jc w:val="left"/>
            </w:pPr>
            <w:r>
              <w:t xml:space="preserve">Type 2 diabetes on metformin and pioglitazone; vs. exenatide twice daily and placebo</w:t>
            </w:r>
          </w:p>
        </w:tc>
        <w:tc>
          <w:tcPr/>
          <w:p>
            <w:pPr>
              <w:pStyle w:val="Compact"/>
              <w:jc w:val="left"/>
            </w:pPr>
            <w:r>
              <w:t xml:space="preserve">52 weeks (primary endpoint 26)</w:t>
            </w:r>
          </w:p>
        </w:tc>
        <w:tc>
          <w:tcPr/>
          <w:p>
            <w:pPr>
              <w:pStyle w:val="Compact"/>
              <w:jc w:val="left"/>
            </w:pPr>
            <w:r>
              <w:t xml:space="preserve">HbA1c −1.51 vs. −0.99 (exenatide) vs. −0.46 (placebo)</w:t>
            </w:r>
          </w:p>
        </w:tc>
      </w:tr>
      <w:tr>
        <w:tc>
          <w:tcPr/>
          <w:p>
            <w:pPr>
              <w:pStyle w:val="Compact"/>
              <w:jc w:val="left"/>
            </w:pPr>
            <w:r>
              <w:t xml:space="preserve">AWARD-2 (Giorgino 2015), PMID 26089386</w:t>
            </w:r>
          </w:p>
        </w:tc>
        <w:tc>
          <w:tcPr/>
          <w:p>
            <w:pPr>
              <w:pStyle w:val="Compact"/>
              <w:jc w:val="left"/>
            </w:pPr>
            <w:r>
              <w:t xml:space="preserve">810 people on metformin and glimepiride; open-label vs. insulin glargine</w:t>
            </w:r>
          </w:p>
        </w:tc>
        <w:tc>
          <w:tcPr/>
          <w:p>
            <w:pPr>
              <w:pStyle w:val="Compact"/>
              <w:jc w:val="left"/>
            </w:pPr>
            <w:r>
              <w:t xml:space="preserve">78 weeks</w:t>
            </w:r>
          </w:p>
        </w:tc>
        <w:tc>
          <w:tcPr/>
          <w:p>
            <w:pPr>
              <w:pStyle w:val="Compact"/>
              <w:jc w:val="left"/>
            </w:pPr>
            <w:r>
              <w:t xml:space="preserve">HbA1c −1.08 vs. −0.63; weight decreased vs. increased</w:t>
            </w:r>
          </w:p>
        </w:tc>
      </w:tr>
      <w:tr>
        <w:tc>
          <w:tcPr/>
          <w:p>
            <w:pPr>
              <w:pStyle w:val="Compact"/>
              <w:jc w:val="left"/>
            </w:pPr>
            <w:r>
              <w:t xml:space="preserve">AWARD-3 (Umpierrez 2014), PMID 24842985</w:t>
            </w:r>
          </w:p>
        </w:tc>
        <w:tc>
          <w:tcPr/>
          <w:p>
            <w:pPr>
              <w:pStyle w:val="Compact"/>
              <w:jc w:val="left"/>
            </w:pPr>
            <w:r>
              <w:t xml:space="preserve">early type 2 diabetes, monotherapy; double-blind vs. metformin</w:t>
            </w:r>
          </w:p>
        </w:tc>
        <w:tc>
          <w:tcPr/>
          <w:p>
            <w:pPr>
              <w:pStyle w:val="Compact"/>
              <w:jc w:val="left"/>
            </w:pPr>
            <w:r>
              <w:t xml:space="preserve">52 weeks (primary endpoint 26)</w:t>
            </w:r>
          </w:p>
        </w:tc>
        <w:tc>
          <w:tcPr/>
          <w:p>
            <w:pPr>
              <w:pStyle w:val="Compact"/>
              <w:jc w:val="left"/>
            </w:pPr>
            <w:r>
              <w:t xml:space="preserve">HbA1c −0.78 vs. −0.56</w:t>
            </w:r>
          </w:p>
        </w:tc>
      </w:tr>
      <w:tr>
        <w:tc>
          <w:tcPr/>
          <w:p>
            <w:pPr>
              <w:pStyle w:val="Compact"/>
              <w:jc w:val="left"/>
            </w:pPr>
            <w:r>
              <w:t xml:space="preserve">AWARD-4 (Blonde 2015), PMID 26009229</w:t>
            </w:r>
          </w:p>
        </w:tc>
        <w:tc>
          <w:tcPr/>
          <w:p>
            <w:pPr>
              <w:pStyle w:val="Compact"/>
              <w:jc w:val="left"/>
            </w:pPr>
            <w:r>
              <w:t xml:space="preserve">884 people on mealtime insulin; open-label vs. insulin glargine</w:t>
            </w:r>
          </w:p>
        </w:tc>
        <w:tc>
          <w:tcPr/>
          <w:p>
            <w:pPr>
              <w:pStyle w:val="Compact"/>
              <w:jc w:val="left"/>
            </w:pPr>
            <w:r>
              <w:t xml:space="preserve">52 weeks (primary endpoint 26)</w:t>
            </w:r>
          </w:p>
        </w:tc>
        <w:tc>
          <w:tcPr/>
          <w:p>
            <w:pPr>
              <w:pStyle w:val="Compact"/>
              <w:jc w:val="left"/>
            </w:pPr>
            <w:r>
              <w:t xml:space="preserve">HbA1c −1.64 vs. −1.41</w:t>
            </w:r>
          </w:p>
        </w:tc>
      </w:tr>
      <w:tr>
        <w:tc>
          <w:tcPr/>
          <w:p>
            <w:pPr>
              <w:pStyle w:val="Compact"/>
              <w:jc w:val="left"/>
            </w:pPr>
            <w:r>
              <w:t xml:space="preserve">AWARD-5 (Nauck 2014), PMID 24742660</w:t>
            </w:r>
          </w:p>
        </w:tc>
        <w:tc>
          <w:tcPr/>
          <w:p>
            <w:pPr>
              <w:pStyle w:val="Compact"/>
              <w:jc w:val="left"/>
            </w:pPr>
            <w:r>
              <w:t xml:space="preserve">1,098 people on metformin; vs. sitagliptin</w:t>
            </w:r>
          </w:p>
        </w:tc>
        <w:tc>
          <w:tcPr/>
          <w:p>
            <w:pPr>
              <w:pStyle w:val="Compact"/>
              <w:jc w:val="left"/>
            </w:pPr>
            <w:r>
              <w:t xml:space="preserve">52 weeks</w:t>
            </w:r>
          </w:p>
        </w:tc>
        <w:tc>
          <w:tcPr/>
          <w:p>
            <w:pPr>
              <w:pStyle w:val="Compact"/>
              <w:jc w:val="left"/>
            </w:pPr>
            <w:r>
              <w:t xml:space="preserve">HbA1c −1.10 vs. −0.39; weight −3.03 vs. −1.53 kg</w:t>
            </w:r>
          </w:p>
        </w:tc>
      </w:tr>
      <w:tr>
        <w:tc>
          <w:tcPr/>
          <w:p>
            <w:pPr>
              <w:pStyle w:val="Compact"/>
              <w:jc w:val="left"/>
            </w:pPr>
            <w:r>
              <w:t xml:space="preserve">AWARD-6 (Dungan 2014), PMID 25018121</w:t>
            </w:r>
          </w:p>
        </w:tc>
        <w:tc>
          <w:tcPr/>
          <w:p>
            <w:pPr>
              <w:pStyle w:val="Compact"/>
              <w:jc w:val="left"/>
            </w:pPr>
            <w:r>
              <w:t xml:space="preserve">599 people on metformin; open-label vs. liraglutide</w:t>
            </w:r>
          </w:p>
        </w:tc>
        <w:tc>
          <w:tcPr/>
          <w:p>
            <w:pPr>
              <w:pStyle w:val="Compact"/>
              <w:jc w:val="left"/>
            </w:pPr>
            <w:r>
              <w:t xml:space="preserve">26 weeks</w:t>
            </w:r>
          </w:p>
        </w:tc>
        <w:tc>
          <w:tcPr/>
          <w:p>
            <w:pPr>
              <w:pStyle w:val="Compact"/>
              <w:jc w:val="left"/>
            </w:pPr>
            <w:r>
              <w:t xml:space="preserve">HbA1c −1.42 vs. −1.36; equivalent</w:t>
            </w:r>
          </w:p>
        </w:tc>
      </w:tr>
      <w:tr>
        <w:tc>
          <w:tcPr/>
          <w:p>
            <w:pPr>
              <w:pStyle w:val="Compact"/>
              <w:jc w:val="left"/>
            </w:pPr>
            <w:r>
              <w:t xml:space="preserve">AWARD-7 (Tuttle 2018), PMID 29910024</w:t>
            </w:r>
          </w:p>
        </w:tc>
        <w:tc>
          <w:tcPr/>
          <w:p>
            <w:pPr>
              <w:pStyle w:val="Compact"/>
              <w:jc w:val="left"/>
            </w:pPr>
            <w:r>
              <w:t xml:space="preserve">577 people with moderate to severe chronic kidney disease; vs. insulin glargine</w:t>
            </w:r>
          </w:p>
        </w:tc>
        <w:tc>
          <w:tcPr/>
          <w:p>
            <w:pPr>
              <w:pStyle w:val="Compact"/>
              <w:jc w:val="left"/>
            </w:pPr>
            <w:r>
              <w:t xml:space="preserve">52 weeks</w:t>
            </w:r>
          </w:p>
        </w:tc>
        <w:tc>
          <w:tcPr/>
          <w:p>
            <w:pPr>
              <w:pStyle w:val="Compact"/>
              <w:jc w:val="left"/>
            </w:pPr>
            <w:r>
              <w:t xml:space="preserve">HbA1c −1.2 vs. −1.1; kidney function better preserved after 52 weeks</w:t>
            </w:r>
          </w:p>
        </w:tc>
      </w:tr>
      <w:tr>
        <w:tc>
          <w:tcPr/>
          <w:p>
            <w:pPr>
              <w:pStyle w:val="Compact"/>
              <w:jc w:val="left"/>
            </w:pPr>
            <w:r>
              <w:t xml:space="preserve">AWARD-8 (Dungan 2016), PMID 26799540</w:t>
            </w:r>
          </w:p>
        </w:tc>
        <w:tc>
          <w:tcPr/>
          <w:p>
            <w:pPr>
              <w:pStyle w:val="Compact"/>
              <w:jc w:val="left"/>
            </w:pPr>
            <w:r>
              <w:t xml:space="preserve">Type 2 diabetes on glimepiride; vs. placebo</w:t>
            </w:r>
          </w:p>
        </w:tc>
        <w:tc>
          <w:tcPr/>
          <w:p>
            <w:pPr>
              <w:pStyle w:val="Compact"/>
              <w:jc w:val="left"/>
            </w:pPr>
            <w:r>
              <w:t xml:space="preserve">24 weeks</w:t>
            </w:r>
          </w:p>
        </w:tc>
        <w:tc>
          <w:tcPr/>
          <w:p>
            <w:pPr>
              <w:pStyle w:val="Compact"/>
              <w:jc w:val="left"/>
            </w:pPr>
            <w:r>
              <w:t xml:space="preserve">HbA1c difference −1.3 percentage points; more hypoglycemia</w:t>
            </w:r>
          </w:p>
        </w:tc>
      </w:tr>
      <w:tr>
        <w:tc>
          <w:tcPr/>
          <w:p>
            <w:pPr>
              <w:pStyle w:val="Compact"/>
              <w:jc w:val="left"/>
            </w:pPr>
            <w:r>
              <w:t xml:space="preserve">AWARD-10 (Ludvik 2018), PMID 29483060</w:t>
            </w:r>
          </w:p>
        </w:tc>
        <w:tc>
          <w:tcPr/>
          <w:p>
            <w:pPr>
              <w:pStyle w:val="Compact"/>
              <w:jc w:val="left"/>
            </w:pPr>
            <w:r>
              <w:t xml:space="preserve">424 people on SGLT2 inhibitor; vs. placebo</w:t>
            </w:r>
          </w:p>
        </w:tc>
        <w:tc>
          <w:tcPr/>
          <w:p>
            <w:pPr>
              <w:pStyle w:val="Compact"/>
              <w:jc w:val="left"/>
            </w:pPr>
            <w:r>
              <w:t xml:space="preserve">24 weeks</w:t>
            </w:r>
          </w:p>
        </w:tc>
        <w:tc>
          <w:tcPr/>
          <w:p>
            <w:pPr>
              <w:pStyle w:val="Compact"/>
              <w:jc w:val="left"/>
            </w:pPr>
            <w:r>
              <w:t xml:space="preserve">HbA1c −1.34 vs. −0.54</w:t>
            </w:r>
          </w:p>
        </w:tc>
      </w:tr>
      <w:tr>
        <w:tc>
          <w:tcPr/>
          <w:p>
            <w:pPr>
              <w:pStyle w:val="Compact"/>
              <w:jc w:val="left"/>
            </w:pPr>
            <w:r>
              <w:t xml:space="preserve">AWARD-11 (Frias 2021), PMID 33397768</w:t>
            </w:r>
          </w:p>
        </w:tc>
        <w:tc>
          <w:tcPr/>
          <w:p>
            <w:pPr>
              <w:pStyle w:val="Compact"/>
              <w:jc w:val="left"/>
            </w:pPr>
            <w:r>
              <w:t xml:space="preserve">1,842 people on metformin; 4.5 and 3.0 mg vs. 1.5 mg</w:t>
            </w:r>
          </w:p>
        </w:tc>
        <w:tc>
          <w:tcPr/>
          <w:p>
            <w:pPr>
              <w:pStyle w:val="Compact"/>
              <w:jc w:val="left"/>
            </w:pPr>
            <w:r>
              <w:t xml:space="preserve">36 weeks</w:t>
            </w:r>
          </w:p>
        </w:tc>
        <w:tc>
          <w:tcPr/>
          <w:p>
            <w:pPr>
              <w:pStyle w:val="Compact"/>
              <w:jc w:val="left"/>
            </w:pPr>
            <w:r>
              <w:t xml:space="preserve">HbA1c −1.77 (4.5 mg) vs. −1.54; weight −4.6 vs. −3.0 kg</w:t>
            </w:r>
          </w:p>
        </w:tc>
      </w:tr>
    </w:tbl>
    <w:p>
      <w:pPr>
        <w:pStyle w:val="BodyText"/>
      </w:pPr>
      <w:r>
        <w:t xml:space="preserve">Some results deserve explanation:</w:t>
      </w:r>
    </w:p>
    <w:p>
      <w:pPr>
        <w:pStyle w:val="BodyText"/>
      </w:pPr>
      <w:r>
        <w:rPr>
          <w:bCs/>
          <w:b/>
        </w:rPr>
        <w:t xml:space="preserve">Against insulin</w:t>
      </w:r>
      <w:r>
        <w:t xml:space="preserve"> </w:t>
      </w:r>
      <w:r>
        <w:t xml:space="preserve">(AWARD-2 and AWARD-4), dulaglutide lowered long-term blood sugar somewhat more, with less hypoglycemia and without weight gain</w:t>
      </w:r>
      <w:r>
        <w:rPr>
          <w:rStyle w:val="FootnoteReference"/>
        </w:rPr>
        <w:footnoteReference w:id="347"/>
      </w:r>
      <w:r>
        <w:t xml:space="preserve">. In AWARD-2, however, the insulin dose was not consistently titrated upward; the mean final dose was 29 units. More aggressively titrated insulin might have performed better. Nausea occurred in 15.4% on dulaglutide 1.5 mg and in 1.5% on insulin.</w:t>
      </w:r>
    </w:p>
    <w:p>
      <w:pPr>
        <w:pStyle w:val="BodyText"/>
      </w:pPr>
      <w:r>
        <w:rPr>
          <w:bCs/>
          <w:b/>
        </w:rPr>
        <w:t xml:space="preserve">In kidney disease</w:t>
      </w:r>
      <w:r>
        <w:t xml:space="preserve"> </w:t>
      </w:r>
      <w:r>
        <w:t xml:space="preserve">(AWARD-7), the result is particularly interesting: blood sugar fell as much as on insulin, but estimated kidney function (eGFR) was higher on dulaglutide after 52 weeks – 34.0 versus 31.3 ml/min per 1.73 m²</w:t>
      </w:r>
      <w:r>
        <w:rPr>
          <w:rStyle w:val="FootnoteReference"/>
        </w:rPr>
        <w:footnoteReference w:id="348"/>
      </w:r>
      <w:r>
        <w:t xml:space="preserve">. Protein excretion in the urine did not differ significantly. This is an indication, but not proof, of kidney protection.</w:t>
      </w:r>
    </w:p>
    <w:p>
      <w:pPr>
        <w:pStyle w:val="BodyText"/>
      </w:pPr>
      <w:r>
        <w:rPr>
          <w:bCs/>
          <w:b/>
        </w:rPr>
        <w:t xml:space="preserve">With a sulfonylurea</w:t>
      </w:r>
      <w:r>
        <w:t xml:space="preserve"> </w:t>
      </w:r>
      <w:r>
        <w:t xml:space="preserve">(AWARD-8), the downside becomes apparent: dulaglutide lowered HbA1c by 1.3 percentage points more than placebo, and 55.3% versus 18.9% achieved a value below 7%. However, hypoglycemia was considerably more frequent (2.37 versus 0.07 events per person-year) because the sulfonylurea releases insulin independently of blood sugar</w:t>
      </w:r>
      <w:r>
        <w:rPr>
          <w:rStyle w:val="FootnoteReference"/>
        </w:rPr>
        <w:footnoteReference w:id="349"/>
      </w:r>
      <w:r>
        <w:t xml:space="preserve">. Severe hypoglycemia did not occur.</w:t>
      </w:r>
    </w:p>
    <w:p>
      <w:pPr>
        <w:pStyle w:val="BodyText"/>
      </w:pPr>
      <w:r>
        <w:rPr>
          <w:bCs/>
          <w:b/>
        </w:rPr>
        <w:t xml:space="preserve">Higher doses</w:t>
      </w:r>
      <w:r>
        <w:t xml:space="preserve"> </w:t>
      </w:r>
      <w:r>
        <w:t xml:space="preserve">(AWARD-11): to keep up with semaglutide, Lilly tested 3.0 and 4.5 mg. The highest dose lowered HbA1c by a further 0.24 percentage points and weight by a further 1.6 kg compared with 1.5 mg</w:t>
      </w:r>
      <w:r>
        <w:rPr>
          <w:rStyle w:val="FootnoteReference"/>
        </w:rPr>
        <w:footnoteReference w:id="350"/>
      </w:r>
      <w:r>
        <w:t xml:space="preserve">. Nausea increased slightly (16.4% vs. 13.4%), as did vomiting (9.3% vs. 5.6%). The gain is measurable but limited.</w:t>
      </w:r>
    </w:p>
    <w:bookmarkEnd w:id="351"/>
    <w:bookmarkStart w:id="355" w:name="Xb36301eb8f317dbc9c6a7bc975537310729dc32"/>
    <w:p>
      <w:pPr>
        <w:pStyle w:val="Heading4"/>
      </w:pPr>
      <w:r>
        <w:t xml:space="preserve">Head-to-Head Comparisons Within the GLP-1 Class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Duration</w:t>
            </w:r>
          </w:p>
        </w:tc>
        <w:tc>
          <w:tcPr/>
          <w:p>
            <w:pPr>
              <w:pStyle w:val="Compact"/>
              <w:jc w:val="left"/>
            </w:pPr>
            <w:r>
              <w:t xml:space="preserve">Result (dulaglutide vs. comparator)</w:t>
            </w:r>
          </w:p>
        </w:tc>
      </w:tr>
      <w:tr>
        <w:tc>
          <w:tcPr/>
          <w:p>
            <w:pPr>
              <w:pStyle w:val="Compact"/>
              <w:jc w:val="left"/>
            </w:pPr>
            <w:r>
              <w:t xml:space="preserve">AWARD-1 (Wysham 2014), PMID 24879836</w:t>
            </w:r>
          </w:p>
        </w:tc>
        <w:tc>
          <w:tcPr/>
          <w:p>
            <w:pPr>
              <w:pStyle w:val="Compact"/>
              <w:jc w:val="left"/>
            </w:pPr>
            <w:r>
              <w:t xml:space="preserve">vs. exenatide twice daily</w:t>
            </w:r>
          </w:p>
        </w:tc>
        <w:tc>
          <w:tcPr/>
          <w:p>
            <w:pPr>
              <w:pStyle w:val="Compact"/>
              <w:jc w:val="left"/>
            </w:pPr>
            <w:r>
              <w:t xml:space="preserve">26 weeks</w:t>
            </w:r>
          </w:p>
        </w:tc>
        <w:tc>
          <w:tcPr/>
          <w:p>
            <w:pPr>
              <w:pStyle w:val="Compact"/>
              <w:jc w:val="left"/>
            </w:pPr>
            <w:r>
              <w:t xml:space="preserve">HbA1c −1.51 vs. −0.99; less hypoglycemia</w:t>
            </w:r>
          </w:p>
        </w:tc>
      </w:tr>
      <w:tr>
        <w:tc>
          <w:tcPr/>
          <w:p>
            <w:pPr>
              <w:pStyle w:val="Compact"/>
              <w:jc w:val="left"/>
            </w:pPr>
            <w:r>
              <w:t xml:space="preserve">AWARD-6 (Dungan 2014), PMID 25018121</w:t>
            </w:r>
          </w:p>
        </w:tc>
        <w:tc>
          <w:tcPr/>
          <w:p>
            <w:pPr>
              <w:pStyle w:val="Compact"/>
              <w:jc w:val="left"/>
            </w:pPr>
            <w:r>
              <w:t xml:space="preserve">599 people, vs. liraglutide 1.8 mg daily</w:t>
            </w:r>
          </w:p>
        </w:tc>
        <w:tc>
          <w:tcPr/>
          <w:p>
            <w:pPr>
              <w:pStyle w:val="Compact"/>
              <w:jc w:val="left"/>
            </w:pPr>
            <w:r>
              <w:t xml:space="preserve">26 weeks</w:t>
            </w:r>
          </w:p>
        </w:tc>
        <w:tc>
          <w:tcPr/>
          <w:p>
            <w:pPr>
              <w:pStyle w:val="Compact"/>
              <w:jc w:val="left"/>
            </w:pPr>
            <w:r>
              <w:t xml:space="preserve">HbA1c −1.42 vs. −1.36; nausea 20% vs. 18%</w:t>
            </w:r>
          </w:p>
        </w:tc>
      </w:tr>
      <w:tr>
        <w:tc>
          <w:tcPr/>
          <w:p>
            <w:pPr>
              <w:pStyle w:val="Compact"/>
              <w:jc w:val="left"/>
            </w:pPr>
            <w:r>
              <w:t xml:space="preserve">SUSTAIN 7 (Pratley 2018), PMID 29397376</w:t>
            </w:r>
          </w:p>
        </w:tc>
        <w:tc>
          <w:tcPr/>
          <w:p>
            <w:pPr>
              <w:pStyle w:val="Compact"/>
              <w:jc w:val="left"/>
            </w:pPr>
            <w:r>
              <w:t xml:space="preserve">1,201 people, dulaglutide 0.75/1.5 mg vs. semaglutide 0.5/1.0 mg</w:t>
            </w:r>
          </w:p>
        </w:tc>
        <w:tc>
          <w:tcPr/>
          <w:p>
            <w:pPr>
              <w:pStyle w:val="Compact"/>
              <w:jc w:val="left"/>
            </w:pPr>
            <w:r>
              <w:t xml:space="preserve">40 weeks</w:t>
            </w:r>
          </w:p>
        </w:tc>
        <w:tc>
          <w:tcPr/>
          <w:p>
            <w:pPr>
              <w:pStyle w:val="Compact"/>
              <w:jc w:val="left"/>
            </w:pPr>
            <w:r>
              <w:t xml:space="preserve">HbA1c −1.4 vs. −1.8 (high doses); weight −3.0 vs. −6.5 kg</w:t>
            </w:r>
          </w:p>
        </w:tc>
      </w:tr>
    </w:tbl>
    <w:p>
      <w:pPr>
        <w:pStyle w:val="BodyText"/>
      </w:pPr>
      <w:r>
        <w:t xml:space="preserve">The ranking is clear. Dulaglutide was clearly superior to exenatide twice daily</w:t>
      </w:r>
      <w:r>
        <w:rPr>
          <w:rStyle w:val="FootnoteReference"/>
        </w:rPr>
        <w:footnoteReference w:id="352"/>
      </w:r>
      <w:r>
        <w:t xml:space="preserve"> </w:t>
      </w:r>
      <w:r>
        <w:t xml:space="preserve">and on a par with liraglutide</w:t>
      </w:r>
      <w:r>
        <w:rPr>
          <w:rStyle w:val="FootnoteReference"/>
        </w:rPr>
        <w:footnoteReference w:id="353"/>
      </w:r>
      <w:r>
        <w:t xml:space="preserve">. In AWARD-6, it thus became the first weekly GLP-1 receptor agonist to keep pace in a direct comparison with the then standard, liraglutide – with considerably fewer injections.</w:t>
      </w:r>
    </w:p>
    <w:p>
      <w:pPr>
        <w:pStyle w:val="BodyText"/>
      </w:pPr>
      <w:r>
        <w:t xml:space="preserve">Against semaglutide, dulaglutide lost at both dose levels in SUSTAIN 7</w:t>
      </w:r>
      <w:r>
        <w:rPr>
          <w:rStyle w:val="FootnoteReference"/>
        </w:rPr>
        <w:footnoteReference w:id="354"/>
      </w:r>
      <w:r>
        <w:t xml:space="preserve">. At the high doses, HbA1c fell by 1.4 versus 1.8 percentage points, weight by 3.0 versus 6.5 kg. Gastrointestinal complaints were similarly frequent (48% on dulaglutide 1.5 mg, 44% on semaglutide 1.0 mg). It was later pointed out critically that dulaglutide was dosed only up to 1.5 mg in SUSTAIN 7; the higher doses from AWARD-11 were not yet available at the time. Even with 4.5 mg, however, the weight difference would likely persist.</w:t>
      </w:r>
    </w:p>
    <w:bookmarkEnd w:id="355"/>
    <w:bookmarkStart w:id="360" w:name="rewind-the-cardiovascular-trial"/>
    <w:p>
      <w:pPr>
        <w:pStyle w:val="Heading4"/>
      </w:pPr>
      <w:r>
        <w:t xml:space="preserve">REWIND: The Cardiovascular Trial</w:t>
      </w:r>
    </w:p>
    <w:p>
      <w:pPr>
        <w:pStyle w:val="FirstParagraph"/>
      </w:pPr>
      <w:r>
        <w:t xml:space="preserve">REWIND differed from other GLP-1 outcomes trials: it ran longer, included older people with comparatively well-controlled blood sugar (median HbA1c 7.2%), and also enrolled many people without previous cardiovascular disease who merely had risk factors. The study population thus resembles everyday primary care more closely than in other outcomes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REWIND (Gerstein 2019), PMID 31189511</w:t>
            </w:r>
          </w:p>
        </w:tc>
        <w:tc>
          <w:tcPr/>
          <w:p>
            <w:pPr>
              <w:pStyle w:val="Compact"/>
              <w:jc w:val="left"/>
            </w:pPr>
            <w:r>
              <w:t xml:space="preserve">9,901 people with type 2 diabetes, mean age 66.2 years, 46.3% women; RCT vs. placebo</w:t>
            </w:r>
          </w:p>
        </w:tc>
        <w:tc>
          <w:tcPr/>
          <w:p>
            <w:pPr>
              <w:pStyle w:val="Compact"/>
              <w:jc w:val="left"/>
            </w:pPr>
            <w:r>
              <w:t xml:space="preserve">median 5.4 years</w:t>
            </w:r>
          </w:p>
        </w:tc>
        <w:tc>
          <w:tcPr/>
          <w:p>
            <w:pPr>
              <w:pStyle w:val="Compact"/>
              <w:jc w:val="left"/>
            </w:pPr>
            <w:r>
              <w:t xml:space="preserve">Major cardiovascular events 12.0% vs. 13.4%; HR 0.88 (0.79–0.99)</w:t>
            </w:r>
          </w:p>
        </w:tc>
      </w:tr>
      <w:tr>
        <w:tc>
          <w:tcPr/>
          <w:p>
            <w:pPr>
              <w:pStyle w:val="Compact"/>
              <w:jc w:val="left"/>
            </w:pPr>
            <w:r>
              <w:t xml:space="preserve">REWIND, kidneys (Gerstein 2019), PMID 31189509</w:t>
            </w:r>
          </w:p>
        </w:tc>
        <w:tc>
          <w:tcPr/>
          <w:p>
            <w:pPr>
              <w:pStyle w:val="Compact"/>
              <w:jc w:val="left"/>
            </w:pPr>
            <w:r>
              <w:t xml:space="preserve">the same study, exploratory analysis</w:t>
            </w:r>
          </w:p>
        </w:tc>
        <w:tc>
          <w:tcPr/>
          <w:p>
            <w:pPr>
              <w:pStyle w:val="Compact"/>
              <w:jc w:val="left"/>
            </w:pPr>
            <w:r>
              <w:t xml:space="preserve">median 5.4 years</w:t>
            </w:r>
          </w:p>
        </w:tc>
        <w:tc>
          <w:tcPr/>
          <w:p>
            <w:pPr>
              <w:pStyle w:val="Compact"/>
              <w:jc w:val="left"/>
            </w:pPr>
            <w:r>
              <w:t xml:space="preserve">Kidney endpoint 17.1% vs. 19.6%; HR 0.85, mainly less new macroalbuminuria</w:t>
            </w:r>
          </w:p>
        </w:tc>
      </w:tr>
      <w:tr>
        <w:tc>
          <w:tcPr/>
          <w:p>
            <w:pPr>
              <w:pStyle w:val="Compact"/>
              <w:jc w:val="left"/>
            </w:pPr>
            <w:r>
              <w:t xml:space="preserve">REWIND, cognition (Cukierman-Yaffe 2020), PMID 32562683</w:t>
            </w:r>
          </w:p>
        </w:tc>
        <w:tc>
          <w:tcPr/>
          <w:p>
            <w:pPr>
              <w:pStyle w:val="Compact"/>
              <w:jc w:val="left"/>
            </w:pPr>
            <w:r>
              <w:t xml:space="preserve">8,828 people with memory tests</w:t>
            </w:r>
          </w:p>
        </w:tc>
        <w:tc>
          <w:tcPr/>
          <w:p>
            <w:pPr>
              <w:pStyle w:val="Compact"/>
              <w:jc w:val="left"/>
            </w:pPr>
            <w:r>
              <w:t xml:space="preserve">median 5.4 years</w:t>
            </w:r>
          </w:p>
        </w:tc>
        <w:tc>
          <w:tcPr/>
          <w:p>
            <w:pPr>
              <w:pStyle w:val="Compact"/>
              <w:jc w:val="left"/>
            </w:pPr>
            <w:r>
              <w:t xml:space="preserve">HR 0.93 (not significant); after post hoc adjustment HR 0.86</w:t>
            </w:r>
          </w:p>
        </w:tc>
      </w:tr>
    </w:tbl>
    <w:p>
      <w:pPr>
        <w:pStyle w:val="BodyText"/>
      </w:pPr>
      <w:r>
        <w:t xml:space="preserve">The primary endpoint – death from cardiovascular causes, nonfatal myocardial infarction, or stroke – occurred in 594 of 4,949 people (12.0%) on dulaglutide and in 663 of 4,952 (13.4%) on placebo</w:t>
      </w:r>
      <w:r>
        <w:rPr>
          <w:rStyle w:val="FootnoteReference"/>
        </w:rPr>
        <w:footnoteReference w:id="356"/>
      </w:r>
      <w:r>
        <w:t xml:space="preserve">. This corresponds to a relative reduction of 12%. All-cause mortality did not differ significantly (10.8% vs. 12.0%; HR 0.90). Gastrointestinal side effects were reported by 47.4% versus 34.1%.</w:t>
      </w:r>
    </w:p>
    <w:p>
      <w:pPr>
        <w:pStyle w:val="BodyText"/>
      </w:pPr>
      <w:r>
        <w:t xml:space="preserve">In the kidney analysis</w:t>
      </w:r>
      <w:r>
        <w:rPr>
          <w:rStyle w:val="FootnoteReference"/>
        </w:rPr>
        <w:footnoteReference w:id="357"/>
      </w:r>
      <w:r>
        <w:t xml:space="preserve">, the effect was mainly attributable to newly occurring macroalbuminuria (HR 0.77). For a sustained decline in kidney function of at least 30%, the estimate was 0.89, and for dialysis or kidney transplantation 0.75 – neither statistically significant.</w:t>
      </w:r>
    </w:p>
    <w:p>
      <w:pPr>
        <w:pStyle w:val="BodyText"/>
      </w:pPr>
      <w:r>
        <w:t xml:space="preserve">The analysis of cognitive performance</w:t>
      </w:r>
      <w:r>
        <w:rPr>
          <w:rStyle w:val="FootnoteReference"/>
        </w:rPr>
        <w:footnoteReference w:id="358"/>
      </w:r>
      <w:r>
        <w:t xml:space="preserve"> </w:t>
      </w:r>
      <w:r>
        <w:t xml:space="preserve">is occasionally cited as evidence of protection against dementia. That goes too far: the prespecified comparison was not significant. Only after a post hoc statistical adjustment was there a 14% lower relative risk of a marked decline in cognitive performance (hazard ratio 0.86). The authors themselves describe it as an exploratory analysis that justifies further studies.</w:t>
      </w:r>
    </w:p>
    <w:p>
      <w:pPr>
        <w:pStyle w:val="BodyText"/>
      </w:pPr>
      <w:r>
        <w:t xml:space="preserve">In a meta-analysis of all large GLP-1 outcomes trials, REWIND fitted well into the overall picture, according to which the class reduces major cardiovascular events by about 12%</w:t>
      </w:r>
      <w:r>
        <w:rPr>
          <w:rStyle w:val="FootnoteReference"/>
        </w:rPr>
        <w:footnoteReference w:id="359"/>
      </w:r>
      <w:r>
        <w:t xml:space="preserve">.</w:t>
      </w:r>
    </w:p>
    <w:bookmarkEnd w:id="360"/>
    <w:bookmarkStart w:id="365" w:name="X8dcaf82a3c3712a17036be1d678f61734c212fa"/>
    <w:p>
      <w:pPr>
        <w:pStyle w:val="Heading4"/>
      </w:pPr>
      <w:r>
        <w:t xml:space="preserve">What Explains the Benefit – and What Does Not?</w:t>
      </w:r>
    </w:p>
    <w:p>
      <w:pPr>
        <w:pStyle w:val="FirstParagraph"/>
      </w:pPr>
      <w:r>
        <w:t xml:space="preserve">Several post hoc analyses of REWIND have tried to understand the cardiovascular effect in more detail. In a subanalysis of 9,543 people without atrial fibrillation at baseline, 31% already had cardiovascular disease, while the rest had</w:t>
      </w:r>
      <w:r>
        <w:t xml:space="preserve"> </w:t>
      </w:r>
      <w:r>
        <w:t xml:space="preserve">“</w:t>
      </w:r>
      <w:r>
        <w:t xml:space="preserve">only</w:t>
      </w:r>
      <w:r>
        <w:t xml:space="preserve">”</w:t>
      </w:r>
      <w:r>
        <w:t xml:space="preserve"> </w:t>
      </w:r>
      <w:r>
        <w:t xml:space="preserve">risk factors</w:t>
      </w:r>
      <w:r>
        <w:rPr>
          <w:rStyle w:val="FootnoteReference"/>
        </w:rPr>
        <w:footnoteReference w:id="361"/>
      </w:r>
      <w:r>
        <w:t xml:space="preserve">. This underlines that REWIND studied people in a prevention setting far more than other outcomes trials.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Konig 2021, PMID 34563178</w:t>
            </w:r>
          </w:p>
        </w:tc>
        <w:tc>
          <w:tcPr/>
          <w:p>
            <w:pPr>
              <w:pStyle w:val="Compact"/>
              <w:jc w:val="left"/>
            </w:pPr>
            <w:r>
              <w:t xml:space="preserve">Which changes explain the benefit?</w:t>
            </w:r>
          </w:p>
        </w:tc>
        <w:tc>
          <w:tcPr/>
          <w:p>
            <w:pPr>
              <w:pStyle w:val="Compact"/>
              <w:jc w:val="left"/>
            </w:pPr>
            <w:r>
              <w:t xml:space="preserve">Partly the reduction in HbA1c and urinary protein excretion, not weight, blood pressure, or LDL cholesterol</w:t>
            </w:r>
          </w:p>
        </w:tc>
      </w:tr>
      <w:tr>
        <w:tc>
          <w:tcPr/>
          <w:p>
            <w:pPr>
              <w:pStyle w:val="Compact"/>
              <w:jc w:val="left"/>
            </w:pPr>
            <w:r>
              <w:t xml:space="preserve">Branch 2022, PMID 36073143</w:t>
            </w:r>
          </w:p>
        </w:tc>
        <w:tc>
          <w:tcPr/>
          <w:p>
            <w:pPr>
              <w:pStyle w:val="Compact"/>
              <w:jc w:val="left"/>
            </w:pPr>
            <w:r>
              <w:t xml:space="preserve">Heart failure events</w:t>
            </w:r>
          </w:p>
        </w:tc>
        <w:tc>
          <w:tcPr/>
          <w:p>
            <w:pPr>
              <w:pStyle w:val="Compact"/>
              <w:jc w:val="left"/>
            </w:pPr>
            <w:r>
              <w:t xml:space="preserve">4.3% vs. 4.6%; HR 0.93, no significant difference</w:t>
            </w:r>
          </w:p>
        </w:tc>
      </w:tr>
      <w:tr>
        <w:tc>
          <w:tcPr/>
          <w:p>
            <w:pPr>
              <w:pStyle w:val="Compact"/>
              <w:jc w:val="left"/>
            </w:pPr>
            <w:r>
              <w:t xml:space="preserve">Raubenheimer 2022, PMID 34984808</w:t>
            </w:r>
          </w:p>
        </w:tc>
        <w:tc>
          <w:tcPr/>
          <w:p>
            <w:pPr>
              <w:pStyle w:val="Compact"/>
              <w:jc w:val="left"/>
            </w:pPr>
            <w:r>
              <w:t xml:space="preserve">New atrial fibrillation or flutter</w:t>
            </w:r>
          </w:p>
        </w:tc>
        <w:tc>
          <w:tcPr/>
          <w:p>
            <w:pPr>
              <w:pStyle w:val="Compact"/>
              <w:jc w:val="left"/>
            </w:pPr>
            <w:r>
              <w:t xml:space="preserve">5.6% vs. 5.3%; no difference</w:t>
            </w:r>
          </w:p>
        </w:tc>
      </w:tr>
    </w:tbl>
    <w:p>
      <w:pPr>
        <w:pStyle w:val="BodyText"/>
      </w:pPr>
      <w:r>
        <w:t xml:space="preserve">According to the analysis by Konig 2021</w:t>
      </w:r>
      <w:r>
        <w:rPr>
          <w:rStyle w:val="FootnoteReference"/>
        </w:rPr>
        <w:footnoteReference w:id="362"/>
      </w:r>
      <w:r>
        <w:t xml:space="preserve">, part of the effect could be explained statistically by better blood sugar control and lower urinary protein excretion; another part remained unexplained. Weight loss played no measurable role in this analysis. This is consistent with the widespread assumption that GLP-1 receptor agonists also have direct effects on blood vessels and inflammatory processes – but this has not been demonstrated in humans.</w:t>
      </w:r>
    </w:p>
    <w:p>
      <w:pPr>
        <w:pStyle w:val="BodyText"/>
      </w:pPr>
      <w:r>
        <w:t xml:space="preserve">Dulaglutide showed no protection against heart failure events</w:t>
      </w:r>
      <w:r>
        <w:rPr>
          <w:rStyle w:val="FootnoteReference"/>
        </w:rPr>
        <w:footnoteReference w:id="363"/>
      </w:r>
      <w:r>
        <w:t xml:space="preserve"> </w:t>
      </w:r>
      <w:r>
        <w:t xml:space="preserve">or against new-onset atrial fibrillation</w:t>
      </w:r>
      <w:r>
        <w:rPr>
          <w:rStyle w:val="FootnoteReference"/>
        </w:rPr>
        <w:footnoteReference w:id="364"/>
      </w:r>
      <w:r>
        <w:t xml:space="preserve">. Among the 853 participants who already had heart failure at baseline, the picture was no different either. For heart failure with preserved ejection fraction in obesity, data are now available for semaglutide and tirzepatide; for dulaglutide, they are lacking.</w:t>
      </w:r>
    </w:p>
    <w:bookmarkEnd w:id="365"/>
    <w:bookmarkStart w:id="368" w:name="Xe1f30533c3761d377be1ea72fb802c9d58f6b2c"/>
    <w:p>
      <w:pPr>
        <w:pStyle w:val="Heading4"/>
      </w:pPr>
      <w:r>
        <w:t xml:space="preserve">Dulaglutide as the Comparator Standard for New Drugs</w:t>
      </w:r>
    </w:p>
    <w:p>
      <w:pPr>
        <w:pStyle w:val="FirstParagraph"/>
      </w:pPr>
      <w:r>
        <w:t xml:space="preserve">Because dulaglutide is widely used around the world, well tolerated, and has demonstrated cardiovascular benefit, manufacturers frequently choose it as an active comparator. The results of these trials belong in substance to the chapters on the respective new drugs; here is just the 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SURPASS-CVOT (Nicholls 2025), PMID 41406444</w:t>
            </w:r>
          </w:p>
        </w:tc>
        <w:tc>
          <w:tcPr/>
          <w:p>
            <w:pPr>
              <w:pStyle w:val="Compact"/>
              <w:jc w:val="left"/>
            </w:pPr>
            <w:r>
              <w:t xml:space="preserve">13,165 people with type 2 diabetes and vascular disease; tirzepatide vs. dulaglutide</w:t>
            </w:r>
          </w:p>
        </w:tc>
        <w:tc>
          <w:tcPr/>
          <w:p>
            <w:pPr>
              <w:pStyle w:val="Compact"/>
              <w:jc w:val="left"/>
            </w:pPr>
            <w:r>
              <w:t xml:space="preserve">several years</w:t>
            </w:r>
          </w:p>
        </w:tc>
        <w:tc>
          <w:tcPr/>
          <w:p>
            <w:pPr>
              <w:pStyle w:val="Compact"/>
              <w:jc w:val="left"/>
            </w:pPr>
            <w:r>
              <w:t xml:space="preserve">Major cardiovascular events 12.2% vs. 13.1%; HR 0.92, noninferior, superiority not shown</w:t>
            </w:r>
          </w:p>
        </w:tc>
      </w:tr>
      <w:tr>
        <w:tc>
          <w:tcPr/>
          <w:p>
            <w:pPr>
              <w:pStyle w:val="Compact"/>
              <w:jc w:val="left"/>
            </w:pPr>
            <w:r>
              <w:t xml:space="preserve">SURPASS J-mono (Inagaki 2022), PMID 35914543</w:t>
            </w:r>
          </w:p>
        </w:tc>
        <w:tc>
          <w:tcPr/>
          <w:p>
            <w:pPr>
              <w:pStyle w:val="Compact"/>
              <w:jc w:val="left"/>
            </w:pPr>
            <w:r>
              <w:t xml:space="preserve">636 people in Japan; tirzepatide vs. dulaglutide 0.75 mg</w:t>
            </w:r>
          </w:p>
        </w:tc>
        <w:tc>
          <w:tcPr/>
          <w:p>
            <w:pPr>
              <w:pStyle w:val="Compact"/>
              <w:jc w:val="left"/>
            </w:pPr>
            <w:r>
              <w:t xml:space="preserve">52 weeks</w:t>
            </w:r>
          </w:p>
        </w:tc>
        <w:tc>
          <w:tcPr/>
          <w:p>
            <w:pPr>
              <w:pStyle w:val="Compact"/>
              <w:jc w:val="left"/>
            </w:pPr>
            <w:r>
              <w:t xml:space="preserve">HbA1c −2.4 to −2.8 vs. −1.3</w:t>
            </w:r>
          </w:p>
        </w:tc>
      </w:tr>
      <w:tr>
        <w:tc>
          <w:tcPr/>
          <w:p>
            <w:pPr>
              <w:pStyle w:val="Compact"/>
              <w:jc w:val="left"/>
            </w:pPr>
            <w:r>
              <w:t xml:space="preserve">Guo 2026, PMID 41407860</w:t>
            </w:r>
          </w:p>
        </w:tc>
        <w:tc>
          <w:tcPr/>
          <w:p>
            <w:pPr>
              <w:pStyle w:val="Compact"/>
              <w:jc w:val="left"/>
            </w:pPr>
            <w:r>
              <w:t xml:space="preserve">731 people in China; mazdutide vs. dulaglutide 1.5 mg</w:t>
            </w:r>
          </w:p>
        </w:tc>
        <w:tc>
          <w:tcPr/>
          <w:p>
            <w:pPr>
              <w:pStyle w:val="Compact"/>
              <w:jc w:val="left"/>
            </w:pPr>
            <w:r>
              <w:t xml:space="preserve">28 weeks</w:t>
            </w:r>
          </w:p>
        </w:tc>
        <w:tc>
          <w:tcPr/>
          <w:p>
            <w:pPr>
              <w:pStyle w:val="Compact"/>
              <w:jc w:val="left"/>
            </w:pPr>
            <w:r>
              <w:t xml:space="preserve">HbA1c difference −0.24 and −0.30 percentage points, respectively, in favor of mazdutide</w:t>
            </w:r>
          </w:p>
        </w:tc>
      </w:tr>
      <w:tr>
        <w:tc>
          <w:tcPr/>
          <w:p>
            <w:pPr>
              <w:pStyle w:val="Compact"/>
              <w:jc w:val="left"/>
            </w:pPr>
            <w:r>
              <w:t xml:space="preserve">EECOH-2 (He 2025), PMID 40854315</w:t>
            </w:r>
          </w:p>
        </w:tc>
        <w:tc>
          <w:tcPr/>
          <w:p>
            <w:pPr>
              <w:pStyle w:val="Compact"/>
              <w:jc w:val="left"/>
            </w:pPr>
            <w:r>
              <w:t xml:space="preserve">621 people in China; ecnoglutide vs. dulaglutide 1.5 mg</w:t>
            </w:r>
          </w:p>
        </w:tc>
        <w:tc>
          <w:tcPr/>
          <w:p>
            <w:pPr>
              <w:pStyle w:val="Compact"/>
              <w:jc w:val="left"/>
            </w:pPr>
            <w:r>
              <w:t xml:space="preserve">52 weeks (primary endpoint 32)</w:t>
            </w:r>
          </w:p>
        </w:tc>
        <w:tc>
          <w:tcPr/>
          <w:p>
            <w:pPr>
              <w:pStyle w:val="Compact"/>
              <w:jc w:val="left"/>
            </w:pPr>
            <w:r>
              <w:t xml:space="preserve">HbA1c −1.89 to −1.91 vs. −1.65</w:t>
            </w:r>
          </w:p>
        </w:tc>
      </w:tr>
    </w:tbl>
    <w:p>
      <w:pPr>
        <w:pStyle w:val="BodyText"/>
      </w:pPr>
      <w:r>
        <w:t xml:space="preserve">SURPASS-CVOT</w:t>
      </w:r>
      <w:r>
        <w:rPr>
          <w:rStyle w:val="FootnoteReference"/>
        </w:rPr>
        <w:footnoteReference w:id="366"/>
      </w:r>
      <w:r>
        <w:t xml:space="preserve"> </w:t>
      </w:r>
      <w:r>
        <w:t xml:space="preserve">is particularly revealing: it was the first large outcomes trial in which two incretin medications competed directly against each other. Tirzepatide was not worse, but also not demonstrably better, than dulaglutide. Since dulaglutide itself had reduced risk in REWIND, a</w:t>
      </w:r>
      <w:r>
        <w:t xml:space="preserve"> </w:t>
      </w:r>
      <w:r>
        <w:t xml:space="preserve">“</w:t>
      </w:r>
      <w:r>
        <w:t xml:space="preserve">draw</w:t>
      </w:r>
      <w:r>
        <w:t xml:space="preserve">”</w:t>
      </w:r>
      <w:r>
        <w:t xml:space="preserve"> </w:t>
      </w:r>
      <w:r>
        <w:t xml:space="preserve">against dulaglutide is a strong result for both drugs. A post hoc analysis with a broader cardiorenal endpoint found an advantage for tirzepatide (23.7% vs. 27.4%; HR 0.84)</w:t>
      </w:r>
      <w:r>
        <w:rPr>
          <w:rStyle w:val="FootnoteReference"/>
        </w:rPr>
        <w:footnoteReference w:id="367"/>
      </w:r>
      <w:r>
        <w:t xml:space="preserve">. Post hoc analyses, however, are less robust than the prespecified primary endpoint.</w:t>
      </w:r>
    </w:p>
    <w:bookmarkEnd w:id="368"/>
    <w:bookmarkStart w:id="371" w:name="handling-the-prefilled-pen"/>
    <w:p>
      <w:pPr>
        <w:pStyle w:val="Heading4"/>
      </w:pPr>
      <w:r>
        <w:t xml:space="preserve">Handling: The Prefilled Pen</w:t>
      </w:r>
    </w:p>
    <w:p>
      <w:pPr>
        <w:pStyle w:val="FirstParagraph"/>
      </w:pPr>
      <w:r>
        <w:t xml:space="preserve">A practical point rarely appreciated in studies is administration. Dulaglutide is supplied in a single-use prefilled pen that does not require attaching a needle or setting a dose. In a study with 211 people with type 2 diabetes who had never injected themselves, the injection was ultimately successful in 99.1% of cases; fear of injecting decreased</w:t>
      </w:r>
      <w:r>
        <w:rPr>
          <w:rStyle w:val="FootnoteReference"/>
        </w:rPr>
        <w:footnoteReference w:id="369"/>
      </w:r>
      <w:r>
        <w:t xml:space="preserve">. In a manufacturer-funded comparative study with 310 participants, 84.2% preferred the dulaglutide pen over the semaglutide pen available at the time</w:t>
      </w:r>
      <w:r>
        <w:rPr>
          <w:rStyle w:val="FootnoteReference"/>
        </w:rPr>
        <w:footnoteReference w:id="370"/>
      </w:r>
      <w:r>
        <w:t xml:space="preserve">. Such preference studies say nothing about efficacy, but they may explain why dulaglutide is widely used, particularly among older people.</w:t>
      </w:r>
    </w:p>
    <w:bookmarkEnd w:id="371"/>
    <w:bookmarkStart w:id="373" w:name="children-and-adolescents-1"/>
    <w:p>
      <w:pPr>
        <w:pStyle w:val="Heading4"/>
      </w:pPr>
      <w:r>
        <w:t xml:space="preserve">Children and Adolescents</w:t>
      </w:r>
    </w:p>
    <w:p>
      <w:pPr>
        <w:pStyle w:val="FirstParagraph"/>
      </w:pPr>
      <w:r>
        <w:t xml:space="preserve">In AWARD-PEDS with 154 adolescents with type 2 diabetes, HbA1c rose by 0.6 percentage points on placebo after 26 weeks and fell by 0.6 (0.75 mg) and 0.9 percentage points (1.5 mg), respectively, on dulaglutide</w:t>
      </w:r>
      <w:r>
        <w:rPr>
          <w:rStyle w:val="FootnoteReference"/>
        </w:rPr>
        <w:footnoteReference w:id="372"/>
      </w:r>
      <w:r>
        <w:t xml:space="preserve">. An HbA1c below 7% was achieved by 51% versus 14%. Dulaglutide had no effect on body mass index in this age group. This study was the basis for approval from age 10.</w:t>
      </w:r>
    </w:p>
    <w:bookmarkEnd w:id="373"/>
    <w:bookmarkStart w:id="377" w:name="other-areas-of-use-in-studies-2"/>
    <w:p>
      <w:pPr>
        <w:pStyle w:val="Heading4"/>
      </w:pPr>
      <w:r>
        <w:t xml:space="preserve">Other Areas of Use in Studies</w:t>
      </w:r>
    </w:p>
    <w:p>
      <w:pPr>
        <w:numPr>
          <w:ilvl w:val="0"/>
          <w:numId w:val="1049"/>
        </w:numPr>
        <w:pStyle w:val="Compact"/>
      </w:pPr>
      <w:r>
        <w:rPr>
          <w:bCs/>
          <w:b/>
        </w:rPr>
        <w:t xml:space="preserve">Smoking cessation:</w:t>
      </w:r>
      <w:r>
        <w:t xml:space="preserve"> </w:t>
      </w:r>
      <w:r>
        <w:t xml:space="preserve">In a study with 255 people, dulaglutide did not improve the abstinence rate; after 52 weeks, 32% were smoke-free in both groups</w:t>
      </w:r>
      <w:r>
        <w:rPr>
          <w:rStyle w:val="FootnoteReference"/>
        </w:rPr>
        <w:footnoteReference w:id="374"/>
      </w:r>
      <w:r>
        <w:t xml:space="preserve">. The usual weight gain after quitting smoking was prevented in the first 12 weeks, but after one year the difference had disappeared.</w:t>
      </w:r>
    </w:p>
    <w:p>
      <w:pPr>
        <w:numPr>
          <w:ilvl w:val="0"/>
          <w:numId w:val="1049"/>
        </w:numPr>
        <w:pStyle w:val="Compact"/>
      </w:pPr>
      <w:r>
        <w:rPr>
          <w:bCs/>
          <w:b/>
        </w:rPr>
        <w:t xml:space="preserve">Alcohol:</w:t>
      </w:r>
      <w:r>
        <w:t xml:space="preserve"> </w:t>
      </w:r>
      <w:r>
        <w:t xml:space="preserve">In a prespecified secondary analysis of the same study, participants on dulaglutide drank 29% less alcohol than those on placebo after 12 weeks</w:t>
      </w:r>
      <w:r>
        <w:rPr>
          <w:rStyle w:val="FootnoteReference"/>
        </w:rPr>
        <w:footnoteReference w:id="375"/>
      </w:r>
      <w:r>
        <w:t xml:space="preserve">. The study was not designed for this question.</w:t>
      </w:r>
    </w:p>
    <w:p>
      <w:pPr>
        <w:numPr>
          <w:ilvl w:val="0"/>
          <w:numId w:val="1049"/>
        </w:numPr>
        <w:pStyle w:val="Compact"/>
      </w:pPr>
      <w:r>
        <w:rPr>
          <w:bCs/>
          <w:b/>
        </w:rPr>
        <w:t xml:space="preserve">Primary polydipsia</w:t>
      </w:r>
      <w:r>
        <w:t xml:space="preserve"> </w:t>
      </w:r>
      <w:r>
        <w:t xml:space="preserve">(pathologically increased drinking): in a crossover study with 34 people, dulaglutide reduced fluid intake during an eight-hour test by 490 ml, corresponding to 17%</w:t>
      </w:r>
      <w:r>
        <w:rPr>
          <w:rStyle w:val="FootnoteReference"/>
        </w:rPr>
        <w:footnoteReference w:id="376"/>
      </w:r>
      <w:r>
        <w:t xml:space="preserve">. An indication that GLP-1 also influences the sensation of thirst.</w:t>
      </w:r>
    </w:p>
    <w:bookmarkEnd w:id="377"/>
    <w:bookmarkEnd w:id="378"/>
    <w:bookmarkStart w:id="381" w:name="animal-and-laboratory-studies-2"/>
    <w:p>
      <w:pPr>
        <w:pStyle w:val="Heading3"/>
      </w:pPr>
      <w:r>
        <w:t xml:space="preserve">Animal and laboratory studies</w:t>
      </w:r>
    </w:p>
    <w:p>
      <w:pPr>
        <w:pStyle w:val="FirstParagraph"/>
      </w:pPr>
      <w:r>
        <w:t xml:space="preserve">The preclinical characterization of dulaglutide (then LY2189265) was carried out in cells, rats, mice, and cynomolgus monkeys</w:t>
      </w:r>
      <w:r>
        <w:rPr>
          <w:rStyle w:val="FootnoteReference"/>
        </w:rPr>
        <w:footnoteReference w:id="379"/>
      </w:r>
      <w:r>
        <w:t xml:space="preserve">. In laboratory experiments, the fusion protein retained full activity at the GLP-1 receptor. In diabetic mice, a single dose improved glucose tolerance; twice-weekly doses over four weeks lowered weight and delayed the rise in blood sugar. In monkeys, the effect on insulin release lasted up to one week after a single dose.</w:t>
      </w:r>
    </w:p>
    <w:p>
      <w:pPr>
        <w:pStyle w:val="BodyText"/>
      </w:pPr>
      <w:r>
        <w:t xml:space="preserve">As with all GLP-1 receptor agonists, changes in the C cells of the thyroid occurred in long-term studies in rodents; the mechanism and its limited transferability to humans are described in the chapter Liraglutide</w:t>
      </w:r>
      <w:r>
        <w:rPr>
          <w:rStyle w:val="FootnoteReference"/>
        </w:rPr>
        <w:footnoteReference w:id="380"/>
      </w:r>
      <w:r>
        <w:t xml:space="preserve">.</w:t>
      </w:r>
    </w:p>
    <w:bookmarkEnd w:id="381"/>
    <w:bookmarkStart w:id="391" w:name="risks-and-side-effects-2"/>
    <w:p>
      <w:pPr>
        <w:pStyle w:val="Heading3"/>
      </w:pPr>
      <w:r>
        <w:t xml:space="preserve">Risks and side effects</w:t>
      </w:r>
    </w:p>
    <w:p>
      <w:pPr>
        <w:pStyle w:val="FirstParagraph"/>
      </w:pPr>
      <w:r>
        <w:rPr>
          <w:bCs/>
          <w:b/>
        </w:rPr>
        <w:t xml:space="preserve">Established from randomized trials:</w:t>
      </w:r>
    </w:p>
    <w:p>
      <w:pPr>
        <w:numPr>
          <w:ilvl w:val="0"/>
          <w:numId w:val="1050"/>
        </w:numPr>
        <w:pStyle w:val="Compact"/>
      </w:pPr>
      <w:r>
        <w:rPr>
          <w:bCs/>
          <w:b/>
        </w:rPr>
        <w:t xml:space="preserve">Gastrointestinal complaints:</w:t>
      </w:r>
      <w:r>
        <w:t xml:space="preserve"> </w:t>
      </w:r>
      <w:r>
        <w:t xml:space="preserve">Nausea, diarrhea, and vomiting are the most common side effects. In REWIND, 47.4% of those treated reported gastrointestinal complaints, compared with 34.1% on placebo</w:t>
      </w:r>
      <w:r>
        <w:rPr>
          <w:rStyle w:val="FootnoteReference"/>
        </w:rPr>
        <w:footnoteReference w:id="382"/>
      </w:r>
      <w:r>
        <w:t xml:space="preserve">. They increase with higher doses</w:t>
      </w:r>
      <w:r>
        <w:rPr>
          <w:rStyle w:val="FootnoteReference"/>
        </w:rPr>
        <w:footnoteReference w:id="383"/>
      </w:r>
      <w:r>
        <w:t xml:space="preserve">.</w:t>
      </w:r>
    </w:p>
    <w:p>
      <w:pPr>
        <w:numPr>
          <w:ilvl w:val="0"/>
          <w:numId w:val="1050"/>
        </w:numPr>
        <w:pStyle w:val="Compact"/>
      </w:pPr>
      <w:r>
        <w:rPr>
          <w:bCs/>
          <w:b/>
        </w:rPr>
        <w:t xml:space="preserve">Hypoglycemia:</w:t>
      </w:r>
      <w:r>
        <w:t xml:space="preserve"> </w:t>
      </w:r>
      <w:r>
        <w:t xml:space="preserve">rare on its own; more frequent in combination with insulin or sulfonylureas, but less frequent than with insulin alone</w:t>
      </w:r>
      <w:r>
        <w:rPr>
          <w:rStyle w:val="FootnoteReference"/>
        </w:rPr>
        <w:footnoteReference w:id="384"/>
      </w:r>
      <w:r>
        <w:t xml:space="preserve">.</w:t>
      </w:r>
    </w:p>
    <w:p>
      <w:pPr>
        <w:numPr>
          <w:ilvl w:val="0"/>
          <w:numId w:val="1050"/>
        </w:numPr>
        <w:pStyle w:val="Compact"/>
      </w:pPr>
      <w:r>
        <w:rPr>
          <w:bCs/>
          <w:b/>
        </w:rPr>
        <w:t xml:space="preserve">Pancreatic enzymes:</w:t>
      </w:r>
      <w:r>
        <w:t xml:space="preserve"> </w:t>
      </w:r>
      <w:r>
        <w:t xml:space="preserve">In AWARD-2, pancreatic enzymes rose on dulaglutide</w:t>
      </w:r>
      <w:r>
        <w:rPr>
          <w:rStyle w:val="FootnoteReference"/>
        </w:rPr>
        <w:footnoteReference w:id="385"/>
      </w:r>
      <w:r>
        <w:t xml:space="preserve">. The clinical significance of such increases without symptoms is unclear.</w:t>
      </w:r>
    </w:p>
    <w:p>
      <w:pPr>
        <w:numPr>
          <w:ilvl w:val="0"/>
          <w:numId w:val="1050"/>
        </w:numPr>
        <w:pStyle w:val="Compact"/>
      </w:pPr>
      <w:r>
        <w:rPr>
          <w:bCs/>
          <w:b/>
        </w:rPr>
        <w:t xml:space="preserve">Antibodies:</w:t>
      </w:r>
      <w:r>
        <w:t xml:space="preserve"> </w:t>
      </w:r>
      <w:r>
        <w:t xml:space="preserve">rare (1.6% of those treated), without an accumulation of hypersensitivity reactions</w:t>
      </w:r>
      <w:r>
        <w:rPr>
          <w:rStyle w:val="FootnoteReference"/>
        </w:rPr>
        <w:footnoteReference w:id="386"/>
      </w:r>
      <w:r>
        <w:t xml:space="preserve">.</w:t>
      </w:r>
    </w:p>
    <w:p>
      <w:pPr>
        <w:numPr>
          <w:ilvl w:val="0"/>
          <w:numId w:val="1050"/>
        </w:numPr>
        <w:pStyle w:val="Compact"/>
      </w:pPr>
      <w:r>
        <w:rPr>
          <w:bCs/>
          <w:b/>
        </w:rPr>
        <w:t xml:space="preserve">Gallbladder:</w:t>
      </w:r>
      <w:r>
        <w:t xml:space="preserve"> </w:t>
      </w:r>
      <w:r>
        <w:t xml:space="preserve">An increased risk of gallstones and cholecystitis has been demonstrated for the entire class</w:t>
      </w:r>
      <w:r>
        <w:rPr>
          <w:rStyle w:val="FootnoteReference"/>
        </w:rPr>
        <w:footnoteReference w:id="387"/>
      </w:r>
      <w:r>
        <w:t xml:space="preserve">; details in the chapter Liraglutide.</w:t>
      </w:r>
    </w:p>
    <w:p>
      <w:pPr>
        <w:pStyle w:val="FirstParagraph"/>
      </w:pPr>
      <w:r>
        <w:rPr>
          <w:bCs/>
          <w:b/>
        </w:rPr>
        <w:t xml:space="preserve">Investigated but uncertain:</w:t>
      </w:r>
    </w:p>
    <w:p>
      <w:pPr>
        <w:numPr>
          <w:ilvl w:val="0"/>
          <w:numId w:val="1051"/>
        </w:numPr>
        <w:pStyle w:val="Compact"/>
      </w:pPr>
      <w:r>
        <w:rPr>
          <w:bCs/>
          <w:b/>
        </w:rPr>
        <w:t xml:space="preserve">Pancreatitis and pancreatic cancer:</w:t>
      </w:r>
      <w:r>
        <w:t xml:space="preserve"> </w:t>
      </w:r>
      <w:r>
        <w:t xml:space="preserve">In the meta-analysis of the outcomes trials, no increased risk for the class</w:t>
      </w:r>
      <w:r>
        <w:rPr>
          <w:rStyle w:val="FootnoteReference"/>
        </w:rPr>
        <w:footnoteReference w:id="388"/>
      </w:r>
      <w:r>
        <w:t xml:space="preserve">. Pancreatitis is nevertheless listed as a rare side effect in the prescribing information.</w:t>
      </w:r>
    </w:p>
    <w:p>
      <w:pPr>
        <w:numPr>
          <w:ilvl w:val="0"/>
          <w:numId w:val="1051"/>
        </w:numPr>
        <w:pStyle w:val="Compact"/>
      </w:pPr>
      <w:r>
        <w:rPr>
          <w:bCs/>
          <w:b/>
        </w:rPr>
        <w:t xml:space="preserve">Thyroid cancer:</w:t>
      </w:r>
      <w:r>
        <w:t xml:space="preserve"> </w:t>
      </w:r>
      <w:r>
        <w:t xml:space="preserve">signal in observational studies and meta-analyses for the entire class</w:t>
      </w:r>
      <w:r>
        <w:rPr>
          <w:rStyle w:val="FootnoteReference"/>
        </w:rPr>
        <w:footnoteReference w:id="389"/>
      </w:r>
      <w:r>
        <w:t xml:space="preserve">, not specific to dulaglutide; see the chapter Liraglutide and Part IV.</w:t>
      </w:r>
    </w:p>
    <w:p>
      <w:pPr>
        <w:pStyle w:val="FirstParagraph"/>
      </w:pPr>
      <w:r>
        <w:rPr>
          <w:bCs/>
          <w:b/>
        </w:rPr>
        <w:t xml:space="preserve">Notes for practice:</w:t>
      </w:r>
      <w:r>
        <w:t xml:space="preserve"> </w:t>
      </w:r>
      <w:r>
        <w:t xml:space="preserve">Dulaglutide slows gastric emptying, which plays a role in anesthesia and gastroscopy; a large study is under way on whether GLP-1 receptor agonists should be paused before a gastroscopy</w:t>
      </w:r>
      <w:r>
        <w:rPr>
          <w:rStyle w:val="FootnoteReference"/>
        </w:rPr>
        <w:footnoteReference w:id="390"/>
      </w:r>
      <w:r>
        <w:t xml:space="preserve">. The prescribing information and medical supervision are authoritative.</w:t>
      </w:r>
    </w:p>
    <w:bookmarkEnd w:id="391"/>
    <w:bookmarkStart w:id="392" w:name="legal-status-2"/>
    <w:p>
      <w:pPr>
        <w:pStyle w:val="Heading3"/>
      </w:pPr>
      <w:r>
        <w:t xml:space="preserve">Legal status</w:t>
      </w:r>
    </w:p>
    <w:p>
      <w:pPr>
        <w:numPr>
          <w:ilvl w:val="0"/>
          <w:numId w:val="1052"/>
        </w:numPr>
        <w:pStyle w:val="Compact"/>
      </w:pPr>
      <w:r>
        <w:rPr>
          <w:bCs/>
          <w:b/>
        </w:rPr>
        <w:t xml:space="preserve">EU:</w:t>
      </w:r>
      <w:r>
        <w:t xml:space="preserve"> </w:t>
      </w:r>
      <w:r>
        <w:t xml:space="preserve">Trulicity has been centrally authorized since 2014 for the treatment of type 2 diabetes, now also for adolescents aged 10 and older. Prescription-only. No approval for weight reduction.</w:t>
      </w:r>
    </w:p>
    <w:p>
      <w:pPr>
        <w:numPr>
          <w:ilvl w:val="0"/>
          <w:numId w:val="1052"/>
        </w:numPr>
        <w:pStyle w:val="Compact"/>
      </w:pPr>
      <w:r>
        <w:rPr>
          <w:bCs/>
          <w:b/>
        </w:rPr>
        <w:t xml:space="preserve">Germany and Austria:</w:t>
      </w:r>
      <w:r>
        <w:t xml:space="preserve"> </w:t>
      </w:r>
      <w:r>
        <w:t xml:space="preserve">prescription-only; reimbursable for type 2 diabetes. From 2022 onward, as with other GLP-1 products, there were temporary supply shortages (please check for current information).</w:t>
      </w:r>
    </w:p>
    <w:p>
      <w:pPr>
        <w:numPr>
          <w:ilvl w:val="0"/>
          <w:numId w:val="1052"/>
        </w:numPr>
        <w:pStyle w:val="Compact"/>
      </w:pPr>
      <w:r>
        <w:rPr>
          <w:bCs/>
          <w:b/>
        </w:rPr>
        <w:t xml:space="preserve">USA:</w:t>
      </w:r>
      <w:r>
        <w:t xml:space="preserve"> </w:t>
      </w:r>
      <w:r>
        <w:t xml:space="preserve">approved for type 2 diabetes from age 10 and for reducing cardiovascular risk.</w:t>
      </w:r>
    </w:p>
    <w:p>
      <w:pPr>
        <w:numPr>
          <w:ilvl w:val="0"/>
          <w:numId w:val="1052"/>
        </w:numPr>
        <w:pStyle w:val="Compact"/>
      </w:pPr>
      <w:r>
        <w:rPr>
          <w:bCs/>
          <w:b/>
        </w:rPr>
        <w:t xml:space="preserve">Generics:</w:t>
      </w:r>
      <w:r>
        <w:t xml:space="preserve"> </w:t>
      </w:r>
      <w:r>
        <w:t xml:space="preserve">Since dulaglutide is a recombinantly produced fusion protein, copycat products would be biosimilars with a more complex approval process than for liraglutide or semaglutide. At the time of going to press, to the best of our knowledge no biosimilar is on the market in the EU (please check for current information).</w:t>
      </w:r>
    </w:p>
    <w:p>
      <w:pPr>
        <w:numPr>
          <w:ilvl w:val="0"/>
          <w:numId w:val="1052"/>
        </w:numPr>
        <w:pStyle w:val="Compact"/>
      </w:pPr>
      <w:r>
        <w:rPr>
          <w:bCs/>
          <w:b/>
        </w:rPr>
        <w:t xml:space="preserve">Sport (WADA):</w:t>
      </w:r>
      <w:r>
        <w:t xml:space="preserve"> </w:t>
      </w:r>
      <w:r>
        <w:t xml:space="preserve">not listed (status as of 2026; please check for current information).</w:t>
      </w:r>
    </w:p>
    <w:p>
      <w:pPr>
        <w:numPr>
          <w:ilvl w:val="0"/>
          <w:numId w:val="1052"/>
        </w:numPr>
        <w:pStyle w:val="Compact"/>
      </w:pPr>
      <w:r>
        <w:rPr>
          <w:bCs/>
          <w:b/>
        </w:rPr>
        <w:t xml:space="preserve">Gray market:</w:t>
      </w:r>
      <w:r>
        <w:t xml:space="preserve"> </w:t>
      </w:r>
      <w:r>
        <w:t xml:space="preserve">Dulaglutide plays practically no role on the gray market because a large fusion protein cannot be produced synthetically like small peptides.</w:t>
      </w:r>
    </w:p>
    <w:bookmarkEnd w:id="392"/>
    <w:bookmarkStart w:id="399" w:name="ongoing-studies-and-outlook-2"/>
    <w:p>
      <w:pPr>
        <w:pStyle w:val="Heading3"/>
      </w:pPr>
      <w:r>
        <w:t xml:space="preserve">Ongoing studies and outlook</w:t>
      </w:r>
    </w:p>
    <w:p>
      <w:pPr>
        <w:pStyle w:val="FirstParagraph"/>
      </w:pPr>
      <w:r>
        <w:rPr>
          <w:bCs/>
          <w:b/>
        </w:rPr>
        <w:t xml:space="preserve">Established (registered studies):</w:t>
      </w:r>
    </w:p>
    <w:p>
      <w:pPr>
        <w:numPr>
          <w:ilvl w:val="0"/>
          <w:numId w:val="1053"/>
        </w:numPr>
        <w:pStyle w:val="Compact"/>
      </w:pPr>
      <w:r>
        <w:rPr>
          <w:bCs/>
          <w:b/>
        </w:rPr>
        <w:t xml:space="preserve">Children and adolescents:</w:t>
      </w:r>
      <w:r>
        <w:t xml:space="preserve"> </w:t>
      </w:r>
      <w:r>
        <w:t xml:space="preserve">Lilly is testing the higher doses of 3.0 and 4.5 mg in adolescents with type 2 diabetes</w:t>
      </w:r>
      <w:r>
        <w:rPr>
          <w:rStyle w:val="FootnoteReference"/>
        </w:rPr>
        <w:footnoteReference w:id="393"/>
      </w:r>
      <w:r>
        <w:t xml:space="preserve"> </w:t>
      </w:r>
      <w:r>
        <w:t xml:space="preserve">and comparing the tablet orforglipron with dulaglutide in this age group</w:t>
      </w:r>
      <w:r>
        <w:rPr>
          <w:rStyle w:val="FootnoteReference"/>
        </w:rPr>
        <w:footnoteReference w:id="394"/>
      </w:r>
      <w:r>
        <w:t xml:space="preserve">.</w:t>
      </w:r>
    </w:p>
    <w:p>
      <w:pPr>
        <w:numPr>
          <w:ilvl w:val="0"/>
          <w:numId w:val="1053"/>
        </w:numPr>
        <w:pStyle w:val="Compact"/>
      </w:pPr>
      <w:r>
        <w:rPr>
          <w:bCs/>
          <w:b/>
        </w:rPr>
        <w:t xml:space="preserve">Blood vessels and surgery:</w:t>
      </w:r>
      <w:r>
        <w:t xml:space="preserve"> </w:t>
      </w:r>
      <w:r>
        <w:t xml:space="preserve">One study is investigating dulaglutide in severe narrowing of the cerebral arteries</w:t>
      </w:r>
      <w:r>
        <w:rPr>
          <w:rStyle w:val="FootnoteReference"/>
        </w:rPr>
        <w:footnoteReference w:id="395"/>
      </w:r>
      <w:r>
        <w:t xml:space="preserve">, another whether it reduces myocardial injury after noncardiac surgery</w:t>
      </w:r>
      <w:r>
        <w:rPr>
          <w:rStyle w:val="FootnoteReference"/>
        </w:rPr>
        <w:footnoteReference w:id="396"/>
      </w:r>
      <w:r>
        <w:t xml:space="preserve">.</w:t>
      </w:r>
    </w:p>
    <w:p>
      <w:pPr>
        <w:numPr>
          <w:ilvl w:val="0"/>
          <w:numId w:val="1053"/>
        </w:numPr>
        <w:pStyle w:val="Compact"/>
      </w:pPr>
      <w:r>
        <w:rPr>
          <w:bCs/>
          <w:b/>
        </w:rPr>
        <w:t xml:space="preserve">Cystic fibrosis:</w:t>
      </w:r>
      <w:r>
        <w:t xml:space="preserve"> </w:t>
      </w:r>
      <w:r>
        <w:t xml:space="preserve">A small phase 2 trial is investigating dulaglutide in impaired glucose metabolism resulting from the disease</w:t>
      </w:r>
      <w:r>
        <w:rPr>
          <w:rStyle w:val="FootnoteReference"/>
        </w:rPr>
        <w:footnoteReference w:id="397"/>
      </w:r>
      <w:r>
        <w:t xml:space="preserve">.</w:t>
      </w:r>
    </w:p>
    <w:p>
      <w:pPr>
        <w:numPr>
          <w:ilvl w:val="0"/>
          <w:numId w:val="1053"/>
        </w:numPr>
        <w:pStyle w:val="Compact"/>
      </w:pPr>
      <w:r>
        <w:rPr>
          <w:bCs/>
          <w:b/>
        </w:rPr>
        <w:t xml:space="preserve">As a comparator:</w:t>
      </w:r>
      <w:r>
        <w:t xml:space="preserve"> </w:t>
      </w:r>
      <w:r>
        <w:t xml:space="preserve">Numerous new drugs are being tested against dulaglutide in phase 3 trials, including the exendin-4 fusion protein JY09</w:t>
      </w:r>
      <w:r>
        <w:rPr>
          <w:rStyle w:val="FootnoteReference"/>
        </w:rPr>
        <w:footnoteReference w:id="398"/>
      </w:r>
      <w:r>
        <w:t xml:space="preserve">.</w:t>
      </w:r>
    </w:p>
    <w:p>
      <w:pPr>
        <w:pStyle w:val="FirstParagraph"/>
      </w:pPr>
      <w:r>
        <w:rPr>
          <w:bCs/>
          <w:b/>
        </w:rPr>
        <w:t xml:space="preserve">Assessment:</w:t>
      </w:r>
      <w:r>
        <w:t xml:space="preserve"> </w:t>
      </w:r>
      <w:r>
        <w:t xml:space="preserve">Dulaglutide is a solid, well-studied drug with demonstrated cardiovascular benefit, but it is surpassed by semaglutide and tirzepatide in terms of blood sugar and weight. Its role is likely to shift increasingly to that of a comparator standard in trials. Since Lilly offers its own successors in tirzepatide and orforglipron, further development of dulaglutide for new indications is unlikely.</w:t>
      </w:r>
    </w:p>
    <w:bookmarkEnd w:id="399"/>
    <w:bookmarkStart w:id="400" w:name="conclusion-2"/>
    <w:p>
      <w:pPr>
        <w:pStyle w:val="Heading3"/>
      </w:pPr>
      <w:r>
        <w:t xml:space="preserve">Conclusion</w:t>
      </w:r>
    </w:p>
    <w:p>
      <w:pPr>
        <w:pStyle w:val="FirstParagraph"/>
      </w:pPr>
      <w:r>
        <w:t xml:space="preserve">Dulaglutide is a weekly injected GLP-1 fusion protein that was tested in the AWARD program against almost all common diabetes drugs. It lowered long-term blood sugar about as much as liraglutide and more than exenatide, sitagliptin, or metformin, but was inferior to semaglutide in SUSTAIN 7, especially in terms of weight. In REWIND, with 9,901 participants, many of them without known cardiovascular disease, it reduced major cardiovascular events by 12%. The side effects correspond to those of the class; antibodies are rare. It is not approved for weight reduction, and treatment belongs in the hands of a physician.</w:t>
      </w:r>
    </w:p>
    <w:bookmarkEnd w:id="400"/>
    <w:bookmarkEnd w:id="401"/>
    <w:bookmarkStart w:id="476" w:name="semaglutide"/>
    <w:p>
      <w:pPr>
        <w:pStyle w:val="Heading2"/>
      </w:pPr>
      <w:r>
        <w:t xml:space="preserve">Semaglutide</w:t>
      </w:r>
    </w:p>
    <w:bookmarkStart w:id="403" w:name="profile-3"/>
    <w:p>
      <w:pPr>
        <w:pStyle w:val="Heading3"/>
      </w:pPr>
      <w:r>
        <w:t xml:space="preserve">Profile</w:t>
      </w:r>
    </w:p>
    <w:p>
      <w:pPr>
        <w:numPr>
          <w:ilvl w:val="0"/>
          <w:numId w:val="1054"/>
        </w:numPr>
        <w:pStyle w:val="Compact"/>
      </w:pPr>
      <w:r>
        <w:rPr>
          <w:bCs/>
          <w:b/>
        </w:rPr>
        <w:t xml:space="preserve">Type/structure:</w:t>
      </w:r>
      <w:r>
        <w:t xml:space="preserve"> </w:t>
      </w:r>
      <w:r>
        <w:t xml:space="preserve">Modified human GLP-1 of 31 amino acids. Compared with the body’s own hormone, two amino acids have been exchanged; at a third position, a fatty acid chain is attached via a linker, which binds the molecule strongly to the blood protein albumin</w:t>
      </w:r>
      <w:r>
        <w:rPr>
          <w:rStyle w:val="FootnoteReference"/>
        </w:rPr>
        <w:footnoteReference w:id="402"/>
      </w:r>
      <w:r>
        <w:t xml:space="preserve">.</w:t>
      </w:r>
    </w:p>
    <w:p>
      <w:pPr>
        <w:numPr>
          <w:ilvl w:val="0"/>
          <w:numId w:val="1054"/>
        </w:numPr>
        <w:pStyle w:val="Compact"/>
      </w:pPr>
      <w:r>
        <w:rPr>
          <w:bCs/>
          <w:b/>
        </w:rPr>
        <w:t xml:space="preserve">Origin:</w:t>
      </w:r>
      <w:r>
        <w:t xml:space="preserve"> </w:t>
      </w:r>
      <w:r>
        <w:t xml:space="preserve">developed by Novo Nordisk as a further development of liraglutide.</w:t>
      </w:r>
    </w:p>
    <w:p>
      <w:pPr>
        <w:numPr>
          <w:ilvl w:val="0"/>
          <w:numId w:val="1054"/>
        </w:numPr>
        <w:pStyle w:val="Compact"/>
      </w:pPr>
      <w:r>
        <w:rPr>
          <w:bCs/>
          <w:b/>
        </w:rPr>
        <w:t xml:space="preserve">Mechanism of action:</w:t>
      </w:r>
      <w:r>
        <w:t xml:space="preserve"> </w:t>
      </w:r>
      <w:r>
        <w:t xml:space="preserve">GLP-1 receptor agonist with a very long duration of action – one injection per week or one tablet per day.</w:t>
      </w:r>
    </w:p>
    <w:p>
      <w:pPr>
        <w:numPr>
          <w:ilvl w:val="0"/>
          <w:numId w:val="1054"/>
        </w:numPr>
        <w:pStyle w:val="Compact"/>
      </w:pPr>
      <w:r>
        <w:rPr>
          <w:bCs/>
          <w:b/>
        </w:rPr>
        <w:t xml:space="preserve">Products:</w:t>
      </w:r>
      <w:r>
        <w:t xml:space="preserve"> </w:t>
      </w:r>
      <w:r>
        <w:t xml:space="preserve">Ozempic (injection, type 2 diabetes), Wegovy (injection, weight management and cardiovascular risk reduction), Rybelsus (tablet, type 2 diabetes). In the USA, a Wegovy tablet for weight management has also been approved since late 2025 (please check for current information).</w:t>
      </w:r>
    </w:p>
    <w:p>
      <w:pPr>
        <w:numPr>
          <w:ilvl w:val="0"/>
          <w:numId w:val="1054"/>
        </w:numPr>
        <w:pStyle w:val="Compact"/>
      </w:pPr>
      <w:r>
        <w:rPr>
          <w:bCs/>
          <w:b/>
        </w:rPr>
        <w:t xml:space="preserve">EU approval:</w:t>
      </w:r>
      <w:r>
        <w:t xml:space="preserve"> </w:t>
      </w:r>
      <w:r>
        <w:t xml:space="preserve">yes – type 2 diabetes (injection since 2018, tablet since 2020), weight management (since 2022, also for adolescents aged 12 and older).</w:t>
      </w:r>
    </w:p>
    <w:p>
      <w:pPr>
        <w:numPr>
          <w:ilvl w:val="0"/>
          <w:numId w:val="1054"/>
        </w:numPr>
        <w:pStyle w:val="Compact"/>
      </w:pPr>
      <w:r>
        <w:rPr>
          <w:bCs/>
          <w:b/>
        </w:rPr>
        <w:t xml:space="preserve">US approval:</w:t>
      </w:r>
      <w:r>
        <w:t xml:space="preserve"> </w:t>
      </w:r>
      <w:r>
        <w:t xml:space="preserve">yes – type 2 diabetes, weight management, reduction of cardiovascular risk in overweight with cardiovascular disease, kidney protection in type 2 diabetes and chronic kidney disease, and fatty liver inflammation (MASH) with fibrosis.</w:t>
      </w:r>
    </w:p>
    <w:p>
      <w:pPr>
        <w:numPr>
          <w:ilvl w:val="0"/>
          <w:numId w:val="1054"/>
        </w:numPr>
        <w:pStyle w:val="Compact"/>
      </w:pPr>
      <w:r>
        <w:rPr>
          <w:bCs/>
          <w:b/>
        </w:rPr>
        <w:t xml:space="preserve">WADA:</w:t>
      </w:r>
      <w:r>
        <w:t xml:space="preserve"> </w:t>
      </w:r>
      <w:r>
        <w:t xml:space="preserve">not listed.</w:t>
      </w:r>
    </w:p>
    <w:p>
      <w:pPr>
        <w:numPr>
          <w:ilvl w:val="0"/>
          <w:numId w:val="1054"/>
        </w:numPr>
        <w:pStyle w:val="Compact"/>
      </w:pPr>
      <w:r>
        <w:rPr>
          <w:bCs/>
          <w:b/>
        </w:rPr>
        <w:t xml:space="preserve">Evidence level:</w:t>
      </w:r>
      <w:r>
        <w:t xml:space="preserve"> </w:t>
      </w:r>
      <w:r>
        <w:rPr>
          <w:bCs/>
          <w:b/>
        </w:rPr>
        <w:t xml:space="preserve">A</w:t>
      </w:r>
      <w:r>
        <w:t xml:space="preserve"> </w:t>
      </w:r>
      <w:r>
        <w:t xml:space="preserve">– four large approval programs (SUSTAIN, PIONEER, STEP, OASIS), several outcomes trials with a combined total of more than 40,000 participants.</w:t>
      </w:r>
    </w:p>
    <w:bookmarkEnd w:id="403"/>
    <w:bookmarkStart w:id="406" w:name="how-it-is-supposed-to-work-3"/>
    <w:p>
      <w:pPr>
        <w:pStyle w:val="Heading3"/>
      </w:pPr>
      <w:r>
        <w:t xml:space="preserve">How it is supposed to work</w:t>
      </w:r>
    </w:p>
    <w:p>
      <w:pPr>
        <w:pStyle w:val="FirstParagraph"/>
      </w:pPr>
      <w:r>
        <w:t xml:space="preserve">Semaglutide acts like the gut hormone GLP-1: it enhances glucose-dependent insulin release, inhibits glucagon, which raises blood sugar, slows gastric emptying, and dampens hunger and food cravings in the brain. The basic mechanism of the class is explained in the chapter Exenatide.</w:t>
      </w:r>
    </w:p>
    <w:p>
      <w:pPr>
        <w:pStyle w:val="BodyText"/>
      </w:pPr>
      <w:r>
        <w:t xml:space="preserve">What is new about semaglutide is its durability. The developers started from liraglutide and changed two things</w:t>
      </w:r>
      <w:r>
        <w:rPr>
          <w:rStyle w:val="FootnoteReference"/>
        </w:rPr>
        <w:footnoteReference w:id="404"/>
      </w:r>
      <w:r>
        <w:t xml:space="preserve">: an amino acid exchange at position 8 makes the molecule completely insensitive to the degrading enzyme DPP-4. And a longer fatty acid chain with a different linker binds much more tightly to albumin. As a result, semaglutide is released and excreted only slowly. In minipigs, the half-life after intravenous administration was 46.1 hours; in humans it is even longer and allows one injection per week.</w:t>
      </w:r>
    </w:p>
    <w:p>
      <w:pPr>
        <w:pStyle w:val="BodyText"/>
      </w:pPr>
      <w:r>
        <w:t xml:space="preserve">For weight loss, effects in the brain are decisive above all. Semaglutide reduces food intake, feelings of hunger, and the desire for particularly fatty and sugary foods. A meaningfully higher energy expenditure has not been demonstrated.</w:t>
      </w:r>
    </w:p>
    <w:p>
      <w:pPr>
        <w:pStyle w:val="BodyText"/>
      </w:pPr>
      <w:r>
        <w:rPr>
          <w:bCs/>
          <w:b/>
        </w:rPr>
        <w:t xml:space="preserve">The tablet:</w:t>
      </w:r>
      <w:r>
        <w:t xml:space="preserve"> </w:t>
      </w:r>
      <w:r>
        <w:t xml:space="preserve">Peptides are normally digested in the stomach and hardly absorbed. For Rybelsus, semaglutide is combined with the excipient SNAC. This buffers stomach acid directly at the tablet surface, thereby protecting against breakdown, and briefly facilitates absorption through the gastric mucosa – in studies in humans and dogs exclusively in the stomach, not in the intestine</w:t>
      </w:r>
      <w:r>
        <w:rPr>
          <w:rStyle w:val="FootnoteReference"/>
        </w:rPr>
        <w:footnoteReference w:id="405"/>
      </w:r>
      <w:r>
        <w:t xml:space="preserve">. Even so, only a very small fraction of the drug reaches the blood. The tablet therefore contains many times the injection dose and must be taken on an empty stomach with a little water; the prescribing information sets out the details.</w:t>
      </w:r>
    </w:p>
    <w:bookmarkEnd w:id="406"/>
    <w:bookmarkStart w:id="447" w:name="human-studies-3"/>
    <w:p>
      <w:pPr>
        <w:pStyle w:val="Heading3"/>
      </w:pPr>
      <w:r>
        <w:t xml:space="preserve">Human studies</w:t>
      </w:r>
    </w:p>
    <w:p>
      <w:pPr>
        <w:pStyle w:val="FirstParagraph"/>
      </w:pPr>
      <w:r>
        <w:t xml:space="preserve">Semaglutide is currently the most extensively studied drug in its class. The PubMed query evaluated for this book (search term</w:t>
      </w:r>
      <w:r>
        <w:t xml:space="preserve"> </w:t>
      </w:r>
      <w:r>
        <w:t xml:space="preserve">“</w:t>
      </w:r>
      <w:r>
        <w:t xml:space="preserve">semaglutide</w:t>
      </w:r>
      <w:r>
        <w:t xml:space="preserve">”</w:t>
      </w:r>
      <w:r>
        <w:t xml:space="preserve"> </w:t>
      </w:r>
      <w:r>
        <w:t xml:space="preserve">in title or abstract, query date October 2026) yielded 342 human studies. This number underestimates the actual volume of research, because many analyses of large trials are published under the trial’s name. ClinicalTrials.gov lists 793 registry entries – more than for any other peptide in this book.</w:t>
      </w:r>
    </w:p>
    <w:p>
      <w:pPr>
        <w:pStyle w:val="BodyText"/>
      </w:pPr>
      <w:r>
        <w:t xml:space="preserve">The studies can be divided into four programs: SUSTAIN (injection in type 2 diabetes), PIONEER (tablet in type 2 diabetes), STEP (injection in obesity), and OASIS (tablet in obesity). In addition, there are large outcomes trials on the heart (SUSTAIN 6, PIONEER 6, SOUL, SELECT), kidneys (FLOW), liver (ESSENCE), heart failure, joints, and the brain (evoke).</w:t>
      </w:r>
    </w:p>
    <w:bookmarkStart w:id="410" w:name="X76e6b89d1cb5f14f3f4ebd5635d55bbe176cbd9"/>
    <w:p>
      <w:pPr>
        <w:pStyle w:val="Heading4"/>
      </w:pPr>
      <w:r>
        <w:t xml:space="preserve">Type 2 Diabetes with the Injection: SUSTAIN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SUSTAIN 1 (Sorli 2017), PMID 28110911</w:t>
            </w:r>
          </w:p>
        </w:tc>
        <w:tc>
          <w:tcPr/>
          <w:p>
            <w:pPr>
              <w:pStyle w:val="Compact"/>
              <w:jc w:val="left"/>
            </w:pPr>
            <w:r>
              <w:t xml:space="preserve">388 people, monotherapy vs. placebo</w:t>
            </w:r>
          </w:p>
        </w:tc>
        <w:tc>
          <w:tcPr/>
          <w:p>
            <w:pPr>
              <w:pStyle w:val="Compact"/>
              <w:jc w:val="left"/>
            </w:pPr>
            <w:r>
              <w:t xml:space="preserve">30 weeks</w:t>
            </w:r>
          </w:p>
        </w:tc>
        <w:tc>
          <w:tcPr/>
          <w:p>
            <w:pPr>
              <w:pStyle w:val="Compact"/>
              <w:jc w:val="left"/>
            </w:pPr>
            <w:r>
              <w:t xml:space="preserve">HbA1c −1.55 (1.0 mg) vs. −0.02 percentage points; weight −4.53 vs. −0.98 kg</w:t>
            </w:r>
          </w:p>
        </w:tc>
      </w:tr>
      <w:tr>
        <w:tc>
          <w:tcPr/>
          <w:p>
            <w:pPr>
              <w:pStyle w:val="Compact"/>
              <w:jc w:val="left"/>
            </w:pPr>
            <w:r>
              <w:t xml:space="preserve">SUSTAIN FORTE (Frías 2021), PMID 34293304</w:t>
            </w:r>
          </w:p>
        </w:tc>
        <w:tc>
          <w:tcPr/>
          <w:p>
            <w:pPr>
              <w:pStyle w:val="Compact"/>
              <w:jc w:val="left"/>
            </w:pPr>
            <w:r>
              <w:t xml:space="preserve">961 people; 2.0 mg vs. 1.0 mg</w:t>
            </w:r>
          </w:p>
        </w:tc>
        <w:tc>
          <w:tcPr/>
          <w:p>
            <w:pPr>
              <w:pStyle w:val="Compact"/>
              <w:jc w:val="left"/>
            </w:pPr>
            <w:r>
              <w:t xml:space="preserve">40 weeks</w:t>
            </w:r>
          </w:p>
        </w:tc>
        <w:tc>
          <w:tcPr/>
          <w:p>
            <w:pPr>
              <w:pStyle w:val="Compact"/>
              <w:jc w:val="left"/>
            </w:pPr>
            <w:r>
              <w:t xml:space="preserve">HbA1c −2.2 vs. −1.9; weight −6.9 vs. −6.0 kg</w:t>
            </w:r>
          </w:p>
        </w:tc>
      </w:tr>
      <w:tr>
        <w:tc>
          <w:tcPr/>
          <w:p>
            <w:pPr>
              <w:pStyle w:val="Compact"/>
              <w:jc w:val="left"/>
            </w:pPr>
            <w:r>
              <w:t xml:space="preserve">SUSTAIN 6 (Marso 2016), PMID 27633186</w:t>
            </w:r>
          </w:p>
        </w:tc>
        <w:tc>
          <w:tcPr/>
          <w:p>
            <w:pPr>
              <w:pStyle w:val="Compact"/>
              <w:jc w:val="left"/>
            </w:pPr>
            <w:r>
              <w:t xml:space="preserve">3,297 people with high cardiovascular risk, vs. placebo</w:t>
            </w:r>
          </w:p>
        </w:tc>
        <w:tc>
          <w:tcPr/>
          <w:p>
            <w:pPr>
              <w:pStyle w:val="Compact"/>
              <w:jc w:val="left"/>
            </w:pPr>
            <w:r>
              <w:t xml:space="preserve">104 weeks</w:t>
            </w:r>
          </w:p>
        </w:tc>
        <w:tc>
          <w:tcPr/>
          <w:p>
            <w:pPr>
              <w:pStyle w:val="Compact"/>
              <w:jc w:val="left"/>
            </w:pPr>
            <w:r>
              <w:t xml:space="preserve">Major cardiovascular events 6.6% vs. 8.9%; HR 0.74</w:t>
            </w:r>
          </w:p>
        </w:tc>
      </w:tr>
    </w:tbl>
    <w:p>
      <w:pPr>
        <w:pStyle w:val="BodyText"/>
      </w:pPr>
      <w:r>
        <w:t xml:space="preserve">The monotherapy trial SUSTAIN 1</w:t>
      </w:r>
      <w:r>
        <w:rPr>
          <w:rStyle w:val="FootnoteReference"/>
        </w:rPr>
        <w:footnoteReference w:id="407"/>
      </w:r>
      <w:r>
        <w:t xml:space="preserve"> </w:t>
      </w:r>
      <w:r>
        <w:t xml:space="preserve">already showed that semaglutide lowers long-term blood sugar (HbA1c) by about 1.5 percentage points. In later trials with participants who had higher baseline values, the reduction was greater; with the 2.0 mg dose it reached 2.2 percentage points in SUSTAIN FORTE</w:t>
      </w:r>
      <w:r>
        <w:rPr>
          <w:rStyle w:val="FootnoteReference"/>
        </w:rPr>
        <w:footnoteReference w:id="408"/>
      </w:r>
      <w:r>
        <w:t xml:space="preserve">.</w:t>
      </w:r>
    </w:p>
    <w:p>
      <w:pPr>
        <w:pStyle w:val="BodyText"/>
      </w:pPr>
      <w:r>
        <w:rPr>
          <w:bCs/>
          <w:b/>
        </w:rPr>
        <w:t xml:space="preserve">SUSTAIN 6</w:t>
      </w:r>
      <w:r>
        <w:rPr>
          <w:rStyle w:val="FootnoteReference"/>
        </w:rPr>
        <w:footnoteReference w:id="409"/>
      </w:r>
      <w:r>
        <w:t xml:space="preserve"> </w:t>
      </w:r>
      <w:r>
        <w:t xml:space="preserve">was designed as a safety trial but showed a clear advantage: death from cardiovascular causes, nonfatal myocardial infarction, or stroke occurred in 108 of 1,648 people on semaglutide (6.6%) versus 146 of 1,649 on placebo (8.9%). Strokes were significantly less frequent (1.6% vs. 2.7%). At the same time, a warning signal emerged: complications of diabetic retinal disease (retinopathy) – such as vitreous hemorrhage or findings requiring treatment – were more frequent on semaglutide (HR 1.76). This signal is discussed in the section on risks.</w:t>
      </w:r>
    </w:p>
    <w:bookmarkEnd w:id="410"/>
    <w:bookmarkStart w:id="416" w:name="Xe66a4e446d1e1dc02d7a8bcf1ed140f6eb64cf6"/>
    <w:p>
      <w:pPr>
        <w:pStyle w:val="Heading4"/>
      </w:pPr>
      <w:r>
        <w:t xml:space="preserve">Head-to-Head Comparisons Within the GLP-1 Class</w:t>
      </w:r>
    </w:p>
    <w:p>
      <w:pPr>
        <w:pStyle w:val="FirstParagraph"/>
      </w:pPr>
      <w:r>
        <w:t xml:space="preserve">Semaglutide has competed in direct comparison trials against all older GLP-1 receptor agonists and has outperformed each of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Duration</w:t>
            </w:r>
          </w:p>
        </w:tc>
        <w:tc>
          <w:tcPr/>
          <w:p>
            <w:pPr>
              <w:pStyle w:val="Compact"/>
              <w:jc w:val="left"/>
            </w:pPr>
            <w:r>
              <w:t xml:space="preserve">Result (semaglutide vs. comparator)</w:t>
            </w:r>
          </w:p>
        </w:tc>
      </w:tr>
      <w:tr>
        <w:tc>
          <w:tcPr/>
          <w:p>
            <w:pPr>
              <w:pStyle w:val="Compact"/>
              <w:jc w:val="left"/>
            </w:pPr>
            <w:r>
              <w:t xml:space="preserve">SUSTAIN 3 (Ahmann 2018), PMID 29246950</w:t>
            </w:r>
          </w:p>
        </w:tc>
        <w:tc>
          <w:tcPr/>
          <w:p>
            <w:pPr>
              <w:pStyle w:val="Compact"/>
              <w:jc w:val="left"/>
            </w:pPr>
            <w:r>
              <w:t xml:space="preserve">vs. exenatide weekly, open-label</w:t>
            </w:r>
          </w:p>
        </w:tc>
        <w:tc>
          <w:tcPr/>
          <w:p>
            <w:pPr>
              <w:pStyle w:val="Compact"/>
              <w:jc w:val="left"/>
            </w:pPr>
            <w:r>
              <w:t xml:space="preserve">56 weeks</w:t>
            </w:r>
          </w:p>
        </w:tc>
        <w:tc>
          <w:tcPr/>
          <w:p>
            <w:pPr>
              <w:pStyle w:val="Compact"/>
              <w:jc w:val="left"/>
            </w:pPr>
            <w:r>
              <w:t xml:space="preserve">HbA1c −1.5 vs. −0.9; weight −5.6 vs. −1.9 kg</w:t>
            </w:r>
          </w:p>
        </w:tc>
      </w:tr>
      <w:tr>
        <w:tc>
          <w:tcPr/>
          <w:p>
            <w:pPr>
              <w:pStyle w:val="Compact"/>
              <w:jc w:val="left"/>
            </w:pPr>
            <w:r>
              <w:t xml:space="preserve">SUSTAIN 7 (Pratley 2018), PMID 29397376</w:t>
            </w:r>
          </w:p>
        </w:tc>
        <w:tc>
          <w:tcPr/>
          <w:p>
            <w:pPr>
              <w:pStyle w:val="Compact"/>
              <w:jc w:val="left"/>
            </w:pPr>
            <w:r>
              <w:t xml:space="preserve">1,201 people; 0.5/1.0 mg vs. dulaglutide 0.75/1.5 mg</w:t>
            </w:r>
          </w:p>
        </w:tc>
        <w:tc>
          <w:tcPr/>
          <w:p>
            <w:pPr>
              <w:pStyle w:val="Compact"/>
              <w:jc w:val="left"/>
            </w:pPr>
            <w:r>
              <w:t xml:space="preserve">40 weeks</w:t>
            </w:r>
          </w:p>
        </w:tc>
        <w:tc>
          <w:tcPr/>
          <w:p>
            <w:pPr>
              <w:pStyle w:val="Compact"/>
              <w:jc w:val="left"/>
            </w:pPr>
            <w:r>
              <w:t xml:space="preserve">HbA1c −1.8 vs. −1.4; weight −6.5 vs. −3.0 kg (high doses)</w:t>
            </w:r>
          </w:p>
        </w:tc>
      </w:tr>
      <w:tr>
        <w:tc>
          <w:tcPr/>
          <w:p>
            <w:pPr>
              <w:pStyle w:val="Compact"/>
              <w:jc w:val="left"/>
            </w:pPr>
            <w:r>
              <w:t xml:space="preserve">SUSTAIN 10 (Capehorn 2020), PMID 31539622</w:t>
            </w:r>
          </w:p>
        </w:tc>
        <w:tc>
          <w:tcPr/>
          <w:p>
            <w:pPr>
              <w:pStyle w:val="Compact"/>
              <w:jc w:val="left"/>
            </w:pPr>
            <w:r>
              <w:t xml:space="preserve">1.0 mg vs. liraglutide 1.2 mg</w:t>
            </w:r>
          </w:p>
        </w:tc>
        <w:tc>
          <w:tcPr/>
          <w:p>
            <w:pPr>
              <w:pStyle w:val="Compact"/>
              <w:jc w:val="left"/>
            </w:pPr>
            <w:r>
              <w:t xml:space="preserve">30 weeks</w:t>
            </w:r>
          </w:p>
        </w:tc>
        <w:tc>
          <w:tcPr/>
          <w:p>
            <w:pPr>
              <w:pStyle w:val="Compact"/>
              <w:jc w:val="left"/>
            </w:pPr>
            <w:r>
              <w:t xml:space="preserve">HbA1c −1.7 vs. −1.0; weight −5.8 vs. −1.9 kg</w:t>
            </w:r>
          </w:p>
        </w:tc>
      </w:tr>
      <w:tr>
        <w:tc>
          <w:tcPr/>
          <w:p>
            <w:pPr>
              <w:pStyle w:val="Compact"/>
              <w:jc w:val="left"/>
            </w:pPr>
            <w:r>
              <w:t xml:space="preserve">PIONEER 4 (Pratley 2019), PMID 31186120</w:t>
            </w:r>
          </w:p>
        </w:tc>
        <w:tc>
          <w:tcPr/>
          <w:p>
            <w:pPr>
              <w:pStyle w:val="Compact"/>
              <w:jc w:val="left"/>
            </w:pPr>
            <w:r>
              <w:t xml:space="preserve">711 people; tablet 14 mg vs. liraglutide injection 1.8 mg vs. placebo</w:t>
            </w:r>
          </w:p>
        </w:tc>
        <w:tc>
          <w:tcPr/>
          <w:p>
            <w:pPr>
              <w:pStyle w:val="Compact"/>
              <w:jc w:val="left"/>
            </w:pPr>
            <w:r>
              <w:t xml:space="preserve">52 weeks (main analysis after 26 weeks)</w:t>
            </w:r>
          </w:p>
        </w:tc>
        <w:tc>
          <w:tcPr/>
          <w:p>
            <w:pPr>
              <w:pStyle w:val="Compact"/>
              <w:jc w:val="left"/>
            </w:pPr>
            <w:r>
              <w:t xml:space="preserve">HbA1c −1.2 vs. −1.1 (noninferior); weight −4.4 vs. −3.1 kg</w:t>
            </w:r>
          </w:p>
        </w:tc>
      </w:tr>
      <w:tr>
        <w:tc>
          <w:tcPr/>
          <w:p>
            <w:pPr>
              <w:pStyle w:val="Compact"/>
              <w:jc w:val="left"/>
            </w:pPr>
            <w:r>
              <w:t xml:space="preserve">STEP 8 (Rubino 2022), PMID 35015037</w:t>
            </w:r>
          </w:p>
        </w:tc>
        <w:tc>
          <w:tcPr/>
          <w:p>
            <w:pPr>
              <w:pStyle w:val="Compact"/>
              <w:jc w:val="left"/>
            </w:pPr>
            <w:r>
              <w:t xml:space="preserve">338 people with obesity without diabetes; 2.4 mg vs. liraglutide 3.0 mg</w:t>
            </w:r>
          </w:p>
        </w:tc>
        <w:tc>
          <w:tcPr/>
          <w:p>
            <w:pPr>
              <w:pStyle w:val="Compact"/>
              <w:jc w:val="left"/>
            </w:pPr>
            <w:r>
              <w:t xml:space="preserve">68 weeks</w:t>
            </w:r>
          </w:p>
        </w:tc>
        <w:tc>
          <w:tcPr/>
          <w:p>
            <w:pPr>
              <w:pStyle w:val="Compact"/>
              <w:jc w:val="left"/>
            </w:pPr>
            <w:r>
              <w:t xml:space="preserve">Weight −15.8% vs. −6.4%</w:t>
            </w:r>
          </w:p>
        </w:tc>
      </w:tr>
    </w:tbl>
    <w:p>
      <w:pPr>
        <w:pStyle w:val="BodyText"/>
      </w:pPr>
      <w:r>
        <w:t xml:space="preserve">The differences in long-term blood sugar range from 0.1 to 0.7 percentage points in favor of semaglutide, and in weight from 1.2 to about 4 kg in diabetes. The gap was greatest in obesity: in STEP 8</w:t>
      </w:r>
      <w:r>
        <w:rPr>
          <w:rStyle w:val="FootnoteReference"/>
        </w:rPr>
        <w:footnoteReference w:id="411"/>
      </w:r>
      <w:r>
        <w:t xml:space="preserve">, 38.5% on semaglutide lost at least 20% of their weight, compared with 6.0% on liraglutide. In some comparisons, the price is a somewhat higher rate of gastrointestinal complaints: in SUSTAIN 10, 11.4% versus 6.6% discontinued treatment because of side effects</w:t>
      </w:r>
      <w:r>
        <w:rPr>
          <w:rStyle w:val="FootnoteReference"/>
        </w:rPr>
        <w:footnoteReference w:id="412"/>
      </w:r>
      <w:r>
        <w:t xml:space="preserve">. In SUSTAIN 3, on the other hand, injection-site reactions were far more frequent on exenatide (22.0% vs. 1.2%)</w:t>
      </w:r>
      <w:r>
        <w:rPr>
          <w:rStyle w:val="FootnoteReference"/>
        </w:rPr>
        <w:footnoteReference w:id="413"/>
      </w:r>
      <w:r>
        <w:t xml:space="preserve">.</w:t>
      </w:r>
    </w:p>
    <w:p>
      <w:pPr>
        <w:pStyle w:val="BodyText"/>
      </w:pPr>
      <w:r>
        <w:t xml:space="preserve">PIONEER 4</w:t>
      </w:r>
      <w:r>
        <w:rPr>
          <w:rStyle w:val="FootnoteReference"/>
        </w:rPr>
        <w:footnoteReference w:id="414"/>
      </w:r>
      <w:r>
        <w:t xml:space="preserve"> </w:t>
      </w:r>
      <w:r>
        <w:t xml:space="preserve">is noteworthy because a tablet competed against an injection: for HbA1c, the semaglutide tablet was not worse than the liraglutide injection, and for weight it was superior by 1.2 kg.</w:t>
      </w:r>
    </w:p>
    <w:p>
      <w:pPr>
        <w:pStyle w:val="BodyText"/>
      </w:pPr>
      <w:r>
        <w:t xml:space="preserve">Outside the GLP-1 class, semaglutide has itself been surpassed: in a direct comparison with the dual GIP/GLP-1 agonist tirzepatide in 751 people with obesity, weight loss after 72 weeks was −13.7% versus −20.2%</w:t>
      </w:r>
      <w:r>
        <w:rPr>
          <w:rStyle w:val="FootnoteReference"/>
        </w:rPr>
        <w:footnoteReference w:id="415"/>
      </w:r>
      <w:r>
        <w:t xml:space="preserve">. Details can be found in the chapter Tirzepatide.</w:t>
      </w:r>
    </w:p>
    <w:bookmarkEnd w:id="416"/>
    <w:bookmarkStart w:id="420" w:name="X79f6a0995208da223b6ba7e28e103c62bf80180"/>
    <w:p>
      <w:pPr>
        <w:pStyle w:val="Heading4"/>
      </w:pPr>
      <w:r>
        <w:t xml:space="preserve">Type 2 Diabetes with the Tablet: PIONEER and SOUL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PIONEER 1 (Aroda 2019), PMID 31186300</w:t>
            </w:r>
          </w:p>
        </w:tc>
        <w:tc>
          <w:tcPr/>
          <w:p>
            <w:pPr>
              <w:pStyle w:val="Compact"/>
              <w:jc w:val="left"/>
            </w:pPr>
            <w:r>
              <w:t xml:space="preserve">703 people, monotherapy; 3/7/14 mg vs. placebo</w:t>
            </w:r>
          </w:p>
        </w:tc>
        <w:tc>
          <w:tcPr/>
          <w:p>
            <w:pPr>
              <w:pStyle w:val="Compact"/>
              <w:jc w:val="left"/>
            </w:pPr>
            <w:r>
              <w:t xml:space="preserve">26 weeks</w:t>
            </w:r>
          </w:p>
        </w:tc>
        <w:tc>
          <w:tcPr/>
          <w:p>
            <w:pPr>
              <w:pStyle w:val="Compact"/>
              <w:jc w:val="left"/>
            </w:pPr>
            <w:r>
              <w:t xml:space="preserve">HbA1c −1.1 percentage points (14 mg) vs. placebo; weight −2.3 kg vs. placebo</w:t>
            </w:r>
          </w:p>
        </w:tc>
      </w:tr>
      <w:tr>
        <w:tc>
          <w:tcPr/>
          <w:p>
            <w:pPr>
              <w:pStyle w:val="Compact"/>
              <w:jc w:val="left"/>
            </w:pPr>
            <w:r>
              <w:t xml:space="preserve">PIONEER 6 (Husain 2019), PMID 31185157</w:t>
            </w:r>
          </w:p>
        </w:tc>
        <w:tc>
          <w:tcPr/>
          <w:p>
            <w:pPr>
              <w:pStyle w:val="Compact"/>
              <w:jc w:val="left"/>
            </w:pPr>
            <w:r>
              <w:t xml:space="preserve">3,183 people at high risk; vs. placebo</w:t>
            </w:r>
          </w:p>
        </w:tc>
        <w:tc>
          <w:tcPr/>
          <w:p>
            <w:pPr>
              <w:pStyle w:val="Compact"/>
              <w:jc w:val="left"/>
            </w:pPr>
            <w:r>
              <w:t xml:space="preserve">median 15.9 months</w:t>
            </w:r>
          </w:p>
        </w:tc>
        <w:tc>
          <w:tcPr/>
          <w:p>
            <w:pPr>
              <w:pStyle w:val="Compact"/>
              <w:jc w:val="left"/>
            </w:pPr>
            <w:r>
              <w:t xml:space="preserve">Events 3.8% vs. 4.8%; HR 0.79, noninferior</w:t>
            </w:r>
          </w:p>
        </w:tc>
      </w:tr>
      <w:tr>
        <w:tc>
          <w:tcPr/>
          <w:p>
            <w:pPr>
              <w:pStyle w:val="Compact"/>
              <w:jc w:val="left"/>
            </w:pPr>
            <w:r>
              <w:t xml:space="preserve">PIONEER PLUS (Aroda 2023), PMID 37385279</w:t>
            </w:r>
          </w:p>
        </w:tc>
        <w:tc>
          <w:tcPr/>
          <w:p>
            <w:pPr>
              <w:pStyle w:val="Compact"/>
              <w:jc w:val="left"/>
            </w:pPr>
            <w:r>
              <w:t xml:space="preserve">1,606 people; 25 and 50 mg vs. 14 mg</w:t>
            </w:r>
          </w:p>
        </w:tc>
        <w:tc>
          <w:tcPr/>
          <w:p>
            <w:pPr>
              <w:pStyle w:val="Compact"/>
              <w:jc w:val="left"/>
            </w:pPr>
            <w:r>
              <w:t xml:space="preserve">52 weeks</w:t>
            </w:r>
          </w:p>
        </w:tc>
        <w:tc>
          <w:tcPr/>
          <w:p>
            <w:pPr>
              <w:pStyle w:val="Compact"/>
              <w:jc w:val="left"/>
            </w:pPr>
            <w:r>
              <w:t xml:space="preserve">HbA1c −2.0 (50 mg) vs. −1.5 (14 mg)</w:t>
            </w:r>
          </w:p>
        </w:tc>
      </w:tr>
      <w:tr>
        <w:tc>
          <w:tcPr/>
          <w:p>
            <w:pPr>
              <w:pStyle w:val="Compact"/>
              <w:jc w:val="left"/>
            </w:pPr>
            <w:r>
              <w:t xml:space="preserve">SOUL (McGuire 2025), PMID 40162642</w:t>
            </w:r>
          </w:p>
        </w:tc>
        <w:tc>
          <w:tcPr/>
          <w:p>
            <w:pPr>
              <w:pStyle w:val="Compact"/>
              <w:jc w:val="left"/>
            </w:pPr>
            <w:r>
              <w:t xml:space="preserve">9,650 people with vascular and/or kidney disease; vs. placebo</w:t>
            </w:r>
          </w:p>
        </w:tc>
        <w:tc>
          <w:tcPr/>
          <w:p>
            <w:pPr>
              <w:pStyle w:val="Compact"/>
              <w:jc w:val="left"/>
            </w:pPr>
            <w:r>
              <w:t xml:space="preserve">median 49.5 months</w:t>
            </w:r>
          </w:p>
        </w:tc>
        <w:tc>
          <w:tcPr/>
          <w:p>
            <w:pPr>
              <w:pStyle w:val="Compact"/>
              <w:jc w:val="left"/>
            </w:pPr>
            <w:r>
              <w:t xml:space="preserve">Events 12.0% vs. 13.8%; HR 0.86 (0.77–0.96)</w:t>
            </w:r>
          </w:p>
        </w:tc>
      </w:tr>
    </w:tbl>
    <w:p>
      <w:pPr>
        <w:pStyle w:val="BodyText"/>
      </w:pPr>
      <w:r>
        <w:t xml:space="preserve">At the standard dose of 14 mg, the tablet is somewhat weaker than the injection. PIONEER PLUS</w:t>
      </w:r>
      <w:r>
        <w:rPr>
          <w:rStyle w:val="FootnoteReference"/>
        </w:rPr>
        <w:footnoteReference w:id="417"/>
      </w:r>
      <w:r>
        <w:t xml:space="preserve"> </w:t>
      </w:r>
      <w:r>
        <w:t xml:space="preserve">showed that higher tablet doses narrow the gap. PIONEER 6</w:t>
      </w:r>
      <w:r>
        <w:rPr>
          <w:rStyle w:val="FootnoteReference"/>
        </w:rPr>
        <w:footnoteReference w:id="418"/>
      </w:r>
      <w:r>
        <w:t xml:space="preserve"> </w:t>
      </w:r>
      <w:r>
        <w:t xml:space="preserve">was a short safety trial; it proved that the tablet does not increase cardiovascular risk but was too small to demonstrate a benefit.</w:t>
      </w:r>
    </w:p>
    <w:p>
      <w:pPr>
        <w:pStyle w:val="BodyText"/>
      </w:pPr>
      <w:r>
        <w:t xml:space="preserve">This was provided by</w:t>
      </w:r>
      <w:r>
        <w:t xml:space="preserve"> </w:t>
      </w:r>
      <w:r>
        <w:rPr>
          <w:bCs/>
          <w:b/>
        </w:rPr>
        <w:t xml:space="preserve">SOUL</w:t>
      </w:r>
      <w:r>
        <w:rPr>
          <w:rStyle w:val="FootnoteReference"/>
        </w:rPr>
        <w:footnoteReference w:id="419"/>
      </w:r>
      <w:r>
        <w:t xml:space="preserve">: in 9,650 people with type 2 diabetes and vascular or kidney disease, the semaglutide tablet reduced major cardiovascular events by 14% over about four years. The confirmatory secondary endpoints, including kidney outcomes, did not differ significantly. Serious adverse events were not more frequent on semaglutide (47.9% vs. 50.3%).</w:t>
      </w:r>
    </w:p>
    <w:bookmarkEnd w:id="420"/>
    <w:bookmarkStart w:id="426" w:name="obesity-with-the-injection-step"/>
    <w:p>
      <w:pPr>
        <w:pStyle w:val="Heading4"/>
      </w:pPr>
      <w:r>
        <w:t xml:space="preserve">Obesity with the Injection: STEP</w:t>
      </w:r>
    </w:p>
    <w:p>
      <w:pPr>
        <w:pStyle w:val="FirstParagraph"/>
      </w:pPr>
      <w:r>
        <w:t xml:space="preserve">At a dose of 2.4 mg per week, semaglutide, as Wegovy, became the first medication with which people with obesity lost on average about 15% of their body weight in large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STEP 1 (Wilding 2021), PMID 33567185</w:t>
            </w:r>
          </w:p>
        </w:tc>
        <w:tc>
          <w:tcPr/>
          <w:p>
            <w:pPr>
              <w:pStyle w:val="Compact"/>
              <w:jc w:val="left"/>
            </w:pPr>
            <w:r>
              <w:t xml:space="preserve">1,961 adults with obesity without diabetes, RCT vs. placebo</w:t>
            </w:r>
          </w:p>
        </w:tc>
        <w:tc>
          <w:tcPr/>
          <w:p>
            <w:pPr>
              <w:pStyle w:val="Compact"/>
              <w:jc w:val="left"/>
            </w:pPr>
            <w:r>
              <w:t xml:space="preserve">68 weeks</w:t>
            </w:r>
          </w:p>
        </w:tc>
        <w:tc>
          <w:tcPr/>
          <w:p>
            <w:pPr>
              <w:pStyle w:val="Compact"/>
              <w:jc w:val="left"/>
            </w:pPr>
            <w:r>
              <w:t xml:space="preserve">−14.9% body weight vs. −2.4%</w:t>
            </w:r>
          </w:p>
        </w:tc>
      </w:tr>
      <w:tr>
        <w:tc>
          <w:tcPr/>
          <w:p>
            <w:pPr>
              <w:pStyle w:val="Compact"/>
              <w:jc w:val="left"/>
            </w:pPr>
            <w:r>
              <w:t xml:space="preserve">STEP 2 (Davies 2021), PMID 33667417</w:t>
            </w:r>
          </w:p>
        </w:tc>
        <w:tc>
          <w:tcPr/>
          <w:p>
            <w:pPr>
              <w:pStyle w:val="Compact"/>
              <w:jc w:val="left"/>
            </w:pPr>
            <w:r>
              <w:t xml:space="preserve">1,210 people with overweight and type 2 diabetes</w:t>
            </w:r>
          </w:p>
        </w:tc>
        <w:tc>
          <w:tcPr/>
          <w:p>
            <w:pPr>
              <w:pStyle w:val="Compact"/>
              <w:jc w:val="left"/>
            </w:pPr>
            <w:r>
              <w:t xml:space="preserve">68 weeks</w:t>
            </w:r>
          </w:p>
        </w:tc>
        <w:tc>
          <w:tcPr/>
          <w:p>
            <w:pPr>
              <w:pStyle w:val="Compact"/>
              <w:jc w:val="left"/>
            </w:pPr>
            <w:r>
              <w:t xml:space="preserve">−9.6% vs. −3.4%</w:t>
            </w:r>
          </w:p>
        </w:tc>
      </w:tr>
      <w:tr>
        <w:tc>
          <w:tcPr/>
          <w:p>
            <w:pPr>
              <w:pStyle w:val="Compact"/>
              <w:jc w:val="left"/>
            </w:pPr>
            <w:r>
              <w:t xml:space="preserve">STEP 3 (Wadden 2021), PMID 33625476</w:t>
            </w:r>
          </w:p>
        </w:tc>
        <w:tc>
          <w:tcPr/>
          <w:p>
            <w:pPr>
              <w:pStyle w:val="Compact"/>
              <w:jc w:val="left"/>
            </w:pPr>
            <w:r>
              <w:t xml:space="preserve">611 people, additional intensive behavioral therapy</w:t>
            </w:r>
          </w:p>
        </w:tc>
        <w:tc>
          <w:tcPr/>
          <w:p>
            <w:pPr>
              <w:pStyle w:val="Compact"/>
              <w:jc w:val="left"/>
            </w:pPr>
            <w:r>
              <w:t xml:space="preserve">68 weeks</w:t>
            </w:r>
          </w:p>
        </w:tc>
        <w:tc>
          <w:tcPr/>
          <w:p>
            <w:pPr>
              <w:pStyle w:val="Compact"/>
              <w:jc w:val="left"/>
            </w:pPr>
            <w:r>
              <w:t xml:space="preserve">−16.0% vs. −5.7%</w:t>
            </w:r>
          </w:p>
        </w:tc>
      </w:tr>
      <w:tr>
        <w:tc>
          <w:tcPr/>
          <w:p>
            <w:pPr>
              <w:pStyle w:val="Compact"/>
              <w:jc w:val="left"/>
            </w:pPr>
            <w:r>
              <w:t xml:space="preserve">STEP 4 (Rubino 2021), PMID 33755728</w:t>
            </w:r>
          </w:p>
        </w:tc>
        <w:tc>
          <w:tcPr/>
          <w:p>
            <w:pPr>
              <w:pStyle w:val="Compact"/>
              <w:jc w:val="left"/>
            </w:pPr>
            <w:r>
              <w:t xml:space="preserve">803 people after 20 weeks of semaglutide: continued or switched to placebo</w:t>
            </w:r>
          </w:p>
        </w:tc>
        <w:tc>
          <w:tcPr/>
          <w:p>
            <w:pPr>
              <w:pStyle w:val="Compact"/>
              <w:jc w:val="left"/>
            </w:pPr>
            <w:r>
              <w:t xml:space="preserve">48 weeks</w:t>
            </w:r>
          </w:p>
        </w:tc>
        <w:tc>
          <w:tcPr/>
          <w:p>
            <w:pPr>
              <w:pStyle w:val="Compact"/>
              <w:jc w:val="left"/>
            </w:pPr>
            <w:r>
              <w:t xml:space="preserve">−7.9% (continued) vs. +6.9% (discontinued)</w:t>
            </w:r>
          </w:p>
        </w:tc>
      </w:tr>
      <w:tr>
        <w:tc>
          <w:tcPr/>
          <w:p>
            <w:pPr>
              <w:pStyle w:val="Compact"/>
              <w:jc w:val="left"/>
            </w:pPr>
            <w:r>
              <w:t xml:space="preserve">STEP 5 (Garvey 2022), PMID 36216945</w:t>
            </w:r>
          </w:p>
        </w:tc>
        <w:tc>
          <w:tcPr/>
          <w:p>
            <w:pPr>
              <w:pStyle w:val="Compact"/>
              <w:jc w:val="left"/>
            </w:pPr>
            <w:r>
              <w:t xml:space="preserve">304 people</w:t>
            </w:r>
          </w:p>
        </w:tc>
        <w:tc>
          <w:tcPr/>
          <w:p>
            <w:pPr>
              <w:pStyle w:val="Compact"/>
              <w:jc w:val="left"/>
            </w:pPr>
            <w:r>
              <w:t xml:space="preserve">104 weeks</w:t>
            </w:r>
          </w:p>
        </w:tc>
        <w:tc>
          <w:tcPr/>
          <w:p>
            <w:pPr>
              <w:pStyle w:val="Compact"/>
              <w:jc w:val="left"/>
            </w:pPr>
            <w:r>
              <w:t xml:space="preserve">−15.2% vs. −2.6%</w:t>
            </w:r>
          </w:p>
        </w:tc>
      </w:tr>
      <w:tr>
        <w:tc>
          <w:tcPr/>
          <w:p>
            <w:pPr>
              <w:pStyle w:val="Compact"/>
              <w:jc w:val="left"/>
            </w:pPr>
            <w:r>
              <w:t xml:space="preserve">STEP 6 (Kadowaki 2022), PMID 35131037</w:t>
            </w:r>
          </w:p>
        </w:tc>
        <w:tc>
          <w:tcPr/>
          <w:p>
            <w:pPr>
              <w:pStyle w:val="Compact"/>
              <w:jc w:val="left"/>
            </w:pPr>
            <w:r>
              <w:t xml:space="preserve">401 people in East Asia</w:t>
            </w:r>
          </w:p>
        </w:tc>
        <w:tc>
          <w:tcPr/>
          <w:p>
            <w:pPr>
              <w:pStyle w:val="Compact"/>
              <w:jc w:val="left"/>
            </w:pPr>
            <w:r>
              <w:t xml:space="preserve">68 weeks</w:t>
            </w:r>
          </w:p>
        </w:tc>
        <w:tc>
          <w:tcPr/>
          <w:p>
            <w:pPr>
              <w:pStyle w:val="Compact"/>
              <w:jc w:val="left"/>
            </w:pPr>
            <w:r>
              <w:t xml:space="preserve">−13.2% vs. −2.1%</w:t>
            </w:r>
          </w:p>
        </w:tc>
      </w:tr>
      <w:tr>
        <w:tc>
          <w:tcPr/>
          <w:p>
            <w:pPr>
              <w:pStyle w:val="Compact"/>
              <w:jc w:val="left"/>
            </w:pPr>
            <w:r>
              <w:t xml:space="preserve">STEP UP (Wharton 2025), PMID 40961952</w:t>
            </w:r>
          </w:p>
        </w:tc>
        <w:tc>
          <w:tcPr/>
          <w:p>
            <w:pPr>
              <w:pStyle w:val="Compact"/>
              <w:jc w:val="left"/>
            </w:pPr>
            <w:r>
              <w:t xml:space="preserve">1,407 people; 7.2 mg vs. 2.4 mg vs. placebo</w:t>
            </w:r>
          </w:p>
        </w:tc>
        <w:tc>
          <w:tcPr/>
          <w:p>
            <w:pPr>
              <w:pStyle w:val="Compact"/>
              <w:jc w:val="left"/>
            </w:pPr>
            <w:r>
              <w:t xml:space="preserve">72 weeks</w:t>
            </w:r>
          </w:p>
        </w:tc>
        <w:tc>
          <w:tcPr/>
          <w:p>
            <w:pPr>
              <w:pStyle w:val="Compact"/>
              <w:jc w:val="left"/>
            </w:pPr>
            <w:r>
              <w:t xml:space="preserve">−18.7% vs. −15.6% vs. −3.9%</w:t>
            </w:r>
          </w:p>
        </w:tc>
      </w:tr>
    </w:tbl>
    <w:p>
      <w:pPr>
        <w:pStyle w:val="BodyText"/>
      </w:pPr>
      <w:r>
        <w:t xml:space="preserve">In</w:t>
      </w:r>
      <w:r>
        <w:t xml:space="preserve"> </w:t>
      </w:r>
      <w:r>
        <w:rPr>
          <w:bCs/>
          <w:b/>
        </w:rPr>
        <w:t xml:space="preserve">STEP 1</w:t>
      </w:r>
      <w:r>
        <w:rPr>
          <w:rStyle w:val="FootnoteReference"/>
        </w:rPr>
        <w:footnoteReference w:id="421"/>
      </w:r>
      <w:r>
        <w:t xml:space="preserve">, participants lost on average 15.3 kg, compared with 2.6 kg on placebo. Half (50.5%) lost at least 15% of their weight. Because of gastrointestinal complaints, 4.5% discontinued treatment, compared with 0.8% on placebo.</w:t>
      </w:r>
    </w:p>
    <w:p>
      <w:pPr>
        <w:pStyle w:val="BodyText"/>
      </w:pPr>
      <w:r>
        <w:t xml:space="preserve">In people with type 2 diabetes, weight loss was smaller (STEP 2, Davies 2021, PMID 33667417) – a pattern that occurs with all drugs in this class. In</w:t>
      </w:r>
      <w:r>
        <w:t xml:space="preserve"> </w:t>
      </w:r>
      <w:r>
        <w:rPr>
          <w:bCs/>
          <w:b/>
        </w:rPr>
        <w:t xml:space="preserve">STEP 5</w:t>
      </w:r>
      <w:r>
        <w:rPr>
          <w:rStyle w:val="FootnoteReference"/>
        </w:rPr>
        <w:footnoteReference w:id="422"/>
      </w:r>
      <w:r>
        <w:t xml:space="preserve">, the effect remained stable over two years.</w:t>
      </w:r>
    </w:p>
    <w:p>
      <w:pPr>
        <w:pStyle w:val="BodyText"/>
      </w:pPr>
      <w:r>
        <w:rPr>
          <w:bCs/>
          <w:b/>
        </w:rPr>
        <w:t xml:space="preserve">What happens after discontinuation?</w:t>
      </w:r>
      <w:r>
        <w:t xml:space="preserve"> </w:t>
      </w:r>
      <w:r>
        <w:t xml:space="preserve">This question is central to practice. In STEP 4</w:t>
      </w:r>
      <w:r>
        <w:rPr>
          <w:rStyle w:val="FootnoteReference"/>
        </w:rPr>
        <w:footnoteReference w:id="423"/>
      </w:r>
      <w:r>
        <w:t xml:space="preserve">, all participants first received 20 weeks of semaglutide and had lost on average 10.6%. Those who then switched to placebo regained 6.9% over the following 48 weeks; those who continued treatment lost a further 7.9%. In the extension of STEP 1</w:t>
      </w:r>
      <w:r>
        <w:rPr>
          <w:rStyle w:val="FootnoteReference"/>
        </w:rPr>
        <w:footnoteReference w:id="424"/>
      </w:r>
      <w:r>
        <w:t xml:space="preserve">, one year after discontinuation participants had regained about two thirds of the weight they had lost; blood pressure, blood lipids, and blood sugar also moved back toward baseline values. The authors conclude that obesity is a chronic disease and that treatment is likely to be needed long term.</w:t>
      </w:r>
    </w:p>
    <w:p>
      <w:pPr>
        <w:pStyle w:val="BodyText"/>
      </w:pPr>
      <w:r>
        <w:rPr>
          <w:bCs/>
          <w:b/>
        </w:rPr>
        <w:t xml:space="preserve">Higher dose:</w:t>
      </w:r>
      <w:r>
        <w:t xml:space="preserve"> </w:t>
      </w:r>
      <w:r>
        <w:t xml:space="preserve">In STEP UP</w:t>
      </w:r>
      <w:r>
        <w:rPr>
          <w:rStyle w:val="FootnoteReference"/>
        </w:rPr>
        <w:footnoteReference w:id="425"/>
      </w:r>
      <w:r>
        <w:t xml:space="preserve">, the triple dose of 7.2 mg led to 18.7% weight loss. Gastrointestinal complaints were more frequent (70.8% vs. 61.2% on 2.4 mg), and 22.9% reported abnormal skin sensations (dysesthesia), compared with 6.0% on 2.4 mg.</w:t>
      </w:r>
    </w:p>
    <w:bookmarkEnd w:id="426"/>
    <w:bookmarkStart w:id="428" w:name="obesity-with-the-tablet-oasis"/>
    <w:p>
      <w:pPr>
        <w:pStyle w:val="Heading4"/>
      </w:pPr>
      <w:r>
        <w:t xml:space="preserve">Obesity with the Tablet: OASIS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OASIS 1 (Knop 2023), PMID 37385278</w:t>
            </w:r>
          </w:p>
        </w:tc>
        <w:tc>
          <w:tcPr/>
          <w:p>
            <w:pPr>
              <w:pStyle w:val="Compact"/>
              <w:jc w:val="left"/>
            </w:pPr>
            <w:r>
              <w:t xml:space="preserve">667 people with obesity without diabetes; 50 mg daily vs. placebo</w:t>
            </w:r>
          </w:p>
        </w:tc>
        <w:tc>
          <w:tcPr/>
          <w:p>
            <w:pPr>
              <w:pStyle w:val="Compact"/>
              <w:jc w:val="left"/>
            </w:pPr>
            <w:r>
              <w:t xml:space="preserve">68 weeks</w:t>
            </w:r>
          </w:p>
        </w:tc>
        <w:tc>
          <w:tcPr/>
          <w:p>
            <w:pPr>
              <w:pStyle w:val="Compact"/>
              <w:jc w:val="left"/>
            </w:pPr>
            <w:r>
              <w:t xml:space="preserve">−15.1% vs. −2.4%</w:t>
            </w:r>
          </w:p>
        </w:tc>
      </w:tr>
      <w:tr>
        <w:tc>
          <w:tcPr/>
          <w:p>
            <w:pPr>
              <w:pStyle w:val="Compact"/>
              <w:jc w:val="left"/>
            </w:pPr>
            <w:r>
              <w:t xml:space="preserve">OASIS 4 (Wharton 2025), PMID 40934115</w:t>
            </w:r>
          </w:p>
        </w:tc>
        <w:tc>
          <w:tcPr/>
          <w:p>
            <w:pPr>
              <w:pStyle w:val="Compact"/>
              <w:jc w:val="left"/>
            </w:pPr>
            <w:r>
              <w:t xml:space="preserve">307 people; 25 mg daily vs. placebo</w:t>
            </w:r>
          </w:p>
        </w:tc>
        <w:tc>
          <w:tcPr/>
          <w:p>
            <w:pPr>
              <w:pStyle w:val="Compact"/>
              <w:jc w:val="left"/>
            </w:pPr>
            <w:r>
              <w:t xml:space="preserve">64 weeks</w:t>
            </w:r>
          </w:p>
        </w:tc>
        <w:tc>
          <w:tcPr/>
          <w:p>
            <w:pPr>
              <w:pStyle w:val="Compact"/>
              <w:jc w:val="left"/>
            </w:pPr>
            <w:r>
              <w:t xml:space="preserve">−13.6% vs. −2.2%</w:t>
            </w:r>
          </w:p>
        </w:tc>
      </w:tr>
    </w:tbl>
    <w:p>
      <w:pPr>
        <w:pStyle w:val="BodyText"/>
      </w:pPr>
      <w:r>
        <w:t xml:space="preserve">In these trials, the tablets achieved values similar to those of the injection in STEP 1</w:t>
      </w:r>
      <w:r>
        <w:rPr>
          <w:rStyle w:val="FootnoteReference"/>
        </w:rPr>
        <w:footnoteReference w:id="427"/>
      </w:r>
      <w:r>
        <w:t xml:space="preserve">. Gastrointestinal complaints occurred in 74% to 80%. The 25 mg tablet from OASIS 4 is the basis of the Wegovy tablet approved in the USA. A direct comparison with the injection in a large trial is still lacking.</w:t>
      </w:r>
    </w:p>
    <w:bookmarkEnd w:id="428"/>
    <w:bookmarkStart w:id="431" w:name="children-and-adolescents-2"/>
    <w:p>
      <w:pPr>
        <w:pStyle w:val="Heading4"/>
      </w:pPr>
      <w:r>
        <w:t xml:space="preserve">Children and Adolescents</w:t>
      </w:r>
    </w:p>
    <w:p>
      <w:pPr>
        <w:pStyle w:val="FirstParagraph"/>
      </w:pPr>
      <w:r>
        <w:t xml:space="preserve">In</w:t>
      </w:r>
      <w:r>
        <w:t xml:space="preserve"> </w:t>
      </w:r>
      <w:r>
        <w:rPr>
          <w:bCs/>
          <w:b/>
        </w:rPr>
        <w:t xml:space="preserve">STEP TEENS</w:t>
      </w:r>
      <w:r>
        <w:t xml:space="preserve">, with 201 adolescents with obesity, body mass index (BMI) fell by 16.1% after 68 weeks, while it rose by 0.6% on placebo</w:t>
      </w:r>
      <w:r>
        <w:rPr>
          <w:rStyle w:val="FootnoteReference"/>
        </w:rPr>
        <w:footnoteReference w:id="429"/>
      </w:r>
      <w:r>
        <w:t xml:space="preserve">. 73% lost at least 5% of their weight, compared with 18% on placebo. Five adolescents (4%) on semaglutide developed gallstones, none on placebo. A study in children aged 6 and older is ongoing</w:t>
      </w:r>
      <w:r>
        <w:rPr>
          <w:rStyle w:val="FootnoteReference"/>
        </w:rPr>
        <w:footnoteReference w:id="430"/>
      </w:r>
      <w:r>
        <w:t xml:space="preserve">.</w:t>
      </w:r>
    </w:p>
    <w:bookmarkEnd w:id="431"/>
    <w:bookmarkStart w:id="433" w:name="X8a74c063360a6a9bd31f33c82165f82fe127bf4"/>
    <w:p>
      <w:pPr>
        <w:pStyle w:val="Heading4"/>
      </w:pPr>
      <w:r>
        <w:t xml:space="preserve">SELECT: Cardioprotection Even Without Diabetes</w:t>
      </w:r>
    </w:p>
    <w:p>
      <w:pPr>
        <w:pStyle w:val="FirstParagraph"/>
      </w:pPr>
      <w:r>
        <w:t xml:space="preserve">SELECT was a milestone because it showed for the first time that a weight-reduction medication reduces heart attacks, strokes, and cardiovascular deaths in people without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SELECT (Lincoff 2023), PMID 37952131</w:t>
            </w:r>
          </w:p>
        </w:tc>
        <w:tc>
          <w:tcPr/>
          <w:p>
            <w:pPr>
              <w:pStyle w:val="Compact"/>
              <w:jc w:val="left"/>
            </w:pPr>
            <w:r>
              <w:t xml:space="preserve">17,604 people with overweight or obesity and cardiovascular disease, without diabetes; 2.4 mg vs. placebo</w:t>
            </w:r>
          </w:p>
        </w:tc>
        <w:tc>
          <w:tcPr/>
          <w:p>
            <w:pPr>
              <w:pStyle w:val="Compact"/>
              <w:jc w:val="left"/>
            </w:pPr>
            <w:r>
              <w:t xml:space="preserve">mean follow-up 39.8 months</w:t>
            </w:r>
          </w:p>
        </w:tc>
        <w:tc>
          <w:tcPr/>
          <w:p>
            <w:pPr>
              <w:pStyle w:val="Compact"/>
              <w:jc w:val="left"/>
            </w:pPr>
            <w:r>
              <w:t xml:space="preserve">Major cardiovascular events 6.5% vs. 8.0%; HR 0.80 (0.72–0.90)</w:t>
            </w:r>
          </w:p>
        </w:tc>
      </w:tr>
    </w:tbl>
    <w:p>
      <w:pPr>
        <w:pStyle w:val="BodyText"/>
      </w:pPr>
      <w:r>
        <w:t xml:space="preserve">The relative risk reduction was 20%</w:t>
      </w:r>
      <w:r>
        <w:rPr>
          <w:rStyle w:val="FootnoteReference"/>
        </w:rPr>
        <w:footnoteReference w:id="432"/>
      </w:r>
      <w:r>
        <w:t xml:space="preserve">. In absolute numbers, about 1.5 in a hundred people treated had one fewer such event over a good three years. The high discontinuation rate was striking: 16.6% permanently stopped treatment because of side effects, compared with 8.2% on placebo. Whether the benefit is due solely to weight loss or also to direct effects on blood vessels and inflammation has not been conclusively resolved.</w:t>
      </w:r>
    </w:p>
    <w:bookmarkEnd w:id="433"/>
    <w:bookmarkStart w:id="435" w:name="flow-protecting-the-kidneys"/>
    <w:p>
      <w:pPr>
        <w:pStyle w:val="Heading4"/>
      </w:pPr>
      <w:r>
        <w:t xml:space="preserve">FLOW: Protecting the Kidneys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FLOW (Perkovic 2024), PMID 38785209</w:t>
            </w:r>
          </w:p>
        </w:tc>
        <w:tc>
          <w:tcPr/>
          <w:p>
            <w:pPr>
              <w:pStyle w:val="Compact"/>
              <w:jc w:val="left"/>
            </w:pPr>
            <w:r>
              <w:t xml:space="preserve">3,533 people with type 2 diabetes and chronic kidney disease; 1.0 mg vs. placebo</w:t>
            </w:r>
          </w:p>
        </w:tc>
        <w:tc>
          <w:tcPr/>
          <w:p>
            <w:pPr>
              <w:pStyle w:val="Compact"/>
              <w:jc w:val="left"/>
            </w:pPr>
            <w:r>
              <w:t xml:space="preserve">median 3.4 years (stopped early for efficacy)</w:t>
            </w:r>
          </w:p>
        </w:tc>
        <w:tc>
          <w:tcPr/>
          <w:p>
            <w:pPr>
              <w:pStyle w:val="Compact"/>
              <w:jc w:val="left"/>
            </w:pPr>
            <w:r>
              <w:t xml:space="preserve">Kidney endpoint 331 vs. 410 events; HR 0.76; all-cause mortality HR 0.80</w:t>
            </w:r>
          </w:p>
        </w:tc>
      </w:tr>
    </w:tbl>
    <w:p>
      <w:pPr>
        <w:pStyle w:val="BodyText"/>
      </w:pPr>
      <w:r>
        <w:t xml:space="preserve">FLOW</w:t>
      </w:r>
      <w:r>
        <w:rPr>
          <w:rStyle w:val="FootnoteReference"/>
        </w:rPr>
        <w:footnoteReference w:id="434"/>
      </w:r>
      <w:r>
        <w:t xml:space="preserve"> </w:t>
      </w:r>
      <w:r>
        <w:t xml:space="preserve">was the first large trial with a GLP-1 receptor agonist in which a hard kidney endpoint – kidney failure, marked loss of function, or death from kidney or cardiovascular causes – was the primary objective. It was stopped early after an interim analysis because of clear efficacy. The annual loss of kidney function (eGFR) was 1.16 ml/min per 1.73 m² smaller on semaglutide. Cardiovascular events (HR 0.82) and all-cause mortality (HR 0.80) were also reduced.</w:t>
      </w:r>
    </w:p>
    <w:bookmarkEnd w:id="435"/>
    <w:bookmarkStart w:id="441" w:name="Xa1e2b359925a64d28f376fe399a982a8d029fa9"/>
    <w:p>
      <w:pPr>
        <w:pStyle w:val="Heading4"/>
      </w:pPr>
      <w:r>
        <w:t xml:space="preserve">Other Organs: Liver, Heart Failure, Blood Vessels, Joints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ESSENCE (Sanyal 2025), PMID 40305708</w:t>
            </w:r>
          </w:p>
        </w:tc>
        <w:tc>
          <w:tcPr/>
          <w:p>
            <w:pPr>
              <w:pStyle w:val="Compact"/>
              <w:jc w:val="left"/>
            </w:pPr>
            <w:r>
              <w:t xml:space="preserve">1,197 people with fatty liver inflammation (MASH) and fibrosis stage 2–3; interim analysis of the first 800</w:t>
            </w:r>
          </w:p>
        </w:tc>
        <w:tc>
          <w:tcPr/>
          <w:p>
            <w:pPr>
              <w:pStyle w:val="Compact"/>
              <w:jc w:val="left"/>
            </w:pPr>
            <w:r>
              <w:t xml:space="preserve">72 weeks (first part)</w:t>
            </w:r>
          </w:p>
        </w:tc>
        <w:tc>
          <w:tcPr/>
          <w:p>
            <w:pPr>
              <w:pStyle w:val="Compact"/>
              <w:jc w:val="left"/>
            </w:pPr>
            <w:r>
              <w:t xml:space="preserve">Resolution of inflammation 62.9% vs. 34.3%; less fibrosis 36.8% vs. 22.4%</w:t>
            </w:r>
          </w:p>
        </w:tc>
      </w:tr>
      <w:tr>
        <w:tc>
          <w:tcPr/>
          <w:p>
            <w:pPr>
              <w:pStyle w:val="Compact"/>
              <w:jc w:val="left"/>
            </w:pPr>
            <w:r>
              <w:t xml:space="preserve">STEP-HFpEF (Kosiborod 2023), PMID 37622681</w:t>
            </w:r>
          </w:p>
        </w:tc>
        <w:tc>
          <w:tcPr/>
          <w:p>
            <w:pPr>
              <w:pStyle w:val="Compact"/>
              <w:jc w:val="left"/>
            </w:pPr>
            <w:r>
              <w:t xml:space="preserve">529 people with heart failure with preserved ejection fraction and obesity; 2.4 mg vs. placebo</w:t>
            </w:r>
          </w:p>
        </w:tc>
        <w:tc>
          <w:tcPr/>
          <w:p>
            <w:pPr>
              <w:pStyle w:val="Compact"/>
              <w:jc w:val="left"/>
            </w:pPr>
            <w:r>
              <w:t xml:space="preserve">52 weeks</w:t>
            </w:r>
          </w:p>
        </w:tc>
        <w:tc>
          <w:tcPr/>
          <w:p>
            <w:pPr>
              <w:pStyle w:val="Compact"/>
              <w:jc w:val="left"/>
            </w:pPr>
            <w:r>
              <w:t xml:space="preserve">Symptom score +16.6 vs. +8.7 points; walking distance +21.5 vs. +1.2 m</w:t>
            </w:r>
          </w:p>
        </w:tc>
      </w:tr>
      <w:tr>
        <w:tc>
          <w:tcPr/>
          <w:p>
            <w:pPr>
              <w:pStyle w:val="Compact"/>
              <w:jc w:val="left"/>
            </w:pPr>
            <w:r>
              <w:t xml:space="preserve">STRIDE (Bonaca 2025), PMID 40169145</w:t>
            </w:r>
          </w:p>
        </w:tc>
        <w:tc>
          <w:tcPr/>
          <w:p>
            <w:pPr>
              <w:pStyle w:val="Compact"/>
              <w:jc w:val="left"/>
            </w:pPr>
            <w:r>
              <w:t xml:space="preserve">792 people with peripheral artery disease and type 2 diabetes; 1.0 mg vs. placebo</w:t>
            </w:r>
          </w:p>
        </w:tc>
        <w:tc>
          <w:tcPr/>
          <w:p>
            <w:pPr>
              <w:pStyle w:val="Compact"/>
              <w:jc w:val="left"/>
            </w:pPr>
            <w:r>
              <w:t xml:space="preserve">52 weeks</w:t>
            </w:r>
          </w:p>
        </w:tc>
        <w:tc>
          <w:tcPr/>
          <w:p>
            <w:pPr>
              <w:pStyle w:val="Compact"/>
              <w:jc w:val="left"/>
            </w:pPr>
            <w:r>
              <w:t xml:space="preserve">maximum walking distance improved 13% more</w:t>
            </w:r>
          </w:p>
        </w:tc>
      </w:tr>
      <w:tr>
        <w:tc>
          <w:tcPr/>
          <w:p>
            <w:pPr>
              <w:pStyle w:val="Compact"/>
              <w:jc w:val="left"/>
            </w:pPr>
            <w:r>
              <w:t xml:space="preserve">STEP 9 (Bliddal 2024), PMID 39476339</w:t>
            </w:r>
          </w:p>
        </w:tc>
        <w:tc>
          <w:tcPr/>
          <w:p>
            <w:pPr>
              <w:pStyle w:val="Compact"/>
              <w:jc w:val="left"/>
            </w:pPr>
            <w:r>
              <w:t xml:space="preserve">407 people with obesity and knee osteoarthritis</w:t>
            </w:r>
          </w:p>
        </w:tc>
        <w:tc>
          <w:tcPr/>
          <w:p>
            <w:pPr>
              <w:pStyle w:val="Compact"/>
              <w:jc w:val="left"/>
            </w:pPr>
            <w:r>
              <w:t xml:space="preserve">68 weeks</w:t>
            </w:r>
          </w:p>
        </w:tc>
        <w:tc>
          <w:tcPr/>
          <w:p>
            <w:pPr>
              <w:pStyle w:val="Compact"/>
              <w:jc w:val="left"/>
            </w:pPr>
            <w:r>
              <w:t xml:space="preserve">Pain score −41.7 vs. −27.5 points; weight −13.7% vs. −3.2%</w:t>
            </w:r>
          </w:p>
        </w:tc>
      </w:tr>
    </w:tbl>
    <w:p>
      <w:pPr>
        <w:pStyle w:val="BodyText"/>
      </w:pPr>
      <w:r>
        <w:rPr>
          <w:bCs/>
          <w:b/>
        </w:rPr>
        <w:t xml:space="preserve">Liver:</w:t>
      </w:r>
      <w:r>
        <w:t xml:space="preserve"> </w:t>
      </w:r>
      <w:r>
        <w:t xml:space="preserve">In ESSENCE</w:t>
      </w:r>
      <w:r>
        <w:rPr>
          <w:rStyle w:val="FootnoteReference"/>
        </w:rPr>
        <w:footnoteReference w:id="436"/>
      </w:r>
      <w:r>
        <w:t xml:space="preserve">, fatty liver inflammation in the tissue sample resolved in almost two thirds of those treated, without any increase in scarring. A reduction in fibrosis – the clinically more important goal – was achieved by 36.8% versus 22.4%. The second part of the trial, with hard liver endpoints such as cirrhosis, is running until 2029</w:t>
      </w:r>
      <w:r>
        <w:rPr>
          <w:rStyle w:val="FootnoteReference"/>
        </w:rPr>
        <w:footnoteReference w:id="437"/>
      </w:r>
      <w:r>
        <w:t xml:space="preserve">.</w:t>
      </w:r>
    </w:p>
    <w:p>
      <w:pPr>
        <w:pStyle w:val="BodyText"/>
      </w:pPr>
      <w:r>
        <w:rPr>
          <w:bCs/>
          <w:b/>
        </w:rPr>
        <w:t xml:space="preserve">Heart failure:</w:t>
      </w:r>
      <w:r>
        <w:t xml:space="preserve"> </w:t>
      </w:r>
      <w:r>
        <w:t xml:space="preserve">In heart failure with preserved ejection fraction and obesity, symptoms and exercise capacity improved markedly</w:t>
      </w:r>
      <w:r>
        <w:rPr>
          <w:rStyle w:val="FootnoteReference"/>
        </w:rPr>
        <w:footnoteReference w:id="438"/>
      </w:r>
      <w:r>
        <w:t xml:space="preserve">. Serious adverse events were less frequent on semaglutide (13.3% vs. 26.7%). Whether semaglutide also reduces hospitalizations or deaths from heart failure was not the primary objective of this trial.</w:t>
      </w:r>
    </w:p>
    <w:p>
      <w:pPr>
        <w:pStyle w:val="BodyText"/>
      </w:pPr>
      <w:r>
        <w:rPr>
          <w:bCs/>
          <w:b/>
        </w:rPr>
        <w:t xml:space="preserve">Peripheral artery disease:</w:t>
      </w:r>
      <w:r>
        <w:t xml:space="preserve"> </w:t>
      </w:r>
      <w:r>
        <w:t xml:space="preserve">In peripheral arterial occlusive disease, semaglutide increased the maximum walking distance</w:t>
      </w:r>
      <w:r>
        <w:rPr>
          <w:rStyle w:val="FootnoteReference"/>
        </w:rPr>
        <w:footnoteReference w:id="439"/>
      </w:r>
      <w:r>
        <w:t xml:space="preserve">.</w:t>
      </w:r>
    </w:p>
    <w:p>
      <w:pPr>
        <w:pStyle w:val="BodyText"/>
      </w:pPr>
      <w:r>
        <w:rPr>
          <w:bCs/>
          <w:b/>
        </w:rPr>
        <w:t xml:space="preserve">Knee osteoarthritis:</w:t>
      </w:r>
      <w:r>
        <w:t xml:space="preserve"> </w:t>
      </w:r>
      <w:r>
        <w:t xml:space="preserve">In STEP 9</w:t>
      </w:r>
      <w:r>
        <w:rPr>
          <w:rStyle w:val="FootnoteReference"/>
        </w:rPr>
        <w:footnoteReference w:id="440"/>
      </w:r>
      <w:r>
        <w:t xml:space="preserve">, knee pain decreased more than on placebo. Whether this is due solely to weight loss remains open in the study.</w:t>
      </w:r>
    </w:p>
    <w:bookmarkEnd w:id="441"/>
    <w:bookmarkStart w:id="446" w:name="brain-and-addiction"/>
    <w:p>
      <w:pPr>
        <w:pStyle w:val="Heading4"/>
      </w:pPr>
      <w:r>
        <w:t xml:space="preserve">Brain and Addiction</w:t>
      </w:r>
    </w:p>
    <w:p>
      <w:pPr>
        <w:pStyle w:val="FirstParagraph"/>
      </w:pPr>
      <w:r>
        <w:rPr>
          <w:bCs/>
          <w:b/>
        </w:rPr>
        <w:t xml:space="preserve">Alzheimer’s disease:</w:t>
      </w:r>
      <w:r>
        <w:t xml:space="preserve"> </w:t>
      </w:r>
      <w:r>
        <w:t xml:space="preserve">The hope that GLP-1 receptor agonists could slow cognitive decline was based on animal experiments and observational data. Novo Nordisk tested this in two large phase 3 trials, evoke and evoke+, with a combined total of 3,808 people with early Alzheimer’s disease, who received daily semaglutide tablets or placebo for 104 weeks</w:t>
      </w:r>
      <w:r>
        <w:rPr>
          <w:rStyle w:val="FootnoteReference"/>
        </w:rPr>
        <w:footnoteReference w:id="442"/>
      </w:r>
      <w:r>
        <w:t xml:space="preserve">. The result was clearly negative: the disease progressed equally fast in both groups (difference on the dementia scale CDR-SB −0.08 and +0.10 points, respectively, not significant). As things stand, semaglutide has thus failed as an Alzheimer’s drug; a commentary in the same journal discusses the implications for the research field</w:t>
      </w:r>
      <w:r>
        <w:rPr>
          <w:rStyle w:val="FootnoteReference"/>
        </w:rPr>
        <w:footnoteReference w:id="443"/>
      </w:r>
      <w:r>
        <w:t xml:space="preserve">.</w:t>
      </w:r>
    </w:p>
    <w:p>
      <w:pPr>
        <w:pStyle w:val="BodyText"/>
      </w:pPr>
      <w:r>
        <w:rPr>
          <w:bCs/>
          <w:b/>
        </w:rPr>
        <w:t xml:space="preserve">Alcohol:</w:t>
      </w:r>
      <w:r>
        <w:t xml:space="preserve"> </w:t>
      </w:r>
      <w:r>
        <w:t xml:space="preserve">In a small randomized trial with 48 people with alcohol use disorder, low-dose semaglutide reduced the amount of alcohol consumed in a laboratory test, the craving for alcohol, and the number of drinks on drinking days; the number of drinking days did not change</w:t>
      </w:r>
      <w:r>
        <w:rPr>
          <w:rStyle w:val="FootnoteReference"/>
        </w:rPr>
        <w:footnoteReference w:id="444"/>
      </w:r>
      <w:r>
        <w:t xml:space="preserve">. In a Swedish registry study, semaglutide was associated with a 36% lower risk of alcohol-related hospital admissions</w:t>
      </w:r>
      <w:r>
        <w:rPr>
          <w:rStyle w:val="FootnoteReference"/>
        </w:rPr>
        <w:footnoteReference w:id="445"/>
      </w:r>
      <w:r>
        <w:t xml:space="preserve">. Larger randomized trials are ongoing.</w:t>
      </w:r>
    </w:p>
    <w:bookmarkEnd w:id="446"/>
    <w:bookmarkEnd w:id="447"/>
    <w:bookmarkStart w:id="451" w:name="animal-and-laboratory-studies-3"/>
    <w:p>
      <w:pPr>
        <w:pStyle w:val="Heading3"/>
      </w:pPr>
      <w:r>
        <w:t xml:space="preserve">Animal and laboratory studies</w:t>
      </w:r>
    </w:p>
    <w:p>
      <w:pPr>
        <w:pStyle w:val="FirstParagraph"/>
      </w:pPr>
      <w:r>
        <w:t xml:space="preserve">Semaglutide was specifically designed on the drawing board: from numerous variants, the developers selected the one with the best combination of albumin binding, receptor activity, and stability</w:t>
      </w:r>
      <w:r>
        <w:rPr>
          <w:rStyle w:val="FootnoteReference"/>
        </w:rPr>
        <w:footnoteReference w:id="448"/>
      </w:r>
      <w:r>
        <w:t xml:space="preserve">. The half-life was first determined in minipigs. Absorption of the tablet through the gastric mucosa was studied in dogs and in humans</w:t>
      </w:r>
      <w:r>
        <w:rPr>
          <w:rStyle w:val="FootnoteReference"/>
        </w:rPr>
        <w:footnoteReference w:id="449"/>
      </w:r>
      <w:r>
        <w:t xml:space="preserve">.</w:t>
      </w:r>
    </w:p>
    <w:p>
      <w:pPr>
        <w:pStyle w:val="BodyText"/>
      </w:pPr>
      <w:r>
        <w:t xml:space="preserve">As with liraglutide, long-term experiments in rodents led to C-cell tumors of the thyroid; transferability to humans is considered questionable because of the low receptor density in human C cells</w:t>
      </w:r>
      <w:r>
        <w:rPr>
          <w:rStyle w:val="FootnoteReference"/>
        </w:rPr>
        <w:footnoteReference w:id="450"/>
      </w:r>
      <w:r>
        <w:t xml:space="preserve">. Animal experiments on neuroprotection, addiction, and inflammation formed the basis for the human studies described above – with mixed results, as the failure of evoke shows.</w:t>
      </w:r>
    </w:p>
    <w:bookmarkEnd w:id="451"/>
    <w:bookmarkStart w:id="463" w:name="risks-and-side-effects-3"/>
    <w:p>
      <w:pPr>
        <w:pStyle w:val="Heading3"/>
      </w:pPr>
      <w:r>
        <w:t xml:space="preserve">Risks and side effects</w:t>
      </w:r>
    </w:p>
    <w:p>
      <w:pPr>
        <w:pStyle w:val="FirstParagraph"/>
      </w:pPr>
      <w:r>
        <w:rPr>
          <w:bCs/>
          <w:b/>
        </w:rPr>
        <w:t xml:space="preserve">Established from randomized trials:</w:t>
      </w:r>
    </w:p>
    <w:p>
      <w:pPr>
        <w:numPr>
          <w:ilvl w:val="0"/>
          <w:numId w:val="1055"/>
        </w:numPr>
        <w:pStyle w:val="Compact"/>
      </w:pPr>
      <w:r>
        <w:rPr>
          <w:bCs/>
          <w:b/>
        </w:rPr>
        <w:t xml:space="preserve">Gastrointestinal complaints:</w:t>
      </w:r>
      <w:r>
        <w:t xml:space="preserve"> </w:t>
      </w:r>
      <w:r>
        <w:t xml:space="preserve">Nausea, diarrhea, vomiting, and constipation affect the majority of those treated in the obesity trials, mostly mild to moderate and transient, especially during dose escalation</w:t>
      </w:r>
      <w:r>
        <w:rPr>
          <w:rStyle w:val="FootnoteReference"/>
        </w:rPr>
        <w:footnoteReference w:id="452"/>
      </w:r>
      <w:r>
        <w:t xml:space="preserve">. They are the most common reason for discontinuing therapy.</w:t>
      </w:r>
    </w:p>
    <w:p>
      <w:pPr>
        <w:numPr>
          <w:ilvl w:val="0"/>
          <w:numId w:val="1055"/>
        </w:numPr>
        <w:pStyle w:val="Compact"/>
      </w:pPr>
      <w:r>
        <w:rPr>
          <w:bCs/>
          <w:b/>
        </w:rPr>
        <w:t xml:space="preserve">Gallstones and cholecystitis:</w:t>
      </w:r>
      <w:r>
        <w:t xml:space="preserve"> </w:t>
      </w:r>
      <w:r>
        <w:t xml:space="preserve">increased in the class as a whole, especially at high doses and for weight reduction</w:t>
      </w:r>
      <w:r>
        <w:rPr>
          <w:rStyle w:val="FootnoteReference"/>
        </w:rPr>
        <w:footnoteReference w:id="453"/>
      </w:r>
      <w:r>
        <w:t xml:space="preserve">; in STEP TEENS in 4% of adolescents</w:t>
      </w:r>
      <w:r>
        <w:rPr>
          <w:rStyle w:val="FootnoteReference"/>
        </w:rPr>
        <w:footnoteReference w:id="454"/>
      </w:r>
      <w:r>
        <w:t xml:space="preserve">.</w:t>
      </w:r>
    </w:p>
    <w:p>
      <w:pPr>
        <w:numPr>
          <w:ilvl w:val="0"/>
          <w:numId w:val="1055"/>
        </w:numPr>
        <w:pStyle w:val="Compact"/>
      </w:pPr>
      <w:r>
        <w:rPr>
          <w:bCs/>
          <w:b/>
        </w:rPr>
        <w:t xml:space="preserve">Worsening of diabetic retinal disease:</w:t>
      </w:r>
      <w:r>
        <w:t xml:space="preserve"> </w:t>
      </w:r>
      <w:r>
        <w:t xml:space="preserve">more frequent in SUSTAIN 6 (HR 1.76)</w:t>
      </w:r>
      <w:r>
        <w:rPr>
          <w:rStyle w:val="FootnoteReference"/>
        </w:rPr>
        <w:footnoteReference w:id="455"/>
      </w:r>
      <w:r>
        <w:t xml:space="preserve">. It is suspected that a very rapid reduction in blood sugar in existing retinopathy causes temporary harm – an effect also known from insulin. A dedicated trial with 1,500 participants on this question is ongoing</w:t>
      </w:r>
      <w:r>
        <w:rPr>
          <w:rStyle w:val="FootnoteReference"/>
        </w:rPr>
        <w:footnoteReference w:id="456"/>
      </w:r>
      <w:r>
        <w:t xml:space="preserve">. People with retinopathy should be monitored by an ophthalmologist.</w:t>
      </w:r>
    </w:p>
    <w:p>
      <w:pPr>
        <w:numPr>
          <w:ilvl w:val="0"/>
          <w:numId w:val="1055"/>
        </w:numPr>
        <w:pStyle w:val="Compact"/>
      </w:pPr>
      <w:r>
        <w:rPr>
          <w:bCs/>
          <w:b/>
        </w:rPr>
        <w:t xml:space="preserve">Loss of muscle mass:</w:t>
      </w:r>
      <w:r>
        <w:t xml:space="preserve"> </w:t>
      </w:r>
      <w:r>
        <w:t xml:space="preserve">With any substantial weight loss, fat-free mass is also lost. How significant this is with semaglutide, particularly in older people, is still being investigated; Part IV discusses this.</w:t>
      </w:r>
    </w:p>
    <w:p>
      <w:pPr>
        <w:pStyle w:val="FirstParagraph"/>
      </w:pPr>
      <w:r>
        <w:rPr>
          <w:bCs/>
          <w:b/>
        </w:rPr>
        <w:t xml:space="preserve">Observational data and signals:</w:t>
      </w:r>
    </w:p>
    <w:p>
      <w:pPr>
        <w:numPr>
          <w:ilvl w:val="0"/>
          <w:numId w:val="1056"/>
        </w:numPr>
        <w:pStyle w:val="Compact"/>
      </w:pPr>
      <w:r>
        <w:rPr>
          <w:bCs/>
          <w:b/>
        </w:rPr>
        <w:t xml:space="preserve">NAION (circulatory disorder of the optic nerve):</w:t>
      </w:r>
      <w:r>
        <w:t xml:space="preserve"> </w:t>
      </w:r>
      <w:r>
        <w:t xml:space="preserve">In 2024, a US study from an eye clinic reported a markedly increased risk of nonarteritic anterior ischemic optic neuropathy, a sudden, usually painless loss of vision in one eye</w:t>
      </w:r>
      <w:r>
        <w:rPr>
          <w:rStyle w:val="FootnoteReference"/>
        </w:rPr>
        <w:footnoteReference w:id="457"/>
      </w:r>
      <w:r>
        <w:t xml:space="preserve">. In this study, the hazard ratio was 4.28 (diabetes) and 7.64 (obesity), respectively, albeit with very small case numbers. A Danish-Norwegian registry study of more than 60,000 people with type 2 diabetes confirmed an increased relative risk (HR 2.81), with a low absolute risk: about 1.4 additional cases per 10,000 person-years</w:t>
      </w:r>
      <w:r>
        <w:rPr>
          <w:rStyle w:val="FootnoteReference"/>
        </w:rPr>
        <w:footnoteReference w:id="458"/>
      </w:r>
      <w:r>
        <w:t xml:space="preserve">. A 2026 meta-analysis found the signal only in observational studies in diabetes (HR 1.85), not in randomized trials and not in obesity</w:t>
      </w:r>
      <w:r>
        <w:rPr>
          <w:rStyle w:val="FootnoteReference"/>
        </w:rPr>
        <w:footnoteReference w:id="459"/>
      </w:r>
      <w:r>
        <w:t xml:space="preserve">. In 2025, the European Medicines Agency added NAION to the prescribing information as a very rare side effect. Anyone whose vision suddenly deteriorates while on semaglutide should seek medical help immediately.</w:t>
      </w:r>
    </w:p>
    <w:p>
      <w:pPr>
        <w:numPr>
          <w:ilvl w:val="0"/>
          <w:numId w:val="1056"/>
        </w:numPr>
        <w:pStyle w:val="Compact"/>
      </w:pPr>
      <w:r>
        <w:rPr>
          <w:bCs/>
          <w:b/>
        </w:rPr>
        <w:t xml:space="preserve">Pancreatitis and bowel obstruction:</w:t>
      </w:r>
      <w:r>
        <w:t xml:space="preserve"> </w:t>
      </w:r>
      <w:r>
        <w:t xml:space="preserve">An analysis of insurance data found an increased risk of pancreatitis, bowel obstruction, and gastroparesis with GLP-1 receptor agonists used for weight loss</w:t>
      </w:r>
      <w:r>
        <w:rPr>
          <w:rStyle w:val="FootnoteReference"/>
        </w:rPr>
        <w:footnoteReference w:id="460"/>
      </w:r>
      <w:r>
        <w:t xml:space="preserve">. In the large randomized trials, pancreatitis was rare. The prescribing information lists it as a possible side effect.</w:t>
      </w:r>
    </w:p>
    <w:p>
      <w:pPr>
        <w:numPr>
          <w:ilvl w:val="0"/>
          <w:numId w:val="1056"/>
        </w:numPr>
        <w:pStyle w:val="Compact"/>
      </w:pPr>
      <w:r>
        <w:rPr>
          <w:bCs/>
          <w:b/>
        </w:rPr>
        <w:t xml:space="preserve">Thyroid cancer:</w:t>
      </w:r>
      <w:r>
        <w:t xml:space="preserve"> </w:t>
      </w:r>
      <w:r>
        <w:t xml:space="preserve">signal in observational studies and meta-analyses for the class</w:t>
      </w:r>
      <w:r>
        <w:rPr>
          <w:rStyle w:val="FootnoteReference"/>
        </w:rPr>
        <w:footnoteReference w:id="461"/>
      </w:r>
      <w:r>
        <w:t xml:space="preserve">; see the chapter Liraglutide.</w:t>
      </w:r>
    </w:p>
    <w:p>
      <w:pPr>
        <w:numPr>
          <w:ilvl w:val="0"/>
          <w:numId w:val="1056"/>
        </w:numPr>
        <w:pStyle w:val="Compact"/>
      </w:pPr>
      <w:r>
        <w:rPr>
          <w:bCs/>
          <w:b/>
        </w:rPr>
        <w:t xml:space="preserve">Psychiatric side effects:</w:t>
      </w:r>
      <w:r>
        <w:t xml:space="preserve"> </w:t>
      </w:r>
      <w:r>
        <w:t xml:space="preserve">Following reports of suicidal thoughts, the authorities conducted reviews in 2023/2024 and found no evidence of a causal relationship. In a large US cohort of 240,618 people with overweight, semaglutide was even associated with fewer new suicidal thoughts than other weight-reduction drugs</w:t>
      </w:r>
      <w:r>
        <w:rPr>
          <w:rStyle w:val="FootnoteReference"/>
        </w:rPr>
        <w:footnoteReference w:id="462"/>
      </w:r>
      <w:r>
        <w:t xml:space="preserve">. Observational data cannot reliably rule out bias.</w:t>
      </w:r>
    </w:p>
    <w:p>
      <w:pPr>
        <w:pStyle w:val="FirstParagraph"/>
      </w:pPr>
      <w:r>
        <w:rPr>
          <w:bCs/>
          <w:b/>
        </w:rPr>
        <w:t xml:space="preserve">Notes for practice:</w:t>
      </w:r>
      <w:r>
        <w:t xml:space="preserve"> </w:t>
      </w:r>
      <w:r>
        <w:t xml:space="preserve">Semaglutide is not indicated during pregnancy; the prescribing information recommends stopping in good time before a planned pregnancy. Because of delayed gastric emptying, there may be an increased risk during anesthesia that stomach contents enter the lungs; people being treated should mention this before operations and gastroscopies. For use, dose escalation, and contraindications, the prescribing information and medical supervision are authoritative.</w:t>
      </w:r>
    </w:p>
    <w:bookmarkEnd w:id="463"/>
    <w:bookmarkStart w:id="467" w:name="gray-market-compounding-and-counterfeits"/>
    <w:p>
      <w:pPr>
        <w:pStyle w:val="Heading3"/>
      </w:pPr>
      <w:r>
        <w:t xml:space="preserve">Gray Market, Compounding, and Counterfeits</w:t>
      </w:r>
    </w:p>
    <w:p>
      <w:pPr>
        <w:pStyle w:val="FirstParagraph"/>
      </w:pPr>
      <w:r>
        <w:t xml:space="preserve">No other peptide in this book is obtained outside regular channels as often as semaglutide. From 2022 onward, demand exceeded supply for years. Three problems must be distinguished.</w:t>
      </w:r>
    </w:p>
    <w:p>
      <w:pPr>
        <w:pStyle w:val="BodyText"/>
      </w:pPr>
      <w:r>
        <w:rPr>
          <w:bCs/>
          <w:b/>
        </w:rPr>
        <w:t xml:space="preserve">Compounding (USA):</w:t>
      </w:r>
      <w:r>
        <w:t xml:space="preserve"> </w:t>
      </w:r>
      <w:r>
        <w:t xml:space="preserve">During the official shortages, US pharmacies were allowed to produce semaglutide themselves (</w:t>
      </w:r>
      <w:r>
        <w:t xml:space="preserve">“</w:t>
      </w:r>
      <w:r>
        <w:t xml:space="preserve">compounding</w:t>
      </w:r>
      <w:r>
        <w:t xml:space="preserve">”</w:t>
      </w:r>
      <w:r>
        <w:t xml:space="preserve">), often as powder or solution in vials, sometimes with other salt forms of the drug. Since the end of the shortage, the FDA has severely restricted this practice. A case series from a poison control center described tenfold overdoses because patients were handling syringes and vials instead of prefilled pens and confused milliliters, units, and milligrams</w:t>
      </w:r>
      <w:r>
        <w:rPr>
          <w:rStyle w:val="FootnoteReference"/>
        </w:rPr>
        <w:footnoteReference w:id="464"/>
      </w:r>
      <w:r>
        <w:t xml:space="preserve">. In an analysis of the US adverse event database, reports of compounding errors, contamination, and hospital admissions were disproportionately frequent for compounded products</w:t>
      </w:r>
      <w:r>
        <w:rPr>
          <w:rStyle w:val="FootnoteReference"/>
        </w:rPr>
        <w:footnoteReference w:id="465"/>
      </w:r>
      <w:r>
        <w:t xml:space="preserve">.</w:t>
      </w:r>
    </w:p>
    <w:p>
      <w:pPr>
        <w:pStyle w:val="BodyText"/>
      </w:pPr>
      <w:r>
        <w:rPr>
          <w:bCs/>
          <w:b/>
        </w:rPr>
        <w:t xml:space="preserve">Illegal online shops:</w:t>
      </w:r>
      <w:r>
        <w:t xml:space="preserve"> </w:t>
      </w:r>
      <w:r>
        <w:t xml:space="preserve">In a market investigation, 42.3% of the online pharmacy links found led to illegal vendors selling semaglutide without a prescription</w:t>
      </w:r>
      <w:r>
        <w:rPr>
          <w:rStyle w:val="FootnoteReference"/>
        </w:rPr>
        <w:footnoteReference w:id="466"/>
      </w:r>
      <w:r>
        <w:t xml:space="preserve">. In test purchases, ordered Ozempic pens never arrived at all. The vials delivered did contain semaglutide, but purity was only 7.7% to 14.37% instead of the stated 99%, and endotoxins (bacterial components that can cause fever and inflammation) were detected in all samples.</w:t>
      </w:r>
    </w:p>
    <w:p>
      <w:pPr>
        <w:pStyle w:val="BodyText"/>
      </w:pPr>
      <w:r>
        <w:rPr>
          <w:bCs/>
          <w:b/>
        </w:rPr>
        <w:t xml:space="preserve">Counterfeits:</w:t>
      </w:r>
      <w:r>
        <w:t xml:space="preserve"> </w:t>
      </w:r>
      <w:r>
        <w:t xml:space="preserve">Counterfeit Ozempic pens have appeared in Europe and the USA, some filled with insulin or containing no drug at all; medicines regulators and the World Health Organization have issued repeated warnings. General information on gray-market products can be found in Part I and Part IV. Only the regular route is safe: a physician’s prescription and dispensing by a pharmacy.</w:t>
      </w:r>
    </w:p>
    <w:bookmarkEnd w:id="467"/>
    <w:bookmarkStart w:id="468" w:name="legal-status-3"/>
    <w:p>
      <w:pPr>
        <w:pStyle w:val="Heading3"/>
      </w:pPr>
      <w:r>
        <w:t xml:space="preserve">Legal status</w:t>
      </w:r>
    </w:p>
    <w:p>
      <w:pPr>
        <w:numPr>
          <w:ilvl w:val="0"/>
          <w:numId w:val="1057"/>
        </w:numPr>
        <w:pStyle w:val="Compact"/>
      </w:pPr>
      <w:r>
        <w:rPr>
          <w:bCs/>
          <w:b/>
        </w:rPr>
        <w:t xml:space="preserve">EU:</w:t>
      </w:r>
      <w:r>
        <w:t xml:space="preserve"> </w:t>
      </w:r>
      <w:r>
        <w:t xml:space="preserve">Ozempic (2018), Rybelsus (2020), and Wegovy (2022) are centrally authorized and prescription-only. Wegovy is approved for weight management in adults and adolescents aged 12 and older; the prescribing information now also includes information on cardiovascular risk reduction from SELECT.</w:t>
      </w:r>
    </w:p>
    <w:p>
      <w:pPr>
        <w:numPr>
          <w:ilvl w:val="0"/>
          <w:numId w:val="1057"/>
        </w:numPr>
        <w:pStyle w:val="Compact"/>
      </w:pPr>
      <w:r>
        <w:rPr>
          <w:bCs/>
          <w:b/>
        </w:rPr>
        <w:t xml:space="preserve">Germany:</w:t>
      </w:r>
      <w:r>
        <w:t xml:space="preserve"> </w:t>
      </w:r>
      <w:r>
        <w:t xml:space="preserve">Ozempic and Rybelsus are reimbursed for type 2 diabetes. Wegovy is considered a weight-reduction drug and is in principle excluded from reimbursement by statutory health insurance under Section 34 of Book V of the Social Code (SGB V); a change is being discussed politically. Prescribing Ozempic purely for weight loss is off-label and was explicitly criticized by the authorities during the shortages.</w:t>
      </w:r>
    </w:p>
    <w:p>
      <w:pPr>
        <w:numPr>
          <w:ilvl w:val="0"/>
          <w:numId w:val="1057"/>
        </w:numPr>
        <w:pStyle w:val="Compact"/>
      </w:pPr>
      <w:r>
        <w:rPr>
          <w:bCs/>
          <w:b/>
        </w:rPr>
        <w:t xml:space="preserve">Austria:</w:t>
      </w:r>
      <w:r>
        <w:t xml:space="preserve"> </w:t>
      </w:r>
      <w:r>
        <w:t xml:space="preserve">prescription-only; coverage of costs for weight management only to a limited extent (please check for current information).</w:t>
      </w:r>
    </w:p>
    <w:p>
      <w:pPr>
        <w:numPr>
          <w:ilvl w:val="0"/>
          <w:numId w:val="1057"/>
        </w:numPr>
        <w:pStyle w:val="Compact"/>
      </w:pPr>
      <w:r>
        <w:rPr>
          <w:bCs/>
          <w:b/>
        </w:rPr>
        <w:t xml:space="preserve">USA:</w:t>
      </w:r>
      <w:r>
        <w:t xml:space="preserve"> </w:t>
      </w:r>
      <w:r>
        <w:t xml:space="preserve">Ozempic, Rybelsus, and Wegovy (injection and tablet) approved, with expanded indications for the heart, kidneys, and MASH.</w:t>
      </w:r>
    </w:p>
    <w:p>
      <w:pPr>
        <w:numPr>
          <w:ilvl w:val="0"/>
          <w:numId w:val="1057"/>
        </w:numPr>
        <w:pStyle w:val="Compact"/>
      </w:pPr>
      <w:r>
        <w:rPr>
          <w:bCs/>
          <w:b/>
        </w:rPr>
        <w:t xml:space="preserve">Patents and generics:</w:t>
      </w:r>
      <w:r>
        <w:t xml:space="preserve"> </w:t>
      </w:r>
      <w:r>
        <w:t xml:space="preserve">In several large markets outside the EU and the USA – including Canada, China, India, and Brazil – patent protection for semaglutide expires in 2026; the first copycat products have been announced or are on the market there. In the EU and the USA, generics are not expected until around 2031/2032. More on this in Part V.</w:t>
      </w:r>
    </w:p>
    <w:p>
      <w:pPr>
        <w:numPr>
          <w:ilvl w:val="0"/>
          <w:numId w:val="1057"/>
        </w:numPr>
        <w:pStyle w:val="Compact"/>
      </w:pPr>
      <w:r>
        <w:rPr>
          <w:bCs/>
          <w:b/>
        </w:rPr>
        <w:t xml:space="preserve">Sport (WADA):</w:t>
      </w:r>
      <w:r>
        <w:t xml:space="preserve"> </w:t>
      </w:r>
      <w:r>
        <w:t xml:space="preserve">not listed (status as of 2026; please check for current information).</w:t>
      </w:r>
    </w:p>
    <w:bookmarkEnd w:id="468"/>
    <w:bookmarkStart w:id="474" w:name="ongoing-studies-and-outlook-3"/>
    <w:p>
      <w:pPr>
        <w:pStyle w:val="Heading3"/>
      </w:pPr>
      <w:r>
        <w:t xml:space="preserve">Ongoing studies and outlook</w:t>
      </w:r>
    </w:p>
    <w:p>
      <w:pPr>
        <w:pStyle w:val="FirstParagraph"/>
      </w:pPr>
      <w:r>
        <w:rPr>
          <w:bCs/>
          <w:b/>
        </w:rPr>
        <w:t xml:space="preserve">Established (registered studies):</w:t>
      </w:r>
      <w:r>
        <w:t xml:space="preserve"> </w:t>
      </w:r>
      <w:r>
        <w:t xml:space="preserve">Of the 793 registry entries, a large proportion concern combinations and successors. Examples:</w:t>
      </w:r>
    </w:p>
    <w:p>
      <w:pPr>
        <w:numPr>
          <w:ilvl w:val="0"/>
          <w:numId w:val="1058"/>
        </w:numPr>
        <w:pStyle w:val="Compact"/>
      </w:pPr>
      <w:r>
        <w:rPr>
          <w:bCs/>
          <w:b/>
        </w:rPr>
        <w:t xml:space="preserve">Eyes:</w:t>
      </w:r>
      <w:r>
        <w:t xml:space="preserve"> </w:t>
      </w:r>
      <w:r>
        <w:t xml:space="preserve">A study with 1,500 participants is specifically investigating the effect on diabetic retinopathy</w:t>
      </w:r>
      <w:r>
        <w:rPr>
          <w:rStyle w:val="FootnoteReference"/>
        </w:rPr>
        <w:footnoteReference w:id="469"/>
      </w:r>
      <w:r>
        <w:t xml:space="preserve">.</w:t>
      </w:r>
    </w:p>
    <w:p>
      <w:pPr>
        <w:numPr>
          <w:ilvl w:val="0"/>
          <w:numId w:val="1058"/>
        </w:numPr>
        <w:pStyle w:val="Compact"/>
      </w:pPr>
      <w:r>
        <w:rPr>
          <w:bCs/>
          <w:b/>
        </w:rPr>
        <w:t xml:space="preserve">Liver:</w:t>
      </w:r>
      <w:r>
        <w:t xml:space="preserve"> </w:t>
      </w:r>
      <w:r>
        <w:t xml:space="preserve">The second part of ESSENCE, with 1,205 participants, is intended to clarify whether semaglutide prevents liver cirrhosis and liver complications</w:t>
      </w:r>
      <w:r>
        <w:rPr>
          <w:rStyle w:val="FootnoteReference"/>
        </w:rPr>
        <w:footnoteReference w:id="470"/>
      </w:r>
      <w:r>
        <w:t xml:space="preserve">.</w:t>
      </w:r>
    </w:p>
    <w:p>
      <w:pPr>
        <w:numPr>
          <w:ilvl w:val="0"/>
          <w:numId w:val="1058"/>
        </w:numPr>
        <w:pStyle w:val="Compact"/>
      </w:pPr>
      <w:r>
        <w:rPr>
          <w:bCs/>
          <w:b/>
        </w:rPr>
        <w:t xml:space="preserve">Children:</w:t>
      </w:r>
      <w:r>
        <w:t xml:space="preserve"> </w:t>
      </w:r>
      <w:r>
        <w:t xml:space="preserve">A study with 212 children and adolescents is ongoing</w:t>
      </w:r>
      <w:r>
        <w:rPr>
          <w:rStyle w:val="FootnoteReference"/>
        </w:rPr>
        <w:footnoteReference w:id="471"/>
      </w:r>
      <w:r>
        <w:t xml:space="preserve">.</w:t>
      </w:r>
    </w:p>
    <w:p>
      <w:pPr>
        <w:numPr>
          <w:ilvl w:val="0"/>
          <w:numId w:val="1058"/>
        </w:numPr>
        <w:pStyle w:val="Compact"/>
      </w:pPr>
      <w:r>
        <w:rPr>
          <w:bCs/>
          <w:b/>
        </w:rPr>
        <w:t xml:space="preserve">Tablet:</w:t>
      </w:r>
      <w:r>
        <w:t xml:space="preserve"> </w:t>
      </w:r>
      <w:r>
        <w:t xml:space="preserve">Further phase 3 trials of the tablet in obesity have started</w:t>
      </w:r>
      <w:r>
        <w:rPr>
          <w:rStyle w:val="FootnoteReference"/>
        </w:rPr>
        <w:footnoteReference w:id="472"/>
      </w:r>
      <w:r>
        <w:t xml:space="preserve">.</w:t>
      </w:r>
    </w:p>
    <w:p>
      <w:pPr>
        <w:numPr>
          <w:ilvl w:val="0"/>
          <w:numId w:val="1058"/>
        </w:numPr>
        <w:pStyle w:val="Compact"/>
      </w:pPr>
      <w:r>
        <w:rPr>
          <w:bCs/>
          <w:b/>
        </w:rPr>
        <w:t xml:space="preserve">CagriSema combination:</w:t>
      </w:r>
      <w:r>
        <w:t xml:space="preserve"> </w:t>
      </w:r>
      <w:r>
        <w:t xml:space="preserve">Semaglutide in fixed combination with the amylin analog cagrilintide is being tested in a cardiovascular trial with 7,101 participants</w:t>
      </w:r>
      <w:r>
        <w:rPr>
          <w:rStyle w:val="FootnoteReference"/>
        </w:rPr>
        <w:footnoteReference w:id="473"/>
      </w:r>
      <w:r>
        <w:t xml:space="preserve">; details in the chapter Cagrilintide/CagriSema.</w:t>
      </w:r>
    </w:p>
    <w:p>
      <w:pPr>
        <w:pStyle w:val="FirstParagraph"/>
      </w:pPr>
      <w:r>
        <w:rPr>
          <w:bCs/>
          <w:b/>
        </w:rPr>
        <w:t xml:space="preserve">Assessment:</w:t>
      </w:r>
      <w:r>
        <w:t xml:space="preserve"> </w:t>
      </w:r>
      <w:r>
        <w:t xml:space="preserve">In the coming years, semaglutide will come under pressure from two sides – from more effective successors such as tirzepatide, CagriSema, or retatrutide, and from generics in large markets. At the same time, it is the drug with the broadest evidence base for hard endpoints (heart, kidneys, liver). The tablet form could considerably broaden access. The failed Alzheimer’s trials show that not every hope derived from animal experiments and observational data holds up.</w:t>
      </w:r>
    </w:p>
    <w:bookmarkEnd w:id="474"/>
    <w:bookmarkStart w:id="475" w:name="conclusion-3"/>
    <w:p>
      <w:pPr>
        <w:pStyle w:val="Heading3"/>
      </w:pPr>
      <w:r>
        <w:t xml:space="preserve">Conclusion</w:t>
      </w:r>
    </w:p>
    <w:p>
      <w:pPr>
        <w:pStyle w:val="FirstParagraph"/>
      </w:pPr>
      <w:r>
        <w:t xml:space="preserve">Semaglutide is the most comprehensively studied GLP-1 receptor agonist and has outperformed exenatide, liraglutide, and dulaglutide in direct comparisons. At a dose of 2.4 mg per week, people with obesity in STEP 1 lost on average 14.9% of their weight; after discontinuation, most of the weight returns. Large outcomes trials showed a reduction in major cardiovascular events – even without diabetes (SELECT, 20%) – as well as kidney protection (FLOW) and improvements in fatty liver inflammation. Common side effects affect the gastrointestinal tract and the gallbladder; rare signals such as NAION continue to be monitored, while the Alzheimer’s trials showed no benefit. Gray-market products carry considerable risks – treatment belongs in the hands of a physician and the pharmacy.</w:t>
      </w:r>
    </w:p>
    <w:bookmarkEnd w:id="475"/>
    <w:bookmarkEnd w:id="476"/>
    <w:bookmarkStart w:id="536" w:name="tirzepatide"/>
    <w:p>
      <w:pPr>
        <w:pStyle w:val="Heading2"/>
      </w:pPr>
      <w:r>
        <w:t xml:space="preserve">Tirzepatide</w:t>
      </w:r>
    </w:p>
    <w:bookmarkStart w:id="477" w:name="profile-4"/>
    <w:p>
      <w:pPr>
        <w:pStyle w:val="Heading3"/>
      </w:pPr>
      <w:r>
        <w:t xml:space="preserve">Profile</w:t>
      </w:r>
    </w:p>
    <w:p>
      <w:pPr>
        <w:numPr>
          <w:ilvl w:val="0"/>
          <w:numId w:val="1059"/>
        </w:numPr>
        <w:pStyle w:val="Compact"/>
      </w:pPr>
      <w:r>
        <w:rPr>
          <w:bCs/>
          <w:b/>
        </w:rPr>
        <w:t xml:space="preserve">Type/structure:</w:t>
      </w:r>
      <w:r>
        <w:t xml:space="preserve"> </w:t>
      </w:r>
      <w:r>
        <w:t xml:space="preserve">synthetic peptide whose backbone is modeled on the body’s own gut hormone GIP; an attached fatty acid chain binds it to albumin in the blood and extends its duration of action to the point that one injection per week is sufficient.</w:t>
      </w:r>
    </w:p>
    <w:p>
      <w:pPr>
        <w:numPr>
          <w:ilvl w:val="0"/>
          <w:numId w:val="1059"/>
        </w:numPr>
        <w:pStyle w:val="Compact"/>
      </w:pPr>
      <w:r>
        <w:rPr>
          <w:bCs/>
          <w:b/>
        </w:rPr>
        <w:t xml:space="preserve">Origin:</w:t>
      </w:r>
      <w:r>
        <w:t xml:space="preserve"> </w:t>
      </w:r>
      <w:r>
        <w:t xml:space="preserve">developed by Eli Lilly, listed under the code LY3298176 in early studies.</w:t>
      </w:r>
    </w:p>
    <w:p>
      <w:pPr>
        <w:numPr>
          <w:ilvl w:val="0"/>
          <w:numId w:val="1059"/>
        </w:numPr>
        <w:pStyle w:val="Compact"/>
      </w:pPr>
      <w:r>
        <w:rPr>
          <w:bCs/>
          <w:b/>
        </w:rPr>
        <w:t xml:space="preserve">Mechanism of action:</w:t>
      </w:r>
      <w:r>
        <w:t xml:space="preserve"> </w:t>
      </w:r>
      <w:r>
        <w:t xml:space="preserve">dual agonist (activator) at two receptors: the GIP receptor and the GLP-1 receptor. Hence also called a</w:t>
      </w:r>
      <w:r>
        <w:t xml:space="preserve"> </w:t>
      </w:r>
      <w:r>
        <w:t xml:space="preserve">“</w:t>
      </w:r>
      <w:r>
        <w:t xml:space="preserve">twincretin</w:t>
      </w:r>
      <w:r>
        <w:t xml:space="preserve">”</w:t>
      </w:r>
      <w:r>
        <w:t xml:space="preserve"> </w:t>
      </w:r>
      <w:r>
        <w:t xml:space="preserve">or</w:t>
      </w:r>
      <w:r>
        <w:t xml:space="preserve"> </w:t>
      </w:r>
      <w:r>
        <w:t xml:space="preserve">“</w:t>
      </w:r>
      <w:r>
        <w:t xml:space="preserve">dual incretin agonist.</w:t>
      </w:r>
      <w:r>
        <w:t xml:space="preserve">”</w:t>
      </w:r>
    </w:p>
    <w:p>
      <w:pPr>
        <w:numPr>
          <w:ilvl w:val="0"/>
          <w:numId w:val="1059"/>
        </w:numPr>
        <w:pStyle w:val="Compact"/>
      </w:pPr>
      <w:r>
        <w:rPr>
          <w:bCs/>
          <w:b/>
        </w:rPr>
        <w:t xml:space="preserve">EU approval:</w:t>
      </w:r>
      <w:r>
        <w:t xml:space="preserve"> </w:t>
      </w:r>
      <w:r>
        <w:t xml:space="preserve">yes (Mounjaro) for type 2 diabetes and for weight management in obesity and in overweight with comorbidities.</w:t>
      </w:r>
    </w:p>
    <w:p>
      <w:pPr>
        <w:numPr>
          <w:ilvl w:val="0"/>
          <w:numId w:val="1059"/>
        </w:numPr>
        <w:pStyle w:val="Compact"/>
      </w:pPr>
      <w:r>
        <w:rPr>
          <w:bCs/>
          <w:b/>
        </w:rPr>
        <w:t xml:space="preserve">US approval:</w:t>
      </w:r>
      <w:r>
        <w:t xml:space="preserve"> </w:t>
      </w:r>
      <w:r>
        <w:t xml:space="preserve">yes (Mounjaro for type 2 diabetes; Zepbound for obesity and for moderate to severe obstructive sleep apnea in obesity).</w:t>
      </w:r>
    </w:p>
    <w:p>
      <w:pPr>
        <w:numPr>
          <w:ilvl w:val="0"/>
          <w:numId w:val="1059"/>
        </w:numPr>
        <w:pStyle w:val="Compact"/>
      </w:pPr>
      <w:r>
        <w:rPr>
          <w:bCs/>
          <w:b/>
        </w:rPr>
        <w:t xml:space="preserve">WADA:</w:t>
      </w:r>
      <w:r>
        <w:t xml:space="preserve"> </w:t>
      </w:r>
      <w:r>
        <w:t xml:space="preserve">not on the Prohibited List.</w:t>
      </w:r>
    </w:p>
    <w:p>
      <w:pPr>
        <w:numPr>
          <w:ilvl w:val="0"/>
          <w:numId w:val="1059"/>
        </w:numPr>
        <w:pStyle w:val="Compact"/>
      </w:pPr>
      <w:r>
        <w:rPr>
          <w:bCs/>
          <w:b/>
        </w:rPr>
        <w:t xml:space="preserve">Evidence level:</w:t>
      </w:r>
      <w:r>
        <w:t xml:space="preserve"> </w:t>
      </w:r>
      <w:r>
        <w:rPr>
          <w:bCs/>
          <w:b/>
        </w:rPr>
        <w:t xml:space="preserve">A</w:t>
      </w:r>
      <w:r>
        <w:t xml:space="preserve"> </w:t>
      </w:r>
      <w:r>
        <w:t xml:space="preserve">– numerous large randomized trials, outcomes trials on the heart and heart failure, approval in many countries.</w:t>
      </w:r>
    </w:p>
    <w:bookmarkEnd w:id="477"/>
    <w:bookmarkStart w:id="481" w:name="how-it-is-supposed-to-work-4"/>
    <w:p>
      <w:pPr>
        <w:pStyle w:val="Heading3"/>
      </w:pPr>
      <w:r>
        <w:t xml:space="preserve">How it is supposed to work</w:t>
      </w:r>
    </w:p>
    <w:p>
      <w:pPr>
        <w:pStyle w:val="FirstParagraph"/>
      </w:pPr>
      <w:r>
        <w:t xml:space="preserve">After a meal, the gut releases two hormones known as incretins: GLP-1 (glucagon-like peptide-1) and GIP (glucose-dependent insulinotropic polypeptide). Both tell the pancreas</w:t>
      </w:r>
      <w:r>
        <w:t xml:space="preserve"> </w:t>
      </w:r>
      <w:r>
        <w:t xml:space="preserve">“</w:t>
      </w:r>
      <w:r>
        <w:t xml:space="preserve">food is coming</w:t>
      </w:r>
      <w:r>
        <w:t xml:space="preserve">”</w:t>
      </w:r>
      <w:r>
        <w:t xml:space="preserve"> </w:t>
      </w:r>
      <w:r>
        <w:t xml:space="preserve">and enhance insulin release – but only as long as blood sugar is elevated. This is why incretin medications on their own rarely cause hypoglycemia. GLP-1 additionally slows gastric emptying and acts on satiety centers in the brain. The role GIP plays in appetite is less clear and was long disputed; in some older papers, GIP was even regarded as more of a</w:t>
      </w:r>
      <w:r>
        <w:t xml:space="preserve"> </w:t>
      </w:r>
      <w:r>
        <w:t xml:space="preserve">“</w:t>
      </w:r>
      <w:r>
        <w:t xml:space="preserve">fattening hormone.</w:t>
      </w:r>
      <w:r>
        <w:t xml:space="preserve">”</w:t>
      </w:r>
    </w:p>
    <w:p>
      <w:pPr>
        <w:pStyle w:val="BodyText"/>
      </w:pPr>
      <w:r>
        <w:t xml:space="preserve">Tirzepatide combines both signals in a single molecule. Laboratory studies in cell lines revealed two special features</w:t>
      </w:r>
      <w:r>
        <w:rPr>
          <w:rStyle w:val="FootnoteReference"/>
        </w:rPr>
        <w:footnoteReference w:id="478"/>
      </w:r>
      <w:r>
        <w:t xml:space="preserve">: first, tirzepatide is</w:t>
      </w:r>
      <w:r>
        <w:t xml:space="preserve"> </w:t>
      </w:r>
      <w:r>
        <w:t xml:space="preserve">“</w:t>
      </w:r>
      <w:r>
        <w:t xml:space="preserve">imbalanced</w:t>
      </w:r>
      <w:r>
        <w:t xml:space="preserve">”</w:t>
      </w:r>
      <w:r>
        <w:t xml:space="preserve"> </w:t>
      </w:r>
      <w:r>
        <w:t xml:space="preserve">– at the concentrations reached with therapeutic doses, it occupies the GIP receptor more strongly than the GLP-1 receptor. Second, at the GLP-1 receptor it preferentially activates a particular signaling pathway (cAMP) and triggers less receptor internalization, in which the receptor is drawn into the cell interior and thus temporarily switched off. Whether this</w:t>
      </w:r>
      <w:r>
        <w:t xml:space="preserve"> </w:t>
      </w:r>
      <w:r>
        <w:t xml:space="preserve">“</w:t>
      </w:r>
      <w:r>
        <w:t xml:space="preserve">biased</w:t>
      </w:r>
      <w:r>
        <w:t xml:space="preserve">”</w:t>
      </w:r>
      <w:r>
        <w:t xml:space="preserve"> </w:t>
      </w:r>
      <w:r>
        <w:t xml:space="preserve">signaling plays a role in humans is a hypothesis based on laboratory data.</w:t>
      </w:r>
    </w:p>
    <w:p>
      <w:pPr>
        <w:pStyle w:val="BodyText"/>
      </w:pPr>
      <w:r>
        <w:t xml:space="preserve">In overweight mice, tirzepatide improved insulin sensitivity more than a pure GLP-1 agonist, partly independently of weight loss – mediated via the GIP receptor and better glucose uptake in adipose tissue</w:t>
      </w:r>
      <w:r>
        <w:rPr>
          <w:rStyle w:val="FootnoteReference"/>
        </w:rPr>
        <w:footnoteReference w:id="479"/>
      </w:r>
      <w:r>
        <w:t xml:space="preserve">. In humans, tirzepatide mainly reduces food intake; in a study of 117 people with type 2 diabetes, appetite, energy intake, and fat mass decreased on tirzepatide compared with placebo. In terms of appetite, however, it did not differ measurably from semaglutide, even though weight loss was greater – the authors therefore consider additional mechanisms possible</w:t>
      </w:r>
      <w:r>
        <w:rPr>
          <w:rStyle w:val="FootnoteReference"/>
        </w:rPr>
        <w:footnoteReference w:id="480"/>
      </w:r>
      <w:r>
        <w:t xml:space="preserve">.</w:t>
      </w:r>
    </w:p>
    <w:p>
      <w:pPr>
        <w:pStyle w:val="BodyText"/>
      </w:pPr>
      <w:r>
        <w:t xml:space="preserve">Put simply: tirzepatide acts like a GLP-1 medication with an additional GIP</w:t>
      </w:r>
      <w:r>
        <w:t xml:space="preserve"> </w:t>
      </w:r>
      <w:r>
        <w:t xml:space="preserve">“</w:t>
      </w:r>
      <w:r>
        <w:t xml:space="preserve">amplifier.</w:t>
      </w:r>
      <w:r>
        <w:t xml:space="preserve">”</w:t>
      </w:r>
      <w:r>
        <w:t xml:space="preserve"> </w:t>
      </w:r>
      <w:r>
        <w:t xml:space="preserve">The studies show that this package achieves more for weight and blood sugar than the pure GLP-1 agonists available previously – exactly why is not yet fully understood.</w:t>
      </w:r>
    </w:p>
    <w:bookmarkEnd w:id="481"/>
    <w:bookmarkStart w:id="514" w:name="human-studies-4"/>
    <w:p>
      <w:pPr>
        <w:pStyle w:val="Heading3"/>
      </w:pPr>
      <w:r>
        <w:t xml:space="preserve">Human studies</w:t>
      </w:r>
    </w:p>
    <w:p>
      <w:pPr>
        <w:pStyle w:val="FirstParagraph"/>
      </w:pPr>
      <w:r>
        <w:rPr>
          <w:bCs/>
          <w:b/>
        </w:rPr>
        <w:t xml:space="preserve">Scale of the evidence:</w:t>
      </w:r>
      <w:r>
        <w:t xml:space="preserve"> </w:t>
      </w:r>
      <w:r>
        <w:t xml:space="preserve">The automated PubMed query (October 2026) yielded 144 publications classified as human studies with</w:t>
      </w:r>
      <w:r>
        <w:t xml:space="preserve"> </w:t>
      </w:r>
      <w:r>
        <w:t xml:space="preserve">“</w:t>
      </w:r>
      <w:r>
        <w:t xml:space="preserve">tirzepatide</w:t>
      </w:r>
      <w:r>
        <w:t xml:space="preserve">”</w:t>
      </w:r>
      <w:r>
        <w:t xml:space="preserve"> </w:t>
      </w:r>
      <w:r>
        <w:t xml:space="preserve">in the title or abstract, plus a very large number of reviews and meta-analyses. ClinicalTrials.gov listed 307 registered studies, more than 100 of them still recruiting (an obviously fictitious sample entry from an unknown sponsor is not counted). Tirzepatide is thus among the best-studied drugs in this book. The main weight is borne by two approval programs:</w:t>
      </w:r>
      <w:r>
        <w:t xml:space="preserve"> </w:t>
      </w:r>
      <w:r>
        <w:rPr>
          <w:bCs/>
          <w:b/>
        </w:rPr>
        <w:t xml:space="preserve">SURPASS</w:t>
      </w:r>
      <w:r>
        <w:t xml:space="preserve"> </w:t>
      </w:r>
      <w:r>
        <w:t xml:space="preserve">(type 2 diabetes) and</w:t>
      </w:r>
      <w:r>
        <w:t xml:space="preserve"> </w:t>
      </w:r>
      <w:r>
        <w:rPr>
          <w:bCs/>
          <w:b/>
        </w:rPr>
        <w:t xml:space="preserve">SURMOUNT</w:t>
      </w:r>
      <w:r>
        <w:t xml:space="preserve"> </w:t>
      </w:r>
      <w:r>
        <w:t xml:space="preserve">(obesity), supplemented by studies on heart failure, sleep apnea, and fatty liver disease.</w:t>
      </w:r>
    </w:p>
    <w:bookmarkStart w:id="484" w:name="X59c196388207bb0bf5957b361a67bca9d1729a8"/>
    <w:p>
      <w:pPr>
        <w:pStyle w:val="Heading4"/>
      </w:pPr>
      <w:r>
        <w:t xml:space="preserve">From the Laboratory to the Clinic: Phase 1 and 2</w:t>
      </w:r>
    </w:p>
    <w:p>
      <w:pPr>
        <w:pStyle w:val="FirstParagraph"/>
      </w:pPr>
      <w:r>
        <w:t xml:space="preserve">The first human data come from a combined phase 1 study with 142 people who received tirzepatide, dulaglutide, or placebo. In people with type 2 diabetes, higher doses markedly lowered fasting blood sugar after four weeks; the most common side effects affected the gastrointestinal tract</w:t>
      </w:r>
      <w:r>
        <w:rPr>
          <w:rStyle w:val="FootnoteReference"/>
        </w:rPr>
        <w:footnoteReference w:id="482"/>
      </w:r>
      <w:r>
        <w:t xml:space="preserve">.</w:t>
      </w:r>
    </w:p>
    <w:p>
      <w:pPr>
        <w:pStyle w:val="BodyText"/>
      </w:pPr>
      <w:r>
        <w:t xml:space="preserve">In the phase 2 trial, 318 people with type 2 diabetes received one of four tirzepatide doses, dulaglutide, or placebo for 26 weeks. Long-term blood sugar (HbA1c) fell in a dose-dependent manner by up to 1.94 percentage points (dulaglutide: −1.21; placebo: −0.06). Body weight changed by −0.9 to −11.3 kg on tirzepatide and by −2.7 kg on dulaglutide</w:t>
      </w:r>
      <w:r>
        <w:rPr>
          <w:rStyle w:val="FootnoteReference"/>
        </w:rPr>
        <w:footnoteReference w:id="483"/>
      </w:r>
      <w:r>
        <w:t xml:space="preserve">. This magnitude of weight loss – in a diabetes trial – was the impetus for the large obesity program.</w:t>
      </w:r>
    </w:p>
    <w:bookmarkEnd w:id="484"/>
    <w:bookmarkStart w:id="490" w:name="surpass-type-2-diabetes"/>
    <w:p>
      <w:pPr>
        <w:pStyle w:val="Heading4"/>
      </w:pPr>
      <w:r>
        <w:t xml:space="preserve">SURPASS: Type 2 Diabetes</w:t>
      </w:r>
    </w:p>
    <w:p>
      <w:pPr>
        <w:pStyle w:val="FirstParagraph"/>
      </w:pPr>
      <w:r>
        <w:t xml:space="preserve">The SURPASS program tested tirzepatide at three doses (5, 10, and 15 mg per week) against placebo, against semaglutide, and against insulins. HbA1c reflects average blood sugar over the past two to three months; a value below 7% is considered the treatment target for many people with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SURPASS-1 (Rosenstock 2021), PMID 34186022</w:t>
            </w:r>
          </w:p>
        </w:tc>
        <w:tc>
          <w:tcPr/>
          <w:p>
            <w:pPr>
              <w:pStyle w:val="Compact"/>
              <w:jc w:val="left"/>
            </w:pPr>
            <w:r>
              <w:t xml:space="preserve">478 adults, diet/exercise only, vs. placebo</w:t>
            </w:r>
          </w:p>
        </w:tc>
        <w:tc>
          <w:tcPr/>
          <w:p>
            <w:pPr>
              <w:pStyle w:val="Compact"/>
              <w:jc w:val="left"/>
            </w:pPr>
            <w:r>
              <w:t xml:space="preserve">40 weeks</w:t>
            </w:r>
          </w:p>
        </w:tc>
        <w:tc>
          <w:tcPr/>
          <w:p>
            <w:pPr>
              <w:pStyle w:val="Compact"/>
              <w:jc w:val="left"/>
            </w:pPr>
            <w:r>
              <w:t xml:space="preserve">HbA1c −1.87 to −2.07 points vs. +0.04; weight −7.0 to −9.5 kg</w:t>
            </w:r>
          </w:p>
        </w:tc>
      </w:tr>
      <w:tr>
        <w:tc>
          <w:tcPr/>
          <w:p>
            <w:pPr>
              <w:pStyle w:val="Compact"/>
              <w:jc w:val="left"/>
            </w:pPr>
            <w:r>
              <w:t xml:space="preserve">SURPASS-2 (Frías 2021), PMID 34170647</w:t>
            </w:r>
          </w:p>
        </w:tc>
        <w:tc>
          <w:tcPr/>
          <w:p>
            <w:pPr>
              <w:pStyle w:val="Compact"/>
              <w:jc w:val="left"/>
            </w:pPr>
            <w:r>
              <w:t xml:space="preserve">1,879 adults on metformin, open-label vs. semaglutide 1 mg</w:t>
            </w:r>
          </w:p>
        </w:tc>
        <w:tc>
          <w:tcPr/>
          <w:p>
            <w:pPr>
              <w:pStyle w:val="Compact"/>
              <w:jc w:val="left"/>
            </w:pPr>
            <w:r>
              <w:t xml:space="preserve">40 weeks</w:t>
            </w:r>
          </w:p>
        </w:tc>
        <w:tc>
          <w:tcPr/>
          <w:p>
            <w:pPr>
              <w:pStyle w:val="Compact"/>
              <w:jc w:val="left"/>
            </w:pPr>
            <w:r>
              <w:t xml:space="preserve">HbA1c −2.01 to −2.30 vs. −1.86; additional weight −1.9 to −5.5 kg</w:t>
            </w:r>
          </w:p>
        </w:tc>
      </w:tr>
      <w:tr>
        <w:tc>
          <w:tcPr/>
          <w:p>
            <w:pPr>
              <w:pStyle w:val="Compact"/>
              <w:jc w:val="left"/>
            </w:pPr>
            <w:r>
              <w:t xml:space="preserve">SURPASS-3 (Ludvik 2021), PMID 34370970</w:t>
            </w:r>
          </w:p>
        </w:tc>
        <w:tc>
          <w:tcPr/>
          <w:p>
            <w:pPr>
              <w:pStyle w:val="Compact"/>
              <w:jc w:val="left"/>
            </w:pPr>
            <w:r>
              <w:t xml:space="preserve">1,444 adults, open-label vs. insulin degludec</w:t>
            </w:r>
          </w:p>
        </w:tc>
        <w:tc>
          <w:tcPr/>
          <w:p>
            <w:pPr>
              <w:pStyle w:val="Compact"/>
              <w:jc w:val="left"/>
            </w:pPr>
            <w:r>
              <w:t xml:space="preserve">52 weeks</w:t>
            </w:r>
          </w:p>
        </w:tc>
        <w:tc>
          <w:tcPr/>
          <w:p>
            <w:pPr>
              <w:pStyle w:val="Compact"/>
              <w:jc w:val="left"/>
            </w:pPr>
            <w:r>
              <w:t xml:space="preserve">HbA1c −1.93 to −2.37 vs. −1.34; weight −7.5 to −12.9 kg vs. +2.3 kg</w:t>
            </w:r>
          </w:p>
        </w:tc>
      </w:tr>
      <w:tr>
        <w:tc>
          <w:tcPr/>
          <w:p>
            <w:pPr>
              <w:pStyle w:val="Compact"/>
              <w:jc w:val="left"/>
            </w:pPr>
            <w:r>
              <w:t xml:space="preserve">SURPASS-4 (Del Prato 2021), PMID 34672967</w:t>
            </w:r>
          </w:p>
        </w:tc>
        <w:tc>
          <w:tcPr/>
          <w:p>
            <w:pPr>
              <w:pStyle w:val="Compact"/>
              <w:jc w:val="left"/>
            </w:pPr>
            <w:r>
              <w:t xml:space="preserve">2,002 adults with high cardiovascular risk, open-label vs. insulin glargine</w:t>
            </w:r>
          </w:p>
        </w:tc>
        <w:tc>
          <w:tcPr/>
          <w:p>
            <w:pPr>
              <w:pStyle w:val="Compact"/>
              <w:jc w:val="left"/>
            </w:pPr>
            <w:r>
              <w:t xml:space="preserve">52 to 104 weeks</w:t>
            </w:r>
          </w:p>
        </w:tc>
        <w:tc>
          <w:tcPr/>
          <w:p>
            <w:pPr>
              <w:pStyle w:val="Compact"/>
              <w:jc w:val="left"/>
            </w:pPr>
            <w:r>
              <w:t xml:space="preserve">HbA1c −2.43/−2.58 vs. −1.44; MACE-4 not increased (HR 0.74)</w:t>
            </w:r>
          </w:p>
        </w:tc>
      </w:tr>
      <w:tr>
        <w:tc>
          <w:tcPr/>
          <w:p>
            <w:pPr>
              <w:pStyle w:val="Compact"/>
              <w:jc w:val="left"/>
            </w:pPr>
            <w:r>
              <w:t xml:space="preserve">SURPASS-5 (Dahl 2022), PMID 35133415</w:t>
            </w:r>
          </w:p>
        </w:tc>
        <w:tc>
          <w:tcPr/>
          <w:p>
            <w:pPr>
              <w:pStyle w:val="Compact"/>
              <w:jc w:val="left"/>
            </w:pPr>
            <w:r>
              <w:t xml:space="preserve">475 adults on insulin glargine, vs. placebo</w:t>
            </w:r>
          </w:p>
        </w:tc>
        <w:tc>
          <w:tcPr/>
          <w:p>
            <w:pPr>
              <w:pStyle w:val="Compact"/>
              <w:jc w:val="left"/>
            </w:pPr>
            <w:r>
              <w:t xml:space="preserve">40 weeks</w:t>
            </w:r>
          </w:p>
        </w:tc>
        <w:tc>
          <w:tcPr/>
          <w:p>
            <w:pPr>
              <w:pStyle w:val="Compact"/>
              <w:jc w:val="left"/>
            </w:pPr>
            <w:r>
              <w:t xml:space="preserve">HbA1c −2.11 to −2.40 vs. −0.86; weight −5.4 to −8.8 kg vs. +1.6 kg</w:t>
            </w:r>
          </w:p>
        </w:tc>
      </w:tr>
      <w:tr>
        <w:tc>
          <w:tcPr/>
          <w:p>
            <w:pPr>
              <w:pStyle w:val="Compact"/>
              <w:jc w:val="left"/>
            </w:pPr>
            <w:r>
              <w:t xml:space="preserve">SURPASS-PEDS (Hannon 2025), PMID 40975112</w:t>
            </w:r>
          </w:p>
        </w:tc>
        <w:tc>
          <w:tcPr/>
          <w:p>
            <w:pPr>
              <w:pStyle w:val="Compact"/>
              <w:jc w:val="left"/>
            </w:pPr>
            <w:r>
              <w:t xml:space="preserve">99 adolescents (10–17 years) with type 2 diabetes, vs. placebo</w:t>
            </w:r>
          </w:p>
        </w:tc>
        <w:tc>
          <w:tcPr/>
          <w:p>
            <w:pPr>
              <w:pStyle w:val="Compact"/>
              <w:jc w:val="left"/>
            </w:pPr>
            <w:r>
              <w:t xml:space="preserve">30 weeks (+22 open-label)</w:t>
            </w:r>
          </w:p>
        </w:tc>
        <w:tc>
          <w:tcPr/>
          <w:p>
            <w:pPr>
              <w:pStyle w:val="Compact"/>
              <w:jc w:val="left"/>
            </w:pPr>
            <w:r>
              <w:t xml:space="preserve">HbA1c −2.23 vs. +0.05; BMI −7.4 to −11.2%</w:t>
            </w:r>
          </w:p>
        </w:tc>
      </w:tr>
    </w:tbl>
    <w:p>
      <w:pPr>
        <w:pStyle w:val="BodyText"/>
      </w:pPr>
      <w:r>
        <w:t xml:space="preserve">Several points deserve emphasis:</w:t>
      </w:r>
    </w:p>
    <w:p>
      <w:pPr>
        <w:numPr>
          <w:ilvl w:val="0"/>
          <w:numId w:val="1060"/>
        </w:numPr>
        <w:pStyle w:val="Compact"/>
      </w:pPr>
      <w:r>
        <w:rPr>
          <w:bCs/>
          <w:b/>
        </w:rPr>
        <w:t xml:space="preserve">In the direct comparison with semaglutide</w:t>
      </w:r>
      <w:r>
        <w:t xml:space="preserve"> </w:t>
      </w:r>
      <w:r>
        <w:t xml:space="preserve">(SURPASS-2), tirzepatide was noninferior and superior for HbA1c at all three doses. However, the trial used semaglutide at a dose of 1 mg; the higher diabetes dose approved later was not the comparator. The frequency of nausea (17–22% vs. 18%) and vomiting (6–10% vs. 8%) was similar; serious adverse events occurred in 5–7% on tirzepatide compared with 3% on semaglutide</w:t>
      </w:r>
      <w:r>
        <w:rPr>
          <w:rStyle w:val="FootnoteReference"/>
        </w:rPr>
        <w:footnoteReference w:id="485"/>
      </w:r>
      <w:r>
        <w:t xml:space="preserve">.</w:t>
      </w:r>
    </w:p>
    <w:p>
      <w:pPr>
        <w:numPr>
          <w:ilvl w:val="0"/>
          <w:numId w:val="1060"/>
        </w:numPr>
        <w:pStyle w:val="Compact"/>
      </w:pPr>
      <w:r>
        <w:rPr>
          <w:bCs/>
          <w:b/>
        </w:rPr>
        <w:t xml:space="preserve">Compared with insulin</w:t>
      </w:r>
      <w:r>
        <w:t xml:space="preserve">, tirzepatide led to greater blood sugar reduction and at the same time to weight loss instead of weight gain. Hypoglycemia (below 54 mg/dl or severe) was considerably less frequent in SURPASS-3: 1–2% versus 7% on insulin degludec</w:t>
      </w:r>
      <w:r>
        <w:rPr>
          <w:rStyle w:val="FootnoteReference"/>
        </w:rPr>
        <w:footnoteReference w:id="486"/>
      </w:r>
      <w:r>
        <w:t xml:space="preserve">.</w:t>
      </w:r>
    </w:p>
    <w:p>
      <w:pPr>
        <w:numPr>
          <w:ilvl w:val="0"/>
          <w:numId w:val="1060"/>
        </w:numPr>
        <w:pStyle w:val="Compact"/>
      </w:pPr>
      <w:r>
        <w:rPr>
          <w:bCs/>
          <w:b/>
        </w:rPr>
        <w:t xml:space="preserve">Children and adolescents:</w:t>
      </w:r>
      <w:r>
        <w:t xml:space="preserve"> </w:t>
      </w:r>
      <w:r>
        <w:t xml:space="preserve">SURPASS-PEDS is one of the few incretin trials in youth-onset type 2 diabetes. The effect was maintained in the open-label extension up to week 52; the side effect profile corresponded to that in adults</w:t>
      </w:r>
      <w:r>
        <w:rPr>
          <w:rStyle w:val="FootnoteReference"/>
        </w:rPr>
        <w:footnoteReference w:id="487"/>
      </w:r>
      <w:r>
        <w:t xml:space="preserve">.</w:t>
      </w:r>
    </w:p>
    <w:p>
      <w:pPr>
        <w:numPr>
          <w:ilvl w:val="0"/>
          <w:numId w:val="1060"/>
        </w:numPr>
        <w:pStyle w:val="Compact"/>
      </w:pPr>
      <w:r>
        <w:rPr>
          <w:bCs/>
          <w:b/>
        </w:rPr>
        <w:t xml:space="preserve">Type 1 diabetes:</w:t>
      </w:r>
      <w:r>
        <w:t xml:space="preserve"> </w:t>
      </w:r>
      <w:r>
        <w:t xml:space="preserve">A small phase 2 trial with 24 adults with type 1 diabetes and obesity showed weight loss of 10.3 kg versus 0.7 kg on placebo after twelve weeks and a 35% lower insulin requirement</w:t>
      </w:r>
      <w:r>
        <w:rPr>
          <w:rStyle w:val="FootnoteReference"/>
        </w:rPr>
        <w:footnoteReference w:id="488"/>
      </w:r>
      <w:r>
        <w:t xml:space="preserve">. Tirzepatide is not approved for type 1 diabetes; larger trials are ongoing (see Outlook).</w:t>
      </w:r>
    </w:p>
    <w:p>
      <w:pPr>
        <w:pStyle w:val="FirstParagraph"/>
      </w:pPr>
      <w:r>
        <w:t xml:space="preserve">A prespecified meta-analysis of all seven SURPASS trials lasting at least 26 weeks (4,887 people on tirzepatide, 2,328 in control groups) found no increased risk of major cardiovascular events (MACE-4, hazard ratio 0.80; 95% confidence interval 0.57–1.11)</w:t>
      </w:r>
      <w:r>
        <w:rPr>
          <w:rStyle w:val="FootnoteReference"/>
        </w:rPr>
        <w:footnoteReference w:id="489"/>
      </w:r>
      <w:r>
        <w:t xml:space="preserve">. This is a statement about safety, not benefit – for that, the outcomes trial SURPASS-CVOT was needed.</w:t>
      </w:r>
    </w:p>
    <w:bookmarkEnd w:id="490"/>
    <w:bookmarkStart w:id="494" w:name="surpass-cvot-cardiovascular-endpoints"/>
    <w:p>
      <w:pPr>
        <w:pStyle w:val="Heading4"/>
      </w:pPr>
      <w:r>
        <w:t xml:space="preserve">SURPASS-CVOT: Cardiovascular Endpoints</w:t>
      </w:r>
    </w:p>
    <w:p>
      <w:pPr>
        <w:pStyle w:val="FirstParagraph"/>
      </w:pPr>
      <w:r>
        <w:t xml:space="preserve">For diabetes medications, the authorities require proof that they do not endanger the heart. SURPASS-CVOT went one step further: instead of placebo, tirzepatide competed against dulaglutide, a GLP-1 medication that had itself reduced cardiovascular events in the REWIND trial. 13,299 people with type 2 diabetes and established atherosclerotic disease were randomized; 13,165 were analyzed</w:t>
      </w:r>
      <w:r>
        <w:rPr>
          <w:rStyle w:val="FootnoteReference"/>
        </w:rPr>
        <w:footnoteReference w:id="491"/>
      </w:r>
      <w:r>
        <w:t xml:space="preserve">.</w:t>
      </w:r>
    </w:p>
    <w:p>
      <w:pPr>
        <w:pStyle w:val="BodyText"/>
      </w:pPr>
      <w:r>
        <w:t xml:space="preserve">The primary endpoint – cardiovascular death, myocardial infarction, or stroke – occurred in 801 people (12.2%) on tirzepatide and in 862 (13.1%) on dulaglutide (hazard ratio 0.92; 95.3% CI 0.83–1.01). Tirzepatide was thus</w:t>
      </w:r>
      <w:r>
        <w:t xml:space="preserve"> </w:t>
      </w:r>
      <w:r>
        <w:rPr>
          <w:bCs/>
          <w:b/>
        </w:rPr>
        <w:t xml:space="preserve">noninferior</w:t>
      </w:r>
      <w:r>
        <w:t xml:space="preserve">; formal superiority was narrowly missed (p = 0.09). Gastrointestinal side effects were more frequent on tirzepatide.</w:t>
      </w:r>
    </w:p>
    <w:p>
      <w:pPr>
        <w:pStyle w:val="BodyText"/>
      </w:pPr>
      <w:r>
        <w:t xml:space="preserve">A post hoc analysis using a broader endpoint of six components – death from any cause, myocardial infarction, stroke, revascularization, hospitalization for heart failure, and kidney events – found events in 23.7% versus 27.4% after a median treatment duration of almost four years (hazard ratio 0.84; 95% CI 0.79–0.90)</w:t>
      </w:r>
      <w:r>
        <w:rPr>
          <w:rStyle w:val="FootnoteReference"/>
        </w:rPr>
        <w:footnoteReference w:id="492"/>
      </w:r>
      <w:r>
        <w:t xml:space="preserve">. Post hoc analyses are hypothesis-generating; they cannot replace a prespecified primary analysis.</w:t>
      </w:r>
    </w:p>
    <w:p>
      <w:pPr>
        <w:pStyle w:val="BodyText"/>
      </w:pPr>
      <w:r>
        <w:t xml:space="preserve">How large the benefit would be compared with</w:t>
      </w:r>
      <w:r>
        <w:t xml:space="preserve"> </w:t>
      </w:r>
      <w:r>
        <w:rPr>
          <w:iCs/>
          <w:i/>
        </w:rPr>
        <w:t xml:space="preserve">no</w:t>
      </w:r>
      <w:r>
        <w:t xml:space="preserve"> </w:t>
      </w:r>
      <w:r>
        <w:t xml:space="preserve">treatment cannot be read directly from a comparison against an effective medication. A prespecified but indirect analysis calculated a</w:t>
      </w:r>
      <w:r>
        <w:t xml:space="preserve"> </w:t>
      </w:r>
      <w:r>
        <w:t xml:space="preserve">“</w:t>
      </w:r>
      <w:r>
        <w:t xml:space="preserve">placebo arm</w:t>
      </w:r>
      <w:r>
        <w:t xml:space="preserve">”</w:t>
      </w:r>
      <w:r>
        <w:t xml:space="preserve"> </w:t>
      </w:r>
      <w:r>
        <w:t xml:space="preserve">from the data of the REWIND trial and arrived at a hazard ratio of 0.72 (95% CI 0.55–0.94) for tirzepatide versus this calculated placebo for cardiovascular death, myocardial infarction, or stroke</w:t>
      </w:r>
      <w:r>
        <w:rPr>
          <w:rStyle w:val="FootnoteReference"/>
        </w:rPr>
        <w:footnoteReference w:id="493"/>
      </w:r>
      <w:r>
        <w:t xml:space="preserve">. Such model calculations are based on assumptions and do not replace a genuine placebo comparison.</w:t>
      </w:r>
    </w:p>
    <w:bookmarkEnd w:id="494"/>
    <w:bookmarkStart w:id="500" w:name="surmount-obesity"/>
    <w:p>
      <w:pPr>
        <w:pStyle w:val="Heading4"/>
      </w:pPr>
      <w:r>
        <w:t xml:space="preserve">SURMOUNT: Obesity</w:t>
      </w:r>
    </w:p>
    <w:p>
      <w:pPr>
        <w:pStyle w:val="FirstParagraph"/>
      </w:pPr>
      <w:r>
        <w:t xml:space="preserve">In the obesity program, tirzepatide was studied in people with a body mass index (BMI) of 30 or higher, or 27 or higher plus a comorbidity, always in addition to diet and exercise counseling.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SURMOUNT-1 (Jastreboff 2022), PMID 35658024</w:t>
            </w:r>
          </w:p>
        </w:tc>
        <w:tc>
          <w:tcPr/>
          <w:p>
            <w:pPr>
              <w:pStyle w:val="Compact"/>
              <w:jc w:val="left"/>
            </w:pPr>
            <w:r>
              <w:t xml:space="preserve">2,539 adults without diabetes, vs. placebo</w:t>
            </w:r>
          </w:p>
        </w:tc>
        <w:tc>
          <w:tcPr/>
          <w:p>
            <w:pPr>
              <w:pStyle w:val="Compact"/>
              <w:jc w:val="left"/>
            </w:pPr>
            <w:r>
              <w:t xml:space="preserve">72 weeks</w:t>
            </w:r>
          </w:p>
        </w:tc>
        <w:tc>
          <w:tcPr/>
          <w:p>
            <w:pPr>
              <w:pStyle w:val="Compact"/>
              <w:jc w:val="left"/>
            </w:pPr>
            <w:r>
              <w:t xml:space="preserve">−15.0 / −19.5 / −20.9% weight (5/10/15 mg) vs. −3.1%</w:t>
            </w:r>
          </w:p>
        </w:tc>
      </w:tr>
      <w:tr>
        <w:tc>
          <w:tcPr/>
          <w:p>
            <w:pPr>
              <w:pStyle w:val="Compact"/>
              <w:jc w:val="left"/>
            </w:pPr>
            <w:r>
              <w:t xml:space="preserve">SURMOUNT-2 (Garvey 2023), PMID 37385275</w:t>
            </w:r>
          </w:p>
        </w:tc>
        <w:tc>
          <w:tcPr/>
          <w:p>
            <w:pPr>
              <w:pStyle w:val="Compact"/>
              <w:jc w:val="left"/>
            </w:pPr>
            <w:r>
              <w:t xml:space="preserve">938 adults with type 2 diabetes, vs. placebo</w:t>
            </w:r>
          </w:p>
        </w:tc>
        <w:tc>
          <w:tcPr/>
          <w:p>
            <w:pPr>
              <w:pStyle w:val="Compact"/>
              <w:jc w:val="left"/>
            </w:pPr>
            <w:r>
              <w:t xml:space="preserve">72 weeks</w:t>
            </w:r>
          </w:p>
        </w:tc>
        <w:tc>
          <w:tcPr/>
          <w:p>
            <w:pPr>
              <w:pStyle w:val="Compact"/>
              <w:jc w:val="left"/>
            </w:pPr>
            <w:r>
              <w:t xml:space="preserve">−12.8 / −14.7% vs. −3.2%</w:t>
            </w:r>
          </w:p>
        </w:tc>
      </w:tr>
      <w:tr>
        <w:tc>
          <w:tcPr/>
          <w:p>
            <w:pPr>
              <w:pStyle w:val="Compact"/>
              <w:jc w:val="left"/>
            </w:pPr>
            <w:r>
              <w:t xml:space="preserve">SURMOUNT-3 (Wadden 2023), PMID 37840095</w:t>
            </w:r>
          </w:p>
        </w:tc>
        <w:tc>
          <w:tcPr/>
          <w:p>
            <w:pPr>
              <w:pStyle w:val="Compact"/>
              <w:jc w:val="left"/>
            </w:pPr>
            <w:r>
              <w:t xml:space="preserve">579 adults after a successful 12-week lifestyle intervention</w:t>
            </w:r>
          </w:p>
        </w:tc>
        <w:tc>
          <w:tcPr/>
          <w:p>
            <w:pPr>
              <w:pStyle w:val="Compact"/>
              <w:jc w:val="left"/>
            </w:pPr>
            <w:r>
              <w:t xml:space="preserve">72 weeks</w:t>
            </w:r>
          </w:p>
        </w:tc>
        <w:tc>
          <w:tcPr/>
          <w:p>
            <w:pPr>
              <w:pStyle w:val="Compact"/>
              <w:jc w:val="left"/>
            </w:pPr>
            <w:r>
              <w:t xml:space="preserve">additional −18.4% vs. +2.5%</w:t>
            </w:r>
          </w:p>
        </w:tc>
      </w:tr>
      <w:tr>
        <w:tc>
          <w:tcPr/>
          <w:p>
            <w:pPr>
              <w:pStyle w:val="Compact"/>
              <w:jc w:val="left"/>
            </w:pPr>
            <w:r>
              <w:t xml:space="preserve">SURMOUNT-4 (Aronne 2024), PMID 38078870</w:t>
            </w:r>
          </w:p>
        </w:tc>
        <w:tc>
          <w:tcPr/>
          <w:p>
            <w:pPr>
              <w:pStyle w:val="Compact"/>
              <w:jc w:val="left"/>
            </w:pPr>
            <w:r>
              <w:t xml:space="preserve">670 adults after 36 weeks of tirzepatide, continuation vs. discontinuation</w:t>
            </w:r>
          </w:p>
        </w:tc>
        <w:tc>
          <w:tcPr/>
          <w:p>
            <w:pPr>
              <w:pStyle w:val="Compact"/>
              <w:jc w:val="left"/>
            </w:pPr>
            <w:r>
              <w:t xml:space="preserve">52 weeks (after lead-in)</w:t>
            </w:r>
          </w:p>
        </w:tc>
        <w:tc>
          <w:tcPr/>
          <w:p>
            <w:pPr>
              <w:pStyle w:val="Compact"/>
              <w:jc w:val="left"/>
            </w:pPr>
            <w:r>
              <w:t xml:space="preserve">−5.5% continued vs. +14.0% regain</w:t>
            </w:r>
          </w:p>
        </w:tc>
      </w:tr>
      <w:tr>
        <w:tc>
          <w:tcPr/>
          <w:p>
            <w:pPr>
              <w:pStyle w:val="Compact"/>
              <w:jc w:val="left"/>
            </w:pPr>
            <w:r>
              <w:t xml:space="preserve">SURMOUNT-5 (Aronne 2025), PMID 40353578</w:t>
            </w:r>
          </w:p>
        </w:tc>
        <w:tc>
          <w:tcPr/>
          <w:p>
            <w:pPr>
              <w:pStyle w:val="Compact"/>
              <w:jc w:val="left"/>
            </w:pPr>
            <w:r>
              <w:t xml:space="preserve">751 adults without diabetes, open-label vs. semaglutide 2.4 mg</w:t>
            </w:r>
          </w:p>
        </w:tc>
        <w:tc>
          <w:tcPr/>
          <w:p>
            <w:pPr>
              <w:pStyle w:val="Compact"/>
              <w:jc w:val="left"/>
            </w:pPr>
            <w:r>
              <w:t xml:space="preserve">72 weeks</w:t>
            </w:r>
          </w:p>
        </w:tc>
        <w:tc>
          <w:tcPr/>
          <w:p>
            <w:pPr>
              <w:pStyle w:val="Compact"/>
              <w:jc w:val="left"/>
            </w:pPr>
            <w:r>
              <w:t xml:space="preserve">−20.2% vs. −13.7%</w:t>
            </w:r>
          </w:p>
        </w:tc>
      </w:tr>
      <w:tr>
        <w:tc>
          <w:tcPr/>
          <w:p>
            <w:pPr>
              <w:pStyle w:val="Compact"/>
              <w:jc w:val="left"/>
            </w:pPr>
            <w:r>
              <w:t xml:space="preserve">SURMOUNT-1, 3-year data (Jastreboff 2025), PMID 39536238</w:t>
            </w:r>
          </w:p>
        </w:tc>
        <w:tc>
          <w:tcPr/>
          <w:p>
            <w:pPr>
              <w:pStyle w:val="Compact"/>
              <w:jc w:val="left"/>
            </w:pPr>
            <w:r>
              <w:t xml:space="preserve">1,032 adults with obesity and prediabetes</w:t>
            </w:r>
          </w:p>
        </w:tc>
        <w:tc>
          <w:tcPr/>
          <w:p>
            <w:pPr>
              <w:pStyle w:val="Compact"/>
              <w:jc w:val="left"/>
            </w:pPr>
            <w:r>
              <w:t xml:space="preserve">176 weeks</w:t>
            </w:r>
          </w:p>
        </w:tc>
        <w:tc>
          <w:tcPr/>
          <w:p>
            <w:pPr>
              <w:pStyle w:val="Compact"/>
              <w:jc w:val="left"/>
            </w:pPr>
            <w:r>
              <w:t xml:space="preserve">−12.3 to −19.7% vs. −1.3%; type 2 diabetes 1.3% vs. 13.3%</w:t>
            </w:r>
          </w:p>
        </w:tc>
      </w:tr>
    </w:tbl>
    <w:p>
      <w:pPr>
        <w:pStyle w:val="BodyText"/>
      </w:pPr>
      <w:r>
        <w:rPr>
          <w:bCs/>
          <w:b/>
        </w:rPr>
        <w:t xml:space="preserve">SURMOUNT-1</w:t>
      </w:r>
      <w:r>
        <w:t xml:space="preserve"> </w:t>
      </w:r>
      <w:r>
        <w:t xml:space="preserve">was the trial that made tirzepatide known as an obesity medication. With an average baseline weight of 104.8 kg, participants at the highest dose lost on average 20.9% of their body weight. 57% in the 15 mg group achieved at least 20% weight loss, compared with 3% on placebo. Because of side effects, 4.3–7.1% on tirzepatide and 2.6% on placebo discontinued treatment</w:t>
      </w:r>
      <w:r>
        <w:rPr>
          <w:rStyle w:val="FootnoteReference"/>
        </w:rPr>
        <w:footnoteReference w:id="495"/>
      </w:r>
      <w:r>
        <w:t xml:space="preserve">.</w:t>
      </w:r>
    </w:p>
    <w:p>
      <w:pPr>
        <w:pStyle w:val="BodyText"/>
      </w:pPr>
      <w:r>
        <w:rPr>
          <w:bCs/>
          <w:b/>
        </w:rPr>
        <w:t xml:space="preserve">People with type 2 diabetes</w:t>
      </w:r>
      <w:r>
        <w:t xml:space="preserve"> </w:t>
      </w:r>
      <w:r>
        <w:t xml:space="preserve">lose less weight than people without diabetes with all incretin medications. SURMOUNT-2 showed this as well: the difference from placebo was 9.6 and 11.6 percentage points, respectively</w:t>
      </w:r>
      <w:r>
        <w:rPr>
          <w:rStyle w:val="FootnoteReference"/>
        </w:rPr>
        <w:footnoteReference w:id="496"/>
      </w:r>
      <w:r>
        <w:t xml:space="preserve">.</w:t>
      </w:r>
    </w:p>
    <w:p>
      <w:pPr>
        <w:pStyle w:val="BodyText"/>
      </w:pPr>
      <w:r>
        <w:rPr>
          <w:bCs/>
          <w:b/>
        </w:rPr>
        <w:t xml:space="preserve">What happens after discontinuation?</w:t>
      </w:r>
      <w:r>
        <w:t xml:space="preserve"> </w:t>
      </w:r>
      <w:r>
        <w:t xml:space="preserve">SURMOUNT-4 answered this question with a randomized withdrawal design: all participants first received tirzepatide for 36 weeks and lost on average 20.9%. Then it was determined by lot who would continue to receive tirzepatide and who would unknowingly receive placebo. Over the following 52 weeks, the placebo group regained 14.0%, while the tirzepatide group lost a further 5.5%. Over the entire study period, weight loss was 25.3% versus 9.9%</w:t>
      </w:r>
      <w:r>
        <w:rPr>
          <w:rStyle w:val="FootnoteReference"/>
        </w:rPr>
        <w:footnoteReference w:id="497"/>
      </w:r>
      <w:r>
        <w:t xml:space="preserve">. The authors’ message: obesity behaves like a chronic disease whose treatment usually has to be long term.</w:t>
      </w:r>
    </w:p>
    <w:p>
      <w:pPr>
        <w:pStyle w:val="BodyText"/>
      </w:pPr>
      <w:r>
        <w:rPr>
          <w:bCs/>
          <w:b/>
        </w:rPr>
        <w:t xml:space="preserve">Lower maintenance dose:</w:t>
      </w:r>
      <w:r>
        <w:t xml:space="preserve"> </w:t>
      </w:r>
      <w:r>
        <w:t xml:space="preserve">Whether one can switch to a lower dose after losing weight was investigated in SURMOUNT-MAINTAIN with 378 randomized people in the USA. After 60 weeks at the maximum dose, they were allocated to three groups. At week 112, weight loss since baseline was −21.9% (maximum dose continued), −16.6% (reduction to 5 mg), and −9.9% (placebo). Rescue therapy because of a regain of at least 50% was needed by 8%, 25%, and 67%, respectively</w:t>
      </w:r>
      <w:r>
        <w:rPr>
          <w:rStyle w:val="FootnoteReference"/>
        </w:rPr>
        <w:footnoteReference w:id="498"/>
      </w:r>
      <w:r>
        <w:t xml:space="preserve">. Dose reduction is therefore an intermediate solution with very variable individual success.</w:t>
      </w:r>
    </w:p>
    <w:p>
      <w:pPr>
        <w:pStyle w:val="BodyText"/>
      </w:pPr>
      <w:r>
        <w:rPr>
          <w:bCs/>
          <w:b/>
        </w:rPr>
        <w:t xml:space="preserve">Diabetes prevention:</w:t>
      </w:r>
      <w:r>
        <w:t xml:space="preserve"> </w:t>
      </w:r>
      <w:r>
        <w:t xml:space="preserve">In the three-year analysis of SURMOUNT-1 in people with prediabetes (a precursor of diabetes), 1.3% on tirzepatide and 13.3% on placebo developed type 2 diabetes. Even 17 weeks after discontinuation, the difference remained marked (2.4% vs. 13.7%). No new safety signals emerged during these three years</w:t>
      </w:r>
      <w:r>
        <w:rPr>
          <w:rStyle w:val="FootnoteReference"/>
        </w:rPr>
        <w:footnoteReference w:id="499"/>
      </w:r>
      <w:r>
        <w:t xml:space="preserve">.</w:t>
      </w:r>
    </w:p>
    <w:bookmarkEnd w:id="500"/>
    <w:bookmarkStart w:id="503" w:name="X96f7523afffc9ebde65080465f8509ac16dcdf8"/>
    <w:p>
      <w:pPr>
        <w:pStyle w:val="Heading4"/>
      </w:pPr>
      <w:r>
        <w:t xml:space="preserve">SURMOUNT-5: Tirzepatide Versus Semaglutide</w:t>
      </w:r>
    </w:p>
    <w:p>
      <w:pPr>
        <w:pStyle w:val="FirstParagraph"/>
      </w:pPr>
      <w:r>
        <w:t xml:space="preserve">The direct comparison in obesity without diabetes that many had been waiting for was delivered by SURMOUNT-5</w:t>
      </w:r>
      <w:r>
        <w:rPr>
          <w:rStyle w:val="FootnoteReference"/>
        </w:rPr>
        <w:footnoteReference w:id="501"/>
      </w:r>
      <w:r>
        <w:t xml:space="preserve">. 751 adults received, open-label (i.e., without blinding), the highest tolerated dose of either tirzepatide (10 or 15 mg) or semaglutide (1.7 or 2.4 mg). After 72 weeks:</w:t>
      </w:r>
    </w:p>
    <w:p>
      <w:pPr>
        <w:numPr>
          <w:ilvl w:val="0"/>
          <w:numId w:val="1061"/>
        </w:numPr>
        <w:pStyle w:val="Compact"/>
      </w:pPr>
      <w:r>
        <w:t xml:space="preserve">Weight change: −20.2% with tirzepatide versus −13.7% with semaglutide.</w:t>
      </w:r>
    </w:p>
    <w:p>
      <w:pPr>
        <w:numPr>
          <w:ilvl w:val="0"/>
          <w:numId w:val="1061"/>
        </w:numPr>
        <w:pStyle w:val="Compact"/>
      </w:pPr>
      <w:r>
        <w:t xml:space="preserve">Waist circumference: −18.4 cm versus −13.0 cm.</w:t>
      </w:r>
    </w:p>
    <w:p>
      <w:pPr>
        <w:numPr>
          <w:ilvl w:val="0"/>
          <w:numId w:val="1061"/>
        </w:numPr>
        <w:pStyle w:val="Compact"/>
      </w:pPr>
      <w:r>
        <w:t xml:space="preserve">More participants on tirzepatide reached each of the thresholds of 10, 15, 20, and 25%.</w:t>
      </w:r>
    </w:p>
    <w:p>
      <w:pPr>
        <w:numPr>
          <w:ilvl w:val="0"/>
          <w:numId w:val="1061"/>
        </w:numPr>
        <w:pStyle w:val="Compact"/>
      </w:pPr>
      <w:r>
        <w:t xml:space="preserve">Side effects in both groups were predominantly gastrointestinal complaints, mostly mild to moderate and mainly during the dose-escalation phase.</w:t>
      </w:r>
    </w:p>
    <w:p>
      <w:pPr>
        <w:pStyle w:val="FirstParagraph"/>
      </w:pPr>
      <w:r>
        <w:t xml:space="preserve">A follow-up analysis showed that 44% on tirzepatide and 21% on semaglutide had already lost at least 15% by week 24 (</w:t>
      </w:r>
      <w:r>
        <w:t xml:space="preserve">“</w:t>
      </w:r>
      <w:r>
        <w:t xml:space="preserve">early responders</w:t>
      </w:r>
      <w:r>
        <w:t xml:space="preserve">”</w:t>
      </w:r>
      <w:r>
        <w:t xml:space="preserve">). These had somewhat more gastrointestinal and biliary events but did not discontinue treatment more often</w:t>
      </w:r>
      <w:r>
        <w:rPr>
          <w:rStyle w:val="FootnoteReference"/>
        </w:rPr>
        <w:footnoteReference w:id="502"/>
      </w:r>
      <w:r>
        <w:t xml:space="preserve">.</w:t>
      </w:r>
    </w:p>
    <w:p>
      <w:pPr>
        <w:pStyle w:val="BodyText"/>
      </w:pPr>
      <w:r>
        <w:t xml:space="preserve">For context: SURMOUNT-5 was funded by the manufacturer of tirzepatide and conducted open-label. Nevertheless, the difference is large enough that it can hardly be explained by these limitations alone. A comparison of all GLP-1 medications can be found in Part III.</w:t>
      </w:r>
    </w:p>
    <w:bookmarkEnd w:id="503"/>
    <w:bookmarkStart w:id="506" w:name="heart-failure-summit"/>
    <w:p>
      <w:pPr>
        <w:pStyle w:val="Heading4"/>
      </w:pPr>
      <w:r>
        <w:t xml:space="preserve">Heart Failure: SUMMIT</w:t>
      </w:r>
    </w:p>
    <w:p>
      <w:pPr>
        <w:pStyle w:val="FirstParagraph"/>
      </w:pPr>
      <w:r>
        <w:t xml:space="preserve">Heart failure with preserved ejection fraction (HFpEF) is a common form of heart failure in which the heart pumps out normally but fills poorly. Obesity is an important driver. In SUMMIT, 731 people with HFpEF and a BMI of 30 or higher were randomized to tirzepatide or placebo and followed for a median of 104 weeks</w:t>
      </w:r>
      <w:r>
        <w:rPr>
          <w:rStyle w:val="FootnoteReference"/>
        </w:rPr>
        <w:footnoteReference w:id="504"/>
      </w:r>
      <w:r>
        <w:t xml:space="preserve">.</w:t>
      </w:r>
    </w:p>
    <w:p>
      <w:pPr>
        <w:numPr>
          <w:ilvl w:val="0"/>
          <w:numId w:val="1062"/>
        </w:numPr>
        <w:pStyle w:val="Compact"/>
      </w:pPr>
      <w:r>
        <w:t xml:space="preserve">Cardiovascular death or worsening heart failure: 9.9% on tirzepatide vs. 15.3% on placebo (hazard ratio 0.62; 95% CI 0.41–0.95).</w:t>
      </w:r>
    </w:p>
    <w:p>
      <w:pPr>
        <w:numPr>
          <w:ilvl w:val="0"/>
          <w:numId w:val="1062"/>
        </w:numPr>
        <w:pStyle w:val="Compact"/>
      </w:pPr>
      <w:r>
        <w:t xml:space="preserve">This difference was due to fewer worsening events (8.0% vs. 14.2%). Cardiovascular deaths were rare and numerically even somewhat more frequent on tirzepatide (2.2% vs. 1.4%), with a very wide range of uncertainty.</w:t>
      </w:r>
    </w:p>
    <w:p>
      <w:pPr>
        <w:numPr>
          <w:ilvl w:val="0"/>
          <w:numId w:val="1062"/>
        </w:numPr>
        <w:pStyle w:val="Compact"/>
      </w:pPr>
      <w:r>
        <w:t xml:space="preserve">Quality of life (KCCQ questionnaire) improved more: +19.5 versus +12.7 points.</w:t>
      </w:r>
    </w:p>
    <w:p>
      <w:pPr>
        <w:numPr>
          <w:ilvl w:val="0"/>
          <w:numId w:val="1062"/>
        </w:numPr>
        <w:pStyle w:val="Compact"/>
      </w:pPr>
      <w:r>
        <w:t xml:space="preserve">Discontinuations because of side effects: 6.3% vs. 1.4%.</w:t>
      </w:r>
    </w:p>
    <w:p>
      <w:pPr>
        <w:pStyle w:val="FirstParagraph"/>
      </w:pPr>
      <w:r>
        <w:t xml:space="preserve">A cardiac MRI substudy showed a reduction in left ventricular muscle mass and in the fat tissue around the heart</w:t>
      </w:r>
      <w:r>
        <w:rPr>
          <w:rStyle w:val="FootnoteReference"/>
        </w:rPr>
        <w:footnoteReference w:id="505"/>
      </w:r>
      <w:r>
        <w:t xml:space="preserve">. With 731 people and 92 endpoint events, SUMMIT is a comparatively small outcomes trial; the results are encouraging but not as robust as data from trials with thousands of participants.</w:t>
      </w:r>
    </w:p>
    <w:bookmarkEnd w:id="506"/>
    <w:bookmarkStart w:id="508" w:name="obstructive-sleep-apnea-surmount-osa"/>
    <w:p>
      <w:pPr>
        <w:pStyle w:val="Heading4"/>
      </w:pPr>
      <w:r>
        <w:t xml:space="preserve">Obstructive Sleep Apnea: SURMOUNT-OSA</w:t>
      </w:r>
    </w:p>
    <w:p>
      <w:pPr>
        <w:pStyle w:val="FirstParagraph"/>
      </w:pPr>
      <w:r>
        <w:t xml:space="preserve">In obstructive sleep apnea, the upper airway repeatedly collapses during sleep; breathing stops (apnea) or becomes shallow (hypopnea). The apnea-hypopnea index (AHI) counts these events per hour; from 30 upward, sleep apnea is considered severe. Overweight is a major risk factor.</w:t>
      </w:r>
    </w:p>
    <w:p>
      <w:pPr>
        <w:pStyle w:val="BodyText"/>
      </w:pPr>
      <w:r>
        <w:t xml:space="preserve">SURMOUNT-OSA consisted of two parallel trials in people with obesity and moderate to severe sleep apnea: without positive airway pressure therapy (trial 1) and with it (CPAP, trial 2). Baseline AHI was about 50 events per hour. After 52 weeks</w:t>
      </w:r>
      <w:r>
        <w:rPr>
          <w:rStyle w:val="FootnoteReference"/>
        </w:rPr>
        <w:footnoteReference w:id="507"/>
      </w:r>
      <w:r>
        <w:t xml:space="preserve">:</w:t>
      </w:r>
    </w:p>
    <w:p>
      <w:pPr>
        <w:numPr>
          <w:ilvl w:val="0"/>
          <w:numId w:val="1063"/>
        </w:numPr>
        <w:pStyle w:val="Compact"/>
      </w:pPr>
      <w:r>
        <w:t xml:space="preserve">Trial 1: AHI −25.3 events/hour with tirzepatide vs. −5.3 with placebo.</w:t>
      </w:r>
    </w:p>
    <w:p>
      <w:pPr>
        <w:numPr>
          <w:ilvl w:val="0"/>
          <w:numId w:val="1063"/>
        </w:numPr>
        <w:pStyle w:val="Compact"/>
      </w:pPr>
      <w:r>
        <w:t xml:space="preserve">Trial 2: AHI −29.3 vs. −5.5.</w:t>
      </w:r>
    </w:p>
    <w:p>
      <w:pPr>
        <w:numPr>
          <w:ilvl w:val="0"/>
          <w:numId w:val="1063"/>
        </w:numPr>
        <w:pStyle w:val="Compact"/>
      </w:pPr>
      <w:r>
        <w:t xml:space="preserve">In addition, hypoxic burden, inflammatory markers (hsCRP), blood pressure, and sleep complaints reported by participants improved.</w:t>
      </w:r>
    </w:p>
    <w:p>
      <w:pPr>
        <w:pStyle w:val="FirstParagraph"/>
      </w:pPr>
      <w:r>
        <w:t xml:space="preserve">On this basis, tirzepatide was approved in the USA as the first medication for treating sleep apnea in obesity. It does not automatically replace a breathing mask: even after the reduction, AHI in many participants was still in the range requiring treatment. The decision on therapy belongs in the hands of sleep medicine specialists.</w:t>
      </w:r>
    </w:p>
    <w:bookmarkEnd w:id="508"/>
    <w:bookmarkStart w:id="510" w:name="fatty-liver-disease-mash"/>
    <w:p>
      <w:pPr>
        <w:pStyle w:val="Heading4"/>
      </w:pPr>
      <w:r>
        <w:t xml:space="preserve">Fatty Liver Disease (MASH)</w:t>
      </w:r>
    </w:p>
    <w:p>
      <w:pPr>
        <w:pStyle w:val="FirstParagraph"/>
      </w:pPr>
      <w:r>
        <w:t xml:space="preserve">Metabolic dysfunction-associated steatohepatitis (MASH, formerly NASH) is an inflammatory form of fatty liver disease that can progress to scarring (fibrosis) and cirrhosis. In the phase 2 trial SYNERGY-NASH, 190 people with biopsy-confirmed MASH and moderate to severe fibrosis received tirzepatide or placebo. After 52 weeks, MASH resolved without worsening of fibrosis in 44–62% on tirzepatide versus 10% on placebo; an improvement in fibrosis of at least one stage was seen in 51–55% versus 30%</w:t>
      </w:r>
      <w:r>
        <w:rPr>
          <w:rStyle w:val="FootnoteReference"/>
        </w:rPr>
        <w:footnoteReference w:id="509"/>
      </w:r>
      <w:r>
        <w:t xml:space="preserve">. A phase 3 trial is ongoing (see Outlook).</w:t>
      </w:r>
    </w:p>
    <w:bookmarkEnd w:id="510"/>
    <w:bookmarkStart w:id="513" w:name="other-areas-of-use-and-meta-analyses"/>
    <w:p>
      <w:pPr>
        <w:pStyle w:val="Heading4"/>
      </w:pPr>
      <w:r>
        <w:t xml:space="preserve">Other Areas of Use and Meta-Analyses</w:t>
      </w:r>
    </w:p>
    <w:p>
      <w:pPr>
        <w:pStyle w:val="FirstParagraph"/>
      </w:pPr>
      <w:r>
        <w:t xml:space="preserve">The literature on tirzepatide is growing very rapidly. In addition to the large programs, there are studies on psoriasis and psoriatic arthritis in combination with biologics: in an open-label phase 3b trial with 274 people, 27.1% on ixekizumab plus tirzepatide simultaneously achieved complete clearance of skin lesions (PASI 100) and at least 10% weight loss, compared with 5.8% on ixekizumab alone</w:t>
      </w:r>
      <w:r>
        <w:rPr>
          <w:rStyle w:val="FootnoteReference"/>
        </w:rPr>
        <w:footnoteReference w:id="511"/>
      </w:r>
      <w:r>
        <w:t xml:space="preserve">. Further work addresses polycystic ovary syndrome, kidney function, and Asia-specific populations (SURMOUNT-J, SURMOUNT-CN, SURPASS-AP-Combo). A complete presentation of all individual studies would go beyond the scope of this book; they are listed in the index of studies in the appendix.</w:t>
      </w:r>
    </w:p>
    <w:p>
      <w:pPr>
        <w:pStyle w:val="BodyText"/>
      </w:pPr>
      <w:r>
        <w:t xml:space="preserve">On body composition: in a DXA substudy of SURMOUNT-1 with 160 people, about 75% of the weight lost consisted of fat and about 25% of fat-free mass (which includes muscle) – in the same ratio as in the placebo group</w:t>
      </w:r>
      <w:r>
        <w:rPr>
          <w:rStyle w:val="FootnoteReference"/>
        </w:rPr>
        <w:footnoteReference w:id="512"/>
      </w:r>
      <w:r>
        <w:t xml:space="preserve">. The concern about muscle loss is therefore justified, but it is not an effect specific to tirzepatide; rather, it is typical of any substantial weight loss.</w:t>
      </w:r>
    </w:p>
    <w:bookmarkEnd w:id="513"/>
    <w:bookmarkEnd w:id="514"/>
    <w:bookmarkStart w:id="518" w:name="animal-and-laboratory-studies-4"/>
    <w:p>
      <w:pPr>
        <w:pStyle w:val="Heading3"/>
      </w:pPr>
      <w:r>
        <w:t xml:space="preserve">Animal and laboratory studies</w:t>
      </w:r>
    </w:p>
    <w:p>
      <w:pPr>
        <w:pStyle w:val="FirstParagraph"/>
      </w:pPr>
      <w:r>
        <w:t xml:space="preserve">The preclinical development is unusually well published. In cell cultures, tirzepatide activates both receptors; in mice, it lowered weight and food intake more than a pure GLP-1 agonist</w:t>
      </w:r>
      <w:r>
        <w:rPr>
          <w:rStyle w:val="FootnoteReference"/>
        </w:rPr>
        <w:footnoteReference w:id="515"/>
      </w:r>
      <w:r>
        <w:t xml:space="preserve">. Studies in mice without a functioning GLP-1 receptor showed that the GIP component improves insulin sensitivity in adipose tissue</w:t>
      </w:r>
      <w:r>
        <w:rPr>
          <w:rStyle w:val="FootnoteReference"/>
        </w:rPr>
        <w:footnoteReference w:id="516"/>
      </w:r>
      <w:r>
        <w:t xml:space="preserve">. Studies on distribution and breakdown in the body are available in humans, rats, and monkeys: the molecule is metabolized by cleavage of the peptide backbone and breakdown of the fatty acid chain; in humans, about 66% of the labeled substance was found in urine and about 33% in feces, whereas unchanged tirzepatide was found in neither</w:t>
      </w:r>
      <w:r>
        <w:rPr>
          <w:rStyle w:val="FootnoteReference"/>
        </w:rPr>
        <w:footnoteReference w:id="517"/>
      </w:r>
      <w:r>
        <w:t xml:space="preserve">.</w:t>
      </w:r>
    </w:p>
    <w:p>
      <w:pPr>
        <w:pStyle w:val="BodyText"/>
      </w:pPr>
      <w:r>
        <w:t xml:space="preserve">As with all long-acting GLP-1 agonists, tumors of the thyroid C cells occurred in long-term studies in rodents. Whether this finding is transferable to humans is unclear, because rodents carry considerably more GLP-1 receptors on these cells. This animal finding is the basis for the warnings in the prescribing information (see below).</w:t>
      </w:r>
    </w:p>
    <w:bookmarkEnd w:id="518"/>
    <w:bookmarkStart w:id="527" w:name="risks-and-side-effects-4"/>
    <w:p>
      <w:pPr>
        <w:pStyle w:val="Heading3"/>
      </w:pPr>
      <w:r>
        <w:t xml:space="preserve">Risks and side effects</w:t>
      </w:r>
    </w:p>
    <w:p>
      <w:pPr>
        <w:pStyle w:val="FirstParagraph"/>
      </w:pPr>
      <w:r>
        <w:rPr>
          <w:bCs/>
          <w:b/>
        </w:rPr>
        <w:t xml:space="preserve">Established from studies:</w:t>
      </w:r>
    </w:p>
    <w:p>
      <w:pPr>
        <w:numPr>
          <w:ilvl w:val="0"/>
          <w:numId w:val="1064"/>
        </w:numPr>
        <w:pStyle w:val="Compact"/>
      </w:pPr>
      <w:r>
        <w:rPr>
          <w:bCs/>
          <w:b/>
        </w:rPr>
        <w:t xml:space="preserve">Gastrointestinal complaints</w:t>
      </w:r>
      <w:r>
        <w:t xml:space="preserve"> </w:t>
      </w:r>
      <w:r>
        <w:t xml:space="preserve">are by far the most common: nausea, diarrhea, vomiting, constipation, decreased appetite. In SURPASS-3, 12–24% reported nausea, 15–17% diarrhea, and 6–10% vomiting</w:t>
      </w:r>
      <w:r>
        <w:rPr>
          <w:rStyle w:val="FootnoteReference"/>
        </w:rPr>
        <w:footnoteReference w:id="519"/>
      </w:r>
      <w:r>
        <w:t xml:space="preserve">. The complaints occur mainly during the dose-escalation phase and usually subside. They are the most common reason for discontinuing therapy.</w:t>
      </w:r>
    </w:p>
    <w:p>
      <w:pPr>
        <w:numPr>
          <w:ilvl w:val="0"/>
          <w:numId w:val="1064"/>
        </w:numPr>
        <w:pStyle w:val="Compact"/>
      </w:pPr>
      <w:r>
        <w:rPr>
          <w:bCs/>
          <w:b/>
        </w:rPr>
        <w:t xml:space="preserve">Gallbladder and bile ducts:</w:t>
      </w:r>
      <w:r>
        <w:t xml:space="preserve"> </w:t>
      </w:r>
      <w:r>
        <w:t xml:space="preserve">A meta-analysis of nine trials with 9,871 participants found an increased risk for the composite category of gallbladder or biliary disease compared with placebo or insulin (relative risk 1.97; 95% CI 1.14–3.42), but no statistically significant increase for pancreatitis</w:t>
      </w:r>
      <w:r>
        <w:rPr>
          <w:rStyle w:val="FootnoteReference"/>
        </w:rPr>
        <w:footnoteReference w:id="520"/>
      </w:r>
      <w:r>
        <w:t xml:space="preserve">. Rapid weight loss itself promotes gallstones.</w:t>
      </w:r>
    </w:p>
    <w:p>
      <w:pPr>
        <w:numPr>
          <w:ilvl w:val="0"/>
          <w:numId w:val="1064"/>
        </w:numPr>
        <w:pStyle w:val="Compact"/>
      </w:pPr>
      <w:r>
        <w:rPr>
          <w:bCs/>
          <w:b/>
        </w:rPr>
        <w:t xml:space="preserve">Hypoglycemia:</w:t>
      </w:r>
      <w:r>
        <w:t xml:space="preserve"> </w:t>
      </w:r>
      <w:r>
        <w:t xml:space="preserve">rare on its own. The risk increases when insulin or sulfonylureas are taken at the same time – in SURPASS-4, hypoglycemia without a sulfonylurea occurred in 1–3%</w:t>
      </w:r>
      <w:r>
        <w:rPr>
          <w:rStyle w:val="FootnoteReference"/>
        </w:rPr>
        <w:footnoteReference w:id="521"/>
      </w:r>
      <w:r>
        <w:t xml:space="preserve">.</w:t>
      </w:r>
    </w:p>
    <w:p>
      <w:pPr>
        <w:numPr>
          <w:ilvl w:val="0"/>
          <w:numId w:val="1064"/>
        </w:numPr>
        <w:pStyle w:val="Compact"/>
      </w:pPr>
      <w:r>
        <w:rPr>
          <w:bCs/>
          <w:b/>
        </w:rPr>
        <w:t xml:space="preserve">Mental health:</w:t>
      </w:r>
      <w:r>
        <w:t xml:space="preserve"> </w:t>
      </w:r>
      <w:r>
        <w:t xml:space="preserve">A follow-up analysis of SURMOUNT-1 to -3 with 4,056 people without known serious mental illness found no indication of increased depression; suicidal thoughts were reported by 0.6% in both groups</w:t>
      </w:r>
      <w:r>
        <w:rPr>
          <w:rStyle w:val="FootnoteReference"/>
        </w:rPr>
        <w:footnoteReference w:id="522"/>
      </w:r>
      <w:r>
        <w:t xml:space="preserve">. Sufficient data are lacking for people with serious mental illness.</w:t>
      </w:r>
    </w:p>
    <w:p>
      <w:pPr>
        <w:numPr>
          <w:ilvl w:val="0"/>
          <w:numId w:val="1064"/>
        </w:numPr>
        <w:pStyle w:val="Compact"/>
      </w:pPr>
      <w:r>
        <w:rPr>
          <w:bCs/>
          <w:b/>
        </w:rPr>
        <w:t xml:space="preserve">Loss of fat-free mass:</w:t>
      </w:r>
      <w:r>
        <w:t xml:space="preserve"> </w:t>
      </w:r>
      <w:r>
        <w:t xml:space="preserve">about a quarter of the weight lost</w:t>
      </w:r>
      <w:r>
        <w:rPr>
          <w:rStyle w:val="FootnoteReference"/>
        </w:rPr>
        <w:footnoteReference w:id="523"/>
      </w:r>
      <w:r>
        <w:t xml:space="preserve">. Strength training and adequate protein intake are recommended by experts as countermeasures; hard study data on the functional benefit are limited.</w:t>
      </w:r>
    </w:p>
    <w:p>
      <w:pPr>
        <w:pStyle w:val="FirstParagraph"/>
      </w:pPr>
      <w:r>
        <w:rPr>
          <w:bCs/>
          <w:b/>
        </w:rPr>
        <w:t xml:space="preserve">From post-marketing data:</w:t>
      </w:r>
      <w:r>
        <w:t xml:space="preserve"> </w:t>
      </w:r>
      <w:r>
        <w:t xml:space="preserve">An analysis of the US adverse event database FAERS found disproportionately many reports of nausea, pancreatitis, diabetic retinal disease, and medullary thyroid cancer – but no increased risk compared with other GLP-1 agonists</w:t>
      </w:r>
      <w:r>
        <w:rPr>
          <w:rStyle w:val="FootnoteReference"/>
        </w:rPr>
        <w:footnoteReference w:id="524"/>
      </w:r>
      <w:r>
        <w:t xml:space="preserve">. Such reporting data show signals, not causes: known risks are reported more often. In a large cohort study with more than 46,000 pairs in routine care, the risk of serious gastrointestinal events (pancreatitis, biliary disease, bowel obstruction, gastroparesis, severe constipation) did not differ substantially between tirzepatide and semaglutide (hazard ratio 1.07; 95% CI 0.90–1.26)</w:t>
      </w:r>
      <w:r>
        <w:rPr>
          <w:rStyle w:val="FootnoteReference"/>
        </w:rPr>
        <w:footnoteReference w:id="525"/>
      </w:r>
      <w:r>
        <w:t xml:space="preserve">.</w:t>
      </w:r>
    </w:p>
    <w:p>
      <w:pPr>
        <w:pStyle w:val="BodyText"/>
      </w:pPr>
      <w:r>
        <w:rPr>
          <w:bCs/>
          <w:b/>
        </w:rPr>
        <w:t xml:space="preserve">Theoretical or derived from animal data:</w:t>
      </w:r>
      <w:r>
        <w:t xml:space="preserve"> </w:t>
      </w:r>
      <w:r>
        <w:t xml:space="preserve">medullary thyroid cancer (animal finding, see above). For this reason, the prescribing information includes a warning or contraindication in the case of a personal or family history of medullary thyroid carcinoma and in MEN 2 syndrome.</w:t>
      </w:r>
    </w:p>
    <w:p>
      <w:pPr>
        <w:pStyle w:val="BodyText"/>
      </w:pPr>
      <w:r>
        <w:rPr>
          <w:bCs/>
          <w:b/>
        </w:rPr>
        <w:t xml:space="preserve">Important for practice (according to the prescribing information, not to be understood as instructions):</w:t>
      </w:r>
      <w:r>
        <w:t xml:space="preserve"> </w:t>
      </w:r>
      <w:r>
        <w:t xml:space="preserve">Delayed gastric emptying can affect the absorption of tablets, which is relevant, for example, for the contraceptive pill. Tirzepatide is not used during pregnancy and breastfeeding. Before operations under anesthesia, delayed gastric emptying must be taken into account. The prescribing information and the treating physician provide all details.</w:t>
      </w:r>
    </w:p>
    <w:p>
      <w:pPr>
        <w:pStyle w:val="BodyText"/>
      </w:pPr>
      <w:r>
        <w:rPr>
          <w:bCs/>
          <w:b/>
        </w:rPr>
        <w:t xml:space="preserve">Copycat products:</w:t>
      </w:r>
      <w:r>
        <w:t xml:space="preserve"> </w:t>
      </w:r>
      <w:r>
        <w:t xml:space="preserve">During the shortages of 2022 to 2024, tirzepatide preparations were made in pharmacies in the USA (</w:t>
      </w:r>
      <w:r>
        <w:t xml:space="preserve">“</w:t>
      </w:r>
      <w:r>
        <w:t xml:space="preserve">compounding</w:t>
      </w:r>
      <w:r>
        <w:t xml:space="preserve">”</w:t>
      </w:r>
      <w:r>
        <w:t xml:space="preserve">), and at the same time a large online gray market emerged. A 2025 investigation found 33 preparations containing semaglutide or tirzepatide in dosage forms that are not approved – such as lozenges or mixtures with vitamins; data on efficacy and safety are lacking for these products</w:t>
      </w:r>
      <w:r>
        <w:rPr>
          <w:rStyle w:val="FootnoteReference"/>
        </w:rPr>
        <w:footnoteReference w:id="526"/>
      </w:r>
      <w:r>
        <w:t xml:space="preserve">. This applies to an even greater degree to</w:t>
      </w:r>
      <w:r>
        <w:t xml:space="preserve"> </w:t>
      </w:r>
      <w:r>
        <w:t xml:space="preserve">“</w:t>
      </w:r>
      <w:r>
        <w:t xml:space="preserve">research</w:t>
      </w:r>
      <w:r>
        <w:t xml:space="preserve">”</w:t>
      </w:r>
      <w:r>
        <w:t xml:space="preserve"> </w:t>
      </w:r>
      <w:r>
        <w:t xml:space="preserve">products without a marketing authorization (see Part I and Part IV).</w:t>
      </w:r>
    </w:p>
    <w:bookmarkEnd w:id="527"/>
    <w:bookmarkStart w:id="528" w:name="legal-status-4"/>
    <w:p>
      <w:pPr>
        <w:pStyle w:val="Heading3"/>
      </w:pPr>
      <w:r>
        <w:t xml:space="preserve">Legal status</w:t>
      </w:r>
    </w:p>
    <w:p>
      <w:pPr>
        <w:numPr>
          <w:ilvl w:val="0"/>
          <w:numId w:val="1065"/>
        </w:numPr>
        <w:pStyle w:val="Compact"/>
      </w:pPr>
      <w:r>
        <w:rPr>
          <w:bCs/>
          <w:b/>
        </w:rPr>
        <w:t xml:space="preserve">EU / Austria / Germany:</w:t>
      </w:r>
      <w:r>
        <w:t xml:space="preserve"> </w:t>
      </w:r>
      <w:r>
        <w:t xml:space="preserve">Tirzepatide is centrally authorized in the EU as Mounjaro (2022 for type 2 diabetes, since late 2023 also for weight management). It is prescription-only. Whether health insurance covers the costs depends on the indication: for type 2 diabetes, reimbursement is possible in principle; in Germany, weight-reduction drugs are largely excluded from reimbursement by law, and in Austria separate, restrictive rules apply. Details change – please check for current information.</w:t>
      </w:r>
    </w:p>
    <w:p>
      <w:pPr>
        <w:numPr>
          <w:ilvl w:val="0"/>
          <w:numId w:val="1065"/>
        </w:numPr>
        <w:pStyle w:val="Compact"/>
      </w:pPr>
      <w:r>
        <w:rPr>
          <w:bCs/>
          <w:b/>
        </w:rPr>
        <w:t xml:space="preserve">USA:</w:t>
      </w:r>
      <w:r>
        <w:t xml:space="preserve"> </w:t>
      </w:r>
      <w:r>
        <w:t xml:space="preserve">Approved as Mounjaro (2022, type 2 diabetes) and as Zepbound (2023, chronic weight management; in 2024 additionally obstructive sleep apnea in obesity). Since the end of the official shortage, the FDA has severely restricted the production of copies in pharmacies.</w:t>
      </w:r>
    </w:p>
    <w:p>
      <w:pPr>
        <w:numPr>
          <w:ilvl w:val="0"/>
          <w:numId w:val="1065"/>
        </w:numPr>
        <w:pStyle w:val="Compact"/>
      </w:pPr>
      <w:r>
        <w:rPr>
          <w:bCs/>
          <w:b/>
        </w:rPr>
        <w:t xml:space="preserve">Sport:</w:t>
      </w:r>
      <w:r>
        <w:t xml:space="preserve"> </w:t>
      </w:r>
      <w:r>
        <w:t xml:space="preserve">Tirzepatide is not on the WADA Prohibited List (status as of 2026; please check for current information).</w:t>
      </w:r>
    </w:p>
    <w:p>
      <w:pPr>
        <w:numPr>
          <w:ilvl w:val="0"/>
          <w:numId w:val="1065"/>
        </w:numPr>
        <w:pStyle w:val="Compact"/>
      </w:pPr>
      <w:r>
        <w:rPr>
          <w:bCs/>
          <w:b/>
        </w:rPr>
        <w:t xml:space="preserve">Gray market:</w:t>
      </w:r>
      <w:r>
        <w:t xml:space="preserve"> </w:t>
      </w:r>
      <w:r>
        <w:t xml:space="preserve">Trading in unapproved tirzepatide products (</w:t>
      </w:r>
      <w:r>
        <w:t xml:space="preserve">“</w:t>
      </w:r>
      <w:r>
        <w:t xml:space="preserve">for research use only</w:t>
      </w:r>
      <w:r>
        <w:t xml:space="preserve">”</w:t>
      </w:r>
      <w:r>
        <w:t xml:space="preserve">) is not a legal route to a medicine in the EU; the products are not subject to any quality control.</w:t>
      </w:r>
    </w:p>
    <w:bookmarkEnd w:id="528"/>
    <w:bookmarkStart w:id="534" w:name="ongoing-studies-and-outlook-4"/>
    <w:p>
      <w:pPr>
        <w:pStyle w:val="Heading3"/>
      </w:pPr>
      <w:r>
        <w:t xml:space="preserve">Ongoing studies and outlook</w:t>
      </w:r>
    </w:p>
    <w:p>
      <w:pPr>
        <w:pStyle w:val="FirstParagraph"/>
      </w:pPr>
      <w:r>
        <w:rPr>
          <w:bCs/>
          <w:b/>
        </w:rPr>
        <w:t xml:space="preserve">Established (registered studies, status as of October 2026):</w:t>
      </w:r>
    </w:p>
    <w:p>
      <w:pPr>
        <w:numPr>
          <w:ilvl w:val="0"/>
          <w:numId w:val="1066"/>
        </w:numPr>
        <w:pStyle w:val="Compact"/>
      </w:pPr>
      <w:r>
        <w:rPr>
          <w:bCs/>
          <w:b/>
        </w:rPr>
        <w:t xml:space="preserve">SURMOUNT-MMO</w:t>
      </w:r>
      <w:r>
        <w:rPr>
          <w:rStyle w:val="FootnoteReference"/>
        </w:rPr>
        <w:footnoteReference w:id="529"/>
      </w:r>
      <w:r>
        <w:t xml:space="preserve">: outcomes trial with about 15,000 people with obesity without diabetes and high cardiovascular risk, tirzepatide versus placebo. The primary endpoint comprises myocardial infarction, stroke, revascularization, heart failure events, and death from any cause; planned completion in 2027. According to the design publication, it is the first incretin outcomes trial to investigate both primary and secondary prevention of cardiovascular disease</w:t>
      </w:r>
      <w:r>
        <w:rPr>
          <w:rStyle w:val="FootnoteReference"/>
        </w:rPr>
        <w:footnoteReference w:id="530"/>
      </w:r>
      <w:r>
        <w:t xml:space="preserve">.</w:t>
      </w:r>
    </w:p>
    <w:p>
      <w:pPr>
        <w:numPr>
          <w:ilvl w:val="0"/>
          <w:numId w:val="1066"/>
        </w:numPr>
        <w:pStyle w:val="Compact"/>
      </w:pPr>
      <w:r>
        <w:rPr>
          <w:bCs/>
          <w:b/>
        </w:rPr>
        <w:t xml:space="preserve">SYNERGY-Outcomes</w:t>
      </w:r>
      <w:r>
        <w:rPr>
          <w:rStyle w:val="FootnoteReference"/>
        </w:rPr>
        <w:footnoteReference w:id="531"/>
      </w:r>
      <w:r>
        <w:t xml:space="preserve">: phase 3 master protocol on fatty liver disease with a planned 4,500 participants.</w:t>
      </w:r>
    </w:p>
    <w:p>
      <w:pPr>
        <w:numPr>
          <w:ilvl w:val="0"/>
          <w:numId w:val="1066"/>
        </w:numPr>
        <w:pStyle w:val="Compact"/>
      </w:pPr>
      <w:r>
        <w:rPr>
          <w:bCs/>
          <w:b/>
        </w:rPr>
        <w:t xml:space="preserve">Type 1 diabetes with obesity</w:t>
      </w:r>
      <w:r>
        <w:rPr>
          <w:rStyle w:val="FootnoteReference"/>
        </w:rPr>
        <w:footnoteReference w:id="532"/>
      </w:r>
      <w:r>
        <w:t xml:space="preserve">: two phase 3 trials.</w:t>
      </w:r>
    </w:p>
    <w:p>
      <w:pPr>
        <w:numPr>
          <w:ilvl w:val="0"/>
          <w:numId w:val="1066"/>
        </w:numPr>
        <w:pStyle w:val="Compact"/>
      </w:pPr>
      <w:r>
        <w:rPr>
          <w:bCs/>
          <w:b/>
        </w:rPr>
        <w:t xml:space="preserve">Adolescents with obesity</w:t>
      </w:r>
      <w:r>
        <w:t xml:space="preserve"> </w:t>
      </w:r>
      <w:r>
        <w:t xml:space="preserve">(NCT06439277, SURMOUNT-ADOLESCENTS-2) and children</w:t>
      </w:r>
      <w:r>
        <w:rPr>
          <w:rStyle w:val="FootnoteReference"/>
        </w:rPr>
        <w:footnoteReference w:id="533"/>
      </w:r>
      <w:r>
        <w:t xml:space="preserve">.</w:t>
      </w:r>
    </w:p>
    <w:p>
      <w:pPr>
        <w:numPr>
          <w:ilvl w:val="0"/>
          <w:numId w:val="1066"/>
        </w:numPr>
        <w:pStyle w:val="Compact"/>
      </w:pPr>
      <w:r>
        <w:rPr>
          <w:bCs/>
          <w:b/>
        </w:rPr>
        <w:t xml:space="preserve">Direct comparison with the successor retatrutide</w:t>
      </w:r>
      <w:r>
        <w:t xml:space="preserve"> </w:t>
      </w:r>
      <w:r>
        <w:t xml:space="preserve">(NCT06662383, see the chapter Retatrutide).</w:t>
      </w:r>
    </w:p>
    <w:p>
      <w:pPr>
        <w:numPr>
          <w:ilvl w:val="0"/>
          <w:numId w:val="1066"/>
        </w:numPr>
        <w:pStyle w:val="Compact"/>
      </w:pPr>
      <w:r>
        <w:t xml:space="preserve">Numerous studies on knee osteoarthritis, psoriasis, kidney disease, and stroke.</w:t>
      </w:r>
    </w:p>
    <w:p>
      <w:pPr>
        <w:pStyle w:val="FirstParagraph"/>
      </w:pPr>
      <w:r>
        <w:rPr>
          <w:bCs/>
          <w:b/>
        </w:rPr>
        <w:t xml:space="preserve">Assessment:</w:t>
      </w:r>
      <w:r>
        <w:t xml:space="preserve"> </w:t>
      </w:r>
      <w:r>
        <w:t xml:space="preserve">In 2026, tirzepatide is the benchmark against which new weight-loss medications must be measured. The next big question is whether SURMOUNT-MMO will show a cardiovascular benefit in people without diabetes similar to that shown by the SELECT trial for semaglutide. Competition is coming from triple agonists (retatrutide), amylin combinations (CagriSema, amycretin), and tablets (orforglipron). When the patents expire and cheaper copycat products become possible is covered in Part V.</w:t>
      </w:r>
    </w:p>
    <w:bookmarkEnd w:id="534"/>
    <w:bookmarkStart w:id="535" w:name="conclusion-4"/>
    <w:p>
      <w:pPr>
        <w:pStyle w:val="Heading3"/>
      </w:pPr>
      <w:r>
        <w:t xml:space="preserve">Conclusion</w:t>
      </w:r>
    </w:p>
    <w:p>
      <w:pPr>
        <w:pStyle w:val="FirstParagraph"/>
      </w:pPr>
      <w:r>
        <w:t xml:space="preserve">Tirzepatide is a dual GIP/GLP-1 agonist that has been studied in one of the largest trial programs in diabetes and obesity medicine. In SURMOUNT-1, body weight at the highest dose decreased on average by about 21%, and in the direct comparison with semaglutide (SURMOUNT-5) by 20.2% versus 13.7%. Against dulaglutide, it was noninferior for cardiovascular events, and favorable effects were seen in heart failure with preserved ejection fraction and in sleep apnea. Side effects mainly affect the gastrointestinal tract and the gallbladder; after discontinuation, much of the weight returns. Treatment belongs in the hands of a physician – with the original product, not with gray-market goods.</w:t>
      </w:r>
    </w:p>
    <w:bookmarkEnd w:id="535"/>
    <w:bookmarkEnd w:id="536"/>
    <w:bookmarkStart w:id="576" w:name="retatrutide"/>
    <w:p>
      <w:pPr>
        <w:pStyle w:val="Heading2"/>
      </w:pPr>
      <w:r>
        <w:t xml:space="preserve">Retatrutide</w:t>
      </w:r>
    </w:p>
    <w:bookmarkStart w:id="537" w:name="profile-5"/>
    <w:p>
      <w:pPr>
        <w:pStyle w:val="Heading3"/>
      </w:pPr>
      <w:r>
        <w:t xml:space="preserve">Profile</w:t>
      </w:r>
    </w:p>
    <w:p>
      <w:pPr>
        <w:numPr>
          <w:ilvl w:val="0"/>
          <w:numId w:val="1067"/>
        </w:numPr>
        <w:pStyle w:val="Compact"/>
      </w:pPr>
      <w:r>
        <w:rPr>
          <w:bCs/>
          <w:b/>
        </w:rPr>
        <w:t xml:space="preserve">Type/structure:</w:t>
      </w:r>
      <w:r>
        <w:t xml:space="preserve"> </w:t>
      </w:r>
      <w:r>
        <w:t xml:space="preserve">synthetic peptide with an attached fatty acid chain for once-weekly injection under the skin; development code LY3437943.</w:t>
      </w:r>
    </w:p>
    <w:p>
      <w:pPr>
        <w:numPr>
          <w:ilvl w:val="0"/>
          <w:numId w:val="1067"/>
        </w:numPr>
        <w:pStyle w:val="Compact"/>
      </w:pPr>
      <w:r>
        <w:rPr>
          <w:bCs/>
          <w:b/>
        </w:rPr>
        <w:t xml:space="preserve">Origin:</w:t>
      </w:r>
      <w:r>
        <w:t xml:space="preserve"> </w:t>
      </w:r>
      <w:r>
        <w:t xml:space="preserve">developed by Eli Lilly as the successor to tirzepatide.</w:t>
      </w:r>
    </w:p>
    <w:p>
      <w:pPr>
        <w:numPr>
          <w:ilvl w:val="0"/>
          <w:numId w:val="1067"/>
        </w:numPr>
        <w:pStyle w:val="Compact"/>
      </w:pPr>
      <w:r>
        <w:rPr>
          <w:bCs/>
          <w:b/>
        </w:rPr>
        <w:t xml:space="preserve">Mechanism of action:</w:t>
      </w:r>
      <w:r>
        <w:t xml:space="preserve"> </w:t>
      </w:r>
      <w:r>
        <w:t xml:space="preserve">“</w:t>
      </w:r>
      <w:r>
        <w:t xml:space="preserve">triple agonist</w:t>
      </w:r>
      <w:r>
        <w:t xml:space="preserve">”</w:t>
      </w:r>
      <w:r>
        <w:t xml:space="preserve"> </w:t>
      </w:r>
      <w:r>
        <w:t xml:space="preserve">at three receptors: GIP, GLP-1 and glucagon. Often called</w:t>
      </w:r>
      <w:r>
        <w:t xml:space="preserve"> </w:t>
      </w:r>
      <w:r>
        <w:t xml:space="preserve">“</w:t>
      </w:r>
      <w:r>
        <w:t xml:space="preserve">Triple G</w:t>
      </w:r>
      <w:r>
        <w:t xml:space="preserve">”</w:t>
      </w:r>
      <w:r>
        <w:t xml:space="preserve"> </w:t>
      </w:r>
      <w:r>
        <w:t xml:space="preserve">in the media.</w:t>
      </w:r>
    </w:p>
    <w:p>
      <w:pPr>
        <w:numPr>
          <w:ilvl w:val="0"/>
          <w:numId w:val="1067"/>
        </w:numPr>
        <w:pStyle w:val="Compact"/>
      </w:pPr>
      <w:r>
        <w:rPr>
          <w:bCs/>
          <w:b/>
        </w:rPr>
        <w:t xml:space="preserve">Approval EU:</w:t>
      </w:r>
      <w:r>
        <w:t xml:space="preserve"> </w:t>
      </w:r>
      <w:r>
        <w:t xml:space="preserve">no (as of October 2026; Phase 3 program TRIUMPH partly completed).</w:t>
      </w:r>
    </w:p>
    <w:p>
      <w:pPr>
        <w:numPr>
          <w:ilvl w:val="0"/>
          <w:numId w:val="1067"/>
        </w:numPr>
        <w:pStyle w:val="Compact"/>
      </w:pPr>
      <w:r>
        <w:rPr>
          <w:bCs/>
          <w:b/>
        </w:rPr>
        <w:t xml:space="preserve">Approval USA:</w:t>
      </w:r>
      <w:r>
        <w:t xml:space="preserve"> </w:t>
      </w:r>
      <w:r>
        <w:t xml:space="preserve">no (as of October 2026, please check for updates).</w:t>
      </w:r>
    </w:p>
    <w:p>
      <w:pPr>
        <w:numPr>
          <w:ilvl w:val="0"/>
          <w:numId w:val="1067"/>
        </w:numPr>
        <w:pStyle w:val="Compact"/>
      </w:pPr>
      <w:r>
        <w:rPr>
          <w:bCs/>
          <w:b/>
        </w:rPr>
        <w:t xml:space="preserve">WADA:</w:t>
      </w:r>
      <w:r>
        <w:t xml:space="preserve"> </w:t>
      </w:r>
      <w:r>
        <w:t xml:space="preserve">not listed by name; however, as a substance not approved anywhere, retatrutide falls under class S0</w:t>
      </w:r>
      <w:r>
        <w:t xml:space="preserve"> </w:t>
      </w:r>
      <w:r>
        <w:t xml:space="preserve">“</w:t>
      </w:r>
      <w:r>
        <w:t xml:space="preserve">Non-approved substances</w:t>
      </w:r>
      <w:r>
        <w:t xml:space="preserve">”</w:t>
      </w:r>
      <w:r>
        <w:t xml:space="preserve"> </w:t>
      </w:r>
      <w:r>
        <w:t xml:space="preserve">and is therefore prohibited in sport at all times.</w:t>
      </w:r>
    </w:p>
    <w:p>
      <w:pPr>
        <w:numPr>
          <w:ilvl w:val="0"/>
          <w:numId w:val="1067"/>
        </w:numPr>
        <w:pStyle w:val="Compact"/>
      </w:pPr>
      <w:r>
        <w:rPr>
          <w:bCs/>
          <w:b/>
        </w:rPr>
        <w:t xml:space="preserve">Evidence level:</w:t>
      </w:r>
      <w:r>
        <w:t xml:space="preserve"> </w:t>
      </w:r>
      <w:r>
        <w:rPr>
          <w:bCs/>
          <w:b/>
        </w:rPr>
        <w:t xml:space="preserve">B</w:t>
      </w:r>
      <w:r>
        <w:t xml:space="preserve"> </w:t>
      </w:r>
      <w:r>
        <w:t xml:space="preserve">– several large Phase 3 trials published, but no approval yet and no outcome data on the heart and kidneys. With an approval, level A would be reached.</w:t>
      </w:r>
    </w:p>
    <w:bookmarkEnd w:id="537"/>
    <w:bookmarkStart w:id="541" w:name="how-it-is-supposed-to-work-5"/>
    <w:p>
      <w:pPr>
        <w:pStyle w:val="Heading3"/>
      </w:pPr>
      <w:r>
        <w:t xml:space="preserve">How it is supposed to work</w:t>
      </w:r>
    </w:p>
    <w:p>
      <w:pPr>
        <w:pStyle w:val="FirstParagraph"/>
      </w:pPr>
      <w:r>
        <w:t xml:space="preserve">Retatrutide builds on the principle of tirzepatide (see there) and adds a third target: the glucagon receptor. At first this sounds contradictory, because glucagon is the</w:t>
      </w:r>
      <w:r>
        <w:t xml:space="preserve"> </w:t>
      </w:r>
      <w:r>
        <w:t xml:space="preserve">“</w:t>
      </w:r>
      <w:r>
        <w:t xml:space="preserve">counter-hormone</w:t>
      </w:r>
      <w:r>
        <w:t xml:space="preserve">”</w:t>
      </w:r>
      <w:r>
        <w:t xml:space="preserve"> </w:t>
      </w:r>
      <w:r>
        <w:t xml:space="preserve">to insulin – it makes the liver release sugar and raises blood glucose. But glucagon has other effects as well: it increases energy expenditure, promotes fat breakdown in the liver and contributes to satiety. The idea behind retatrutide is to use these favorable effects while the GLP-1 and GIP components offset the glucose-raising effect.</w:t>
      </w:r>
    </w:p>
    <w:p>
      <w:pPr>
        <w:pStyle w:val="BodyText"/>
      </w:pPr>
      <w:r>
        <w:t xml:space="preserve">In cell experiments, retatrutide acts with roughly equal strength at the glucagon and GLP-1 receptors and more strongly at the GIP receptor. In obese mice, the glucagon component enhanced weight loss through increased energy expenditure, while GIP and GLP-1 reduced calorie intake</w:t>
      </w:r>
      <w:r>
        <w:rPr>
          <w:rStyle w:val="FootnoteReference"/>
        </w:rPr>
        <w:footnoteReference w:id="538"/>
      </w:r>
      <w:r>
        <w:t xml:space="preserve">. Whether energy expenditure also rises appreciably in humans has not yet been adequately studied; a corresponding Phase 1 trial is registered</w:t>
      </w:r>
      <w:r>
        <w:rPr>
          <w:rStyle w:val="FootnoteReference"/>
        </w:rPr>
        <w:footnoteReference w:id="539"/>
      </w:r>
      <w:r>
        <w:t xml:space="preserve">.</w:t>
      </w:r>
    </w:p>
    <w:p>
      <w:pPr>
        <w:pStyle w:val="BodyText"/>
      </w:pPr>
      <w:r>
        <w:t xml:space="preserve">In humans, participants in a Phase 2 trial reported less hunger and less tendency toward</w:t>
      </w:r>
      <w:r>
        <w:t xml:space="preserve"> </w:t>
      </w:r>
      <w:r>
        <w:t xml:space="preserve">“</w:t>
      </w:r>
      <w:r>
        <w:t xml:space="preserve">loss of control</w:t>
      </w:r>
      <w:r>
        <w:t xml:space="preserve">”</w:t>
      </w:r>
      <w:r>
        <w:t xml:space="preserve"> </w:t>
      </w:r>
      <w:r>
        <w:t xml:space="preserve">when eating at higher doses; these changes were associated with weight loss</w:t>
      </w:r>
      <w:r>
        <w:rPr>
          <w:rStyle w:val="FootnoteReference"/>
        </w:rPr>
        <w:footnoteReference w:id="540"/>
      </w:r>
      <w:r>
        <w:t xml:space="preserve">.</w:t>
      </w:r>
    </w:p>
    <w:bookmarkEnd w:id="541"/>
    <w:bookmarkStart w:id="556" w:name="human-studies-5"/>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10 human studies, supplemented by a targeted search for the Phase 1 and Phase 3 publications. On ClinicalTrials.gov, 32 trials were registered (an obviously fictitious sample entry is not counted), including the approval program TRIUMPH (obesity) and TRANSCEND (type 2 diabetes). For a substance without approval, this is an unusually solid body of data – however, it comes almost entirely from manufacturer-funded studies.</w:t>
      </w:r>
    </w:p>
    <w:bookmarkStart w:id="544" w:name="early-studies"/>
    <w:p>
      <w:pPr>
        <w:pStyle w:val="Heading4"/>
      </w:pPr>
      <w:r>
        <w:t xml:space="preserve">Early studies</w:t>
      </w:r>
    </w:p>
    <w:p>
      <w:pPr>
        <w:pStyle w:val="FirstParagraph"/>
      </w:pPr>
      <w:r>
        <w:t xml:space="preserve">After a single-dose study in healthy people, in which body weight remained reduced for up to 43 days after a single injection</w:t>
      </w:r>
      <w:r>
        <w:rPr>
          <w:rStyle w:val="FootnoteReference"/>
        </w:rPr>
        <w:footnoteReference w:id="542"/>
      </w:r>
      <w:r>
        <w:t xml:space="preserve">, a twelve-week Phase 1b trial followed with 72 people with type 2 diabetes. The half-life was about six days, which allows weekly dosing. In the highest dose group, weight loss compared with placebo was up to almost 9 kg</w:t>
      </w:r>
      <w:r>
        <w:rPr>
          <w:rStyle w:val="FootnoteReference"/>
        </w:rPr>
        <w:footnoteReference w:id="543"/>
      </w:r>
      <w:r>
        <w:t xml:space="preserve">.</w:t>
      </w:r>
    </w:p>
    <w:bookmarkEnd w:id="544"/>
    <w:bookmarkStart w:id="550" w:name="phase-2-obesity-and-type-2-diabetes"/>
    <w:p>
      <w:pPr>
        <w:pStyle w:val="Heading4"/>
      </w:pPr>
      <w:r>
        <w:t xml:space="preserve">Phase 2: obesity and type 2 diabetes</w:t>
      </w:r>
    </w:p>
    <w:p>
      <w:pPr>
        <w:pStyle w:val="FirstParagraph"/>
      </w:pPr>
      <w:r>
        <w:t xml:space="preserve">The Phase 2 trial in obesity made headlines in 2023</w:t>
      </w:r>
      <w:r>
        <w:rPr>
          <w:rStyle w:val="FootnoteReference"/>
        </w:rPr>
        <w:footnoteReference w:id="545"/>
      </w:r>
      <w:r>
        <w:t xml:space="preserve">. 338 adults received various doses or placebo for 48 weeks. In the highest dose group, body weight decreased by an average of 24.2% (placebo: −2.1%); 83% of this group lost at least 15%. These were the highest values measured in an obesity drug trial up to that point. Gastrointestinal side effects increased with dose and were lower with slower dose escalation. Heart rate rose in a dose-dependent manner, peaked after 24 weeks and declined thereafter.</w:t>
      </w:r>
    </w:p>
    <w:p>
      <w:pPr>
        <w:pStyle w:val="BodyText"/>
      </w:pPr>
      <w:r>
        <w:t xml:space="preserve">The parallel Phase 2 trial in 281 people with type 2 diabetes showed HbA1c reductions of up to 2.02 percentage points after 24 weeks (dulaglutide: −1.41) and weight loss of up to 16.94% after 36 weeks</w:t>
      </w:r>
      <w:r>
        <w:rPr>
          <w:rStyle w:val="FootnoteReference"/>
        </w:rPr>
        <w:footnoteReference w:id="546"/>
      </w:r>
      <w:r>
        <w:t xml:space="preserve">. In a substudy with body composition measurement (DXA), fat mass fell by 23–26% at the higher doses</w:t>
      </w:r>
      <w:r>
        <w:rPr>
          <w:rStyle w:val="FootnoteReference"/>
        </w:rPr>
        <w:footnoteReference w:id="547"/>
      </w:r>
      <w:r>
        <w:t xml:space="preserve">.</w:t>
      </w:r>
    </w:p>
    <w:p>
      <w:pPr>
        <w:pStyle w:val="BodyText"/>
      </w:pPr>
      <w:r>
        <w:t xml:space="preserve">A substudy in 98 participants with fatty liver (at least 10% liver fat) found a relative reduction in liver fat of up to 82.4% after 24 weeks; at the highest dose, 86% had normal liver fat levels afterward, compared with no one on placebo</w:t>
      </w:r>
      <w:r>
        <w:rPr>
          <w:rStyle w:val="FootnoteReference"/>
        </w:rPr>
        <w:footnoteReference w:id="548"/>
      </w:r>
      <w:r>
        <w:t xml:space="preserve">. Liver fat content is a surrogate parameter – whether this reduces liver inflammation, fibrosis and cirrhosis has not yet been shown.</w:t>
      </w:r>
    </w:p>
    <w:p>
      <w:pPr>
        <w:pStyle w:val="BodyText"/>
      </w:pPr>
      <w:r>
        <w:t xml:space="preserve">Post hoc analyses of the Phase 2 trials showed improvements in blood lipids and inflammatory markers, for example non-HDL cholesterol up to 26.9% lower and a CRP level 54.8% lower in the obesity trial</w:t>
      </w:r>
      <w:r>
        <w:rPr>
          <w:rStyle w:val="FootnoteReference"/>
        </w:rPr>
        <w:footnoteReference w:id="549"/>
      </w:r>
      <w:r>
        <w:t xml:space="preserve">. These, too, are laboratory values, not hard endpoints.</w:t>
      </w:r>
    </w:p>
    <w:bookmarkEnd w:id="550"/>
    <w:bookmarkStart w:id="555" w:name="X96bdb112f2d26e9d26e267e1e9444b9c8948e2e"/>
    <w:p>
      <w:pPr>
        <w:pStyle w:val="Heading4"/>
      </w:pPr>
      <w:r>
        <w:t xml:space="preserve">Phase 3: the TRIUMPH and TRANSCEND programs</w:t>
      </w:r>
    </w:p>
    <w:p>
      <w:pPr>
        <w:pStyle w:val="FirstParagraph"/>
      </w:pPr>
      <w:r>
        <w:t xml:space="preserve">The approval program for obesity, TRIUMPH, comprises four trials with a combined total of more than 5,800 participants. A special feature is the</w:t>
      </w:r>
      <w:r>
        <w:t xml:space="preserve"> </w:t>
      </w:r>
      <w:r>
        <w:t xml:space="preserve">“</w:t>
      </w:r>
      <w:r>
        <w:t xml:space="preserve">basket</w:t>
      </w:r>
      <w:r>
        <w:t xml:space="preserve">”</w:t>
      </w:r>
      <w:r>
        <w:t xml:space="preserve"> </w:t>
      </w:r>
      <w:r>
        <w:t xml:space="preserve">design: within the large weight trials, subgroups with knee osteoarthritis or sleep apnea were analyzed with their own primary endpoints</w:t>
      </w:r>
      <w:r>
        <w:rPr>
          <w:rStyle w:val="FootnoteReference"/>
        </w:rPr>
        <w:footnoteReference w:id="55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2 obesity (Jastreboff 2023), PMID 37366315</w:t>
            </w:r>
          </w:p>
        </w:tc>
        <w:tc>
          <w:tcPr/>
          <w:p>
            <w:pPr>
              <w:pStyle w:val="Compact"/>
              <w:jc w:val="left"/>
            </w:pPr>
            <w:r>
              <w:t xml:space="preserve">338 adults without diabetes, vs. placebo</w:t>
            </w:r>
          </w:p>
        </w:tc>
        <w:tc>
          <w:tcPr/>
          <w:p>
            <w:pPr>
              <w:pStyle w:val="Compact"/>
              <w:jc w:val="left"/>
            </w:pPr>
            <w:r>
              <w:t xml:space="preserve">48 weeks</w:t>
            </w:r>
          </w:p>
        </w:tc>
        <w:tc>
          <w:tcPr/>
          <w:p>
            <w:pPr>
              <w:pStyle w:val="Compact"/>
              <w:jc w:val="left"/>
            </w:pPr>
            <w:r>
              <w:t xml:space="preserve">up to −24.2% weight vs. −2.1%</w:t>
            </w:r>
          </w:p>
        </w:tc>
      </w:tr>
      <w:tr>
        <w:tc>
          <w:tcPr/>
          <w:p>
            <w:pPr>
              <w:pStyle w:val="Compact"/>
              <w:jc w:val="left"/>
            </w:pPr>
            <w:r>
              <w:t xml:space="preserve">Phase 2 type 2 diabetes (Rosenstock 2023), PMID 37385280</w:t>
            </w:r>
          </w:p>
        </w:tc>
        <w:tc>
          <w:tcPr/>
          <w:p>
            <w:pPr>
              <w:pStyle w:val="Compact"/>
              <w:jc w:val="left"/>
            </w:pPr>
            <w:r>
              <w:t xml:space="preserve">281 adults, vs. placebo and dulaglutide</w:t>
            </w:r>
          </w:p>
        </w:tc>
        <w:tc>
          <w:tcPr/>
          <w:p>
            <w:pPr>
              <w:pStyle w:val="Compact"/>
              <w:jc w:val="left"/>
            </w:pPr>
            <w:r>
              <w:t xml:space="preserve">36 weeks</w:t>
            </w:r>
          </w:p>
        </w:tc>
        <w:tc>
          <w:tcPr/>
          <w:p>
            <w:pPr>
              <w:pStyle w:val="Compact"/>
              <w:jc w:val="left"/>
            </w:pPr>
            <w:r>
              <w:t xml:space="preserve">HbA1c up to −2.02 points; weight up to −16.94%</w:t>
            </w:r>
          </w:p>
        </w:tc>
      </w:tr>
      <w:tr>
        <w:tc>
          <w:tcPr/>
          <w:p>
            <w:pPr>
              <w:pStyle w:val="Compact"/>
              <w:jc w:val="left"/>
            </w:pPr>
            <w:r>
              <w:t xml:space="preserve">TRIUMPH-1 (Jastreboff 2026), PMID 42814954</w:t>
            </w:r>
          </w:p>
        </w:tc>
        <w:tc>
          <w:tcPr/>
          <w:p>
            <w:pPr>
              <w:pStyle w:val="Compact"/>
              <w:jc w:val="left"/>
            </w:pPr>
            <w:r>
              <w:t xml:space="preserve">2,339 adults with obesity without diabetes, vs. placebo</w:t>
            </w:r>
          </w:p>
        </w:tc>
        <w:tc>
          <w:tcPr/>
          <w:p>
            <w:pPr>
              <w:pStyle w:val="Compact"/>
              <w:jc w:val="left"/>
            </w:pPr>
            <w:r>
              <w:t xml:space="preserve">80 weeks</w:t>
            </w:r>
          </w:p>
        </w:tc>
        <w:tc>
          <w:tcPr/>
          <w:p>
            <w:pPr>
              <w:pStyle w:val="Compact"/>
              <w:jc w:val="left"/>
            </w:pPr>
            <w:r>
              <w:t xml:space="preserve">−17.6 / −23.7 / −25.0% (4/9/12 mg) vs. −3.9%</w:t>
            </w:r>
          </w:p>
        </w:tc>
      </w:tr>
      <w:tr>
        <w:tc>
          <w:tcPr/>
          <w:p>
            <w:pPr>
              <w:pStyle w:val="Compact"/>
              <w:jc w:val="left"/>
            </w:pPr>
            <w:r>
              <w:t xml:space="preserve">TRIUMPH-2 (Bellido 2026), PMID 42810372</w:t>
            </w:r>
          </w:p>
        </w:tc>
        <w:tc>
          <w:tcPr/>
          <w:p>
            <w:pPr>
              <w:pStyle w:val="Compact"/>
              <w:jc w:val="left"/>
            </w:pPr>
            <w:r>
              <w:t xml:space="preserve">1,152 adults with obesity and type 2 diabetes, vs. placebo</w:t>
            </w:r>
          </w:p>
        </w:tc>
        <w:tc>
          <w:tcPr/>
          <w:p>
            <w:pPr>
              <w:pStyle w:val="Compact"/>
              <w:jc w:val="left"/>
            </w:pPr>
            <w:r>
              <w:t xml:space="preserve">80 weeks</w:t>
            </w:r>
          </w:p>
        </w:tc>
        <w:tc>
          <w:tcPr/>
          <w:p>
            <w:pPr>
              <w:pStyle w:val="Compact"/>
              <w:jc w:val="left"/>
            </w:pPr>
            <w:r>
              <w:t xml:space="preserve">−11.9 / −16.8 / −18.8% vs. −5.1%</w:t>
            </w:r>
          </w:p>
        </w:tc>
      </w:tr>
      <w:tr>
        <w:tc>
          <w:tcPr/>
          <w:p>
            <w:pPr>
              <w:pStyle w:val="Compact"/>
              <w:jc w:val="left"/>
            </w:pPr>
            <w:r>
              <w:t xml:space="preserve">TRANSCEND-T2D-1 (Bajaj 2026), PMID 42250575</w:t>
            </w:r>
          </w:p>
        </w:tc>
        <w:tc>
          <w:tcPr/>
          <w:p>
            <w:pPr>
              <w:pStyle w:val="Compact"/>
              <w:jc w:val="left"/>
            </w:pPr>
            <w:r>
              <w:t xml:space="preserve">537 adults with type 2 diabetes on no medication, vs. placebo</w:t>
            </w:r>
          </w:p>
        </w:tc>
        <w:tc>
          <w:tcPr/>
          <w:p>
            <w:pPr>
              <w:pStyle w:val="Compact"/>
              <w:jc w:val="left"/>
            </w:pPr>
            <w:r>
              <w:t xml:space="preserve">40 weeks</w:t>
            </w:r>
          </w:p>
        </w:tc>
        <w:tc>
          <w:tcPr/>
          <w:p>
            <w:pPr>
              <w:pStyle w:val="Compact"/>
              <w:jc w:val="left"/>
            </w:pPr>
            <w:r>
              <w:t xml:space="preserve">HbA1c −1.69 to −1.94 vs. −0.81; weight up to −15.3%</w:t>
            </w:r>
          </w:p>
        </w:tc>
      </w:tr>
    </w:tbl>
    <w:p>
      <w:pPr>
        <w:pStyle w:val="BodyText"/>
      </w:pPr>
      <w:r>
        <w:rPr>
          <w:bCs/>
          <w:b/>
        </w:rPr>
        <w:t xml:space="preserve">TRIUMPH-1</w:t>
      </w:r>
      <w:r>
        <w:rPr>
          <w:rStyle w:val="FootnoteReference"/>
        </w:rPr>
        <w:footnoteReference w:id="552"/>
      </w:r>
      <w:r>
        <w:t xml:space="preserve"> </w:t>
      </w:r>
      <w:r>
        <w:t xml:space="preserve">is the main trial. In 2,339 adults with obesity without diabetes, body weight decreased by an average of 25.0% after 80 weeks at the highest dose. For comparison: in SURMOUNT-1, tirzepatide at the highest dose achieved 20.9% after 72 weeks. Such a cross-trial comparison between studies of different duration and population is, however, only a rough guide; an ongoing trial is intended to provide the direct comparison (see Outlook).</w:t>
      </w:r>
    </w:p>
    <w:p>
      <w:pPr>
        <w:pStyle w:val="BodyText"/>
      </w:pPr>
      <w:r>
        <w:t xml:space="preserve">In the embedded substudies:</w:t>
      </w:r>
    </w:p>
    <w:p>
      <w:pPr>
        <w:numPr>
          <w:ilvl w:val="0"/>
          <w:numId w:val="1068"/>
        </w:numPr>
        <w:pStyle w:val="Compact"/>
      </w:pPr>
      <w:r>
        <w:rPr>
          <w:bCs/>
          <w:b/>
        </w:rPr>
        <w:t xml:space="preserve">Knee osteoarthritis</w:t>
      </w:r>
      <w:r>
        <w:t xml:space="preserve"> </w:t>
      </w:r>
      <w:r>
        <w:t xml:space="preserve">(574 participants): The pain score (WOMAC, scale 1 to 10) fell by 3.5 and 3.6 points on 9 and 12 mg, respectively, compared with 1.9 points on placebo.</w:t>
      </w:r>
    </w:p>
    <w:p>
      <w:pPr>
        <w:numPr>
          <w:ilvl w:val="0"/>
          <w:numId w:val="1068"/>
        </w:numPr>
        <w:pStyle w:val="Compact"/>
      </w:pPr>
      <w:r>
        <w:rPr>
          <w:bCs/>
          <w:b/>
        </w:rPr>
        <w:t xml:space="preserve">Sleep apnea</w:t>
      </w:r>
      <w:r>
        <w:t xml:space="preserve"> </w:t>
      </w:r>
      <w:r>
        <w:t xml:space="preserve">(243 participants): The apnea-hypopnea index decreased by around 32 to 34 events per hour, and by just under 10 on placebo.</w:t>
      </w:r>
    </w:p>
    <w:p>
      <w:pPr>
        <w:pStyle w:val="FirstParagraph"/>
      </w:pPr>
      <w:r>
        <w:rPr>
          <w:bCs/>
          <w:b/>
        </w:rPr>
        <w:t xml:space="preserve">TRIUMPH-2</w:t>
      </w:r>
      <w:r>
        <w:rPr>
          <w:rStyle w:val="FootnoteReference"/>
        </w:rPr>
        <w:footnoteReference w:id="553"/>
      </w:r>
      <w:r>
        <w:t xml:space="preserve"> </w:t>
      </w:r>
      <w:r>
        <w:t xml:space="preserve">confirmed the familiar pattern that people with type 2 diabetes lose less weight: −18.8% at the highest dose compared with −5.1% on placebo. This trial also provided the most precise safety data to date (see below).</w:t>
      </w:r>
    </w:p>
    <w:p>
      <w:pPr>
        <w:pStyle w:val="BodyText"/>
      </w:pPr>
      <w:r>
        <w:rPr>
          <w:bCs/>
          <w:b/>
        </w:rPr>
        <w:t xml:space="preserve">TRANSCEND-T2D-1</w:t>
      </w:r>
      <w:r>
        <w:rPr>
          <w:rStyle w:val="FootnoteReference"/>
        </w:rPr>
        <w:footnoteReference w:id="554"/>
      </w:r>
      <w:r>
        <w:t xml:space="preserve"> </w:t>
      </w:r>
      <w:r>
        <w:t xml:space="preserve">tested retatrutide as the sole diabetes treatment in people with a short duration of diabetes. HbA1c fell by up to 1.94 percentage points and weight by up to 15.3%; no severe hypoglycemia occurred.</w:t>
      </w:r>
    </w:p>
    <w:p>
      <w:pPr>
        <w:pStyle w:val="BodyText"/>
      </w:pPr>
      <w:r>
        <w:t xml:space="preserve">According to the registry, TRIUMPH-3 (obesity with cardiovascular disease, NCT05882045) and TRIUMPH-4 (knee osteoarthritis, NCT05931367) have been completed; a peer-reviewed publication was not yet available at the editorial deadline for these chapters.</w:t>
      </w:r>
    </w:p>
    <w:bookmarkEnd w:id="555"/>
    <w:bookmarkEnd w:id="556"/>
    <w:bookmarkStart w:id="560" w:name="animal-and-laboratory-studies-5"/>
    <w:p>
      <w:pPr>
        <w:pStyle w:val="Heading3"/>
      </w:pPr>
      <w:r>
        <w:t xml:space="preserve">Animal and laboratory studies</w:t>
      </w:r>
    </w:p>
    <w:p>
      <w:pPr>
        <w:pStyle w:val="FirstParagraph"/>
      </w:pPr>
      <w:r>
        <w:t xml:space="preserve">The preclinical foundations come predominantly from the manufacturer. In cell cultures, retatrutide activates all three receptors; in obese mice it lowered weight and blood glucose, with the glucagon component increasing energy expenditure</w:t>
      </w:r>
      <w:r>
        <w:rPr>
          <w:rStyle w:val="FootnoteReference"/>
        </w:rPr>
        <w:footnoteReference w:id="557"/>
      </w:r>
      <w:r>
        <w:t xml:space="preserve">. One study in obese mice describes that transplanted pancreatic and lung tumors took hold less often and grew more slowly under retatrutide</w:t>
      </w:r>
      <w:r>
        <w:rPr>
          <w:rStyle w:val="FootnoteReference"/>
        </w:rPr>
        <w:footnoteReference w:id="558"/>
      </w:r>
      <w:r>
        <w:t xml:space="preserve"> </w:t>
      </w:r>
      <w:r>
        <w:t xml:space="preserve">– an animal finding from which nothing can be inferred for humans.</w:t>
      </w:r>
    </w:p>
    <w:p>
      <w:pPr>
        <w:pStyle w:val="BodyText"/>
      </w:pPr>
      <w:r>
        <w:t xml:space="preserve">For doping analysis, a detection method was developed in 2026. For this purpose, blood and urine samples were examined from four people who had injected retatrutide themselves outside of trials. No intact retatrutide was found in urine; in blood it was detectable up to about 56 days after the first injection</w:t>
      </w:r>
      <w:r>
        <w:rPr>
          <w:rStyle w:val="FootnoteReference"/>
        </w:rPr>
        <w:footnoteReference w:id="559"/>
      </w:r>
      <w:r>
        <w:t xml:space="preserve">. The authors refer to reports of its use among recreational athletes.</w:t>
      </w:r>
    </w:p>
    <w:bookmarkEnd w:id="560"/>
    <w:bookmarkStart w:id="564" w:name="risks-and-side-effects-5"/>
    <w:p>
      <w:pPr>
        <w:pStyle w:val="Heading3"/>
      </w:pPr>
      <w:r>
        <w:t xml:space="preserve">Risks and side effects</w:t>
      </w:r>
    </w:p>
    <w:p>
      <w:pPr>
        <w:pStyle w:val="FirstParagraph"/>
      </w:pPr>
      <w:r>
        <w:rPr>
          <w:bCs/>
          <w:b/>
        </w:rPr>
        <w:t xml:space="preserve">Documented in studies:</w:t>
      </w:r>
    </w:p>
    <w:p>
      <w:pPr>
        <w:numPr>
          <w:ilvl w:val="0"/>
          <w:numId w:val="1069"/>
        </w:numPr>
        <w:pStyle w:val="Compact"/>
      </w:pPr>
      <w:r>
        <w:rPr>
          <w:bCs/>
          <w:b/>
        </w:rPr>
        <w:t xml:space="preserve">Gastrointestinal complaints</w:t>
      </w:r>
      <w:r>
        <w:t xml:space="preserve"> </w:t>
      </w:r>
      <w:r>
        <w:t xml:space="preserve">are the most common side effects and clearly dose-dependent. In TRIUMPH-2, diarrhea occurred in 27–34% (placebo 13%) and nausea in 14–28% (placebo 8%)</w:t>
      </w:r>
      <w:r>
        <w:rPr>
          <w:rStyle w:val="FootnoteReference"/>
        </w:rPr>
        <w:footnoteReference w:id="561"/>
      </w:r>
      <w:r>
        <w:t xml:space="preserve">.</w:t>
      </w:r>
    </w:p>
    <w:p>
      <w:pPr>
        <w:numPr>
          <w:ilvl w:val="0"/>
          <w:numId w:val="1069"/>
        </w:numPr>
        <w:pStyle w:val="Compact"/>
      </w:pPr>
      <w:r>
        <w:rPr>
          <w:bCs/>
          <w:b/>
        </w:rPr>
        <w:t xml:space="preserve">Treatment discontinuations:</w:t>
      </w:r>
      <w:r>
        <w:t xml:space="preserve"> </w:t>
      </w:r>
      <w:r>
        <w:t xml:space="preserve">In TRIUMPH-2, 12% (9 mg) and 8% (12 mg) discontinued treatment due to side effects or death, compared with 4% on 4 mg and 5% on placebo.</w:t>
      </w:r>
    </w:p>
    <w:p>
      <w:pPr>
        <w:numPr>
          <w:ilvl w:val="0"/>
          <w:numId w:val="1069"/>
        </w:numPr>
        <w:pStyle w:val="Compact"/>
      </w:pPr>
      <w:r>
        <w:rPr>
          <w:bCs/>
          <w:b/>
        </w:rPr>
        <w:t xml:space="preserve">Dysesthesia</w:t>
      </w:r>
      <w:r>
        <w:t xml:space="preserve"> </w:t>
      </w:r>
      <w:r>
        <w:t xml:space="preserve">– unpleasant abnormal skin sensations such as tingling, burning or sensitivity to touch – occurred in TRIUMPH-2 in a dose-dependent manner in 4–7% compared with 1% on placebo. This signal is comparatively new for retatrutide; its cause is unclear.</w:t>
      </w:r>
    </w:p>
    <w:p>
      <w:pPr>
        <w:numPr>
          <w:ilvl w:val="0"/>
          <w:numId w:val="1069"/>
        </w:numPr>
        <w:pStyle w:val="Compact"/>
      </w:pPr>
      <w:r>
        <w:rPr>
          <w:bCs/>
          <w:b/>
        </w:rPr>
        <w:t xml:space="preserve">Low blood pressure</w:t>
      </w:r>
      <w:r>
        <w:t xml:space="preserve"> </w:t>
      </w:r>
      <w:r>
        <w:t xml:space="preserve">(hypotension): 1–6% compared with under 1% on placebo (TRIUMPH-2).</w:t>
      </w:r>
    </w:p>
    <w:p>
      <w:pPr>
        <w:numPr>
          <w:ilvl w:val="0"/>
          <w:numId w:val="1069"/>
        </w:numPr>
        <w:pStyle w:val="Compact"/>
      </w:pPr>
      <w:r>
        <w:rPr>
          <w:bCs/>
          <w:b/>
        </w:rPr>
        <w:t xml:space="preserve">Heart rate:</w:t>
      </w:r>
      <w:r>
        <w:t xml:space="preserve"> </w:t>
      </w:r>
      <w:r>
        <w:t xml:space="preserve">In the Phase 2 trial, pulse rose in a dose-dependent manner and declined again after 24 weeks</w:t>
      </w:r>
      <w:r>
        <w:rPr>
          <w:rStyle w:val="FootnoteReference"/>
        </w:rPr>
        <w:footnoteReference w:id="562"/>
      </w:r>
      <w:r>
        <w:t xml:space="preserve">. A higher resting heart rate is known for all GLP-1 drugs; whether it is clinically significant with the triple agonist is to be clarified by the outcome trials.</w:t>
      </w:r>
    </w:p>
    <w:p>
      <w:pPr>
        <w:numPr>
          <w:ilvl w:val="0"/>
          <w:numId w:val="1069"/>
        </w:numPr>
        <w:pStyle w:val="Compact"/>
      </w:pPr>
      <w:r>
        <w:rPr>
          <w:bCs/>
          <w:b/>
        </w:rPr>
        <w:t xml:space="preserve">Loss of lean mass:</w:t>
      </w:r>
      <w:r>
        <w:t xml:space="preserve"> </w:t>
      </w:r>
      <w:r>
        <w:t xml:space="preserve">as with any substantial weight loss (see Tirzepatide).</w:t>
      </w:r>
    </w:p>
    <w:p>
      <w:pPr>
        <w:pStyle w:val="FirstParagraph"/>
      </w:pPr>
      <w:r>
        <w:rPr>
          <w:bCs/>
          <w:b/>
        </w:rPr>
        <w:t xml:space="preserve">Theoretical or not yet adequately studied:</w:t>
      </w:r>
      <w:r>
        <w:t xml:space="preserve"> </w:t>
      </w:r>
      <w:r>
        <w:t xml:space="preserve">The glucagon component could in the long term affect amino acid metabolism, heart rhythm and bone; there are no robust long-term data on this. For the class risks of GLP-1 drugs (gallbladder, pancreas, thyroid C-cells in animal studies), there are still too few patient-years for retatrutide to draw separate conclusions.</w:t>
      </w:r>
    </w:p>
    <w:p>
      <w:pPr>
        <w:pStyle w:val="BodyText"/>
      </w:pPr>
      <w:r>
        <w:rPr>
          <w:bCs/>
          <w:b/>
        </w:rPr>
        <w:t xml:space="preserve">Gray market:</w:t>
      </w:r>
      <w:r>
        <w:t xml:space="preserve"> </w:t>
      </w:r>
      <w:r>
        <w:t xml:space="preserve">Since the Phase 2 publication, retatrutide has been offered online as a</w:t>
      </w:r>
      <w:r>
        <w:t xml:space="preserve"> </w:t>
      </w:r>
      <w:r>
        <w:t xml:space="preserve">“</w:t>
      </w:r>
      <w:r>
        <w:t xml:space="preserve">research peptide</w:t>
      </w:r>
      <w:r>
        <w:t xml:space="preserve">”</w:t>
      </w:r>
      <w:r>
        <w:t xml:space="preserve">; the journal JAMA reported in 2026 on a growing black market for retatrutide and zenagamtide</w:t>
      </w:r>
      <w:r>
        <w:rPr>
          <w:rStyle w:val="FootnoteReference"/>
        </w:rPr>
        <w:footnoteReference w:id="563"/>
      </w:r>
      <w:r>
        <w:t xml:space="preserve">. These products are not medicines, their content is not tested, and the dose-escalation schedules used in trials cannot be reliably reproduced with them. The accumulation of side effects with rapid dose escalation in the trials shows that this very point is decisive for tolerability. See Part I and Part IV on this.</w:t>
      </w:r>
    </w:p>
    <w:bookmarkEnd w:id="564"/>
    <w:bookmarkStart w:id="566" w:name="legal-status-5"/>
    <w:p>
      <w:pPr>
        <w:pStyle w:val="Heading3"/>
      </w:pPr>
      <w:r>
        <w:t xml:space="preserve">Legal status</w:t>
      </w:r>
    </w:p>
    <w:p>
      <w:pPr>
        <w:numPr>
          <w:ilvl w:val="0"/>
          <w:numId w:val="1070"/>
        </w:numPr>
        <w:pStyle w:val="Compact"/>
      </w:pPr>
      <w:r>
        <w:rPr>
          <w:bCs/>
          <w:b/>
        </w:rPr>
        <w:t xml:space="preserve">EU / Austria / Germany:</w:t>
      </w:r>
      <w:r>
        <w:t xml:space="preserve"> </w:t>
      </w:r>
      <w:r>
        <w:t xml:space="preserve">not approved. Retatrutide may only be used within clinical trials. Selling it as a</w:t>
      </w:r>
      <w:r>
        <w:t xml:space="preserve"> </w:t>
      </w:r>
      <w:r>
        <w:t xml:space="preserve">“</w:t>
      </w:r>
      <w:r>
        <w:t xml:space="preserve">research chemical</w:t>
      </w:r>
      <w:r>
        <w:t xml:space="preserve">”</w:t>
      </w:r>
      <w:r>
        <w:t xml:space="preserve"> </w:t>
      </w:r>
      <w:r>
        <w:t xml:space="preserve">for use in humans is impermissible under pharmaceutical law.</w:t>
      </w:r>
    </w:p>
    <w:p>
      <w:pPr>
        <w:numPr>
          <w:ilvl w:val="0"/>
          <w:numId w:val="1070"/>
        </w:numPr>
        <w:pStyle w:val="Compact"/>
      </w:pPr>
      <w:r>
        <w:rPr>
          <w:bCs/>
          <w:b/>
        </w:rPr>
        <w:t xml:space="preserve">USA:</w:t>
      </w:r>
      <w:r>
        <w:t xml:space="preserve"> </w:t>
      </w:r>
      <w:r>
        <w:t xml:space="preserve">not approved (as of October 2026). An expanded access program before approval (</w:t>
      </w:r>
      <w:r>
        <w:t xml:space="preserve">“</w:t>
      </w:r>
      <w:r>
        <w:t xml:space="preserve">Expanded Access</w:t>
      </w:r>
      <w:r>
        <w:t xml:space="preserve">”</w:t>
      </w:r>
      <w:r>
        <w:t xml:space="preserve">) is entered in the registry</w:t>
      </w:r>
      <w:r>
        <w:rPr>
          <w:rStyle w:val="FootnoteReference"/>
        </w:rPr>
        <w:footnoteReference w:id="565"/>
      </w:r>
      <w:r>
        <w:t xml:space="preserve">. Whether and when an application for approval will be or has been submitted – please check for updates.</w:t>
      </w:r>
    </w:p>
    <w:p>
      <w:pPr>
        <w:numPr>
          <w:ilvl w:val="0"/>
          <w:numId w:val="1070"/>
        </w:numPr>
        <w:pStyle w:val="Compact"/>
      </w:pPr>
      <w:r>
        <w:rPr>
          <w:bCs/>
          <w:b/>
        </w:rPr>
        <w:t xml:space="preserve">Sport:</w:t>
      </w:r>
      <w:r>
        <w:t xml:space="preserve"> </w:t>
      </w:r>
      <w:r>
        <w:t xml:space="preserve">As a non-approved substance, retatrutide falls under WADA class S0 (as of 2026, please check for updates). A specific detection method in blood has been described.</w:t>
      </w:r>
    </w:p>
    <w:bookmarkEnd w:id="566"/>
    <w:bookmarkStart w:id="574" w:name="ongoing-studies-and-outlook-5"/>
    <w:p>
      <w:pPr>
        <w:pStyle w:val="Heading3"/>
      </w:pPr>
      <w:r>
        <w:t xml:space="preserve">Ongoing studies and outlook</w:t>
      </w:r>
    </w:p>
    <w:p>
      <w:pPr>
        <w:pStyle w:val="FirstParagraph"/>
      </w:pPr>
      <w:r>
        <w:rPr>
          <w:bCs/>
          <w:b/>
        </w:rPr>
        <w:t xml:space="preserve">Confirmed (registered trials, as of October 2026):</w:t>
      </w:r>
    </w:p>
    <w:p>
      <w:pPr>
        <w:numPr>
          <w:ilvl w:val="0"/>
          <w:numId w:val="1071"/>
        </w:numPr>
        <w:pStyle w:val="Compact"/>
      </w:pPr>
      <w:r>
        <w:rPr>
          <w:bCs/>
          <w:b/>
        </w:rPr>
        <w:t xml:space="preserve">TRIUMPH-Outcomes</w:t>
      </w:r>
      <w:r>
        <w:rPr>
          <w:rStyle w:val="FootnoteReference"/>
        </w:rPr>
        <w:footnoteReference w:id="567"/>
      </w:r>
      <w:r>
        <w:t xml:space="preserve">: outcome trial on cardiovascular and kidney events with around 10,000 participants with obesity, planned completion 2029.</w:t>
      </w:r>
    </w:p>
    <w:p>
      <w:pPr>
        <w:numPr>
          <w:ilvl w:val="0"/>
          <w:numId w:val="1071"/>
        </w:numPr>
        <w:pStyle w:val="Compact"/>
      </w:pPr>
      <w:r>
        <w:rPr>
          <w:bCs/>
          <w:b/>
        </w:rPr>
        <w:t xml:space="preserve">Retatrutide vs. tirzepatide</w:t>
      </w:r>
      <w:r>
        <w:rPr>
          <w:rStyle w:val="FootnoteReference"/>
        </w:rPr>
        <w:footnoteReference w:id="568"/>
      </w:r>
      <w:r>
        <w:t xml:space="preserve">: direct comparison in 800 adults with obesity, planned study completion December 2026.</w:t>
      </w:r>
    </w:p>
    <w:p>
      <w:pPr>
        <w:numPr>
          <w:ilvl w:val="0"/>
          <w:numId w:val="1071"/>
        </w:numPr>
        <w:pStyle w:val="Compact"/>
      </w:pPr>
      <w:r>
        <w:rPr>
          <w:bCs/>
          <w:b/>
        </w:rPr>
        <w:t xml:space="preserve">Retatrutide vs. semaglutide</w:t>
      </w:r>
      <w:r>
        <w:t xml:space="preserve"> </w:t>
      </w:r>
      <w:r>
        <w:t xml:space="preserve">in type 2 diabetes</w:t>
      </w:r>
      <w:r>
        <w:rPr>
          <w:rStyle w:val="FootnoteReference"/>
        </w:rPr>
        <w:footnoteReference w:id="569"/>
      </w:r>
      <w:r>
        <w:t xml:space="preserve">.</w:t>
      </w:r>
    </w:p>
    <w:p>
      <w:pPr>
        <w:numPr>
          <w:ilvl w:val="0"/>
          <w:numId w:val="1071"/>
        </w:numPr>
        <w:pStyle w:val="Compact"/>
      </w:pPr>
      <w:r>
        <w:rPr>
          <w:bCs/>
          <w:b/>
        </w:rPr>
        <w:t xml:space="preserve">Weight maintenance</w:t>
      </w:r>
      <w:r>
        <w:t xml:space="preserve"> </w:t>
      </w:r>
      <w:r>
        <w:t xml:space="preserve">after weight loss</w:t>
      </w:r>
      <w:r>
        <w:rPr>
          <w:rStyle w:val="FootnoteReference"/>
        </w:rPr>
        <w:footnoteReference w:id="570"/>
      </w:r>
      <w:r>
        <w:t xml:space="preserve">,</w:t>
      </w:r>
      <w:r>
        <w:t xml:space="preserve"> </w:t>
      </w:r>
      <w:r>
        <w:rPr>
          <w:bCs/>
          <w:b/>
        </w:rPr>
        <w:t xml:space="preserve">kidney function</w:t>
      </w:r>
      <w:r>
        <w:t xml:space="preserve"> </w:t>
      </w:r>
      <w:r>
        <w:t xml:space="preserve">in type 2 diabetes with renal impairment</w:t>
      </w:r>
      <w:r>
        <w:rPr>
          <w:rStyle w:val="FootnoteReference"/>
        </w:rPr>
        <w:footnoteReference w:id="571"/>
      </w:r>
      <w:r>
        <w:t xml:space="preserve">,</w:t>
      </w:r>
      <w:r>
        <w:t xml:space="preserve"> </w:t>
      </w:r>
      <w:r>
        <w:rPr>
          <w:bCs/>
          <w:b/>
        </w:rPr>
        <w:t xml:space="preserve">chronic back pain</w:t>
      </w:r>
      <w:r>
        <w:t xml:space="preserve"> </w:t>
      </w:r>
      <w:r>
        <w:t xml:space="preserve">in obesity</w:t>
      </w:r>
      <w:r>
        <w:rPr>
          <w:rStyle w:val="FootnoteReference"/>
        </w:rPr>
        <w:footnoteReference w:id="572"/>
      </w:r>
      <w:r>
        <w:t xml:space="preserve">.</w:t>
      </w:r>
    </w:p>
    <w:p>
      <w:pPr>
        <w:numPr>
          <w:ilvl w:val="0"/>
          <w:numId w:val="1071"/>
        </w:numPr>
        <w:pStyle w:val="Compact"/>
      </w:pPr>
      <w:r>
        <w:t xml:space="preserve">Retatrutide is also part of a Phase 3 master protocol on fatty liver disease</w:t>
      </w:r>
      <w:r>
        <w:rPr>
          <w:rStyle w:val="FootnoteReference"/>
        </w:rPr>
        <w:footnoteReference w:id="573"/>
      </w:r>
      <w:r>
        <w:t xml:space="preserve">.</w:t>
      </w:r>
    </w:p>
    <w:p>
      <w:pPr>
        <w:pStyle w:val="FirstParagraph"/>
      </w:pPr>
      <w:r>
        <w:rPr>
          <w:bCs/>
          <w:b/>
        </w:rPr>
        <w:t xml:space="preserve">Assessment:</w:t>
      </w:r>
      <w:r>
        <w:t xml:space="preserve"> </w:t>
      </w:r>
      <w:r>
        <w:t xml:space="preserve">Following the TRIUMPH-1 and TRIUMPH-2 data, applications for approval in the USA and the EU are to be expected; a market launch in 2027 or 2028 appears plausible but is not certain. Whether additional weight loss compared with tirzepatide outweighs the somewhat higher discontinuation rates and the new signal of dysesthesia will be shown by the direct comparison. For many people, moderate, well-tolerated weight loss is more important than a record value.</w:t>
      </w:r>
    </w:p>
    <w:bookmarkEnd w:id="574"/>
    <w:bookmarkStart w:id="575" w:name="conclusion-5"/>
    <w:p>
      <w:pPr>
        <w:pStyle w:val="Heading3"/>
      </w:pPr>
      <w:r>
        <w:t xml:space="preserve">Conclusion</w:t>
      </w:r>
    </w:p>
    <w:p>
      <w:pPr>
        <w:pStyle w:val="FirstParagraph"/>
      </w:pPr>
      <w:r>
        <w:t xml:space="preserve">Retatrutide is a triple agonist at the GIP, GLP-1 and glucagon receptors and achieved an average weight loss of 25.0% after 80 weeks in the Phase 3 trial TRIUMPH-1 – the highest value measured to date in a large drug trial. Clear effects were also seen in type 2 diabetes, knee osteoarthritis and sleep apnea. Side effects mainly affect the gastrointestinal tract; abnormal skin sensations are new, and discontinuation rates rise at high doses. Data on cardiovascular events and an approval are still pending. Gray-market products labeled</w:t>
      </w:r>
      <w:r>
        <w:t xml:space="preserve"> </w:t>
      </w:r>
      <w:r>
        <w:t xml:space="preserve">“</w:t>
      </w:r>
      <w:r>
        <w:t xml:space="preserve">Retatrutide</w:t>
      </w:r>
      <w:r>
        <w:t xml:space="preserve">”</w:t>
      </w:r>
      <w:r>
        <w:t xml:space="preserve"> </w:t>
      </w:r>
      <w:r>
        <w:t xml:space="preserve">are not a safe shortcut to this medicine.</w:t>
      </w:r>
    </w:p>
    <w:bookmarkEnd w:id="575"/>
    <w:bookmarkEnd w:id="576"/>
    <w:bookmarkStart w:id="612" w:name="survodutide"/>
    <w:p>
      <w:pPr>
        <w:pStyle w:val="Heading2"/>
      </w:pPr>
      <w:r>
        <w:t xml:space="preserve">Survodutide</w:t>
      </w:r>
    </w:p>
    <w:bookmarkStart w:id="577" w:name="profile-6"/>
    <w:p>
      <w:pPr>
        <w:pStyle w:val="Heading3"/>
      </w:pPr>
      <w:r>
        <w:t xml:space="preserve">Profile</w:t>
      </w:r>
    </w:p>
    <w:p>
      <w:pPr>
        <w:numPr>
          <w:ilvl w:val="0"/>
          <w:numId w:val="1072"/>
        </w:numPr>
        <w:pStyle w:val="Compact"/>
      </w:pPr>
      <w:r>
        <w:rPr>
          <w:bCs/>
          <w:b/>
        </w:rPr>
        <w:t xml:space="preserve">Type/structure:</w:t>
      </w:r>
      <w:r>
        <w:t xml:space="preserve"> </w:t>
      </w:r>
      <w:r>
        <w:t xml:space="preserve">synthetic, fatty-acid-modified peptide for once-weekly injection under the skin; development code BI 456906.</w:t>
      </w:r>
    </w:p>
    <w:p>
      <w:pPr>
        <w:numPr>
          <w:ilvl w:val="0"/>
          <w:numId w:val="1072"/>
        </w:numPr>
        <w:pStyle w:val="Compact"/>
      </w:pPr>
      <w:r>
        <w:rPr>
          <w:bCs/>
          <w:b/>
        </w:rPr>
        <w:t xml:space="preserve">Origin:</w:t>
      </w:r>
      <w:r>
        <w:t xml:space="preserve"> </w:t>
      </w:r>
      <w:r>
        <w:t xml:space="preserve">developed by Boehringer Ingelheim in collaboration with the Danish company Zealand Pharma.</w:t>
      </w:r>
    </w:p>
    <w:p>
      <w:pPr>
        <w:numPr>
          <w:ilvl w:val="0"/>
          <w:numId w:val="1072"/>
        </w:numPr>
        <w:pStyle w:val="Compact"/>
      </w:pPr>
      <w:r>
        <w:rPr>
          <w:bCs/>
          <w:b/>
        </w:rPr>
        <w:t xml:space="preserve">Mechanism of action:</w:t>
      </w:r>
      <w:r>
        <w:t xml:space="preserve"> </w:t>
      </w:r>
      <w:r>
        <w:t xml:space="preserve">dual agonist at the glucagon receptor and GLP-1 receptor (without a GIP component).</w:t>
      </w:r>
    </w:p>
    <w:p>
      <w:pPr>
        <w:numPr>
          <w:ilvl w:val="0"/>
          <w:numId w:val="1072"/>
        </w:numPr>
        <w:pStyle w:val="Compact"/>
      </w:pPr>
      <w:r>
        <w:rPr>
          <w:bCs/>
          <w:b/>
        </w:rPr>
        <w:t xml:space="preserve">Approval EU:</w:t>
      </w:r>
      <w:r>
        <w:t xml:space="preserve"> </w:t>
      </w:r>
      <w:r>
        <w:t xml:space="preserve">no (as of October 2026).</w:t>
      </w:r>
    </w:p>
    <w:p>
      <w:pPr>
        <w:numPr>
          <w:ilvl w:val="0"/>
          <w:numId w:val="1072"/>
        </w:numPr>
        <w:pStyle w:val="Compact"/>
      </w:pPr>
      <w:r>
        <w:rPr>
          <w:bCs/>
          <w:b/>
        </w:rPr>
        <w:t xml:space="preserve">Approval USA:</w:t>
      </w:r>
      <w:r>
        <w:t xml:space="preserve"> </w:t>
      </w:r>
      <w:r>
        <w:t xml:space="preserve">no (as of October 2026).</w:t>
      </w:r>
    </w:p>
    <w:p>
      <w:pPr>
        <w:numPr>
          <w:ilvl w:val="0"/>
          <w:numId w:val="1072"/>
        </w:numPr>
        <w:pStyle w:val="Compact"/>
      </w:pPr>
      <w:r>
        <w:rPr>
          <w:bCs/>
          <w:b/>
        </w:rPr>
        <w:t xml:space="preserve">WADA:</w:t>
      </w:r>
      <w:r>
        <w:t xml:space="preserve"> </w:t>
      </w:r>
      <w:r>
        <w:t xml:space="preserve">as a substance not approved anywhere, prohibited under S0</w:t>
      </w:r>
      <w:r>
        <w:t xml:space="preserve"> </w:t>
      </w:r>
      <w:r>
        <w:t xml:space="preserve">“</w:t>
      </w:r>
      <w:r>
        <w:t xml:space="preserve">Non-approved substances</w:t>
      </w:r>
      <w:r>
        <w:t xml:space="preserve">”</w:t>
      </w:r>
      <w:r>
        <w:t xml:space="preserve">.</w:t>
      </w:r>
    </w:p>
    <w:p>
      <w:pPr>
        <w:numPr>
          <w:ilvl w:val="0"/>
          <w:numId w:val="1072"/>
        </w:numPr>
        <w:pStyle w:val="Compact"/>
      </w:pPr>
      <w:r>
        <w:rPr>
          <w:bCs/>
          <w:b/>
        </w:rPr>
        <w:t xml:space="preserve">Evidence level:</w:t>
      </w:r>
      <w:r>
        <w:t xml:space="preserve"> </w:t>
      </w:r>
      <w:r>
        <w:rPr>
          <w:bCs/>
          <w:b/>
        </w:rPr>
        <w:t xml:space="preserve">B</w:t>
      </w:r>
      <w:r>
        <w:t xml:space="preserve"> </w:t>
      </w:r>
      <w:r>
        <w:t xml:space="preserve">– randomized Phase 2 and first Phase 3 trials published, no approval.</w:t>
      </w:r>
    </w:p>
    <w:bookmarkEnd w:id="577"/>
    <w:bookmarkStart w:id="581" w:name="how-it-is-supposed-to-work-6"/>
    <w:p>
      <w:pPr>
        <w:pStyle w:val="Heading3"/>
      </w:pPr>
      <w:r>
        <w:t xml:space="preserve">How it is supposed to work</w:t>
      </w:r>
    </w:p>
    <w:p>
      <w:pPr>
        <w:pStyle w:val="FirstParagraph"/>
      </w:pPr>
      <w:r>
        <w:t xml:space="preserve">Survodutide combines two gut and pancreatic hormones: GLP-1, which promotes satiety and enhances insulin secretion, and glucagon, which increases energy expenditure and stimulates the liver to break down fat. While tirzepatide relies on GIP plus GLP-1 and retatrutide combines all three signals, survodutide omits the GIP component and instead emphasizes the glucagon effect. The manufacturer is thus targeting the liver in particular: the fatty liver disease MASH is the second main area of development alongside obesity.</w:t>
      </w:r>
    </w:p>
    <w:p>
      <w:pPr>
        <w:pStyle w:val="BodyText"/>
      </w:pPr>
      <w:r>
        <w:t xml:space="preserve">Survodutide was selected from 19 similar candidates because it engaged both receptors in a balanced way in animal experiments. In obese mice, body weight decreased by about a quarter</w:t>
      </w:r>
      <w:r>
        <w:rPr>
          <w:rStyle w:val="FootnoteReference"/>
        </w:rPr>
        <w:footnoteReference w:id="578"/>
      </w:r>
      <w:r>
        <w:t xml:space="preserve">. Studies in mice suggest that the appetite-reducing effect in the brain runs mainly via the GLP-1 receptor; the glucagon component acts rather in the body, for example in the liver</w:t>
      </w:r>
      <w:r>
        <w:rPr>
          <w:rStyle w:val="FootnoteReference"/>
        </w:rPr>
        <w:footnoteReference w:id="579"/>
      </w:r>
      <w:r>
        <w:t xml:space="preserve">. These are animal findings; in humans, the effect on energy expenditure is currently being measured in a dedicated trial</w:t>
      </w:r>
      <w:r>
        <w:rPr>
          <w:rStyle w:val="FootnoteReference"/>
        </w:rPr>
        <w:footnoteReference w:id="580"/>
      </w:r>
      <w:r>
        <w:t xml:space="preserve">.</w:t>
      </w:r>
    </w:p>
    <w:bookmarkEnd w:id="581"/>
    <w:bookmarkStart w:id="591" w:name="human-studies-6"/>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10 human studies; in addition, there is the publication of the Phase 3 trial SYNCHRONIZE-2, found through a targeted follow-up search. On ClinicalTrials.gov, 29 trials were registered, including the Phase 3 program SYNCHRONIZE (obesity) and LIVERAGE (MASH).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2 type 2 diabetes (Blüher 2024), PMID 38095657</w:t>
            </w:r>
          </w:p>
        </w:tc>
        <w:tc>
          <w:tcPr/>
          <w:p>
            <w:pPr>
              <w:pStyle w:val="Compact"/>
              <w:jc w:val="left"/>
            </w:pPr>
            <w:r>
              <w:t xml:space="preserve">413 adults on metformin, vs. placebo and open-label semaglutide</w:t>
            </w:r>
          </w:p>
        </w:tc>
        <w:tc>
          <w:tcPr/>
          <w:p>
            <w:pPr>
              <w:pStyle w:val="Compact"/>
              <w:jc w:val="left"/>
            </w:pPr>
            <w:r>
              <w:t xml:space="preserve">16 weeks</w:t>
            </w:r>
          </w:p>
        </w:tc>
        <w:tc>
          <w:tcPr/>
          <w:p>
            <w:pPr>
              <w:pStyle w:val="Compact"/>
              <w:jc w:val="left"/>
            </w:pPr>
            <w:r>
              <w:t xml:space="preserve">HbA1c up to −1.71 points; weight up to −8.7% (semaglutide −5.3%)</w:t>
            </w:r>
          </w:p>
        </w:tc>
      </w:tr>
      <w:tr>
        <w:tc>
          <w:tcPr/>
          <w:p>
            <w:pPr>
              <w:pStyle w:val="Compact"/>
              <w:jc w:val="left"/>
            </w:pPr>
            <w:r>
              <w:t xml:space="preserve">Phase 2 obesity (le Roux 2024), PMID 38330987</w:t>
            </w:r>
          </w:p>
        </w:tc>
        <w:tc>
          <w:tcPr/>
          <w:p>
            <w:pPr>
              <w:pStyle w:val="Compact"/>
              <w:jc w:val="left"/>
            </w:pPr>
            <w:r>
              <w:t xml:space="preserve">387 adults without diabetes, vs. placebo</w:t>
            </w:r>
          </w:p>
        </w:tc>
        <w:tc>
          <w:tcPr/>
          <w:p>
            <w:pPr>
              <w:pStyle w:val="Compact"/>
              <w:jc w:val="left"/>
            </w:pPr>
            <w:r>
              <w:t xml:space="preserve">46 weeks</w:t>
            </w:r>
          </w:p>
        </w:tc>
        <w:tc>
          <w:tcPr/>
          <w:p>
            <w:pPr>
              <w:pStyle w:val="Compact"/>
              <w:jc w:val="left"/>
            </w:pPr>
            <w:r>
              <w:t xml:space="preserve">−6.2 to −14.9% weight vs. −2.8%</w:t>
            </w:r>
          </w:p>
        </w:tc>
      </w:tr>
      <w:tr>
        <w:tc>
          <w:tcPr/>
          <w:p>
            <w:pPr>
              <w:pStyle w:val="Compact"/>
              <w:jc w:val="left"/>
            </w:pPr>
            <w:r>
              <w:t xml:space="preserve">Phase 2 MASH (Sanyal 2024), PMID 38847460</w:t>
            </w:r>
          </w:p>
        </w:tc>
        <w:tc>
          <w:tcPr/>
          <w:p>
            <w:pPr>
              <w:pStyle w:val="Compact"/>
              <w:jc w:val="left"/>
            </w:pPr>
            <w:r>
              <w:t xml:space="preserve">293 adults with biopsy-confirmed MASH and fibrosis F1–F3</w:t>
            </w:r>
          </w:p>
        </w:tc>
        <w:tc>
          <w:tcPr/>
          <w:p>
            <w:pPr>
              <w:pStyle w:val="Compact"/>
              <w:jc w:val="left"/>
            </w:pPr>
            <w:r>
              <w:t xml:space="preserve">48 weeks</w:t>
            </w:r>
          </w:p>
        </w:tc>
        <w:tc>
          <w:tcPr/>
          <w:p>
            <w:pPr>
              <w:pStyle w:val="Compact"/>
              <w:jc w:val="left"/>
            </w:pPr>
            <w:r>
              <w:t xml:space="preserve">MASH improvement in 43–62% vs. 14%</w:t>
            </w:r>
          </w:p>
        </w:tc>
      </w:tr>
      <w:tr>
        <w:tc>
          <w:tcPr/>
          <w:p>
            <w:pPr>
              <w:pStyle w:val="Compact"/>
              <w:jc w:val="left"/>
            </w:pPr>
            <w:r>
              <w:t xml:space="preserve">SYNCHRONIZE-1 (le Roux 2026), PMID 42253238</w:t>
            </w:r>
          </w:p>
        </w:tc>
        <w:tc>
          <w:tcPr/>
          <w:p>
            <w:pPr>
              <w:pStyle w:val="Compact"/>
              <w:jc w:val="left"/>
            </w:pPr>
            <w:r>
              <w:t xml:space="preserve">725 adults with obesity without diabetes, vs. placebo</w:t>
            </w:r>
          </w:p>
        </w:tc>
        <w:tc>
          <w:tcPr/>
          <w:p>
            <w:pPr>
              <w:pStyle w:val="Compact"/>
              <w:jc w:val="left"/>
            </w:pPr>
            <w:r>
              <w:t xml:space="preserve">76 weeks</w:t>
            </w:r>
          </w:p>
        </w:tc>
        <w:tc>
          <w:tcPr/>
          <w:p>
            <w:pPr>
              <w:pStyle w:val="Compact"/>
              <w:jc w:val="left"/>
            </w:pPr>
            <w:r>
              <w:t xml:space="preserve">−12.2 / −13.0% (3.6/6.0 mg) vs. −5.4%</w:t>
            </w:r>
          </w:p>
        </w:tc>
      </w:tr>
      <w:tr>
        <w:tc>
          <w:tcPr/>
          <w:p>
            <w:pPr>
              <w:pStyle w:val="Compact"/>
              <w:jc w:val="left"/>
            </w:pPr>
            <w:r>
              <w:t xml:space="preserve">SYNCHRONIZE-2 (Wharton 2026), PMID 42820639</w:t>
            </w:r>
          </w:p>
        </w:tc>
        <w:tc>
          <w:tcPr/>
          <w:p>
            <w:pPr>
              <w:pStyle w:val="Compact"/>
              <w:jc w:val="left"/>
            </w:pPr>
            <w:r>
              <w:t xml:space="preserve">752 adults with obesity and type 2 diabetes, vs. placebo</w:t>
            </w:r>
          </w:p>
        </w:tc>
        <w:tc>
          <w:tcPr/>
          <w:p>
            <w:pPr>
              <w:pStyle w:val="Compact"/>
              <w:jc w:val="left"/>
            </w:pPr>
            <w:r>
              <w:t xml:space="preserve">76 weeks</w:t>
            </w:r>
          </w:p>
        </w:tc>
        <w:tc>
          <w:tcPr/>
          <w:p>
            <w:pPr>
              <w:pStyle w:val="Compact"/>
              <w:jc w:val="left"/>
            </w:pPr>
            <w:r>
              <w:t xml:space="preserve">−8.2 / −9.8% vs. −3.9%</w:t>
            </w:r>
          </w:p>
        </w:tc>
      </w:tr>
      <w:tr>
        <w:tc>
          <w:tcPr/>
          <w:p>
            <w:pPr>
              <w:pStyle w:val="Compact"/>
              <w:jc w:val="left"/>
            </w:pPr>
            <w:r>
              <w:t xml:space="preserve">SYNCHRONIZE-MASLD (Kaplan 2026), PMID 42252333</w:t>
            </w:r>
          </w:p>
        </w:tc>
        <w:tc>
          <w:tcPr/>
          <w:p>
            <w:pPr>
              <w:pStyle w:val="Compact"/>
              <w:jc w:val="left"/>
            </w:pPr>
            <w:r>
              <w:t xml:space="preserve">216 adults with obesity and fatty liver with risk signs</w:t>
            </w:r>
          </w:p>
        </w:tc>
        <w:tc>
          <w:tcPr/>
          <w:p>
            <w:pPr>
              <w:pStyle w:val="Compact"/>
              <w:jc w:val="left"/>
            </w:pPr>
            <w:r>
              <w:t xml:space="preserve">48 weeks</w:t>
            </w:r>
          </w:p>
        </w:tc>
        <w:tc>
          <w:tcPr/>
          <w:p>
            <w:pPr>
              <w:pStyle w:val="Compact"/>
              <w:jc w:val="left"/>
            </w:pPr>
            <w:r>
              <w:t xml:space="preserve">liver fat −30% or more in 84.2% vs. 24.3%</w:t>
            </w:r>
          </w:p>
        </w:tc>
      </w:tr>
    </w:tbl>
    <w:bookmarkStart w:id="586" w:name="obesity-and-type-2-diabetes"/>
    <w:p>
      <w:pPr>
        <w:pStyle w:val="Heading4"/>
      </w:pPr>
      <w:r>
        <w:t xml:space="preserve">Obesity and type 2 diabetes</w:t>
      </w:r>
    </w:p>
    <w:p>
      <w:pPr>
        <w:pStyle w:val="FirstParagraph"/>
      </w:pPr>
      <w:r>
        <w:t xml:space="preserve">The Phase 2 trial in obesity</w:t>
      </w:r>
      <w:r>
        <w:rPr>
          <w:rStyle w:val="FootnoteReference"/>
        </w:rPr>
        <w:footnoteReference w:id="582"/>
      </w:r>
      <w:r>
        <w:t xml:space="preserve"> </w:t>
      </w:r>
      <w:r>
        <w:t xml:space="preserve">showed dose-dependent weight loss of up to 14.9% after 46 weeks. The high discontinuation rate was striking: only 61% of participants on survodutide completed the 46 weeks of treatment, but likewise only 60% on placebo. Gastrointestinal side effects occurred in 75% on survodutide and 42% on placebo. Dose escalation in this trial was comparatively fast.</w:t>
      </w:r>
    </w:p>
    <w:p>
      <w:pPr>
        <w:pStyle w:val="BodyText"/>
      </w:pPr>
      <w:r>
        <w:t xml:space="preserve">In the Phase 3 trial</w:t>
      </w:r>
      <w:r>
        <w:t xml:space="preserve"> </w:t>
      </w:r>
      <w:r>
        <w:rPr>
          <w:bCs/>
          <w:b/>
        </w:rPr>
        <w:t xml:space="preserve">SYNCHRONIZE-1</w:t>
      </w:r>
      <w:r>
        <w:rPr>
          <w:rStyle w:val="FootnoteReference"/>
        </w:rPr>
        <w:footnoteReference w:id="583"/>
      </w:r>
      <w:r>
        <w:t xml:space="preserve">, the dose was escalated more slowly. After 76 weeks, participants on the higher dose lost 13.0% of their body weight, and 5.4% on placebo. This is below the values that tirzepatide or retatrutide achieved in similarly designed trials. It should be noted that the main analysis included all persons – including those who discontinued treatment or in whom dose escalation was extended. Gastrointestinal complaints affected 80.9% and 89.7%, respectively, compared with 47.9% on placebo; there were no deaths.</w:t>
      </w:r>
    </w:p>
    <w:p>
      <w:pPr>
        <w:pStyle w:val="BodyText"/>
      </w:pPr>
      <w:r>
        <w:rPr>
          <w:bCs/>
          <w:b/>
        </w:rPr>
        <w:t xml:space="preserve">SYNCHRONIZE-2</w:t>
      </w:r>
      <w:r>
        <w:rPr>
          <w:rStyle w:val="FootnoteReference"/>
        </w:rPr>
        <w:footnoteReference w:id="584"/>
      </w:r>
      <w:r>
        <w:t xml:space="preserve"> </w:t>
      </w:r>
      <w:r>
        <w:t xml:space="preserve">studied 752 people with obesity and type 2 diabetes. Weight loss after 76 weeks was 8.2% and 9.8%, respectively, compared with 3.9% on placebo; HbA1c fell from 7.4% by 0.8 to 0.9 percentage points.</w:t>
      </w:r>
    </w:p>
    <w:p>
      <w:pPr>
        <w:pStyle w:val="BodyText"/>
      </w:pPr>
      <w:r>
        <w:t xml:space="preserve">In the Phase 2 trial in type 2 diabetes, survodutide at a low dose lowered HbA1c after 16 weeks about as much as semaglutide 1 mg (about −1.46 and −1.47 points, respectively); the higher doses led to more weight loss than semaglutide</w:t>
      </w:r>
      <w:r>
        <w:rPr>
          <w:rStyle w:val="FootnoteReference"/>
        </w:rPr>
        <w:footnoteReference w:id="585"/>
      </w:r>
      <w:r>
        <w:t xml:space="preserve">. However, the semaglutide arm was open-label and the trial was short.</w:t>
      </w:r>
    </w:p>
    <w:bookmarkEnd w:id="586"/>
    <w:bookmarkStart w:id="590" w:name="fatty-liver-masld-and-mash"/>
    <w:p>
      <w:pPr>
        <w:pStyle w:val="Heading4"/>
      </w:pPr>
      <w:r>
        <w:t xml:space="preserve">Fatty liver (MASLD and MASH)</w:t>
      </w:r>
    </w:p>
    <w:p>
      <w:pPr>
        <w:pStyle w:val="FirstParagraph"/>
      </w:pPr>
      <w:r>
        <w:t xml:space="preserve">This is where the real strength of the data so far lies. In the Phase 2 trial in biopsy-confirmed MASH with fibrosis</w:t>
      </w:r>
      <w:r>
        <w:rPr>
          <w:rStyle w:val="FootnoteReference"/>
        </w:rPr>
        <w:footnoteReference w:id="587"/>
      </w:r>
      <w:r>
        <w:t xml:space="preserve">, liver inflammation improved without worsening of fibrosis in 47%, 62% and 43% of the three dose groups compared with 14% on placebo. An improvement in fibrosis by at least one stage was seen in 34–36% compared with 22%. The dose-response curve was not linear: the middle dose performed best.</w:t>
      </w:r>
    </w:p>
    <w:p>
      <w:pPr>
        <w:pStyle w:val="BodyText"/>
      </w:pPr>
      <w:r>
        <w:t xml:space="preserve">The Phase 3 trial</w:t>
      </w:r>
      <w:r>
        <w:t xml:space="preserve"> </w:t>
      </w:r>
      <w:r>
        <w:rPr>
          <w:bCs/>
          <w:b/>
        </w:rPr>
        <w:t xml:space="preserve">SYNCHRONIZE-MASLD</w:t>
      </w:r>
      <w:r>
        <w:rPr>
          <w:rStyle w:val="FootnoteReference"/>
        </w:rPr>
        <w:footnoteReference w:id="588"/>
      </w:r>
      <w:r>
        <w:t xml:space="preserve"> </w:t>
      </w:r>
      <w:r>
        <w:t xml:space="preserve">with 216 adults showed, after 48 weeks, a reduction in liver fat of at least 30% in 84.2% on survodutide (placebo 24.3%), measured by MRI. According to the stricter analysis, which also takes treatment discontinuations into account, it was 68.5% compared with 28.6%. The authors themselves cite the short duration and recruitment only in the USA and Spain as limitations.</w:t>
      </w:r>
    </w:p>
    <w:p>
      <w:pPr>
        <w:pStyle w:val="BodyText"/>
      </w:pPr>
      <w:r>
        <w:t xml:space="preserve">In an open-label Phase 1 trial, survodutide was also studied in people with liver cirrhosis, including advanced stages. Blood levels did not differ substantially from those of people with healthy livers; liver fat, liver stiffness and body weight decreased over 28 weeks</w:t>
      </w:r>
      <w:r>
        <w:rPr>
          <w:rStyle w:val="FootnoteReference"/>
        </w:rPr>
        <w:footnoteReference w:id="589"/>
      </w:r>
      <w:r>
        <w:t xml:space="preserve">. This trial was small and uncontrolled.</w:t>
      </w:r>
    </w:p>
    <w:bookmarkEnd w:id="590"/>
    <w:bookmarkEnd w:id="591"/>
    <w:bookmarkStart w:id="594" w:name="animal-and-laboratory-studies-6"/>
    <w:p>
      <w:pPr>
        <w:pStyle w:val="Heading3"/>
      </w:pPr>
      <w:r>
        <w:t xml:space="preserve">Animal and laboratory studies</w:t>
      </w:r>
    </w:p>
    <w:p>
      <w:pPr>
        <w:pStyle w:val="FirstParagraph"/>
      </w:pPr>
      <w:r>
        <w:t xml:space="preserve">The preclinical data come predominantly from the manufacturer’s laboratories: receptor profiles in cell lines, weight loss in mice with diet-induced obesity and blood glucose reduction in diabetic mice</w:t>
      </w:r>
      <w:r>
        <w:rPr>
          <w:rStyle w:val="FootnoteReference"/>
        </w:rPr>
        <w:footnoteReference w:id="592"/>
      </w:r>
      <w:r>
        <w:t xml:space="preserve">. Studies in mice and in human tissue are available on the site of action in the brain</w:t>
      </w:r>
      <w:r>
        <w:rPr>
          <w:rStyle w:val="FootnoteReference"/>
        </w:rPr>
        <w:footnoteReference w:id="593"/>
      </w:r>
      <w:r>
        <w:t xml:space="preserve">. Independent animal studies are rare.</w:t>
      </w:r>
    </w:p>
    <w:bookmarkEnd w:id="594"/>
    <w:bookmarkStart w:id="598" w:name="risks-and-side-effects-6"/>
    <w:p>
      <w:pPr>
        <w:pStyle w:val="Heading3"/>
      </w:pPr>
      <w:r>
        <w:t xml:space="preserve">Risks and side effects</w:t>
      </w:r>
    </w:p>
    <w:p>
      <w:pPr>
        <w:pStyle w:val="FirstParagraph"/>
      </w:pPr>
      <w:r>
        <w:rPr>
          <w:bCs/>
          <w:b/>
        </w:rPr>
        <w:t xml:space="preserve">Documented in studies:</w:t>
      </w:r>
    </w:p>
    <w:p>
      <w:pPr>
        <w:numPr>
          <w:ilvl w:val="0"/>
          <w:numId w:val="1073"/>
        </w:numPr>
        <w:pStyle w:val="Compact"/>
      </w:pPr>
      <w:r>
        <w:rPr>
          <w:bCs/>
          <w:b/>
        </w:rPr>
        <w:t xml:space="preserve">Gastrointestinal complaints</w:t>
      </w:r>
      <w:r>
        <w:t xml:space="preserve"> </w:t>
      </w:r>
      <w:r>
        <w:t xml:space="preserve">are particularly common with survodutide. In the MASH trial, nausea occurred in 66% (placebo 23%), diarrhea in 49% (23%) and vomiting in 41% (4%)</w:t>
      </w:r>
      <w:r>
        <w:rPr>
          <w:rStyle w:val="FootnoteReference"/>
        </w:rPr>
        <w:footnoteReference w:id="595"/>
      </w:r>
      <w:r>
        <w:t xml:space="preserve">. In SYNCHRONIZE-1, up to 89.7% reported gastrointestinal complaints</w:t>
      </w:r>
      <w:r>
        <w:rPr>
          <w:rStyle w:val="FootnoteReference"/>
        </w:rPr>
        <w:footnoteReference w:id="596"/>
      </w:r>
      <w:r>
        <w:t xml:space="preserve">. The frequency is high compared with other incretin drugs, even though most complaints were mild to moderate.</w:t>
      </w:r>
    </w:p>
    <w:p>
      <w:pPr>
        <w:numPr>
          <w:ilvl w:val="0"/>
          <w:numId w:val="1073"/>
        </w:numPr>
        <w:pStyle w:val="Compact"/>
      </w:pPr>
      <w:r>
        <w:rPr>
          <w:bCs/>
          <w:b/>
        </w:rPr>
        <w:t xml:space="preserve">Serious adverse events</w:t>
      </w:r>
      <w:r>
        <w:t xml:space="preserve"> </w:t>
      </w:r>
      <w:r>
        <w:t xml:space="preserve">were similarly frequent in the MASH trial, at 8% on survodutide and 7% on placebo.</w:t>
      </w:r>
    </w:p>
    <w:p>
      <w:pPr>
        <w:numPr>
          <w:ilvl w:val="0"/>
          <w:numId w:val="1073"/>
        </w:numPr>
        <w:pStyle w:val="Compact"/>
      </w:pPr>
      <w:r>
        <w:rPr>
          <w:bCs/>
          <w:b/>
        </w:rPr>
        <w:t xml:space="preserve">Discontinuations:</w:t>
      </w:r>
      <w:r>
        <w:t xml:space="preserve"> </w:t>
      </w:r>
      <w:r>
        <w:t xml:space="preserve">In the Phase 2 obesity trial, only around 60% completed the treatment phase – in both groups.</w:t>
      </w:r>
    </w:p>
    <w:p>
      <w:pPr>
        <w:pStyle w:val="FirstParagraph"/>
      </w:pPr>
      <w:r>
        <w:rPr>
          <w:bCs/>
          <w:b/>
        </w:rPr>
        <w:t xml:space="preserve">Still open:</w:t>
      </w:r>
      <w:r>
        <w:t xml:space="preserve"> </w:t>
      </w:r>
      <w:r>
        <w:t xml:space="preserve">Increases in heart rate are known for glucagon and GLP-1 agonists; a dedicated trial on cardiac safety was conducted</w:t>
      </w:r>
      <w:r>
        <w:rPr>
          <w:rStyle w:val="FootnoteReference"/>
        </w:rPr>
        <w:footnoteReference w:id="597"/>
      </w:r>
      <w:r>
        <w:t xml:space="preserve">. According to the registry, the large cardiovascular safety trial SYNCHRONIZE-CVOT has been completed; at the editorial deadline, the results had not yet been published in a peer-reviewed journal. Long-term effects of the glucagon component on muscle, bone and amino acid metabolism have not been studied.</w:t>
      </w:r>
    </w:p>
    <w:bookmarkEnd w:id="598"/>
    <w:bookmarkStart w:id="599" w:name="legal-status-6"/>
    <w:p>
      <w:pPr>
        <w:pStyle w:val="Heading3"/>
      </w:pPr>
      <w:r>
        <w:t xml:space="preserve">Legal status</w:t>
      </w:r>
    </w:p>
    <w:p>
      <w:pPr>
        <w:numPr>
          <w:ilvl w:val="0"/>
          <w:numId w:val="1074"/>
        </w:numPr>
        <w:pStyle w:val="Compact"/>
      </w:pPr>
      <w:r>
        <w:rPr>
          <w:bCs/>
          <w:b/>
        </w:rPr>
        <w:t xml:space="preserve">EU / Austria / Germany:</w:t>
      </w:r>
      <w:r>
        <w:t xml:space="preserve"> </w:t>
      </w:r>
      <w:r>
        <w:t xml:space="preserve">not approved; use only in clinical trials. Gray-market offerings are not legal medicines.</w:t>
      </w:r>
    </w:p>
    <w:p>
      <w:pPr>
        <w:numPr>
          <w:ilvl w:val="0"/>
          <w:numId w:val="1074"/>
        </w:numPr>
        <w:pStyle w:val="Compact"/>
      </w:pPr>
      <w:r>
        <w:rPr>
          <w:bCs/>
          <w:b/>
        </w:rPr>
        <w:t xml:space="preserve">USA:</w:t>
      </w:r>
      <w:r>
        <w:t xml:space="preserve"> </w:t>
      </w:r>
      <w:r>
        <w:t xml:space="preserve">not approved. The FDA has designated survodutide a</w:t>
      </w:r>
      <w:r>
        <w:t xml:space="preserve"> </w:t>
      </w:r>
      <w:r>
        <w:t xml:space="preserve">“</w:t>
      </w:r>
      <w:r>
        <w:t xml:space="preserve">Breakthrough Therapy</w:t>
      </w:r>
      <w:r>
        <w:t xml:space="preserve">”</w:t>
      </w:r>
      <w:r>
        <w:t xml:space="preserve"> </w:t>
      </w:r>
      <w:r>
        <w:t xml:space="preserve">for the treatment of MASH, which can speed up the review process.</w:t>
      </w:r>
    </w:p>
    <w:p>
      <w:pPr>
        <w:numPr>
          <w:ilvl w:val="0"/>
          <w:numId w:val="1074"/>
        </w:numPr>
        <w:pStyle w:val="Compact"/>
      </w:pPr>
      <w:r>
        <w:rPr>
          <w:bCs/>
          <w:b/>
        </w:rPr>
        <w:t xml:space="preserve">Sport:</w:t>
      </w:r>
      <w:r>
        <w:t xml:space="preserve"> </w:t>
      </w:r>
      <w:r>
        <w:t xml:space="preserve">WADA class S0 (non-approved substance), as of 2026, please check for updates.</w:t>
      </w:r>
    </w:p>
    <w:bookmarkEnd w:id="599"/>
    <w:bookmarkStart w:id="610" w:name="ongoing-studies-and-outlook-6"/>
    <w:p>
      <w:pPr>
        <w:pStyle w:val="Heading3"/>
      </w:pPr>
      <w:r>
        <w:t xml:space="preserve">Ongoing studies and outlook</w:t>
      </w:r>
    </w:p>
    <w:p>
      <w:pPr>
        <w:pStyle w:val="FirstParagraph"/>
      </w:pPr>
      <w:r>
        <w:rPr>
          <w:bCs/>
          <w:b/>
        </w:rPr>
        <w:t xml:space="preserve">Confirmed (registered trials, as of October 2026):</w:t>
      </w:r>
    </w:p>
    <w:p>
      <w:pPr>
        <w:numPr>
          <w:ilvl w:val="0"/>
          <w:numId w:val="1075"/>
        </w:numPr>
        <w:pStyle w:val="Compact"/>
      </w:pPr>
      <w:r>
        <w:rPr>
          <w:bCs/>
          <w:b/>
        </w:rPr>
        <w:t xml:space="preserve">SYNCHRONIZE-CVOT</w:t>
      </w:r>
      <w:r>
        <w:rPr>
          <w:rStyle w:val="FootnoteReference"/>
        </w:rPr>
        <w:footnoteReference w:id="600"/>
      </w:r>
      <w:r>
        <w:t xml:space="preserve">: cardiovascular safety trial with 5,531 participants, completed according to the registry; design described in Kosiborod 2024</w:t>
      </w:r>
      <w:r>
        <w:rPr>
          <w:rStyle w:val="FootnoteReference"/>
        </w:rPr>
        <w:footnoteReference w:id="601"/>
      </w:r>
      <w:r>
        <w:t xml:space="preserve">.</w:t>
      </w:r>
    </w:p>
    <w:p>
      <w:pPr>
        <w:numPr>
          <w:ilvl w:val="0"/>
          <w:numId w:val="1075"/>
        </w:numPr>
        <w:pStyle w:val="Compact"/>
      </w:pPr>
      <w:r>
        <w:rPr>
          <w:bCs/>
          <w:b/>
        </w:rPr>
        <w:t xml:space="preserve">LIVERAGE</w:t>
      </w:r>
      <w:r>
        <w:rPr>
          <w:rStyle w:val="FootnoteReference"/>
        </w:rPr>
        <w:footnoteReference w:id="602"/>
      </w:r>
      <w:r>
        <w:t xml:space="preserve"> </w:t>
      </w:r>
      <w:r>
        <w:t xml:space="preserve">with 1,800 participants with MASH and fibrosis, and</w:t>
      </w:r>
      <w:r>
        <w:t xml:space="preserve"> </w:t>
      </w:r>
      <w:r>
        <w:rPr>
          <w:bCs/>
          <w:b/>
        </w:rPr>
        <w:t xml:space="preserve">LIVERAGE-Cirrhosis</w:t>
      </w:r>
      <w:r>
        <w:rPr>
          <w:rStyle w:val="FootnoteReference"/>
        </w:rPr>
        <w:footnoteReference w:id="603"/>
      </w:r>
      <w:r>
        <w:t xml:space="preserve"> </w:t>
      </w:r>
      <w:r>
        <w:t xml:space="preserve">with 1,590 participants with MASH cirrhosis – the decisive trials for approval in hepatology, with planned completion dates between 2029 and 2031.</w:t>
      </w:r>
    </w:p>
    <w:p>
      <w:pPr>
        <w:numPr>
          <w:ilvl w:val="0"/>
          <w:numId w:val="1075"/>
        </w:numPr>
        <w:pStyle w:val="Compact"/>
      </w:pPr>
      <w:r>
        <w:t xml:space="preserve">Further Phase 3 trials: type 2 diabetes</w:t>
      </w:r>
      <w:r>
        <w:rPr>
          <w:rStyle w:val="FootnoteReference"/>
        </w:rPr>
        <w:footnoteReference w:id="604"/>
      </w:r>
      <w:r>
        <w:t xml:space="preserve">, women with obesity</w:t>
      </w:r>
      <w:r>
        <w:rPr>
          <w:rStyle w:val="FootnoteReference"/>
        </w:rPr>
        <w:footnoteReference w:id="605"/>
      </w:r>
      <w:r>
        <w:t xml:space="preserve">, cardiac structure in obesity</w:t>
      </w:r>
      <w:r>
        <w:rPr>
          <w:rStyle w:val="FootnoteReference"/>
        </w:rPr>
        <w:footnoteReference w:id="606"/>
      </w:r>
      <w:r>
        <w:t xml:space="preserve">, persons without prior treatment</w:t>
      </w:r>
      <w:r>
        <w:rPr>
          <w:rStyle w:val="FootnoteReference"/>
        </w:rPr>
        <w:footnoteReference w:id="607"/>
      </w:r>
      <w:r>
        <w:t xml:space="preserve">.</w:t>
      </w:r>
    </w:p>
    <w:p>
      <w:pPr>
        <w:numPr>
          <w:ilvl w:val="0"/>
          <w:numId w:val="1075"/>
        </w:numPr>
        <w:pStyle w:val="Compact"/>
      </w:pPr>
      <w:r>
        <w:t xml:space="preserve">Phase 3 trials in China</w:t>
      </w:r>
      <w:r>
        <w:rPr>
          <w:rStyle w:val="FootnoteReference"/>
        </w:rPr>
        <w:footnoteReference w:id="608"/>
      </w:r>
      <w:r>
        <w:t xml:space="preserve"> </w:t>
      </w:r>
      <w:r>
        <w:t xml:space="preserve">and Japan</w:t>
      </w:r>
      <w:r>
        <w:rPr>
          <w:rStyle w:val="FootnoteReference"/>
        </w:rPr>
        <w:footnoteReference w:id="609"/>
      </w:r>
      <w:r>
        <w:t xml:space="preserve"> </w:t>
      </w:r>
      <w:r>
        <w:t xml:space="preserve">have been completed.</w:t>
      </w:r>
    </w:p>
    <w:p>
      <w:pPr>
        <w:pStyle w:val="FirstParagraph"/>
      </w:pPr>
      <w:r>
        <w:rPr>
          <w:bCs/>
          <w:b/>
        </w:rPr>
        <w:t xml:space="preserve">Assessment:</w:t>
      </w:r>
      <w:r>
        <w:t xml:space="preserve"> </w:t>
      </w:r>
      <w:r>
        <w:t xml:space="preserve">As a pure weight-loss drug, survodutide is likely to have a hard time against tirzepatide, semaglutide and the upcoming triple agonists – weight loss in SYNCHRONIZE-1 was lower and gastrointestinal side effects were frequent. Its niche could become fatty liver disease, especially advanced stages up to cirrhosis, for which there are hardly any treatment options. Whether this succeeds will be decided by the LIVERAGE trials.</w:t>
      </w:r>
    </w:p>
    <w:bookmarkEnd w:id="610"/>
    <w:bookmarkStart w:id="611" w:name="conclusion-6"/>
    <w:p>
      <w:pPr>
        <w:pStyle w:val="Heading3"/>
      </w:pPr>
      <w:r>
        <w:t xml:space="preserve">Conclusion</w:t>
      </w:r>
    </w:p>
    <w:p>
      <w:pPr>
        <w:pStyle w:val="FirstParagraph"/>
      </w:pPr>
      <w:r>
        <w:t xml:space="preserve">Survodutide is a dual glucagon and GLP-1 agonist that, in Phase 3 trials, reduced body weight after 76 weeks by up to 13.0% (without diabetes) and 9.8% (with type 2 diabetes), respectively. The effects on the liver were more pronounced: in the Phase 2 trial, liver inflammation improved in up to 62% compared with 14% on placebo. Gastrointestinal complaints are very common. Survodutide is not approved; whether it has a future as a liver drug will be shown by the ongoing Phase 3 trials.</w:t>
      </w:r>
    </w:p>
    <w:bookmarkEnd w:id="611"/>
    <w:bookmarkEnd w:id="612"/>
    <w:bookmarkStart w:id="650" w:name="mazdutide"/>
    <w:p>
      <w:pPr>
        <w:pStyle w:val="Heading2"/>
      </w:pPr>
      <w:r>
        <w:t xml:space="preserve">Mazdutide</w:t>
      </w:r>
    </w:p>
    <w:bookmarkStart w:id="613" w:name="profile-7"/>
    <w:p>
      <w:pPr>
        <w:pStyle w:val="Heading3"/>
      </w:pPr>
      <w:r>
        <w:t xml:space="preserve">Profile</w:t>
      </w:r>
    </w:p>
    <w:p>
      <w:pPr>
        <w:numPr>
          <w:ilvl w:val="0"/>
          <w:numId w:val="1076"/>
        </w:numPr>
        <w:pStyle w:val="Compact"/>
      </w:pPr>
      <w:r>
        <w:rPr>
          <w:bCs/>
          <w:b/>
        </w:rPr>
        <w:t xml:space="preserve">Type/structure:</w:t>
      </w:r>
      <w:r>
        <w:t xml:space="preserve"> </w:t>
      </w:r>
      <w:r>
        <w:t xml:space="preserve">synthetic, fatty-acid-modified peptide derived from the gut hormone oxyntomodulin; once-weekly injection under the skin. Development codes LY3305677 (Eli Lilly) and IBI362 (Innovent Biologics).</w:t>
      </w:r>
    </w:p>
    <w:p>
      <w:pPr>
        <w:numPr>
          <w:ilvl w:val="0"/>
          <w:numId w:val="1076"/>
        </w:numPr>
        <w:pStyle w:val="Compact"/>
      </w:pPr>
      <w:r>
        <w:rPr>
          <w:bCs/>
          <w:b/>
        </w:rPr>
        <w:t xml:space="preserve">Origin:</w:t>
      </w:r>
      <w:r>
        <w:t xml:space="preserve"> </w:t>
      </w:r>
      <w:r>
        <w:t xml:space="preserve">originally developed by Eli Lilly; brought to approval in China by Innovent Biologics, and studied further outside China by Lilly.</w:t>
      </w:r>
    </w:p>
    <w:p>
      <w:pPr>
        <w:numPr>
          <w:ilvl w:val="0"/>
          <w:numId w:val="1076"/>
        </w:numPr>
        <w:pStyle w:val="Compact"/>
      </w:pPr>
      <w:r>
        <w:rPr>
          <w:bCs/>
          <w:b/>
        </w:rPr>
        <w:t xml:space="preserve">Mechanism of action:</w:t>
      </w:r>
      <w:r>
        <w:t xml:space="preserve"> </w:t>
      </w:r>
      <w:r>
        <w:t xml:space="preserve">dual agonist at the GLP-1 and glucagon receptors – like survodutide, but a distinct molecule.</w:t>
      </w:r>
    </w:p>
    <w:p>
      <w:pPr>
        <w:numPr>
          <w:ilvl w:val="0"/>
          <w:numId w:val="1076"/>
        </w:numPr>
        <w:pStyle w:val="Compact"/>
      </w:pPr>
      <w:r>
        <w:rPr>
          <w:bCs/>
          <w:b/>
        </w:rPr>
        <w:t xml:space="preserve">Approval EU:</w:t>
      </w:r>
      <w:r>
        <w:t xml:space="preserve"> </w:t>
      </w:r>
      <w:r>
        <w:t xml:space="preserve">no.</w:t>
      </w:r>
    </w:p>
    <w:p>
      <w:pPr>
        <w:numPr>
          <w:ilvl w:val="0"/>
          <w:numId w:val="1076"/>
        </w:numPr>
        <w:pStyle w:val="Compact"/>
      </w:pPr>
      <w:r>
        <w:rPr>
          <w:bCs/>
          <w:b/>
        </w:rPr>
        <w:t xml:space="preserve">Approval USA:</w:t>
      </w:r>
      <w:r>
        <w:t xml:space="preserve"> </w:t>
      </w:r>
      <w:r>
        <w:t xml:space="preserve">no.</w:t>
      </w:r>
    </w:p>
    <w:p>
      <w:pPr>
        <w:numPr>
          <w:ilvl w:val="0"/>
          <w:numId w:val="1076"/>
        </w:numPr>
        <w:pStyle w:val="Compact"/>
      </w:pPr>
      <w:r>
        <w:rPr>
          <w:bCs/>
          <w:b/>
        </w:rPr>
        <w:t xml:space="preserve">Approval China:</w:t>
      </w:r>
      <w:r>
        <w:t xml:space="preserve"> </w:t>
      </w:r>
      <w:r>
        <w:t xml:space="preserve">yes, since June 2025 for weight management, and since September 2025 also for type 2 diabetes (brand name Xinermei).</w:t>
      </w:r>
    </w:p>
    <w:p>
      <w:pPr>
        <w:numPr>
          <w:ilvl w:val="0"/>
          <w:numId w:val="1076"/>
        </w:numPr>
        <w:pStyle w:val="Compact"/>
      </w:pPr>
      <w:r>
        <w:rPr>
          <w:bCs/>
          <w:b/>
        </w:rPr>
        <w:t xml:space="preserve">WADA:</w:t>
      </w:r>
      <w:r>
        <w:t xml:space="preserve"> </w:t>
      </w:r>
      <w:r>
        <w:t xml:space="preserve">not listed by name. Since mazdutide is approved by a governmental health authority (China), it no longer falls under S0 according to the wording; use in sport without a medical indication is nevertheless problematic.</w:t>
      </w:r>
    </w:p>
    <w:p>
      <w:pPr>
        <w:numPr>
          <w:ilvl w:val="0"/>
          <w:numId w:val="1076"/>
        </w:numPr>
        <w:pStyle w:val="Compact"/>
      </w:pPr>
      <w:r>
        <w:rPr>
          <w:bCs/>
          <w:b/>
        </w:rPr>
        <w:t xml:space="preserve">Evidence level:</w:t>
      </w:r>
      <w:r>
        <w:t xml:space="preserve"> </w:t>
      </w:r>
      <w:r>
        <w:rPr>
          <w:bCs/>
          <w:b/>
        </w:rPr>
        <w:t xml:space="preserve">A</w:t>
      </w:r>
      <w:r>
        <w:t xml:space="preserve"> </w:t>
      </w:r>
      <w:r>
        <w:t xml:space="preserve">– several large Phase 3 trials and an approval, though almost exclusively in Chinese participants.</w:t>
      </w:r>
    </w:p>
    <w:bookmarkEnd w:id="613"/>
    <w:bookmarkStart w:id="614" w:name="how-it-is-supposed-to-work-7"/>
    <w:p>
      <w:pPr>
        <w:pStyle w:val="Heading3"/>
      </w:pPr>
      <w:r>
        <w:t xml:space="preserve">How it is supposed to work</w:t>
      </w:r>
    </w:p>
    <w:p>
      <w:pPr>
        <w:pStyle w:val="FirstParagraph"/>
      </w:pPr>
      <w:r>
        <w:t xml:space="preserve">Oxyntomodulin is a natural hormone from the gut that – similar to GLP-1 – is released after eating. It activates both the GLP-1 and the glucagon receptor, but only weakly and very briefly. Mazdutide is a stabilized, long-acting version of this principle.</w:t>
      </w:r>
    </w:p>
    <w:p>
      <w:pPr>
        <w:pStyle w:val="BodyText"/>
      </w:pPr>
      <w:r>
        <w:t xml:space="preserve">The GLP-1 component dampens appetite, slows gastric emptying and promotes glucose-dependent insulin secretion. The glucagon component is intended to increase energy expenditure and promote fat breakdown in the liver (see also chapter Survodutide). In humans, the contribution of the glucagon component to weight loss has not been measured directly; the hypothesis rests mainly on animal data.</w:t>
      </w:r>
    </w:p>
    <w:bookmarkEnd w:id="614"/>
    <w:bookmarkStart w:id="629" w:name="human-studies-7"/>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9 human studies, supplemented by a high-dose Phase 1 trial and a case report. On ClinicalTrials.gov, 44 trials were registered, most of them in China. The approval trials are called</w:t>
      </w:r>
      <w:r>
        <w:t xml:space="preserve"> </w:t>
      </w:r>
      <w:r>
        <w:rPr>
          <w:bCs/>
          <w:b/>
        </w:rPr>
        <w:t xml:space="preserve">GLORY</w:t>
      </w:r>
      <w:r>
        <w:t xml:space="preserve"> </w:t>
      </w:r>
      <w:r>
        <w:t xml:space="preserve">(obesity) and</w:t>
      </w:r>
      <w:r>
        <w:t xml:space="preserve"> </w:t>
      </w:r>
      <w:r>
        <w:rPr>
          <w:bCs/>
          <w:b/>
        </w:rPr>
        <w:t xml:space="preserve">DREAMS</w:t>
      </w:r>
      <w:r>
        <w:t xml:space="preserve"> </w:t>
      </w:r>
      <w:r>
        <w:t xml:space="preserve">(type 2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2 obesity (Ji 2023), PMID 38092790</w:t>
            </w:r>
          </w:p>
        </w:tc>
        <w:tc>
          <w:tcPr/>
          <w:p>
            <w:pPr>
              <w:pStyle w:val="Compact"/>
              <w:jc w:val="left"/>
            </w:pPr>
            <w:r>
              <w:t xml:space="preserve">248 Chinese adults with overweight/obesity</w:t>
            </w:r>
          </w:p>
        </w:tc>
        <w:tc>
          <w:tcPr/>
          <w:p>
            <w:pPr>
              <w:pStyle w:val="Compact"/>
              <w:jc w:val="left"/>
            </w:pPr>
            <w:r>
              <w:t xml:space="preserve">24 weeks</w:t>
            </w:r>
          </w:p>
        </w:tc>
        <w:tc>
          <w:tcPr/>
          <w:p>
            <w:pPr>
              <w:pStyle w:val="Compact"/>
              <w:jc w:val="left"/>
            </w:pPr>
            <w:r>
              <w:t xml:space="preserve">−6.7 to −11.3% weight vs. +1.0%</w:t>
            </w:r>
          </w:p>
        </w:tc>
      </w:tr>
      <w:tr>
        <w:tc>
          <w:tcPr/>
          <w:p>
            <w:pPr>
              <w:pStyle w:val="Compact"/>
              <w:jc w:val="left"/>
            </w:pPr>
            <w:r>
              <w:t xml:space="preserve">Phase 2 type 2 diabetes (Zhang 2024), PMID 37943529</w:t>
            </w:r>
          </w:p>
        </w:tc>
        <w:tc>
          <w:tcPr/>
          <w:p>
            <w:pPr>
              <w:pStyle w:val="Compact"/>
              <w:jc w:val="left"/>
            </w:pPr>
            <w:r>
              <w:t xml:space="preserve">250 Chinese adults, vs. placebo and open-label dulaglutide</w:t>
            </w:r>
          </w:p>
        </w:tc>
        <w:tc>
          <w:tcPr/>
          <w:p>
            <w:pPr>
              <w:pStyle w:val="Compact"/>
              <w:jc w:val="left"/>
            </w:pPr>
            <w:r>
              <w:t xml:space="preserve">20 weeks</w:t>
            </w:r>
          </w:p>
        </w:tc>
        <w:tc>
          <w:tcPr/>
          <w:p>
            <w:pPr>
              <w:pStyle w:val="Compact"/>
              <w:jc w:val="left"/>
            </w:pPr>
            <w:r>
              <w:t xml:space="preserve">HbA1c −1.41 to −1.67 (dulaglutide −1.35)</w:t>
            </w:r>
          </w:p>
        </w:tc>
      </w:tr>
      <w:tr>
        <w:tc>
          <w:tcPr/>
          <w:p>
            <w:pPr>
              <w:pStyle w:val="Compact"/>
              <w:jc w:val="left"/>
            </w:pPr>
            <w:r>
              <w:t xml:space="preserve">GLORY-1 (Ji 2025), PMID 40421736</w:t>
            </w:r>
          </w:p>
        </w:tc>
        <w:tc>
          <w:tcPr/>
          <w:p>
            <w:pPr>
              <w:pStyle w:val="Compact"/>
              <w:jc w:val="left"/>
            </w:pPr>
            <w:r>
              <w:t xml:space="preserve">610 Chinese adults with overweight/obesity, vs. placebo</w:t>
            </w:r>
          </w:p>
        </w:tc>
        <w:tc>
          <w:tcPr/>
          <w:p>
            <w:pPr>
              <w:pStyle w:val="Compact"/>
              <w:jc w:val="left"/>
            </w:pPr>
            <w:r>
              <w:t xml:space="preserve">48 weeks</w:t>
            </w:r>
          </w:p>
        </w:tc>
        <w:tc>
          <w:tcPr/>
          <w:p>
            <w:pPr>
              <w:pStyle w:val="Compact"/>
              <w:jc w:val="left"/>
            </w:pPr>
            <w:r>
              <w:t xml:space="preserve">−11.00 / −14.01% (4/6 mg) vs. +0.30%</w:t>
            </w:r>
          </w:p>
        </w:tc>
      </w:tr>
      <w:tr>
        <w:tc>
          <w:tcPr/>
          <w:p>
            <w:pPr>
              <w:pStyle w:val="Compact"/>
              <w:jc w:val="left"/>
            </w:pPr>
            <w:r>
              <w:t xml:space="preserve">GLORY-2 (Gao 2026), PMID 42251595</w:t>
            </w:r>
          </w:p>
        </w:tc>
        <w:tc>
          <w:tcPr/>
          <w:p>
            <w:pPr>
              <w:pStyle w:val="Compact"/>
              <w:jc w:val="left"/>
            </w:pPr>
            <w:r>
              <w:t xml:space="preserve">461 Chinese adults with obesity, higher dose vs. placebo</w:t>
            </w:r>
          </w:p>
        </w:tc>
        <w:tc>
          <w:tcPr/>
          <w:p>
            <w:pPr>
              <w:pStyle w:val="Compact"/>
              <w:jc w:val="left"/>
            </w:pPr>
            <w:r>
              <w:t xml:space="preserve">60 weeks</w:t>
            </w:r>
          </w:p>
        </w:tc>
        <w:tc>
          <w:tcPr/>
          <w:p>
            <w:pPr>
              <w:pStyle w:val="Compact"/>
              <w:jc w:val="left"/>
            </w:pPr>
            <w:r>
              <w:t xml:space="preserve">−16.65% vs. −1.50%</w:t>
            </w:r>
          </w:p>
        </w:tc>
      </w:tr>
      <w:tr>
        <w:tc>
          <w:tcPr/>
          <w:p>
            <w:pPr>
              <w:pStyle w:val="Compact"/>
              <w:jc w:val="left"/>
            </w:pPr>
            <w:r>
              <w:t xml:space="preserve">DREAMS-1 (Zhu 2026), PMID 41407859</w:t>
            </w:r>
          </w:p>
        </w:tc>
        <w:tc>
          <w:tcPr/>
          <w:p>
            <w:pPr>
              <w:pStyle w:val="Compact"/>
              <w:jc w:val="left"/>
            </w:pPr>
            <w:r>
              <w:t xml:space="preserve">320 Chinese adults with type 2 diabetes, vs. placebo</w:t>
            </w:r>
          </w:p>
        </w:tc>
        <w:tc>
          <w:tcPr/>
          <w:p>
            <w:pPr>
              <w:pStyle w:val="Compact"/>
              <w:jc w:val="left"/>
            </w:pPr>
            <w:r>
              <w:t xml:space="preserve">24 weeks</w:t>
            </w:r>
          </w:p>
        </w:tc>
        <w:tc>
          <w:tcPr/>
          <w:p>
            <w:pPr>
              <w:pStyle w:val="Compact"/>
              <w:jc w:val="left"/>
            </w:pPr>
            <w:r>
              <w:t xml:space="preserve">HbA1c −1.57 / −2.15 vs. −0.14</w:t>
            </w:r>
          </w:p>
        </w:tc>
      </w:tr>
      <w:tr>
        <w:tc>
          <w:tcPr/>
          <w:p>
            <w:pPr>
              <w:pStyle w:val="Compact"/>
              <w:jc w:val="left"/>
            </w:pPr>
            <w:r>
              <w:t xml:space="preserve">DREAMS-2 (Guo 2026), PMID 41407860</w:t>
            </w:r>
          </w:p>
        </w:tc>
        <w:tc>
          <w:tcPr/>
          <w:p>
            <w:pPr>
              <w:pStyle w:val="Compact"/>
              <w:jc w:val="left"/>
            </w:pPr>
            <w:r>
              <w:t xml:space="preserve">731 Chinese adults with type 2 diabetes, vs. dulaglutide</w:t>
            </w:r>
          </w:p>
        </w:tc>
        <w:tc>
          <w:tcPr/>
          <w:p>
            <w:pPr>
              <w:pStyle w:val="Compact"/>
              <w:jc w:val="left"/>
            </w:pPr>
            <w:r>
              <w:t xml:space="preserve">28 weeks</w:t>
            </w:r>
          </w:p>
        </w:tc>
        <w:tc>
          <w:tcPr/>
          <w:p>
            <w:pPr>
              <w:pStyle w:val="Compact"/>
              <w:jc w:val="left"/>
            </w:pPr>
            <w:r>
              <w:t xml:space="preserve">HbA1c additional −0.24 / −0.30; weight additional −3.78 / −5.76%</w:t>
            </w:r>
          </w:p>
        </w:tc>
      </w:tr>
      <w:tr>
        <w:tc>
          <w:tcPr/>
          <w:p>
            <w:pPr>
              <w:pStyle w:val="Compact"/>
              <w:jc w:val="left"/>
            </w:pPr>
            <w:r>
              <w:t xml:space="preserve">Phase 2 USA (Hsia 2026), PMID 42628555</w:t>
            </w:r>
          </w:p>
        </w:tc>
        <w:tc>
          <w:tcPr/>
          <w:p>
            <w:pPr>
              <w:pStyle w:val="Compact"/>
              <w:jc w:val="left"/>
            </w:pPr>
            <w:r>
              <w:t xml:space="preserve">179 adults with overweight/obesity, vs. placebo</w:t>
            </w:r>
          </w:p>
        </w:tc>
        <w:tc>
          <w:tcPr/>
          <w:p>
            <w:pPr>
              <w:pStyle w:val="Compact"/>
              <w:jc w:val="left"/>
            </w:pPr>
            <w:r>
              <w:t xml:space="preserve">48 weeks (primary endpoint 32)</w:t>
            </w:r>
          </w:p>
        </w:tc>
        <w:tc>
          <w:tcPr/>
          <w:p>
            <w:pPr>
              <w:pStyle w:val="Compact"/>
              <w:jc w:val="left"/>
            </w:pPr>
            <w:r>
              <w:t xml:space="preserve">−7.3 to −18.1% after 32 weeks vs. −0.9%</w:t>
            </w:r>
          </w:p>
        </w:tc>
      </w:tr>
    </w:tbl>
    <w:bookmarkStart w:id="617" w:name="obesity-glory-1-and-glory-2"/>
    <w:p>
      <w:pPr>
        <w:pStyle w:val="Heading4"/>
      </w:pPr>
      <w:r>
        <w:t xml:space="preserve">Obesity: GLORY-1 and GLORY-2</w:t>
      </w:r>
    </w:p>
    <w:p>
      <w:pPr>
        <w:pStyle w:val="FirstParagraph"/>
      </w:pPr>
      <w:r>
        <w:rPr>
          <w:bCs/>
          <w:b/>
        </w:rPr>
        <w:t xml:space="preserve">GLORY-1</w:t>
      </w:r>
      <w:r>
        <w:rPr>
          <w:rStyle w:val="FootnoteReference"/>
        </w:rPr>
        <w:footnoteReference w:id="615"/>
      </w:r>
      <w:r>
        <w:t xml:space="preserve"> </w:t>
      </w:r>
      <w:r>
        <w:t xml:space="preserve">was the approval trial for China. The inclusion criteria were based on Chinese thresholds: BMI of 28 or more, or 24 or more with a comorbidity. From a baseline weight of 87.2 kg, weight decreased after 48 weeks by 11.0% (4 mg) and 14.0% (6 mg), respectively; on placebo it remained practically unchanged. 35.7% and 49.5% of participants, respectively, lost at least 15%. Discontinuations due to side effects were very rare at 0.5–1.5%.</w:t>
      </w:r>
    </w:p>
    <w:p>
      <w:pPr>
        <w:pStyle w:val="BodyText"/>
      </w:pPr>
      <w:r>
        <w:rPr>
          <w:bCs/>
          <w:b/>
        </w:rPr>
        <w:t xml:space="preserve">GLORY-2</w:t>
      </w:r>
      <w:r>
        <w:rPr>
          <w:rStyle w:val="FootnoteReference"/>
        </w:rPr>
        <w:footnoteReference w:id="616"/>
      </w:r>
      <w:r>
        <w:t xml:space="preserve"> </w:t>
      </w:r>
      <w:r>
        <w:t xml:space="preserve">tested a higher dose in people with a BMI of 30 or more. With an average age of 33.9 years, the participants were strikingly young. After 60 weeks, weight loss was 16.65% compared with 1.50% on placebo. The price was markedly more gastrointestinal complaints: vomiting in 53.1% (placebo 1.3%), nausea in 46.9% (3.2%) and diarrhea in 39.4% (6.5%). Nevertheless, only 2.9% discontinued treatment due to side effects.</w:t>
      </w:r>
    </w:p>
    <w:bookmarkEnd w:id="617"/>
    <w:bookmarkStart w:id="622" w:name="type-2-diabetes-dreams-1-and-dreams-2"/>
    <w:p>
      <w:pPr>
        <w:pStyle w:val="Heading4"/>
      </w:pPr>
      <w:r>
        <w:t xml:space="preserve">Type 2 diabetes: DREAMS-1 and DREAMS-2</w:t>
      </w:r>
    </w:p>
    <w:p>
      <w:pPr>
        <w:pStyle w:val="FirstParagraph"/>
      </w:pPr>
      <w:r>
        <w:t xml:space="preserve">In</w:t>
      </w:r>
      <w:r>
        <w:t xml:space="preserve"> </w:t>
      </w:r>
      <w:r>
        <w:rPr>
          <w:bCs/>
          <w:b/>
        </w:rPr>
        <w:t xml:space="preserve">DREAMS-1</w:t>
      </w:r>
      <w:r>
        <w:rPr>
          <w:rStyle w:val="FootnoteReference"/>
        </w:rPr>
        <w:footnoteReference w:id="618"/>
      </w:r>
      <w:r>
        <w:t xml:space="preserve">, people with type 2 diabetes that was not adequately controlled with diet and exercise alone (mean diabetes duration 1.9 years) received mazdutide without any other diabetes medication. At the higher dose, HbA1c fell by 2.15 percentage points after 24 weeks (placebo −0.14), and weight by 7.81%.</w:t>
      </w:r>
    </w:p>
    <w:p>
      <w:pPr>
        <w:pStyle w:val="BodyText"/>
      </w:pPr>
      <w:r>
        <w:rPr>
          <w:bCs/>
          <w:b/>
        </w:rPr>
        <w:t xml:space="preserve">DREAMS-2</w:t>
      </w:r>
      <w:r>
        <w:rPr>
          <w:rStyle w:val="FootnoteReference"/>
        </w:rPr>
        <w:footnoteReference w:id="619"/>
      </w:r>
      <w:r>
        <w:t xml:space="preserve"> </w:t>
      </w:r>
      <w:r>
        <w:t xml:space="preserve">is the most important comparative trial so far: against the established GLP-1 drug dulaglutide, mazdutide was non-inferior and superior for HbA1c, albeit by a small margin (an additional −0.24 and −0.30 percentage points, respectively). The difference in weight was more pronounced (an additional −3.78 and −5.76%, respectively). Gastrointestinal side effects were more frequent on mazdutide than on dulaglutide.</w:t>
      </w:r>
    </w:p>
    <w:p>
      <w:pPr>
        <w:pStyle w:val="BodyText"/>
      </w:pPr>
      <w:r>
        <w:t xml:space="preserve">A comparative trial against semaglutide in people with early type 2 diabetes and obesity (DREAMS-3) has been completed according to the registry</w:t>
      </w:r>
      <w:r>
        <w:rPr>
          <w:rStyle w:val="FootnoteReference"/>
        </w:rPr>
        <w:footnoteReference w:id="620"/>
      </w:r>
      <w:r>
        <w:t xml:space="preserve">; its design and the baseline data of the 349 participants have been published</w:t>
      </w:r>
      <w:r>
        <w:rPr>
          <w:rStyle w:val="FootnoteReference"/>
        </w:rPr>
        <w:footnoteReference w:id="621"/>
      </w:r>
      <w:r>
        <w:t xml:space="preserve">, but not yet the results.</w:t>
      </w:r>
    </w:p>
    <w:bookmarkEnd w:id="622"/>
    <w:bookmarkStart w:id="625" w:name="studies-outside-china-and-higher-doses"/>
    <w:p>
      <w:pPr>
        <w:pStyle w:val="Heading4"/>
      </w:pPr>
      <w:r>
        <w:t xml:space="preserve">Studies outside China and higher doses</w:t>
      </w:r>
    </w:p>
    <w:p>
      <w:pPr>
        <w:pStyle w:val="FirstParagraph"/>
      </w:pPr>
      <w:r>
        <w:t xml:space="preserve">Lilly is studying mazdutide outside China at higher doses. In a small Phase 1 trial with 32 adults in the USA, body weight at the highest dose fell after 20 weeks by 20.0% and 21.0% (two dose-escalation schedules) compared with 0.1% on placebo; no serious side effects occurred</w:t>
      </w:r>
      <w:r>
        <w:rPr>
          <w:rStyle w:val="FootnoteReference"/>
        </w:rPr>
        <w:footnoteReference w:id="623"/>
      </w:r>
      <w:r>
        <w:t xml:space="preserve">.</w:t>
      </w:r>
    </w:p>
    <w:p>
      <w:pPr>
        <w:pStyle w:val="BodyText"/>
      </w:pPr>
      <w:r>
        <w:t xml:space="preserve">In the US Phase 2 trial with 179 participants</w:t>
      </w:r>
      <w:r>
        <w:rPr>
          <w:rStyle w:val="FootnoteReference"/>
        </w:rPr>
        <w:footnoteReference w:id="624"/>
      </w:r>
      <w:r>
        <w:t xml:space="preserve">, weight loss after 32 weeks was up to 18.1% at the highest dose. However, 20% at the highest dose discontinued treatment due to side effects, mostly gastrointestinal complaints. The main analysis also used the</w:t>
      </w:r>
      <w:r>
        <w:t xml:space="preserve"> </w:t>
      </w:r>
      <w:r>
        <w:t xml:space="preserve">“</w:t>
      </w:r>
      <w:r>
        <w:t xml:space="preserve">efficacy estimand,</w:t>
      </w:r>
      <w:r>
        <w:t xml:space="preserve">”</w:t>
      </w:r>
      <w:r>
        <w:t xml:space="preserve"> </w:t>
      </w:r>
      <w:r>
        <w:t xml:space="preserve">which no longer counts people after discontinuation and therefore tends to present the effect more favorably.</w:t>
      </w:r>
    </w:p>
    <w:bookmarkEnd w:id="625"/>
    <w:bookmarkStart w:id="628" w:name="case-reports"/>
    <w:p>
      <w:pPr>
        <w:pStyle w:val="Heading4"/>
      </w:pPr>
      <w:r>
        <w:t xml:space="preserve">Case reports</w:t>
      </w:r>
    </w:p>
    <w:p>
      <w:pPr>
        <w:pStyle w:val="FirstParagraph"/>
      </w:pPr>
      <w:r>
        <w:t xml:space="preserve">One case report describes a 15-year-old patient with obesity, type 2 diabetes and elevated uric acid who received mazdutide in addition to metformin and insulin and lost 16.8 kg after 36 weeks</w:t>
      </w:r>
      <w:r>
        <w:rPr>
          <w:rStyle w:val="FootnoteReference"/>
        </w:rPr>
        <w:footnoteReference w:id="626"/>
      </w:r>
      <w:r>
        <w:t xml:space="preserve">. A single case allows no conclusion about efficacy or safety in adolescents; a trial on this is ongoing</w:t>
      </w:r>
      <w:r>
        <w:rPr>
          <w:rStyle w:val="FootnoteReference"/>
        </w:rPr>
        <w:footnoteReference w:id="627"/>
      </w:r>
      <w:r>
        <w:t xml:space="preserve">.</w:t>
      </w:r>
    </w:p>
    <w:bookmarkEnd w:id="628"/>
    <w:bookmarkEnd w:id="629"/>
    <w:bookmarkStart w:id="633" w:name="animal-and-laboratory-studies-7"/>
    <w:p>
      <w:pPr>
        <w:pStyle w:val="Heading3"/>
      </w:pPr>
      <w:r>
        <w:t xml:space="preserve">Animal and laboratory studies</w:t>
      </w:r>
    </w:p>
    <w:p>
      <w:pPr>
        <w:pStyle w:val="FirstParagraph"/>
      </w:pPr>
      <w:r>
        <w:t xml:space="preserve">In diabetic mice (db/db model), mazdutide performed better than dulaglutide in memory and behavioral tests; brain tissue showed less damage</w:t>
      </w:r>
      <w:r>
        <w:rPr>
          <w:rStyle w:val="FootnoteReference"/>
        </w:rPr>
        <w:footnoteReference w:id="630"/>
      </w:r>
      <w:r>
        <w:t xml:space="preserve">. In mice with diet-induced fatty liver and in liver cell cultures, mazdutide reduced fat deposition and signs of inflammation</w:t>
      </w:r>
      <w:r>
        <w:rPr>
          <w:rStyle w:val="FootnoteReference"/>
        </w:rPr>
        <w:footnoteReference w:id="631"/>
      </w:r>
      <w:r>
        <w:t xml:space="preserve">. Whether this translates into benefits for humans is open; a trial on type 2 diabetes with incipient cognitive impairment is registered in China</w:t>
      </w:r>
      <w:r>
        <w:rPr>
          <w:rStyle w:val="FootnoteReference"/>
        </w:rPr>
        <w:footnoteReference w:id="632"/>
      </w:r>
      <w:r>
        <w:t xml:space="preserve">.</w:t>
      </w:r>
    </w:p>
    <w:bookmarkEnd w:id="633"/>
    <w:bookmarkStart w:id="638" w:name="risks-and-side-effects-7"/>
    <w:p>
      <w:pPr>
        <w:pStyle w:val="Heading3"/>
      </w:pPr>
      <w:r>
        <w:t xml:space="preserve">Risks and side effects</w:t>
      </w:r>
    </w:p>
    <w:p>
      <w:pPr>
        <w:pStyle w:val="FirstParagraph"/>
      </w:pPr>
      <w:r>
        <w:rPr>
          <w:bCs/>
          <w:b/>
        </w:rPr>
        <w:t xml:space="preserve">Documented in studies:</w:t>
      </w:r>
    </w:p>
    <w:p>
      <w:pPr>
        <w:numPr>
          <w:ilvl w:val="0"/>
          <w:numId w:val="1077"/>
        </w:numPr>
        <w:pStyle w:val="Compact"/>
      </w:pPr>
      <w:r>
        <w:rPr>
          <w:bCs/>
          <w:b/>
        </w:rPr>
        <w:t xml:space="preserve">Gastrointestinal complaints</w:t>
      </w:r>
      <w:r>
        <w:t xml:space="preserve"> </w:t>
      </w:r>
      <w:r>
        <w:t xml:space="preserve">are the most common side effects; their frequency increases with dose. In the Phase 2 diabetes trial, diarrhea occurred in 36%, decreased appetite in 29%, nausea in 23% and vomiting in 14%</w:t>
      </w:r>
      <w:r>
        <w:rPr>
          <w:rStyle w:val="FootnoteReference"/>
        </w:rPr>
        <w:footnoteReference w:id="634"/>
      </w:r>
      <w:r>
        <w:t xml:space="preserve">. In GLORY-2, more than half of participants vomited at least once</w:t>
      </w:r>
      <w:r>
        <w:rPr>
          <w:rStyle w:val="FootnoteReference"/>
        </w:rPr>
        <w:footnoteReference w:id="635"/>
      </w:r>
      <w:r>
        <w:t xml:space="preserve">.</w:t>
      </w:r>
    </w:p>
    <w:p>
      <w:pPr>
        <w:numPr>
          <w:ilvl w:val="0"/>
          <w:numId w:val="1077"/>
        </w:numPr>
        <w:pStyle w:val="Compact"/>
      </w:pPr>
      <w:r>
        <w:rPr>
          <w:bCs/>
          <w:b/>
        </w:rPr>
        <w:t xml:space="preserve">Hypoglycemia:</w:t>
      </w:r>
      <w:r>
        <w:t xml:space="preserve"> </w:t>
      </w:r>
      <w:r>
        <w:t xml:space="preserve">In the Phase 2 diabetes trial, hypoglycemia was reported in 10% on mazdutide and 8% on placebo</w:t>
      </w:r>
      <w:r>
        <w:rPr>
          <w:rStyle w:val="FootnoteReference"/>
        </w:rPr>
        <w:footnoteReference w:id="636"/>
      </w:r>
      <w:r>
        <w:t xml:space="preserve">.</w:t>
      </w:r>
    </w:p>
    <w:p>
      <w:pPr>
        <w:numPr>
          <w:ilvl w:val="0"/>
          <w:numId w:val="1077"/>
        </w:numPr>
        <w:pStyle w:val="Compact"/>
      </w:pPr>
      <w:r>
        <w:rPr>
          <w:bCs/>
          <w:b/>
        </w:rPr>
        <w:t xml:space="preserve">Discontinuations at high doses:</w:t>
      </w:r>
      <w:r>
        <w:t xml:space="preserve"> </w:t>
      </w:r>
      <w:r>
        <w:t xml:space="preserve">up to 20% in the US Phase 2 trial</w:t>
      </w:r>
      <w:r>
        <w:rPr>
          <w:rStyle w:val="FootnoteReference"/>
        </w:rPr>
        <w:footnoteReference w:id="637"/>
      </w:r>
      <w:r>
        <w:t xml:space="preserve">.</w:t>
      </w:r>
    </w:p>
    <w:p>
      <w:pPr>
        <w:pStyle w:val="FirstParagraph"/>
      </w:pPr>
      <w:r>
        <w:rPr>
          <w:bCs/>
          <w:b/>
        </w:rPr>
        <w:t xml:space="preserve">Still open:</w:t>
      </w:r>
      <w:r>
        <w:t xml:space="preserve"> </w:t>
      </w:r>
      <w:r>
        <w:t xml:space="preserve">There is no cardiovascular outcome trial. Long-term data beyond 60 weeks are lacking. The trials included almost exclusively people of Chinese origin, who had different baseline values (lower body weight) than European study populations for the same weight loss. The class risks known for GLP-1 drugs (gallbladder, pancreas, thyroid C-cells in animal studies) have not yet been assessed independently for mazdutide owing to a lack of patient-years.</w:t>
      </w:r>
    </w:p>
    <w:bookmarkEnd w:id="638"/>
    <w:bookmarkStart w:id="640" w:name="legal-status-7"/>
    <w:p>
      <w:pPr>
        <w:pStyle w:val="Heading3"/>
      </w:pPr>
      <w:r>
        <w:t xml:space="preserve">Legal status</w:t>
      </w:r>
    </w:p>
    <w:p>
      <w:pPr>
        <w:numPr>
          <w:ilvl w:val="0"/>
          <w:numId w:val="1078"/>
        </w:numPr>
        <w:pStyle w:val="Compact"/>
      </w:pPr>
      <w:r>
        <w:rPr>
          <w:bCs/>
          <w:b/>
        </w:rPr>
        <w:t xml:space="preserve">China:</w:t>
      </w:r>
      <w:r>
        <w:t xml:space="preserve"> </w:t>
      </w:r>
      <w:r>
        <w:t xml:space="preserve">approved (June 2025 for weight management, September 2025 for type 2 diabetes)</w:t>
      </w:r>
      <w:r>
        <w:rPr>
          <w:rStyle w:val="FootnoteReference"/>
        </w:rPr>
        <w:footnoteReference w:id="639"/>
      </w:r>
      <w:r>
        <w:t xml:space="preserve">.</w:t>
      </w:r>
    </w:p>
    <w:p>
      <w:pPr>
        <w:numPr>
          <w:ilvl w:val="0"/>
          <w:numId w:val="1078"/>
        </w:numPr>
        <w:pStyle w:val="Compact"/>
      </w:pPr>
      <w:r>
        <w:rPr>
          <w:bCs/>
          <w:b/>
        </w:rPr>
        <w:t xml:space="preserve">EU / Austria / Germany:</w:t>
      </w:r>
      <w:r>
        <w:t xml:space="preserve"> </w:t>
      </w:r>
      <w:r>
        <w:t xml:space="preserve">not approved. Importing it for use is not legal without approval;</w:t>
      </w:r>
      <w:r>
        <w:t xml:space="preserve"> </w:t>
      </w:r>
      <w:r>
        <w:t xml:space="preserve">“</w:t>
      </w:r>
      <w:r>
        <w:t xml:space="preserve">mazdutide</w:t>
      </w:r>
      <w:r>
        <w:t xml:space="preserve">”</w:t>
      </w:r>
      <w:r>
        <w:t xml:space="preserve"> </w:t>
      </w:r>
      <w:r>
        <w:t xml:space="preserve">products offered on the gray market are not tested medicines.</w:t>
      </w:r>
    </w:p>
    <w:p>
      <w:pPr>
        <w:numPr>
          <w:ilvl w:val="0"/>
          <w:numId w:val="1078"/>
        </w:numPr>
        <w:pStyle w:val="Compact"/>
      </w:pPr>
      <w:r>
        <w:rPr>
          <w:bCs/>
          <w:b/>
        </w:rPr>
        <w:t xml:space="preserve">USA:</w:t>
      </w:r>
      <w:r>
        <w:t xml:space="preserve"> </w:t>
      </w:r>
      <w:r>
        <w:t xml:space="preserve">not approved; Lilly is conducting its own trials.</w:t>
      </w:r>
    </w:p>
    <w:p>
      <w:pPr>
        <w:numPr>
          <w:ilvl w:val="0"/>
          <w:numId w:val="1078"/>
        </w:numPr>
        <w:pStyle w:val="Compact"/>
      </w:pPr>
      <w:r>
        <w:rPr>
          <w:bCs/>
          <w:b/>
        </w:rPr>
        <w:t xml:space="preserve">Sport:</w:t>
      </w:r>
      <w:r>
        <w:t xml:space="preserve"> </w:t>
      </w:r>
      <w:r>
        <w:t xml:space="preserve">not listed by name; status under S0 unclear because of the Chinese approval – as of 2026, please check for updates.</w:t>
      </w:r>
    </w:p>
    <w:bookmarkEnd w:id="640"/>
    <w:bookmarkStart w:id="648" w:name="ongoing-studies-and-outlook-7"/>
    <w:p>
      <w:pPr>
        <w:pStyle w:val="Heading3"/>
      </w:pPr>
      <w:r>
        <w:t xml:space="preserve">Ongoing studies and outlook</w:t>
      </w:r>
    </w:p>
    <w:p>
      <w:pPr>
        <w:pStyle w:val="FirstParagraph"/>
      </w:pPr>
      <w:r>
        <w:rPr>
          <w:bCs/>
          <w:b/>
        </w:rPr>
        <w:t xml:space="preserve">Confirmed (registered trials, as of October 2026):</w:t>
      </w:r>
    </w:p>
    <w:p>
      <w:pPr>
        <w:numPr>
          <w:ilvl w:val="0"/>
          <w:numId w:val="1079"/>
        </w:numPr>
        <w:pStyle w:val="Compact"/>
      </w:pPr>
      <w:r>
        <w:t xml:space="preserve">Comparison with semaglutide in fatty liver</w:t>
      </w:r>
      <w:r>
        <w:rPr>
          <w:rStyle w:val="FootnoteReference"/>
        </w:rPr>
        <w:footnoteReference w:id="641"/>
      </w:r>
      <w:r>
        <w:t xml:space="preserve"> </w:t>
      </w:r>
      <w:r>
        <w:t xml:space="preserve">and in early type 2 diabetes (NCT06184568, completed).</w:t>
      </w:r>
    </w:p>
    <w:p>
      <w:pPr>
        <w:numPr>
          <w:ilvl w:val="0"/>
          <w:numId w:val="1079"/>
        </w:numPr>
        <w:pStyle w:val="Compact"/>
      </w:pPr>
      <w:r>
        <w:t xml:space="preserve">Sleep apnea</w:t>
      </w:r>
      <w:r>
        <w:rPr>
          <w:rStyle w:val="FootnoteReference"/>
        </w:rPr>
        <w:footnoteReference w:id="642"/>
      </w:r>
      <w:r>
        <w:t xml:space="preserve">, hypertension with obesity</w:t>
      </w:r>
      <w:r>
        <w:rPr>
          <w:rStyle w:val="FootnoteReference"/>
        </w:rPr>
        <w:footnoteReference w:id="643"/>
      </w:r>
      <w:r>
        <w:t xml:space="preserve">, adolescents</w:t>
      </w:r>
      <w:r>
        <w:rPr>
          <w:rStyle w:val="FootnoteReference"/>
        </w:rPr>
        <w:footnoteReference w:id="644"/>
      </w:r>
      <w:r>
        <w:t xml:space="preserve">.</w:t>
      </w:r>
    </w:p>
    <w:p>
      <w:pPr>
        <w:numPr>
          <w:ilvl w:val="0"/>
          <w:numId w:val="1079"/>
        </w:numPr>
        <w:pStyle w:val="Compact"/>
      </w:pPr>
      <w:r>
        <w:t xml:space="preserve">Phase 2 trials on MASH</w:t>
      </w:r>
      <w:r>
        <w:rPr>
          <w:rStyle w:val="FootnoteReference"/>
        </w:rPr>
        <w:footnoteReference w:id="645"/>
      </w:r>
      <w:r>
        <w:t xml:space="preserve">, heart failure with obesity</w:t>
      </w:r>
      <w:r>
        <w:rPr>
          <w:rStyle w:val="FootnoteReference"/>
        </w:rPr>
        <w:footnoteReference w:id="646"/>
      </w:r>
      <w:r>
        <w:t xml:space="preserve"> </w:t>
      </w:r>
      <w:r>
        <w:t xml:space="preserve">and alcohol use disorder (NCT06817356, completed, sponsor Lilly).</w:t>
      </w:r>
    </w:p>
    <w:p>
      <w:pPr>
        <w:numPr>
          <w:ilvl w:val="0"/>
          <w:numId w:val="1079"/>
        </w:numPr>
        <w:pStyle w:val="Compact"/>
      </w:pPr>
      <w:r>
        <w:t xml:space="preserve">Lilly is also testing mazdutide in a Phase 2 master protocol</w:t>
      </w:r>
      <w:r>
        <w:rPr>
          <w:rStyle w:val="FootnoteReference"/>
        </w:rPr>
        <w:footnoteReference w:id="647"/>
      </w:r>
      <w:r>
        <w:t xml:space="preserve">.</w:t>
      </w:r>
    </w:p>
    <w:p>
      <w:pPr>
        <w:pStyle w:val="FirstParagraph"/>
      </w:pPr>
      <w:r>
        <w:rPr>
          <w:bCs/>
          <w:b/>
        </w:rPr>
        <w:t xml:space="preserve">Assessment:</w:t>
      </w:r>
      <w:r>
        <w:t xml:space="preserve"> </w:t>
      </w:r>
      <w:r>
        <w:t xml:space="preserve">Mazdutide is the first glucagon/GLP-1 dual drug with an approval – though only in China. Whether Lilly will seek approval in the USA and Europe probably depends on whether the molecule can be differentiated from tirzepatide and retatrutide from the same company, for example in fatty liver or alcohol use disorder. This is an assessment; specific applications for approval outside China are not known.</w:t>
      </w:r>
    </w:p>
    <w:bookmarkEnd w:id="648"/>
    <w:bookmarkStart w:id="649" w:name="conclusion-7"/>
    <w:p>
      <w:pPr>
        <w:pStyle w:val="Heading3"/>
      </w:pPr>
      <w:r>
        <w:t xml:space="preserve">Conclusion</w:t>
      </w:r>
    </w:p>
    <w:p>
      <w:pPr>
        <w:pStyle w:val="FirstParagraph"/>
      </w:pPr>
      <w:r>
        <w:t xml:space="preserve">Mazdutide is a long-acting derivative of the gut hormone oxyntomodulin that activates the GLP-1 and glucagon receptors simultaneously. In Chinese Phase 3 trials, body weight decreased by 11–14% after 48 weeks and by 16.65% after 60 weeks at a higher dose; in type 2 diabetes it was slightly superior to dulaglutide. The most common side effects are gastrointestinal complaints, which become very frequent at higher doses. Mazdutide is approved only in China; data on cardiovascular endpoints and on non-Asian populations are largely lacking.</w:t>
      </w:r>
    </w:p>
    <w:bookmarkEnd w:id="649"/>
    <w:bookmarkEnd w:id="650"/>
    <w:bookmarkStart w:id="698" w:name="cagrilintide-and-cagrisema"/>
    <w:p>
      <w:pPr>
        <w:pStyle w:val="Heading2"/>
      </w:pPr>
      <w:r>
        <w:t xml:space="preserve">Cagrilintide and CagriSema</w:t>
      </w:r>
    </w:p>
    <w:bookmarkStart w:id="651" w:name="profile-8"/>
    <w:p>
      <w:pPr>
        <w:pStyle w:val="Heading3"/>
      </w:pPr>
      <w:r>
        <w:t xml:space="preserve">Profile</w:t>
      </w:r>
    </w:p>
    <w:p>
      <w:pPr>
        <w:numPr>
          <w:ilvl w:val="0"/>
          <w:numId w:val="1080"/>
        </w:numPr>
        <w:pStyle w:val="Compact"/>
      </w:pPr>
      <w:r>
        <w:rPr>
          <w:bCs/>
          <w:b/>
        </w:rPr>
        <w:t xml:space="preserve">Type/structure:</w:t>
      </w:r>
      <w:r>
        <w:t xml:space="preserve"> </w:t>
      </w:r>
      <w:r>
        <w:t xml:space="preserve">Cagrilintide is a synthetic, fatty-acid-modified analog of the hormone amylin for once-weekly injection under the skin.</w:t>
      </w:r>
      <w:r>
        <w:t xml:space="preserve"> </w:t>
      </w:r>
      <w:r>
        <w:rPr>
          <w:bCs/>
          <w:b/>
        </w:rPr>
        <w:t xml:space="preserve">CagriSema</w:t>
      </w:r>
      <w:r>
        <w:t xml:space="preserve"> </w:t>
      </w:r>
      <w:r>
        <w:t xml:space="preserve">is the fixed combination of cagrilintide and semaglutide in one injection device.</w:t>
      </w:r>
    </w:p>
    <w:p>
      <w:pPr>
        <w:numPr>
          <w:ilvl w:val="0"/>
          <w:numId w:val="1080"/>
        </w:numPr>
        <w:pStyle w:val="Compact"/>
      </w:pPr>
      <w:r>
        <w:rPr>
          <w:bCs/>
          <w:b/>
        </w:rPr>
        <w:t xml:space="preserve">Origin:</w:t>
      </w:r>
      <w:r>
        <w:t xml:space="preserve"> </w:t>
      </w:r>
      <w:r>
        <w:t xml:space="preserve">developed by Novo Nordisk, the manufacturer of semaglutide.</w:t>
      </w:r>
    </w:p>
    <w:p>
      <w:pPr>
        <w:numPr>
          <w:ilvl w:val="0"/>
          <w:numId w:val="1080"/>
        </w:numPr>
        <w:pStyle w:val="Compact"/>
      </w:pPr>
      <w:r>
        <w:rPr>
          <w:bCs/>
          <w:b/>
        </w:rPr>
        <w:t xml:space="preserve">Mechanism of action:</w:t>
      </w:r>
      <w:r>
        <w:t xml:space="preserve"> </w:t>
      </w:r>
      <w:r>
        <w:t xml:space="preserve">Cagrilintide activates amylin receptors and additionally the related calcitonin receptor (a</w:t>
      </w:r>
      <w:r>
        <w:t xml:space="preserve"> </w:t>
      </w:r>
      <w:r>
        <w:t xml:space="preserve">“</w:t>
      </w:r>
      <w:r>
        <w:t xml:space="preserve">dual amylin and calcitonin receptor agonist</w:t>
      </w:r>
      <w:r>
        <w:t xml:space="preserve">”</w:t>
      </w:r>
      <w:r>
        <w:t xml:space="preserve">). In CagriSema, the GLP-1 effect of semaglutide is added.</w:t>
      </w:r>
    </w:p>
    <w:p>
      <w:pPr>
        <w:numPr>
          <w:ilvl w:val="0"/>
          <w:numId w:val="1080"/>
        </w:numPr>
        <w:pStyle w:val="Compact"/>
      </w:pPr>
      <w:r>
        <w:rPr>
          <w:bCs/>
          <w:b/>
        </w:rPr>
        <w:t xml:space="preserve">Approval EU:</w:t>
      </w:r>
      <w:r>
        <w:t xml:space="preserve"> </w:t>
      </w:r>
      <w:r>
        <w:t xml:space="preserve">no (as of October 2026).</w:t>
      </w:r>
    </w:p>
    <w:p>
      <w:pPr>
        <w:numPr>
          <w:ilvl w:val="0"/>
          <w:numId w:val="1080"/>
        </w:numPr>
        <w:pStyle w:val="Compact"/>
      </w:pPr>
      <w:r>
        <w:rPr>
          <w:bCs/>
          <w:b/>
        </w:rPr>
        <w:t xml:space="preserve">Approval USA:</w:t>
      </w:r>
      <w:r>
        <w:t xml:space="preserve"> </w:t>
      </w:r>
      <w:r>
        <w:t xml:space="preserve">no (as of October 2026; an approval procedure for CagriSema has been announced or may already be under way – please check for updates).</w:t>
      </w:r>
    </w:p>
    <w:p>
      <w:pPr>
        <w:numPr>
          <w:ilvl w:val="0"/>
          <w:numId w:val="1080"/>
        </w:numPr>
        <w:pStyle w:val="Compact"/>
      </w:pPr>
      <w:r>
        <w:rPr>
          <w:bCs/>
          <w:b/>
        </w:rPr>
        <w:t xml:space="preserve">WADA:</w:t>
      </w:r>
      <w:r>
        <w:t xml:space="preserve"> </w:t>
      </w:r>
      <w:r>
        <w:t xml:space="preserve">prohibited as a non-approved substance under S0.</w:t>
      </w:r>
    </w:p>
    <w:p>
      <w:pPr>
        <w:numPr>
          <w:ilvl w:val="0"/>
          <w:numId w:val="1080"/>
        </w:numPr>
        <w:pStyle w:val="Compact"/>
      </w:pPr>
      <w:r>
        <w:rPr>
          <w:bCs/>
          <w:b/>
        </w:rPr>
        <w:t xml:space="preserve">Evidence level:</w:t>
      </w:r>
      <w:r>
        <w:t xml:space="preserve"> </w:t>
      </w:r>
      <w:r>
        <w:rPr>
          <w:bCs/>
          <w:b/>
        </w:rPr>
        <w:t xml:space="preserve">B</w:t>
      </w:r>
      <w:r>
        <w:t xml:space="preserve"> </w:t>
      </w:r>
      <w:r>
        <w:t xml:space="preserve">– several large Phase 3 trials published, but no approval yet. With approval, CagriSema would reach level A.</w:t>
      </w:r>
    </w:p>
    <w:bookmarkEnd w:id="651"/>
    <w:bookmarkStart w:id="656" w:name="how-it-is-supposed-to-work-8"/>
    <w:p>
      <w:pPr>
        <w:pStyle w:val="Heading3"/>
      </w:pPr>
      <w:r>
        <w:t xml:space="preserve">How it is supposed to work</w:t>
      </w:r>
    </w:p>
    <w:p>
      <w:pPr>
        <w:pStyle w:val="FirstParagraph"/>
      </w:pPr>
      <w:r>
        <w:t xml:space="preserve">Amylin is a hormone released by the beta cells of the pancreas together with insulin. It acts mainly in the brainstem: it promotes the feeling of satiety, slows gastric emptying and curbs glucagon release after meals. People with type 1 diabetes lack not only insulin but also amylin.</w:t>
      </w:r>
    </w:p>
    <w:p>
      <w:pPr>
        <w:pStyle w:val="BodyText"/>
      </w:pPr>
      <w:r>
        <w:t xml:space="preserve">Natural amylin is unsuitable as a medicine because it tends to clump (it forms so-called amyloid fibrils) and lasts only minutes in the blood. The first amylin drug, pramlintide (see separate chapter), therefore has to be injected several times a day. Cagrilintide was specifically modified so that it remains stable and, thanks to a fatty acid chain, acts for one week</w:t>
      </w:r>
      <w:r>
        <w:rPr>
          <w:rStyle w:val="FootnoteReference"/>
        </w:rPr>
        <w:footnoteReference w:id="652"/>
      </w:r>
      <w:r>
        <w:t xml:space="preserve">. In Phase 1 data, the half-life was 159 to 195 hours, i.e., about one week</w:t>
      </w:r>
      <w:r>
        <w:rPr>
          <w:rStyle w:val="FootnoteReference"/>
        </w:rPr>
        <w:footnoteReference w:id="653"/>
      </w:r>
      <w:r>
        <w:t xml:space="preserve">.</w:t>
      </w:r>
    </w:p>
    <w:p>
      <w:pPr>
        <w:pStyle w:val="BodyText"/>
      </w:pPr>
      <w:r>
        <w:t xml:space="preserve">The combination with semaglutide follows a simple idea: amylin and GLP-1 act on satiety via different receptors and partly different brain regions – the effects could add up. Studies in genetically modified mice show that cagrilintide requires amylin receptor subtypes 1 and 3 in the brain for its weight-lowering effect</w:t>
      </w:r>
      <w:r>
        <w:rPr>
          <w:rStyle w:val="FootnoteReference"/>
        </w:rPr>
        <w:footnoteReference w:id="654"/>
      </w:r>
      <w:r>
        <w:t xml:space="preserve">. In rats, CagriSema mainly lowered energy intake, while energy expenditure was largely preserved</w:t>
      </w:r>
      <w:r>
        <w:rPr>
          <w:rStyle w:val="FootnoteReference"/>
        </w:rPr>
        <w:footnoteReference w:id="655"/>
      </w:r>
      <w:r>
        <w:t xml:space="preserve">.</w:t>
      </w:r>
    </w:p>
    <w:bookmarkEnd w:id="656"/>
    <w:bookmarkStart w:id="671" w:name="human-studies-8"/>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15 human studies on cagrilintide or CagriSema. On ClinicalTrials.gov, 44 trials were registered. The approval program is called</w:t>
      </w:r>
      <w:r>
        <w:t xml:space="preserve"> </w:t>
      </w:r>
      <w:r>
        <w:rPr>
          <w:bCs/>
          <w:b/>
        </w:rPr>
        <w:t xml:space="preserve">REDEFINE</w:t>
      </w:r>
      <w:r>
        <w:t xml:space="preserve"> </w:t>
      </w:r>
      <w:r>
        <w:t xml:space="preserve">(weight management) and</w:t>
      </w:r>
      <w:r>
        <w:t xml:space="preserve"> </w:t>
      </w:r>
      <w:r>
        <w:rPr>
          <w:bCs/>
          <w:b/>
        </w:rPr>
        <w:t xml:space="preserve">REIMAGINE</w:t>
      </w:r>
      <w:r>
        <w:t xml:space="preserve"> </w:t>
      </w:r>
      <w:r>
        <w:t xml:space="preserve">(type 2 diabetes).</w:t>
      </w:r>
    </w:p>
    <w:bookmarkStart w:id="659" w:name="cagrilintide-alone"/>
    <w:p>
      <w:pPr>
        <w:pStyle w:val="Heading4"/>
      </w:pPr>
      <w:r>
        <w:t xml:space="preserve">Cagrilintide alone</w:t>
      </w:r>
    </w:p>
    <w:p>
      <w:pPr>
        <w:pStyle w:val="FirstParagraph"/>
      </w:pPr>
      <w:r>
        <w:t xml:space="preserve">In the Phase 2 dose-finding trial</w:t>
      </w:r>
      <w:r>
        <w:rPr>
          <w:rStyle w:val="FootnoteReference"/>
        </w:rPr>
        <w:footnoteReference w:id="657"/>
      </w:r>
      <w:r>
        <w:t xml:space="preserve">, 706 adults with overweight or obesity received cagrilintide in five doses for 26 weeks, 99 received liraglutide and 101 placebo. Weight fell in a dose-dependent manner by 6.0 to 10.8% (placebo 3.0%). The highest dose was slightly superior to liraglutide 3.0 mg (10.8% vs. 9.0%). Nausea occurred in 20–47% (placebo 18%). Cagrilintide alone thus reaches roughly the range of older GLP-1 drugs, not that of semaglutide or tirzepatide. It is now also being tested as a single agent in Phase 3</w:t>
      </w:r>
      <w:r>
        <w:rPr>
          <w:rStyle w:val="FootnoteReference"/>
        </w:rPr>
        <w:footnoteReference w:id="658"/>
      </w:r>
      <w:r>
        <w:t xml:space="preserve">.</w:t>
      </w:r>
    </w:p>
    <w:bookmarkEnd w:id="659"/>
    <w:bookmarkStart w:id="662" w:name="cagrisema-early-studies"/>
    <w:p>
      <w:pPr>
        <w:pStyle w:val="Heading4"/>
      </w:pPr>
      <w:r>
        <w:t xml:space="preserve">CagriSema: early studies</w:t>
      </w:r>
    </w:p>
    <w:p>
      <w:pPr>
        <w:pStyle w:val="FirstParagraph"/>
      </w:pPr>
      <w:r>
        <w:t xml:space="preserve">In a Phase 1b trial in 95 healthy people with overweight, participants on semaglutide plus cagrilintide lost up to 17.1% of their weight after 20 weeks, and 9.8% with semaglutide plus placebo</w:t>
      </w:r>
      <w:r>
        <w:rPr>
          <w:rStyle w:val="FootnoteReference"/>
        </w:rPr>
        <w:footnoteReference w:id="660"/>
      </w:r>
      <w:r>
        <w:t xml:space="preserve">. Cagrilintide did not alter semaglutide blood levels.</w:t>
      </w:r>
    </w:p>
    <w:p>
      <w:pPr>
        <w:pStyle w:val="BodyText"/>
      </w:pPr>
      <w:r>
        <w:t xml:space="preserve">A small Phase 2 trial in 92 people with type 2 diabetes compared CagriSema directly with both individual substances</w:t>
      </w:r>
      <w:r>
        <w:rPr>
          <w:rStyle w:val="FootnoteReference"/>
        </w:rPr>
        <w:footnoteReference w:id="661"/>
      </w:r>
      <w:r>
        <w:t xml:space="preserve">. After 32 weeks, weight loss was 15.6% with CagriSema, 5.1% with semaglutide and 8.1% with cagrilintide. For HbA1c, CagriSema at −2.2 percentage points was not statistically superior to semaglutide (−1.8).</w:t>
      </w:r>
    </w:p>
    <w:bookmarkEnd w:id="662"/>
    <w:bookmarkStart w:id="670" w:name="cagrisema-phase-3-redefine-and-reimagine"/>
    <w:p>
      <w:pPr>
        <w:pStyle w:val="Heading4"/>
      </w:pPr>
      <w:r>
        <w:t xml:space="preserve">CagriSema: Phase 3 (REDEFINE and REIMAGINE)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REDEFINE 1 (Garvey 2025), PMID 40544433</w:t>
            </w:r>
          </w:p>
        </w:tc>
        <w:tc>
          <w:tcPr/>
          <w:p>
            <w:pPr>
              <w:pStyle w:val="Compact"/>
              <w:jc w:val="left"/>
            </w:pPr>
            <w:r>
              <w:t xml:space="preserve">3,417 adults with overweight/obesity without diabetes; vs. placebo and individual substances</w:t>
            </w:r>
          </w:p>
        </w:tc>
        <w:tc>
          <w:tcPr/>
          <w:p>
            <w:pPr>
              <w:pStyle w:val="Compact"/>
              <w:jc w:val="left"/>
            </w:pPr>
            <w:r>
              <w:t xml:space="preserve">68 weeks</w:t>
            </w:r>
          </w:p>
        </w:tc>
        <w:tc>
          <w:tcPr/>
          <w:p>
            <w:pPr>
              <w:pStyle w:val="Compact"/>
              <w:jc w:val="left"/>
            </w:pPr>
            <w:r>
              <w:t xml:space="preserve">−20.4% weight vs. −3.0%</w:t>
            </w:r>
          </w:p>
        </w:tc>
      </w:tr>
      <w:tr>
        <w:tc>
          <w:tcPr/>
          <w:p>
            <w:pPr>
              <w:pStyle w:val="Compact"/>
              <w:jc w:val="left"/>
            </w:pPr>
            <w:r>
              <w:t xml:space="preserve">REDEFINE 2 (Davies 2025), PMID 40544432</w:t>
            </w:r>
          </w:p>
        </w:tc>
        <w:tc>
          <w:tcPr/>
          <w:p>
            <w:pPr>
              <w:pStyle w:val="Compact"/>
              <w:jc w:val="left"/>
            </w:pPr>
            <w:r>
              <w:t xml:space="preserve">1,206 adults with obesity and type 2 diabetes, vs. placebo</w:t>
            </w:r>
          </w:p>
        </w:tc>
        <w:tc>
          <w:tcPr/>
          <w:p>
            <w:pPr>
              <w:pStyle w:val="Compact"/>
              <w:jc w:val="left"/>
            </w:pPr>
            <w:r>
              <w:t xml:space="preserve">68 weeks</w:t>
            </w:r>
          </w:p>
        </w:tc>
        <w:tc>
          <w:tcPr/>
          <w:p>
            <w:pPr>
              <w:pStyle w:val="Compact"/>
              <w:jc w:val="left"/>
            </w:pPr>
            <w:r>
              <w:t xml:space="preserve">−13.7% vs. −3.4%</w:t>
            </w:r>
          </w:p>
        </w:tc>
      </w:tr>
      <w:tr>
        <w:tc>
          <w:tcPr/>
          <w:p>
            <w:pPr>
              <w:pStyle w:val="Compact"/>
              <w:jc w:val="left"/>
            </w:pPr>
            <w:r>
              <w:t xml:space="preserve">REDEFINE 5 (Yamauchi 2026), PMID 42009015</w:t>
            </w:r>
          </w:p>
        </w:tc>
        <w:tc>
          <w:tcPr/>
          <w:p>
            <w:pPr>
              <w:pStyle w:val="Compact"/>
              <w:jc w:val="left"/>
            </w:pPr>
            <w:r>
              <w:t xml:space="preserve">331 adults in Japan and Taiwan, vs. semaglutide</w:t>
            </w:r>
          </w:p>
        </w:tc>
        <w:tc>
          <w:tcPr/>
          <w:p>
            <w:pPr>
              <w:pStyle w:val="Compact"/>
              <w:jc w:val="left"/>
            </w:pPr>
            <w:r>
              <w:t xml:space="preserve">68 weeks</w:t>
            </w:r>
          </w:p>
        </w:tc>
        <w:tc>
          <w:tcPr/>
          <w:p>
            <w:pPr>
              <w:pStyle w:val="Compact"/>
              <w:jc w:val="left"/>
            </w:pPr>
            <w:r>
              <w:t xml:space="preserve">−18.4% vs. −11.9% (semaglutide)</w:t>
            </w:r>
          </w:p>
        </w:tc>
      </w:tr>
      <w:tr>
        <w:tc>
          <w:tcPr/>
          <w:p>
            <w:pPr>
              <w:pStyle w:val="Compact"/>
              <w:jc w:val="left"/>
            </w:pPr>
            <w:r>
              <w:t xml:space="preserve">REIMAGINE 1 (Aroda 2026), PMID 42251860</w:t>
            </w:r>
          </w:p>
        </w:tc>
        <w:tc>
          <w:tcPr/>
          <w:p>
            <w:pPr>
              <w:pStyle w:val="Compact"/>
              <w:jc w:val="left"/>
            </w:pPr>
            <w:r>
              <w:t xml:space="preserve">189 adults with type 2 diabetes on no medication, vs. placebo</w:t>
            </w:r>
          </w:p>
        </w:tc>
        <w:tc>
          <w:tcPr/>
          <w:p>
            <w:pPr>
              <w:pStyle w:val="Compact"/>
              <w:jc w:val="left"/>
            </w:pPr>
            <w:r>
              <w:t xml:space="preserve">40 weeks</w:t>
            </w:r>
          </w:p>
        </w:tc>
        <w:tc>
          <w:tcPr/>
          <w:p>
            <w:pPr>
              <w:pStyle w:val="Compact"/>
              <w:jc w:val="left"/>
            </w:pPr>
            <w:r>
              <w:t xml:space="preserve">HbA1c −1.8 vs. −0.1; weight −13.8% vs. −1.4%</w:t>
            </w:r>
          </w:p>
        </w:tc>
      </w:tr>
      <w:tr>
        <w:tc>
          <w:tcPr/>
          <w:p>
            <w:pPr>
              <w:pStyle w:val="Compact"/>
              <w:jc w:val="left"/>
            </w:pPr>
            <w:r>
              <w:t xml:space="preserve">REIMAGINE 2 (Buse 2026), PMID 42251859</w:t>
            </w:r>
          </w:p>
        </w:tc>
        <w:tc>
          <w:tcPr/>
          <w:p>
            <w:pPr>
              <w:pStyle w:val="Compact"/>
              <w:jc w:val="left"/>
            </w:pPr>
            <w:r>
              <w:t xml:space="preserve">2,713 adults with type 2 diabetes, vs. semaglutide, cagrilintide and placebo</w:t>
            </w:r>
          </w:p>
        </w:tc>
        <w:tc>
          <w:tcPr/>
          <w:p>
            <w:pPr>
              <w:pStyle w:val="Compact"/>
              <w:jc w:val="left"/>
            </w:pPr>
            <w:r>
              <w:t xml:space="preserve">68 weeks</w:t>
            </w:r>
          </w:p>
        </w:tc>
        <w:tc>
          <w:tcPr/>
          <w:p>
            <w:pPr>
              <w:pStyle w:val="Compact"/>
              <w:jc w:val="left"/>
            </w:pPr>
            <w:r>
              <w:t xml:space="preserve">HbA1c −1.91 vs. −1.75 (semaglutide 2.4 mg)</w:t>
            </w:r>
          </w:p>
        </w:tc>
      </w:tr>
      <w:tr>
        <w:tc>
          <w:tcPr/>
          <w:p>
            <w:pPr>
              <w:pStyle w:val="Compact"/>
              <w:jc w:val="left"/>
            </w:pPr>
            <w:r>
              <w:t xml:space="preserve">REIMAGINE 3 (Rosenstock 2026), PMID 42251856</w:t>
            </w:r>
          </w:p>
        </w:tc>
        <w:tc>
          <w:tcPr/>
          <w:p>
            <w:pPr>
              <w:pStyle w:val="Compact"/>
              <w:jc w:val="left"/>
            </w:pPr>
            <w:r>
              <w:t xml:space="preserve">274 adults with type 2 diabetes and basal insulin, vs. placebo</w:t>
            </w:r>
          </w:p>
        </w:tc>
        <w:tc>
          <w:tcPr/>
          <w:p>
            <w:pPr>
              <w:pStyle w:val="Compact"/>
              <w:jc w:val="left"/>
            </w:pPr>
            <w:r>
              <w:t xml:space="preserve">40 weeks</w:t>
            </w:r>
          </w:p>
        </w:tc>
        <w:tc>
          <w:tcPr/>
          <w:p>
            <w:pPr>
              <w:pStyle w:val="Compact"/>
              <w:jc w:val="left"/>
            </w:pPr>
            <w:r>
              <w:t xml:space="preserve">HbA1c −2.33 vs. −0.66; weight −10 to −12%</w:t>
            </w:r>
          </w:p>
        </w:tc>
      </w:tr>
    </w:tbl>
    <w:p>
      <w:pPr>
        <w:pStyle w:val="BodyText"/>
      </w:pPr>
      <w:r>
        <w:rPr>
          <w:bCs/>
          <w:b/>
        </w:rPr>
        <w:t xml:space="preserve">REDEFINE 1</w:t>
      </w:r>
      <w:r>
        <w:rPr>
          <w:rStyle w:val="FootnoteReference"/>
        </w:rPr>
        <w:footnoteReference w:id="663"/>
      </w:r>
      <w:r>
        <w:t xml:space="preserve"> </w:t>
      </w:r>
      <w:r>
        <w:t xml:space="preserve">is the main trial. In 3,417 adults without diabetes, body weight decreased after 68 weeks by an average of 20.4% compared with 3.0% on placebo. The trial also included smaller groups with semaglutide alone and cagrilintide alone. In a post hoc analysis, 30.3% on CagriSema, 19.1% on semaglutide, 9.0% on cagrilintide and 3.3% on placebo achieved both a BMI below 27 and a favorable waist-to-height ratio</w:t>
      </w:r>
      <w:r>
        <w:rPr>
          <w:rStyle w:val="FootnoteReference"/>
        </w:rPr>
        <w:footnoteReference w:id="664"/>
      </w:r>
      <w:r>
        <w:t xml:space="preserve">. Systolic blood pressure fell by 10.9 mmHg on CagriSema (placebo −2.8)</w:t>
      </w:r>
      <w:r>
        <w:rPr>
          <w:rStyle w:val="FootnoteReference"/>
        </w:rPr>
        <w:footnoteReference w:id="665"/>
      </w:r>
      <w:r>
        <w:t xml:space="preserve">.</w:t>
      </w:r>
    </w:p>
    <w:p>
      <w:pPr>
        <w:pStyle w:val="BodyText"/>
      </w:pPr>
      <w:r>
        <w:t xml:space="preserve">For context: the 20.4% achieved is in the range of tirzepatide in SURMOUNT-1 (20.9% after 72 weeks at the highest dose). Such a cross-trial comparison between different studies is only a rough guide; the direct comparison is still pending (see below).</w:t>
      </w:r>
    </w:p>
    <w:p>
      <w:pPr>
        <w:pStyle w:val="BodyText"/>
      </w:pPr>
      <w:r>
        <w:rPr>
          <w:bCs/>
          <w:b/>
        </w:rPr>
        <w:t xml:space="preserve">REDEFINE 2</w:t>
      </w:r>
      <w:r>
        <w:rPr>
          <w:rStyle w:val="FootnoteReference"/>
        </w:rPr>
        <w:footnoteReference w:id="666"/>
      </w:r>
      <w:r>
        <w:t xml:space="preserve"> </w:t>
      </w:r>
      <w:r>
        <w:t xml:space="preserve">confirmed the pattern in people with type 2 diabetes: −13.7% compared with −3.4%. 73.5% reached an HbA1c of 6.5% or less (placebo 15.9%).</w:t>
      </w:r>
    </w:p>
    <w:p>
      <w:pPr>
        <w:pStyle w:val="BodyText"/>
      </w:pPr>
      <w:r>
        <w:rPr>
          <w:bCs/>
          <w:b/>
        </w:rPr>
        <w:t xml:space="preserve">REDEFINE 5</w:t>
      </w:r>
      <w:r>
        <w:rPr>
          <w:rStyle w:val="FootnoteReference"/>
        </w:rPr>
        <w:footnoteReference w:id="667"/>
      </w:r>
      <w:r>
        <w:t xml:space="preserve"> </w:t>
      </w:r>
      <w:r>
        <w:t xml:space="preserve">is the first published blinded Phase 3 trial in direct comparison with semaglutide 2.4 mg: in Japan and Taiwan, participants lost 18.4% with CagriSema compared with 11.9% with semaglutide alone. Gastrointestinal complaints were similarly frequent at 53% vs. 51%.</w:t>
      </w:r>
    </w:p>
    <w:p>
      <w:pPr>
        <w:pStyle w:val="BodyText"/>
      </w:pPr>
      <w:r>
        <w:rPr>
          <w:bCs/>
          <w:b/>
        </w:rPr>
        <w:t xml:space="preserve">REIMAGINE 2</w:t>
      </w:r>
      <w:r>
        <w:rPr>
          <w:rStyle w:val="FootnoteReference"/>
        </w:rPr>
        <w:footnoteReference w:id="668"/>
      </w:r>
      <w:r>
        <w:t xml:space="preserve"> </w:t>
      </w:r>
      <w:r>
        <w:t xml:space="preserve">showed in type 2 diabetes that CagriSema lowers HbA1c only slightly more than semaglutide 2.4 mg alone (−1.91 vs. −1.75 percentage points). The added benefit of cagrilintide therefore lies mainly in weight, hardly in blood glucose.</w:t>
      </w:r>
    </w:p>
    <w:p>
      <w:pPr>
        <w:pStyle w:val="BodyText"/>
      </w:pPr>
      <w:r>
        <w:t xml:space="preserve">The direct comparative trial against tirzepatide in obesity (REDEFINE 4, NCT06131437) and two comparative trials against tirzepatide in type 2 diabetes</w:t>
      </w:r>
      <w:r>
        <w:rPr>
          <w:rStyle w:val="FootnoteReference"/>
        </w:rPr>
        <w:footnoteReference w:id="669"/>
      </w:r>
      <w:r>
        <w:t xml:space="preserve"> </w:t>
      </w:r>
      <w:r>
        <w:t xml:space="preserve">have been completed according to the registry; peer-reviewed publications were not yet available at the time of research.</w:t>
      </w:r>
    </w:p>
    <w:bookmarkEnd w:id="670"/>
    <w:bookmarkEnd w:id="671"/>
    <w:bookmarkStart w:id="676" w:name="animal-and-laboratory-studies-8"/>
    <w:p>
      <w:pPr>
        <w:pStyle w:val="Heading3"/>
      </w:pPr>
      <w:r>
        <w:t xml:space="preserve">Animal and laboratory studies</w:t>
      </w:r>
    </w:p>
    <w:p>
      <w:pPr>
        <w:pStyle w:val="FirstParagraph"/>
      </w:pPr>
      <w:r>
        <w:t xml:space="preserve">Structural biology studies show how cagrilintide binds to amylin and calcitonin receptors</w:t>
      </w:r>
      <w:r>
        <w:rPr>
          <w:rStyle w:val="FootnoteReference"/>
        </w:rPr>
        <w:footnoteReference w:id="672"/>
      </w:r>
      <w:r>
        <w:t xml:space="preserve">. In mice lacking amylin receptor subtypes 1 and 3, the effect was greatly attenuated</w:t>
      </w:r>
      <w:r>
        <w:rPr>
          <w:rStyle w:val="FootnoteReference"/>
        </w:rPr>
        <w:footnoteReference w:id="673"/>
      </w:r>
      <w:r>
        <w:t xml:space="preserve">. In rats, CagriSema lowered food intake by 39%; according to the authors’ calculations, about one third of the weight loss was due to energy expenditure not falling to the usual extent</w:t>
      </w:r>
      <w:r>
        <w:rPr>
          <w:rStyle w:val="FootnoteReference"/>
        </w:rPr>
        <w:footnoteReference w:id="674"/>
      </w:r>
      <w:r>
        <w:t xml:space="preserve">. In another rat study, combining cagrilintide with retatrutide enhanced weight loss</w:t>
      </w:r>
      <w:r>
        <w:rPr>
          <w:rStyle w:val="FootnoteReference"/>
        </w:rPr>
        <w:footnoteReference w:id="675"/>
      </w:r>
      <w:r>
        <w:t xml:space="preserve"> </w:t>
      </w:r>
      <w:r>
        <w:t xml:space="preserve">– an indication that amylin agents could in future also be combined with other incretin drugs. All of these results come from animal experiments.</w:t>
      </w:r>
    </w:p>
    <w:bookmarkEnd w:id="676"/>
    <w:bookmarkStart w:id="684" w:name="risks-and-side-effects-8"/>
    <w:p>
      <w:pPr>
        <w:pStyle w:val="Heading3"/>
      </w:pPr>
      <w:r>
        <w:t xml:space="preserve">Risks and side effects</w:t>
      </w:r>
    </w:p>
    <w:p>
      <w:pPr>
        <w:pStyle w:val="FirstParagraph"/>
      </w:pPr>
      <w:r>
        <w:rPr>
          <w:bCs/>
          <w:b/>
        </w:rPr>
        <w:t xml:space="preserve">Documented in studies:</w:t>
      </w:r>
    </w:p>
    <w:p>
      <w:pPr>
        <w:numPr>
          <w:ilvl w:val="0"/>
          <w:numId w:val="1081"/>
        </w:numPr>
        <w:pStyle w:val="Compact"/>
      </w:pPr>
      <w:r>
        <w:rPr>
          <w:bCs/>
          <w:b/>
        </w:rPr>
        <w:t xml:space="preserve">Gastrointestinal complaints</w:t>
      </w:r>
      <w:r>
        <w:t xml:space="preserve"> </w:t>
      </w:r>
      <w:r>
        <w:t xml:space="preserve">– nausea, vomiting, diarrhea, constipation, abdominal pain – affected 79.6% on CagriSema compared with 39.9% on placebo in REDEFINE 1; they were mostly transient and mild to moderate</w:t>
      </w:r>
      <w:r>
        <w:rPr>
          <w:rStyle w:val="FootnoteReference"/>
        </w:rPr>
        <w:footnoteReference w:id="677"/>
      </w:r>
      <w:r>
        <w:t xml:space="preserve">. In REDEFINE 2, the figures were 72.5% compared with 34.4%</w:t>
      </w:r>
      <w:r>
        <w:rPr>
          <w:rStyle w:val="FootnoteReference"/>
        </w:rPr>
        <w:footnoteReference w:id="678"/>
      </w:r>
      <w:r>
        <w:t xml:space="preserve">.</w:t>
      </w:r>
    </w:p>
    <w:p>
      <w:pPr>
        <w:numPr>
          <w:ilvl w:val="0"/>
          <w:numId w:val="1081"/>
        </w:numPr>
        <w:pStyle w:val="Compact"/>
      </w:pPr>
      <w:r>
        <w:rPr>
          <w:bCs/>
          <w:b/>
        </w:rPr>
        <w:t xml:space="preserve">Hypoglycemia:</w:t>
      </w:r>
      <w:r>
        <w:t xml:space="preserve"> </w:t>
      </w:r>
      <w:r>
        <w:t xml:space="preserve">In REIMAGINE 3, no severe hypoglycemia occurred despite concomitant insulin treatment</w:t>
      </w:r>
      <w:r>
        <w:rPr>
          <w:rStyle w:val="FootnoteReference"/>
        </w:rPr>
        <w:footnoteReference w:id="679"/>
      </w:r>
      <w:r>
        <w:t xml:space="preserve">. In combination with insulin or sulfonylureas, however, the risk fundamentally remains.</w:t>
      </w:r>
    </w:p>
    <w:p>
      <w:pPr>
        <w:numPr>
          <w:ilvl w:val="0"/>
          <w:numId w:val="1081"/>
        </w:numPr>
        <w:pStyle w:val="Compact"/>
      </w:pPr>
      <w:r>
        <w:rPr>
          <w:bCs/>
          <w:b/>
        </w:rPr>
        <w:t xml:space="preserve">Heart rhythm:</w:t>
      </w:r>
      <w:r>
        <w:t xml:space="preserve"> </w:t>
      </w:r>
      <w:r>
        <w:t xml:space="preserve">In a dedicated study with 105 healthy people, cagrilintide did not prolong the QT interval on the ECG to a clinically relevant extent</w:t>
      </w:r>
      <w:r>
        <w:rPr>
          <w:rStyle w:val="FootnoteReference"/>
        </w:rPr>
        <w:footnoteReference w:id="680"/>
      </w:r>
      <w:r>
        <w:t xml:space="preserve">.</w:t>
      </w:r>
    </w:p>
    <w:p>
      <w:pPr>
        <w:numPr>
          <w:ilvl w:val="0"/>
          <w:numId w:val="1081"/>
        </w:numPr>
        <w:pStyle w:val="Compact"/>
      </w:pPr>
      <w:r>
        <w:rPr>
          <w:bCs/>
          <w:b/>
        </w:rPr>
        <w:t xml:space="preserve">Kidney and liver function:</w:t>
      </w:r>
      <w:r>
        <w:t xml:space="preserve"> </w:t>
      </w:r>
      <w:r>
        <w:t xml:space="preserve">Cagrilintide blood levels did not change substantially in impaired kidney or liver function</w:t>
      </w:r>
      <w:r>
        <w:rPr>
          <w:rStyle w:val="FootnoteReference"/>
        </w:rPr>
        <w:footnoteReference w:id="681"/>
      </w:r>
      <w:r>
        <w:t xml:space="preserve">.</w:t>
      </w:r>
    </w:p>
    <w:p>
      <w:pPr>
        <w:pStyle w:val="FirstParagraph"/>
      </w:pPr>
      <w:r>
        <w:rPr>
          <w:bCs/>
          <w:b/>
        </w:rPr>
        <w:t xml:space="preserve">Theoretical or not yet adequately studied:</w:t>
      </w:r>
      <w:r>
        <w:t xml:space="preserve"> </w:t>
      </w:r>
      <w:r>
        <w:t xml:space="preserve">The calcitonin receptor is also found in bone; how continuous stimulation affects bone metabolism is currently being studied</w:t>
      </w:r>
      <w:r>
        <w:rPr>
          <w:rStyle w:val="FootnoteReference"/>
        </w:rPr>
        <w:footnoteReference w:id="682"/>
      </w:r>
      <w:r>
        <w:t xml:space="preserve">. It is likewise unclear whether the combination affects the loss of muscle mass</w:t>
      </w:r>
      <w:r>
        <w:rPr>
          <w:rStyle w:val="FootnoteReference"/>
        </w:rPr>
        <w:footnoteReference w:id="683"/>
      </w:r>
      <w:r>
        <w:t xml:space="preserve">. For the class risks of semaglutide (gallbladder, pancreas, thyroid C-cells in animal studies), see the chapter Semaglutide.</w:t>
      </w:r>
    </w:p>
    <w:bookmarkEnd w:id="684"/>
    <w:bookmarkStart w:id="685" w:name="legal-status-8"/>
    <w:p>
      <w:pPr>
        <w:pStyle w:val="Heading3"/>
      </w:pPr>
      <w:r>
        <w:t xml:space="preserve">Legal status</w:t>
      </w:r>
    </w:p>
    <w:p>
      <w:pPr>
        <w:numPr>
          <w:ilvl w:val="0"/>
          <w:numId w:val="1082"/>
        </w:numPr>
        <w:pStyle w:val="Compact"/>
      </w:pPr>
      <w:r>
        <w:rPr>
          <w:bCs/>
          <w:b/>
        </w:rPr>
        <w:t xml:space="preserve">EU / Austria / Germany:</w:t>
      </w:r>
      <w:r>
        <w:t xml:space="preserve"> </w:t>
      </w:r>
      <w:r>
        <w:t xml:space="preserve">neither cagrilintide nor CagriSema is approved; use only in trials. Gray-market offerings of</w:t>
      </w:r>
      <w:r>
        <w:t xml:space="preserve"> </w:t>
      </w:r>
      <w:r>
        <w:t xml:space="preserve">“</w:t>
      </w:r>
      <w:r>
        <w:t xml:space="preserve">cagrilintide</w:t>
      </w:r>
      <w:r>
        <w:t xml:space="preserve">”</w:t>
      </w:r>
      <w:r>
        <w:t xml:space="preserve"> </w:t>
      </w:r>
      <w:r>
        <w:t xml:space="preserve">are not medicines and are not tested.</w:t>
      </w:r>
    </w:p>
    <w:p>
      <w:pPr>
        <w:numPr>
          <w:ilvl w:val="0"/>
          <w:numId w:val="1082"/>
        </w:numPr>
        <w:pStyle w:val="Compact"/>
      </w:pPr>
      <w:r>
        <w:rPr>
          <w:bCs/>
          <w:b/>
        </w:rPr>
        <w:t xml:space="preserve">USA:</w:t>
      </w:r>
      <w:r>
        <w:t xml:space="preserve"> </w:t>
      </w:r>
      <w:r>
        <w:t xml:space="preserve">not approved (as of October 2026, please check for updates).</w:t>
      </w:r>
    </w:p>
    <w:p>
      <w:pPr>
        <w:numPr>
          <w:ilvl w:val="0"/>
          <w:numId w:val="1082"/>
        </w:numPr>
        <w:pStyle w:val="Compact"/>
      </w:pPr>
      <w:r>
        <w:rPr>
          <w:bCs/>
          <w:b/>
        </w:rPr>
        <w:t xml:space="preserve">Sport:</w:t>
      </w:r>
      <w:r>
        <w:t xml:space="preserve"> </w:t>
      </w:r>
      <w:r>
        <w:t xml:space="preserve">WADA class S0 (not approved), as of 2026, please check for updates.</w:t>
      </w:r>
    </w:p>
    <w:bookmarkEnd w:id="685"/>
    <w:bookmarkStart w:id="696" w:name="ongoing-studies-and-outlook-8"/>
    <w:p>
      <w:pPr>
        <w:pStyle w:val="Heading3"/>
      </w:pPr>
      <w:r>
        <w:t xml:space="preserve">Ongoing studies and outlook</w:t>
      </w:r>
    </w:p>
    <w:p>
      <w:pPr>
        <w:pStyle w:val="FirstParagraph"/>
      </w:pPr>
      <w:r>
        <w:rPr>
          <w:bCs/>
          <w:b/>
        </w:rPr>
        <w:t xml:space="preserve">Confirmed (registered trials, as of October 2026):</w:t>
      </w:r>
    </w:p>
    <w:p>
      <w:pPr>
        <w:numPr>
          <w:ilvl w:val="0"/>
          <w:numId w:val="1083"/>
        </w:numPr>
        <w:pStyle w:val="Compact"/>
      </w:pPr>
      <w:r>
        <w:rPr>
          <w:bCs/>
          <w:b/>
        </w:rPr>
        <w:t xml:space="preserve">REDEFINE 3</w:t>
      </w:r>
      <w:r>
        <w:rPr>
          <w:rStyle w:val="FootnoteReference"/>
        </w:rPr>
        <w:footnoteReference w:id="686"/>
      </w:r>
      <w:r>
        <w:t xml:space="preserve">: cardiovascular outcome trial with 7,076 randomized people with established cardiovascular disease and overweight; planned completion 2027. Design and baseline data have been published</w:t>
      </w:r>
      <w:r>
        <w:rPr>
          <w:rStyle w:val="FootnoteReference"/>
        </w:rPr>
        <w:footnoteReference w:id="687"/>
      </w:r>
      <w:r>
        <w:t xml:space="preserve">.</w:t>
      </w:r>
    </w:p>
    <w:p>
      <w:pPr>
        <w:numPr>
          <w:ilvl w:val="0"/>
          <w:numId w:val="1083"/>
        </w:numPr>
        <w:pStyle w:val="Compact"/>
      </w:pPr>
      <w:r>
        <w:rPr>
          <w:bCs/>
          <w:b/>
        </w:rPr>
        <w:t xml:space="preserve">Comparisons against tirzepatide</w:t>
      </w:r>
      <w:r>
        <w:rPr>
          <w:rStyle w:val="FootnoteReference"/>
        </w:rPr>
        <w:footnoteReference w:id="688"/>
      </w:r>
      <w:r>
        <w:t xml:space="preserve">: completed, publication pending.</w:t>
      </w:r>
    </w:p>
    <w:p>
      <w:pPr>
        <w:numPr>
          <w:ilvl w:val="0"/>
          <w:numId w:val="1083"/>
        </w:numPr>
        <w:pStyle w:val="Compact"/>
      </w:pPr>
      <w:r>
        <w:rPr>
          <w:bCs/>
          <w:b/>
        </w:rPr>
        <w:t xml:space="preserve">Higher CagriSema doses</w:t>
      </w:r>
      <w:r>
        <w:t xml:space="preserve"> </w:t>
      </w:r>
      <w:r>
        <w:t xml:space="preserve">vs. semaglutide</w:t>
      </w:r>
      <w:r>
        <w:rPr>
          <w:rStyle w:val="FootnoteReference"/>
        </w:rPr>
        <w:footnoteReference w:id="689"/>
      </w:r>
      <w:r>
        <w:t xml:space="preserve"> </w:t>
      </w:r>
      <w:r>
        <w:t xml:space="preserve">and a long-term trial on weight maintenance</w:t>
      </w:r>
      <w:r>
        <w:rPr>
          <w:rStyle w:val="FootnoteReference"/>
        </w:rPr>
        <w:footnoteReference w:id="690"/>
      </w:r>
      <w:r>
        <w:t xml:space="preserve">.</w:t>
      </w:r>
    </w:p>
    <w:p>
      <w:pPr>
        <w:numPr>
          <w:ilvl w:val="0"/>
          <w:numId w:val="1083"/>
        </w:numPr>
        <w:pStyle w:val="Compact"/>
      </w:pPr>
      <w:r>
        <w:rPr>
          <w:bCs/>
          <w:b/>
        </w:rPr>
        <w:t xml:space="preserve">Children and adolescents</w:t>
      </w:r>
      <w:r>
        <w:rPr>
          <w:rStyle w:val="FootnoteReference"/>
        </w:rPr>
        <w:footnoteReference w:id="691"/>
      </w:r>
      <w:r>
        <w:t xml:space="preserve"> </w:t>
      </w:r>
      <w:r>
        <w:t xml:space="preserve">as well as cagrilintide alone</w:t>
      </w:r>
      <w:r>
        <w:rPr>
          <w:rStyle w:val="FootnoteReference"/>
        </w:rPr>
        <w:footnoteReference w:id="692"/>
      </w:r>
      <w:r>
        <w:t xml:space="preserve">.</w:t>
      </w:r>
    </w:p>
    <w:p>
      <w:pPr>
        <w:numPr>
          <w:ilvl w:val="0"/>
          <w:numId w:val="1083"/>
        </w:numPr>
        <w:pStyle w:val="Compact"/>
      </w:pPr>
      <w:r>
        <w:t xml:space="preserve">Smaller trials on bone</w:t>
      </w:r>
      <w:r>
        <w:rPr>
          <w:rStyle w:val="FootnoteReference"/>
        </w:rPr>
        <w:footnoteReference w:id="693"/>
      </w:r>
      <w:r>
        <w:t xml:space="preserve">, muscle</w:t>
      </w:r>
      <w:r>
        <w:rPr>
          <w:rStyle w:val="FootnoteReference"/>
        </w:rPr>
        <w:footnoteReference w:id="694"/>
      </w:r>
      <w:r>
        <w:t xml:space="preserve"> </w:t>
      </w:r>
      <w:r>
        <w:t xml:space="preserve">and on people who do not tolerate GLP-1 drugs</w:t>
      </w:r>
      <w:r>
        <w:rPr>
          <w:rStyle w:val="FootnoteReference"/>
        </w:rPr>
        <w:footnoteReference w:id="695"/>
      </w:r>
      <w:r>
        <w:t xml:space="preserve">.</w:t>
      </w:r>
    </w:p>
    <w:p>
      <w:pPr>
        <w:pStyle w:val="FirstParagraph"/>
      </w:pPr>
      <w:r>
        <w:rPr>
          <w:bCs/>
          <w:b/>
        </w:rPr>
        <w:t xml:space="preserve">Assessment:</w:t>
      </w:r>
      <w:r>
        <w:t xml:space="preserve"> </w:t>
      </w:r>
      <w:r>
        <w:t xml:space="preserve">CagriSema is likely to come to market as the first amylin-GLP-1 combination. Whether it prevails against tirzepatide and the upcoming triple agonists depends on the comparative trials and on tolerability. The scientifically more interesting aspect is the expansion of the toolbox: after GLP-1, GIP and glucagon, amylin is the fourth hormonal pathway being opened up for obesity treatment (see also Amycretin).</w:t>
      </w:r>
    </w:p>
    <w:bookmarkEnd w:id="696"/>
    <w:bookmarkStart w:id="697" w:name="conclusion-8"/>
    <w:p>
      <w:pPr>
        <w:pStyle w:val="Heading3"/>
      </w:pPr>
      <w:r>
        <w:t xml:space="preserve">Conclusion</w:t>
      </w:r>
    </w:p>
    <w:p>
      <w:pPr>
        <w:pStyle w:val="FirstParagraph"/>
      </w:pPr>
      <w:r>
        <w:t xml:space="preserve">Cagrilintide is a long-acting amylin analog that, on its own, lowered weight by up to 10.8% in Phase 2. In combination with semaglutide (CagriSema), it achieved a weight loss of 20.4% after 68 weeks in REDEFINE 1 and was clearly superior to semaglutide alone in East Asia (18.4% vs. 11.9%). Gastrointestinal complaints affect about four out of five people treated. CagriSema is not yet approved; data on cardiovascular events and on the direct comparison with tirzepatide are pending.</w:t>
      </w:r>
    </w:p>
    <w:bookmarkEnd w:id="697"/>
    <w:bookmarkEnd w:id="698"/>
    <w:bookmarkStart w:id="727" w:name="amycretin-zenagamtide"/>
    <w:p>
      <w:pPr>
        <w:pStyle w:val="Heading2"/>
      </w:pPr>
      <w:r>
        <w:t xml:space="preserve">Amycretin (Zenagamtide)</w:t>
      </w:r>
    </w:p>
    <w:bookmarkStart w:id="699" w:name="profile-9"/>
    <w:p>
      <w:pPr>
        <w:pStyle w:val="Heading3"/>
      </w:pPr>
      <w:r>
        <w:t xml:space="preserve">Profile</w:t>
      </w:r>
    </w:p>
    <w:p>
      <w:pPr>
        <w:numPr>
          <w:ilvl w:val="0"/>
          <w:numId w:val="1084"/>
        </w:numPr>
        <w:pStyle w:val="Compact"/>
      </w:pPr>
      <w:r>
        <w:rPr>
          <w:bCs/>
          <w:b/>
        </w:rPr>
        <w:t xml:space="preserve">Type/structure:</w:t>
      </w:r>
      <w:r>
        <w:t xml:space="preserve"> </w:t>
      </w:r>
      <w:r>
        <w:t xml:space="preserve">synthetic peptide that combines GLP-1 and amylin activity in a single molecule (</w:t>
      </w:r>
      <w:r>
        <w:t xml:space="preserve">“</w:t>
      </w:r>
      <w:r>
        <w:t xml:space="preserve">unimolecular</w:t>
      </w:r>
      <w:r>
        <w:t xml:space="preserve">”</w:t>
      </w:r>
      <w:r>
        <w:t xml:space="preserve">). Since 2026 it has carried the international nonproprietary name</w:t>
      </w:r>
      <w:r>
        <w:t xml:space="preserve"> </w:t>
      </w:r>
      <w:r>
        <w:rPr>
          <w:bCs/>
          <w:b/>
        </w:rPr>
        <w:t xml:space="preserve">zenagamtide</w:t>
      </w:r>
      <w:r>
        <w:t xml:space="preserve">; development code NNC0487-0111. It is being developed in two forms: as a weekly injection and as a daily tablet.</w:t>
      </w:r>
    </w:p>
    <w:p>
      <w:pPr>
        <w:numPr>
          <w:ilvl w:val="0"/>
          <w:numId w:val="1084"/>
        </w:numPr>
        <w:pStyle w:val="Compact"/>
      </w:pPr>
      <w:r>
        <w:rPr>
          <w:bCs/>
          <w:b/>
        </w:rPr>
        <w:t xml:space="preserve">Origin:</w:t>
      </w:r>
      <w:r>
        <w:t xml:space="preserve"> </w:t>
      </w:r>
      <w:r>
        <w:t xml:space="preserve">developed by Novo Nordisk.</w:t>
      </w:r>
    </w:p>
    <w:p>
      <w:pPr>
        <w:numPr>
          <w:ilvl w:val="0"/>
          <w:numId w:val="1084"/>
        </w:numPr>
        <w:pStyle w:val="Compact"/>
      </w:pPr>
      <w:r>
        <w:rPr>
          <w:bCs/>
          <w:b/>
        </w:rPr>
        <w:t xml:space="preserve">Mechanism of action:</w:t>
      </w:r>
      <w:r>
        <w:t xml:space="preserve"> </w:t>
      </w:r>
      <w:r>
        <w:t xml:space="preserve">agonist at GLP-1, amylin and calcitonin receptors.</w:t>
      </w:r>
    </w:p>
    <w:p>
      <w:pPr>
        <w:numPr>
          <w:ilvl w:val="0"/>
          <w:numId w:val="1084"/>
        </w:numPr>
        <w:pStyle w:val="Compact"/>
      </w:pPr>
      <w:r>
        <w:rPr>
          <w:bCs/>
          <w:b/>
        </w:rPr>
        <w:t xml:space="preserve">Approval EU:</w:t>
      </w:r>
      <w:r>
        <w:t xml:space="preserve"> </w:t>
      </w:r>
      <w:r>
        <w:t xml:space="preserve">no.</w:t>
      </w:r>
    </w:p>
    <w:p>
      <w:pPr>
        <w:numPr>
          <w:ilvl w:val="0"/>
          <w:numId w:val="1084"/>
        </w:numPr>
        <w:pStyle w:val="Compact"/>
      </w:pPr>
      <w:r>
        <w:rPr>
          <w:bCs/>
          <w:b/>
        </w:rPr>
        <w:t xml:space="preserve">Approval USA:</w:t>
      </w:r>
      <w:r>
        <w:t xml:space="preserve"> </w:t>
      </w:r>
      <w:r>
        <w:t xml:space="preserve">no.</w:t>
      </w:r>
    </w:p>
    <w:p>
      <w:pPr>
        <w:numPr>
          <w:ilvl w:val="0"/>
          <w:numId w:val="1084"/>
        </w:numPr>
        <w:pStyle w:val="Compact"/>
      </w:pPr>
      <w:r>
        <w:rPr>
          <w:bCs/>
          <w:b/>
        </w:rPr>
        <w:t xml:space="preserve">WADA:</w:t>
      </w:r>
      <w:r>
        <w:t xml:space="preserve"> </w:t>
      </w:r>
      <w:r>
        <w:t xml:space="preserve">prohibited as a non-approved substance under S0.</w:t>
      </w:r>
    </w:p>
    <w:p>
      <w:pPr>
        <w:numPr>
          <w:ilvl w:val="0"/>
          <w:numId w:val="1084"/>
        </w:numPr>
        <w:pStyle w:val="Compact"/>
      </w:pPr>
      <w:r>
        <w:rPr>
          <w:bCs/>
          <w:b/>
        </w:rPr>
        <w:t xml:space="preserve">Evidence level:</w:t>
      </w:r>
      <w:r>
        <w:t xml:space="preserve"> </w:t>
      </w:r>
      <w:r>
        <w:rPr>
          <w:bCs/>
          <w:b/>
        </w:rPr>
        <w:t xml:space="preserve">B</w:t>
      </w:r>
      <w:r>
        <w:t xml:space="preserve"> </w:t>
      </w:r>
      <w:r>
        <w:t xml:space="preserve">– randomized Phase 1 and Phase 2 trials published; Phase 3 began in 2026.</w:t>
      </w:r>
    </w:p>
    <w:bookmarkEnd w:id="699"/>
    <w:bookmarkStart w:id="701" w:name="how-it-is-supposed-to-work-9"/>
    <w:p>
      <w:pPr>
        <w:pStyle w:val="Heading3"/>
      </w:pPr>
      <w:r>
        <w:t xml:space="preserve">How it is supposed to work</w:t>
      </w:r>
    </w:p>
    <w:p>
      <w:pPr>
        <w:pStyle w:val="FirstParagraph"/>
      </w:pPr>
      <w:r>
        <w:t xml:space="preserve">CagriSema (see previous chapter) combines two separate active substances – the amylin analog cagrilintide and the GLP-1 agonist semaglutide – in one injection. Amycretin goes one step further: a single peptide activates both receptor systems. This simplifies manufacturing and dosing and in principle allows a tablet form, as already exists with oral semaglutide.</w:t>
      </w:r>
    </w:p>
    <w:p>
      <w:pPr>
        <w:pStyle w:val="BodyText"/>
      </w:pPr>
      <w:r>
        <w:t xml:space="preserve">GLP-1 and amylin both promote the feeling of satiety, slow gastric emptying and dampen glucagon release, but act via different receptors and nerve pathways in the brainstem. In cell experiments, amycretin activated human, mouse and rat receptors for GLP-1, amylin and calcitonin. In rats with diet-induced obesity, it reduced energy intake by 47% and body weight by 18% over 21 days, while energy expenditure was preserved; insulin sensitivity improved and fatty liver decreased</w:t>
      </w:r>
      <w:r>
        <w:rPr>
          <w:rStyle w:val="FootnoteReference"/>
        </w:rPr>
        <w:footnoteReference w:id="700"/>
      </w:r>
      <w:r>
        <w:t xml:space="preserve">. These are animal data.</w:t>
      </w:r>
    </w:p>
    <w:bookmarkEnd w:id="701"/>
    <w:bookmarkStart w:id="709" w:name="human-studies-9"/>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4 human studies. The automated registry search under the name</w:t>
      </w:r>
      <w:r>
        <w:t xml:space="preserve"> </w:t>
      </w:r>
      <w:r>
        <w:t xml:space="preserve">“</w:t>
      </w:r>
      <w:r>
        <w:t xml:space="preserve">amycretin</w:t>
      </w:r>
      <w:r>
        <w:t xml:space="preserve">”</w:t>
      </w:r>
      <w:r>
        <w:t xml:space="preserve"> </w:t>
      </w:r>
      <w:r>
        <w:t xml:space="preserve">found only one entry; under the new name zenagamtide and the development code NNC0487-0111, however, around 30 trials are registered on ClinicalTrials.gov, including the Phase 3 program</w:t>
      </w:r>
      <w:r>
        <w:t xml:space="preserve"> </w:t>
      </w:r>
      <w:r>
        <w:rPr>
          <w:bCs/>
          <w:b/>
        </w:rPr>
        <w:t xml:space="preserve">AMAZE</w:t>
      </w:r>
      <w:r>
        <w:t xml:space="preserve"> </w:t>
      </w:r>
      <w:r>
        <w:t xml:space="preserve">(weight) and</w:t>
      </w:r>
      <w:r>
        <w:t xml:space="preserve"> </w:t>
      </w:r>
      <w:r>
        <w:rPr>
          <w:bCs/>
          <w:b/>
        </w:rPr>
        <w:t xml:space="preserve">AMBITION</w:t>
      </w:r>
      <w:r>
        <w:t xml:space="preserve"> </w:t>
      </w:r>
      <w:r>
        <w:t xml:space="preserve">(type 2 diabetes), launched in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1, tablet (Gasiorek 2025), PMID 40550229</w:t>
            </w:r>
          </w:p>
        </w:tc>
        <w:tc>
          <w:tcPr/>
          <w:p>
            <w:pPr>
              <w:pStyle w:val="Compact"/>
              <w:jc w:val="left"/>
            </w:pPr>
            <w:r>
              <w:t xml:space="preserve">144 adults with overweight/obesity, vs. placebo</w:t>
            </w:r>
          </w:p>
        </w:tc>
        <w:tc>
          <w:tcPr/>
          <w:p>
            <w:pPr>
              <w:pStyle w:val="Compact"/>
              <w:jc w:val="left"/>
            </w:pPr>
            <w:r>
              <w:t xml:space="preserve">up to 12 weeks</w:t>
            </w:r>
          </w:p>
        </w:tc>
        <w:tc>
          <w:tcPr/>
          <w:p>
            <w:pPr>
              <w:pStyle w:val="Compact"/>
              <w:jc w:val="left"/>
            </w:pPr>
            <w:r>
              <w:t xml:space="preserve">Safety; side effects dose-dependent, all mild to moderate</w:t>
            </w:r>
          </w:p>
        </w:tc>
      </w:tr>
      <w:tr>
        <w:tc>
          <w:tcPr/>
          <w:p>
            <w:pPr>
              <w:pStyle w:val="Compact"/>
              <w:jc w:val="left"/>
            </w:pPr>
            <w:r>
              <w:t xml:space="preserve">Phase 1b/2a, injection (Dahl 2025), PMID 40550231</w:t>
            </w:r>
          </w:p>
        </w:tc>
        <w:tc>
          <w:tcPr/>
          <w:p>
            <w:pPr>
              <w:pStyle w:val="Compact"/>
              <w:jc w:val="left"/>
            </w:pPr>
            <w:r>
              <w:t xml:space="preserve">125 adults with overweight/obesity, vs. placebo</w:t>
            </w:r>
          </w:p>
        </w:tc>
        <w:tc>
          <w:tcPr/>
          <w:p>
            <w:pPr>
              <w:pStyle w:val="Compact"/>
              <w:jc w:val="left"/>
            </w:pPr>
            <w:r>
              <w:t xml:space="preserve">up to 36 weeks</w:t>
            </w:r>
          </w:p>
        </w:tc>
        <w:tc>
          <w:tcPr/>
          <w:p>
            <w:pPr>
              <w:pStyle w:val="Compact"/>
              <w:jc w:val="left"/>
            </w:pPr>
            <w:r>
              <w:t xml:space="preserve">up to −24.3% weight vs. −1.1%</w:t>
            </w:r>
          </w:p>
        </w:tc>
      </w:tr>
      <w:tr>
        <w:tc>
          <w:tcPr/>
          <w:p>
            <w:pPr>
              <w:pStyle w:val="Compact"/>
              <w:jc w:val="left"/>
            </w:pPr>
            <w:r>
              <w:t xml:space="preserve">Phase 2, tablet (Mora 2026), PMID 42532079</w:t>
            </w:r>
          </w:p>
        </w:tc>
        <w:tc>
          <w:tcPr/>
          <w:p>
            <w:pPr>
              <w:pStyle w:val="Compact"/>
              <w:jc w:val="left"/>
            </w:pPr>
            <w:r>
              <w:t xml:space="preserve">186 adults with type 2 diabetes, vs. placebo</w:t>
            </w:r>
          </w:p>
        </w:tc>
        <w:tc>
          <w:tcPr/>
          <w:p>
            <w:pPr>
              <w:pStyle w:val="Compact"/>
              <w:jc w:val="left"/>
            </w:pPr>
            <w:r>
              <w:t xml:space="preserve">36 weeks</w:t>
            </w:r>
          </w:p>
        </w:tc>
        <w:tc>
          <w:tcPr/>
          <w:p>
            <w:pPr>
              <w:pStyle w:val="Compact"/>
              <w:jc w:val="left"/>
            </w:pPr>
            <w:r>
              <w:t xml:space="preserve">HbA1c −0.9 to −1.4</w:t>
            </w:r>
          </w:p>
        </w:tc>
      </w:tr>
      <w:tr>
        <w:tc>
          <w:tcPr/>
          <w:p>
            <w:pPr>
              <w:pStyle w:val="Compact"/>
              <w:jc w:val="left"/>
            </w:pPr>
            <w:r>
              <w:t xml:space="preserve">Phase 2, injection (Mora 2026), PMID 42532080</w:t>
            </w:r>
          </w:p>
        </w:tc>
        <w:tc>
          <w:tcPr/>
          <w:p>
            <w:pPr>
              <w:pStyle w:val="Compact"/>
              <w:jc w:val="left"/>
            </w:pPr>
            <w:r>
              <w:t xml:space="preserve">262 adults with type 2 diabetes, vs. placebo</w:t>
            </w:r>
          </w:p>
        </w:tc>
        <w:tc>
          <w:tcPr/>
          <w:p>
            <w:pPr>
              <w:pStyle w:val="Compact"/>
              <w:jc w:val="left"/>
            </w:pPr>
            <w:r>
              <w:t xml:space="preserve">36 weeks</w:t>
            </w:r>
          </w:p>
        </w:tc>
        <w:tc>
          <w:tcPr/>
          <w:p>
            <w:pPr>
              <w:pStyle w:val="Compact"/>
              <w:jc w:val="left"/>
            </w:pPr>
            <w:r>
              <w:t xml:space="preserve">HbA1c −0.9 to −1.7</w:t>
            </w:r>
          </w:p>
        </w:tc>
      </w:tr>
    </w:tbl>
    <w:bookmarkStart w:id="703" w:name="tablet-form-first-in-human-study"/>
    <w:p>
      <w:pPr>
        <w:pStyle w:val="Heading4"/>
      </w:pPr>
      <w:r>
        <w:t xml:space="preserve">Tablet form: first-in-human study</w:t>
      </w:r>
    </w:p>
    <w:p>
      <w:pPr>
        <w:pStyle w:val="FirstParagraph"/>
      </w:pPr>
      <w:r>
        <w:t xml:space="preserve">The first-in-human study tested amycretin as a tablet</w:t>
      </w:r>
      <w:r>
        <w:rPr>
          <w:rStyle w:val="FootnoteReference"/>
        </w:rPr>
        <w:footnoteReference w:id="702"/>
      </w:r>
      <w:r>
        <w:t xml:space="preserve">. 144 adults with overweight or obesity received single or multiple doses for up to twelve weeks. 62% reported at least one adverse event; all were mild or moderate and increased with dose. About half of the events affected the gastrointestinal tract. Blood levels rose in proportion to the dose. The weight data were only a secondary, exploratory endpoint of this safety study.</w:t>
      </w:r>
    </w:p>
    <w:bookmarkEnd w:id="703"/>
    <w:bookmarkStart w:id="705" w:name="injection-form-phase-1b2a"/>
    <w:p>
      <w:pPr>
        <w:pStyle w:val="Heading4"/>
      </w:pPr>
      <w:r>
        <w:t xml:space="preserve">Injection form: Phase 1b/2a</w:t>
      </w:r>
    </w:p>
    <w:p>
      <w:pPr>
        <w:pStyle w:val="FirstParagraph"/>
      </w:pPr>
      <w:r>
        <w:t xml:space="preserve">In the study with the weekly injection</w:t>
      </w:r>
      <w:r>
        <w:rPr>
          <w:rStyle w:val="FootnoteReference"/>
        </w:rPr>
        <w:footnoteReference w:id="704"/>
      </w:r>
      <w:r>
        <w:t xml:space="preserve">, 125 people received amycretin or placebo in several study parts with different target doses and treatment durations. The weight loss was remarkable for an early study:</w:t>
      </w:r>
    </w:p>
    <w:p>
      <w:pPr>
        <w:numPr>
          <w:ilvl w:val="0"/>
          <w:numId w:val="1085"/>
        </w:numPr>
        <w:pStyle w:val="Compact"/>
      </w:pPr>
      <w:r>
        <w:t xml:space="preserve">highest dose, 36 weeks: −24.3% compared with −1.1% on placebo</w:t>
      </w:r>
    </w:p>
    <w:p>
      <w:pPr>
        <w:numPr>
          <w:ilvl w:val="0"/>
          <w:numId w:val="1085"/>
        </w:numPr>
        <w:pStyle w:val="Compact"/>
      </w:pPr>
      <w:r>
        <w:t xml:space="preserve">second-highest dose, 36 weeks: −22.0% compared with +1.9%</w:t>
      </w:r>
    </w:p>
    <w:p>
      <w:pPr>
        <w:numPr>
          <w:ilvl w:val="0"/>
          <w:numId w:val="1085"/>
        </w:numPr>
        <w:pStyle w:val="Compact"/>
      </w:pPr>
      <w:r>
        <w:t xml:space="preserve">medium dose, 28 weeks: −16.2% compared with +2.3%</w:t>
      </w:r>
    </w:p>
    <w:p>
      <w:pPr>
        <w:numPr>
          <w:ilvl w:val="0"/>
          <w:numId w:val="1085"/>
        </w:numPr>
        <w:pStyle w:val="Compact"/>
      </w:pPr>
      <w:r>
        <w:t xml:space="preserve">low dose, 20 weeks: −9.7% compared with +2.0%</w:t>
      </w:r>
    </w:p>
    <w:p>
      <w:pPr>
        <w:pStyle w:val="FirstParagraph"/>
      </w:pPr>
      <w:r>
        <w:t xml:space="preserve">These figures should be read with caution: the groups were small, the study took place at a single center, and the authors themselves report that many participants left the study early – largely for reasons unrelated to side effects. A weight loss of more than 20% after 36 weeks is a strong signal, but not yet a robust estimate for broad use.</w:t>
      </w:r>
    </w:p>
    <w:bookmarkEnd w:id="705"/>
    <w:bookmarkStart w:id="708" w:name="type-2-diabetes-two-phase-2-trials"/>
    <w:p>
      <w:pPr>
        <w:pStyle w:val="Heading4"/>
      </w:pPr>
      <w:r>
        <w:t xml:space="preserve">Type 2 diabetes: two Phase 2 trials</w:t>
      </w:r>
    </w:p>
    <w:p>
      <w:pPr>
        <w:pStyle w:val="FirstParagraph"/>
      </w:pPr>
      <w:r>
        <w:t xml:space="preserve">In 2026, two parallel dose-finding trials were published in people with type 2 diabetes taking metformin (with or without an SGLT2 inhibitor):</w:t>
      </w:r>
    </w:p>
    <w:p>
      <w:pPr>
        <w:numPr>
          <w:ilvl w:val="0"/>
          <w:numId w:val="1086"/>
        </w:numPr>
        <w:pStyle w:val="Compact"/>
      </w:pPr>
      <w:r>
        <w:rPr>
          <w:bCs/>
          <w:b/>
        </w:rPr>
        <w:t xml:space="preserve">Tablet</w:t>
      </w:r>
      <w:r>
        <w:rPr>
          <w:rStyle w:val="FootnoteReference"/>
        </w:rPr>
        <w:footnoteReference w:id="706"/>
      </w:r>
      <w:r>
        <w:t xml:space="preserve">: After 36 weeks, HbA1c fell by 0.9 to 1.4 percentage points (baseline around 8%). Gastrointestinal complaints occurred in 26–47% (placebo 23%). Serious adverse events affected 4% on zenagamtide and no one on placebo.</w:t>
      </w:r>
    </w:p>
    <w:p>
      <w:pPr>
        <w:numPr>
          <w:ilvl w:val="0"/>
          <w:numId w:val="1086"/>
        </w:numPr>
        <w:pStyle w:val="Compact"/>
      </w:pPr>
      <w:r>
        <w:rPr>
          <w:bCs/>
          <w:b/>
        </w:rPr>
        <w:t xml:space="preserve">Injection</w:t>
      </w:r>
      <w:r>
        <w:rPr>
          <w:rStyle w:val="FootnoteReference"/>
        </w:rPr>
        <w:footnoteReference w:id="707"/>
      </w:r>
      <w:r>
        <w:t xml:space="preserve">: HbA1c fell by 0.9 to 1.7 percentage points depending on dose. Serious adverse events occurred in 8% of participants, distributed across all dose groups and placebo.</w:t>
      </w:r>
    </w:p>
    <w:p>
      <w:pPr>
        <w:pStyle w:val="FirstParagraph"/>
      </w:pPr>
      <w:r>
        <w:t xml:space="preserve">The weight results of these diabetes trials are not quantified in the abstracts and are therefore not given here.</w:t>
      </w:r>
    </w:p>
    <w:bookmarkEnd w:id="708"/>
    <w:bookmarkEnd w:id="709"/>
    <w:bookmarkStart w:id="711" w:name="animal-and-laboratory-studies-9"/>
    <w:p>
      <w:pPr>
        <w:pStyle w:val="Heading3"/>
      </w:pPr>
      <w:r>
        <w:t xml:space="preserve">Animal and laboratory studies</w:t>
      </w:r>
    </w:p>
    <w:p>
      <w:pPr>
        <w:pStyle w:val="FirstParagraph"/>
      </w:pPr>
      <w:r>
        <w:t xml:space="preserve">The preclinical data come from the manufacturer</w:t>
      </w:r>
      <w:r>
        <w:rPr>
          <w:rStyle w:val="FootnoteReference"/>
        </w:rPr>
        <w:footnoteReference w:id="710"/>
      </w:r>
      <w:r>
        <w:t xml:space="preserve">: receptor activation in cell cultures, weight loss and improved insulin sensitivity in obese rats, less fatty liver and accumulation in appetite-regulating brain regions of mice. Independent animal studies are scarcely available.</w:t>
      </w:r>
    </w:p>
    <w:bookmarkEnd w:id="711"/>
    <w:bookmarkStart w:id="716" w:name="risks-and-side-effects-9"/>
    <w:p>
      <w:pPr>
        <w:pStyle w:val="Heading3"/>
      </w:pPr>
      <w:r>
        <w:t xml:space="preserve">Risks and side effects</w:t>
      </w:r>
    </w:p>
    <w:p>
      <w:pPr>
        <w:pStyle w:val="FirstParagraph"/>
      </w:pPr>
      <w:r>
        <w:rPr>
          <w:bCs/>
          <w:b/>
        </w:rPr>
        <w:t xml:space="preserve">Documented in studies:</w:t>
      </w:r>
    </w:p>
    <w:p>
      <w:pPr>
        <w:numPr>
          <w:ilvl w:val="0"/>
          <w:numId w:val="1087"/>
        </w:numPr>
        <w:pStyle w:val="Compact"/>
      </w:pPr>
      <w:r>
        <w:rPr>
          <w:bCs/>
          <w:b/>
        </w:rPr>
        <w:t xml:space="preserve">Gastrointestinal complaints</w:t>
      </w:r>
      <w:r>
        <w:t xml:space="preserve"> </w:t>
      </w:r>
      <w:r>
        <w:t xml:space="preserve">are the most common side effects, affecting the majority of those treated in the early studies; they were mostly mild to moderate and dose-dependent</w:t>
      </w:r>
      <w:r>
        <w:rPr>
          <w:rStyle w:val="FootnoteReference"/>
        </w:rPr>
        <w:footnoteReference w:id="712"/>
      </w:r>
      <w:r>
        <w:t xml:space="preserve">.</w:t>
      </w:r>
    </w:p>
    <w:p>
      <w:pPr>
        <w:numPr>
          <w:ilvl w:val="0"/>
          <w:numId w:val="1087"/>
        </w:numPr>
        <w:pStyle w:val="Compact"/>
      </w:pPr>
      <w:r>
        <w:rPr>
          <w:bCs/>
          <w:b/>
        </w:rPr>
        <w:t xml:space="preserve">Serious adverse events</w:t>
      </w:r>
      <w:r>
        <w:t xml:space="preserve"> </w:t>
      </w:r>
      <w:r>
        <w:t xml:space="preserve">were rare in the Phase 2 trials; in the tablet trial they occurred only on zenagamtide (4% vs. 0%), in the injection trial they were evenly distributed</w:t>
      </w:r>
      <w:r>
        <w:rPr>
          <w:rStyle w:val="FootnoteReference"/>
        </w:rPr>
        <w:footnoteReference w:id="713"/>
      </w:r>
      <w:r>
        <w:t xml:space="preserve">.</w:t>
      </w:r>
    </w:p>
    <w:p>
      <w:pPr>
        <w:numPr>
          <w:ilvl w:val="0"/>
          <w:numId w:val="1087"/>
        </w:numPr>
        <w:pStyle w:val="Compact"/>
      </w:pPr>
      <w:r>
        <w:rPr>
          <w:bCs/>
          <w:b/>
        </w:rPr>
        <w:t xml:space="preserve">Kidney function:</w:t>
      </w:r>
      <w:r>
        <w:t xml:space="preserve"> </w:t>
      </w:r>
      <w:r>
        <w:t xml:space="preserve">In impaired kidney function up to end-stage renal failure, blood levels after a single dose did not change to a clinically relevant extent</w:t>
      </w:r>
      <w:r>
        <w:rPr>
          <w:rStyle w:val="FootnoteReference"/>
        </w:rPr>
        <w:footnoteReference w:id="714"/>
      </w:r>
      <w:r>
        <w:t xml:space="preserve">.</w:t>
      </w:r>
    </w:p>
    <w:p>
      <w:pPr>
        <w:pStyle w:val="FirstParagraph"/>
      </w:pPr>
      <w:r>
        <w:rPr>
          <w:bCs/>
          <w:b/>
        </w:rPr>
        <w:t xml:space="preserve">Still open:</w:t>
      </w:r>
      <w:r>
        <w:t xml:space="preserve"> </w:t>
      </w:r>
      <w:r>
        <w:t xml:space="preserve">long-term safety, effects on bone (calcitonin receptor), muscle mass and the cardiovascular system. For the class risks of GLP-1 drugs (gallbladder, pancreas), there are still too few treatment-years.</w:t>
      </w:r>
    </w:p>
    <w:p>
      <w:pPr>
        <w:pStyle w:val="BodyText"/>
      </w:pPr>
      <w:r>
        <w:rPr>
          <w:bCs/>
          <w:b/>
        </w:rPr>
        <w:t xml:space="preserve">Gray market:</w:t>
      </w:r>
      <w:r>
        <w:t xml:space="preserve"> </w:t>
      </w:r>
      <w:r>
        <w:t xml:space="preserve">Even before the start of Phase 3, zenagamtide is being offered online as a</w:t>
      </w:r>
      <w:r>
        <w:t xml:space="preserve"> </w:t>
      </w:r>
      <w:r>
        <w:t xml:space="preserve">“</w:t>
      </w:r>
      <w:r>
        <w:t xml:space="preserve">research peptide.</w:t>
      </w:r>
      <w:r>
        <w:t xml:space="preserve">”</w:t>
      </w:r>
      <w:r>
        <w:t xml:space="preserve"> </w:t>
      </w:r>
      <w:r>
        <w:t xml:space="preserve">A report in the journal JAMA describes a growing black market for the two non-approved substances retatrutide and zenagamtide and the associated risks</w:t>
      </w:r>
      <w:r>
        <w:rPr>
          <w:rStyle w:val="FootnoteReference"/>
        </w:rPr>
        <w:footnoteReference w:id="715"/>
      </w:r>
      <w:r>
        <w:t xml:space="preserve">. Anyone using such products knows neither the content nor the purity nor a tested dosage (see Part I and Part IV).</w:t>
      </w:r>
    </w:p>
    <w:bookmarkEnd w:id="716"/>
    <w:bookmarkStart w:id="717" w:name="legal-status-9"/>
    <w:p>
      <w:pPr>
        <w:pStyle w:val="Heading3"/>
      </w:pPr>
      <w:r>
        <w:t xml:space="preserve">Legal status</w:t>
      </w:r>
    </w:p>
    <w:p>
      <w:pPr>
        <w:numPr>
          <w:ilvl w:val="0"/>
          <w:numId w:val="1088"/>
        </w:numPr>
        <w:pStyle w:val="Compact"/>
      </w:pPr>
      <w:r>
        <w:rPr>
          <w:bCs/>
          <w:b/>
        </w:rPr>
        <w:t xml:space="preserve">EU / Austria / Germany:</w:t>
      </w:r>
      <w:r>
        <w:t xml:space="preserve"> </w:t>
      </w:r>
      <w:r>
        <w:t xml:space="preserve">not approved; use only in clinical trials.</w:t>
      </w:r>
    </w:p>
    <w:p>
      <w:pPr>
        <w:numPr>
          <w:ilvl w:val="0"/>
          <w:numId w:val="1088"/>
        </w:numPr>
        <w:pStyle w:val="Compact"/>
      </w:pPr>
      <w:r>
        <w:rPr>
          <w:bCs/>
          <w:b/>
        </w:rPr>
        <w:t xml:space="preserve">USA:</w:t>
      </w:r>
      <w:r>
        <w:t xml:space="preserve"> </w:t>
      </w:r>
      <w:r>
        <w:t xml:space="preserve">not approved.</w:t>
      </w:r>
    </w:p>
    <w:p>
      <w:pPr>
        <w:numPr>
          <w:ilvl w:val="0"/>
          <w:numId w:val="1088"/>
        </w:numPr>
        <w:pStyle w:val="Compact"/>
      </w:pPr>
      <w:r>
        <w:rPr>
          <w:bCs/>
          <w:b/>
        </w:rPr>
        <w:t xml:space="preserve">Sport:</w:t>
      </w:r>
      <w:r>
        <w:t xml:space="preserve"> </w:t>
      </w:r>
      <w:r>
        <w:t xml:space="preserve">WADA class S0 (non-approved substance), as of 2026, please check for updates.</w:t>
      </w:r>
    </w:p>
    <w:bookmarkEnd w:id="717"/>
    <w:bookmarkStart w:id="725" w:name="ongoing-studies-and-outlook-9"/>
    <w:p>
      <w:pPr>
        <w:pStyle w:val="Heading3"/>
      </w:pPr>
      <w:r>
        <w:t xml:space="preserve">Ongoing studies and outlook</w:t>
      </w:r>
    </w:p>
    <w:p>
      <w:pPr>
        <w:pStyle w:val="FirstParagraph"/>
      </w:pPr>
      <w:r>
        <w:rPr>
          <w:bCs/>
          <w:b/>
        </w:rPr>
        <w:t xml:space="preserve">Confirmed (registered trials, as of October 2026):</w:t>
      </w:r>
    </w:p>
    <w:p>
      <w:pPr>
        <w:numPr>
          <w:ilvl w:val="0"/>
          <w:numId w:val="1089"/>
        </w:numPr>
        <w:pStyle w:val="Compact"/>
      </w:pPr>
      <w:r>
        <w:rPr>
          <w:bCs/>
          <w:b/>
        </w:rPr>
        <w:t xml:space="preserve">AMAZE 1</w:t>
      </w:r>
      <w:r>
        <w:rPr>
          <w:rStyle w:val="FootnoteReference"/>
        </w:rPr>
        <w:footnoteReference w:id="718"/>
      </w:r>
      <w:r>
        <w:t xml:space="preserve">: Phase 3 with 1,150 adults with overweight/obesity, injection form.</w:t>
      </w:r>
    </w:p>
    <w:p>
      <w:pPr>
        <w:numPr>
          <w:ilvl w:val="0"/>
          <w:numId w:val="1089"/>
        </w:numPr>
        <w:pStyle w:val="Compact"/>
      </w:pPr>
      <w:r>
        <w:rPr>
          <w:bCs/>
          <w:b/>
        </w:rPr>
        <w:t xml:space="preserve">AMAZE 2</w:t>
      </w:r>
      <w:r>
        <w:rPr>
          <w:rStyle w:val="FootnoteReference"/>
        </w:rPr>
        <w:footnoteReference w:id="719"/>
      </w:r>
      <w:r>
        <w:t xml:space="preserve">: overweight with type 2 diabetes.</w:t>
      </w:r>
    </w:p>
    <w:p>
      <w:pPr>
        <w:numPr>
          <w:ilvl w:val="0"/>
          <w:numId w:val="1089"/>
        </w:numPr>
        <w:pStyle w:val="Compact"/>
      </w:pPr>
      <w:r>
        <w:rPr>
          <w:bCs/>
          <w:b/>
        </w:rPr>
        <w:t xml:space="preserve">AMAZE 3 and 4</w:t>
      </w:r>
      <w:r>
        <w:rPr>
          <w:rStyle w:val="FootnoteReference"/>
        </w:rPr>
        <w:footnoteReference w:id="720"/>
      </w:r>
      <w:r>
        <w:t xml:space="preserve">: sleep apnea without and with positive airway pressure therapy, respectively.</w:t>
      </w:r>
    </w:p>
    <w:p>
      <w:pPr>
        <w:numPr>
          <w:ilvl w:val="0"/>
          <w:numId w:val="1089"/>
        </w:numPr>
        <w:pStyle w:val="Compact"/>
      </w:pPr>
      <w:r>
        <w:rPr>
          <w:bCs/>
          <w:b/>
        </w:rPr>
        <w:t xml:space="preserve">AMAZE 6</w:t>
      </w:r>
      <w:r>
        <w:rPr>
          <w:rStyle w:val="FootnoteReference"/>
        </w:rPr>
        <w:footnoteReference w:id="721"/>
      </w:r>
      <w:r>
        <w:t xml:space="preserve"> </w:t>
      </w:r>
      <w:r>
        <w:t xml:space="preserve">and another trial</w:t>
      </w:r>
      <w:r>
        <w:rPr>
          <w:rStyle w:val="FootnoteReference"/>
        </w:rPr>
        <w:footnoteReference w:id="722"/>
      </w:r>
      <w:r>
        <w:t xml:space="preserve">: knee osteoarthritis.</w:t>
      </w:r>
    </w:p>
    <w:p>
      <w:pPr>
        <w:numPr>
          <w:ilvl w:val="0"/>
          <w:numId w:val="1089"/>
        </w:numPr>
        <w:pStyle w:val="Compact"/>
      </w:pPr>
      <w:r>
        <w:rPr>
          <w:bCs/>
          <w:b/>
        </w:rPr>
        <w:t xml:space="preserve">AMAZE 9</w:t>
      </w:r>
      <w:r>
        <w:rPr>
          <w:rStyle w:val="FootnoteReference"/>
        </w:rPr>
        <w:footnoteReference w:id="723"/>
      </w:r>
      <w:r>
        <w:t xml:space="preserve">: tablet form in overweight.</w:t>
      </w:r>
    </w:p>
    <w:p>
      <w:pPr>
        <w:numPr>
          <w:ilvl w:val="0"/>
          <w:numId w:val="1089"/>
        </w:numPr>
        <w:pStyle w:val="Compact"/>
      </w:pPr>
      <w:r>
        <w:rPr>
          <w:bCs/>
          <w:b/>
        </w:rPr>
        <w:t xml:space="preserve">AMAZE 12</w:t>
      </w:r>
      <w:r>
        <w:rPr>
          <w:rStyle w:val="FootnoteReference"/>
        </w:rPr>
        <w:footnoteReference w:id="724"/>
      </w:r>
      <w:r>
        <w:t xml:space="preserve">: weight maintenance after weight loss.</w:t>
      </w:r>
    </w:p>
    <w:p>
      <w:pPr>
        <w:numPr>
          <w:ilvl w:val="0"/>
          <w:numId w:val="1089"/>
        </w:numPr>
        <w:pStyle w:val="Compact"/>
      </w:pPr>
      <w:r>
        <w:t xml:space="preserve">Comparison with semaglutide (NCT07668414; in type 2 diabetes NCT07400107) and with insulin glargine in type 2 diabetes (NCT07797335, AMBITION 7).</w:t>
      </w:r>
    </w:p>
    <w:p>
      <w:pPr>
        <w:numPr>
          <w:ilvl w:val="0"/>
          <w:numId w:val="1089"/>
        </w:numPr>
        <w:pStyle w:val="Compact"/>
      </w:pPr>
      <w:r>
        <w:t xml:space="preserve">Outcome trials: heart failure with obesity (NCT07567001, 5,610 participants) and cardiovascular events in atherosclerosis (NCT07861100, 8,500 participants planned).</w:t>
      </w:r>
    </w:p>
    <w:p>
      <w:pPr>
        <w:pStyle w:val="FirstParagraph"/>
      </w:pPr>
      <w:r>
        <w:rPr>
          <w:bCs/>
          <w:b/>
        </w:rPr>
        <w:t xml:space="preserve">Assessment:</w:t>
      </w:r>
      <w:r>
        <w:t xml:space="preserve"> </w:t>
      </w:r>
      <w:r>
        <w:t xml:space="preserve">With this broad Phase 3 program, Novo Nordisk is clearly betting on making amycretin/zenagamtide the successor to semaglutide. Results of the first Phase 3 trials are expected in 2027 at the earliest, and approval hardly before 2028. Whether the impressive figures of the small Phase 1b/2a study hold up in large trials is open.</w:t>
      </w:r>
    </w:p>
    <w:bookmarkEnd w:id="725"/>
    <w:bookmarkStart w:id="726" w:name="conclusion-9"/>
    <w:p>
      <w:pPr>
        <w:pStyle w:val="Heading3"/>
      </w:pPr>
      <w:r>
        <w:t xml:space="preserve">Conclusion</w:t>
      </w:r>
    </w:p>
    <w:p>
      <w:pPr>
        <w:pStyle w:val="FirstParagraph"/>
      </w:pPr>
      <w:r>
        <w:t xml:space="preserve">Amycretin – since 2026 zenagamtide – is a single peptide that activates GLP-1 and amylin receptors simultaneously and is being developed as an injection and as a tablet. In a small Phase 1b/2a study, weight fell by up to 24.3% after 36 weeks; in Phase 2 trials in type 2 diabetes, HbA1c fell by up to 1.7 percentage points. The most common side effects affect the gastrointestinal tract. The Phase 3 trials began in 2026; until a possible approval, zenagamtide is purely an investigational product, and gray-market goods are no substitute.</w:t>
      </w:r>
    </w:p>
    <w:bookmarkEnd w:id="726"/>
    <w:bookmarkEnd w:id="727"/>
    <w:bookmarkStart w:id="759" w:name="maridebart-cafraglutide-maritide"/>
    <w:p>
      <w:pPr>
        <w:pStyle w:val="Heading2"/>
      </w:pPr>
      <w:r>
        <w:t xml:space="preserve">Maridebart Cafraglutide (MariTide)</w:t>
      </w:r>
    </w:p>
    <w:bookmarkStart w:id="728" w:name="profile-10"/>
    <w:p>
      <w:pPr>
        <w:pStyle w:val="Heading3"/>
      </w:pPr>
      <w:r>
        <w:t xml:space="preserve">Profile</w:t>
      </w:r>
    </w:p>
    <w:p>
      <w:pPr>
        <w:numPr>
          <w:ilvl w:val="0"/>
          <w:numId w:val="1090"/>
        </w:numPr>
        <w:pStyle w:val="Compact"/>
      </w:pPr>
      <w:r>
        <w:rPr>
          <w:bCs/>
          <w:b/>
        </w:rPr>
        <w:t xml:space="preserve">Type/structure:</w:t>
      </w:r>
      <w:r>
        <w:t xml:space="preserve"> </w:t>
      </w:r>
      <w:r>
        <w:t xml:space="preserve">a so-called antibody-peptide conjugate. A fully human monoclonal antibody is linked via short amino acid linkers to two GLP-1-like peptides. Strictly speaking, MariTide is therefore not a pure peptide but a hybrid of antibody and peptide. Development code AMG 133, short name MariTide.</w:t>
      </w:r>
    </w:p>
    <w:p>
      <w:pPr>
        <w:numPr>
          <w:ilvl w:val="0"/>
          <w:numId w:val="1090"/>
        </w:numPr>
        <w:pStyle w:val="Compact"/>
      </w:pPr>
      <w:r>
        <w:rPr>
          <w:bCs/>
          <w:b/>
        </w:rPr>
        <w:t xml:space="preserve">Origin:</w:t>
      </w:r>
      <w:r>
        <w:t xml:space="preserve"> </w:t>
      </w:r>
      <w:r>
        <w:t xml:space="preserve">developed by Amgen.</w:t>
      </w:r>
    </w:p>
    <w:p>
      <w:pPr>
        <w:numPr>
          <w:ilvl w:val="0"/>
          <w:numId w:val="1090"/>
        </w:numPr>
        <w:pStyle w:val="Compact"/>
      </w:pPr>
      <w:r>
        <w:rPr>
          <w:bCs/>
          <w:b/>
        </w:rPr>
        <w:t xml:space="preserve">Mechanism of action:</w:t>
      </w:r>
      <w:r>
        <w:t xml:space="preserve"> </w:t>
      </w:r>
      <w:r>
        <w:t xml:space="preserve">The GLP-1 component</w:t>
      </w:r>
      <w:r>
        <w:t xml:space="preserve"> </w:t>
      </w:r>
      <w:r>
        <w:rPr>
          <w:bCs/>
          <w:b/>
        </w:rPr>
        <w:t xml:space="preserve">activates</w:t>
      </w:r>
      <w:r>
        <w:t xml:space="preserve"> </w:t>
      </w:r>
      <w:r>
        <w:t xml:space="preserve">the GLP-1 receptor, the antibody</w:t>
      </w:r>
      <w:r>
        <w:t xml:space="preserve"> </w:t>
      </w:r>
      <w:r>
        <w:rPr>
          <w:bCs/>
          <w:b/>
        </w:rPr>
        <w:t xml:space="preserve">blocks</w:t>
      </w:r>
      <w:r>
        <w:t xml:space="preserve"> </w:t>
      </w:r>
      <w:r>
        <w:t xml:space="preserve">the GIP receptor (GIPR antagonist). This is the opposite of tirzepatide, which activates the GIP receptor.</w:t>
      </w:r>
    </w:p>
    <w:p>
      <w:pPr>
        <w:numPr>
          <w:ilvl w:val="0"/>
          <w:numId w:val="1090"/>
        </w:numPr>
        <w:pStyle w:val="Compact"/>
      </w:pPr>
      <w:r>
        <w:rPr>
          <w:bCs/>
          <w:b/>
        </w:rPr>
        <w:t xml:space="preserve">Special feature:</w:t>
      </w:r>
      <w:r>
        <w:t xml:space="preserve"> </w:t>
      </w:r>
      <w:r>
        <w:t xml:space="preserve">Thanks to the antibody component, MariTide acts for a very long time; dosing every four weeks or less often is being studied.</w:t>
      </w:r>
    </w:p>
    <w:p>
      <w:pPr>
        <w:numPr>
          <w:ilvl w:val="0"/>
          <w:numId w:val="1090"/>
        </w:numPr>
        <w:pStyle w:val="Compact"/>
      </w:pPr>
      <w:r>
        <w:rPr>
          <w:bCs/>
          <w:b/>
        </w:rPr>
        <w:t xml:space="preserve">Approval EU / USA:</w:t>
      </w:r>
      <w:r>
        <w:t xml:space="preserve"> </w:t>
      </w:r>
      <w:r>
        <w:t xml:space="preserve">no (as of October 2026).</w:t>
      </w:r>
    </w:p>
    <w:p>
      <w:pPr>
        <w:numPr>
          <w:ilvl w:val="0"/>
          <w:numId w:val="1090"/>
        </w:numPr>
        <w:pStyle w:val="Compact"/>
      </w:pPr>
      <w:r>
        <w:rPr>
          <w:bCs/>
          <w:b/>
        </w:rPr>
        <w:t xml:space="preserve">WADA:</w:t>
      </w:r>
      <w:r>
        <w:t xml:space="preserve"> </w:t>
      </w:r>
      <w:r>
        <w:t xml:space="preserve">prohibited as a non-approved substance under S0.</w:t>
      </w:r>
    </w:p>
    <w:p>
      <w:pPr>
        <w:numPr>
          <w:ilvl w:val="0"/>
          <w:numId w:val="1090"/>
        </w:numPr>
        <w:pStyle w:val="Compact"/>
      </w:pPr>
      <w:r>
        <w:rPr>
          <w:bCs/>
          <w:b/>
        </w:rPr>
        <w:t xml:space="preserve">Evidence level:</w:t>
      </w:r>
      <w:r>
        <w:t xml:space="preserve"> </w:t>
      </w:r>
      <w:r>
        <w:rPr>
          <w:bCs/>
          <w:b/>
        </w:rPr>
        <w:t xml:space="preserve">B</w:t>
      </w:r>
      <w:r>
        <w:t xml:space="preserve"> </w:t>
      </w:r>
      <w:r>
        <w:t xml:space="preserve">– one large randomized Phase 2 trial, Phase 3 ongoing.</w:t>
      </w:r>
    </w:p>
    <w:bookmarkEnd w:id="728"/>
    <w:bookmarkStart w:id="732" w:name="how-it-is-supposed-to-work-10"/>
    <w:p>
      <w:pPr>
        <w:pStyle w:val="Heading3"/>
      </w:pPr>
      <w:r>
        <w:t xml:space="preserve">How it is supposed to work</w:t>
      </w:r>
    </w:p>
    <w:p>
      <w:pPr>
        <w:pStyle w:val="FirstParagraph"/>
      </w:pPr>
      <w:r>
        <w:t xml:space="preserve">GIP presents a remarkable paradox. Tirzepatide</w:t>
      </w:r>
      <w:r>
        <w:t xml:space="preserve"> </w:t>
      </w:r>
      <w:r>
        <w:rPr>
          <w:iCs/>
          <w:i/>
        </w:rPr>
        <w:t xml:space="preserve">activates</w:t>
      </w:r>
      <w:r>
        <w:t xml:space="preserve"> </w:t>
      </w:r>
      <w:r>
        <w:t xml:space="preserve">the GIP receptor and, together with GLP-1, thereby achieves strong weight loss. At the same time, genetic studies and mouse experiments showed that</w:t>
      </w:r>
      <w:r>
        <w:t xml:space="preserve"> </w:t>
      </w:r>
      <w:r>
        <w:rPr>
          <w:iCs/>
          <w:i/>
        </w:rPr>
        <w:t xml:space="preserve">blocking</w:t>
      </w:r>
      <w:r>
        <w:t xml:space="preserve"> </w:t>
      </w:r>
      <w:r>
        <w:t xml:space="preserve">the GIP receptor can also protect against overweight. One possible explanation: continuous activation of the receptor causes the cell to switch it off – in effect, the result then resembles a blockade. This has not been definitively resolved; a comparative study in mice found that both approaches lowered food intake and weight in obesity but differed in their metabolic effects: the GIP agonist improved glucose tolerance, while the antagonist tended to reduce insulin sensitivity</w:t>
      </w:r>
      <w:r>
        <w:rPr>
          <w:rStyle w:val="FootnoteReference"/>
        </w:rPr>
        <w:footnoteReference w:id="729"/>
      </w:r>
      <w:r>
        <w:t xml:space="preserve">.</w:t>
      </w:r>
    </w:p>
    <w:p>
      <w:pPr>
        <w:pStyle w:val="BodyText"/>
      </w:pPr>
      <w:r>
        <w:t xml:space="preserve">Amgen is betting on blockade. The antibody against the GIP receptor at the same time ensures that the molecule stays in the blood for a very long time – antibodies are broken down slowly. In obese mice and monkeys, AMG 133 lowered body weight and improved metabolic values</w:t>
      </w:r>
      <w:r>
        <w:rPr>
          <w:rStyle w:val="FootnoteReference"/>
        </w:rPr>
        <w:footnoteReference w:id="730"/>
      </w:r>
      <w:r>
        <w:t xml:space="preserve">. The chemical development up to the final molecule was described in 2026</w:t>
      </w:r>
      <w:r>
        <w:rPr>
          <w:rStyle w:val="FootnoteReference"/>
        </w:rPr>
        <w:footnoteReference w:id="731"/>
      </w:r>
      <w:r>
        <w:t xml:space="preserve">.</w:t>
      </w:r>
    </w:p>
    <w:bookmarkEnd w:id="732"/>
    <w:bookmarkStart w:id="737" w:name="human-studies-10"/>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2 human studies: one Phase 1 and one Phase 2 trial. On ClinicalTrials.gov, 28 trials were registered, including the Phase 3 program</w:t>
      </w:r>
      <w:r>
        <w:t xml:space="preserve"> </w:t>
      </w:r>
      <w:r>
        <w:rPr>
          <w:bCs/>
          <w:b/>
        </w:rPr>
        <w:t xml:space="preserve">MARITIME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1 (Véniant 2024), PMID 38316982</w:t>
            </w:r>
          </w:p>
        </w:tc>
        <w:tc>
          <w:tcPr/>
          <w:p>
            <w:pPr>
              <w:pStyle w:val="Compact"/>
              <w:jc w:val="left"/>
            </w:pPr>
            <w:r>
              <w:t xml:space="preserve">Adults with obesity, single and multiple doses vs. placebo</w:t>
            </w:r>
          </w:p>
        </w:tc>
        <w:tc>
          <w:tcPr/>
          <w:p>
            <w:pPr>
              <w:pStyle w:val="Compact"/>
              <w:jc w:val="left"/>
            </w:pPr>
            <w:r>
              <w:t xml:space="preserve">Single and multiple dosing with follow-up</w:t>
            </w:r>
          </w:p>
        </w:tc>
        <w:tc>
          <w:tcPr/>
          <w:p>
            <w:pPr>
              <w:pStyle w:val="Compact"/>
              <w:jc w:val="left"/>
            </w:pPr>
            <w:r>
              <w:t xml:space="preserve">dose-dependent weight loss, persisting up to 150 days after last dose</w:t>
            </w:r>
          </w:p>
        </w:tc>
      </w:tr>
      <w:tr>
        <w:tc>
          <w:tcPr/>
          <w:p>
            <w:pPr>
              <w:pStyle w:val="Compact"/>
              <w:jc w:val="left"/>
            </w:pPr>
            <w:r>
              <w:t xml:space="preserve">Phase 2 (Jastreboff 2025), PMID 40549887</w:t>
            </w:r>
          </w:p>
        </w:tc>
        <w:tc>
          <w:tcPr/>
          <w:p>
            <w:pPr>
              <w:pStyle w:val="Compact"/>
              <w:jc w:val="left"/>
            </w:pPr>
            <w:r>
              <w:t xml:space="preserve">592 adults with obesity, with or without type 2 diabetes; vs. placebo</w:t>
            </w:r>
          </w:p>
        </w:tc>
        <w:tc>
          <w:tcPr/>
          <w:p>
            <w:pPr>
              <w:pStyle w:val="Compact"/>
              <w:jc w:val="left"/>
            </w:pPr>
            <w:r>
              <w:t xml:space="preserve">52 weeks</w:t>
            </w:r>
          </w:p>
        </w:tc>
        <w:tc>
          <w:tcPr/>
          <w:p>
            <w:pPr>
              <w:pStyle w:val="Compact"/>
              <w:jc w:val="left"/>
            </w:pPr>
            <w:r>
              <w:t xml:space="preserve">without diabetes −12.3 to −16.2% vs. −2.5%; with diabetes −8.4 to −12.3% vs. −1.7%</w:t>
            </w:r>
          </w:p>
        </w:tc>
      </w:tr>
    </w:tbl>
    <w:bookmarkStart w:id="734" w:name="phase-1"/>
    <w:p>
      <w:pPr>
        <w:pStyle w:val="Heading4"/>
      </w:pPr>
      <w:r>
        <w:t xml:space="preserve">Phase 1</w:t>
      </w:r>
    </w:p>
    <w:p>
      <w:pPr>
        <w:pStyle w:val="FirstParagraph"/>
      </w:pPr>
      <w:r>
        <w:t xml:space="preserve">In the first-in-human study</w:t>
      </w:r>
      <w:r>
        <w:rPr>
          <w:rStyle w:val="FootnoteReference"/>
        </w:rPr>
        <w:footnoteReference w:id="733"/>
      </w:r>
      <w:r>
        <w:t xml:space="preserve">, AMG 133 showed dose-dependent weight loss with acceptable tolerability. The long duration of action was striking: in the multiple-dose groups, weight loss persisted for up to 150 days after the last dose.</w:t>
      </w:r>
    </w:p>
    <w:bookmarkEnd w:id="734"/>
    <w:bookmarkStart w:id="736" w:name="phase-2"/>
    <w:p>
      <w:pPr>
        <w:pStyle w:val="Heading4"/>
      </w:pPr>
      <w:r>
        <w:t xml:space="preserve">Phase 2</w:t>
      </w:r>
    </w:p>
    <w:p>
      <w:pPr>
        <w:pStyle w:val="FirstParagraph"/>
      </w:pPr>
      <w:r>
        <w:t xml:space="preserve">The Phase 2 trial</w:t>
      </w:r>
      <w:r>
        <w:rPr>
          <w:rStyle w:val="FootnoteReference"/>
        </w:rPr>
        <w:footnoteReference w:id="735"/>
      </w:r>
      <w:r>
        <w:t xml:space="preserve"> </w:t>
      </w:r>
      <w:r>
        <w:t xml:space="preserve">was broadly designed: eleven groups in two cohorts with different doses, dosing intervals (every four or eight weeks) and with or without slow dose escalation.</w:t>
      </w:r>
    </w:p>
    <w:p>
      <w:pPr>
        <w:numPr>
          <w:ilvl w:val="0"/>
          <w:numId w:val="1091"/>
        </w:numPr>
        <w:pStyle w:val="Compact"/>
      </w:pPr>
      <w:r>
        <w:rPr>
          <w:bCs/>
          <w:b/>
        </w:rPr>
        <w:t xml:space="preserve">Without diabetes</w:t>
      </w:r>
      <w:r>
        <w:t xml:space="preserve"> </w:t>
      </w:r>
      <w:r>
        <w:t xml:space="preserve">(465 participants, mean BMI 37.9): After 52 weeks, weight loss was 12.3 to 16.2% depending on the group, and 2.5% on placebo. This analysis includes all participants regardless of treatment discontinuation.</w:t>
      </w:r>
    </w:p>
    <w:p>
      <w:pPr>
        <w:numPr>
          <w:ilvl w:val="0"/>
          <w:numId w:val="1091"/>
        </w:numPr>
        <w:pStyle w:val="Compact"/>
      </w:pPr>
      <w:r>
        <w:rPr>
          <w:bCs/>
          <w:b/>
        </w:rPr>
        <w:t xml:space="preserve">With type 2 diabetes</w:t>
      </w:r>
      <w:r>
        <w:t xml:space="preserve"> </w:t>
      </w:r>
      <w:r>
        <w:t xml:space="preserve">(127 participants): weight loss of 8.4 to 12.3% compared with 1.7%; HbA1c fell by 1.2 to 1.6 percentage points (placebo +0.1).</w:t>
      </w:r>
    </w:p>
    <w:p>
      <w:pPr>
        <w:pStyle w:val="FirstParagraph"/>
      </w:pPr>
      <w:r>
        <w:t xml:space="preserve">Gastrointestinal side effects were common, but less so when treatment started at a lower dose and was increased slowly. According to the authors, no unexpected safety signals occurred. A weight loss of around 16% after one year is in the range of semaglutide, but below that of tirzepatide. The potential advantage of MariTide is therefore less the extent of weight loss than the infrequent dosing.</w:t>
      </w:r>
    </w:p>
    <w:bookmarkEnd w:id="736"/>
    <w:bookmarkEnd w:id="737"/>
    <w:bookmarkStart w:id="740" w:name="animal-and-laboratory-studies-10"/>
    <w:p>
      <w:pPr>
        <w:pStyle w:val="Heading3"/>
      </w:pPr>
      <w:r>
        <w:t xml:space="preserve">Animal and laboratory studies</w:t>
      </w:r>
    </w:p>
    <w:p>
      <w:pPr>
        <w:pStyle w:val="FirstParagraph"/>
      </w:pPr>
      <w:r>
        <w:t xml:space="preserve">Cell systems confirmed that AMG 133 blocks the GIP receptor and activates the GLP-1 receptor. In obese mice and cynomolgus monkeys, it reduced body weight and improved metabolic markers</w:t>
      </w:r>
      <w:r>
        <w:rPr>
          <w:rStyle w:val="FootnoteReference"/>
        </w:rPr>
        <w:footnoteReference w:id="738"/>
      </w:r>
      <w:r>
        <w:t xml:space="preserve">. Comparative mouse studies of GIP blockade versus GIP activation show different effects on insulin sensitivity and adipose tissue</w:t>
      </w:r>
      <w:r>
        <w:rPr>
          <w:rStyle w:val="FootnoteReference"/>
        </w:rPr>
        <w:footnoteReference w:id="739"/>
      </w:r>
      <w:r>
        <w:t xml:space="preserve">. All of these findings come from animal experiments.</w:t>
      </w:r>
    </w:p>
    <w:bookmarkEnd w:id="740"/>
    <w:bookmarkStart w:id="744" w:name="risks-and-side-effects-10"/>
    <w:p>
      <w:pPr>
        <w:pStyle w:val="Heading3"/>
      </w:pPr>
      <w:r>
        <w:t xml:space="preserve">Risks and side effects</w:t>
      </w:r>
    </w:p>
    <w:p>
      <w:pPr>
        <w:pStyle w:val="FirstParagraph"/>
      </w:pPr>
      <w:r>
        <w:rPr>
          <w:bCs/>
          <w:b/>
        </w:rPr>
        <w:t xml:space="preserve">Documented in studies:</w:t>
      </w:r>
    </w:p>
    <w:p>
      <w:pPr>
        <w:numPr>
          <w:ilvl w:val="0"/>
          <w:numId w:val="1092"/>
        </w:numPr>
        <w:pStyle w:val="Compact"/>
      </w:pPr>
      <w:r>
        <w:rPr>
          <w:bCs/>
          <w:b/>
        </w:rPr>
        <w:t xml:space="preserve">Gastrointestinal complaints</w:t>
      </w:r>
      <w:r>
        <w:t xml:space="preserve"> </w:t>
      </w:r>
      <w:r>
        <w:t xml:space="preserve">(nausea, vomiting) were common in the Phase 2 trial, especially at a high starting dose without dose escalation</w:t>
      </w:r>
      <w:r>
        <w:rPr>
          <w:rStyle w:val="FootnoteReference"/>
        </w:rPr>
        <w:footnoteReference w:id="741"/>
      </w:r>
      <w:r>
        <w:t xml:space="preserve">. Exact percentages are not included in the abstract.</w:t>
      </w:r>
    </w:p>
    <w:p>
      <w:pPr>
        <w:pStyle w:val="FirstParagraph"/>
      </w:pPr>
      <w:r>
        <w:rPr>
          <w:bCs/>
          <w:b/>
        </w:rPr>
        <w:t xml:space="preserve">Specific open questions:</w:t>
      </w:r>
    </w:p>
    <w:p>
      <w:pPr>
        <w:numPr>
          <w:ilvl w:val="0"/>
          <w:numId w:val="1093"/>
        </w:numPr>
        <w:pStyle w:val="Compact"/>
      </w:pPr>
      <w:r>
        <w:rPr>
          <w:bCs/>
          <w:b/>
        </w:rPr>
        <w:t xml:space="preserve">Long duration of action:</w:t>
      </w:r>
      <w:r>
        <w:t xml:space="preserve"> </w:t>
      </w:r>
      <w:r>
        <w:t xml:space="preserve">What many patients regard as an advantage is a disadvantage when side effects occur: a medicine that remains in the body for months cannot be stopped quickly. In the Phase 1 trial, the effect persisted for up to 150 days after the last dose</w:t>
      </w:r>
      <w:r>
        <w:rPr>
          <w:rStyle w:val="FootnoteReference"/>
        </w:rPr>
        <w:footnoteReference w:id="742"/>
      </w:r>
      <w:r>
        <w:t xml:space="preserve">. This is relevant, for example, in the case of an unplanned pregnancy or before surgery.</w:t>
      </w:r>
    </w:p>
    <w:p>
      <w:pPr>
        <w:numPr>
          <w:ilvl w:val="0"/>
          <w:numId w:val="1093"/>
        </w:numPr>
        <w:pStyle w:val="Compact"/>
      </w:pPr>
      <w:r>
        <w:rPr>
          <w:bCs/>
          <w:b/>
        </w:rPr>
        <w:t xml:space="preserve">GIP blockade:</w:t>
      </w:r>
      <w:r>
        <w:t xml:space="preserve"> </w:t>
      </w:r>
      <w:r>
        <w:t xml:space="preserve">The long-term consequences of permanent blockade of the GIP receptor – for example on bone, adipose tissue or insulin sensitivity – are unknown in humans. In mouse studies, a GIP antagonist reduced insulin sensitivity compared with control animals given the same amount of food</w:t>
      </w:r>
      <w:r>
        <w:rPr>
          <w:rStyle w:val="FootnoteReference"/>
        </w:rPr>
        <w:footnoteReference w:id="743"/>
      </w:r>
      <w:r>
        <w:t xml:space="preserve">.</w:t>
      </w:r>
    </w:p>
    <w:p>
      <w:pPr>
        <w:numPr>
          <w:ilvl w:val="0"/>
          <w:numId w:val="1093"/>
        </w:numPr>
        <w:pStyle w:val="Compact"/>
      </w:pPr>
      <w:r>
        <w:rPr>
          <w:bCs/>
          <w:b/>
        </w:rPr>
        <w:t xml:space="preserve">Antibody formation:</w:t>
      </w:r>
      <w:r>
        <w:t xml:space="preserve"> </w:t>
      </w:r>
      <w:r>
        <w:t xml:space="preserve">With antibody-based drugs, the immune system can form antibodies against the drug. Data on this from large trials are pending.</w:t>
      </w:r>
    </w:p>
    <w:p>
      <w:pPr>
        <w:numPr>
          <w:ilvl w:val="0"/>
          <w:numId w:val="1093"/>
        </w:numPr>
        <w:pStyle w:val="Compact"/>
      </w:pPr>
      <w:r>
        <w:t xml:space="preserve">The known class risks of GLP-1 drugs (gallbladder, pancreas) have not yet been adequately studied for MariTide.</w:t>
      </w:r>
    </w:p>
    <w:bookmarkEnd w:id="744"/>
    <w:bookmarkStart w:id="745" w:name="legal-status-10"/>
    <w:p>
      <w:pPr>
        <w:pStyle w:val="Heading3"/>
      </w:pPr>
      <w:r>
        <w:t xml:space="preserve">Legal status</w:t>
      </w:r>
    </w:p>
    <w:p>
      <w:pPr>
        <w:numPr>
          <w:ilvl w:val="0"/>
          <w:numId w:val="1094"/>
        </w:numPr>
        <w:pStyle w:val="Compact"/>
      </w:pPr>
      <w:r>
        <w:rPr>
          <w:bCs/>
          <w:b/>
        </w:rPr>
        <w:t xml:space="preserve">EU / Austria / Germany:</w:t>
      </w:r>
      <w:r>
        <w:t xml:space="preserve"> </w:t>
      </w:r>
      <w:r>
        <w:t xml:space="preserve">not approved; use only in clinical trials. Since it is a complex biotechnological product, imitation on the gray market is considerably more difficult than with small peptides.</w:t>
      </w:r>
    </w:p>
    <w:p>
      <w:pPr>
        <w:numPr>
          <w:ilvl w:val="0"/>
          <w:numId w:val="1094"/>
        </w:numPr>
        <w:pStyle w:val="Compact"/>
      </w:pPr>
      <w:r>
        <w:rPr>
          <w:bCs/>
          <w:b/>
        </w:rPr>
        <w:t xml:space="preserve">USA:</w:t>
      </w:r>
      <w:r>
        <w:t xml:space="preserve"> </w:t>
      </w:r>
      <w:r>
        <w:t xml:space="preserve">not approved.</w:t>
      </w:r>
    </w:p>
    <w:p>
      <w:pPr>
        <w:numPr>
          <w:ilvl w:val="0"/>
          <w:numId w:val="1094"/>
        </w:numPr>
        <w:pStyle w:val="Compact"/>
      </w:pPr>
      <w:r>
        <w:rPr>
          <w:bCs/>
          <w:b/>
        </w:rPr>
        <w:t xml:space="preserve">Sport:</w:t>
      </w:r>
      <w:r>
        <w:t xml:space="preserve"> </w:t>
      </w:r>
      <w:r>
        <w:t xml:space="preserve">WADA class S0 (non-approved substance), as of 2026, please check for updates.</w:t>
      </w:r>
    </w:p>
    <w:bookmarkEnd w:id="745"/>
    <w:bookmarkStart w:id="757" w:name="ongoing-studies-and-outlook-10"/>
    <w:p>
      <w:pPr>
        <w:pStyle w:val="Heading3"/>
      </w:pPr>
      <w:r>
        <w:t xml:space="preserve">Ongoing studies and outlook</w:t>
      </w:r>
    </w:p>
    <w:p>
      <w:pPr>
        <w:pStyle w:val="FirstParagraph"/>
      </w:pPr>
      <w:r>
        <w:rPr>
          <w:bCs/>
          <w:b/>
        </w:rPr>
        <w:t xml:space="preserve">Confirmed (registered trials, as of October 2026):</w:t>
      </w:r>
    </w:p>
    <w:p>
      <w:pPr>
        <w:numPr>
          <w:ilvl w:val="0"/>
          <w:numId w:val="1095"/>
        </w:numPr>
        <w:pStyle w:val="Compact"/>
      </w:pPr>
      <w:r>
        <w:rPr>
          <w:bCs/>
          <w:b/>
        </w:rPr>
        <w:t xml:space="preserve">Weight management without diabetes</w:t>
      </w:r>
      <w:r>
        <w:rPr>
          <w:rStyle w:val="FootnoteReference"/>
        </w:rPr>
        <w:footnoteReference w:id="746"/>
      </w:r>
      <w:r>
        <w:t xml:space="preserve">: Phase 3 with 3,853 participants, planned completion 2027.</w:t>
      </w:r>
    </w:p>
    <w:p>
      <w:pPr>
        <w:numPr>
          <w:ilvl w:val="0"/>
          <w:numId w:val="1095"/>
        </w:numPr>
        <w:pStyle w:val="Compact"/>
      </w:pPr>
      <w:r>
        <w:rPr>
          <w:bCs/>
          <w:b/>
        </w:rPr>
        <w:t xml:space="preserve">Weight management with type 2 diabetes</w:t>
      </w:r>
      <w:r>
        <w:rPr>
          <w:rStyle w:val="FootnoteReference"/>
        </w:rPr>
        <w:footnoteReference w:id="747"/>
      </w:r>
      <w:r>
        <w:t xml:space="preserve">: Phase 3 with 1,105 participants.</w:t>
      </w:r>
    </w:p>
    <w:p>
      <w:pPr>
        <w:numPr>
          <w:ilvl w:val="0"/>
          <w:numId w:val="1095"/>
        </w:numPr>
        <w:pStyle w:val="Compact"/>
      </w:pPr>
      <w:r>
        <w:rPr>
          <w:bCs/>
          <w:b/>
        </w:rPr>
        <w:t xml:space="preserve">Cardiovascular outcome trial</w:t>
      </w:r>
      <w:r>
        <w:rPr>
          <w:rStyle w:val="FootnoteReference"/>
        </w:rPr>
        <w:footnoteReference w:id="748"/>
      </w:r>
      <w:r>
        <w:t xml:space="preserve"> </w:t>
      </w:r>
      <w:r>
        <w:t xml:space="preserve">with 12,800 participants and</w:t>
      </w:r>
      <w:r>
        <w:t xml:space="preserve"> </w:t>
      </w:r>
      <w:r>
        <w:rPr>
          <w:bCs/>
          <w:b/>
        </w:rPr>
        <w:t xml:space="preserve">heart failure trial</w:t>
      </w:r>
      <w:r>
        <w:rPr>
          <w:rStyle w:val="FootnoteReference"/>
        </w:rPr>
        <w:footnoteReference w:id="749"/>
      </w:r>
      <w:r>
        <w:t xml:space="preserve"> </w:t>
      </w:r>
      <w:r>
        <w:t xml:space="preserve">with 5,056 participants, each running until 2030.</w:t>
      </w:r>
    </w:p>
    <w:p>
      <w:pPr>
        <w:numPr>
          <w:ilvl w:val="0"/>
          <w:numId w:val="1095"/>
        </w:numPr>
        <w:pStyle w:val="Compact"/>
      </w:pPr>
      <w:r>
        <w:rPr>
          <w:bCs/>
          <w:b/>
        </w:rPr>
        <w:t xml:space="preserve">Sleep apnea</w:t>
      </w:r>
      <w:r>
        <w:t xml:space="preserve"> </w:t>
      </w:r>
      <w:r>
        <w:t xml:space="preserve">without and with a breathing mask</w:t>
      </w:r>
      <w:r>
        <w:rPr>
          <w:rStyle w:val="FootnoteReference"/>
        </w:rPr>
        <w:footnoteReference w:id="750"/>
      </w:r>
      <w:r>
        <w:t xml:space="preserve">.</w:t>
      </w:r>
    </w:p>
    <w:p>
      <w:pPr>
        <w:numPr>
          <w:ilvl w:val="0"/>
          <w:numId w:val="1095"/>
        </w:numPr>
        <w:pStyle w:val="Compact"/>
      </w:pPr>
      <w:r>
        <w:rPr>
          <w:bCs/>
          <w:b/>
        </w:rPr>
        <w:t xml:space="preserve">Comparison with semaglutide</w:t>
      </w:r>
      <w:r>
        <w:t xml:space="preserve"> </w:t>
      </w:r>
      <w:r>
        <w:t xml:space="preserve">in type 2 diabetes</w:t>
      </w:r>
      <w:r>
        <w:rPr>
          <w:rStyle w:val="FootnoteReference"/>
        </w:rPr>
        <w:footnoteReference w:id="751"/>
      </w:r>
      <w:r>
        <w:t xml:space="preserve">, switching from other GLP-1 drugs</w:t>
      </w:r>
      <w:r>
        <w:rPr>
          <w:rStyle w:val="FootnoteReference"/>
        </w:rPr>
        <w:footnoteReference w:id="752"/>
      </w:r>
      <w:r>
        <w:t xml:space="preserve">, Japan</w:t>
      </w:r>
      <w:r>
        <w:rPr>
          <w:rStyle w:val="FootnoteReference"/>
        </w:rPr>
        <w:footnoteReference w:id="753"/>
      </w:r>
      <w:r>
        <w:t xml:space="preserve">, fatty liver (NCT07441252, Phase 2).</w:t>
      </w:r>
    </w:p>
    <w:p>
      <w:pPr>
        <w:numPr>
          <w:ilvl w:val="0"/>
          <w:numId w:val="1095"/>
        </w:numPr>
        <w:pStyle w:val="Compact"/>
      </w:pPr>
      <w:r>
        <w:t xml:space="preserve">Phase 1 trials on gastric emptying</w:t>
      </w:r>
      <w:r>
        <w:rPr>
          <w:rStyle w:val="FootnoteReference"/>
        </w:rPr>
        <w:footnoteReference w:id="754"/>
      </w:r>
      <w:r>
        <w:t xml:space="preserve">, heart rhythm</w:t>
      </w:r>
      <w:r>
        <w:rPr>
          <w:rStyle w:val="FootnoteReference"/>
        </w:rPr>
        <w:footnoteReference w:id="755"/>
      </w:r>
      <w:r>
        <w:t xml:space="preserve"> </w:t>
      </w:r>
      <w:r>
        <w:t xml:space="preserve">and interactions with the contraceptive pill</w:t>
      </w:r>
      <w:r>
        <w:rPr>
          <w:rStyle w:val="FootnoteReference"/>
        </w:rPr>
        <w:footnoteReference w:id="756"/>
      </w:r>
      <w:r>
        <w:t xml:space="preserve">.</w:t>
      </w:r>
    </w:p>
    <w:p>
      <w:pPr>
        <w:pStyle w:val="FirstParagraph"/>
      </w:pPr>
      <w:r>
        <w:rPr>
          <w:bCs/>
          <w:b/>
        </w:rPr>
        <w:t xml:space="preserve">Assessment:</w:t>
      </w:r>
      <w:r>
        <w:t xml:space="preserve"> </w:t>
      </w:r>
      <w:r>
        <w:t xml:space="preserve">MariTide stands for a different concept from the tirzepatide family – fewer injections rather than maximum weight loss. For people who need long-term treatment, monthly or even less frequent dosing could improve adherence. Whether the concept of GIP blockade is safe in the long term must be shown by the large Phase 3 trials. Approval is realistic from 2028 at the earliest.</w:t>
      </w:r>
    </w:p>
    <w:bookmarkEnd w:id="757"/>
    <w:bookmarkStart w:id="758" w:name="conclusion-10"/>
    <w:p>
      <w:pPr>
        <w:pStyle w:val="Heading3"/>
      </w:pPr>
      <w:r>
        <w:t xml:space="preserve">Conclusion</w:t>
      </w:r>
    </w:p>
    <w:p>
      <w:pPr>
        <w:pStyle w:val="FirstParagraph"/>
      </w:pPr>
      <w:r>
        <w:t xml:space="preserve">Maridebart cafraglutide is an antibody-peptide conjugate that activates the GLP-1 receptor and blocks the GIP receptor, and is given only once a month or less often. In the Phase 2 trial, body weight fell after 52 weeks by up to 16.2% without and by up to 12.3% with type 2 diabetes. Gastrointestinal complaints are common and depend strongly on dose escalation; the long duration of action is both an advantage and a risk. The Phase 3 program, with outcome trials on cardiovascular disease and heart failure, is ongoing.</w:t>
      </w:r>
    </w:p>
    <w:bookmarkEnd w:id="758"/>
    <w:bookmarkEnd w:id="759"/>
    <w:bookmarkStart w:id="792" w:name="pramlintide"/>
    <w:p>
      <w:pPr>
        <w:pStyle w:val="Heading2"/>
      </w:pPr>
      <w:r>
        <w:t xml:space="preserve">Pramlintide</w:t>
      </w:r>
    </w:p>
    <w:bookmarkStart w:id="760" w:name="profile-11"/>
    <w:p>
      <w:pPr>
        <w:pStyle w:val="Heading3"/>
      </w:pPr>
      <w:r>
        <w:t xml:space="preserve">Profile</w:t>
      </w:r>
    </w:p>
    <w:p>
      <w:pPr>
        <w:numPr>
          <w:ilvl w:val="0"/>
          <w:numId w:val="1096"/>
        </w:numPr>
        <w:pStyle w:val="Compact"/>
      </w:pPr>
      <w:r>
        <w:rPr>
          <w:bCs/>
          <w:b/>
        </w:rPr>
        <w:t xml:space="preserve">Type/structure:</w:t>
      </w:r>
      <w:r>
        <w:t xml:space="preserve"> </w:t>
      </w:r>
      <w:r>
        <w:t xml:space="preserve">synthetic analog of the human hormone amylin consisting of 37 amino acids. Amino acids were substituted at three positions (modeled on rat amylin) so that the molecule does not clump like natural human amylin. It acts only briefly and is injected before main meals.</w:t>
      </w:r>
    </w:p>
    <w:p>
      <w:pPr>
        <w:numPr>
          <w:ilvl w:val="0"/>
          <w:numId w:val="1096"/>
        </w:numPr>
        <w:pStyle w:val="Compact"/>
      </w:pPr>
      <w:r>
        <w:rPr>
          <w:bCs/>
          <w:b/>
        </w:rPr>
        <w:t xml:space="preserve">Origin:</w:t>
      </w:r>
      <w:r>
        <w:t xml:space="preserve"> </w:t>
      </w:r>
      <w:r>
        <w:t xml:space="preserve">developed by Amylin Pharmaceuticals; today part of AstraZeneca’s portfolio. Brand name in the USA: Symlin.</w:t>
      </w:r>
    </w:p>
    <w:p>
      <w:pPr>
        <w:numPr>
          <w:ilvl w:val="0"/>
          <w:numId w:val="1096"/>
        </w:numPr>
        <w:pStyle w:val="Compact"/>
      </w:pPr>
      <w:r>
        <w:rPr>
          <w:bCs/>
          <w:b/>
        </w:rPr>
        <w:t xml:space="preserve">Mechanism of action:</w:t>
      </w:r>
      <w:r>
        <w:t xml:space="preserve"> </w:t>
      </w:r>
      <w:r>
        <w:t xml:space="preserve">agonist at amylin receptors – slows gastric emptying, dampens glucagon release after meals and promotes the feeling of satiety.</w:t>
      </w:r>
    </w:p>
    <w:p>
      <w:pPr>
        <w:numPr>
          <w:ilvl w:val="0"/>
          <w:numId w:val="1096"/>
        </w:numPr>
        <w:pStyle w:val="Compact"/>
      </w:pPr>
      <w:r>
        <w:rPr>
          <w:bCs/>
          <w:b/>
        </w:rPr>
        <w:t xml:space="preserve">Approval EU:</w:t>
      </w:r>
      <w:r>
        <w:t xml:space="preserve"> </w:t>
      </w:r>
      <w:r>
        <w:t xml:space="preserve">no – pramlintide was never approved in the EU.</w:t>
      </w:r>
    </w:p>
    <w:p>
      <w:pPr>
        <w:numPr>
          <w:ilvl w:val="0"/>
          <w:numId w:val="1096"/>
        </w:numPr>
        <w:pStyle w:val="Compact"/>
      </w:pPr>
      <w:r>
        <w:rPr>
          <w:bCs/>
          <w:b/>
        </w:rPr>
        <w:t xml:space="preserve">Approval USA:</w:t>
      </w:r>
      <w:r>
        <w:t xml:space="preserve"> </w:t>
      </w:r>
      <w:r>
        <w:t xml:space="preserve">yes, since 2005 as an add-on to mealtime insulin in type 1 and type 2 diabetes.</w:t>
      </w:r>
    </w:p>
    <w:p>
      <w:pPr>
        <w:numPr>
          <w:ilvl w:val="0"/>
          <w:numId w:val="1096"/>
        </w:numPr>
        <w:pStyle w:val="Compact"/>
      </w:pPr>
      <w:r>
        <w:rPr>
          <w:bCs/>
          <w:b/>
        </w:rPr>
        <w:t xml:space="preserve">WADA:</w:t>
      </w:r>
      <w:r>
        <w:t xml:space="preserve"> </w:t>
      </w:r>
      <w:r>
        <w:t xml:space="preserve">not listed by name; because of its US approval, it does not fall under S0.</w:t>
      </w:r>
    </w:p>
    <w:p>
      <w:pPr>
        <w:numPr>
          <w:ilvl w:val="0"/>
          <w:numId w:val="1096"/>
        </w:numPr>
        <w:pStyle w:val="Compact"/>
      </w:pPr>
      <w:r>
        <w:rPr>
          <w:bCs/>
          <w:b/>
        </w:rPr>
        <w:t xml:space="preserve">Evidence level:</w:t>
      </w:r>
      <w:r>
        <w:t xml:space="preserve"> </w:t>
      </w:r>
      <w:r>
        <w:rPr>
          <w:bCs/>
          <w:b/>
        </w:rPr>
        <w:t xml:space="preserve">A</w:t>
      </w:r>
      <w:r>
        <w:t xml:space="preserve"> </w:t>
      </w:r>
      <w:r>
        <w:t xml:space="preserve">– several large randomized trials, approval in the USA.</w:t>
      </w:r>
    </w:p>
    <w:bookmarkEnd w:id="760"/>
    <w:bookmarkStart w:id="762" w:name="how-it-is-supposed-to-work-11"/>
    <w:p>
      <w:pPr>
        <w:pStyle w:val="Heading3"/>
      </w:pPr>
      <w:r>
        <w:t xml:space="preserve">How it is supposed to work</w:t>
      </w:r>
    </w:p>
    <w:p>
      <w:pPr>
        <w:pStyle w:val="FirstParagraph"/>
      </w:pPr>
      <w:r>
        <w:t xml:space="preserve">The beta cells of the pancreas release not only insulin but, in the same rhythm, also amylin. In type 1 diabetes, the beta cells are destroyed – so both hormones are missing, but as a rule only insulin is replaced. In advanced type 2 diabetes, amylin secretion is also reduced.</w:t>
      </w:r>
    </w:p>
    <w:p>
      <w:pPr>
        <w:pStyle w:val="BodyText"/>
      </w:pPr>
      <w:r>
        <w:t xml:space="preserve">After a meal, amylin acts in three ways: it slows gastric emptying so that sugar enters the blood more slowly; it dampens glucagon release, which in diabetes is often inappropriately high after meals; and it promotes the feeling of satiety via the brainstem. Pramlintide was intended to replace this missing effect and thus smooth out blood glucose spikes after meals. That it delays gastric emptying was shown, among others, in a small study with twelve people with type 1 and type 2 diabetes: the time until half of a solid meal had left the stomach increased from 91 to 268 to 329 minutes</w:t>
      </w:r>
      <w:r>
        <w:rPr>
          <w:rStyle w:val="FootnoteReference"/>
        </w:rPr>
        <w:footnoteReference w:id="761"/>
      </w:r>
      <w:r>
        <w:t xml:space="preserve">.</w:t>
      </w:r>
    </w:p>
    <w:p>
      <w:pPr>
        <w:pStyle w:val="BodyText"/>
      </w:pPr>
      <w:r>
        <w:t xml:space="preserve">Pramlintide is historically important: it was the first amylin drug and is considered the forerunner of today’s long-acting amylin agents such as cagrilintide and amycretin (see there). Its great practical disadvantage is the short duration of action, which requires several injections per day.</w:t>
      </w:r>
    </w:p>
    <w:bookmarkEnd w:id="762"/>
    <w:bookmarkStart w:id="777" w:name="human-studies-11"/>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76 human studies, mostly from 1996 to 2010, as well as several meta-analyses. On ClinicalTrials.gov, 64 trials were registered, almost all completed; new trials mainly concern</w:t>
      </w:r>
      <w:r>
        <w:t xml:space="preserve"> </w:t>
      </w:r>
      <w:r>
        <w:t xml:space="preserve">“</w:t>
      </w:r>
      <w:r>
        <w:t xml:space="preserve">artificial pancreas</w:t>
      </w:r>
      <w:r>
        <w:t xml:space="preserve">”</w:t>
      </w:r>
      <w:r>
        <w:t xml:space="preserve"> </w:t>
      </w:r>
      <w:r>
        <w:t xml:space="preserve">systems and migraine research.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Whitehouse 2002, PMID 11919132</w:t>
            </w:r>
          </w:p>
        </w:tc>
        <w:tc>
          <w:tcPr/>
          <w:p>
            <w:pPr>
              <w:pStyle w:val="Compact"/>
              <w:jc w:val="left"/>
            </w:pPr>
            <w:r>
              <w:t xml:space="preserve">480 adults with type 1 diabetes, vs. placebo</w:t>
            </w:r>
          </w:p>
        </w:tc>
        <w:tc>
          <w:tcPr/>
          <w:p>
            <w:pPr>
              <w:pStyle w:val="Compact"/>
              <w:jc w:val="left"/>
            </w:pPr>
            <w:r>
              <w:t xml:space="preserve">52 weeks (+1 year open-label)</w:t>
            </w:r>
          </w:p>
        </w:tc>
        <w:tc>
          <w:tcPr/>
          <w:p>
            <w:pPr>
              <w:pStyle w:val="Compact"/>
              <w:jc w:val="left"/>
            </w:pPr>
            <w:r>
              <w:t xml:space="preserve">HbA1c −0.67 vs. −0.16 after 13 weeks; weight loss instead of gain</w:t>
            </w:r>
          </w:p>
        </w:tc>
      </w:tr>
      <w:tr>
        <w:tc>
          <w:tcPr/>
          <w:p>
            <w:pPr>
              <w:pStyle w:val="Compact"/>
              <w:jc w:val="left"/>
            </w:pPr>
            <w:r>
              <w:t xml:space="preserve">Ratner 2004, PMID 15498087</w:t>
            </w:r>
          </w:p>
        </w:tc>
        <w:tc>
          <w:tcPr/>
          <w:p>
            <w:pPr>
              <w:pStyle w:val="Compact"/>
              <w:jc w:val="left"/>
            </w:pPr>
            <w:r>
              <w:t xml:space="preserve">651 adults with type 1 diabetes, vs. placebo</w:t>
            </w:r>
          </w:p>
        </w:tc>
        <w:tc>
          <w:tcPr/>
          <w:p>
            <w:pPr>
              <w:pStyle w:val="Compact"/>
              <w:jc w:val="left"/>
            </w:pPr>
            <w:r>
              <w:t xml:space="preserve">52 weeks</w:t>
            </w:r>
          </w:p>
        </w:tc>
        <w:tc>
          <w:tcPr/>
          <w:p>
            <w:pPr>
              <w:pStyle w:val="Compact"/>
              <w:jc w:val="left"/>
            </w:pPr>
            <w:r>
              <w:t xml:space="preserve">HbA1c −0.29 to −0.34 vs. −0.04; weight −0.4 kg vs. +0.8 kg</w:t>
            </w:r>
          </w:p>
        </w:tc>
      </w:tr>
      <w:tr>
        <w:tc>
          <w:tcPr/>
          <w:p>
            <w:pPr>
              <w:pStyle w:val="Compact"/>
              <w:jc w:val="left"/>
            </w:pPr>
            <w:r>
              <w:t xml:space="preserve">Hollander 2003, PMID 12610038</w:t>
            </w:r>
          </w:p>
        </w:tc>
        <w:tc>
          <w:tcPr/>
          <w:p>
            <w:pPr>
              <w:pStyle w:val="Compact"/>
              <w:jc w:val="left"/>
            </w:pPr>
            <w:r>
              <w:t xml:space="preserve">656 adults with insulin-treated type 2 diabetes, vs. placebo</w:t>
            </w:r>
          </w:p>
        </w:tc>
        <w:tc>
          <w:tcPr/>
          <w:p>
            <w:pPr>
              <w:pStyle w:val="Compact"/>
              <w:jc w:val="left"/>
            </w:pPr>
            <w:r>
              <w:t xml:space="preserve">52 weeks</w:t>
            </w:r>
          </w:p>
        </w:tc>
        <w:tc>
          <w:tcPr/>
          <w:p>
            <w:pPr>
              <w:pStyle w:val="Compact"/>
              <w:jc w:val="left"/>
            </w:pPr>
            <w:r>
              <w:t xml:space="preserve">HbA1c −0.62 (week 52); weight −1.4 kg vs. +0.7 kg</w:t>
            </w:r>
          </w:p>
        </w:tc>
      </w:tr>
      <w:tr>
        <w:tc>
          <w:tcPr/>
          <w:p>
            <w:pPr>
              <w:pStyle w:val="Compact"/>
              <w:jc w:val="left"/>
            </w:pPr>
            <w:r>
              <w:t xml:space="preserve">Edelman 2006, PMID 17003291</w:t>
            </w:r>
          </w:p>
        </w:tc>
        <w:tc>
          <w:tcPr/>
          <w:p>
            <w:pPr>
              <w:pStyle w:val="Compact"/>
              <w:jc w:val="left"/>
            </w:pPr>
            <w:r>
              <w:t xml:space="preserve">296 adults with type 1 diabetes, intensive insulin therapy</w:t>
            </w:r>
          </w:p>
        </w:tc>
        <w:tc>
          <w:tcPr/>
          <w:p>
            <w:pPr>
              <w:pStyle w:val="Compact"/>
              <w:jc w:val="left"/>
            </w:pPr>
            <w:r>
              <w:t xml:space="preserve">29 weeks</w:t>
            </w:r>
          </w:p>
        </w:tc>
        <w:tc>
          <w:tcPr/>
          <w:p>
            <w:pPr>
              <w:pStyle w:val="Compact"/>
              <w:jc w:val="left"/>
            </w:pPr>
            <w:r>
              <w:t xml:space="preserve">HbA1c same (−0.5 both); weight −1.3 vs. +1.2 kg; insulin −28%</w:t>
            </w:r>
          </w:p>
        </w:tc>
      </w:tr>
      <w:tr>
        <w:tc>
          <w:tcPr/>
          <w:p>
            <w:pPr>
              <w:pStyle w:val="Compact"/>
              <w:jc w:val="left"/>
            </w:pPr>
            <w:r>
              <w:t xml:space="preserve">Riddle 2007, PMID 17698615</w:t>
            </w:r>
          </w:p>
        </w:tc>
        <w:tc>
          <w:tcPr/>
          <w:p>
            <w:pPr>
              <w:pStyle w:val="Compact"/>
              <w:jc w:val="left"/>
            </w:pPr>
            <w:r>
              <w:t xml:space="preserve">212 adults with type 2 diabetes and basal insulin, vs. placebo</w:t>
            </w:r>
          </w:p>
        </w:tc>
        <w:tc>
          <w:tcPr/>
          <w:p>
            <w:pPr>
              <w:pStyle w:val="Compact"/>
              <w:jc w:val="left"/>
            </w:pPr>
            <w:r>
              <w:t xml:space="preserve">16 weeks</w:t>
            </w:r>
          </w:p>
        </w:tc>
        <w:tc>
          <w:tcPr/>
          <w:p>
            <w:pPr>
              <w:pStyle w:val="Compact"/>
              <w:jc w:val="left"/>
            </w:pPr>
            <w:r>
              <w:t xml:space="preserve">HbA1c −0.70 vs. −0.36; weight −1.6 vs. +0.7 kg</w:t>
            </w:r>
          </w:p>
        </w:tc>
      </w:tr>
      <w:tr>
        <w:tc>
          <w:tcPr/>
          <w:p>
            <w:pPr>
              <w:pStyle w:val="Compact"/>
              <w:jc w:val="left"/>
            </w:pPr>
            <w:r>
              <w:t xml:space="preserve">Smith 2008, PMID 18753666</w:t>
            </w:r>
          </w:p>
        </w:tc>
        <w:tc>
          <w:tcPr/>
          <w:p>
            <w:pPr>
              <w:pStyle w:val="Compact"/>
              <w:jc w:val="left"/>
            </w:pPr>
            <w:r>
              <w:t xml:space="preserve">411 adults with obesity, with lifestyle program</w:t>
            </w:r>
          </w:p>
        </w:tc>
        <w:tc>
          <w:tcPr/>
          <w:p>
            <w:pPr>
              <w:pStyle w:val="Compact"/>
              <w:jc w:val="left"/>
            </w:pPr>
            <w:r>
              <w:t xml:space="preserve">4 months (+8 months)</w:t>
            </w:r>
          </w:p>
        </w:tc>
        <w:tc>
          <w:tcPr/>
          <w:p>
            <w:pPr>
              <w:pStyle w:val="Compact"/>
              <w:jc w:val="left"/>
            </w:pPr>
            <w:r>
              <w:t xml:space="preserve">after 12 months placebo-adjusted up to −7.2 kg</w:t>
            </w:r>
          </w:p>
        </w:tc>
      </w:tr>
    </w:tbl>
    <w:bookmarkStart w:id="764" w:name="type-1-diabetes"/>
    <w:p>
      <w:pPr>
        <w:pStyle w:val="Heading4"/>
      </w:pPr>
      <w:r>
        <w:t xml:space="preserve">Type 1 diabetes</w:t>
      </w:r>
    </w:p>
    <w:p>
      <w:pPr>
        <w:pStyle w:val="FirstParagraph"/>
      </w:pPr>
      <w:r>
        <w:t xml:space="preserve">The large approval trials ran for one year. In the study by Whitehouse (2002, PMID 11919132) with 480 people with type 1 diabetes, HbA1c fell by 0.67 percentage points after 13 weeks compared with 0.16 on placebo; the difference remained statistically significant until week 52. On average, participants lost weight instead of gaining it, and the overall rate of severe hypoglycemia was not increased. In the study by Ratner (2004, PMID 15498087) with 651 participants, the effect was smaller: −0.29 and −0.34 percentage points, respectively, compared with −0.04.</w:t>
      </w:r>
    </w:p>
    <w:p>
      <w:pPr>
        <w:pStyle w:val="BodyText"/>
      </w:pPr>
      <w:r>
        <w:t xml:space="preserve">These effects are modest. A network meta-analysis of all add-on drugs in type 1 diabetes with 58 trials rated the certainty of the evidence as predominantly moderate to very low and found that pramlintide – like GLP-1 agonists and metformin – makes nausea more frequent</w:t>
      </w:r>
      <w:r>
        <w:rPr>
          <w:rStyle w:val="FootnoteReference"/>
        </w:rPr>
        <w:footnoteReference w:id="763"/>
      </w:r>
      <w:r>
        <w:t xml:space="preserve">.</w:t>
      </w:r>
    </w:p>
    <w:p>
      <w:pPr>
        <w:pStyle w:val="BodyText"/>
      </w:pPr>
      <w:r>
        <w:t xml:space="preserve">The study by Edelman (2006, PMID 17003291) provided an important lesson: when the mealtime insulin dose was reduced by 30 to 50% as a precaution at the start of pramlintide treatment, HbA1c had fallen equally in both groups after 29 weeks (−0.5 each). On pramlintide, however, post-meal blood glucose spikes were smaller, weight fell by 1.3 kg (placebo +1.2 kg), and 28% less insulin was needed. Nausea occurred in 63% (placebo 36%).</w:t>
      </w:r>
    </w:p>
    <w:bookmarkEnd w:id="764"/>
    <w:bookmarkStart w:id="768" w:name="type-2-diabetes"/>
    <w:p>
      <w:pPr>
        <w:pStyle w:val="Heading4"/>
      </w:pPr>
      <w:r>
        <w:t xml:space="preserve">Type 2 diabetes</w:t>
      </w:r>
    </w:p>
    <w:p>
      <w:pPr>
        <w:pStyle w:val="FirstParagraph"/>
      </w:pPr>
      <w:r>
        <w:t xml:space="preserve">In insulin-treated type 2 diabetes, pramlintide lowered HbA1c by 0.62 percentage points after one year, with a weight loss of 1.4 kg compared with a 0.7 kg gain on placebo</w:t>
      </w:r>
      <w:r>
        <w:rPr>
          <w:rStyle w:val="FootnoteReference"/>
        </w:rPr>
        <w:footnoteReference w:id="765"/>
      </w:r>
      <w:r>
        <w:t xml:space="preserve">. As an add-on to basal insulin, it was similarly effective in an open-label trial with 113 participants as a rapid-acting mealtime insulin, but did not lead to weight gain (0.0 kg vs. +4.7 kg) and led to fewer mild to moderate hypoglycemic episodes; on the other hand, 21% complained of nausea</w:t>
      </w:r>
      <w:r>
        <w:rPr>
          <w:rStyle w:val="FootnoteReference"/>
        </w:rPr>
        <w:footnoteReference w:id="766"/>
      </w:r>
      <w:r>
        <w:t xml:space="preserve">.</w:t>
      </w:r>
    </w:p>
    <w:p>
      <w:pPr>
        <w:pStyle w:val="BodyText"/>
      </w:pPr>
      <w:r>
        <w:t xml:space="preserve">A meta-analysis of eight randomized trials found an HbA1c reduction of 0.33 percentage points and a weight loss of 2.57 kg compared with control in type 2 diabetes; nausea occurred 1.8 times more often</w:t>
      </w:r>
      <w:r>
        <w:rPr>
          <w:rStyle w:val="FootnoteReference"/>
        </w:rPr>
        <w:footnoteReference w:id="767"/>
      </w:r>
      <w:r>
        <w:t xml:space="preserve">.</w:t>
      </w:r>
    </w:p>
    <w:bookmarkEnd w:id="768"/>
    <w:bookmarkStart w:id="772" w:name="obesity"/>
    <w:p>
      <w:pPr>
        <w:pStyle w:val="Heading4"/>
      </w:pPr>
      <w:r>
        <w:t xml:space="preserve">Obesity</w:t>
      </w:r>
    </w:p>
    <w:p>
      <w:pPr>
        <w:pStyle w:val="FirstParagraph"/>
      </w:pPr>
      <w:r>
        <w:t xml:space="preserve">Between 2005 and 2010, pramlintide was also tested as a weight-loss drug. In a 16-week trial with 204 people with obesity, placebo-adjusted weight loss was 3.7%</w:t>
      </w:r>
      <w:r>
        <w:rPr>
          <w:rStyle w:val="FootnoteReference"/>
        </w:rPr>
        <w:footnoteReference w:id="769"/>
      </w:r>
      <w:r>
        <w:t xml:space="preserve">. Combined with a lifestyle program, almost all dose groups maintained their weight loss over twelve months; placebo-adjusted, this amounted to up to 7.2 kg or 6.8%</w:t>
      </w:r>
      <w:r>
        <w:rPr>
          <w:rStyle w:val="FootnoteReference"/>
        </w:rPr>
        <w:footnoteReference w:id="770"/>
      </w:r>
      <w:r>
        <w:t xml:space="preserve">. A combination with metreleptin (a leptin analog) achieved 12.7% weight loss after 20 weeks compared with 8.4% with pramlintide alone</w:t>
      </w:r>
      <w:r>
        <w:rPr>
          <w:rStyle w:val="FootnoteReference"/>
        </w:rPr>
        <w:footnoteReference w:id="771"/>
      </w:r>
      <w:r>
        <w:t xml:space="preserve">. This development was not pursued up to approval.</w:t>
      </w:r>
    </w:p>
    <w:bookmarkEnd w:id="772"/>
    <w:bookmarkStart w:id="776" w:name="newer-applications-artificial-pancreas"/>
    <w:p>
      <w:pPr>
        <w:pStyle w:val="Heading4"/>
      </w:pPr>
      <w:r>
        <w:t xml:space="preserve">Newer applications: artificial pancreas</w:t>
      </w:r>
    </w:p>
    <w:p>
      <w:pPr>
        <w:pStyle w:val="FirstParagraph"/>
      </w:pPr>
      <w:r>
        <w:t xml:space="preserve">Since about 2015, pramlintide has experienced a small renaissance in research on automated insulin pump systems. In a randomized crossover trial, time in range increased from 74% to 84% with a system that delivers pramlintide in addition to rapid-acting insulin</w:t>
      </w:r>
      <w:r>
        <w:rPr>
          <w:rStyle w:val="FootnoteReference"/>
        </w:rPr>
        <w:footnoteReference w:id="773"/>
      </w:r>
      <w:r>
        <w:t xml:space="preserve">. A small pilot study examined whether such a system can make carbohydrate counting unnecessary; the differences from standard treatment were not statistically significant</w:t>
      </w:r>
      <w:r>
        <w:rPr>
          <w:rStyle w:val="FootnoteReference"/>
        </w:rPr>
        <w:footnoteReference w:id="774"/>
      </w:r>
      <w:r>
        <w:t xml:space="preserve">. A fixed mixture of pramlintide and an insulin (ADO09) led, in a 16-week trial with 80 people with type 1 diabetes, to 2.1 kg more weight loss than insulin lispro, with unchanged HbA1c</w:t>
      </w:r>
      <w:r>
        <w:rPr>
          <w:rStyle w:val="FootnoteReference"/>
        </w:rPr>
        <w:footnoteReference w:id="775"/>
      </w:r>
      <w:r>
        <w:t xml:space="preserve">.</w:t>
      </w:r>
    </w:p>
    <w:bookmarkEnd w:id="776"/>
    <w:bookmarkEnd w:id="777"/>
    <w:bookmarkStart w:id="780" w:name="animal-and-laboratory-studies-11"/>
    <w:p>
      <w:pPr>
        <w:pStyle w:val="Heading3"/>
      </w:pPr>
      <w:r>
        <w:t xml:space="preserve">Animal and laboratory studies</w:t>
      </w:r>
    </w:p>
    <w:p>
      <w:pPr>
        <w:pStyle w:val="FirstParagraph"/>
      </w:pPr>
      <w:r>
        <w:t xml:space="preserve">The foundations of amylin research come from animal and laboratory studies that are not presented in detail here. In rodents, the combination of amylin and leptin led to a more-than-additive weight loss</w:t>
      </w:r>
      <w:r>
        <w:rPr>
          <w:rStyle w:val="FootnoteReference"/>
        </w:rPr>
        <w:footnoteReference w:id="778"/>
      </w:r>
      <w:r>
        <w:t xml:space="preserve">. In mouse models, amylin, similar to the migraine messenger peptide CGRP, triggered hypersensitivity and light aversion</w:t>
      </w:r>
      <w:r>
        <w:rPr>
          <w:rStyle w:val="FootnoteReference"/>
        </w:rPr>
        <w:footnoteReference w:id="779"/>
      </w:r>
      <w:r>
        <w:t xml:space="preserve">.</w:t>
      </w:r>
    </w:p>
    <w:bookmarkEnd w:id="780"/>
    <w:bookmarkStart w:id="784" w:name="risks-and-side-effects-11"/>
    <w:p>
      <w:pPr>
        <w:pStyle w:val="Heading3"/>
      </w:pPr>
      <w:r>
        <w:t xml:space="preserve">Risks and side effects</w:t>
      </w:r>
    </w:p>
    <w:p>
      <w:pPr>
        <w:pStyle w:val="FirstParagraph"/>
      </w:pPr>
      <w:r>
        <w:rPr>
          <w:bCs/>
          <w:b/>
        </w:rPr>
        <w:t xml:space="preserve">Documented in studies:</w:t>
      </w:r>
    </w:p>
    <w:p>
      <w:pPr>
        <w:numPr>
          <w:ilvl w:val="0"/>
          <w:numId w:val="1097"/>
        </w:numPr>
        <w:pStyle w:val="Compact"/>
      </w:pPr>
      <w:r>
        <w:rPr>
          <w:bCs/>
          <w:b/>
        </w:rPr>
        <w:t xml:space="preserve">Nausea</w:t>
      </w:r>
      <w:r>
        <w:t xml:space="preserve"> </w:t>
      </w:r>
      <w:r>
        <w:t xml:space="preserve">is the most common side effect, especially in the first weeks; between 9% and 63% depending on the study</w:t>
      </w:r>
      <w:r>
        <w:rPr>
          <w:rStyle w:val="FootnoteReference"/>
        </w:rPr>
        <w:footnoteReference w:id="781"/>
      </w:r>
      <w:r>
        <w:t xml:space="preserve">.</w:t>
      </w:r>
    </w:p>
    <w:p>
      <w:pPr>
        <w:numPr>
          <w:ilvl w:val="0"/>
          <w:numId w:val="1097"/>
        </w:numPr>
        <w:pStyle w:val="Compact"/>
      </w:pPr>
      <w:r>
        <w:rPr>
          <w:bCs/>
          <w:b/>
        </w:rPr>
        <w:t xml:space="preserve">Severe hypoglycemia</w:t>
      </w:r>
      <w:r>
        <w:t xml:space="preserve"> </w:t>
      </w:r>
      <w:r>
        <w:t xml:space="preserve">is the most important risk. Pramlintide itself hardly lowers blood glucose, but it enhances the effect of the insulin injected at the same time, because the sugar from the meal arrives with a delay. In the study by Edelman, severe hypoglycemia occurred more frequently on pramlintide than on placebo (0.57 vs. 0.30 events per patient-year), particularly in participants who remained on a low dose</w:t>
      </w:r>
      <w:r>
        <w:rPr>
          <w:rStyle w:val="FootnoteReference"/>
        </w:rPr>
        <w:footnoteReference w:id="782"/>
      </w:r>
      <w:r>
        <w:t xml:space="preserve">. In the USA, the drug therefore carries a prominent warning; a reduction of the mealtime insulin dose is provided for before starting treatment – details are set out in the prescribing information, and implementation belongs in the hands of a physician.</w:t>
      </w:r>
    </w:p>
    <w:p>
      <w:pPr>
        <w:numPr>
          <w:ilvl w:val="0"/>
          <w:numId w:val="1097"/>
        </w:numPr>
        <w:pStyle w:val="Compact"/>
      </w:pPr>
      <w:r>
        <w:rPr>
          <w:bCs/>
          <w:b/>
        </w:rPr>
        <w:t xml:space="preserve">Headache and migraine:</w:t>
      </w:r>
      <w:r>
        <w:t xml:space="preserve"> </w:t>
      </w:r>
      <w:r>
        <w:t xml:space="preserve">In an experimental study with 36 people with migraine, 88% developed headache and 41% a migraine-like attack after a pramlintide infusion</w:t>
      </w:r>
      <w:r>
        <w:rPr>
          <w:rStyle w:val="FootnoteReference"/>
        </w:rPr>
        <w:footnoteReference w:id="783"/>
      </w:r>
      <w:r>
        <w:t xml:space="preserve">. This study used an infusion for research purposes; however, it shows that amylin receptors play a role in migraine. This finding is also relevant for the new, long-acting amylin drugs.</w:t>
      </w:r>
    </w:p>
    <w:p>
      <w:pPr>
        <w:numPr>
          <w:ilvl w:val="0"/>
          <w:numId w:val="1097"/>
        </w:numPr>
        <w:pStyle w:val="Compact"/>
      </w:pPr>
      <w:r>
        <w:rPr>
          <w:bCs/>
          <w:b/>
        </w:rPr>
        <w:t xml:space="preserve">Interactions:</w:t>
      </w:r>
      <w:r>
        <w:t xml:space="preserve"> </w:t>
      </w:r>
      <w:r>
        <w:t xml:space="preserve">Since pramlintide delays gastric emptying, tablets for which a rapid onset of action is important may be absorbed with a delay (prescribing information).</w:t>
      </w:r>
    </w:p>
    <w:bookmarkEnd w:id="784"/>
    <w:bookmarkStart w:id="785" w:name="legal-status-11"/>
    <w:p>
      <w:pPr>
        <w:pStyle w:val="Heading3"/>
      </w:pPr>
      <w:r>
        <w:t xml:space="preserve">Legal status</w:t>
      </w:r>
    </w:p>
    <w:p>
      <w:pPr>
        <w:numPr>
          <w:ilvl w:val="0"/>
          <w:numId w:val="1098"/>
        </w:numPr>
        <w:pStyle w:val="Compact"/>
      </w:pPr>
      <w:r>
        <w:rPr>
          <w:bCs/>
          <w:b/>
        </w:rPr>
        <w:t xml:space="preserve">EU / Austria / Germany:</w:t>
      </w:r>
      <w:r>
        <w:t xml:space="preserve"> </w:t>
      </w:r>
      <w:r>
        <w:t xml:space="preserve">not approved. In Europe, pramlintide is conceivable only via individual import for specific patients and plays practically no role.</w:t>
      </w:r>
    </w:p>
    <w:p>
      <w:pPr>
        <w:numPr>
          <w:ilvl w:val="0"/>
          <w:numId w:val="1098"/>
        </w:numPr>
        <w:pStyle w:val="Compact"/>
      </w:pPr>
      <w:r>
        <w:rPr>
          <w:bCs/>
          <w:b/>
        </w:rPr>
        <w:t xml:space="preserve">USA:</w:t>
      </w:r>
      <w:r>
        <w:t xml:space="preserve"> </w:t>
      </w:r>
      <w:r>
        <w:t xml:space="preserve">approved since 2005 (Symlin) as an add-on to mealtime insulin in type 1 and type 2 diabetes; prescription only. It is not approved for obesity without diabetes.</w:t>
      </w:r>
    </w:p>
    <w:p>
      <w:pPr>
        <w:numPr>
          <w:ilvl w:val="0"/>
          <w:numId w:val="1098"/>
        </w:numPr>
        <w:pStyle w:val="Compact"/>
      </w:pPr>
      <w:r>
        <w:rPr>
          <w:bCs/>
          <w:b/>
        </w:rPr>
        <w:t xml:space="preserve">Sport:</w:t>
      </w:r>
      <w:r>
        <w:t xml:space="preserve"> </w:t>
      </w:r>
      <w:r>
        <w:t xml:space="preserve">not named on the WADA list (as of 2026, please check for updates).</w:t>
      </w:r>
    </w:p>
    <w:bookmarkEnd w:id="785"/>
    <w:bookmarkStart w:id="790" w:name="ongoing-studies-and-outlook-11"/>
    <w:p>
      <w:pPr>
        <w:pStyle w:val="Heading3"/>
      </w:pPr>
      <w:r>
        <w:t xml:space="preserve">Ongoing studies and outlook</w:t>
      </w:r>
    </w:p>
    <w:p>
      <w:pPr>
        <w:pStyle w:val="FirstParagraph"/>
      </w:pPr>
      <w:r>
        <w:rPr>
          <w:bCs/>
          <w:b/>
        </w:rPr>
        <w:t xml:space="preserve">Confirmed (registered trials, as of October 2026):</w:t>
      </w:r>
      <w:r>
        <w:t xml:space="preserve"> </w:t>
      </w:r>
      <w:r>
        <w:t xml:space="preserve">New trials with pramlintide are predominantly small basic research studies, for example on the role of amylin in migraine without aura</w:t>
      </w:r>
      <w:r>
        <w:rPr>
          <w:rStyle w:val="FootnoteReference"/>
        </w:rPr>
        <w:footnoteReference w:id="786"/>
      </w:r>
      <w:r>
        <w:t xml:space="preserve">, in headache after head injury</w:t>
      </w:r>
      <w:r>
        <w:rPr>
          <w:rStyle w:val="FootnoteReference"/>
        </w:rPr>
        <w:footnoteReference w:id="787"/>
      </w:r>
      <w:r>
        <w:t xml:space="preserve"> </w:t>
      </w:r>
      <w:r>
        <w:t xml:space="preserve">and on satiety</w:t>
      </w:r>
      <w:r>
        <w:rPr>
          <w:rStyle w:val="FootnoteReference"/>
        </w:rPr>
        <w:footnoteReference w:id="788"/>
      </w:r>
      <w:r>
        <w:t xml:space="preserve">. The authors of the pilot study on the pramlintide insulin pump announce a larger trial</w:t>
      </w:r>
      <w:r>
        <w:rPr>
          <w:rStyle w:val="FootnoteReference"/>
        </w:rPr>
        <w:footnoteReference w:id="789"/>
      </w:r>
      <w:r>
        <w:t xml:space="preserve">.</w:t>
      </w:r>
    </w:p>
    <w:p>
      <w:pPr>
        <w:pStyle w:val="BodyText"/>
      </w:pPr>
      <w:r>
        <w:rPr>
          <w:bCs/>
          <w:b/>
        </w:rPr>
        <w:t xml:space="preserve">Assessment:</w:t>
      </w:r>
      <w:r>
        <w:t xml:space="preserve"> </w:t>
      </w:r>
      <w:r>
        <w:t xml:space="preserve">As a medicine, pramlintide has remained a niche product – too many injections, too much nausea, too small an effect on HbA1c. Its most important role is likely to be that of a pioneer: the new generation of long-acting amylin analogs (cagrilintide, amycretin, eloralintide and others) build on its experience. It could retain a small role in research on dual-hormone systems in type 1 diabetes.</w:t>
      </w:r>
    </w:p>
    <w:bookmarkEnd w:id="790"/>
    <w:bookmarkStart w:id="791" w:name="conclusion-11"/>
    <w:p>
      <w:pPr>
        <w:pStyle w:val="Heading3"/>
      </w:pPr>
      <w:r>
        <w:t xml:space="preserve">Conclusion</w:t>
      </w:r>
    </w:p>
    <w:p>
      <w:pPr>
        <w:pStyle w:val="FirstParagraph"/>
      </w:pPr>
      <w:r>
        <w:t xml:space="preserve">Pramlintide is the first amylin drug and has been approved since 2005 in the USA, but not in the EU, as an add-on to insulin. In large trials it lowered HbA1c by only about 0.3 to 0.7 percentage points, but prevented the weight gain typical of insulin and smoothed out blood glucose spikes after meals. Nausea is common, and in combination with insulin there is a relevant risk of severe hypoglycemia. Today, pramlintide is significant mainly as the forerunner of the new long-acting amylin drugs.</w:t>
      </w:r>
    </w:p>
    <w:bookmarkEnd w:id="791"/>
    <w:bookmarkEnd w:id="792"/>
    <w:bookmarkStart w:id="829" w:name="setmelanotide"/>
    <w:p>
      <w:pPr>
        <w:pStyle w:val="Heading2"/>
      </w:pPr>
      <w:r>
        <w:t xml:space="preserve">Setmelanotide</w:t>
      </w:r>
    </w:p>
    <w:bookmarkStart w:id="794" w:name="profile-12"/>
    <w:p>
      <w:pPr>
        <w:pStyle w:val="Heading3"/>
      </w:pPr>
      <w:r>
        <w:t xml:space="preserve">Profile</w:t>
      </w:r>
    </w:p>
    <w:p>
      <w:pPr>
        <w:numPr>
          <w:ilvl w:val="0"/>
          <w:numId w:val="1099"/>
        </w:numPr>
        <w:pStyle w:val="Compact"/>
      </w:pPr>
      <w:r>
        <w:rPr>
          <w:bCs/>
          <w:b/>
        </w:rPr>
        <w:t xml:space="preserve">Type/structure:</w:t>
      </w:r>
      <w:r>
        <w:t xml:space="preserve"> </w:t>
      </w:r>
      <w:r>
        <w:t xml:space="preserve">small, ring-shaped (cyclic) synthetic peptide that mimics the body’s own messenger alpha-MSH. Once-daily injection under the skin. Former development code RM-493.</w:t>
      </w:r>
    </w:p>
    <w:p>
      <w:pPr>
        <w:numPr>
          <w:ilvl w:val="0"/>
          <w:numId w:val="1099"/>
        </w:numPr>
        <w:pStyle w:val="Compact"/>
      </w:pPr>
      <w:r>
        <w:rPr>
          <w:bCs/>
          <w:b/>
        </w:rPr>
        <w:t xml:space="preserve">Origin:</w:t>
      </w:r>
      <w:r>
        <w:t xml:space="preserve"> </w:t>
      </w:r>
      <w:r>
        <w:t xml:space="preserve">developed by Rhythm Pharmaceuticals; brand name Imcivree.</w:t>
      </w:r>
    </w:p>
    <w:p>
      <w:pPr>
        <w:numPr>
          <w:ilvl w:val="0"/>
          <w:numId w:val="1099"/>
        </w:numPr>
        <w:pStyle w:val="Compact"/>
      </w:pPr>
      <w:r>
        <w:rPr>
          <w:bCs/>
          <w:b/>
        </w:rPr>
        <w:t xml:space="preserve">Mechanism of action:</w:t>
      </w:r>
      <w:r>
        <w:t xml:space="preserve"> </w:t>
      </w:r>
      <w:r>
        <w:t xml:space="preserve">agonist at the melanocortin-4 receptor (MC4R) in the hypothalamus, a central control point for hunger and satiety.</w:t>
      </w:r>
    </w:p>
    <w:p>
      <w:pPr>
        <w:numPr>
          <w:ilvl w:val="0"/>
          <w:numId w:val="1099"/>
        </w:numPr>
        <w:pStyle w:val="Compact"/>
      </w:pPr>
      <w:r>
        <w:rPr>
          <w:bCs/>
          <w:b/>
        </w:rPr>
        <w:t xml:space="preserve">Approval EU:</w:t>
      </w:r>
      <w:r>
        <w:t xml:space="preserve"> </w:t>
      </w:r>
      <w:r>
        <w:t xml:space="preserve">yes (Imcivree) for obesity due to genetically confirmed POMC, PCSK1 or leptin receptor deficiency and in Bardet-Biedl syndrome.</w:t>
      </w:r>
    </w:p>
    <w:p>
      <w:pPr>
        <w:numPr>
          <w:ilvl w:val="0"/>
          <w:numId w:val="1099"/>
        </w:numPr>
        <w:pStyle w:val="Compact"/>
      </w:pPr>
      <w:r>
        <w:rPr>
          <w:bCs/>
          <w:b/>
        </w:rPr>
        <w:t xml:space="preserve">Approval USA:</w:t>
      </w:r>
      <w:r>
        <w:t xml:space="preserve"> </w:t>
      </w:r>
      <w:r>
        <w:t xml:space="preserve">yes (Imcivree), first in 2020, for the same rare genetic forms</w:t>
      </w:r>
      <w:r>
        <w:rPr>
          <w:rStyle w:val="FootnoteReference"/>
        </w:rPr>
        <w:footnoteReference w:id="793"/>
      </w:r>
      <w:r>
        <w:t xml:space="preserve">.</w:t>
      </w:r>
    </w:p>
    <w:p>
      <w:pPr>
        <w:numPr>
          <w:ilvl w:val="0"/>
          <w:numId w:val="1099"/>
        </w:numPr>
        <w:pStyle w:val="Compact"/>
      </w:pPr>
      <w:r>
        <w:rPr>
          <w:bCs/>
          <w:b/>
        </w:rPr>
        <w:t xml:space="preserve">WADA:</w:t>
      </w:r>
      <w:r>
        <w:t xml:space="preserve"> </w:t>
      </w:r>
      <w:r>
        <w:t xml:space="preserve">not listed by name; as an approved medicine, not under S0.</w:t>
      </w:r>
    </w:p>
    <w:p>
      <w:pPr>
        <w:numPr>
          <w:ilvl w:val="0"/>
          <w:numId w:val="1099"/>
        </w:numPr>
        <w:pStyle w:val="Compact"/>
      </w:pPr>
      <w:r>
        <w:rPr>
          <w:bCs/>
          <w:b/>
        </w:rPr>
        <w:t xml:space="preserve">Evidence level:</w:t>
      </w:r>
      <w:r>
        <w:t xml:space="preserve"> </w:t>
      </w:r>
      <w:r>
        <w:rPr>
          <w:bCs/>
          <w:b/>
        </w:rPr>
        <w:t xml:space="preserve">A</w:t>
      </w:r>
      <w:r>
        <w:t xml:space="preserve"> </w:t>
      </w:r>
      <w:r>
        <w:t xml:space="preserve">– approval based on Phase 3 trials; because of the rarity of the conditions, however, the trials are small and partly uncontrolled.</w:t>
      </w:r>
    </w:p>
    <w:bookmarkEnd w:id="794"/>
    <w:bookmarkStart w:id="795" w:name="how-it-is-supposed-to-work-12"/>
    <w:p>
      <w:pPr>
        <w:pStyle w:val="Heading3"/>
      </w:pPr>
      <w:r>
        <w:t xml:space="preserve">How it is supposed to work</w:t>
      </w:r>
    </w:p>
    <w:p>
      <w:pPr>
        <w:pStyle w:val="FirstParagraph"/>
      </w:pPr>
      <w:r>
        <w:t xml:space="preserve">Setmelanotide differs fundamentally from all the other substances in this part. It is not a general weight-loss drug but a targeted treatment for people in whom a particular signaling chain in the brain is defective.</w:t>
      </w:r>
    </w:p>
    <w:p>
      <w:pPr>
        <w:pStyle w:val="BodyText"/>
      </w:pPr>
      <w:r>
        <w:t xml:space="preserve">This chain is called the leptin-melanocortin pathway. Simplified: adipose tissue releases the hormone leptin. Leptin acts in the hypothalamus on nerve cells that produce the messenger alpha-MSH from a precursor molecule called POMC. This production requires an enzyme called PCSK1. Alpha-MSH finally activates the MC4 receptor – and the signal reads:</w:t>
      </w:r>
      <w:r>
        <w:t xml:space="preserve"> </w:t>
      </w:r>
      <w:r>
        <w:t xml:space="preserve">“</w:t>
      </w:r>
      <w:r>
        <w:t xml:space="preserve">Enough eaten.</w:t>
      </w:r>
      <w:r>
        <w:t xml:space="preserve">”</w:t>
      </w:r>
    </w:p>
    <w:p>
      <w:pPr>
        <w:pStyle w:val="BodyText"/>
      </w:pPr>
      <w:r>
        <w:t xml:space="preserve">If one of these links fails due to an inherited genetic change, an agonizing, insatiable hunger (hyperphagia) develops that leads to severe obesity as early as infancy. Diet and exercise alone can do little against it. Setmelanotide acts at the end of the chain and activates the MC4 receptor directly – it bypasses, so to speak, the defective links before it.</w:t>
      </w:r>
    </w:p>
    <w:p>
      <w:pPr>
        <w:pStyle w:val="BodyText"/>
      </w:pPr>
      <w:r>
        <w:t xml:space="preserve">Setmelanotide also acts at the closely related melanocortin-1 receptor in the skin. This explains the most common side effect: tanning of the skin (see below) – and it links setmelanotide to the tanning peptides such as melanotan II and afamelanotide (Part II, Group E).</w:t>
      </w:r>
    </w:p>
    <w:bookmarkEnd w:id="795"/>
    <w:bookmarkStart w:id="811" w:name="human-studies-12"/>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15 human studies. On ClinicalTrials.gov, 27 trials were registered. Because of the rarity of the target conditions, the trials often include only 10 to 40 participants; the largest published randomized trial (on hypothalamic obesity) enrolled 120 people.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Kühnen 2016, PMID 27468060</w:t>
            </w:r>
          </w:p>
        </w:tc>
        <w:tc>
          <w:tcPr/>
          <w:p>
            <w:pPr>
              <w:pStyle w:val="Compact"/>
              <w:jc w:val="left"/>
            </w:pPr>
            <w:r>
              <w:t xml:space="preserve">2 people with POMC deficiency, open-label</w:t>
            </w:r>
          </w:p>
        </w:tc>
        <w:tc>
          <w:tcPr/>
          <w:p>
            <w:pPr>
              <w:pStyle w:val="Compact"/>
              <w:jc w:val="left"/>
            </w:pPr>
            <w:r>
              <w:t xml:space="preserve">12 and 42 weeks</w:t>
            </w:r>
          </w:p>
        </w:tc>
        <w:tc>
          <w:tcPr/>
          <w:p>
            <w:pPr>
              <w:pStyle w:val="Compact"/>
              <w:jc w:val="left"/>
            </w:pPr>
            <w:r>
              <w:t xml:space="preserve">−20.5 kg and −51.0 kg; less hunger</w:t>
            </w:r>
          </w:p>
        </w:tc>
      </w:tr>
      <w:tr>
        <w:tc>
          <w:tcPr/>
          <w:p>
            <w:pPr>
              <w:pStyle w:val="Compact"/>
              <w:jc w:val="left"/>
            </w:pPr>
            <w:r>
              <w:t xml:space="preserve">Clément 2020 (POMC/LEPR), PMID 33137293</w:t>
            </w:r>
          </w:p>
        </w:tc>
        <w:tc>
          <w:tcPr/>
          <w:p>
            <w:pPr>
              <w:pStyle w:val="Compact"/>
              <w:jc w:val="left"/>
            </w:pPr>
            <w:r>
              <w:t xml:space="preserve">10 people with POMC and 11 with LEPR deficiency; single-arm, with withdrawal phase</w:t>
            </w:r>
          </w:p>
        </w:tc>
        <w:tc>
          <w:tcPr/>
          <w:p>
            <w:pPr>
              <w:pStyle w:val="Compact"/>
              <w:jc w:val="left"/>
            </w:pPr>
            <w:r>
              <w:t xml:space="preserve">about 1 year</w:t>
            </w:r>
          </w:p>
        </w:tc>
        <w:tc>
          <w:tcPr/>
          <w:p>
            <w:pPr>
              <w:pStyle w:val="Compact"/>
              <w:jc w:val="left"/>
            </w:pPr>
            <w:r>
              <w:t xml:space="preserve">≥10% weight loss in 80% (POMC) and 45% (LEPR)</w:t>
            </w:r>
          </w:p>
        </w:tc>
      </w:tr>
      <w:tr>
        <w:tc>
          <w:tcPr/>
          <w:p>
            <w:pPr>
              <w:pStyle w:val="Compact"/>
              <w:jc w:val="left"/>
            </w:pPr>
            <w:r>
              <w:t xml:space="preserve">Haqq 2022 (BBS/Alström), PMID 36356613</w:t>
            </w:r>
          </w:p>
        </w:tc>
        <w:tc>
          <w:tcPr/>
          <w:p>
            <w:pPr>
              <w:pStyle w:val="Compact"/>
              <w:jc w:val="left"/>
            </w:pPr>
            <w:r>
              <w:t xml:space="preserve">38 people with Bardet-Biedl or Alström syndrome; 14 weeks vs. placebo, then open-label</w:t>
            </w:r>
          </w:p>
        </w:tc>
        <w:tc>
          <w:tcPr/>
          <w:p>
            <w:pPr>
              <w:pStyle w:val="Compact"/>
              <w:jc w:val="left"/>
            </w:pPr>
            <w:r>
              <w:t xml:space="preserve">66 weeks</w:t>
            </w:r>
          </w:p>
        </w:tc>
        <w:tc>
          <w:tcPr/>
          <w:p>
            <w:pPr>
              <w:pStyle w:val="Compact"/>
              <w:jc w:val="left"/>
            </w:pPr>
            <w:r>
              <w:t xml:space="preserve">≥10% weight loss in 32.3% of BBS patients aged 12 and over</w:t>
            </w:r>
          </w:p>
        </w:tc>
      </w:tr>
      <w:tr>
        <w:tc>
          <w:tcPr/>
          <w:p>
            <w:pPr>
              <w:pStyle w:val="Compact"/>
              <w:jc w:val="left"/>
            </w:pPr>
            <w:r>
              <w:t xml:space="preserve">VENTURE (Argente 2025), PMID 39549719</w:t>
            </w:r>
          </w:p>
        </w:tc>
        <w:tc>
          <w:tcPr/>
          <w:p>
            <w:pPr>
              <w:pStyle w:val="Compact"/>
              <w:jc w:val="left"/>
            </w:pPr>
            <w:r>
              <w:t xml:space="preserve">12 children aged 2 to 5 years, open-label</w:t>
            </w:r>
          </w:p>
        </w:tc>
        <w:tc>
          <w:tcPr/>
          <w:p>
            <w:pPr>
              <w:pStyle w:val="Compact"/>
              <w:jc w:val="left"/>
            </w:pPr>
            <w:r>
              <w:t xml:space="preserve">52 weeks</w:t>
            </w:r>
          </w:p>
        </w:tc>
        <w:tc>
          <w:tcPr/>
          <w:p>
            <w:pPr>
              <w:pStyle w:val="Compact"/>
              <w:jc w:val="left"/>
            </w:pPr>
            <w:r>
              <w:t xml:space="preserve">BMI −18% on average</w:t>
            </w:r>
          </w:p>
        </w:tc>
      </w:tr>
      <w:tr>
        <w:tc>
          <w:tcPr/>
          <w:p>
            <w:pPr>
              <w:pStyle w:val="Compact"/>
              <w:jc w:val="left"/>
            </w:pPr>
            <w:r>
              <w:t xml:space="preserve">Roth 2024 (hypothalamic obesity), PMID 38697184</w:t>
            </w:r>
          </w:p>
        </w:tc>
        <w:tc>
          <w:tcPr/>
          <w:p>
            <w:pPr>
              <w:pStyle w:val="Compact"/>
              <w:jc w:val="left"/>
            </w:pPr>
            <w:r>
              <w:t xml:space="preserve">18 people, open-label</w:t>
            </w:r>
          </w:p>
        </w:tc>
        <w:tc>
          <w:tcPr/>
          <w:p>
            <w:pPr>
              <w:pStyle w:val="Compact"/>
              <w:jc w:val="left"/>
            </w:pPr>
            <w:r>
              <w:t xml:space="preserve">16 weeks</w:t>
            </w:r>
          </w:p>
        </w:tc>
        <w:tc>
          <w:tcPr/>
          <w:p>
            <w:pPr>
              <w:pStyle w:val="Compact"/>
              <w:jc w:val="left"/>
            </w:pPr>
            <w:r>
              <w:t xml:space="preserve">BMI −15% on average</w:t>
            </w:r>
          </w:p>
        </w:tc>
      </w:tr>
      <w:tr>
        <w:tc>
          <w:tcPr/>
          <w:p>
            <w:pPr>
              <w:pStyle w:val="Compact"/>
              <w:jc w:val="left"/>
            </w:pPr>
            <w:r>
              <w:t xml:space="preserve">TRANSCEND (Miller 2026), PMID 42418774</w:t>
            </w:r>
          </w:p>
        </w:tc>
        <w:tc>
          <w:tcPr/>
          <w:p>
            <w:pPr>
              <w:pStyle w:val="Compact"/>
              <w:jc w:val="left"/>
            </w:pPr>
            <w:r>
              <w:t xml:space="preserve">120 people with acquired hypothalamic obesity, vs. placebo</w:t>
            </w:r>
          </w:p>
        </w:tc>
        <w:tc>
          <w:tcPr/>
          <w:p>
            <w:pPr>
              <w:pStyle w:val="Compact"/>
              <w:jc w:val="left"/>
            </w:pPr>
            <w:r>
              <w:t xml:space="preserve">52 weeks</w:t>
            </w:r>
          </w:p>
        </w:tc>
        <w:tc>
          <w:tcPr/>
          <w:p>
            <w:pPr>
              <w:pStyle w:val="Compact"/>
              <w:jc w:val="left"/>
            </w:pPr>
            <w:r>
              <w:t xml:space="preserve">BMI −16.5% vs. +3.3%</w:t>
            </w:r>
          </w:p>
        </w:tc>
      </w:tr>
    </w:tbl>
    <w:bookmarkStart w:id="799" w:name="X26deddd12de3b3d2c2e9d80c00cb51245844d5a"/>
    <w:p>
      <w:pPr>
        <w:pStyle w:val="Heading4"/>
      </w:pPr>
      <w:r>
        <w:t xml:space="preserve">POMC, PCSK1 and leptin receptor deficiency</w:t>
      </w:r>
    </w:p>
    <w:p>
      <w:pPr>
        <w:pStyle w:val="FirstParagraph"/>
      </w:pPr>
      <w:r>
        <w:t xml:space="preserve">The first reports were individual cases: two patients with POMC deficiency lost 51.0 kg after 42 weeks and 20.5 kg after 12 weeks, respectively, in an investigator-initiated study, and their hunger subsided permanently</w:t>
      </w:r>
      <w:r>
        <w:rPr>
          <w:rStyle w:val="FootnoteReference"/>
        </w:rPr>
        <w:footnoteReference w:id="796"/>
      </w:r>
      <w:r>
        <w:t xml:space="preserve">. Similar findings were described for three people with leptin receptor deficiency</w:t>
      </w:r>
      <w:r>
        <w:rPr>
          <w:rStyle w:val="FootnoteReference"/>
        </w:rPr>
        <w:footnoteReference w:id="797"/>
      </w:r>
      <w:r>
        <w:t xml:space="preserve">.</w:t>
      </w:r>
    </w:p>
    <w:p>
      <w:pPr>
        <w:pStyle w:val="BodyText"/>
      </w:pPr>
      <w:r>
        <w:t xml:space="preserve">The approval trials</w:t>
      </w:r>
      <w:r>
        <w:rPr>
          <w:rStyle w:val="FootnoteReference"/>
        </w:rPr>
        <w:footnoteReference w:id="798"/>
      </w:r>
      <w:r>
        <w:t xml:space="preserve"> </w:t>
      </w:r>
      <w:r>
        <w:t xml:space="preserve">were single-arm – so there was no continuous placebo group – but included a short blinded withdrawal phase. After about one year, 8 of 10 people with POMC deficiency and 5 of 11 with leptin receptor deficiency had lost at least 10% of their weight. Hunger on a scale of 0 to 10 decreased by 27.1% and 43.7%, respectively. For such rare conditions, small, uncontrolled trials are often the only feasible option. For a condition in which practically no weight loss is to be expected without treatment, the results are nevertheless meaningful.</w:t>
      </w:r>
    </w:p>
    <w:bookmarkEnd w:id="799"/>
    <w:bookmarkStart w:id="802" w:name="bardet-biedl-syndrome"/>
    <w:p>
      <w:pPr>
        <w:pStyle w:val="Heading4"/>
      </w:pPr>
      <w:r>
        <w:t xml:space="preserve">Bardet-Biedl syndrome</w:t>
      </w:r>
    </w:p>
    <w:p>
      <w:pPr>
        <w:pStyle w:val="FirstParagraph"/>
      </w:pPr>
      <w:r>
        <w:t xml:space="preserve">Bardet-Biedl syndrome (BBS) is a rare hereditary disease in which the fine cell projections (cilia) are impaired; in addition to retinal damage, kidney problems and extra fingers or toes, it includes severe hunger and obesity. In the Phase 3 trial</w:t>
      </w:r>
      <w:r>
        <w:rPr>
          <w:rStyle w:val="FootnoteReference"/>
        </w:rPr>
        <w:footnoteReference w:id="800"/>
      </w:r>
      <w:r>
        <w:t xml:space="preserve">, 32.3% of people with BBS aged 12 and over achieved a weight loss of at least 10% after 52 weeks. In the related Alström syndrome, the results were inconclusive. A comparison with a matched control group from a BBS registry found that 58.6% of treated patients versus 6.9% of untreated patients reached the respective success criterion</w:t>
      </w:r>
      <w:r>
        <w:rPr>
          <w:rStyle w:val="FootnoteReference"/>
        </w:rPr>
        <w:footnoteReference w:id="801"/>
      </w:r>
      <w:r>
        <w:t xml:space="preserve"> </w:t>
      </w:r>
      <w:r>
        <w:t xml:space="preserve">– an indirect but helpful context.</w:t>
      </w:r>
    </w:p>
    <w:bookmarkEnd w:id="802"/>
    <w:bookmarkStart w:id="804" w:name="young-children"/>
    <w:p>
      <w:pPr>
        <w:pStyle w:val="Heading4"/>
      </w:pPr>
      <w:r>
        <w:t xml:space="preserve">Young children</w:t>
      </w:r>
    </w:p>
    <w:p>
      <w:pPr>
        <w:pStyle w:val="FirstParagraph"/>
      </w:pPr>
      <w:r>
        <w:t xml:space="preserve">In the open-label VENTURE trial with 12 children between 2 and 5 years of age, BMI fell by an average of 18% after one year: by 26% in POMC or leptin receptor deficiency and by 10% in BBS. 91% of caregivers reported that the children were less hungry</w:t>
      </w:r>
      <w:r>
        <w:rPr>
          <w:rStyle w:val="FootnoteReference"/>
        </w:rPr>
        <w:footnoteReference w:id="803"/>
      </w:r>
      <w:r>
        <w:t xml:space="preserve">.</w:t>
      </w:r>
    </w:p>
    <w:bookmarkEnd w:id="804"/>
    <w:bookmarkStart w:id="807" w:name="hypothalamic-obesity"/>
    <w:p>
      <w:pPr>
        <w:pStyle w:val="Heading4"/>
      </w:pPr>
      <w:r>
        <w:t xml:space="preserve">Hypothalamic obesity</w:t>
      </w:r>
    </w:p>
    <w:p>
      <w:pPr>
        <w:pStyle w:val="FirstParagraph"/>
      </w:pPr>
      <w:r>
        <w:t xml:space="preserve">A second, more common target group consists of people whose hypothalamus has been damaged by a tumor (often a craniopharyngioma), surgery or radiation. They frequently develop obesity that is difficult to treat. After an open-label Phase 2 trial with 18 people, in which BMI fell by an average of 15% after 16 weeks</w:t>
      </w:r>
      <w:r>
        <w:rPr>
          <w:rStyle w:val="FootnoteReference"/>
        </w:rPr>
        <w:footnoteReference w:id="805"/>
      </w:r>
      <w:r>
        <w:t xml:space="preserve">, the randomized Phase 3 trial TRANSCEND followed</w:t>
      </w:r>
      <w:r>
        <w:rPr>
          <w:rStyle w:val="FootnoteReference"/>
        </w:rPr>
        <w:footnoteReference w:id="806"/>
      </w:r>
      <w:r>
        <w:t xml:space="preserve">:</w:t>
      </w:r>
    </w:p>
    <w:p>
      <w:pPr>
        <w:numPr>
          <w:ilvl w:val="0"/>
          <w:numId w:val="1100"/>
        </w:numPr>
        <w:pStyle w:val="Compact"/>
      </w:pPr>
      <w:r>
        <w:t xml:space="preserve">120 people between 4 and 66 years of age, 2:1 ratio of setmelanotide to placebo.</w:t>
      </w:r>
    </w:p>
    <w:p>
      <w:pPr>
        <w:numPr>
          <w:ilvl w:val="0"/>
          <w:numId w:val="1100"/>
        </w:numPr>
        <w:pStyle w:val="Compact"/>
      </w:pPr>
      <w:r>
        <w:t xml:space="preserve">After 52 weeks: BMI −16.5% on setmelanotide, +3.3% on placebo.</w:t>
      </w:r>
    </w:p>
    <w:p>
      <w:pPr>
        <w:numPr>
          <w:ilvl w:val="0"/>
          <w:numId w:val="1100"/>
        </w:numPr>
        <w:pStyle w:val="Compact"/>
      </w:pPr>
      <w:r>
        <w:t xml:space="preserve">Hunger score: −2.73 vs. −1.45 points.</w:t>
      </w:r>
    </w:p>
    <w:p>
      <w:pPr>
        <w:numPr>
          <w:ilvl w:val="0"/>
          <w:numId w:val="1100"/>
        </w:numPr>
        <w:pStyle w:val="Compact"/>
      </w:pPr>
      <w:r>
        <w:t xml:space="preserve">Serious adverse events: 28% vs. 8%.</w:t>
      </w:r>
    </w:p>
    <w:bookmarkEnd w:id="807"/>
    <w:bookmarkStart w:id="810" w:name="more-common-genetic-variants"/>
    <w:p>
      <w:pPr>
        <w:pStyle w:val="Heading4"/>
      </w:pPr>
      <w:r>
        <w:t xml:space="preserve">More common genetic variants</w:t>
      </w:r>
    </w:p>
    <w:p>
      <w:pPr>
        <w:pStyle w:val="FirstParagraph"/>
      </w:pPr>
      <w:r>
        <w:t xml:space="preserve">The data are less convincing in people with only one altered copy of the MC4R gene – one of the most common genetic causes of severe obesity. In a small 28-day study, such people did lose weight, but considerably less than people with POMC defects</w:t>
      </w:r>
      <w:r>
        <w:rPr>
          <w:rStyle w:val="FootnoteReference"/>
        </w:rPr>
        <w:footnoteReference w:id="808"/>
      </w:r>
      <w:r>
        <w:t xml:space="preserve">. The larger Phase 3 trial EMANATE on various variants in the MC4R pathway has been completed according to the registry</w:t>
      </w:r>
      <w:r>
        <w:rPr>
          <w:rStyle w:val="FootnoteReference"/>
        </w:rPr>
        <w:footnoteReference w:id="809"/>
      </w:r>
      <w:r>
        <w:t xml:space="preserve">; a peer-reviewed publication was not yet available at the time of research.</w:t>
      </w:r>
    </w:p>
    <w:bookmarkEnd w:id="810"/>
    <w:bookmarkEnd w:id="811"/>
    <w:bookmarkStart w:id="813" w:name="animal-and-laboratory-studies-12"/>
    <w:p>
      <w:pPr>
        <w:pStyle w:val="Heading3"/>
      </w:pPr>
      <w:r>
        <w:t xml:space="preserve">Animal and laboratory studies</w:t>
      </w:r>
    </w:p>
    <w:p>
      <w:pPr>
        <w:pStyle w:val="FirstParagraph"/>
      </w:pPr>
      <w:r>
        <w:t xml:space="preserve">In cell experiments, setmelanotide is considerably more potent at the MC4 receptor than the body’s own alpha-MSH and can partially reactivate some defective receptor variants. In normal rodents it led to weight loss, but not in mice completely lacking the MC4 receptor</w:t>
      </w:r>
      <w:r>
        <w:rPr>
          <w:rStyle w:val="FootnoteReference"/>
        </w:rPr>
        <w:footnoteReference w:id="812"/>
      </w:r>
      <w:r>
        <w:t xml:space="preserve">. This confirms that the effect actually runs via this receptor.</w:t>
      </w:r>
    </w:p>
    <w:bookmarkEnd w:id="813"/>
    <w:bookmarkStart w:id="819" w:name="risks-and-side-effects-12"/>
    <w:p>
      <w:pPr>
        <w:pStyle w:val="Heading3"/>
      </w:pPr>
      <w:r>
        <w:t xml:space="preserve">Risks and side effects</w:t>
      </w:r>
    </w:p>
    <w:p>
      <w:pPr>
        <w:pStyle w:val="FirstParagraph"/>
      </w:pPr>
      <w:r>
        <w:rPr>
          <w:bCs/>
          <w:b/>
        </w:rPr>
        <w:t xml:space="preserve">Documented in studies:</w:t>
      </w:r>
    </w:p>
    <w:p>
      <w:pPr>
        <w:numPr>
          <w:ilvl w:val="0"/>
          <w:numId w:val="1101"/>
        </w:numPr>
        <w:pStyle w:val="Compact"/>
      </w:pPr>
      <w:r>
        <w:rPr>
          <w:bCs/>
          <w:b/>
        </w:rPr>
        <w:t xml:space="preserve">Skin reactions at the injection site</w:t>
      </w:r>
      <w:r>
        <w:t xml:space="preserve"> </w:t>
      </w:r>
      <w:r>
        <w:t xml:space="preserve">(redness, swelling): in 96% in a meta-analysis of seven studies with 185 people</w:t>
      </w:r>
      <w:r>
        <w:rPr>
          <w:rStyle w:val="FootnoteReference"/>
        </w:rPr>
        <w:footnoteReference w:id="814"/>
      </w:r>
      <w:r>
        <w:t xml:space="preserve">.</w:t>
      </w:r>
    </w:p>
    <w:p>
      <w:pPr>
        <w:numPr>
          <w:ilvl w:val="0"/>
          <w:numId w:val="1101"/>
        </w:numPr>
        <w:pStyle w:val="Compact"/>
      </w:pPr>
      <w:r>
        <w:rPr>
          <w:bCs/>
          <w:b/>
        </w:rPr>
        <w:t xml:space="preserve">Darker skin (hyperpigmentation):</w:t>
      </w:r>
      <w:r>
        <w:t xml:space="preserve"> </w:t>
      </w:r>
      <w:r>
        <w:t xml:space="preserve">in 62% in the same meta-analysis. Through its action at the melanocortin-1 receptor, the skin tans, lips and moles become darker, and red hair can turn brown. In an observation over up to 46 months, the tanning stabilized over time; no malignant skin changes occurred</w:t>
      </w:r>
      <w:r>
        <w:rPr>
          <w:rStyle w:val="FootnoteReference"/>
        </w:rPr>
        <w:footnoteReference w:id="815"/>
      </w:r>
      <w:r>
        <w:t xml:space="preserve">. Experts recommend regular skin examinations.</w:t>
      </w:r>
    </w:p>
    <w:p>
      <w:pPr>
        <w:numPr>
          <w:ilvl w:val="0"/>
          <w:numId w:val="1101"/>
        </w:numPr>
        <w:pStyle w:val="Compact"/>
      </w:pPr>
      <w:r>
        <w:rPr>
          <w:bCs/>
          <w:b/>
        </w:rPr>
        <w:t xml:space="preserve">Nausea and vomiting:</w:t>
      </w:r>
      <w:r>
        <w:t xml:space="preserve"> </w:t>
      </w:r>
      <w:r>
        <w:t xml:space="preserve">in 36% and 26%, respectively; diarrhea in 21%</w:t>
      </w:r>
      <w:r>
        <w:rPr>
          <w:rStyle w:val="FootnoteReference"/>
        </w:rPr>
        <w:footnoteReference w:id="816"/>
      </w:r>
      <w:r>
        <w:t xml:space="preserve">.</w:t>
      </w:r>
    </w:p>
    <w:p>
      <w:pPr>
        <w:numPr>
          <w:ilvl w:val="0"/>
          <w:numId w:val="1101"/>
        </w:numPr>
        <w:pStyle w:val="Compact"/>
      </w:pPr>
      <w:r>
        <w:rPr>
          <w:bCs/>
          <w:b/>
        </w:rPr>
        <w:t xml:space="preserve">Serious adverse events:</w:t>
      </w:r>
      <w:r>
        <w:t xml:space="preserve"> </w:t>
      </w:r>
      <w:r>
        <w:t xml:space="preserve">more frequent on setmelanotide in TRANSCEND (28% vs. 8%)</w:t>
      </w:r>
      <w:r>
        <w:rPr>
          <w:rStyle w:val="FootnoteReference"/>
        </w:rPr>
        <w:footnoteReference w:id="817"/>
      </w:r>
      <w:r>
        <w:t xml:space="preserve">; the abstract does not break them down individually.</w:t>
      </w:r>
    </w:p>
    <w:p>
      <w:pPr>
        <w:numPr>
          <w:ilvl w:val="0"/>
          <w:numId w:val="1101"/>
        </w:numPr>
        <w:pStyle w:val="Compact"/>
      </w:pPr>
      <w:r>
        <w:t xml:space="preserve">In the BBS trial, serious events reported included suicidal ideation, which was not classified as treatment-related</w:t>
      </w:r>
      <w:r>
        <w:rPr>
          <w:rStyle w:val="FootnoteReference"/>
        </w:rPr>
        <w:footnoteReference w:id="818"/>
      </w:r>
      <w:r>
        <w:t xml:space="preserve">. The prescribing information contains warnings on depression and suicidal ideation as well as on spontaneous erections in men.</w:t>
      </w:r>
    </w:p>
    <w:p>
      <w:pPr>
        <w:pStyle w:val="FirstParagraph"/>
      </w:pPr>
      <w:r>
        <w:rPr>
          <w:bCs/>
          <w:b/>
        </w:rPr>
        <w:t xml:space="preserve">Theoretical:</w:t>
      </w:r>
      <w:r>
        <w:t xml:space="preserve"> </w:t>
      </w:r>
      <w:r>
        <w:t xml:space="preserve">Whether the sustained stimulation of pigment cells influences the risk of skin cancer in the long term has not been clarified; observations to date over several years show no signal.</w:t>
      </w:r>
    </w:p>
    <w:p>
      <w:pPr>
        <w:pStyle w:val="BodyText"/>
      </w:pPr>
      <w:r>
        <w:rPr>
          <w:bCs/>
          <w:b/>
        </w:rPr>
        <w:t xml:space="preserve">Potential for misuse:</w:t>
      </w:r>
      <w:r>
        <w:t xml:space="preserve"> </w:t>
      </w:r>
      <w:r>
        <w:t xml:space="preserve">Because of its tanning effect, setmelanotide is occasionally associated with melanotan II in internet forums. For people without a proven genetic defect, it is not a suitable weight-loss agent and has not been studied for that purpose.</w:t>
      </w:r>
    </w:p>
    <w:bookmarkEnd w:id="819"/>
    <w:bookmarkStart w:id="820" w:name="legal-status-12"/>
    <w:p>
      <w:pPr>
        <w:pStyle w:val="Heading3"/>
      </w:pPr>
      <w:r>
        <w:t xml:space="preserve">Legal status</w:t>
      </w:r>
    </w:p>
    <w:p>
      <w:pPr>
        <w:numPr>
          <w:ilvl w:val="0"/>
          <w:numId w:val="1102"/>
        </w:numPr>
        <w:pStyle w:val="Compact"/>
      </w:pPr>
      <w:r>
        <w:rPr>
          <w:bCs/>
          <w:b/>
        </w:rPr>
        <w:t xml:space="preserve">EU / Austria / Germany:</w:t>
      </w:r>
      <w:r>
        <w:t xml:space="preserve"> </w:t>
      </w:r>
      <w:r>
        <w:t xml:space="preserve">approved (Imcivree), prescription only, only for genetically confirmed forms (POMC, PCSK1, leptin receptor deficiency, Bardet-Biedl syndrome). The diagnosis requires genetic testing; initiation and monitoring belong in specialized centers. Details on the extension to hypothalamic obesity:</w:t>
      </w:r>
    </w:p>
    <w:p>
      <w:pPr>
        <w:numPr>
          <w:ilvl w:val="0"/>
          <w:numId w:val="1102"/>
        </w:numPr>
        <w:pStyle w:val="Compact"/>
      </w:pPr>
      <w:r>
        <w:rPr>
          <w:bCs/>
          <w:b/>
        </w:rPr>
        <w:t xml:space="preserve">USA:</w:t>
      </w:r>
      <w:r>
        <w:t xml:space="preserve"> </w:t>
      </w:r>
      <w:r>
        <w:t xml:space="preserve">approved since 2020 (POMC, PCSK1, LEPR), later extended to Bardet-Biedl syndrome and to younger children; an application for hypothalamic obesity has been submitted on the basis of TRANSCEND.</w:t>
      </w:r>
    </w:p>
    <w:p>
      <w:pPr>
        <w:numPr>
          <w:ilvl w:val="0"/>
          <w:numId w:val="1102"/>
        </w:numPr>
        <w:pStyle w:val="Compact"/>
      </w:pPr>
      <w:r>
        <w:rPr>
          <w:bCs/>
          <w:b/>
        </w:rPr>
        <w:t xml:space="preserve">Sport:</w:t>
      </w:r>
      <w:r>
        <w:t xml:space="preserve"> </w:t>
      </w:r>
      <w:r>
        <w:t xml:space="preserve">not named on the WADA list (as of 2026, please check for updates).</w:t>
      </w:r>
    </w:p>
    <w:bookmarkEnd w:id="820"/>
    <w:bookmarkStart w:id="827" w:name="ongoing-studies-and-outlook-12"/>
    <w:p>
      <w:pPr>
        <w:pStyle w:val="Heading3"/>
      </w:pPr>
      <w:r>
        <w:t xml:space="preserve">Ongoing studies and outlook</w:t>
      </w:r>
    </w:p>
    <w:p>
      <w:pPr>
        <w:pStyle w:val="FirstParagraph"/>
      </w:pPr>
      <w:r>
        <w:rPr>
          <w:bCs/>
          <w:b/>
        </w:rPr>
        <w:t xml:space="preserve">Confirmed (registered trials, as of October 2026):</w:t>
      </w:r>
    </w:p>
    <w:p>
      <w:pPr>
        <w:numPr>
          <w:ilvl w:val="0"/>
          <w:numId w:val="1103"/>
        </w:numPr>
        <w:pStyle w:val="Compact"/>
      </w:pPr>
      <w:r>
        <w:rPr>
          <w:bCs/>
          <w:b/>
        </w:rPr>
        <w:t xml:space="preserve">TRANSCEND</w:t>
      </w:r>
      <w:r>
        <w:rPr>
          <w:rStyle w:val="FootnoteReference"/>
        </w:rPr>
        <w:footnoteReference w:id="821"/>
      </w:r>
      <w:r>
        <w:t xml:space="preserve"> </w:t>
      </w:r>
      <w:r>
        <w:t xml:space="preserve">continues in an extension; a substudy is examining congenital hypothalamic obesity</w:t>
      </w:r>
      <w:r>
        <w:rPr>
          <w:rStyle w:val="FootnoteReference"/>
        </w:rPr>
        <w:footnoteReference w:id="822"/>
      </w:r>
      <w:r>
        <w:t xml:space="preserve">.</w:t>
      </w:r>
    </w:p>
    <w:p>
      <w:pPr>
        <w:numPr>
          <w:ilvl w:val="0"/>
          <w:numId w:val="1103"/>
        </w:numPr>
        <w:pStyle w:val="Compact"/>
      </w:pPr>
      <w:r>
        <w:rPr>
          <w:bCs/>
          <w:b/>
        </w:rPr>
        <w:t xml:space="preserve">Prader-Willi syndrome</w:t>
      </w:r>
      <w:r>
        <w:rPr>
          <w:rStyle w:val="FootnoteReference"/>
        </w:rPr>
        <w:footnoteReference w:id="823"/>
      </w:r>
      <w:r>
        <w:t xml:space="preserve">: Phase 2 with 18 participants.</w:t>
      </w:r>
    </w:p>
    <w:p>
      <w:pPr>
        <w:numPr>
          <w:ilvl w:val="0"/>
          <w:numId w:val="1103"/>
        </w:numPr>
        <w:pStyle w:val="Compact"/>
      </w:pPr>
      <w:r>
        <w:rPr>
          <w:bCs/>
          <w:b/>
        </w:rPr>
        <w:t xml:space="preserve">Long-term observation</w:t>
      </w:r>
      <w:r>
        <w:t xml:space="preserve"> </w:t>
      </w:r>
      <w:r>
        <w:t xml:space="preserve">in BBS and severe genetic obesity in routine practice</w:t>
      </w:r>
      <w:r>
        <w:rPr>
          <w:rStyle w:val="FootnoteReference"/>
        </w:rPr>
        <w:footnoteReference w:id="824"/>
      </w:r>
      <w:r>
        <w:t xml:space="preserve">.</w:t>
      </w:r>
    </w:p>
    <w:p>
      <w:pPr>
        <w:numPr>
          <w:ilvl w:val="0"/>
          <w:numId w:val="1103"/>
        </w:numPr>
        <w:pStyle w:val="Compact"/>
      </w:pPr>
      <w:r>
        <w:rPr>
          <w:bCs/>
          <w:b/>
        </w:rPr>
        <w:t xml:space="preserve">EMANATE</w:t>
      </w:r>
      <w:r>
        <w:rPr>
          <w:rStyle w:val="FootnoteReference"/>
        </w:rPr>
        <w:footnoteReference w:id="825"/>
      </w:r>
      <w:r>
        <w:t xml:space="preserve"> </w:t>
      </w:r>
      <w:r>
        <w:t xml:space="preserve">and</w:t>
      </w:r>
      <w:r>
        <w:t xml:space="preserve"> </w:t>
      </w:r>
      <w:r>
        <w:rPr>
          <w:bCs/>
          <w:b/>
        </w:rPr>
        <w:t xml:space="preserve">DAYBREAK</w:t>
      </w:r>
      <w:r>
        <w:rPr>
          <w:rStyle w:val="FootnoteReference"/>
        </w:rPr>
        <w:footnoteReference w:id="826"/>
      </w:r>
      <w:r>
        <w:t xml:space="preserve"> </w:t>
      </w:r>
      <w:r>
        <w:t xml:space="preserve">on further gene variants: completed, publication pending.</w:t>
      </w:r>
    </w:p>
    <w:p>
      <w:pPr>
        <w:pStyle w:val="FirstParagraph"/>
      </w:pPr>
      <w:r>
        <w:rPr>
          <w:bCs/>
          <w:b/>
        </w:rPr>
        <w:t xml:space="preserve">Assessment:</w:t>
      </w:r>
      <w:r>
        <w:t xml:space="preserve"> </w:t>
      </w:r>
      <w:r>
        <w:t xml:space="preserve">Setmelanotide has shown that precision medicine is possible in obesity: if you know the cause, you can treat it in a targeted way. The target group remains small; with hypothalamic obesity, however, it could expand considerably. For the great majority of people with obesity, in whom no such genetic defect is present, GLP-1-based drugs are more effective and better studied.</w:t>
      </w:r>
    </w:p>
    <w:bookmarkEnd w:id="827"/>
    <w:bookmarkStart w:id="828" w:name="conclusion-12"/>
    <w:p>
      <w:pPr>
        <w:pStyle w:val="Heading3"/>
      </w:pPr>
      <w:r>
        <w:t xml:space="preserve">Conclusion</w:t>
      </w:r>
    </w:p>
    <w:p>
      <w:pPr>
        <w:pStyle w:val="FirstParagraph"/>
      </w:pPr>
      <w:r>
        <w:t xml:space="preserve">Setmelanotide is a small cyclic peptide that activates the MC4 receptor in the brain and thereby bypasses defective links of the leptin-melanocortin pathway. In small approval trials, 80% of people with POMC deficiency and 45% with leptin receptor deficiency lost at least 10% of their weight; in hypothalamic obesity, BMI fell by 16.5% after one year compared with an increase on placebo. Almost all those treated develop skin reactions at the injection site, and the majority darker skin. Setmelanotide is approved in the EU and the USA for rare genetic forms of obesity and is not a drug for general weight loss.</w:t>
      </w:r>
    </w:p>
    <w:bookmarkEnd w:id="828"/>
    <w:bookmarkEnd w:id="829"/>
    <w:bookmarkStart w:id="854" w:name="aod-9604"/>
    <w:p>
      <w:pPr>
        <w:pStyle w:val="Heading2"/>
      </w:pPr>
      <w:r>
        <w:t xml:space="preserve">AOD-9604</w:t>
      </w:r>
    </w:p>
    <w:bookmarkStart w:id="831" w:name="profile-13"/>
    <w:p>
      <w:pPr>
        <w:pStyle w:val="Heading3"/>
      </w:pPr>
      <w:r>
        <w:t xml:space="preserve">Profile</w:t>
      </w:r>
    </w:p>
    <w:p>
      <w:pPr>
        <w:numPr>
          <w:ilvl w:val="0"/>
          <w:numId w:val="1104"/>
        </w:numPr>
        <w:pStyle w:val="Compact"/>
      </w:pPr>
      <w:r>
        <w:rPr>
          <w:bCs/>
          <w:b/>
        </w:rPr>
        <w:t xml:space="preserve">Type/structure:</w:t>
      </w:r>
      <w:r>
        <w:t xml:space="preserve"> </w:t>
      </w:r>
      <w:r>
        <w:t xml:space="preserve">synthetic peptide from the rear end (C-terminus) of human growth hormone: amino acids 177 to 191, supplemented by an additional tyrosine at the beginning</w:t>
      </w:r>
      <w:r>
        <w:rPr>
          <w:rStyle w:val="FootnoteReference"/>
        </w:rPr>
        <w:footnoteReference w:id="830"/>
      </w:r>
      <w:r>
        <w:t xml:space="preserve">. Often offered online under names such as</w:t>
      </w:r>
      <w:r>
        <w:t xml:space="preserve"> </w:t>
      </w:r>
      <w:r>
        <w:t xml:space="preserve">“</w:t>
      </w:r>
      <w:r>
        <w:t xml:space="preserve">hGH Fragment 176-191</w:t>
      </w:r>
      <w:r>
        <w:t xml:space="preserve">”</w:t>
      </w:r>
      <w:r>
        <w:t xml:space="preserve"> </w:t>
      </w:r>
      <w:r>
        <w:t xml:space="preserve">or</w:t>
      </w:r>
      <w:r>
        <w:t xml:space="preserve"> </w:t>
      </w:r>
      <w:r>
        <w:t xml:space="preserve">“</w:t>
      </w:r>
      <w:r>
        <w:t xml:space="preserve">Frag 176-191.</w:t>
      </w:r>
      <w:r>
        <w:t xml:space="preserve">”</w:t>
      </w:r>
      <w:r>
        <w:t xml:space="preserve"> </w:t>
      </w:r>
      <w:r>
        <w:t xml:space="preserve">The name stands for</w:t>
      </w:r>
      <w:r>
        <w:t xml:space="preserve"> </w:t>
      </w:r>
      <w:r>
        <w:t xml:space="preserve">“</w:t>
      </w:r>
      <w:r>
        <w:t xml:space="preserve">Anti-Obesity Drug 9604.</w:t>
      </w:r>
      <w:r>
        <w:t xml:space="preserve">”</w:t>
      </w:r>
    </w:p>
    <w:p>
      <w:pPr>
        <w:numPr>
          <w:ilvl w:val="0"/>
          <w:numId w:val="1104"/>
        </w:numPr>
        <w:pStyle w:val="Compact"/>
      </w:pPr>
      <w:r>
        <w:rPr>
          <w:bCs/>
          <w:b/>
        </w:rPr>
        <w:t xml:space="preserve">Origin:</w:t>
      </w:r>
      <w:r>
        <w:t xml:space="preserve"> </w:t>
      </w:r>
      <w:r>
        <w:t xml:space="preserve">developed in the 1990s at Monash University in Melbourne and pursued as a weight-loss drug by the Australian company Metabolic Pharmaceuticals.</w:t>
      </w:r>
    </w:p>
    <w:p>
      <w:pPr>
        <w:numPr>
          <w:ilvl w:val="0"/>
          <w:numId w:val="1104"/>
        </w:numPr>
        <w:pStyle w:val="Compact"/>
      </w:pPr>
      <w:r>
        <w:rPr>
          <w:bCs/>
          <w:b/>
        </w:rPr>
        <w:t xml:space="preserve">Mechanism of action (hypothesis):</w:t>
      </w:r>
      <w:r>
        <w:t xml:space="preserve"> </w:t>
      </w:r>
      <w:r>
        <w:t xml:space="preserve">intended to mimic the fat-burning effect of growth hormone without its effects on blood glucose and growth.</w:t>
      </w:r>
    </w:p>
    <w:p>
      <w:pPr>
        <w:numPr>
          <w:ilvl w:val="0"/>
          <w:numId w:val="1104"/>
        </w:numPr>
        <w:pStyle w:val="Compact"/>
      </w:pPr>
      <w:r>
        <w:rPr>
          <w:bCs/>
          <w:b/>
        </w:rPr>
        <w:t xml:space="preserve">Approval EU / USA:</w:t>
      </w:r>
      <w:r>
        <w:t xml:space="preserve"> </w:t>
      </w:r>
      <w:r>
        <w:t xml:space="preserve">no. Development as a medicine was discontinued after Phase 2 trials.</w:t>
      </w:r>
    </w:p>
    <w:p>
      <w:pPr>
        <w:numPr>
          <w:ilvl w:val="0"/>
          <w:numId w:val="1104"/>
        </w:numPr>
        <w:pStyle w:val="Compact"/>
      </w:pPr>
      <w:r>
        <w:rPr>
          <w:bCs/>
          <w:b/>
        </w:rPr>
        <w:t xml:space="preserve">WADA:</w:t>
      </w:r>
      <w:r>
        <w:t xml:space="preserve"> </w:t>
      </w:r>
      <w:r>
        <w:t xml:space="preserve">prohibited – growth hormone fragments such as AOD-9604 are explicitly named on the Prohibited List in class S2.</w:t>
      </w:r>
    </w:p>
    <w:p>
      <w:pPr>
        <w:numPr>
          <w:ilvl w:val="0"/>
          <w:numId w:val="1104"/>
        </w:numPr>
        <w:pStyle w:val="Compact"/>
      </w:pPr>
      <w:r>
        <w:rPr>
          <w:bCs/>
          <w:b/>
        </w:rPr>
        <w:t xml:space="preserve">Evidence level:</w:t>
      </w:r>
      <w:r>
        <w:t xml:space="preserve"> </w:t>
      </w:r>
      <w:r>
        <w:rPr>
          <w:bCs/>
          <w:b/>
        </w:rPr>
        <w:t xml:space="preserve">D</w:t>
      </w:r>
      <w:r>
        <w:t xml:space="preserve"> </w:t>
      </w:r>
      <w:r>
        <w:t xml:space="preserve">– no published results of human studies retrievable in PubMed; data from animal and laboratory studies.</w:t>
      </w:r>
    </w:p>
    <w:bookmarkEnd w:id="831"/>
    <w:bookmarkStart w:id="835" w:name="how-it-is-supposed-to-work-13"/>
    <w:p>
      <w:pPr>
        <w:pStyle w:val="Heading3"/>
      </w:pPr>
      <w:r>
        <w:t xml:space="preserve">How it is supposed to work</w:t>
      </w:r>
    </w:p>
    <w:p>
      <w:pPr>
        <w:pStyle w:val="FirstParagraph"/>
      </w:pPr>
      <w:r>
        <w:t xml:space="preserve">Growth hormone (hGH) has many effects: it promotes longitudinal growth, acts on muscles and bones, stimulates fat burning – and raises blood glucose by weakening the effect of insulin. As early as the 1970s and 1980s, researchers investigated in animals whether individual segments of the hormone carry different partial effects. Notably, in a study in rats, chemically modified versions of exactly this segment (amino acids 177 to 191) triggered elevated blood glucose and insulin resistance</w:t>
      </w:r>
      <w:r>
        <w:rPr>
          <w:rStyle w:val="FootnoteReference"/>
        </w:rPr>
        <w:footnoteReference w:id="832"/>
      </w:r>
      <w:r>
        <w:t xml:space="preserve"> </w:t>
      </w:r>
      <w:r>
        <w:t xml:space="preserve">– precisely the effect that AOD-9604 was later meant to avoid. The results evidently depend strongly on the exact chemical form of the peptide.</w:t>
      </w:r>
    </w:p>
    <w:p>
      <w:pPr>
        <w:pStyle w:val="BodyText"/>
      </w:pPr>
      <w:r>
        <w:t xml:space="preserve">The idea behind AOD-9604: a short piece from the end of the hormone should retain only the fat-burning effect. Laboratory studies showed that AOD-9604 does not bind to the growth hormone receptor and does not stimulate cell division there either</w:t>
      </w:r>
      <w:r>
        <w:rPr>
          <w:rStyle w:val="FootnoteReference"/>
        </w:rPr>
        <w:footnoteReference w:id="833"/>
      </w:r>
      <w:r>
        <w:t xml:space="preserve">. It would therefore not be a</w:t>
      </w:r>
      <w:r>
        <w:t xml:space="preserve"> </w:t>
      </w:r>
      <w:r>
        <w:t xml:space="preserve">“</w:t>
      </w:r>
      <w:r>
        <w:t xml:space="preserve">mini growth hormone</w:t>
      </w:r>
      <w:r>
        <w:t xml:space="preserve">”</w:t>
      </w:r>
      <w:r>
        <w:t xml:space="preserve"> </w:t>
      </w:r>
      <w:r>
        <w:t xml:space="preserve">but a molecule with its own, not yet fully understood mechanism of action. In experiments in mice lacking the beta-3 adrenergic receptor (an important receptor for fat breakdown), the long-term weight-lowering effect was absent; the authors concluded from this that the receptor is involved but is not the direct target</w:t>
      </w:r>
      <w:r>
        <w:rPr>
          <w:rStyle w:val="FootnoteReference"/>
        </w:rPr>
        <w:footnoteReference w:id="834"/>
      </w:r>
      <w:r>
        <w:t xml:space="preserve">.</w:t>
      </w:r>
    </w:p>
    <w:bookmarkEnd w:id="835"/>
    <w:bookmarkStart w:id="837" w:name="human-studies-13"/>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w:t>
      </w:r>
      <w:r>
        <w:t xml:space="preserve"> </w:t>
      </w:r>
      <w:r>
        <w:rPr>
          <w:bCs/>
          <w:b/>
        </w:rPr>
        <w:t xml:space="preserve">no</w:t>
      </w:r>
      <w:r>
        <w:t xml:space="preserve"> </w:t>
      </w:r>
      <w:r>
        <w:t xml:space="preserve">published human study. On ClinicalTrials.gov, no trial is registered under</w:t>
      </w:r>
      <w:r>
        <w:t xml:space="preserve"> </w:t>
      </w:r>
      <w:r>
        <w:t xml:space="preserve">“</w:t>
      </w:r>
      <w:r>
        <w:t xml:space="preserve">AOD9604</w:t>
      </w:r>
      <w:r>
        <w:t xml:space="preserve">”</w:t>
      </w:r>
      <w:r>
        <w:t xml:space="preserve"> </w:t>
      </w:r>
      <w:r>
        <w:t xml:space="preserve">or</w:t>
      </w:r>
      <w:r>
        <w:t xml:space="preserve"> </w:t>
      </w:r>
      <w:r>
        <w:t xml:space="preserve">“</w:t>
      </w:r>
      <w:r>
        <w:t xml:space="preserve">AOD-9604.</w:t>
      </w:r>
      <w:r>
        <w:t xml:space="preserve">”</w:t>
      </w:r>
    </w:p>
    <w:p>
      <w:pPr>
        <w:pStyle w:val="BodyText"/>
      </w:pPr>
      <w:r>
        <w:t xml:space="preserve">This does not mean that AOD-9604 was never tested in humans. Reviews from 2004 to 2006 report that AOD-9604 was in Phase 2 trials for the treatment of obesity</w:t>
      </w:r>
      <w:r>
        <w:rPr>
          <w:rStyle w:val="FootnoteReference"/>
        </w:rPr>
        <w:footnoteReference w:id="836"/>
      </w:r>
      <w:r>
        <w:t xml:space="preserve">. However, the results of these trials were not published in a peer-reviewed journal indexed in PubMed. According to publicly available information, the developer discontinued the weight-loss program in the second half of the 2000s because no sufficient effect was seen. Since this information does not come from a verifiable study publication, this book gives no figures on it.</w:t>
      </w:r>
    </w:p>
    <w:p>
      <w:pPr>
        <w:pStyle w:val="BodyText"/>
      </w:pPr>
      <w:r>
        <w:t xml:space="preserve">For readers, this means: if you are offered AOD-9604 today as a weight-loss or</w:t>
      </w:r>
      <w:r>
        <w:t xml:space="preserve"> </w:t>
      </w:r>
      <w:r>
        <w:t xml:space="preserve">“</w:t>
      </w:r>
      <w:r>
        <w:t xml:space="preserve">fat burner</w:t>
      </w:r>
      <w:r>
        <w:t xml:space="preserve">”</w:t>
      </w:r>
      <w:r>
        <w:t xml:space="preserve"> </w:t>
      </w:r>
      <w:r>
        <w:t xml:space="preserve">peptide, it cannot be backed by any published human study demonstrating an effect.</w:t>
      </w:r>
    </w:p>
    <w:bookmarkEnd w:id="837"/>
    <w:bookmarkStart w:id="842" w:name="animal-and-laboratory-studies-13"/>
    <w:p>
      <w:pPr>
        <w:pStyle w:val="Heading3"/>
      </w:pPr>
      <w:r>
        <w:t xml:space="preserve">Animal and laboratory studies</w:t>
      </w:r>
    </w:p>
    <w:p>
      <w:pPr>
        <w:pStyle w:val="FirstParagraph"/>
      </w:pPr>
      <w:r>
        <w:t xml:space="preserve">All of the following results come from animal experiments or laboratory studies:</w:t>
      </w:r>
    </w:p>
    <w:p>
      <w:pPr>
        <w:numPr>
          <w:ilvl w:val="0"/>
          <w:numId w:val="1105"/>
        </w:numPr>
        <w:pStyle w:val="Compact"/>
      </w:pPr>
      <w:r>
        <w:rPr>
          <w:bCs/>
          <w:b/>
        </w:rPr>
        <w:t xml:space="preserve">In obese rats</w:t>
      </w:r>
      <w:r>
        <w:t xml:space="preserve"> </w:t>
      </w:r>
      <w:r>
        <w:t xml:space="preserve">(Zucker rats), AOD-9604 given in the feed over 19 days reduced weight gain by more than half; adipose tissue showed higher fat-breakdown activity. Unlike with complete growth hormone, insulin sensitivity did not worsen</w:t>
      </w:r>
      <w:r>
        <w:rPr>
          <w:rStyle w:val="FootnoteReference"/>
        </w:rPr>
        <w:footnoteReference w:id="838"/>
      </w:r>
      <w:r>
        <w:t xml:space="preserve">.</w:t>
      </w:r>
    </w:p>
    <w:p>
      <w:pPr>
        <w:numPr>
          <w:ilvl w:val="0"/>
          <w:numId w:val="1105"/>
        </w:numPr>
        <w:pStyle w:val="Compact"/>
      </w:pPr>
      <w:r>
        <w:rPr>
          <w:bCs/>
          <w:b/>
        </w:rPr>
        <w:t xml:space="preserve">In obese mice</w:t>
      </w:r>
      <w:r>
        <w:t xml:space="preserve">, both growth hormone and AOD-9604 reduced weight gain over 14 days and increased fat burning. In contrast to growth hormone, AOD-9604 did not cause elevated blood glucose</w:t>
      </w:r>
      <w:r>
        <w:rPr>
          <w:rStyle w:val="FootnoteReference"/>
        </w:rPr>
        <w:footnoteReference w:id="839"/>
      </w:r>
      <w:r>
        <w:t xml:space="preserve">.</w:t>
      </w:r>
    </w:p>
    <w:p>
      <w:pPr>
        <w:numPr>
          <w:ilvl w:val="0"/>
          <w:numId w:val="1105"/>
        </w:numPr>
        <w:pStyle w:val="Compact"/>
      </w:pPr>
      <w:r>
        <w:rPr>
          <w:bCs/>
          <w:b/>
        </w:rPr>
        <w:t xml:space="preserve">Earlier preliminary work</w:t>
      </w:r>
      <w:r>
        <w:t xml:space="preserve"> </w:t>
      </w:r>
      <w:r>
        <w:t xml:space="preserve">in mice with the related peptide hGH 177–191 showed a smaller increase in body weight and adipose tissue</w:t>
      </w:r>
      <w:r>
        <w:rPr>
          <w:rStyle w:val="FootnoteReference"/>
        </w:rPr>
        <w:footnoteReference w:id="840"/>
      </w:r>
      <w:r>
        <w:t xml:space="preserve">.</w:t>
      </w:r>
    </w:p>
    <w:p>
      <w:pPr>
        <w:numPr>
          <w:ilvl w:val="0"/>
          <w:numId w:val="1105"/>
        </w:numPr>
        <w:pStyle w:val="Compact"/>
      </w:pPr>
      <w:r>
        <w:rPr>
          <w:bCs/>
          <w:b/>
        </w:rPr>
        <w:t xml:space="preserve">In rabbits</w:t>
      </w:r>
      <w:r>
        <w:t xml:space="preserve"> </w:t>
      </w:r>
      <w:r>
        <w:t xml:space="preserve">with artificially induced knee osteoarthritis, injections of AOD-9604 into the joint – alone or together with hyaluronic acid – improved the condition of the cartilage</w:t>
      </w:r>
      <w:r>
        <w:rPr>
          <w:rStyle w:val="FootnoteReference"/>
        </w:rPr>
        <w:footnoteReference w:id="841"/>
      </w:r>
      <w:r>
        <w:t xml:space="preserve">. This finding is frequently cited online as evidence of a</w:t>
      </w:r>
      <w:r>
        <w:t xml:space="preserve"> </w:t>
      </w:r>
      <w:r>
        <w:t xml:space="preserve">“</w:t>
      </w:r>
      <w:r>
        <w:t xml:space="preserve">joint-regenerating</w:t>
      </w:r>
      <w:r>
        <w:t xml:space="preserve">”</w:t>
      </w:r>
      <w:r>
        <w:t xml:space="preserve"> </w:t>
      </w:r>
      <w:r>
        <w:t xml:space="preserve">effect in humans; no such human study exists.</w:t>
      </w:r>
    </w:p>
    <w:p>
      <w:pPr>
        <w:pStyle w:val="FirstParagraph"/>
      </w:pPr>
      <w:r>
        <w:t xml:space="preserve">The animal studies are small, partly older and predominantly from the developers’ circle.</w:t>
      </w:r>
    </w:p>
    <w:bookmarkEnd w:id="842"/>
    <w:bookmarkStart w:id="848" w:name="risks-and-side-effects-13"/>
    <w:p>
      <w:pPr>
        <w:pStyle w:val="Heading3"/>
      </w:pPr>
      <w:r>
        <w:t xml:space="preserve">Risks and side effects</w:t>
      </w:r>
    </w:p>
    <w:p>
      <w:pPr>
        <w:pStyle w:val="FirstParagraph"/>
      </w:pPr>
      <w:r>
        <w:rPr>
          <w:bCs/>
          <w:b/>
        </w:rPr>
        <w:t xml:space="preserve">Documented:</w:t>
      </w:r>
      <w:r>
        <w:t xml:space="preserve"> </w:t>
      </w:r>
      <w:r>
        <w:t xml:space="preserve">In the absence of published human studies, there are no robust data on side effects in humans.</w:t>
      </w:r>
    </w:p>
    <w:p>
      <w:pPr>
        <w:pStyle w:val="BodyText"/>
      </w:pPr>
      <w:r>
        <w:rPr>
          <w:bCs/>
          <w:b/>
        </w:rPr>
        <w:t xml:space="preserve">From analyses of gray-market products and doping control:</w:t>
      </w:r>
    </w:p>
    <w:p>
      <w:pPr>
        <w:numPr>
          <w:ilvl w:val="0"/>
          <w:numId w:val="1106"/>
        </w:numPr>
        <w:pStyle w:val="Compact"/>
      </w:pPr>
      <w:r>
        <w:t xml:space="preserve">AOD-9604 has been offered via websites for years and has been found in seized vials, among others in the USA</w:t>
      </w:r>
      <w:r>
        <w:rPr>
          <w:rStyle w:val="FootnoteReference"/>
        </w:rPr>
        <w:footnoteReference w:id="843"/>
      </w:r>
      <w:r>
        <w:t xml:space="preserve"> </w:t>
      </w:r>
      <w:r>
        <w:t xml:space="preserve">and in Belgium, where authorities examined unknown peptide preparations</w:t>
      </w:r>
      <w:r>
        <w:rPr>
          <w:rStyle w:val="FootnoteReference"/>
        </w:rPr>
        <w:footnoteReference w:id="844"/>
      </w:r>
      <w:r>
        <w:t xml:space="preserve">.</w:t>
      </w:r>
    </w:p>
    <w:p>
      <w:pPr>
        <w:numPr>
          <w:ilvl w:val="0"/>
          <w:numId w:val="1106"/>
        </w:numPr>
        <w:pStyle w:val="Compact"/>
      </w:pPr>
      <w:r>
        <w:t xml:space="preserve">Reviews on peptides in sport and on the gray market emphasize that hardly any robust human safety data exist for AOD-9604 and similar substances and that the composition, dose and purity of the products are uncertain</w:t>
      </w:r>
      <w:r>
        <w:rPr>
          <w:rStyle w:val="FootnoteReference"/>
        </w:rPr>
        <w:footnoteReference w:id="845"/>
      </w:r>
      <w:r>
        <w:t xml:space="preserve">. Another review points to mislabeled or contaminated products in unregulated trade</w:t>
      </w:r>
      <w:r>
        <w:rPr>
          <w:rStyle w:val="FootnoteReference"/>
        </w:rPr>
        <w:footnoteReference w:id="846"/>
      </w:r>
      <w:r>
        <w:t xml:space="preserve">.</w:t>
      </w:r>
    </w:p>
    <w:p>
      <w:pPr>
        <w:pStyle w:val="FirstParagraph"/>
      </w:pPr>
      <w:r>
        <w:rPr>
          <w:bCs/>
          <w:b/>
        </w:rPr>
        <w:t xml:space="preserve">Theoretical:</w:t>
      </w:r>
      <w:r>
        <w:t xml:space="preserve"> </w:t>
      </w:r>
      <w:r>
        <w:t xml:space="preserve">With any injectable product from uncontrolled manufacturing, there are risks from contaminants, bacteria or incorrect ingredients (see Part I and Part IV). Whether AOD-9604 – like growth hormone – affects metabolism or cell growth in the long term has not been studied in humans. The laboratory data argue against a direct effect at the growth hormone receptor</w:t>
      </w:r>
      <w:r>
        <w:rPr>
          <w:rStyle w:val="FootnoteReference"/>
        </w:rPr>
        <w:footnoteReference w:id="847"/>
      </w:r>
      <w:r>
        <w:t xml:space="preserve">.</w:t>
      </w:r>
    </w:p>
    <w:bookmarkEnd w:id="848"/>
    <w:bookmarkStart w:id="851" w:name="legal-status-13"/>
    <w:p>
      <w:pPr>
        <w:pStyle w:val="Heading3"/>
      </w:pPr>
      <w:r>
        <w:t xml:space="preserve">Legal status</w:t>
      </w:r>
    </w:p>
    <w:p>
      <w:pPr>
        <w:numPr>
          <w:ilvl w:val="0"/>
          <w:numId w:val="1107"/>
        </w:numPr>
        <w:pStyle w:val="Compact"/>
      </w:pPr>
      <w:r>
        <w:rPr>
          <w:bCs/>
          <w:b/>
        </w:rPr>
        <w:t xml:space="preserve">EU / Austria / Germany:</w:t>
      </w:r>
      <w:r>
        <w:t xml:space="preserve"> </w:t>
      </w:r>
      <w:r>
        <w:t xml:space="preserve">not approved as a medicine. Products offered for use in humans may not be marketed under pharmaceutical law;</w:t>
      </w:r>
      <w:r>
        <w:t xml:space="preserve"> </w:t>
      </w:r>
      <w:r>
        <w:t xml:space="preserve">“</w:t>
      </w:r>
      <w:r>
        <w:t xml:space="preserve">for research use only</w:t>
      </w:r>
      <w:r>
        <w:t xml:space="preserve">”</w:t>
      </w:r>
      <w:r>
        <w:t xml:space="preserve"> </w:t>
      </w:r>
      <w:r>
        <w:t xml:space="preserve">notices do not change this.</w:t>
      </w:r>
    </w:p>
    <w:p>
      <w:pPr>
        <w:numPr>
          <w:ilvl w:val="0"/>
          <w:numId w:val="1107"/>
        </w:numPr>
        <w:pStyle w:val="Compact"/>
      </w:pPr>
      <w:r>
        <w:rPr>
          <w:bCs/>
          <w:b/>
        </w:rPr>
        <w:t xml:space="preserve">USA:</w:t>
      </w:r>
      <w:r>
        <w:t xml:space="preserve"> </w:t>
      </w:r>
      <w:r>
        <w:t xml:space="preserve">not approved as a medicine. The FDA has placed AOD-9604 on the list of substances that, because of safety concerns, may not readily be compounded into medicines by pharmacies.</w:t>
      </w:r>
    </w:p>
    <w:p>
      <w:pPr>
        <w:numPr>
          <w:ilvl w:val="0"/>
          <w:numId w:val="1107"/>
        </w:numPr>
        <w:pStyle w:val="Compact"/>
      </w:pPr>
      <w:r>
        <w:rPr>
          <w:bCs/>
          <w:b/>
        </w:rPr>
        <w:t xml:space="preserve">Sport:</w:t>
      </w:r>
      <w:r>
        <w:t xml:space="preserve"> </w:t>
      </w:r>
      <w:r>
        <w:t xml:space="preserve">explicitly prohibited (WADA Prohibited List, class S2 – peptide hormones, growth factors, related substances; growth hormone fragments). AOD-9604 became known to a wider public through the doping scandal surrounding the Australian football club Essendon in 2013. Specific detection methods in urine have been developed for doping control</w:t>
      </w:r>
      <w:r>
        <w:rPr>
          <w:rStyle w:val="FootnoteReference"/>
        </w:rPr>
        <w:footnoteReference w:id="849"/>
      </w:r>
      <w:r>
        <w:t xml:space="preserve">. The usual growth hormone test is not affected by AOD-9604</w:t>
      </w:r>
      <w:r>
        <w:rPr>
          <w:rStyle w:val="FootnoteReference"/>
        </w:rPr>
        <w:footnoteReference w:id="850"/>
      </w:r>
      <w:r>
        <w:t xml:space="preserve"> </w:t>
      </w:r>
      <w:r>
        <w:t xml:space="preserve">– the fragment therefore has to be specifically looked for. As of 2026, please check for updates.</w:t>
      </w:r>
    </w:p>
    <w:bookmarkEnd w:id="851"/>
    <w:bookmarkStart w:id="852" w:name="ongoing-studies-and-outlook-13"/>
    <w:p>
      <w:pPr>
        <w:pStyle w:val="Heading3"/>
      </w:pPr>
      <w:r>
        <w:t xml:space="preserve">Ongoing studies and outlook</w:t>
      </w:r>
    </w:p>
    <w:p>
      <w:pPr>
        <w:pStyle w:val="FirstParagraph"/>
      </w:pPr>
      <w:r>
        <w:rPr>
          <w:bCs/>
          <w:b/>
        </w:rPr>
        <w:t xml:space="preserve">Confirmed:</w:t>
      </w:r>
      <w:r>
        <w:t xml:space="preserve"> </w:t>
      </w:r>
      <w:r>
        <w:t xml:space="preserve">No ongoing trial on AOD-9604 is registered on ClinicalTrials.gov (search October 2026).</w:t>
      </w:r>
    </w:p>
    <w:p>
      <w:pPr>
        <w:pStyle w:val="BodyText"/>
      </w:pPr>
      <w:r>
        <w:rPr>
          <w:bCs/>
          <w:b/>
        </w:rPr>
        <w:t xml:space="preserve">Assessment:</w:t>
      </w:r>
      <w:r>
        <w:t xml:space="preserve"> </w:t>
      </w:r>
      <w:r>
        <w:t xml:space="preserve">There is no discernible path by which AOD-9604 could become an approved medicine in the foreseeable future. With the GLP-1-based agents, weight-loss drugs with large, well-documented efficacy exist today; a peptide whose own development as a weight-loss agent was not successful is unlikely to attract new investor interest. AOD-9604 will therefore probably remain a gray-market product.</w:t>
      </w:r>
    </w:p>
    <w:bookmarkEnd w:id="852"/>
    <w:bookmarkStart w:id="853" w:name="conclusion-13"/>
    <w:p>
      <w:pPr>
        <w:pStyle w:val="Heading3"/>
      </w:pPr>
      <w:r>
        <w:t xml:space="preserve">Conclusion</w:t>
      </w:r>
    </w:p>
    <w:p>
      <w:pPr>
        <w:pStyle w:val="FirstParagraph"/>
      </w:pPr>
      <w:r>
        <w:t xml:space="preserve">AOD-9604 is a short piece of growth hormone that stimulated fat breakdown in rats and mice without raising blood glucose. Although human studies were conducted in the 2000s, their results have not been published in peer-reviewed journals, and development as a weight-loss drug was discontinued. Robust data on efficacy and safety in humans are therefore completely lacking. AOD-9604 is not approved as a medicine anywhere and is explicitly prohibited in sport.</w:t>
      </w:r>
    </w:p>
    <w:bookmarkEnd w:id="853"/>
    <w:bookmarkEnd w:id="854"/>
    <w:bookmarkStart w:id="891" w:name="orforglipron-for-comparison"/>
    <w:p>
      <w:pPr>
        <w:pStyle w:val="Heading2"/>
      </w:pPr>
      <w:r>
        <w:t xml:space="preserve">Orforglipron (for comparison)</w:t>
      </w:r>
    </w:p>
    <w:bookmarkStart w:id="855" w:name="profile-14"/>
    <w:p>
      <w:pPr>
        <w:pStyle w:val="Heading3"/>
      </w:pPr>
      <w:r>
        <w:t xml:space="preserve">Profile</w:t>
      </w:r>
    </w:p>
    <w:p>
      <w:pPr>
        <w:numPr>
          <w:ilvl w:val="0"/>
          <w:numId w:val="1108"/>
        </w:numPr>
        <w:pStyle w:val="Compact"/>
      </w:pPr>
      <w:r>
        <w:rPr>
          <w:bCs/>
          <w:b/>
        </w:rPr>
        <w:t xml:space="preserve">Type/structure:</w:t>
      </w:r>
      <w:r>
        <w:t xml:space="preserve"> </w:t>
      </w:r>
      <w:r>
        <w:rPr>
          <w:bCs/>
          <w:b/>
        </w:rPr>
        <w:t xml:space="preserve">not a peptide</w:t>
      </w:r>
      <w:r>
        <w:t xml:space="preserve">, but a small, chemically manufactured molecule (</w:t>
      </w:r>
      <w:r>
        <w:t xml:space="preserve">“</w:t>
      </w:r>
      <w:r>
        <w:t xml:space="preserve">small molecule</w:t>
      </w:r>
      <w:r>
        <w:t xml:space="preserve">”</w:t>
      </w:r>
      <w:r>
        <w:t xml:space="preserve">) that acts like a peptide at the GLP-1 receptor. Development code LY3502970. Taken once daily as a tablet or capsule.</w:t>
      </w:r>
    </w:p>
    <w:p>
      <w:pPr>
        <w:numPr>
          <w:ilvl w:val="0"/>
          <w:numId w:val="1108"/>
        </w:numPr>
        <w:pStyle w:val="Compact"/>
      </w:pPr>
      <w:r>
        <w:rPr>
          <w:bCs/>
          <w:b/>
        </w:rPr>
        <w:t xml:space="preserve">Origin:</w:t>
      </w:r>
      <w:r>
        <w:t xml:space="preserve"> </w:t>
      </w:r>
      <w:r>
        <w:t xml:space="preserve">originally discovered by Chugai Pharmaceutical, licensed and developed by Eli Lilly.</w:t>
      </w:r>
    </w:p>
    <w:p>
      <w:pPr>
        <w:numPr>
          <w:ilvl w:val="0"/>
          <w:numId w:val="1108"/>
        </w:numPr>
        <w:pStyle w:val="Compact"/>
      </w:pPr>
      <w:r>
        <w:rPr>
          <w:bCs/>
          <w:b/>
        </w:rPr>
        <w:t xml:space="preserve">Mechanism of action:</w:t>
      </w:r>
      <w:r>
        <w:t xml:space="preserve"> </w:t>
      </w:r>
      <w:r>
        <w:t xml:space="preserve">agonist at the GLP-1 receptor – the same target as semaglutide or liraglutide, but with a completely different chemical structure.</w:t>
      </w:r>
    </w:p>
    <w:p>
      <w:pPr>
        <w:numPr>
          <w:ilvl w:val="0"/>
          <w:numId w:val="1108"/>
        </w:numPr>
        <w:pStyle w:val="Compact"/>
      </w:pPr>
      <w:r>
        <w:rPr>
          <w:bCs/>
          <w:b/>
        </w:rPr>
        <w:t xml:space="preserve">Approval EU / USA:</w:t>
      </w:r>
      <w:r>
        <w:t xml:space="preserve"> </w:t>
      </w:r>
      <w:r>
        <w:t xml:space="preserve">according to the research for this book (October 2026), not recorded as approved; applications for approval have been submitted or announced on the basis of the Phase 3 trials – please check for updates.</w:t>
      </w:r>
    </w:p>
    <w:p>
      <w:pPr>
        <w:numPr>
          <w:ilvl w:val="0"/>
          <w:numId w:val="1108"/>
        </w:numPr>
        <w:pStyle w:val="Compact"/>
      </w:pPr>
      <w:r>
        <w:rPr>
          <w:bCs/>
          <w:b/>
        </w:rPr>
        <w:t xml:space="preserve">WADA:</w:t>
      </w:r>
      <w:r>
        <w:t xml:space="preserve"> </w:t>
      </w:r>
      <w:r>
        <w:t xml:space="preserve">not listed by name; as long as it is not approved anywhere, prohibited under S0.</w:t>
      </w:r>
    </w:p>
    <w:p>
      <w:pPr>
        <w:numPr>
          <w:ilvl w:val="0"/>
          <w:numId w:val="1108"/>
        </w:numPr>
        <w:pStyle w:val="Compact"/>
      </w:pPr>
      <w:r>
        <w:rPr>
          <w:bCs/>
          <w:b/>
        </w:rPr>
        <w:t xml:space="preserve">Evidence level:</w:t>
      </w:r>
      <w:r>
        <w:t xml:space="preserve"> </w:t>
      </w:r>
      <w:r>
        <w:rPr>
          <w:bCs/>
          <w:b/>
        </w:rPr>
        <w:t xml:space="preserve">A</w:t>
      </w:r>
      <w:r>
        <w:t xml:space="preserve"> </w:t>
      </w:r>
      <w:r>
        <w:t xml:space="preserve">based on the data (several large Phase 3 trials including a cardiovascular safety trial); formal approval is still pending or should be checked.</w:t>
      </w:r>
    </w:p>
    <w:bookmarkEnd w:id="855"/>
    <w:bookmarkStart w:id="857" w:name="why-this-chapter-is-in-a-peptide-book"/>
    <w:p>
      <w:pPr>
        <w:pStyle w:val="Heading3"/>
      </w:pPr>
      <w:r>
        <w:t xml:space="preserve">Why this chapter is in a peptide book</w:t>
      </w:r>
    </w:p>
    <w:p>
      <w:pPr>
        <w:pStyle w:val="FirstParagraph"/>
      </w:pPr>
      <w:r>
        <w:t xml:space="preserve">All GLP-1 drugs up to 2025 were peptides. Peptides are largely digested in the gastrointestinal tract and hardly absorbed – which is why they have to be injected. The only exception, semaglutide as a tablet, requires an excipient that facilitates absorption through the gastric mucosa, and strict rules for taking it: on an empty stomach, with little water and at an interval before breakfast (see chapter Semaglutide and Part I on the question of how peptides get into the body).</w:t>
      </w:r>
    </w:p>
    <w:p>
      <w:pPr>
        <w:pStyle w:val="BodyText"/>
      </w:pPr>
      <w:r>
        <w:t xml:space="preserve">Orforglipron fundamentally circumvents this problem: as a small molecule, it is absorbed from the gut like a conventional tablet. According to the trials, it can be taken without regard to meals or amount of water</w:t>
      </w:r>
      <w:r>
        <w:rPr>
          <w:rStyle w:val="FootnoteReference"/>
        </w:rPr>
        <w:footnoteReference w:id="856"/>
      </w:r>
      <w:r>
        <w:t xml:space="preserve">. Orforglipron is thus the most important comparison case for the question of whether the future of weight-loss drugs lies with peptides at all (see Part V).</w:t>
      </w:r>
    </w:p>
    <w:bookmarkEnd w:id="857"/>
    <w:bookmarkStart w:id="859" w:name="how-it-is-supposed-to-work-14"/>
    <w:p>
      <w:pPr>
        <w:pStyle w:val="Heading3"/>
      </w:pPr>
      <w:r>
        <w:t xml:space="preserve">How it is supposed to work</w:t>
      </w:r>
    </w:p>
    <w:p>
      <w:pPr>
        <w:pStyle w:val="FirstParagraph"/>
      </w:pPr>
      <w:r>
        <w:t xml:space="preserve">Orforglipron binds to the GLP-1 receptor and triggers effects similar to those of the peptide agonists: less appetite, delayed gastric emptying, more insulin in a glucose-dependent manner. It activates only the GLP-1 receptor, not GIP or glucagon receptors. Studies in people with type 2 diabetes showed improvements in markers of beta-cell function and insulin sensitivity</w:t>
      </w:r>
      <w:r>
        <w:rPr>
          <w:rStyle w:val="FootnoteReference"/>
        </w:rPr>
        <w:footnoteReference w:id="858"/>
      </w:r>
      <w:r>
        <w:t xml:space="preserve">.</w:t>
      </w:r>
    </w:p>
    <w:bookmarkEnd w:id="859"/>
    <w:bookmarkStart w:id="870" w:name="human-studies-14"/>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20 human studies. On ClinicalTrials.gov, 53 trials were registered. The approval programs are called</w:t>
      </w:r>
      <w:r>
        <w:t xml:space="preserve"> </w:t>
      </w:r>
      <w:r>
        <w:rPr>
          <w:bCs/>
          <w:b/>
        </w:rPr>
        <w:t xml:space="preserve">ATTAIN</w:t>
      </w:r>
      <w:r>
        <w:t xml:space="preserve"> </w:t>
      </w:r>
      <w:r>
        <w:t xml:space="preserve">(obesity) and</w:t>
      </w:r>
      <w:r>
        <w:t xml:space="preserve"> </w:t>
      </w:r>
      <w:r>
        <w:rPr>
          <w:bCs/>
          <w:b/>
        </w:rPr>
        <w:t xml:space="preserve">ACHIEVE</w:t>
      </w:r>
      <w:r>
        <w:t xml:space="preserve"> </w:t>
      </w:r>
      <w:r>
        <w:t xml:space="preserve">(type 2 diabetes).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2 obesity (Wharton 2023), PMID 37351564</w:t>
            </w:r>
          </w:p>
        </w:tc>
        <w:tc>
          <w:tcPr/>
          <w:p>
            <w:pPr>
              <w:pStyle w:val="Compact"/>
              <w:jc w:val="left"/>
            </w:pPr>
            <w:r>
              <w:t xml:space="preserve">272 adults without diabetes, vs. placebo</w:t>
            </w:r>
          </w:p>
        </w:tc>
        <w:tc>
          <w:tcPr/>
          <w:p>
            <w:pPr>
              <w:pStyle w:val="Compact"/>
              <w:jc w:val="left"/>
            </w:pPr>
            <w:r>
              <w:t xml:space="preserve">36 weeks</w:t>
            </w:r>
          </w:p>
        </w:tc>
        <w:tc>
          <w:tcPr/>
          <w:p>
            <w:pPr>
              <w:pStyle w:val="Compact"/>
              <w:jc w:val="left"/>
            </w:pPr>
            <w:r>
              <w:t xml:space="preserve">−9.4 to −14.7% weight vs. −2.3%</w:t>
            </w:r>
          </w:p>
        </w:tc>
      </w:tr>
      <w:tr>
        <w:tc>
          <w:tcPr/>
          <w:p>
            <w:pPr>
              <w:pStyle w:val="Compact"/>
              <w:jc w:val="left"/>
            </w:pPr>
            <w:r>
              <w:t xml:space="preserve">ATTAIN-1 (Wharton 2025), PMID 40960239</w:t>
            </w:r>
          </w:p>
        </w:tc>
        <w:tc>
          <w:tcPr/>
          <w:p>
            <w:pPr>
              <w:pStyle w:val="Compact"/>
              <w:jc w:val="left"/>
            </w:pPr>
            <w:r>
              <w:t xml:space="preserve">3,127 adults with obesity without diabetes, vs. placebo</w:t>
            </w:r>
          </w:p>
        </w:tc>
        <w:tc>
          <w:tcPr/>
          <w:p>
            <w:pPr>
              <w:pStyle w:val="Compact"/>
              <w:jc w:val="left"/>
            </w:pPr>
            <w:r>
              <w:t xml:space="preserve">72 weeks</w:t>
            </w:r>
          </w:p>
        </w:tc>
        <w:tc>
          <w:tcPr/>
          <w:p>
            <w:pPr>
              <w:pStyle w:val="Compact"/>
              <w:jc w:val="left"/>
            </w:pPr>
            <w:r>
              <w:t xml:space="preserve">−7.5 / −8.4 / −11.2% vs. −2.1%</w:t>
            </w:r>
          </w:p>
        </w:tc>
      </w:tr>
      <w:tr>
        <w:tc>
          <w:tcPr/>
          <w:p>
            <w:pPr>
              <w:pStyle w:val="Compact"/>
              <w:jc w:val="left"/>
            </w:pPr>
            <w:r>
              <w:t xml:space="preserve">ATTAIN-2 (Horn 2026), PMID 41275875</w:t>
            </w:r>
          </w:p>
        </w:tc>
        <w:tc>
          <w:tcPr/>
          <w:p>
            <w:pPr>
              <w:pStyle w:val="Compact"/>
              <w:jc w:val="left"/>
            </w:pPr>
            <w:r>
              <w:t xml:space="preserve">1,613 adults with obesity and type 2 diabetes</w:t>
            </w:r>
          </w:p>
        </w:tc>
        <w:tc>
          <w:tcPr/>
          <w:p>
            <w:pPr>
              <w:pStyle w:val="Compact"/>
              <w:jc w:val="left"/>
            </w:pPr>
            <w:r>
              <w:t xml:space="preserve">72 weeks</w:t>
            </w:r>
          </w:p>
        </w:tc>
        <w:tc>
          <w:tcPr/>
          <w:p>
            <w:pPr>
              <w:pStyle w:val="Compact"/>
              <w:jc w:val="left"/>
            </w:pPr>
            <w:r>
              <w:t xml:space="preserve">−5.1 / −7.0 / −9.6% vs. −2.5%</w:t>
            </w:r>
          </w:p>
        </w:tc>
      </w:tr>
      <w:tr>
        <w:tc>
          <w:tcPr/>
          <w:p>
            <w:pPr>
              <w:pStyle w:val="Compact"/>
              <w:jc w:val="left"/>
            </w:pPr>
            <w:r>
              <w:t xml:space="preserve">ATTAIN-MAINTAIN (Aronne 2026), PMID 42120723</w:t>
            </w:r>
          </w:p>
        </w:tc>
        <w:tc>
          <w:tcPr/>
          <w:p>
            <w:pPr>
              <w:pStyle w:val="Compact"/>
              <w:jc w:val="left"/>
            </w:pPr>
            <w:r>
              <w:t xml:space="preserve">376 adults after tirzepatide or semaglutide, switch vs. placebo</w:t>
            </w:r>
          </w:p>
        </w:tc>
        <w:tc>
          <w:tcPr/>
          <w:p>
            <w:pPr>
              <w:pStyle w:val="Compact"/>
              <w:jc w:val="left"/>
            </w:pPr>
            <w:r>
              <w:t xml:space="preserve">52 weeks</w:t>
            </w:r>
          </w:p>
        </w:tc>
        <w:tc>
          <w:tcPr/>
          <w:p>
            <w:pPr>
              <w:pStyle w:val="Compact"/>
              <w:jc w:val="left"/>
            </w:pPr>
            <w:r>
              <w:t xml:space="preserve">74.7% and 79.3% of weight loss maintained (placebo 49.2% and 37.6%)</w:t>
            </w:r>
          </w:p>
        </w:tc>
      </w:tr>
      <w:tr>
        <w:tc>
          <w:tcPr/>
          <w:p>
            <w:pPr>
              <w:pStyle w:val="Compact"/>
              <w:jc w:val="left"/>
            </w:pPr>
            <w:r>
              <w:t xml:space="preserve">ACHIEVE-1 (Rosenstock 2025), PMID 40544435</w:t>
            </w:r>
          </w:p>
        </w:tc>
        <w:tc>
          <w:tcPr/>
          <w:p>
            <w:pPr>
              <w:pStyle w:val="Compact"/>
              <w:jc w:val="left"/>
            </w:pPr>
            <w:r>
              <w:t xml:space="preserve">559 adults with early type 2 diabetes</w:t>
            </w:r>
          </w:p>
        </w:tc>
        <w:tc>
          <w:tcPr/>
          <w:p>
            <w:pPr>
              <w:pStyle w:val="Compact"/>
              <w:jc w:val="left"/>
            </w:pPr>
            <w:r>
              <w:t xml:space="preserve">40 weeks</w:t>
            </w:r>
          </w:p>
        </w:tc>
        <w:tc>
          <w:tcPr/>
          <w:p>
            <w:pPr>
              <w:pStyle w:val="Compact"/>
              <w:jc w:val="left"/>
            </w:pPr>
            <w:r>
              <w:t xml:space="preserve">HbA1c −1.24 to −1.48 vs. −0.41</w:t>
            </w:r>
          </w:p>
        </w:tc>
      </w:tr>
      <w:tr>
        <w:tc>
          <w:tcPr/>
          <w:p>
            <w:pPr>
              <w:pStyle w:val="Compact"/>
              <w:jc w:val="left"/>
            </w:pPr>
            <w:r>
              <w:t xml:space="preserve">ACHIEVE-3 (Rosenstock 2026), PMID 41765029</w:t>
            </w:r>
          </w:p>
        </w:tc>
        <w:tc>
          <w:tcPr/>
          <w:p>
            <w:pPr>
              <w:pStyle w:val="Compact"/>
              <w:jc w:val="left"/>
            </w:pPr>
            <w:r>
              <w:t xml:space="preserve">1,698 adults with type 2 diabetes, open-label vs. semaglutide tablet</w:t>
            </w:r>
          </w:p>
        </w:tc>
        <w:tc>
          <w:tcPr/>
          <w:p>
            <w:pPr>
              <w:pStyle w:val="Compact"/>
              <w:jc w:val="left"/>
            </w:pPr>
            <w:r>
              <w:t xml:space="preserve">52 weeks</w:t>
            </w:r>
          </w:p>
        </w:tc>
        <w:tc>
          <w:tcPr/>
          <w:p>
            <w:pPr>
              <w:pStyle w:val="Compact"/>
              <w:jc w:val="left"/>
            </w:pPr>
            <w:r>
              <w:t xml:space="preserve">HbA1c −1.71 / −1.91 vs. −1.23 / −1.47</w:t>
            </w:r>
          </w:p>
        </w:tc>
      </w:tr>
      <w:tr>
        <w:tc>
          <w:tcPr/>
          <w:p>
            <w:pPr>
              <w:pStyle w:val="Compact"/>
              <w:jc w:val="left"/>
            </w:pPr>
            <w:r>
              <w:t xml:space="preserve">ACHIEVE-4 (Klein 2026), PMID 42815506</w:t>
            </w:r>
          </w:p>
        </w:tc>
        <w:tc>
          <w:tcPr/>
          <w:p>
            <w:pPr>
              <w:pStyle w:val="Compact"/>
              <w:jc w:val="left"/>
            </w:pPr>
            <w:r>
              <w:t xml:space="preserve">2,749 adults with type 2 diabetes and high cardiovascular risk, vs. insulin glargine</w:t>
            </w:r>
          </w:p>
        </w:tc>
        <w:tc>
          <w:tcPr/>
          <w:p>
            <w:pPr>
              <w:pStyle w:val="Compact"/>
              <w:jc w:val="left"/>
            </w:pPr>
            <w:r>
              <w:t xml:space="preserve">median 2 years</w:t>
            </w:r>
          </w:p>
        </w:tc>
        <w:tc>
          <w:tcPr/>
          <w:p>
            <w:pPr>
              <w:pStyle w:val="Compact"/>
              <w:jc w:val="left"/>
            </w:pPr>
            <w:r>
              <w:t xml:space="preserve">MACE-4: 4.2% vs. 5.0% (non-inferior)</w:t>
            </w:r>
          </w:p>
        </w:tc>
      </w:tr>
    </w:tbl>
    <w:bookmarkStart w:id="864" w:name="obesity-attain"/>
    <w:p>
      <w:pPr>
        <w:pStyle w:val="Heading4"/>
      </w:pPr>
      <w:r>
        <w:t xml:space="preserve">Obesity: ATTAIN</w:t>
      </w:r>
    </w:p>
    <w:p>
      <w:pPr>
        <w:pStyle w:val="FirstParagraph"/>
      </w:pPr>
      <w:r>
        <w:rPr>
          <w:bCs/>
          <w:b/>
        </w:rPr>
        <w:t xml:space="preserve">ATTAIN-1</w:t>
      </w:r>
      <w:r>
        <w:rPr>
          <w:rStyle w:val="FootnoteReference"/>
        </w:rPr>
        <w:footnoteReference w:id="860"/>
      </w:r>
      <w:r>
        <w:t xml:space="preserve"> </w:t>
      </w:r>
      <w:r>
        <w:t xml:space="preserve">is the main trial. After 72 weeks, the 3,127 participants on the highest dose lost an average of 11.2% of their weight, and 2.1% on placebo. At the highest dose, 54.6% achieved at least 10% and 18.4% at least 20% weight loss. 5.3 to 10.3% discontinued due to side effects (placebo 2.7%).</w:t>
      </w:r>
    </w:p>
    <w:p>
      <w:pPr>
        <w:pStyle w:val="BodyText"/>
      </w:pPr>
      <w:r>
        <w:t xml:space="preserve">For context: this is considerably less than with injected semaglutide or tirzepatide in their approval trials and less than the Phase 2 trial, with up to 14.7% after 36 weeks, had led people to expect</w:t>
      </w:r>
      <w:r>
        <w:rPr>
          <w:rStyle w:val="FootnoteReference"/>
        </w:rPr>
        <w:footnoteReference w:id="861"/>
      </w:r>
      <w:r>
        <w:t xml:space="preserve">. Cross-trial comparisons are, however, only a rough guide.</w:t>
      </w:r>
    </w:p>
    <w:p>
      <w:pPr>
        <w:pStyle w:val="BodyText"/>
      </w:pPr>
      <w:r>
        <w:rPr>
          <w:bCs/>
          <w:b/>
        </w:rPr>
        <w:t xml:space="preserve">ATTAIN-2</w:t>
      </w:r>
      <w:r>
        <w:rPr>
          <w:rStyle w:val="FootnoteReference"/>
        </w:rPr>
        <w:footnoteReference w:id="862"/>
      </w:r>
      <w:r>
        <w:t xml:space="preserve"> </w:t>
      </w:r>
      <w:r>
        <w:t xml:space="preserve">showed a weight loss of up to 9.6% compared with 2.5% on placebo in people with type 2 diabetes.</w:t>
      </w:r>
    </w:p>
    <w:p>
      <w:pPr>
        <w:pStyle w:val="BodyText"/>
      </w:pPr>
      <w:r>
        <w:rPr>
          <w:bCs/>
          <w:b/>
        </w:rPr>
        <w:t xml:space="preserve">ATTAIN-MAINTAIN</w:t>
      </w:r>
      <w:r>
        <w:rPr>
          <w:rStyle w:val="FootnoteReference"/>
        </w:rPr>
        <w:footnoteReference w:id="863"/>
      </w:r>
      <w:r>
        <w:t xml:space="preserve"> </w:t>
      </w:r>
      <w:r>
        <w:t xml:space="preserve">is particularly interesting for practice. Participants who had previously lost weight with injected tirzepatide or semaglutide in the SURMOUNT-5 trial switched to orforglipron or placebo. After 52 weeks, those previously treated with tirzepatide maintained 74.7% of their weight loss with orforglipron (placebo 49.2%), and those previously treated with semaglutide 79.3% (placebo 37.6%). There was no comparison group that simply continued receiving the injection – the authors themselves cite this as a limitation. The concept</w:t>
      </w:r>
      <w:r>
        <w:t xml:space="preserve"> </w:t>
      </w:r>
      <w:r>
        <w:t xml:space="preserve">“</w:t>
      </w:r>
      <w:r>
        <w:t xml:space="preserve">lose weight with the injection, maintain with the tablet</w:t>
      </w:r>
      <w:r>
        <w:t xml:space="preserve">”</w:t>
      </w:r>
      <w:r>
        <w:t xml:space="preserve"> </w:t>
      </w:r>
      <w:r>
        <w:t xml:space="preserve">is thus supported for the first time, but not yet tested against the alternative</w:t>
      </w:r>
      <w:r>
        <w:t xml:space="preserve"> </w:t>
      </w:r>
      <w:r>
        <w:t xml:space="preserve">“</w:t>
      </w:r>
      <w:r>
        <w:t xml:space="preserve">continue the injection.</w:t>
      </w:r>
      <w:r>
        <w:t xml:space="preserve">”</w:t>
      </w:r>
    </w:p>
    <w:bookmarkEnd w:id="864"/>
    <w:bookmarkStart w:id="869" w:name="type-2-diabetes-achieve"/>
    <w:p>
      <w:pPr>
        <w:pStyle w:val="Heading4"/>
      </w:pPr>
      <w:r>
        <w:t xml:space="preserve">Type 2 diabetes: ACHIEVE</w:t>
      </w:r>
    </w:p>
    <w:p>
      <w:pPr>
        <w:numPr>
          <w:ilvl w:val="0"/>
          <w:numId w:val="1109"/>
        </w:numPr>
        <w:pStyle w:val="Compact"/>
      </w:pPr>
      <w:r>
        <w:rPr>
          <w:bCs/>
          <w:b/>
        </w:rPr>
        <w:t xml:space="preserve">ACHIEVE-1</w:t>
      </w:r>
      <w:r>
        <w:rPr>
          <w:rStyle w:val="FootnoteReference"/>
        </w:rPr>
        <w:footnoteReference w:id="865"/>
      </w:r>
      <w:r>
        <w:t xml:space="preserve">: In early type 2 diabetes without other medications, HbA1c fell by up to 1.48 percentage points after 40 weeks (placebo −0.41), and weight by up to 7.6%. No severe hypoglycemia occurred.</w:t>
      </w:r>
    </w:p>
    <w:p>
      <w:pPr>
        <w:numPr>
          <w:ilvl w:val="0"/>
          <w:numId w:val="1109"/>
        </w:numPr>
        <w:pStyle w:val="Compact"/>
      </w:pPr>
      <w:r>
        <w:rPr>
          <w:bCs/>
          <w:b/>
        </w:rPr>
        <w:t xml:space="preserve">ACHIEVE-2</w:t>
      </w:r>
      <w:r>
        <w:rPr>
          <w:rStyle w:val="FootnoteReference"/>
        </w:rPr>
        <w:footnoteReference w:id="866"/>
      </w:r>
      <w:r>
        <w:t xml:space="preserve">: Against the SGLT2 inhibitor dapagliflozin, orforglipron was non-inferior for HbA1c and stronger at all doses (up to −1.56 vs. −0.81 percentage points).</w:t>
      </w:r>
    </w:p>
    <w:p>
      <w:pPr>
        <w:numPr>
          <w:ilvl w:val="0"/>
          <w:numId w:val="1109"/>
        </w:numPr>
        <w:pStyle w:val="Compact"/>
      </w:pPr>
      <w:r>
        <w:rPr>
          <w:bCs/>
          <w:b/>
        </w:rPr>
        <w:t xml:space="preserve">ACHIEVE-3</w:t>
      </w:r>
      <w:r>
        <w:rPr>
          <w:rStyle w:val="FootnoteReference"/>
        </w:rPr>
        <w:footnoteReference w:id="867"/>
      </w:r>
      <w:r>
        <w:t xml:space="preserve">: In direct comparison with the semaglutide tablet, orforglipron lowered HbA1c more (−1.91 vs. −1.47 percentage points at the respective higher doses). The trial was open-label, i.e., not blinded. Gastrointestinal complaints were more frequent on orforglipron (58–59% vs. 37–45%), as were discontinuations due to side effects (9–10% vs. 4–5%).</w:t>
      </w:r>
    </w:p>
    <w:p>
      <w:pPr>
        <w:numPr>
          <w:ilvl w:val="0"/>
          <w:numId w:val="1109"/>
        </w:numPr>
        <w:pStyle w:val="Compact"/>
      </w:pPr>
      <w:r>
        <w:rPr>
          <w:bCs/>
          <w:b/>
        </w:rPr>
        <w:t xml:space="preserve">ACHIEVE-4</w:t>
      </w:r>
      <w:r>
        <w:rPr>
          <w:rStyle w:val="FootnoteReference"/>
        </w:rPr>
        <w:footnoteReference w:id="868"/>
      </w:r>
      <w:r>
        <w:t xml:space="preserve">: the cardiovascular safety trial (see below).</w:t>
      </w:r>
    </w:p>
    <w:bookmarkEnd w:id="869"/>
    <w:bookmarkEnd w:id="870"/>
    <w:bookmarkStart w:id="872" w:name="animal-and-laboratory-studies-14"/>
    <w:p>
      <w:pPr>
        <w:pStyle w:val="Heading3"/>
      </w:pPr>
      <w:r>
        <w:t xml:space="preserve">Animal and laboratory studies</w:t>
      </w:r>
    </w:p>
    <w:p>
      <w:pPr>
        <w:pStyle w:val="FirstParagraph"/>
      </w:pPr>
      <w:r>
        <w:t xml:space="preserve">For this comparison chapter, the preclinical data are not presented in detail. One pharmacological difference is important: as a small molecule, orforglipron is broken down by liver enzymes. Numerous studies on interactions with other drugs were therefore conducted, for example with clarithromycin, ciclosporin, carbamazepine or quinidine</w:t>
      </w:r>
      <w:r>
        <w:rPr>
          <w:rStyle w:val="FootnoteReference"/>
        </w:rPr>
        <w:footnoteReference w:id="871"/>
      </w:r>
      <w:r>
        <w:t xml:space="preserve">. Peptide agonists, by contrast, are broken down like proteins and have hardly any such interactions.</w:t>
      </w:r>
    </w:p>
    <w:bookmarkEnd w:id="872"/>
    <w:bookmarkStart w:id="880" w:name="risks-and-side-effects-14"/>
    <w:p>
      <w:pPr>
        <w:pStyle w:val="Heading3"/>
      </w:pPr>
      <w:r>
        <w:t xml:space="preserve">Risks and side effects</w:t>
      </w:r>
    </w:p>
    <w:p>
      <w:pPr>
        <w:pStyle w:val="FirstParagraph"/>
      </w:pPr>
      <w:r>
        <w:rPr>
          <w:bCs/>
          <w:b/>
        </w:rPr>
        <w:t xml:space="preserve">Documented in studies:</w:t>
      </w:r>
    </w:p>
    <w:p>
      <w:pPr>
        <w:numPr>
          <w:ilvl w:val="0"/>
          <w:numId w:val="1110"/>
        </w:numPr>
        <w:pStyle w:val="Compact"/>
      </w:pPr>
      <w:r>
        <w:rPr>
          <w:bCs/>
          <w:b/>
        </w:rPr>
        <w:t xml:space="preserve">Gastrointestinal complaints</w:t>
      </w:r>
      <w:r>
        <w:t xml:space="preserve"> </w:t>
      </w:r>
      <w:r>
        <w:t xml:space="preserve">as with all GLP-1 agonists, mostly mild to moderate and during dose escalation. In ACHIEVE-4, 62.1% on orforglipron compared with 14.2% on insulin glargine reported gastrointestinal complaints</w:t>
      </w:r>
      <w:r>
        <w:rPr>
          <w:rStyle w:val="FootnoteReference"/>
        </w:rPr>
        <w:footnoteReference w:id="873"/>
      </w:r>
      <w:r>
        <w:t xml:space="preserve">.</w:t>
      </w:r>
    </w:p>
    <w:p>
      <w:pPr>
        <w:numPr>
          <w:ilvl w:val="0"/>
          <w:numId w:val="1110"/>
        </w:numPr>
        <w:pStyle w:val="Compact"/>
      </w:pPr>
      <w:r>
        <w:rPr>
          <w:bCs/>
          <w:b/>
        </w:rPr>
        <w:t xml:space="preserve">Discontinuations due to side effects:</w:t>
      </w:r>
      <w:r>
        <w:t xml:space="preserve"> </w:t>
      </w:r>
      <w:r>
        <w:t xml:space="preserve">up to 10.3% in ATTAIN-1</w:t>
      </w:r>
      <w:r>
        <w:rPr>
          <w:rStyle w:val="FootnoteReference"/>
        </w:rPr>
        <w:footnoteReference w:id="874"/>
      </w:r>
      <w:r>
        <w:t xml:space="preserve">, about twice as frequent as with the semaglutide tablet</w:t>
      </w:r>
      <w:r>
        <w:rPr>
          <w:rStyle w:val="FootnoteReference"/>
        </w:rPr>
        <w:footnoteReference w:id="875"/>
      </w:r>
      <w:r>
        <w:t xml:space="preserve">.</w:t>
      </w:r>
    </w:p>
    <w:p>
      <w:pPr>
        <w:numPr>
          <w:ilvl w:val="0"/>
          <w:numId w:val="1110"/>
        </w:numPr>
        <w:pStyle w:val="Compact"/>
      </w:pPr>
      <w:r>
        <w:rPr>
          <w:bCs/>
          <w:b/>
        </w:rPr>
        <w:t xml:space="preserve">Pulse:</w:t>
      </w:r>
      <w:r>
        <w:t xml:space="preserve"> </w:t>
      </w:r>
      <w:r>
        <w:t xml:space="preserve">In ACHIEVE-3, heart rate rose by 3.7 to 4.7 beats per minute on orforglipron, and by 1.0 to 1.5 on the semaglutide tablet</w:t>
      </w:r>
      <w:r>
        <w:rPr>
          <w:rStyle w:val="FootnoteReference"/>
        </w:rPr>
        <w:footnoteReference w:id="876"/>
      </w:r>
      <w:r>
        <w:t xml:space="preserve">.</w:t>
      </w:r>
    </w:p>
    <w:p>
      <w:pPr>
        <w:numPr>
          <w:ilvl w:val="0"/>
          <w:numId w:val="1110"/>
        </w:numPr>
        <w:pStyle w:val="Compact"/>
      </w:pPr>
      <w:r>
        <w:rPr>
          <w:bCs/>
          <w:b/>
        </w:rPr>
        <w:t xml:space="preserve">Cardiovascular safety:</w:t>
      </w:r>
      <w:r>
        <w:t xml:space="preserve"> </w:t>
      </w:r>
      <w:r>
        <w:t xml:space="preserve">In ACHIEVE-4, major cardiovascular events occurred in 4.2% on orforglipron and 5.0% on insulin glargine (hazard ratio 0.84; 95% CI 0.59–1.20) – orforglipron was therefore non-inferior. Clinically significant or severe hypoglycemia was less frequent (6.8% vs. 19.2%)</w:t>
      </w:r>
      <w:r>
        <w:rPr>
          <w:rStyle w:val="FootnoteReference"/>
        </w:rPr>
        <w:footnoteReference w:id="877"/>
      </w:r>
      <w:r>
        <w:t xml:space="preserve">. Whether orforglipron, like some peptide agonists,</w:t>
      </w:r>
      <w:r>
        <w:t xml:space="preserve"> </w:t>
      </w:r>
      <w:r>
        <w:rPr>
          <w:iCs/>
          <w:i/>
        </w:rPr>
        <w:t xml:space="preserve">reduces</w:t>
      </w:r>
      <w:r>
        <w:t xml:space="preserve"> </w:t>
      </w:r>
      <w:r>
        <w:t xml:space="preserve">cardiovascular events is to be shown by a dedicated outcome trial</w:t>
      </w:r>
      <w:r>
        <w:rPr>
          <w:rStyle w:val="FootnoteReference"/>
        </w:rPr>
        <w:footnoteReference w:id="878"/>
      </w:r>
      <w:r>
        <w:t xml:space="preserve">.</w:t>
      </w:r>
    </w:p>
    <w:p>
      <w:pPr>
        <w:numPr>
          <w:ilvl w:val="0"/>
          <w:numId w:val="1110"/>
        </w:numPr>
        <w:pStyle w:val="Compact"/>
      </w:pPr>
      <w:r>
        <w:rPr>
          <w:bCs/>
          <w:b/>
        </w:rPr>
        <w:t xml:space="preserve">Liver:</w:t>
      </w:r>
      <w:r>
        <w:t xml:space="preserve"> </w:t>
      </w:r>
      <w:r>
        <w:t xml:space="preserve">With small GLP-1 molecules from other manufacturers, elevated liver values were a problem. A pooled analysis of seven Phase 3 trials with 11,220 participants found no case of drug-induced liver injury for orforglipron; liver values even decreased on average</w:t>
      </w:r>
      <w:r>
        <w:rPr>
          <w:rStyle w:val="FootnoteReference"/>
        </w:rPr>
        <w:footnoteReference w:id="879"/>
      </w:r>
      <w:r>
        <w:t xml:space="preserve">.</w:t>
      </w:r>
    </w:p>
    <w:bookmarkEnd w:id="880"/>
    <w:bookmarkStart w:id="881" w:name="legal-status-14"/>
    <w:p>
      <w:pPr>
        <w:pStyle w:val="Heading3"/>
      </w:pPr>
      <w:r>
        <w:t xml:space="preserve">Legal status</w:t>
      </w:r>
    </w:p>
    <w:p>
      <w:pPr>
        <w:numPr>
          <w:ilvl w:val="0"/>
          <w:numId w:val="1111"/>
        </w:numPr>
        <w:pStyle w:val="Compact"/>
      </w:pPr>
      <w:r>
        <w:rPr>
          <w:bCs/>
          <w:b/>
        </w:rPr>
        <w:t xml:space="preserve">EU / Austria / Germany:</w:t>
      </w:r>
      <w:r>
        <w:t xml:space="preserve"> </w:t>
      </w:r>
      <w:r>
        <w:t xml:space="preserve">recorded as not approved as of October 2026; an approval procedure is to be expected or may already be under way – please check for updates.</w:t>
      </w:r>
    </w:p>
    <w:p>
      <w:pPr>
        <w:numPr>
          <w:ilvl w:val="0"/>
          <w:numId w:val="1111"/>
        </w:numPr>
        <w:pStyle w:val="Compact"/>
      </w:pPr>
      <w:r>
        <w:rPr>
          <w:bCs/>
          <w:b/>
        </w:rPr>
        <w:t xml:space="preserve">USA:</w:t>
      </w:r>
      <w:r>
        <w:t xml:space="preserve"> </w:t>
      </w:r>
      <w:r>
        <w:t xml:space="preserve">applications for approval for obesity and type 2 diabetes have been submitted or announced on the basis of the ATTAIN and ACHIEVE data; please check for updates on the status of the decision.</w:t>
      </w:r>
    </w:p>
    <w:p>
      <w:pPr>
        <w:numPr>
          <w:ilvl w:val="0"/>
          <w:numId w:val="1111"/>
        </w:numPr>
        <w:pStyle w:val="Compact"/>
      </w:pPr>
      <w:r>
        <w:rPr>
          <w:bCs/>
          <w:b/>
        </w:rPr>
        <w:t xml:space="preserve">Sport:</w:t>
      </w:r>
      <w:r>
        <w:t xml:space="preserve"> </w:t>
      </w:r>
      <w:r>
        <w:t xml:space="preserve">as long as it is not approved anywhere, WADA class S0 (as of 2026, please check for updates).</w:t>
      </w:r>
    </w:p>
    <w:p>
      <w:pPr>
        <w:numPr>
          <w:ilvl w:val="0"/>
          <w:numId w:val="1111"/>
        </w:numPr>
        <w:pStyle w:val="Compact"/>
      </w:pPr>
      <w:r>
        <w:t xml:space="preserve">Non-approved</w:t>
      </w:r>
      <w:r>
        <w:t xml:space="preserve"> </w:t>
      </w:r>
      <w:r>
        <w:t xml:space="preserve">“</w:t>
      </w:r>
      <w:r>
        <w:t xml:space="preserve">orforglipron</w:t>
      </w:r>
      <w:r>
        <w:t xml:space="preserve">”</w:t>
      </w:r>
      <w:r>
        <w:t xml:space="preserve"> </w:t>
      </w:r>
      <w:r>
        <w:t xml:space="preserve">offerings online are not tested medicines.</w:t>
      </w:r>
    </w:p>
    <w:bookmarkEnd w:id="881"/>
    <w:bookmarkStart w:id="889" w:name="ongoing-studies-and-outlook-14"/>
    <w:p>
      <w:pPr>
        <w:pStyle w:val="Heading3"/>
      </w:pPr>
      <w:r>
        <w:t xml:space="preserve">Ongoing studies and outlook</w:t>
      </w:r>
    </w:p>
    <w:p>
      <w:pPr>
        <w:pStyle w:val="FirstParagraph"/>
      </w:pPr>
      <w:r>
        <w:rPr>
          <w:bCs/>
          <w:b/>
        </w:rPr>
        <w:t xml:space="preserve">Confirmed (registered trials, as of October 2026):</w:t>
      </w:r>
    </w:p>
    <w:p>
      <w:pPr>
        <w:numPr>
          <w:ilvl w:val="0"/>
          <w:numId w:val="1112"/>
        </w:numPr>
        <w:pStyle w:val="Compact"/>
      </w:pPr>
      <w:r>
        <w:rPr>
          <w:bCs/>
          <w:b/>
        </w:rPr>
        <w:t xml:space="preserve">Cardiovascular outcome trial</w:t>
      </w:r>
      <w:r>
        <w:t xml:space="preserve"> </w:t>
      </w:r>
      <w:r>
        <w:t xml:space="preserve">in atherosclerosis (NCT07241390, 7,140 participants, until 2031).</w:t>
      </w:r>
    </w:p>
    <w:p>
      <w:pPr>
        <w:numPr>
          <w:ilvl w:val="0"/>
          <w:numId w:val="1112"/>
        </w:numPr>
        <w:pStyle w:val="Compact"/>
      </w:pPr>
      <w:r>
        <w:rPr>
          <w:bCs/>
          <w:b/>
        </w:rPr>
        <w:t xml:space="preserve">Peripheral artery disease</w:t>
      </w:r>
      <w:r>
        <w:rPr>
          <w:rStyle w:val="FootnoteReference"/>
        </w:rPr>
        <w:footnoteReference w:id="882"/>
      </w:r>
      <w:r>
        <w:t xml:space="preserve">,</w:t>
      </w:r>
      <w:r>
        <w:t xml:space="preserve"> </w:t>
      </w:r>
      <w:r>
        <w:rPr>
          <w:bCs/>
          <w:b/>
        </w:rPr>
        <w:t xml:space="preserve">hypertension</w:t>
      </w:r>
      <w:r>
        <w:rPr>
          <w:rStyle w:val="FootnoteReference"/>
        </w:rPr>
        <w:footnoteReference w:id="883"/>
      </w:r>
      <w:r>
        <w:t xml:space="preserve">,</w:t>
      </w:r>
      <w:r>
        <w:t xml:space="preserve"> </w:t>
      </w:r>
      <w:r>
        <w:rPr>
          <w:bCs/>
          <w:b/>
        </w:rPr>
        <w:t xml:space="preserve">knee osteoarthritis</w:t>
      </w:r>
      <w:r>
        <w:rPr>
          <w:rStyle w:val="FootnoteReference"/>
        </w:rPr>
        <w:footnoteReference w:id="884"/>
      </w:r>
      <w:r>
        <w:t xml:space="preserve">,</w:t>
      </w:r>
      <w:r>
        <w:t xml:space="preserve"> </w:t>
      </w:r>
      <w:r>
        <w:rPr>
          <w:bCs/>
          <w:b/>
        </w:rPr>
        <w:t xml:space="preserve">stress urinary incontinence</w:t>
      </w:r>
      <w:r>
        <w:t xml:space="preserve"> </w:t>
      </w:r>
      <w:r>
        <w:t xml:space="preserve">in women with obesity</w:t>
      </w:r>
      <w:r>
        <w:rPr>
          <w:rStyle w:val="FootnoteReference"/>
        </w:rPr>
        <w:footnoteReference w:id="885"/>
      </w:r>
      <w:r>
        <w:t xml:space="preserve">.</w:t>
      </w:r>
    </w:p>
    <w:p>
      <w:pPr>
        <w:numPr>
          <w:ilvl w:val="0"/>
          <w:numId w:val="1112"/>
        </w:numPr>
        <w:pStyle w:val="Compact"/>
      </w:pPr>
      <w:r>
        <w:rPr>
          <w:bCs/>
          <w:b/>
        </w:rPr>
        <w:t xml:space="preserve">Adolescents</w:t>
      </w:r>
      <w:r>
        <w:rPr>
          <w:rStyle w:val="FootnoteReference"/>
        </w:rPr>
        <w:footnoteReference w:id="886"/>
      </w:r>
      <w:r>
        <w:t xml:space="preserve"> </w:t>
      </w:r>
      <w:r>
        <w:t xml:space="preserve">and</w:t>
      </w:r>
      <w:r>
        <w:t xml:space="preserve"> </w:t>
      </w:r>
      <w:r>
        <w:rPr>
          <w:bCs/>
          <w:b/>
        </w:rPr>
        <w:t xml:space="preserve">children with type 2 diabetes</w:t>
      </w:r>
      <w:r>
        <w:t xml:space="preserve"> </w:t>
      </w:r>
      <w:r>
        <w:t xml:space="preserve">compared with dulaglutide</w:t>
      </w:r>
      <w:r>
        <w:rPr>
          <w:rStyle w:val="FootnoteReference"/>
        </w:rPr>
        <w:footnoteReference w:id="887"/>
      </w:r>
      <w:r>
        <w:t xml:space="preserve">.</w:t>
      </w:r>
    </w:p>
    <w:p>
      <w:pPr>
        <w:numPr>
          <w:ilvl w:val="0"/>
          <w:numId w:val="1112"/>
        </w:numPr>
        <w:pStyle w:val="Compact"/>
      </w:pPr>
      <w:r>
        <w:t xml:space="preserve">Trial on</w:t>
      </w:r>
      <w:r>
        <w:t xml:space="preserve"> </w:t>
      </w:r>
      <w:r>
        <w:rPr>
          <w:bCs/>
          <w:b/>
        </w:rPr>
        <w:t xml:space="preserve">sleep apnea</w:t>
      </w:r>
      <w:r>
        <w:rPr>
          <w:rStyle w:val="FootnoteReference"/>
        </w:rPr>
        <w:footnoteReference w:id="888"/>
      </w:r>
      <w:r>
        <w:t xml:space="preserve"> </w:t>
      </w:r>
      <w:r>
        <w:t xml:space="preserve">completed, publication pending.</w:t>
      </w:r>
    </w:p>
    <w:p>
      <w:pPr>
        <w:pStyle w:val="FirstParagraph"/>
      </w:pPr>
      <w:r>
        <w:rPr>
          <w:bCs/>
          <w:b/>
        </w:rPr>
        <w:t xml:space="preserve">Assessment:</w:t>
      </w:r>
      <w:r>
        <w:t xml:space="preserve"> </w:t>
      </w:r>
      <w:r>
        <w:t xml:space="preserve">Orforglipron is expected to become the first widely available non-peptide GLP-1 drug. Its strength is not maximum weight loss – here the injected peptides are ahead – but the simple administration, presumably cheaper manufacturing and suitability for long-term treatment after a phase with injections. For the peptide market, this means serious competition, especially in long-term and maintenance therapy (see Part V).</w:t>
      </w:r>
    </w:p>
    <w:bookmarkEnd w:id="889"/>
    <w:bookmarkStart w:id="890" w:name="conclusion-14"/>
    <w:p>
      <w:pPr>
        <w:pStyle w:val="Heading3"/>
      </w:pPr>
      <w:r>
        <w:t xml:space="preserve">Conclusion</w:t>
      </w:r>
    </w:p>
    <w:p>
      <w:pPr>
        <w:pStyle w:val="FirstParagraph"/>
      </w:pPr>
      <w:r>
        <w:t xml:space="preserve">Orforglipron is not a peptide but a small molecule that activates the GLP-1 receptor as a tablet and can be swallowed without rules for taking it. In ATTAIN-1, weight fell by up to 11.2% after 72 weeks – less than with injected semaglutide or tirzepatide – and after switching from an injection, participants maintained around three quarters of their weight loss. In type 2 diabetes, it lowered HbA1c more than the semaglutide tablet and proved cardiovascularly safe compared with insulin. Gastrointestinal complaints and treatment discontinuations are somewhat more frequent than with the semaglutide tablet.</w:t>
      </w:r>
    </w:p>
    <w:bookmarkEnd w:id="890"/>
    <w:bookmarkEnd w:id="891"/>
    <w:bookmarkEnd w:id="892"/>
    <w:bookmarkStart w:id="1222" w:name="Xa5176d9aaf1ab036df1a6e974efbeadab4b4058"/>
    <w:p>
      <w:pPr>
        <w:pStyle w:val="Heading1"/>
      </w:pPr>
      <w:r>
        <w:t xml:space="preserve">Part II · B – Healing, Regeneration and the Immune System</w:t>
      </w:r>
    </w:p>
    <w:p>
      <w:pPr>
        <w:pStyle w:val="FirstParagraph"/>
      </w:pPr>
      <w:r>
        <w:t xml:space="preserve">The peptides in this group promise what many people wish for: faster healing of tendons and muscles, a tighter gut wall, a stronger immune system, less inflammation. In online shops, fitness forums and longevity clinics, BPC-157, TB-500 and thymosin alpha-1 are among the best-selling</w:t>
      </w:r>
      <w:r>
        <w:t xml:space="preserve"> </w:t>
      </w:r>
      <w:r>
        <w:t xml:space="preserve">“</w:t>
      </w:r>
      <w:r>
        <w:t xml:space="preserve">research peptides</w:t>
      </w:r>
      <w:r>
        <w:t xml:space="preserve">”</w:t>
      </w:r>
      <w:r>
        <w:t xml:space="preserve"> </w:t>
      </w:r>
      <w:r>
        <w:t xml:space="preserve">of all.</w:t>
      </w:r>
    </w:p>
    <w:bookmarkStart w:id="893" w:name="what-these-peptides-have-in-common"/>
    <w:p>
      <w:pPr>
        <w:pStyle w:val="Heading3"/>
      </w:pPr>
      <w:r>
        <w:t xml:space="preserve">What these peptides have in common</w:t>
      </w:r>
    </w:p>
    <w:p>
      <w:pPr>
        <w:pStyle w:val="FirstParagraph"/>
      </w:pPr>
      <w:r>
        <w:t xml:space="preserve">None of the eight substances is meant to change a single, clearly measurable target – such as blood glucose or body weight – but rather to</w:t>
      </w:r>
      <w:r>
        <w:t xml:space="preserve"> </w:t>
      </w:r>
      <w:r>
        <w:t xml:space="preserve">“</w:t>
      </w:r>
      <w:r>
        <w:t xml:space="preserve">trigger</w:t>
      </w:r>
      <w:r>
        <w:t xml:space="preserve">”</w:t>
      </w:r>
      <w:r>
        <w:t xml:space="preserve"> </w:t>
      </w:r>
      <w:r>
        <w:t xml:space="preserve">or</w:t>
      </w:r>
      <w:r>
        <w:t xml:space="preserve"> </w:t>
      </w:r>
      <w:r>
        <w:t xml:space="preserve">“</w:t>
      </w:r>
      <w:r>
        <w:t xml:space="preserve">normalize</w:t>
      </w:r>
      <w:r>
        <w:t xml:space="preserve">”</w:t>
      </w:r>
      <w:r>
        <w:t xml:space="preserve"> </w:t>
      </w:r>
      <w:r>
        <w:t xml:space="preserve">the body’s own repair and defense processes. This has two consequences that run through all the chapters:</w:t>
      </w:r>
    </w:p>
    <w:p>
      <w:pPr>
        <w:numPr>
          <w:ilvl w:val="0"/>
          <w:numId w:val="1113"/>
        </w:numPr>
        <w:pStyle w:val="Compact"/>
      </w:pPr>
      <w:r>
        <w:rPr>
          <w:bCs/>
          <w:b/>
        </w:rPr>
        <w:t xml:space="preserve">The effect is hard to measure.</w:t>
      </w:r>
      <w:r>
        <w:t xml:space="preserve"> </w:t>
      </w:r>
      <w:r>
        <w:t xml:space="preserve">Healing, pain and immune function fluctuate considerably, depend on many factors and are susceptible to placebo effects. Small studies without a control group are therefore particularly uninformative.</w:t>
      </w:r>
    </w:p>
    <w:p>
      <w:pPr>
        <w:numPr>
          <w:ilvl w:val="0"/>
          <w:numId w:val="1113"/>
        </w:numPr>
        <w:pStyle w:val="Compact"/>
      </w:pPr>
      <w:r>
        <w:rPr>
          <w:bCs/>
          <w:b/>
        </w:rPr>
        <w:t xml:space="preserve">Plausibility often replaces evidence.</w:t>
      </w:r>
      <w:r>
        <w:t xml:space="preserve"> </w:t>
      </w:r>
      <w:r>
        <w:t xml:space="preserve">Almost all peptides in this group are derived from substances the body produces itself: from gastric juice (BPC-157), the thymus (thymosin alpha-1, thymalin), skin defenses (LL-37), the hormone alpha-MSH (KPV) or erythropoietin (ARA-290).</w:t>
      </w:r>
      <w:r>
        <w:t xml:space="preserve"> </w:t>
      </w:r>
      <w:r>
        <w:t xml:space="preserve">“</w:t>
      </w:r>
      <w:r>
        <w:t xml:space="preserve">Endogenous</w:t>
      </w:r>
      <w:r>
        <w:t xml:space="preserve">”</w:t>
      </w:r>
      <w:r>
        <w:t xml:space="preserve"> </w:t>
      </w:r>
      <w:r>
        <w:t xml:space="preserve">sounds harmless, but says nothing about the benefit and safety of administering it from outside at a high dose.</w:t>
      </w:r>
    </w:p>
    <w:p>
      <w:pPr>
        <w:pStyle w:val="FirstParagraph"/>
      </w:pPr>
      <w:r>
        <w:t xml:space="preserve">A recurring pattern is also striking: small early studies look promising, while larger and more carefully blinded studies do not confirm them. This can be seen with thymosin alpha-1 in sepsis, with thymosin beta-4 as eye drops, with LL-37 for leg ulcers and with larazotide in celiac disease.</w:t>
      </w:r>
    </w:p>
    <w:bookmarkEnd w:id="893"/>
    <w:bookmarkStart w:id="894" w:name="the-group-at-a-glance"/>
    <w:p>
      <w:pPr>
        <w:pStyle w:val="Heading3"/>
      </w:pPr>
      <w:r>
        <w:t xml:space="preserve">The group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w:t>
            </w:r>
          </w:p>
        </w:tc>
        <w:tc>
          <w:tcPr/>
          <w:p>
            <w:pPr>
              <w:pStyle w:val="Compact"/>
              <w:jc w:val="left"/>
            </w:pPr>
            <w:r>
              <w:t xml:space="preserve">Hundreds of animal studies, almost all from one group; three mini pilot studies in humans</w:t>
            </w:r>
          </w:p>
        </w:tc>
      </w:tr>
      <w:tr>
        <w:tc>
          <w:tcPr/>
          <w:p>
            <w:pPr>
              <w:pStyle w:val="Compact"/>
              <w:jc w:val="left"/>
            </w:pPr>
            <w:r>
              <w:t xml:space="preserve">TB-500 / thymosin beta-4</w:t>
            </w:r>
          </w:p>
        </w:tc>
        <w:tc>
          <w:tcPr/>
          <w:p>
            <w:pPr>
              <w:pStyle w:val="Compact"/>
              <w:jc w:val="left"/>
            </w:pPr>
            <w:r>
              <w:t xml:space="preserve">B (Tβ4) · D (TB-500)</w:t>
            </w:r>
          </w:p>
        </w:tc>
        <w:tc>
          <w:tcPr/>
          <w:p>
            <w:pPr>
              <w:pStyle w:val="Compact"/>
              <w:jc w:val="left"/>
            </w:pPr>
            <w:r>
              <w:t xml:space="preserve">no</w:t>
            </w:r>
          </w:p>
        </w:tc>
        <w:tc>
          <w:tcPr/>
          <w:p>
            <w:pPr>
              <w:pStyle w:val="Compact"/>
              <w:jc w:val="left"/>
            </w:pPr>
            <w:r>
              <w:t xml:space="preserve">Tβ4 tested in RCTs, large eye studies without clear benefit; TB-500 never in humans</w:t>
            </w:r>
          </w:p>
        </w:tc>
      </w:tr>
      <w:tr>
        <w:tc>
          <w:tcPr/>
          <w:p>
            <w:pPr>
              <w:pStyle w:val="Compact"/>
              <w:jc w:val="left"/>
            </w:pPr>
            <w:r>
              <w:t xml:space="preserve">Thymosin alpha-1</w:t>
            </w:r>
          </w:p>
        </w:tc>
        <w:tc>
          <w:tcPr/>
          <w:p>
            <w:pPr>
              <w:pStyle w:val="Compact"/>
              <w:jc w:val="left"/>
            </w:pPr>
            <w:r>
              <w:t xml:space="preserve">B</w:t>
            </w:r>
          </w:p>
        </w:tc>
        <w:tc>
          <w:tcPr/>
          <w:p>
            <w:pPr>
              <w:pStyle w:val="Compact"/>
              <w:jc w:val="left"/>
            </w:pPr>
            <w:r>
              <w:t xml:space="preserve">China and others, not EU/USA</w:t>
            </w:r>
          </w:p>
        </w:tc>
        <w:tc>
          <w:tcPr/>
          <w:p>
            <w:pPr>
              <w:pStyle w:val="Compact"/>
              <w:jc w:val="left"/>
            </w:pPr>
            <w:r>
              <w:t xml:space="preserve">many RCTs; large sepsis trial with no difference from placebo</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w:t>
            </w:r>
          </w:p>
        </w:tc>
        <w:tc>
          <w:tcPr/>
          <w:p>
            <w:pPr>
              <w:pStyle w:val="Compact"/>
              <w:jc w:val="left"/>
            </w:pPr>
            <w:r>
              <w:t xml:space="preserve">effective in mice with colitis; no human study</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w:t>
            </w:r>
          </w:p>
        </w:tc>
        <w:tc>
          <w:tcPr/>
          <w:p>
            <w:pPr>
              <w:pStyle w:val="Compact"/>
              <w:jc w:val="left"/>
            </w:pPr>
            <w:r>
              <w:t xml:space="preserve">endogenous defense peptide; wound study with 148 people without benefit</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w:t>
            </w:r>
          </w:p>
        </w:tc>
        <w:tc>
          <w:tcPr/>
          <w:p>
            <w:pPr>
              <w:pStyle w:val="Compact"/>
              <w:jc w:val="left"/>
            </w:pPr>
            <w:r>
              <w:t xml:space="preserve">small RCTs in nerve damage due to sarcoidosis; no new studies since 2015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w:t>
            </w:r>
          </w:p>
        </w:tc>
        <w:tc>
          <w:tcPr/>
          <w:p>
            <w:pPr>
              <w:pStyle w:val="Compact"/>
              <w:jc w:val="left"/>
            </w:pPr>
            <w:r>
              <w:t xml:space="preserve">celiac disease candidate; Phase 3 stopped</w:t>
            </w:r>
          </w:p>
        </w:tc>
      </w:tr>
      <w:tr>
        <w:tc>
          <w:tcPr/>
          <w:p>
            <w:pPr>
              <w:pStyle w:val="Compact"/>
              <w:jc w:val="left"/>
            </w:pPr>
            <w:r>
              <w:t xml:space="preserve">Thymalin / Thymogen</w:t>
            </w:r>
          </w:p>
        </w:tc>
        <w:tc>
          <w:tcPr/>
          <w:p>
            <w:pPr>
              <w:pStyle w:val="Compact"/>
              <w:jc w:val="left"/>
            </w:pPr>
            <w:r>
              <w:t xml:space="preserve">C</w:t>
            </w:r>
          </w:p>
        </w:tc>
        <w:tc>
          <w:tcPr/>
          <w:p>
            <w:pPr>
              <w:pStyle w:val="Compact"/>
              <w:jc w:val="left"/>
            </w:pPr>
            <w:r>
              <w:t xml:space="preserve">Russia</w:t>
            </w:r>
          </w:p>
        </w:tc>
        <w:tc>
          <w:tcPr/>
          <w:p>
            <w:pPr>
              <w:pStyle w:val="Compact"/>
              <w:jc w:val="left"/>
            </w:pPr>
            <w:r>
              <w:t xml:space="preserve">almost only Russian studies from one school, hardly randomized</w:t>
            </w:r>
          </w:p>
        </w:tc>
      </w:tr>
    </w:tbl>
    <w:p>
      <w:pPr>
        <w:pStyle w:val="BodyText"/>
      </w:pPr>
      <w:r>
        <w:t xml:space="preserve">Evidence levels:</w:t>
      </w:r>
      <w:r>
        <w:t xml:space="preserve"> </w:t>
      </w:r>
      <w:r>
        <w:rPr>
          <w:bCs/>
          <w:b/>
        </w:rPr>
        <w:t xml:space="preserve">A</w:t>
      </w:r>
      <w:r>
        <w:t xml:space="preserve"> </w:t>
      </w:r>
      <w:r>
        <w:t xml:space="preserve">several large RCTs or approval ·</w:t>
      </w:r>
      <w:r>
        <w:t xml:space="preserve"> </w:t>
      </w:r>
      <w:r>
        <w:rPr>
          <w:bCs/>
          <w:b/>
        </w:rPr>
        <w:t xml:space="preserve">B</w:t>
      </w:r>
      <w:r>
        <w:t xml:space="preserve"> </w:t>
      </w:r>
      <w:r>
        <w:t xml:space="preserve">individual RCTs ·</w:t>
      </w:r>
      <w:r>
        <w:t xml:space="preserve"> </w:t>
      </w:r>
      <w:r>
        <w:rPr>
          <w:bCs/>
          <w:b/>
        </w:rPr>
        <w:t xml:space="preserve">C</w:t>
      </w:r>
      <w:r>
        <w:t xml:space="preserve"> </w:t>
      </w:r>
      <w:r>
        <w:t xml:space="preserve">only small or uncontrolled human studies ·</w:t>
      </w:r>
      <w:r>
        <w:t xml:space="preserve"> </w:t>
      </w:r>
      <w:r>
        <w:rPr>
          <w:bCs/>
          <w:b/>
        </w:rPr>
        <w:t xml:space="preserve">D</w:t>
      </w:r>
      <w:r>
        <w:t xml:space="preserve"> </w:t>
      </w:r>
      <w:r>
        <w:t xml:space="preserve">only animal and laboratory studies. Approval refers to approval as a medicine, as of 2026.</w:t>
      </w:r>
    </w:p>
    <w:p>
      <w:pPr>
        <w:pStyle w:val="BodyText"/>
      </w:pPr>
      <w:r>
        <w:t xml:space="preserve">Not a single peptide in this group is approved as a medicine in the EU or the USA. The two substances with approvals outside the West – thymosin alpha-1 and thymalin – were approved on the basis of studies that only partly meet today’s standards.</w:t>
      </w:r>
    </w:p>
    <w:bookmarkEnd w:id="894"/>
    <w:bookmarkStart w:id="895" w:name="reading-guide-1"/>
    <w:p>
      <w:pPr>
        <w:pStyle w:val="Heading3"/>
      </w:pPr>
      <w:r>
        <w:t xml:space="preserve">Reading guide</w:t>
      </w:r>
    </w:p>
    <w:p>
      <w:pPr>
        <w:pStyle w:val="FirstParagraph"/>
      </w:pPr>
      <w:r>
        <w:t xml:space="preserve">The chapters follow the uniform structure of this book. In this group, pay particular attention to three distinctions:</w:t>
      </w:r>
    </w:p>
    <w:p>
      <w:pPr>
        <w:numPr>
          <w:ilvl w:val="0"/>
          <w:numId w:val="1114"/>
        </w:numPr>
        <w:pStyle w:val="Compact"/>
      </w:pPr>
      <w:r>
        <w:rPr>
          <w:bCs/>
          <w:b/>
        </w:rPr>
        <w:t xml:space="preserve">Human or animal?</w:t>
      </w:r>
      <w:r>
        <w:t xml:space="preserve"> </w:t>
      </w:r>
      <w:r>
        <w:t xml:space="preserve">For BPC-157, KPV and TB-500, almost everything claimed online is based on experiments in rats, mice or cell cultures. The chapters explicitly label this in each case.</w:t>
      </w:r>
    </w:p>
    <w:p>
      <w:pPr>
        <w:numPr>
          <w:ilvl w:val="0"/>
          <w:numId w:val="1114"/>
        </w:numPr>
        <w:pStyle w:val="Compact"/>
      </w:pPr>
      <w:r>
        <w:rPr>
          <w:bCs/>
          <w:b/>
        </w:rPr>
        <w:t xml:space="preserve">Active substance or measured value?</w:t>
      </w:r>
      <w:r>
        <w:t xml:space="preserve"> </w:t>
      </w:r>
      <w:r>
        <w:t xml:space="preserve">For LL-37, there are many studies that</w:t>
      </w:r>
      <w:r>
        <w:t xml:space="preserve"> </w:t>
      </w:r>
      <w:r>
        <w:rPr>
          <w:iCs/>
          <w:i/>
        </w:rPr>
        <w:t xml:space="preserve">measure</w:t>
      </w:r>
      <w:r>
        <w:t xml:space="preserve"> </w:t>
      </w:r>
      <w:r>
        <w:t xml:space="preserve">the substance in the blood, but only a few that</w:t>
      </w:r>
      <w:r>
        <w:t xml:space="preserve"> </w:t>
      </w:r>
      <w:r>
        <w:rPr>
          <w:iCs/>
          <w:i/>
        </w:rPr>
        <w:t xml:space="preserve">administer</w:t>
      </w:r>
      <w:r>
        <w:t xml:space="preserve"> </w:t>
      </w:r>
      <w:r>
        <w:t xml:space="preserve">it as a medicine. Only the latter say anything about a treatment.</w:t>
      </w:r>
    </w:p>
    <w:p>
      <w:pPr>
        <w:numPr>
          <w:ilvl w:val="0"/>
          <w:numId w:val="1114"/>
        </w:numPr>
        <w:pStyle w:val="Compact"/>
      </w:pPr>
      <w:r>
        <w:rPr>
          <w:bCs/>
          <w:b/>
        </w:rPr>
        <w:t xml:space="preserve">Original or derivative?</w:t>
      </w:r>
      <w:r>
        <w:t xml:space="preserve"> </w:t>
      </w:r>
      <w:r>
        <w:t xml:space="preserve">TB-500 is not thymosin beta-4, Thymogen is not thymalin, and the product sold online is not the pharmaceutical form used in studies.</w:t>
      </w:r>
    </w:p>
    <w:p>
      <w:pPr>
        <w:pStyle w:val="FirstParagraph"/>
      </w:pPr>
      <w:r>
        <w:t xml:space="preserve">Two chapters contain notes on registry entries whose authenticity is questionable: one sponsor has entered both a Phase 2 trial on BPC-157 and a trial on TB-500 on ClinicalTrials.gov, one of which describes itself as a</w:t>
      </w:r>
      <w:r>
        <w:t xml:space="preserve"> </w:t>
      </w:r>
      <w:r>
        <w:t xml:space="preserve">“</w:t>
      </w:r>
      <w:r>
        <w:t xml:space="preserve">fictitious example.</w:t>
      </w:r>
      <w:r>
        <w:t xml:space="preserve">”</w:t>
      </w:r>
      <w:r>
        <w:t xml:space="preserve"> </w:t>
      </w:r>
      <w:r>
        <w:t xml:space="preserve">So even a registry entry is no proof that a trial is actually taking place.</w:t>
      </w:r>
    </w:p>
    <w:p>
      <w:pPr>
        <w:pStyle w:val="BodyText"/>
      </w:pPr>
      <w:r>
        <w:t xml:space="preserve">Questions about gray-market products, contaminants and the theoretical cancer risk from growth and vascular signals are dealt with in more detail and across peptides in Chapter I.5 and in Part IV. For athletes: BPC-157, TB-500 and ARA-290 are explicitly prohibited by WADA; for the others, you should ask your national anti-doping agency before any use.</w:t>
      </w:r>
    </w:p>
    <w:bookmarkEnd w:id="895"/>
    <w:bookmarkStart w:id="953" w:name="bpc-157"/>
    <w:p>
      <w:pPr>
        <w:pStyle w:val="Heading2"/>
      </w:pPr>
      <w:r>
        <w:t xml:space="preserve">BPC-157</w:t>
      </w:r>
    </w:p>
    <w:p>
      <w:pPr>
        <w:pStyle w:val="FirstParagraph"/>
      </w:pPr>
      <w:r>
        <w:t xml:space="preserve">Hardly any peptide is searched for, recommended and sold online as often as BPC-157. In forums and videos, it is considered a miracle cure for tendons, ligaments, muscles, the gut and even the brain. Anyone who reads the scientific literature will indeed find well over two hundred publications. The picture changes, however, as soon as you ask how many of them studied humans: there are only a handful – small, uncontrolled and from a single private practice. This chapter puts into perspective what is proven, what has only been shown in rats and where the risks lie.</w:t>
      </w:r>
    </w:p>
    <w:bookmarkStart w:id="897" w:name="profile-15"/>
    <w:p>
      <w:pPr>
        <w:pStyle w:val="Heading3"/>
      </w:pPr>
      <w:r>
        <w:t xml:space="preserve">Profile</w:t>
      </w:r>
    </w:p>
    <w:p>
      <w:pPr>
        <w:numPr>
          <w:ilvl w:val="0"/>
          <w:numId w:val="1115"/>
        </w:numPr>
        <w:pStyle w:val="Compact"/>
      </w:pPr>
      <w:r>
        <w:rPr>
          <w:bCs/>
          <w:b/>
        </w:rPr>
        <w:t xml:space="preserve">Type and structure:</w:t>
      </w:r>
      <w:r>
        <w:t xml:space="preserve"> </w:t>
      </w:r>
      <w:r>
        <w:t xml:space="preserve">synthetic peptide of 15 amino acids (pentadecapeptide) with the sequence GEPPPGKPADDAGLV</w:t>
      </w:r>
      <w:r>
        <w:rPr>
          <w:rStyle w:val="FootnoteReference"/>
        </w:rPr>
        <w:footnoteReference w:id="896"/>
      </w:r>
      <w:r>
        <w:t xml:space="preserve">.</w:t>
      </w:r>
    </w:p>
    <w:p>
      <w:pPr>
        <w:numPr>
          <w:ilvl w:val="0"/>
          <w:numId w:val="1115"/>
        </w:numPr>
        <w:pStyle w:val="Compact"/>
      </w:pPr>
      <w:r>
        <w:rPr>
          <w:bCs/>
          <w:b/>
        </w:rPr>
        <w:t xml:space="preserve">Origin:</w:t>
      </w:r>
      <w:r>
        <w:t xml:space="preserve"> </w:t>
      </w:r>
      <w:r>
        <w:t xml:space="preserve">derived from a larger protein described in human gastric juice in the 1990s (</w:t>
      </w:r>
      <w:r>
        <w:t xml:space="preserve">“</w:t>
      </w:r>
      <w:r>
        <w:t xml:space="preserve">Body Protection Compound,</w:t>
      </w:r>
      <w:r>
        <w:t xml:space="preserve">”</w:t>
      </w:r>
      <w:r>
        <w:t xml:space="preserve"> </w:t>
      </w:r>
      <w:r>
        <w:t xml:space="preserve">hence BPC). The BPC-157 sold is a laboratory product; whether the sequence occurs in this form in the body has not been independently confirmed.</w:t>
      </w:r>
    </w:p>
    <w:p>
      <w:pPr>
        <w:numPr>
          <w:ilvl w:val="0"/>
          <w:numId w:val="1115"/>
        </w:numPr>
        <w:pStyle w:val="Compact"/>
      </w:pPr>
      <w:r>
        <w:rPr>
          <w:bCs/>
          <w:b/>
        </w:rPr>
        <w:t xml:space="preserve">Former development names:</w:t>
      </w:r>
      <w:r>
        <w:t xml:space="preserve"> </w:t>
      </w:r>
      <w:r>
        <w:t xml:space="preserve">PL 14736, PL-10, PLD-116 (Pliva company, Croatia), later</w:t>
      </w:r>
      <w:r>
        <w:t xml:space="preserve"> </w:t>
      </w:r>
      <w:r>
        <w:t xml:space="preserve">“</w:t>
      </w:r>
      <w:r>
        <w:t xml:space="preserve">Bepecin</w:t>
      </w:r>
      <w:r>
        <w:t xml:space="preserve">”</w:t>
      </w:r>
      <w:r>
        <w:t xml:space="preserve"> </w:t>
      </w:r>
      <w:r>
        <w:t xml:space="preserve">or PCO-02.</w:t>
      </w:r>
    </w:p>
    <w:p>
      <w:pPr>
        <w:numPr>
          <w:ilvl w:val="0"/>
          <w:numId w:val="1115"/>
        </w:numPr>
        <w:pStyle w:val="Compact"/>
      </w:pPr>
      <w:r>
        <w:rPr>
          <w:bCs/>
          <w:b/>
        </w:rPr>
        <w:t xml:space="preserve">Mechanism of action (presumed, from animal studies):</w:t>
      </w:r>
      <w:r>
        <w:t xml:space="preserve"> </w:t>
      </w:r>
      <w:r>
        <w:t xml:space="preserve">promotion of new blood vessel formation (angiogenesis) via VEGF receptor 2 and the nitric oxide system, effect on the migration of connective tissue cells.</w:t>
      </w:r>
    </w:p>
    <w:p>
      <w:pPr>
        <w:numPr>
          <w:ilvl w:val="0"/>
          <w:numId w:val="1115"/>
        </w:numPr>
        <w:pStyle w:val="Compact"/>
      </w:pPr>
      <w:r>
        <w:rPr>
          <w:bCs/>
          <w:b/>
        </w:rPr>
        <w:t xml:space="preserve">Approval EU:</w:t>
      </w:r>
      <w:r>
        <w:t xml:space="preserve"> </w:t>
      </w:r>
      <w:r>
        <w:t xml:space="preserve">no.</w:t>
      </w:r>
      <w:r>
        <w:t xml:space="preserve"> </w:t>
      </w:r>
      <w:r>
        <w:rPr>
          <w:bCs/>
          <w:b/>
        </w:rPr>
        <w:t xml:space="preserve">Approval USA:</w:t>
      </w:r>
      <w:r>
        <w:t xml:space="preserve"> </w:t>
      </w:r>
      <w:r>
        <w:t xml:space="preserve">no; classified by the FDA in 2023 as a substance with safety concerns for compounding (Category 2).</w:t>
      </w:r>
    </w:p>
    <w:p>
      <w:pPr>
        <w:numPr>
          <w:ilvl w:val="0"/>
          <w:numId w:val="1115"/>
        </w:numPr>
        <w:pStyle w:val="Compact"/>
      </w:pPr>
      <w:r>
        <w:rPr>
          <w:bCs/>
          <w:b/>
        </w:rPr>
        <w:t xml:space="preserve">WADA:</w:t>
      </w:r>
      <w:r>
        <w:t xml:space="preserve"> </w:t>
      </w:r>
      <w:r>
        <w:t xml:space="preserve">prohibited, group S0</w:t>
      </w:r>
      <w:r>
        <w:t xml:space="preserve"> </w:t>
      </w:r>
      <w:r>
        <w:t xml:space="preserve">“</w:t>
      </w:r>
      <w:r>
        <w:t xml:space="preserve">non-approved substances</w:t>
      </w:r>
      <w:r>
        <w:t xml:space="preserve">”</w:t>
      </w:r>
      <w:r>
        <w:t xml:space="preserve"> </w:t>
      </w:r>
      <w:r>
        <w:t xml:space="preserve">(named explicitly).</w:t>
      </w:r>
    </w:p>
    <w:p>
      <w:pPr>
        <w:numPr>
          <w:ilvl w:val="0"/>
          <w:numId w:val="1115"/>
        </w:numPr>
        <w:pStyle w:val="Compact"/>
      </w:pPr>
      <w:r>
        <w:rPr>
          <w:bCs/>
          <w:b/>
        </w:rPr>
        <w:t xml:space="preserve">Evidence level: C</w:t>
      </w:r>
      <w:r>
        <w:t xml:space="preserve"> </w:t>
      </w:r>
      <w:r>
        <w:t xml:space="preserve">– only three very small, uncontrolled investigations in humans with a combined total of around 30 people; no completed randomized trial.</w:t>
      </w:r>
    </w:p>
    <w:bookmarkEnd w:id="897"/>
    <w:bookmarkStart w:id="904" w:name="how-it-is-supposed-to-work-15"/>
    <w:p>
      <w:pPr>
        <w:pStyle w:val="Heading3"/>
      </w:pPr>
      <w:r>
        <w:t xml:space="preserve">How it is supposed to work</w:t>
      </w:r>
    </w:p>
    <w:p>
      <w:pPr>
        <w:pStyle w:val="FirstParagraph"/>
      </w:pPr>
      <w:r>
        <w:t xml:space="preserve">The basic idea comes from gastric research. The gastric mucosa is exposed daily to acid, enzymes and medicines such as painkillers, yet repairs itself astonishingly quickly. In the 1990s, researchers in Zagreb suspected that protective substances in gastric juice mediate this ability and isolated a peptide they called</w:t>
      </w:r>
      <w:r>
        <w:t xml:space="preserve"> </w:t>
      </w:r>
      <w:r>
        <w:t xml:space="preserve">“</w:t>
      </w:r>
      <w:r>
        <w:t xml:space="preserve">Body Protection Compound.</w:t>
      </w:r>
      <w:r>
        <w:t xml:space="preserve">”</w:t>
      </w:r>
      <w:r>
        <w:t xml:space="preserve"> </w:t>
      </w:r>
      <w:r>
        <w:t xml:space="preserve">BPC-157 is a short segment of it.</w:t>
      </w:r>
    </w:p>
    <w:p>
      <w:pPr>
        <w:pStyle w:val="BodyText"/>
      </w:pPr>
      <w:r>
        <w:t xml:space="preserve">What is unusual is that BPC-157 remains stable in gastric juice. Most peptides are rapidly broken down there. From this, proponents infer that it could also work as a tablet – this has not been proven in humans.</w:t>
      </w:r>
    </w:p>
    <w:p>
      <w:pPr>
        <w:pStyle w:val="BodyText"/>
      </w:pPr>
      <w:r>
        <w:t xml:space="preserve">Three mechanisms in particular are discussed for the claimed effect, all of which come from animal and cell experiments:</w:t>
      </w:r>
    </w:p>
    <w:p>
      <w:pPr>
        <w:numPr>
          <w:ilvl w:val="0"/>
          <w:numId w:val="1116"/>
        </w:numPr>
        <w:pStyle w:val="Compact"/>
      </w:pPr>
      <w:r>
        <w:rPr>
          <w:bCs/>
          <w:b/>
        </w:rPr>
        <w:t xml:space="preserve">New blood vessel formation:</w:t>
      </w:r>
      <w:r>
        <w:t xml:space="preserve"> </w:t>
      </w:r>
      <w:r>
        <w:t xml:space="preserve">In cultures of human vascular endothelial cells, BPC-157 increased the amount of VEGF receptor 2 (a central switch for the growth of new blood vessels) and activated the downstream Akt-eNOS signaling pathway; in rats with a ligated leg artery, blood flow returned more quickly</w:t>
      </w:r>
      <w:r>
        <w:rPr>
          <w:rStyle w:val="FootnoteReference"/>
        </w:rPr>
        <w:footnoteReference w:id="898"/>
      </w:r>
      <w:r>
        <w:t xml:space="preserve">. A study from China described a further pathway via the proteins FBXO22 and BACH1 in cell experiments in 2026</w:t>
      </w:r>
      <w:r>
        <w:rPr>
          <w:rStyle w:val="FootnoteReference"/>
        </w:rPr>
        <w:footnoteReference w:id="899"/>
      </w:r>
      <w:r>
        <w:t xml:space="preserve">.</w:t>
      </w:r>
    </w:p>
    <w:p>
      <w:pPr>
        <w:numPr>
          <w:ilvl w:val="0"/>
          <w:numId w:val="1116"/>
        </w:numPr>
        <w:pStyle w:val="Compact"/>
      </w:pPr>
      <w:r>
        <w:rPr>
          <w:bCs/>
          <w:b/>
        </w:rPr>
        <w:t xml:space="preserve">Cell migration and survival:</w:t>
      </w:r>
      <w:r>
        <w:t xml:space="preserve"> </w:t>
      </w:r>
      <w:r>
        <w:t xml:space="preserve">In cultures of rat tendon cells, BPC-157 accelerated the outgrowth of cells from tendon fragments, improved their survival under oxidative stress and promoted their migration; cell division itself was not directly increased</w:t>
      </w:r>
      <w:r>
        <w:rPr>
          <w:rStyle w:val="FootnoteReference"/>
        </w:rPr>
        <w:footnoteReference w:id="900"/>
      </w:r>
      <w:r>
        <w:t xml:space="preserve">.</w:t>
      </w:r>
    </w:p>
    <w:p>
      <w:pPr>
        <w:numPr>
          <w:ilvl w:val="0"/>
          <w:numId w:val="1116"/>
        </w:numPr>
        <w:pStyle w:val="Compact"/>
      </w:pPr>
      <w:r>
        <w:rPr>
          <w:bCs/>
          <w:b/>
        </w:rPr>
        <w:t xml:space="preserve">Sensitivity to growth hormone:</w:t>
      </w:r>
      <w:r>
        <w:t xml:space="preserve"> </w:t>
      </w:r>
      <w:r>
        <w:t xml:space="preserve">In the same rat tendon cells, BPC-157 increased the number of growth hormone receptors</w:t>
      </w:r>
      <w:r>
        <w:rPr>
          <w:rStyle w:val="FootnoteReference"/>
        </w:rPr>
        <w:footnoteReference w:id="901"/>
      </w:r>
      <w:r>
        <w:t xml:space="preserve">.</w:t>
      </w:r>
    </w:p>
    <w:p>
      <w:pPr>
        <w:pStyle w:val="FirstParagraph"/>
      </w:pPr>
      <w:r>
        <w:t xml:space="preserve">In addition, there are numerous other effects on nitric oxide, blood clotting and nerve messengers, described mainly in reviews by the Zagreb group</w:t>
      </w:r>
      <w:r>
        <w:rPr>
          <w:rStyle w:val="FootnoteReference"/>
        </w:rPr>
        <w:footnoteReference w:id="902"/>
      </w:r>
      <w:r>
        <w:t xml:space="preserve">. To this day, no clear receptor to which BPC-157 binds is known.</w:t>
      </w:r>
    </w:p>
    <w:p>
      <w:pPr>
        <w:pStyle w:val="BodyText"/>
      </w:pPr>
      <w:r>
        <w:t xml:space="preserve">A contradiction pointed out by a pharmaceutical review is striking: in animals, BPC-157 has a half-life of under 30 minutes, yet the described effects are said to last hours to days</w:t>
      </w:r>
      <w:r>
        <w:rPr>
          <w:rStyle w:val="FootnoteReference"/>
        </w:rPr>
        <w:footnoteReference w:id="903"/>
      </w:r>
      <w:r>
        <w:t xml:space="preserve">. How this fits together is unclear.</w:t>
      </w:r>
    </w:p>
    <w:bookmarkEnd w:id="904"/>
    <w:bookmarkStart w:id="917" w:name="human-studies-15"/>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for this book found</w:t>
      </w:r>
      <w:r>
        <w:t xml:space="preserve"> </w:t>
      </w:r>
      <w:r>
        <w:rPr>
          <w:bCs/>
          <w:b/>
        </w:rPr>
        <w:t xml:space="preserve">no</w:t>
      </w:r>
      <w:r>
        <w:t xml:space="preserve"> </w:t>
      </w:r>
      <w:r>
        <w:t xml:space="preserve">study in PubMed meeting the filter criteria for a human study (</w:t>
      </w:r>
      <w:r>
        <w:rPr>
          <w:rStyle w:val="VerbatimChar"/>
        </w:rPr>
        <w:t xml:space="preserve">humanstudien_alle</w:t>
      </w:r>
      <w:r>
        <w:t xml:space="preserve">: 0), and</w:t>
      </w:r>
      <w:r>
        <w:t xml:space="preserve"> </w:t>
      </w:r>
      <w:r>
        <w:rPr>
          <w:bCs/>
          <w:b/>
        </w:rPr>
        <w:t xml:space="preserve">4</w:t>
      </w:r>
      <w:r>
        <w:t xml:space="preserve"> </w:t>
      </w:r>
      <w:r>
        <w:t xml:space="preserve">entries in the ClinicalTrials.gov study registry. In total, PubMed lists around 230 publications on BPC-157 – almost exclusively animal experiments, laboratory work and review articles.</w:t>
      </w:r>
    </w:p>
    <w:p>
      <w:pPr>
        <w:pStyle w:val="BodyText"/>
      </w:pPr>
      <w:r>
        <w:t xml:space="preserve">A targeted follow-up search found three small investigations in humans. All three come from the same first author from a private practice in Florida and appeared in a journal of alternative medicine. A systematic review published in 2026 found exactly these three papers with a combined total of 30 people</w:t>
      </w:r>
      <w:r>
        <w:rPr>
          <w:rStyle w:val="FootnoteReference"/>
        </w:rPr>
        <w:footnoteReference w:id="905"/>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Knee joint (Lee 2021), PMID 34324435</w:t>
            </w:r>
          </w:p>
        </w:tc>
        <w:tc>
          <w:tcPr/>
          <w:p>
            <w:pPr>
              <w:pStyle w:val="Compact"/>
              <w:jc w:val="left"/>
            </w:pPr>
            <w:r>
              <w:t xml:space="preserve">16 people with knee pain of various causes, retrospective chart review with telephone survey, no control group</w:t>
            </w:r>
          </w:p>
        </w:tc>
        <w:tc>
          <w:tcPr/>
          <w:p>
            <w:pPr>
              <w:pStyle w:val="Compact"/>
              <w:jc w:val="left"/>
            </w:pPr>
            <w:r>
              <w:t xml:space="preserve">Look-back 6–12 months</w:t>
            </w:r>
          </w:p>
        </w:tc>
        <w:tc>
          <w:tcPr/>
          <w:p>
            <w:pPr>
              <w:pStyle w:val="Compact"/>
              <w:jc w:val="left"/>
            </w:pPr>
            <w:r>
              <w:t xml:space="preserve">14 of 16 reported pain relief; 12 received only BPC-157, 4 additionally thymosin beta-4</w:t>
            </w:r>
          </w:p>
        </w:tc>
      </w:tr>
      <w:tr>
        <w:tc>
          <w:tcPr/>
          <w:p>
            <w:pPr>
              <w:pStyle w:val="Compact"/>
              <w:jc w:val="left"/>
            </w:pPr>
            <w:r>
              <w:t xml:space="preserve">Interstitial cystitis (Lee 2024), PMID 39325560</w:t>
            </w:r>
          </w:p>
        </w:tc>
        <w:tc>
          <w:tcPr/>
          <w:p>
            <w:pPr>
              <w:pStyle w:val="Compact"/>
              <w:jc w:val="left"/>
            </w:pPr>
            <w:r>
              <w:t xml:space="preserve">12 women with chronic bladder pain disorder, injections into the bladder wall during cystoscopy, no control group</w:t>
            </w:r>
          </w:p>
        </w:tc>
        <w:tc>
          <w:tcPr/>
          <w:p>
            <w:pPr>
              <w:pStyle w:val="Compact"/>
              <w:jc w:val="left"/>
            </w:pPr>
            <w:r>
              <w:t xml:space="preserve">one treatment</w:t>
            </w:r>
          </w:p>
        </w:tc>
        <w:tc>
          <w:tcPr/>
          <w:p>
            <w:pPr>
              <w:pStyle w:val="Compact"/>
              <w:jc w:val="left"/>
            </w:pPr>
            <w:r>
              <w:t xml:space="preserve">10 of 12 reported complete, 2 predominant improvement; no side effects reported</w:t>
            </w:r>
          </w:p>
        </w:tc>
      </w:tr>
      <w:tr>
        <w:tc>
          <w:tcPr/>
          <w:p>
            <w:pPr>
              <w:pStyle w:val="Compact"/>
              <w:jc w:val="left"/>
            </w:pPr>
            <w:r>
              <w:t xml:space="preserve">Intravenous infusion (Lee 2025), PMID 40131143</w:t>
            </w:r>
          </w:p>
        </w:tc>
        <w:tc>
          <w:tcPr/>
          <w:p>
            <w:pPr>
              <w:pStyle w:val="Compact"/>
              <w:jc w:val="left"/>
            </w:pPr>
            <w:r>
              <w:t xml:space="preserve">2 people, safety test on two days</w:t>
            </w:r>
          </w:p>
        </w:tc>
        <w:tc>
          <w:tcPr/>
          <w:p>
            <w:pPr>
              <w:pStyle w:val="Compact"/>
              <w:jc w:val="left"/>
            </w:pPr>
            <w:r>
              <w:t xml:space="preserve">3 days</w:t>
            </w:r>
          </w:p>
        </w:tc>
        <w:tc>
          <w:tcPr/>
          <w:p>
            <w:pPr>
              <w:pStyle w:val="Compact"/>
              <w:jc w:val="left"/>
            </w:pPr>
            <w:r>
              <w:t xml:space="preserve">no measurable changes in the blood values examined, no complaints</w:t>
            </w:r>
          </w:p>
        </w:tc>
      </w:tr>
    </w:tbl>
    <w:bookmarkStart w:id="912" w:name="how-meaningful-are-these-data"/>
    <w:p>
      <w:pPr>
        <w:pStyle w:val="Heading4"/>
      </w:pPr>
      <w:r>
        <w:t xml:space="preserve">How meaningful are these data?</w:t>
      </w:r>
    </w:p>
    <w:p>
      <w:pPr>
        <w:pStyle w:val="FirstParagraph"/>
      </w:pPr>
      <w:r>
        <w:t xml:space="preserve">Hardly at all. The knee investigation was not a planned study but a retrospective telephone survey of patients who had already paid for the treatment. There was no comparison group, no blinding, no measurement instruments for function or quality of life and no imaging. The causes of knee pain ranged from osteoarthritis to meniscus tears. According to the abstract, no standardized questionnaires on function were used</w:t>
      </w:r>
      <w:r>
        <w:rPr>
          <w:rStyle w:val="FootnoteReference"/>
        </w:rPr>
        <w:footnoteReference w:id="906"/>
      </w:r>
      <w:r>
        <w:t xml:space="preserve">.</w:t>
      </w:r>
    </w:p>
    <w:p>
      <w:pPr>
        <w:pStyle w:val="BodyText"/>
      </w:pPr>
      <w:r>
        <w:t xml:space="preserve">The cystitis paper recorded the outcome with a single global questionnaire. That all twelve women gave the best possible rating is unusual for a chronic, often difficult-to-treat condition and, without a control group, cannot be distinguished from a placebo effect or the natural fluctuation of symptoms. It is also noteworthy that the BPC-157 used came from a US compounding pharmacy</w:t>
      </w:r>
      <w:r>
        <w:rPr>
          <w:rStyle w:val="FootnoteReference"/>
        </w:rPr>
        <w:footnoteReference w:id="907"/>
      </w:r>
      <w:r>
        <w:t xml:space="preserve">.</w:t>
      </w:r>
    </w:p>
    <w:p>
      <w:pPr>
        <w:pStyle w:val="BodyText"/>
      </w:pPr>
      <w:r>
        <w:t xml:space="preserve">The infusion study included two people who had already received BPC-157 before. No conclusion about safety can be drawn from two people – rare or delayed side effects remain invisible this way</w:t>
      </w:r>
      <w:r>
        <w:rPr>
          <w:rStyle w:val="FootnoteReference"/>
        </w:rPr>
        <w:footnoteReference w:id="908"/>
      </w:r>
      <w:r>
        <w:t xml:space="preserve">.</w:t>
      </w:r>
    </w:p>
    <w:p>
      <w:pPr>
        <w:pStyle w:val="BodyText"/>
      </w:pPr>
      <w:r>
        <w:t xml:space="preserve">The systematic review rated the methodological quality of all three papers as poor and the certainty of the evidence according to the GRADE system as</w:t>
      </w:r>
      <w:r>
        <w:t xml:space="preserve"> </w:t>
      </w:r>
      <w:r>
        <w:t xml:space="preserve">“</w:t>
      </w:r>
      <w:r>
        <w:t xml:space="preserve">very low.</w:t>
      </w:r>
      <w:r>
        <w:t xml:space="preserve">”</w:t>
      </w:r>
      <w:r>
        <w:t xml:space="preserve"> </w:t>
      </w:r>
      <w:r>
        <w:t xml:space="preserve">Its conclusion: BPC-157 should not be used in humans outside ethically approved, high-quality clinical trials</w:t>
      </w:r>
      <w:r>
        <w:rPr>
          <w:rStyle w:val="FootnoteReference"/>
        </w:rPr>
        <w:footnoteReference w:id="909"/>
      </w:r>
      <w:r>
        <w:t xml:space="preserve">. Another systematic review from sports orthopedics, which searched up to June 2024, found only a single clinical study among 36 included papers</w:t>
      </w:r>
      <w:r>
        <w:rPr>
          <w:rStyle w:val="FootnoteReference"/>
        </w:rPr>
        <w:footnoteReference w:id="910"/>
      </w:r>
      <w:r>
        <w:t xml:space="preserve">. Several current reviews from orthopedics and sports medicine reach the same conclusion: routine use cannot currently be recommended</w:t>
      </w:r>
      <w:r>
        <w:rPr>
          <w:rStyle w:val="FootnoteReference"/>
        </w:rPr>
        <w:footnoteReference w:id="911"/>
      </w:r>
      <w:r>
        <w:t xml:space="preserve">.</w:t>
      </w:r>
    </w:p>
    <w:bookmarkEnd w:id="912"/>
    <w:bookmarkStart w:id="916" w:name="what-became-of-earlier-company-studies"/>
    <w:p>
      <w:pPr>
        <w:pStyle w:val="Heading4"/>
      </w:pPr>
      <w:r>
        <w:t xml:space="preserve">What became of earlier company studies</w:t>
      </w:r>
    </w:p>
    <w:p>
      <w:pPr>
        <w:pStyle w:val="FirstParagraph"/>
      </w:pPr>
      <w:r>
        <w:t xml:space="preserve">In the 2000s, the Croatian pharmaceutical company Pliva developed BPC-157 under the code PL 14736 for chronic inflammatory bowel diseases. Animal studies from that time note that the substance was</w:t>
      </w:r>
      <w:r>
        <w:t xml:space="preserve"> </w:t>
      </w:r>
      <w:r>
        <w:t xml:space="preserve">“</w:t>
      </w:r>
      <w:r>
        <w:t xml:space="preserve">currently being tested in clinical trials</w:t>
      </w:r>
      <w:r>
        <w:t xml:space="preserve">”</w:t>
      </w:r>
      <w:r>
        <w:rPr>
          <w:rStyle w:val="FootnoteReference"/>
        </w:rPr>
        <w:footnoteReference w:id="913"/>
      </w:r>
      <w:r>
        <w:t xml:space="preserve">. A review by the Zagreb group mentions studies in ulcerative colitis and multiple sclerosis</w:t>
      </w:r>
      <w:r>
        <w:rPr>
          <w:rStyle w:val="FootnoteReference"/>
        </w:rPr>
        <w:footnoteReference w:id="914"/>
      </w:r>
      <w:r>
        <w:t xml:space="preserve">. Complete results of these studies cannot be found in PubMed as an original paper. In 2015, a Phase 1 trial with tablets (</w:t>
      </w:r>
      <w:r>
        <w:t xml:space="preserve">“</w:t>
      </w:r>
      <w:r>
        <w:t xml:space="preserve">Bepecin,</w:t>
      </w:r>
      <w:r>
        <w:t xml:space="preserve">”</w:t>
      </w:r>
      <w:r>
        <w:t xml:space="preserve"> </w:t>
      </w:r>
      <w:r>
        <w:t xml:space="preserve">PCO-02) in 42 healthy volunteers was also registered</w:t>
      </w:r>
      <w:r>
        <w:rPr>
          <w:rStyle w:val="FootnoteReference"/>
        </w:rPr>
        <w:footnoteReference w:id="915"/>
      </w:r>
      <w:r>
        <w:t xml:space="preserve">; its status has been</w:t>
      </w:r>
      <w:r>
        <w:t xml:space="preserve"> </w:t>
      </w:r>
      <w:r>
        <w:t xml:space="preserve">“</w:t>
      </w:r>
      <w:r>
        <w:t xml:space="preserve">unknown</w:t>
      </w:r>
      <w:r>
        <w:t xml:space="preserve">”</w:t>
      </w:r>
      <w:r>
        <w:t xml:space="preserve"> </w:t>
      </w:r>
      <w:r>
        <w:t xml:space="preserve">for years, and results have not been published.</w:t>
      </w:r>
    </w:p>
    <w:p>
      <w:pPr>
        <w:pStyle w:val="BodyText"/>
      </w:pPr>
      <w:r>
        <w:t xml:space="preserve">For readers, this means: when websites claim that BPC-157 was</w:t>
      </w:r>
      <w:r>
        <w:t xml:space="preserve"> </w:t>
      </w:r>
      <w:r>
        <w:t xml:space="preserve">“</w:t>
      </w:r>
      <w:r>
        <w:t xml:space="preserve">safe in clinical trials,</w:t>
      </w:r>
      <w:r>
        <w:t xml:space="preserve">”</w:t>
      </w:r>
      <w:r>
        <w:t xml:space="preserve"> </w:t>
      </w:r>
      <w:r>
        <w:t xml:space="preserve">they are referring to studies whose data no one can independently verify.</w:t>
      </w:r>
    </w:p>
    <w:bookmarkEnd w:id="916"/>
    <w:bookmarkEnd w:id="917"/>
    <w:bookmarkStart w:id="926" w:name="animal-and-laboratory-studies-15"/>
    <w:p>
      <w:pPr>
        <w:pStyle w:val="Heading3"/>
      </w:pPr>
      <w:r>
        <w:t xml:space="preserve">Animal and laboratory studies</w:t>
      </w:r>
    </w:p>
    <w:p>
      <w:pPr>
        <w:pStyle w:val="FirstParagraph"/>
      </w:pPr>
      <w:r>
        <w:t xml:space="preserve">The preclinical work is the reason BPC-157 became so well known. It is extensive, but unusually one-sided in its origin.</w:t>
      </w:r>
    </w:p>
    <w:bookmarkStart w:id="921" w:name="one-research-group-dominates"/>
    <w:p>
      <w:pPr>
        <w:pStyle w:val="Heading4"/>
      </w:pPr>
      <w:r>
        <w:t xml:space="preserve">One research group dominates</w:t>
      </w:r>
    </w:p>
    <w:p>
      <w:pPr>
        <w:pStyle w:val="FirstParagraph"/>
      </w:pPr>
      <w:r>
        <w:t xml:space="preserve">Of the around 230 hits in PubMed (search October 2026), about 175 name the Zagreb pharmacologist Predrag Sikirić as an author – that is, around three quarters. A review on tendon and muscle healing noted that in two decades only a handful of research groups have studied BPC-157 in depth</w:t>
      </w:r>
      <w:r>
        <w:rPr>
          <w:rStyle w:val="FootnoteReference"/>
        </w:rPr>
        <w:footnoteReference w:id="918"/>
      </w:r>
      <w:r>
        <w:t xml:space="preserve">. This is important for the assessment: scientific results are only considered robust once independent groups replicate them. A critical 2026 review on circulatory disorders in rodents criticizes short observation periods, single-dose experiments and incompletely described risks of bias, and calls for independent, blinded replications</w:t>
      </w:r>
      <w:r>
        <w:rPr>
          <w:rStyle w:val="FootnoteReference"/>
        </w:rPr>
        <w:footnoteReference w:id="919"/>
      </w:r>
      <w:r>
        <w:t xml:space="preserve">. A short commentary in the journal Inflammopharmacology in 2025 specifically addressed a long review by this group</w:t>
      </w:r>
      <w:r>
        <w:rPr>
          <w:rStyle w:val="FootnoteReference"/>
        </w:rPr>
        <w:footnoteReference w:id="920"/>
      </w:r>
      <w:r>
        <w:t xml:space="preserve">.</w:t>
      </w:r>
    </w:p>
    <w:p>
      <w:pPr>
        <w:pStyle w:val="BodyText"/>
      </w:pPr>
      <w:r>
        <w:t xml:space="preserve">Independent work does exist – especially from Taiwan (tendon cells, blood vessels), South Korea and China – but it is considerably rarer and predominantly laboratory or cell experiments.</w:t>
      </w:r>
    </w:p>
    <w:bookmarkEnd w:id="921"/>
    <w:bookmarkStart w:id="922" w:name="overview-by-organ-system"/>
    <w:p>
      <w:pPr>
        <w:pStyle w:val="Heading4"/>
      </w:pPr>
      <w:r>
        <w:t xml:space="preserve">Overview by organ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Typical model</w:t>
            </w:r>
          </w:p>
        </w:tc>
        <w:tc>
          <w:tcPr/>
          <w:p>
            <w:pPr>
              <w:pStyle w:val="Compact"/>
              <w:jc w:val="left"/>
            </w:pPr>
            <w:r>
              <w:t xml:space="preserve">Reported result</w:t>
            </w:r>
          </w:p>
        </w:tc>
        <w:tc>
          <w:tcPr/>
          <w:p>
            <w:pPr>
              <w:pStyle w:val="Compact"/>
              <w:jc w:val="left"/>
            </w:pPr>
            <w:r>
              <w:t xml:space="preserve">Example</w:t>
            </w:r>
          </w:p>
        </w:tc>
      </w:tr>
      <w:tr>
        <w:tc>
          <w:tcPr/>
          <w:p>
            <w:pPr>
              <w:pStyle w:val="Compact"/>
              <w:jc w:val="left"/>
            </w:pPr>
            <w:r>
              <w:t xml:space="preserve">Tendon</w:t>
            </w:r>
          </w:p>
        </w:tc>
        <w:tc>
          <w:tcPr/>
          <w:p>
            <w:pPr>
              <w:pStyle w:val="Compact"/>
              <w:jc w:val="left"/>
            </w:pPr>
            <w:r>
              <w:t xml:space="preserve">severed Achilles tendon in rats</w:t>
            </w:r>
          </w:p>
        </w:tc>
        <w:tc>
          <w:tcPr/>
          <w:p>
            <w:pPr>
              <w:pStyle w:val="Compact"/>
              <w:jc w:val="left"/>
            </w:pPr>
            <w:r>
              <w:t xml:space="preserve">better load-bearing capacity, function and tissue structure</w:t>
            </w:r>
          </w:p>
        </w:tc>
        <w:tc>
          <w:tcPr/>
          <w:p>
            <w:pPr>
              <w:pStyle w:val="Compact"/>
              <w:jc w:val="left"/>
            </w:pPr>
            <w:r>
              <w:t xml:space="preserve">Staresinic 2003, PMID 14554208</w:t>
            </w:r>
          </w:p>
        </w:tc>
      </w:tr>
      <w:tr>
        <w:tc>
          <w:tcPr/>
          <w:p>
            <w:pPr>
              <w:pStyle w:val="Compact"/>
              <w:jc w:val="left"/>
            </w:pPr>
            <w:r>
              <w:t xml:space="preserve">Ligament</w:t>
            </w:r>
          </w:p>
        </w:tc>
        <w:tc>
          <w:tcPr/>
          <w:p>
            <w:pPr>
              <w:pStyle w:val="Compact"/>
              <w:jc w:val="left"/>
            </w:pPr>
            <w:r>
              <w:t xml:space="preserve">injured medial collateral ligament of the knee in rats</w:t>
            </w:r>
          </w:p>
        </w:tc>
        <w:tc>
          <w:tcPr/>
          <w:p>
            <w:pPr>
              <w:pStyle w:val="Compact"/>
              <w:jc w:val="left"/>
            </w:pPr>
            <w:r>
              <w:t xml:space="preserve">better healing</w:t>
            </w:r>
          </w:p>
        </w:tc>
        <w:tc>
          <w:tcPr/>
          <w:p>
            <w:pPr>
              <w:pStyle w:val="Compact"/>
              <w:jc w:val="left"/>
            </w:pPr>
            <w:r>
              <w:t xml:space="preserve">Cerovecki 2010, PMID 20225319</w:t>
            </w:r>
          </w:p>
        </w:tc>
      </w:tr>
      <w:tr>
        <w:tc>
          <w:tcPr/>
          <w:p>
            <w:pPr>
              <w:pStyle w:val="Compact"/>
              <w:jc w:val="left"/>
            </w:pPr>
            <w:r>
              <w:t xml:space="preserve">Muscle</w:t>
            </w:r>
          </w:p>
        </w:tc>
        <w:tc>
          <w:tcPr/>
          <w:p>
            <w:pPr>
              <w:pStyle w:val="Compact"/>
              <w:jc w:val="left"/>
            </w:pPr>
            <w:r>
              <w:t xml:space="preserve">severed thigh muscle in rats</w:t>
            </w:r>
          </w:p>
        </w:tc>
        <w:tc>
          <w:tcPr/>
          <w:p>
            <w:pPr>
              <w:pStyle w:val="Compact"/>
              <w:jc w:val="left"/>
            </w:pPr>
            <w:r>
              <w:t xml:space="preserve">better function</w:t>
            </w:r>
          </w:p>
        </w:tc>
        <w:tc>
          <w:tcPr/>
          <w:p>
            <w:pPr>
              <w:pStyle w:val="Compact"/>
              <w:jc w:val="left"/>
            </w:pPr>
            <w:r>
              <w:t xml:space="preserve">Staresinic 2006, PMID 16609979</w:t>
            </w:r>
          </w:p>
        </w:tc>
      </w:tr>
      <w:tr>
        <w:tc>
          <w:tcPr/>
          <w:p>
            <w:pPr>
              <w:pStyle w:val="Compact"/>
              <w:jc w:val="left"/>
            </w:pPr>
            <w:r>
              <w:t xml:space="preserve">Bone</w:t>
            </w:r>
          </w:p>
        </w:tc>
        <w:tc>
          <w:tcPr/>
          <w:p>
            <w:pPr>
              <w:pStyle w:val="Compact"/>
              <w:jc w:val="left"/>
            </w:pPr>
            <w:r>
              <w:t xml:space="preserve">bone defect in rabbits</w:t>
            </w:r>
          </w:p>
        </w:tc>
        <w:tc>
          <w:tcPr/>
          <w:p>
            <w:pPr>
              <w:pStyle w:val="Compact"/>
              <w:jc w:val="left"/>
            </w:pPr>
            <w:r>
              <w:t xml:space="preserve">markedly better defect healing on X-ray and in tissue</w:t>
            </w:r>
          </w:p>
        </w:tc>
        <w:tc>
          <w:tcPr/>
          <w:p>
            <w:pPr>
              <w:pStyle w:val="Compact"/>
              <w:jc w:val="left"/>
            </w:pPr>
            <w:r>
              <w:t xml:space="preserve">Sebecić 1999, PMID 10071911</w:t>
            </w:r>
          </w:p>
        </w:tc>
      </w:tr>
      <w:tr>
        <w:tc>
          <w:tcPr/>
          <w:p>
            <w:pPr>
              <w:pStyle w:val="Compact"/>
              <w:jc w:val="left"/>
            </w:pPr>
            <w:r>
              <w:t xml:space="preserve">Skin</w:t>
            </w:r>
          </w:p>
        </w:tc>
        <w:tc>
          <w:tcPr/>
          <w:p>
            <w:pPr>
              <w:pStyle w:val="Compact"/>
              <w:jc w:val="left"/>
            </w:pPr>
            <w:r>
              <w:t xml:space="preserve">incisional, burn and diabetic wounds in rats</w:t>
            </w:r>
          </w:p>
        </w:tc>
        <w:tc>
          <w:tcPr/>
          <w:p>
            <w:pPr>
              <w:pStyle w:val="Compact"/>
              <w:jc w:val="left"/>
            </w:pPr>
            <w:r>
              <w:t xml:space="preserve">faster wound healing</w:t>
            </w:r>
          </w:p>
        </w:tc>
        <w:tc>
          <w:tcPr/>
          <w:p>
            <w:pPr>
              <w:pStyle w:val="Compact"/>
              <w:jc w:val="left"/>
            </w:pPr>
            <w:r>
              <w:t xml:space="preserve">Seiwerth 2021, PMID 34267654</w:t>
            </w:r>
          </w:p>
        </w:tc>
      </w:tr>
      <w:tr>
        <w:tc>
          <w:tcPr/>
          <w:p>
            <w:pPr>
              <w:pStyle w:val="Compact"/>
              <w:jc w:val="left"/>
            </w:pPr>
            <w:r>
              <w:t xml:space="preserve">Gut</w:t>
            </w:r>
          </w:p>
        </w:tc>
        <w:tc>
          <w:tcPr/>
          <w:p>
            <w:pPr>
              <w:pStyle w:val="Compact"/>
              <w:jc w:val="left"/>
            </w:pPr>
            <w:r>
              <w:t xml:space="preserve">fistulas, colitis, anastomoses in rats</w:t>
            </w:r>
          </w:p>
        </w:tc>
        <w:tc>
          <w:tcPr/>
          <w:p>
            <w:pPr>
              <w:pStyle w:val="Compact"/>
              <w:jc w:val="left"/>
            </w:pPr>
            <w:r>
              <w:t xml:space="preserve">healing of fistulas and sutures</w:t>
            </w:r>
          </w:p>
        </w:tc>
        <w:tc>
          <w:tcPr/>
          <w:p>
            <w:pPr>
              <w:pStyle w:val="Compact"/>
              <w:jc w:val="left"/>
            </w:pPr>
            <w:r>
              <w:t xml:space="preserve">Sikiric 2020, PMID 32329684</w:t>
            </w:r>
          </w:p>
        </w:tc>
      </w:tr>
      <w:tr>
        <w:tc>
          <w:tcPr/>
          <w:p>
            <w:pPr>
              <w:pStyle w:val="Compact"/>
              <w:jc w:val="left"/>
            </w:pPr>
            <w:r>
              <w:t xml:space="preserve">Stomach</w:t>
            </w:r>
          </w:p>
        </w:tc>
        <w:tc>
          <w:tcPr/>
          <w:p>
            <w:pPr>
              <w:pStyle w:val="Compact"/>
              <w:jc w:val="left"/>
            </w:pPr>
            <w:r>
              <w:t xml:space="preserve">damage from painkillers and alcohol</w:t>
            </w:r>
          </w:p>
        </w:tc>
        <w:tc>
          <w:tcPr/>
          <w:p>
            <w:pPr>
              <w:pStyle w:val="Compact"/>
              <w:jc w:val="left"/>
            </w:pPr>
            <w:r>
              <w:t xml:space="preserve">protection of the mucosa</w:t>
            </w:r>
          </w:p>
        </w:tc>
        <w:tc>
          <w:tcPr/>
          <w:p>
            <w:pPr>
              <w:pStyle w:val="Compact"/>
              <w:jc w:val="left"/>
            </w:pPr>
            <w:r>
              <w:t xml:space="preserve">Ilic 2011, PMID 21295044</w:t>
            </w:r>
          </w:p>
        </w:tc>
      </w:tr>
      <w:tr>
        <w:tc>
          <w:tcPr/>
          <w:p>
            <w:pPr>
              <w:pStyle w:val="Compact"/>
              <w:jc w:val="left"/>
            </w:pPr>
            <w:r>
              <w:t xml:space="preserve">Blood vessels</w:t>
            </w:r>
          </w:p>
        </w:tc>
        <w:tc>
          <w:tcPr/>
          <w:p>
            <w:pPr>
              <w:pStyle w:val="Compact"/>
              <w:jc w:val="left"/>
            </w:pPr>
            <w:r>
              <w:t xml:space="preserve">ligated arteries and veins</w:t>
            </w:r>
          </w:p>
        </w:tc>
        <w:tc>
          <w:tcPr/>
          <w:p>
            <w:pPr>
              <w:pStyle w:val="Compact"/>
              <w:jc w:val="left"/>
            </w:pPr>
            <w:r>
              <w:t xml:space="preserve">bypass circulation, better blood flow</w:t>
            </w:r>
          </w:p>
        </w:tc>
        <w:tc>
          <w:tcPr/>
          <w:p>
            <w:pPr>
              <w:pStyle w:val="Compact"/>
              <w:jc w:val="left"/>
            </w:pPr>
            <w:r>
              <w:t xml:space="preserve">Sikiric 2022, PMID 35125818</w:t>
            </w:r>
          </w:p>
        </w:tc>
      </w:tr>
    </w:tbl>
    <w:p>
      <w:pPr>
        <w:pStyle w:val="BodyText"/>
      </w:pPr>
      <w:r>
        <w:t xml:space="preserve">In addition, there are papers on the brain, eye, heart, bladder, poisonings and metabolic derangements – in rats and mice. Proponents read this enormous range as a strength. From a methodological point of view, it is more of a warning sign: a substance that improves almost every disorder in almost every model tested requires particularly careful, independent verification.</w:t>
      </w:r>
    </w:p>
    <w:bookmarkEnd w:id="922"/>
    <w:bookmarkStart w:id="925" w:name="pharmacokinetics-and-toxicology"/>
    <w:p>
      <w:pPr>
        <w:pStyle w:val="Heading4"/>
      </w:pPr>
      <w:r>
        <w:t xml:space="preserve">Pharmacokinetics and toxicology</w:t>
      </w:r>
    </w:p>
    <w:p>
      <w:pPr>
        <w:pStyle w:val="FirstParagraph"/>
      </w:pPr>
      <w:r>
        <w:t xml:space="preserve">A Chinese research group studied BPC-157 according to the usual rules of drug development. In rats and beagle dogs, the half-life of the unchanged peptide was under 30 minutes; after injection into the muscle, about 14 to 19 percent reached the bloodstream in rats and 45 to 51 percent in dogs. BPC-157 was rapidly broken down into small fragments and amino acids and excreted via urine and bile</w:t>
      </w:r>
      <w:r>
        <w:rPr>
          <w:rStyle w:val="FootnoteReference"/>
        </w:rPr>
        <w:footnoteReference w:id="923"/>
      </w:r>
      <w:r>
        <w:t xml:space="preserve">. In toxicity tests in mice, rats, rabbits and dogs, the same researchers found no serious damage, no genetic damage and no harm to embryos; in dogs, the creatinine level fell temporarily at the highest dose</w:t>
      </w:r>
      <w:r>
        <w:rPr>
          <w:rStyle w:val="FootnoteReference"/>
        </w:rPr>
        <w:footnoteReference w:id="924"/>
      </w:r>
      <w:r>
        <w:t xml:space="preserve">. Such animal data are a prerequisite for human studies but do not replace them.</w:t>
      </w:r>
    </w:p>
    <w:bookmarkEnd w:id="925"/>
    <w:bookmarkEnd w:id="926"/>
    <w:bookmarkStart w:id="939" w:name="risks-and-side-effects-15"/>
    <w:p>
      <w:pPr>
        <w:pStyle w:val="Heading3"/>
      </w:pPr>
      <w:r>
        <w:t xml:space="preserve">Risks and side effects</w:t>
      </w:r>
    </w:p>
    <w:bookmarkStart w:id="928" w:name="documented"/>
    <w:p>
      <w:pPr>
        <w:pStyle w:val="Heading4"/>
      </w:pPr>
      <w:r>
        <w:t xml:space="preserve">Documented</w:t>
      </w:r>
    </w:p>
    <w:p>
      <w:pPr>
        <w:pStyle w:val="FirstParagraph"/>
      </w:pPr>
      <w:r>
        <w:t xml:space="preserve">There are practically no documented side effects in humans – but not because BPC-157 has been shown to be safe, but because hardly anyone has systematically looked for them. The three pilot investigations with a combined total of around 30 people reported no side effects</w:t>
      </w:r>
      <w:r>
        <w:rPr>
          <w:rStyle w:val="FootnoteReference"/>
        </w:rPr>
        <w:footnoteReference w:id="927"/>
      </w:r>
      <w:r>
        <w:t xml:space="preserve">. With 30 people, only common, immediately occurring problems can be detected. A side effect affecting one in a thousand people would remain invisible.</w:t>
      </w:r>
    </w:p>
    <w:bookmarkEnd w:id="928"/>
    <w:bookmarkStart w:id="932" w:name="Xb36a78276606f98c1afd46f6884a2e43514c1af"/>
    <w:p>
      <w:pPr>
        <w:pStyle w:val="Heading4"/>
      </w:pPr>
      <w:r>
        <w:t xml:space="preserve">Theoretical: new blood vessel formation and tumor growth</w:t>
      </w:r>
    </w:p>
    <w:p>
      <w:pPr>
        <w:pStyle w:val="FirstParagraph"/>
      </w:pPr>
      <w:r>
        <w:t xml:space="preserve">The most frequently discussed theoretical risk follows directly from the presumed mechanism of action. If BPC-157 promotes the formation of new blood vessels, it could – so the concern goes – also improve the blood supply of existing, perhaps still undetected tumors. Tumors of a few millimeters or more need their own blood vessels to keep growing. This is why inhibitors of the VEGF pathway are established cancer drugs. A substance that upregulates VEGF receptor 2 in cell cultures</w:t>
      </w:r>
      <w:r>
        <w:rPr>
          <w:rStyle w:val="FootnoteReference"/>
        </w:rPr>
        <w:footnoteReference w:id="929"/>
      </w:r>
      <w:r>
        <w:t xml:space="preserve"> </w:t>
      </w:r>
      <w:r>
        <w:t xml:space="preserve">warrants caution here. Several reviews explicitly name pathological new blood vessel formation and possible cancer promotion as an unresolved risk</w:t>
      </w:r>
      <w:r>
        <w:rPr>
          <w:rStyle w:val="FootnoteReference"/>
        </w:rPr>
        <w:footnoteReference w:id="930"/>
      </w:r>
      <w:r>
        <w:t xml:space="preserve">.</w:t>
      </w:r>
    </w:p>
    <w:p>
      <w:pPr>
        <w:pStyle w:val="BodyText"/>
      </w:pPr>
      <w:r>
        <w:t xml:space="preserve">The Zagreb group disagrees: BPC-157 regulates blood vessel formation rather than blindly boosting it, prevents, for example, pathological vessel ingrowth in the cornea of the eye and even shows anti-tumor effects in animal and cell experiments</w:t>
      </w:r>
      <w:r>
        <w:rPr>
          <w:rStyle w:val="FootnoteReference"/>
        </w:rPr>
        <w:footnoteReference w:id="931"/>
      </w:r>
      <w:r>
        <w:t xml:space="preserve">. These data, again, come predominantly from the same group. Long-term studies on cancer development (carcinogenicity studies), as are customary for approved medicines, have not been published for BPC-157. The question is therefore open – neither confirmed nor refuted. Part IV of this book deals with the topic of growth signals and cancer risk in detail.</w:t>
      </w:r>
    </w:p>
    <w:bookmarkEnd w:id="932"/>
    <w:bookmarkStart w:id="935" w:name="gray-market-risks"/>
    <w:p>
      <w:pPr>
        <w:pStyle w:val="Heading4"/>
      </w:pPr>
      <w:r>
        <w:t xml:space="preserve">Gray-market risks</w:t>
      </w:r>
    </w:p>
    <w:p>
      <w:pPr>
        <w:pStyle w:val="FirstParagraph"/>
      </w:pPr>
      <w:r>
        <w:t xml:space="preserve">The greatest practical risk probably lies not in the substance itself but in the products. BPC-157 is mostly sold as a</w:t>
      </w:r>
      <w:r>
        <w:t xml:space="preserve"> </w:t>
      </w:r>
      <w:r>
        <w:t xml:space="preserve">“</w:t>
      </w:r>
      <w:r>
        <w:t xml:space="preserve">research chemical</w:t>
      </w:r>
      <w:r>
        <w:t xml:space="preserve">”</w:t>
      </w:r>
      <w:r>
        <w:t xml:space="preserve"> </w:t>
      </w:r>
      <w:r>
        <w:t xml:space="preserve">without pharmaceutical quality. Reviews name contaminants, incorrect concentrations, lack of sterility and fluctuating manufacturing quality as concrete dangers</w:t>
      </w:r>
      <w:r>
        <w:rPr>
          <w:rStyle w:val="FootnoteReference"/>
        </w:rPr>
        <w:footnoteReference w:id="933"/>
      </w:r>
      <w:r>
        <w:t xml:space="preserve">. As early as 2017, an anti-doping laboratory described BPC-157 from seized vials</w:t>
      </w:r>
      <w:r>
        <w:rPr>
          <w:rStyle w:val="FootnoteReference"/>
        </w:rPr>
        <w:footnoteReference w:id="934"/>
      </w:r>
      <w:r>
        <w:t xml:space="preserve">. With injections, there are additional infection risks from non-sterile solutions. Chapter I.5 and Part IV deal with laboratory analyses of gray-market peptides in detail.</w:t>
      </w:r>
    </w:p>
    <w:bookmarkEnd w:id="935"/>
    <w:bookmarkStart w:id="938" w:name="further-open-questions"/>
    <w:p>
      <w:pPr>
        <w:pStyle w:val="Heading4"/>
      </w:pPr>
      <w:r>
        <w:t xml:space="preserve">Further open questions</w:t>
      </w:r>
    </w:p>
    <w:p>
      <w:pPr>
        <w:numPr>
          <w:ilvl w:val="0"/>
          <w:numId w:val="1117"/>
        </w:numPr>
        <w:pStyle w:val="Compact"/>
      </w:pPr>
      <w:r>
        <w:rPr>
          <w:bCs/>
          <w:b/>
        </w:rPr>
        <w:t xml:space="preserve">Interactions:</w:t>
      </w:r>
      <w:r>
        <w:t xml:space="preserve"> </w:t>
      </w:r>
      <w:r>
        <w:t xml:space="preserve">In animal experiments, BPC-157 influenced blood clotting, blood pressure and nervous system messengers</w:t>
      </w:r>
      <w:r>
        <w:rPr>
          <w:rStyle w:val="FootnoteReference"/>
        </w:rPr>
        <w:footnoteReference w:id="936"/>
      </w:r>
      <w:r>
        <w:t xml:space="preserve">. Whether this is relevant in humans for people on anticoagulants, with cardiovascular disease or on psychiatric medication, no one knows.</w:t>
      </w:r>
    </w:p>
    <w:p>
      <w:pPr>
        <w:numPr>
          <w:ilvl w:val="0"/>
          <w:numId w:val="1117"/>
        </w:numPr>
        <w:pStyle w:val="Compact"/>
      </w:pPr>
      <w:r>
        <w:rPr>
          <w:bCs/>
          <w:b/>
        </w:rPr>
        <w:t xml:space="preserve">Pregnancy and breastfeeding, children and adolescents:</w:t>
      </w:r>
      <w:r>
        <w:t xml:space="preserve"> </w:t>
      </w:r>
      <w:r>
        <w:t xml:space="preserve">no human data.</w:t>
      </w:r>
    </w:p>
    <w:p>
      <w:pPr>
        <w:numPr>
          <w:ilvl w:val="0"/>
          <w:numId w:val="1117"/>
        </w:numPr>
        <w:pStyle w:val="Compact"/>
      </w:pPr>
      <w:r>
        <w:rPr>
          <w:bCs/>
          <w:b/>
        </w:rPr>
        <w:t xml:space="preserve">Placebo effect:</w:t>
      </w:r>
      <w:r>
        <w:t xml:space="preserve"> </w:t>
      </w:r>
      <w:r>
        <w:t xml:space="preserve">A sports medicine review points out that social media can amplify the placebo effect with such peptides</w:t>
      </w:r>
      <w:r>
        <w:rPr>
          <w:rStyle w:val="FootnoteReference"/>
        </w:rPr>
        <w:footnoteReference w:id="937"/>
      </w:r>
      <w:r>
        <w:t xml:space="preserve">. Personal success stories are therefore no proof of efficacy.</w:t>
      </w:r>
    </w:p>
    <w:bookmarkEnd w:id="938"/>
    <w:bookmarkEnd w:id="939"/>
    <w:bookmarkStart w:id="943" w:name="legal-status-15"/>
    <w:p>
      <w:pPr>
        <w:pStyle w:val="Heading3"/>
      </w:pPr>
      <w:r>
        <w:t xml:space="preserve">Legal status</w:t>
      </w:r>
    </w:p>
    <w:p>
      <w:pPr>
        <w:pStyle w:val="FirstParagraph"/>
      </w:pPr>
      <w:r>
        <w:rPr>
          <w:iCs/>
          <w:i/>
        </w:rPr>
        <w:t xml:space="preserve">As of 2026, please check for updates.</w:t>
      </w:r>
    </w:p>
    <w:p>
      <w:pPr>
        <w:numPr>
          <w:ilvl w:val="0"/>
          <w:numId w:val="1118"/>
        </w:numPr>
        <w:pStyle w:val="Compact"/>
      </w:pPr>
      <w:r>
        <w:rPr>
          <w:bCs/>
          <w:b/>
        </w:rPr>
        <w:t xml:space="preserve">EU:</w:t>
      </w:r>
      <w:r>
        <w:t xml:space="preserve"> </w:t>
      </w:r>
      <w:r>
        <w:t xml:space="preserve">BPC-157 is not approved as a medicine in any member state. A substance offered for the treatment of diseases in humans is legally considered a medicine; without approval it may not be placed on the market. The notice</w:t>
      </w:r>
      <w:r>
        <w:t xml:space="preserve"> </w:t>
      </w:r>
      <w:r>
        <w:t xml:space="preserve">“</w:t>
      </w:r>
      <w:r>
        <w:t xml:space="preserve">for research purposes only</w:t>
      </w:r>
      <w:r>
        <w:t xml:space="preserve">”</w:t>
      </w:r>
      <w:r>
        <w:t xml:space="preserve"> </w:t>
      </w:r>
      <w:r>
        <w:t xml:space="preserve">does not change this if the product is evidently intended for use in humans.</w:t>
      </w:r>
    </w:p>
    <w:p>
      <w:pPr>
        <w:numPr>
          <w:ilvl w:val="0"/>
          <w:numId w:val="1118"/>
        </w:numPr>
        <w:pStyle w:val="Compact"/>
      </w:pPr>
      <w:r>
        <w:rPr>
          <w:bCs/>
          <w:b/>
        </w:rPr>
        <w:t xml:space="preserve">Germany and Austria:</w:t>
      </w:r>
      <w:r>
        <w:t xml:space="preserve"> </w:t>
      </w:r>
      <w:r>
        <w:t xml:space="preserve">no approval, and no basis for pharmacy compounding either. Supplying it for use in humans is impermissible under the respective medicines act. In sport, anti-doping rules additionally apply.</w:t>
      </w:r>
    </w:p>
    <w:p>
      <w:pPr>
        <w:numPr>
          <w:ilvl w:val="0"/>
          <w:numId w:val="1118"/>
        </w:numPr>
        <w:pStyle w:val="Compact"/>
      </w:pPr>
      <w:r>
        <w:rPr>
          <w:bCs/>
          <w:b/>
        </w:rPr>
        <w:t xml:space="preserve">USA:</w:t>
      </w:r>
      <w:r>
        <w:t xml:space="preserve"> </w:t>
      </w:r>
      <w:r>
        <w:t xml:space="preserve">no FDA approval. In 2023, the FDA assigned BPC-157 to Category 2 among the bulk substances for compounding – substances for which there are significant safety concerns. In the agency’s view, compounding pharmacies may therefore not process it. The classification of peptides has since been debated controversially in the FDA’s Pharmacy Compounding Advisory Committee (PCAC) and in professional circles</w:t>
      </w:r>
      <w:r>
        <w:rPr>
          <w:rStyle w:val="FootnoteReference"/>
        </w:rPr>
        <w:footnoteReference w:id="940"/>
      </w:r>
      <w:r>
        <w:t xml:space="preserve">; changes are possible.</w:t>
      </w:r>
    </w:p>
    <w:p>
      <w:pPr>
        <w:numPr>
          <w:ilvl w:val="0"/>
          <w:numId w:val="1118"/>
        </w:numPr>
        <w:pStyle w:val="Compact"/>
      </w:pPr>
      <w:r>
        <w:rPr>
          <w:bCs/>
          <w:b/>
        </w:rPr>
        <w:t xml:space="preserve">WADA:</w:t>
      </w:r>
      <w:r>
        <w:t xml:space="preserve"> </w:t>
      </w:r>
      <w:r>
        <w:t xml:space="preserve">BPC-157 has been listed by name in group S0 (non-approved substances) of the Prohibited List since 2022 and is thus prohibited in and out of competition. A 2025 review states, to the contrary, that BPC-157 is currently not listed</w:t>
      </w:r>
      <w:r>
        <w:rPr>
          <w:rStyle w:val="FootnoteReference"/>
        </w:rPr>
        <w:footnoteReference w:id="941"/>
      </w:r>
      <w:r>
        <w:t xml:space="preserve"> </w:t>
      </w:r>
      <w:r>
        <w:t xml:space="preserve">– to the author’s knowledge, this is not correct for the current list. Anti-doping laboratories have developed detection methods in urine</w:t>
      </w:r>
      <w:r>
        <w:rPr>
          <w:rStyle w:val="FootnoteReference"/>
        </w:rPr>
        <w:footnoteReference w:id="942"/>
      </w:r>
      <w:r>
        <w:t xml:space="preserve">.</w:t>
      </w:r>
    </w:p>
    <w:bookmarkEnd w:id="943"/>
    <w:bookmarkStart w:id="949" w:name="ongoing-studies-and-outlook-15"/>
    <w:p>
      <w:pPr>
        <w:pStyle w:val="Heading3"/>
      </w:pPr>
      <w:r>
        <w:t xml:space="preserve">Ongoing studies and outlook</w:t>
      </w:r>
    </w:p>
    <w:p>
      <w:pPr>
        <w:pStyle w:val="FirstParagraph"/>
      </w:pPr>
      <w:r>
        <w:t xml:space="preserve">As of October 2026, four trials with BPC-157 are entered on ClinicalTrials.gov: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Status</w:t>
            </w:r>
          </w:p>
        </w:tc>
        <w:tc>
          <w:tcPr/>
          <w:p>
            <w:pPr>
              <w:pStyle w:val="Compact"/>
              <w:jc w:val="left"/>
            </w:pPr>
            <w:r>
              <w:t xml:space="preserve">Topic</w:t>
            </w:r>
          </w:p>
        </w:tc>
      </w:tr>
      <w:tr>
        <w:tc>
          <w:tcPr/>
          <w:p>
            <w:pPr>
              <w:pStyle w:val="Compact"/>
              <w:jc w:val="left"/>
            </w:pPr>
            <w:r>
              <w:t xml:space="preserve">NCT07437547</w:t>
            </w:r>
          </w:p>
        </w:tc>
        <w:tc>
          <w:tcPr/>
          <w:p>
            <w:pPr>
              <w:pStyle w:val="Compact"/>
              <w:jc w:val="left"/>
            </w:pPr>
            <w:r>
              <w:t xml:space="preserve">Phase 2, randomized, double-blind, placebo, 120 people planned</w:t>
            </w:r>
          </w:p>
        </w:tc>
        <w:tc>
          <w:tcPr/>
          <w:p>
            <w:pPr>
              <w:pStyle w:val="Compact"/>
              <w:jc w:val="left"/>
            </w:pPr>
            <w:r>
              <w:t xml:space="preserve">according to registry recruiting since February 2026; authenticity questionable (see text)</w:t>
            </w:r>
          </w:p>
        </w:tc>
        <w:tc>
          <w:tcPr/>
          <w:p>
            <w:pPr>
              <w:pStyle w:val="Compact"/>
              <w:jc w:val="left"/>
            </w:pPr>
            <w:r>
              <w:t xml:space="preserve">acute hamstring strain; time to return to sport, MRI findings</w:t>
            </w:r>
          </w:p>
        </w:tc>
      </w:tr>
      <w:tr>
        <w:tc>
          <w:tcPr/>
          <w:p>
            <w:pPr>
              <w:pStyle w:val="Compact"/>
              <w:jc w:val="left"/>
            </w:pPr>
            <w:r>
              <w:t xml:space="preserve">NCT07803250</w:t>
            </w:r>
          </w:p>
        </w:tc>
        <w:tc>
          <w:tcPr/>
          <w:p>
            <w:pPr>
              <w:pStyle w:val="Compact"/>
              <w:jc w:val="left"/>
            </w:pPr>
            <w:r>
              <w:t xml:space="preserve">Phase 1, randomized, 30 people planned</w:t>
            </w:r>
          </w:p>
        </w:tc>
        <w:tc>
          <w:tcPr/>
          <w:p>
            <w:pPr>
              <w:pStyle w:val="Compact"/>
              <w:jc w:val="left"/>
            </w:pPr>
            <w:r>
              <w:t xml:space="preserve">not yet recruiting, start planned 2027</w:t>
            </w:r>
          </w:p>
        </w:tc>
        <w:tc>
          <w:tcPr/>
          <w:p>
            <w:pPr>
              <w:pStyle w:val="Compact"/>
              <w:jc w:val="left"/>
            </w:pPr>
            <w:r>
              <w:t xml:space="preserve">healing after rotator cuff surgery (shoulder)</w:t>
            </w:r>
          </w:p>
        </w:tc>
      </w:tr>
      <w:tr>
        <w:tc>
          <w:tcPr/>
          <w:p>
            <w:pPr>
              <w:pStyle w:val="Compact"/>
              <w:jc w:val="left"/>
            </w:pPr>
            <w:r>
              <w:t xml:space="preserve">NCT07752381</w:t>
            </w:r>
          </w:p>
        </w:tc>
        <w:tc>
          <w:tcPr/>
          <w:p>
            <w:pPr>
              <w:pStyle w:val="Compact"/>
              <w:jc w:val="left"/>
            </w:pPr>
            <w:r>
              <w:t xml:space="preserve">single group without control, 40 people</w:t>
            </w:r>
          </w:p>
        </w:tc>
        <w:tc>
          <w:tcPr/>
          <w:p>
            <w:pPr>
              <w:pStyle w:val="Compact"/>
              <w:jc w:val="left"/>
            </w:pPr>
            <w:r>
              <w:t xml:space="preserve">completed 2025, no results in registry</w:t>
            </w:r>
          </w:p>
        </w:tc>
        <w:tc>
          <w:tcPr/>
          <w:p>
            <w:pPr>
              <w:pStyle w:val="Compact"/>
              <w:jc w:val="left"/>
            </w:pPr>
            <w:r>
              <w:t xml:space="preserve">a manufacturer’s gummies; inflammatory markers and self-assessment</w:t>
            </w:r>
          </w:p>
        </w:tc>
      </w:tr>
      <w:tr>
        <w:tc>
          <w:tcPr/>
          <w:p>
            <w:pPr>
              <w:pStyle w:val="Compact"/>
              <w:jc w:val="left"/>
            </w:pPr>
            <w:r>
              <w:t xml:space="preserve">NCT02637284</w:t>
            </w:r>
          </w:p>
        </w:tc>
        <w:tc>
          <w:tcPr/>
          <w:p>
            <w:pPr>
              <w:pStyle w:val="Compact"/>
              <w:jc w:val="left"/>
            </w:pPr>
            <w:r>
              <w:t xml:space="preserve">Phase 1, tablets, 42 healthy people planned</w:t>
            </w:r>
          </w:p>
        </w:tc>
        <w:tc>
          <w:tcPr/>
          <w:p>
            <w:pPr>
              <w:pStyle w:val="Compact"/>
              <w:jc w:val="left"/>
            </w:pPr>
            <w:r>
              <w:t xml:space="preserve">status unknown since 2016</w:t>
            </w:r>
          </w:p>
        </w:tc>
        <w:tc>
          <w:tcPr/>
          <w:p>
            <w:pPr>
              <w:pStyle w:val="Compact"/>
              <w:jc w:val="left"/>
            </w:pPr>
            <w:r>
              <w:t xml:space="preserve">safety and pharmacokinetics</w:t>
            </w:r>
          </w:p>
        </w:tc>
      </w:tr>
    </w:tbl>
    <w:p>
      <w:pPr>
        <w:pStyle w:val="BodyText"/>
      </w:pPr>
      <w:r>
        <w:t xml:space="preserve">Little is</w:t>
      </w:r>
      <w:r>
        <w:t xml:space="preserve"> </w:t>
      </w:r>
      <w:r>
        <w:rPr>
          <w:bCs/>
          <w:b/>
        </w:rPr>
        <w:t xml:space="preserve">confirmed</w:t>
      </w:r>
      <w:r>
        <w:t xml:space="preserve">. On paper, the Phase 2 trial on hamstring strains</w:t>
      </w:r>
      <w:r>
        <w:rPr>
          <w:rStyle w:val="FootnoteReference"/>
        </w:rPr>
        <w:footnoteReference w:id="944"/>
      </w:r>
      <w:r>
        <w:t xml:space="preserve"> </w:t>
      </w:r>
      <w:r>
        <w:t xml:space="preserve">would be the first randomized, placebo-controlled trial with an objective endpoint (MRI) and adequate size. When checked for this book, however, it was noticed that the same sponsor (</w:t>
      </w:r>
      <w:r>
        <w:t xml:space="preserve">“</w:t>
      </w:r>
      <w:r>
        <w:t xml:space="preserve">Hudson Biotech</w:t>
      </w:r>
      <w:r>
        <w:t xml:space="preserve">”</w:t>
      </w:r>
      <w:r>
        <w:t xml:space="preserve">), with an identical study site and identical contact person, has created a second entry on TB-500</w:t>
      </w:r>
      <w:r>
        <w:rPr>
          <w:rStyle w:val="FootnoteReference"/>
        </w:rPr>
        <w:footnoteReference w:id="945"/>
      </w:r>
      <w:r>
        <w:t xml:space="preserve"> </w:t>
      </w:r>
      <w:r>
        <w:t xml:space="preserve">which, in its own description, explicitly calls itself a</w:t>
      </w:r>
      <w:r>
        <w:t xml:space="preserve"> </w:t>
      </w:r>
      <w:r>
        <w:t xml:space="preserve">“</w:t>
      </w:r>
      <w:r>
        <w:t xml:space="preserve">fictitious</w:t>
      </w:r>
      <w:r>
        <w:t xml:space="preserve">”</w:t>
      </w:r>
      <w:r>
        <w:t xml:space="preserve"> </w:t>
      </w:r>
      <w:r>
        <w:t xml:space="preserve">example of a registry entry. Whether the BPC-157 trial is actually being conducted therefore cannot be stated reliably. ClinicalTrials.gov checks entries only formally, not for content – registration alone does not prove that a trial is taking place.</w:t>
      </w:r>
    </w:p>
    <w:p>
      <w:pPr>
        <w:pStyle w:val="BodyText"/>
      </w:pPr>
      <w:r>
        <w:t xml:space="preserve">The shoulder trial at the University of Arkansas</w:t>
      </w:r>
      <w:r>
        <w:rPr>
          <w:rStyle w:val="FootnoteReference"/>
        </w:rPr>
        <w:footnoteReference w:id="946"/>
      </w:r>
      <w:r>
        <w:t xml:space="preserve"> </w:t>
      </w:r>
      <w:r>
        <w:t xml:space="preserve">is randomized and blinded, but small and has not yet begun. A manufacturer’s gummy trial</w:t>
      </w:r>
      <w:r>
        <w:rPr>
          <w:rStyle w:val="FootnoteReference"/>
        </w:rPr>
        <w:footnoteReference w:id="947"/>
      </w:r>
      <w:r>
        <w:t xml:space="preserve"> </w:t>
      </w:r>
      <w:r>
        <w:t xml:space="preserve">has no control group and mainly measures self-reports; it will not answer the open questions.</w:t>
      </w:r>
    </w:p>
    <w:p>
      <w:pPr>
        <w:pStyle w:val="BodyText"/>
      </w:pPr>
      <w:r>
        <w:rPr>
          <w:bCs/>
          <w:b/>
        </w:rPr>
        <w:t xml:space="preserve">Author’s assessment:</w:t>
      </w:r>
      <w:r>
        <w:t xml:space="preserve"> </w:t>
      </w:r>
      <w:r>
        <w:t xml:space="preserve">No robust efficacy data in humans are to be expected before 2028. Even a positive result from a small pilot study would only be a first indication – not yet a basis for approval, which requires several larger trials and long-term safety data. A negative result would probably do little to change the peptide’s online reputation. A pharmaceutical review emphasizes that to this day there is no standardized, validated pharmaceutical form</w:t>
      </w:r>
      <w:r>
        <w:rPr>
          <w:rStyle w:val="FootnoteReference"/>
        </w:rPr>
        <w:footnoteReference w:id="948"/>
      </w:r>
      <w:r>
        <w:t xml:space="preserve"> </w:t>
      </w:r>
      <w:r>
        <w:t xml:space="preserve">– this, too, must be resolved before approval.</w:t>
      </w:r>
    </w:p>
    <w:bookmarkEnd w:id="949"/>
    <w:bookmarkStart w:id="952" w:name="conclusion-15"/>
    <w:p>
      <w:pPr>
        <w:pStyle w:val="Heading3"/>
      </w:pPr>
      <w:r>
        <w:t xml:space="preserve">Conclusion</w:t>
      </w:r>
    </w:p>
    <w:p>
      <w:pPr>
        <w:pStyle w:val="FirstParagraph"/>
      </w:pPr>
      <w:r>
        <w:t xml:space="preserve">BPC-157 is a peptide with an unusually large number of animal studies, almost all of which report positive results – predominantly from a single Zagreb research group and without sufficient independent replication. In humans, there are only three small, uncontrolled investigations with a combined total of around 30 people, whose quality is rated as very low</w:t>
      </w:r>
      <w:r>
        <w:rPr>
          <w:rStyle w:val="FootnoteReference"/>
        </w:rPr>
        <w:footnoteReference w:id="950"/>
      </w:r>
      <w:r>
        <w:t xml:space="preserve">. Long-term safety, in particular the theoretical question of promotion of tumor growth via new blood vessel formation, has not been studied, and gray-market products bring their own risks. Randomized trials are only registered or planned so far</w:t>
      </w:r>
      <w:r>
        <w:rPr>
          <w:rStyle w:val="FootnoteReference"/>
        </w:rPr>
        <w:footnoteReference w:id="951"/>
      </w:r>
      <w:r>
        <w:t xml:space="preserve">; until robust results are available, BPC-157 remains an experimental substance whose benefit in humans has not been proven. For athletes, it is prohibited under WADA rules.</w:t>
      </w:r>
    </w:p>
    <w:bookmarkEnd w:id="952"/>
    <w:bookmarkEnd w:id="953"/>
    <w:bookmarkStart w:id="1003" w:name="tb-500-and-thymosin-beta-4"/>
    <w:p>
      <w:pPr>
        <w:pStyle w:val="Heading2"/>
      </w:pPr>
      <w:r>
        <w:t xml:space="preserve">TB-500 and Thymosin Beta-4</w:t>
      </w:r>
    </w:p>
    <w:p>
      <w:pPr>
        <w:pStyle w:val="FirstParagraph"/>
      </w:pPr>
      <w:r>
        <w:t xml:space="preserve">Online,</w:t>
      </w:r>
      <w:r>
        <w:t xml:space="preserve"> </w:t>
      </w:r>
      <w:r>
        <w:t xml:space="preserve">“</w:t>
      </w:r>
      <w:r>
        <w:t xml:space="preserve">TB-500</w:t>
      </w:r>
      <w:r>
        <w:t xml:space="preserve">”</w:t>
      </w:r>
      <w:r>
        <w:t xml:space="preserve"> </w:t>
      </w:r>
      <w:r>
        <w:t xml:space="preserve">and</w:t>
      </w:r>
      <w:r>
        <w:t xml:space="preserve"> </w:t>
      </w:r>
      <w:r>
        <w:t xml:space="preserve">“</w:t>
      </w:r>
      <w:r>
        <w:t xml:space="preserve">thymosin beta-4</w:t>
      </w:r>
      <w:r>
        <w:t xml:space="preserve">”</w:t>
      </w:r>
      <w:r>
        <w:t xml:space="preserve"> </w:t>
      </w:r>
      <w:r>
        <w:t xml:space="preserve">are usually sold as the same thing. That is wrong, and the difference is decisive for the assessment. Thymosin beta-4 is an endogenous protein of 43 amino acids that has been studied in several clinical trials – mainly as eye drops and as an infusion after a heart attack. TB-500, by contrast, is a short, artificially modified fragment of it that has never been tested in a published human study. This chapter keeps the two cleanly separate.</w:t>
      </w:r>
    </w:p>
    <w:bookmarkStart w:id="955" w:name="profile-16"/>
    <w:p>
      <w:pPr>
        <w:pStyle w:val="Heading3"/>
      </w:pPr>
      <w:r>
        <w:t xml:space="preserve">Profile</w:t>
      </w:r>
    </w:p>
    <w:p>
      <w:pPr>
        <w:numPr>
          <w:ilvl w:val="0"/>
          <w:numId w:val="1119"/>
        </w:numPr>
        <w:pStyle w:val="Compact"/>
      </w:pPr>
      <w:r>
        <w:rPr>
          <w:bCs/>
          <w:b/>
        </w:rPr>
        <w:t xml:space="preserve">Thymosin beta-4 (Tβ4):</w:t>
      </w:r>
      <w:r>
        <w:t xml:space="preserve"> </w:t>
      </w:r>
      <w:r>
        <w:t xml:space="preserve">endogenous peptide of 43 amino acids, present in almost all cells; main function: binds the structural protein actin and thereby regulates cell shape and cell movement. Produced synthetically or by genetic engineering (recombinant) for studies; development names RGN-259 (eye drops), RGN-352 (injection), NL005 (recombinant, China).</w:t>
      </w:r>
    </w:p>
    <w:p>
      <w:pPr>
        <w:numPr>
          <w:ilvl w:val="0"/>
          <w:numId w:val="1119"/>
        </w:numPr>
        <w:pStyle w:val="Compact"/>
      </w:pPr>
      <w:r>
        <w:rPr>
          <w:bCs/>
          <w:b/>
        </w:rPr>
        <w:t xml:space="preserve">TB-500:</w:t>
      </w:r>
      <w:r>
        <w:t xml:space="preserve"> </w:t>
      </w:r>
      <w:r>
        <w:t xml:space="preserve">the fragment of amino acids 17 to 23 of Tβ4, chemically modified (acetylated) at the beginning, sequence Ac-LKKTETQ</w:t>
      </w:r>
      <w:r>
        <w:rPr>
          <w:rStyle w:val="FootnoteReference"/>
        </w:rPr>
        <w:footnoteReference w:id="954"/>
      </w:r>
      <w:r>
        <w:t xml:space="preserve">. Originally appeared as a veterinary drug in horse racing.</w:t>
      </w:r>
    </w:p>
    <w:p>
      <w:pPr>
        <w:numPr>
          <w:ilvl w:val="0"/>
          <w:numId w:val="1119"/>
        </w:numPr>
        <w:pStyle w:val="Compact"/>
      </w:pPr>
      <w:r>
        <w:rPr>
          <w:bCs/>
          <w:b/>
        </w:rPr>
        <w:t xml:space="preserve">Mechanism of action (presumed):</w:t>
      </w:r>
      <w:r>
        <w:t xml:space="preserve"> </w:t>
      </w:r>
      <w:r>
        <w:t xml:space="preserve">promotion of cell migration, new blood vessel formation and wound healing, dampening of inflammation.</w:t>
      </w:r>
    </w:p>
    <w:p>
      <w:pPr>
        <w:numPr>
          <w:ilvl w:val="0"/>
          <w:numId w:val="1119"/>
        </w:numPr>
        <w:pStyle w:val="Compact"/>
      </w:pPr>
      <w:r>
        <w:rPr>
          <w:bCs/>
          <w:b/>
        </w:rPr>
        <w:t xml:space="preserve">Approval EU/USA:</w:t>
      </w:r>
      <w:r>
        <w:t xml:space="preserve"> </w:t>
      </w:r>
      <w:r>
        <w:t xml:space="preserve">neither Tβ4 nor TB-500 is approved.</w:t>
      </w:r>
    </w:p>
    <w:p>
      <w:pPr>
        <w:numPr>
          <w:ilvl w:val="0"/>
          <w:numId w:val="1119"/>
        </w:numPr>
        <w:pStyle w:val="Compact"/>
      </w:pPr>
      <w:r>
        <w:rPr>
          <w:bCs/>
          <w:b/>
        </w:rPr>
        <w:t xml:space="preserve">WADA:</w:t>
      </w:r>
      <w:r>
        <w:t xml:space="preserve"> </w:t>
      </w:r>
      <w:r>
        <w:t xml:space="preserve">prohibited (S2, growth factors;</w:t>
      </w:r>
      <w:r>
        <w:t xml:space="preserve"> </w:t>
      </w:r>
      <w:r>
        <w:t xml:space="preserve">“</w:t>
      </w:r>
      <w:r>
        <w:t xml:space="preserve">thymosin-β4 and its derivatives, e.g., TB-500</w:t>
      </w:r>
      <w:r>
        <w:t xml:space="preserve">”</w:t>
      </w:r>
      <w:r>
        <w:t xml:space="preserve"> </w:t>
      </w:r>
      <w:r>
        <w:t xml:space="preserve">are explicitly named).</w:t>
      </w:r>
    </w:p>
    <w:p>
      <w:pPr>
        <w:numPr>
          <w:ilvl w:val="0"/>
          <w:numId w:val="1119"/>
        </w:numPr>
        <w:pStyle w:val="Compact"/>
      </w:pPr>
      <w:r>
        <w:rPr>
          <w:bCs/>
          <w:b/>
        </w:rPr>
        <w:t xml:space="preserve">Evidence level:</w:t>
      </w:r>
      <w:r>
        <w:t xml:space="preserve"> </w:t>
      </w:r>
      <w:r>
        <w:rPr>
          <w:bCs/>
          <w:b/>
        </w:rPr>
        <w:t xml:space="preserve">B</w:t>
      </w:r>
      <w:r>
        <w:t xml:space="preserve"> </w:t>
      </w:r>
      <w:r>
        <w:t xml:space="preserve">for thymosin beta-4 (randomized trials, mostly small; large Phase 3 trials in dry eye without clear benefit) ·</w:t>
      </w:r>
      <w:r>
        <w:t xml:space="preserve"> </w:t>
      </w:r>
      <w:r>
        <w:rPr>
          <w:bCs/>
          <w:b/>
        </w:rPr>
        <w:t xml:space="preserve">D</w:t>
      </w:r>
      <w:r>
        <w:t xml:space="preserve"> </w:t>
      </w:r>
      <w:r>
        <w:t xml:space="preserve">for TB-500 (no published human study).</w:t>
      </w:r>
    </w:p>
    <w:bookmarkEnd w:id="955"/>
    <w:bookmarkStart w:id="960" w:name="how-it-is-supposed-to-work-16"/>
    <w:p>
      <w:pPr>
        <w:pStyle w:val="Heading3"/>
      </w:pPr>
      <w:r>
        <w:t xml:space="preserve">How it is supposed to work</w:t>
      </w:r>
    </w:p>
    <w:p>
      <w:pPr>
        <w:pStyle w:val="FirstParagraph"/>
      </w:pPr>
      <w:r>
        <w:t xml:space="preserve">In cells, Tβ4 is the most important protein that binds and</w:t>
      </w:r>
      <w:r>
        <w:t xml:space="preserve"> </w:t>
      </w:r>
      <w:r>
        <w:t xml:space="preserve">“</w:t>
      </w:r>
      <w:r>
        <w:t xml:space="preserve">parks</w:t>
      </w:r>
      <w:r>
        <w:t xml:space="preserve">”</w:t>
      </w:r>
      <w:r>
        <w:t xml:space="preserve"> </w:t>
      </w:r>
      <w:r>
        <w:t xml:space="preserve">individual actin building blocks. Actin forms the internal scaffold of the cell; when a cell needs to move – for example to close a wound – this scaffold has to be rebuilt quickly. Tβ4 provides the building blocks for this.</w:t>
      </w:r>
    </w:p>
    <w:p>
      <w:pPr>
        <w:pStyle w:val="BodyText"/>
      </w:pPr>
      <w:r>
        <w:t xml:space="preserve">In addition, Tβ4 apparently has its own signaling effects outside the cell. A review describes several active segments in the molecule: the short piece at the beginning (Ac-SDKP) has anti-inflammatory and anti-scarring effects in laboratory experiments, while segment 17 to 23 (LKKTETQ) promotes new blood vessel formation, wound healing and cell migration</w:t>
      </w:r>
      <w:r>
        <w:rPr>
          <w:rStyle w:val="FootnoteReference"/>
        </w:rPr>
        <w:footnoteReference w:id="956"/>
      </w:r>
      <w:r>
        <w:t xml:space="preserve">. In cell experiments, the seven-amino-acid actin-binding motif showed the same effect on the migration of vascular cells as the whole molecule</w:t>
      </w:r>
      <w:r>
        <w:rPr>
          <w:rStyle w:val="FootnoteReference"/>
        </w:rPr>
        <w:footnoteReference w:id="957"/>
      </w:r>
      <w:r>
        <w:t xml:space="preserve">.</w:t>
      </w:r>
    </w:p>
    <w:p>
      <w:pPr>
        <w:pStyle w:val="BodyText"/>
      </w:pPr>
      <w:r>
        <w:t xml:space="preserve">The idea of TB-500 is based on this laboratory finding: if the short piece carries the effect, it is enough to produce only that – cheaper and simpler than the whole protein. However, it was not exactly the natural sequence that was used, but a form acetylated at the beginning. A study on its breakdown found that TB-500 is rapidly degraded and that in cell experiments it was not the original peptide but a breakdown product (Ac-LKKTE) that promoted wound healing</w:t>
      </w:r>
      <w:r>
        <w:rPr>
          <w:rStyle w:val="FootnoteReference"/>
        </w:rPr>
        <w:footnoteReference w:id="958"/>
      </w:r>
      <w:r>
        <w:t xml:space="preserve">. It has therefore not been shown that TB-500 does the same in the body as Tβ4. A 2026 orthopedic review emphasizes that TB-500 is frequently equated with Tβ4, although no biological or clinical equivalence has been demonstrated</w:t>
      </w:r>
      <w:r>
        <w:rPr>
          <w:rStyle w:val="FootnoteReference"/>
        </w:rPr>
        <w:footnoteReference w:id="959"/>
      </w:r>
      <w:r>
        <w:t xml:space="preserve">.</w:t>
      </w:r>
    </w:p>
    <w:bookmarkEnd w:id="960"/>
    <w:bookmarkStart w:id="975" w:name="human-studies-16"/>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9</w:t>
      </w:r>
      <w:r>
        <w:t xml:space="preserve"> </w:t>
      </w:r>
      <w:r>
        <w:t xml:space="preserve">publications classified as human studies and</w:t>
      </w:r>
      <w:r>
        <w:t xml:space="preserve"> </w:t>
      </w:r>
      <w:r>
        <w:rPr>
          <w:bCs/>
          <w:b/>
        </w:rPr>
        <w:t xml:space="preserve">18</w:t>
      </w:r>
      <w:r>
        <w:t xml:space="preserve"> </w:t>
      </w:r>
      <w:r>
        <w:t xml:space="preserve">entries on ClinicalTrials.gov. Of the nine publications, only six actually study Tβ4 as an active substance; the others measure Tβ4 in the blood or concern other questions.</w:t>
      </w:r>
      <w:r>
        <w:t xml:space="preserve"> </w:t>
      </w:r>
      <w:r>
        <w:rPr>
          <w:bCs/>
          <w:b/>
        </w:rPr>
        <w:t xml:space="preserve">Not a single</w:t>
      </w:r>
      <w:r>
        <w:t xml:space="preserve"> </w:t>
      </w:r>
      <w:r>
        <w:t xml:space="preserve">published study has investigated TB-500 in humans.</w:t>
      </w:r>
    </w:p>
    <w:bookmarkStart w:id="966" w:name="eye-drops-rgn-259"/>
    <w:p>
      <w:pPr>
        <w:pStyle w:val="Heading4"/>
      </w:pPr>
      <w:r>
        <w:t xml:space="preserve">Eye drops (RGN-259)</w:t>
      </w:r>
    </w:p>
    <w:p>
      <w:pPr>
        <w:pStyle w:val="FirstParagraph"/>
      </w:pPr>
      <w:r>
        <w:t xml:space="preserve">Tβ4 is furthest along as eye drops. The company RegeneRx and its partner ReGenTree have tested it in dry eye and in neurotrophic keratopathy – a rare condition in which the cornea heals poorly because of damaged nerves.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Severe dry eye (Sosne 2015, PMID 25826322; NCT01393132)</w:t>
            </w:r>
          </w:p>
        </w:tc>
        <w:tc>
          <w:tcPr/>
          <w:p>
            <w:pPr>
              <w:pStyle w:val="Compact"/>
              <w:jc w:val="left"/>
            </w:pPr>
            <w:r>
              <w:t xml:space="preserve">9 people, randomized vs. vehicle</w:t>
            </w:r>
          </w:p>
        </w:tc>
        <w:tc>
          <w:tcPr/>
          <w:p>
            <w:pPr>
              <w:pStyle w:val="Compact"/>
              <w:jc w:val="left"/>
            </w:pPr>
            <w:r>
              <w:t xml:space="preserve">28 days plus 28 days follow-up</w:t>
            </w:r>
          </w:p>
        </w:tc>
        <w:tc>
          <w:tcPr/>
          <w:p>
            <w:pPr>
              <w:pStyle w:val="Compact"/>
              <w:jc w:val="left"/>
            </w:pPr>
            <w:r>
              <w:t xml:space="preserve">on day 56, symptoms 35.1% and corneal staining 59.1% lower than with vehicle</w:t>
            </w:r>
          </w:p>
        </w:tc>
      </w:tr>
      <w:tr>
        <w:tc>
          <w:tcPr/>
          <w:p>
            <w:pPr>
              <w:pStyle w:val="Compact"/>
              <w:jc w:val="left"/>
            </w:pPr>
            <w:r>
              <w:t xml:space="preserve">Dry eye, challenge model (Sosne 2015, PMID 26056426)</w:t>
            </w:r>
          </w:p>
        </w:tc>
        <w:tc>
          <w:tcPr/>
          <w:p>
            <w:pPr>
              <w:pStyle w:val="Compact"/>
              <w:jc w:val="left"/>
            </w:pPr>
            <w:r>
              <w:t xml:space="preserve">72 people, RCT</w:t>
            </w:r>
          </w:p>
        </w:tc>
        <w:tc>
          <w:tcPr/>
          <w:p>
            <w:pPr>
              <w:pStyle w:val="Compact"/>
              <w:jc w:val="left"/>
            </w:pPr>
            <w:r>
              <w:t xml:space="preserve">28 days</w:t>
            </w:r>
          </w:p>
        </w:tc>
        <w:tc>
          <w:tcPr/>
          <w:p>
            <w:pPr>
              <w:pStyle w:val="Compact"/>
              <w:jc w:val="left"/>
            </w:pPr>
            <w:r>
              <w:t xml:space="preserve">both primary endpoints not significant; individual secondary endpoints better</w:t>
            </w:r>
          </w:p>
        </w:tc>
      </w:tr>
      <w:tr>
        <w:tc>
          <w:tcPr/>
          <w:p>
            <w:pPr>
              <w:pStyle w:val="Compact"/>
              <w:jc w:val="left"/>
            </w:pPr>
            <w:r>
              <w:t xml:space="preserve">ARISE-2 (NCT02974907)</w:t>
            </w:r>
          </w:p>
        </w:tc>
        <w:tc>
          <w:tcPr/>
          <w:p>
            <w:pPr>
              <w:pStyle w:val="Compact"/>
              <w:jc w:val="left"/>
            </w:pPr>
            <w:r>
              <w:t xml:space="preserve">601 people, Phase 3, RCT</w:t>
            </w:r>
          </w:p>
        </w:tc>
        <w:tc>
          <w:tcPr/>
          <w:p>
            <w:pPr>
              <w:pStyle w:val="Compact"/>
              <w:jc w:val="left"/>
            </w:pPr>
            <w:r>
              <w:t xml:space="preserve">28 days</w:t>
            </w:r>
          </w:p>
        </w:tc>
        <w:tc>
          <w:tcPr/>
          <w:p>
            <w:pPr>
              <w:pStyle w:val="Compact"/>
              <w:jc w:val="left"/>
            </w:pPr>
            <w:r>
              <w:t xml:space="preserve">primary endpoints practically the same in both groups according to registry results</w:t>
            </w:r>
          </w:p>
        </w:tc>
      </w:tr>
      <w:tr>
        <w:tc>
          <w:tcPr/>
          <w:p>
            <w:pPr>
              <w:pStyle w:val="Compact"/>
              <w:jc w:val="left"/>
            </w:pPr>
            <w:r>
              <w:t xml:space="preserve">ARISE-3 (NCT03937882)</w:t>
            </w:r>
          </w:p>
        </w:tc>
        <w:tc>
          <w:tcPr/>
          <w:p>
            <w:pPr>
              <w:pStyle w:val="Compact"/>
              <w:jc w:val="left"/>
            </w:pPr>
            <w:r>
              <w:t xml:space="preserve">700 people, Phase 3, RCT</w:t>
            </w:r>
          </w:p>
        </w:tc>
        <w:tc>
          <w:tcPr/>
          <w:p>
            <w:pPr>
              <w:pStyle w:val="Compact"/>
              <w:jc w:val="left"/>
            </w:pPr>
            <w:r>
              <w:t xml:space="preserve">14 days</w:t>
            </w:r>
          </w:p>
        </w:tc>
        <w:tc>
          <w:tcPr/>
          <w:p>
            <w:pPr>
              <w:pStyle w:val="Compact"/>
              <w:jc w:val="left"/>
            </w:pPr>
            <w:r>
              <w:t xml:space="preserve">corneal staining −0.41 vs. −0.46 points, symptoms −0.4 vs. −0.4 points (Tβ4 vs. placebo)</w:t>
            </w:r>
          </w:p>
        </w:tc>
      </w:tr>
      <w:tr>
        <w:tc>
          <w:tcPr/>
          <w:p>
            <w:pPr>
              <w:pStyle w:val="Compact"/>
              <w:jc w:val="left"/>
            </w:pPr>
            <w:r>
              <w:t xml:space="preserve">SEER-1, neurotrophic keratopathy (Sosne 2022, PMID 36613994)</w:t>
            </w:r>
          </w:p>
        </w:tc>
        <w:tc>
          <w:tcPr/>
          <w:p>
            <w:pPr>
              <w:pStyle w:val="Compact"/>
              <w:jc w:val="left"/>
            </w:pPr>
            <w:r>
              <w:t xml:space="preserve">18 people, Phase 3, RCT</w:t>
            </w:r>
          </w:p>
        </w:tc>
        <w:tc>
          <w:tcPr/>
          <w:p>
            <w:pPr>
              <w:pStyle w:val="Compact"/>
              <w:jc w:val="left"/>
            </w:pPr>
            <w:r>
              <w:t xml:space="preserve">4 weeks plus 2 weeks</w:t>
            </w:r>
          </w:p>
        </w:tc>
        <w:tc>
          <w:tcPr/>
          <w:p>
            <w:pPr>
              <w:pStyle w:val="Compact"/>
              <w:jc w:val="left"/>
            </w:pPr>
            <w:r>
              <w:t xml:space="preserve">complete healing in 6 of 10 vs. 1 of 8 (p = 0.0656, not significant)</w:t>
            </w:r>
          </w:p>
        </w:tc>
      </w:tr>
    </w:tbl>
    <w:p>
      <w:pPr>
        <w:pStyle w:val="BodyText"/>
      </w:pPr>
      <w:r>
        <w:t xml:space="preserve">The pattern is typical of a medicine with uncertain benefit: small studies show favorable signals, large studies do not confirm them. The small study with nine people found clear improvements</w:t>
      </w:r>
      <w:r>
        <w:rPr>
          <w:rStyle w:val="FootnoteReference"/>
        </w:rPr>
        <w:footnoteReference w:id="961"/>
      </w:r>
      <w:r>
        <w:t xml:space="preserve">. But the study with 72 people already missed both prespecified primary endpoints; the authors instead emphasized improvements in secondary endpoints</w:t>
      </w:r>
      <w:r>
        <w:rPr>
          <w:rStyle w:val="FootnoteReference"/>
        </w:rPr>
        <w:footnoteReference w:id="962"/>
      </w:r>
      <w:r>
        <w:t xml:space="preserve">. In the two large Phase 3 trials ARISE-2 and ARISE-3, with a combined total of around 1,300 participants, the values of the primary endpoints were almost identical in the Tβ4 and placebo groups according to the results published in the registry</w:t>
      </w:r>
      <w:r>
        <w:rPr>
          <w:rStyle w:val="FootnoteReference"/>
        </w:rPr>
        <w:footnoteReference w:id="963"/>
      </w:r>
      <w:r>
        <w:t xml:space="preserve">. No journal publication of these results was found in PubMed.</w:t>
      </w:r>
    </w:p>
    <w:p>
      <w:pPr>
        <w:pStyle w:val="BodyText"/>
      </w:pPr>
      <w:r>
        <w:t xml:space="preserve">In neurotrophic keratopathy, more eyes healed on Tβ4 than on placebo in the small Phase 3 trial SEER-1; however, the difference narrowly missed statistical significance, and the trial included only 18 people</w:t>
      </w:r>
      <w:r>
        <w:rPr>
          <w:rStyle w:val="FootnoteReference"/>
        </w:rPr>
        <w:footnoteReference w:id="964"/>
      </w:r>
      <w:r>
        <w:t xml:space="preserve">. A 2025 Cochrane review rated the trial as</w:t>
      </w:r>
      <w:r>
        <w:t xml:space="preserve"> </w:t>
      </w:r>
      <w:r>
        <w:t xml:space="preserve">“</w:t>
      </w:r>
      <w:r>
        <w:t xml:space="preserve">low certainty</w:t>
      </w:r>
      <w:r>
        <w:t xml:space="preserve">”</w:t>
      </w:r>
      <w:r>
        <w:t xml:space="preserve"> </w:t>
      </w:r>
      <w:r>
        <w:t xml:space="preserve">and found no established difference</w:t>
      </w:r>
      <w:r>
        <w:rPr>
          <w:rStyle w:val="FootnoteReference"/>
        </w:rPr>
        <w:footnoteReference w:id="965"/>
      </w:r>
      <w:r>
        <w:t xml:space="preserve">. A larger follow-up trial (SEER-2) is ongoing.</w:t>
      </w:r>
    </w:p>
    <w:bookmarkEnd w:id="966"/>
    <w:bookmarkStart w:id="968" w:name="heart"/>
    <w:p>
      <w:pPr>
        <w:pStyle w:val="Heading4"/>
      </w:pPr>
      <w:r>
        <w:t xml:space="preserve">Heart</w:t>
      </w:r>
    </w:p>
    <w:p>
      <w:pPr>
        <w:pStyle w:val="FirstParagraph"/>
      </w:pPr>
      <w:r>
        <w:t xml:space="preserve">Tβ4 was developed as a cardiac drug because of spectacular mouse experiments (see Animal and laboratory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Safety, infusion (Ruff 2010, PMID 20536472)</w:t>
            </w:r>
          </w:p>
        </w:tc>
        <w:tc>
          <w:tcPr/>
          <w:p>
            <w:pPr>
              <w:pStyle w:val="Compact"/>
              <w:jc w:val="left"/>
            </w:pPr>
            <w:r>
              <w:t xml:space="preserve">40 healthy people in 4 dose groups, RCT</w:t>
            </w:r>
          </w:p>
        </w:tc>
        <w:tc>
          <w:tcPr/>
          <w:p>
            <w:pPr>
              <w:pStyle w:val="Compact"/>
              <w:jc w:val="left"/>
            </w:pPr>
            <w:r>
              <w:t xml:space="preserve">single dose, then daily for 14 days</w:t>
            </w:r>
          </w:p>
        </w:tc>
        <w:tc>
          <w:tcPr/>
          <w:p>
            <w:pPr>
              <w:pStyle w:val="Compact"/>
              <w:jc w:val="left"/>
            </w:pPr>
            <w:r>
              <w:t xml:space="preserve">no dose-limiting toxicity, no serious side effects</w:t>
            </w:r>
          </w:p>
        </w:tc>
      </w:tr>
      <w:tr>
        <w:tc>
          <w:tcPr/>
          <w:p>
            <w:pPr>
              <w:pStyle w:val="Compact"/>
              <w:jc w:val="left"/>
            </w:pPr>
            <w:r>
              <w:t xml:space="preserve">Recombinant Tβ4 NL005, Phase 1 (Wang 2021, PMID 34346165)</w:t>
            </w:r>
          </w:p>
        </w:tc>
        <w:tc>
          <w:tcPr/>
          <w:p>
            <w:pPr>
              <w:pStyle w:val="Compact"/>
              <w:jc w:val="left"/>
            </w:pPr>
            <w:r>
              <w:t xml:space="preserve">54 healthy people (single dose) and 30 healthy people (multiple dose), RCT</w:t>
            </w:r>
          </w:p>
        </w:tc>
        <w:tc>
          <w:tcPr/>
          <w:p>
            <w:pPr>
              <w:pStyle w:val="Compact"/>
              <w:jc w:val="left"/>
            </w:pPr>
            <w:r>
              <w:t xml:space="preserve">up to 10 days plus 28 days</w:t>
            </w:r>
          </w:p>
        </w:tc>
        <w:tc>
          <w:tcPr/>
          <w:p>
            <w:pPr>
              <w:pStyle w:val="Compact"/>
              <w:jc w:val="left"/>
            </w:pPr>
            <w:r>
              <w:t xml:space="preserve">side effects mild to moderate, none serious</w:t>
            </w:r>
          </w:p>
        </w:tc>
      </w:tr>
      <w:tr>
        <w:tc>
          <w:tcPr/>
          <w:p>
            <w:pPr>
              <w:pStyle w:val="Compact"/>
              <w:jc w:val="left"/>
            </w:pPr>
            <w:r>
              <w:t xml:space="preserve">NL005 in heart attack (Zhang 2025, PMID 41229390)</w:t>
            </w:r>
          </w:p>
        </w:tc>
        <w:tc>
          <w:tcPr/>
          <w:p>
            <w:pPr>
              <w:pStyle w:val="Compact"/>
              <w:jc w:val="left"/>
            </w:pPr>
            <w:r>
              <w:t xml:space="preserve">96 people with STEMI after catheter treatment, RCT vs. placebo</w:t>
            </w:r>
          </w:p>
        </w:tc>
        <w:tc>
          <w:tcPr/>
          <w:p>
            <w:pPr>
              <w:pStyle w:val="Compact"/>
              <w:jc w:val="left"/>
            </w:pPr>
            <w:r>
              <w:t xml:space="preserve">90 days</w:t>
            </w:r>
          </w:p>
        </w:tc>
        <w:tc>
          <w:tcPr/>
          <w:p>
            <w:pPr>
              <w:pStyle w:val="Compact"/>
              <w:jc w:val="left"/>
            </w:pPr>
            <w:r>
              <w:t xml:space="preserve">overall no significant difference in infarct size; benefit only in the subgroup dosed within 8 hours (n = 43)</w:t>
            </w:r>
          </w:p>
        </w:tc>
      </w:tr>
      <w:tr>
        <w:tc>
          <w:tcPr/>
          <w:p>
            <w:pPr>
              <w:pStyle w:val="Compact"/>
              <w:jc w:val="left"/>
            </w:pPr>
            <w:r>
              <w:t xml:space="preserve">Tβ4-pretreated stem cells (Zhu 2016, PMID 27288307)</w:t>
            </w:r>
          </w:p>
        </w:tc>
        <w:tc>
          <w:tcPr/>
          <w:p>
            <w:pPr>
              <w:pStyle w:val="Compact"/>
              <w:jc w:val="left"/>
            </w:pPr>
            <w:r>
              <w:t xml:space="preserve">10 people with heart attack, randomized pilot study</w:t>
            </w:r>
          </w:p>
        </w:tc>
        <w:tc>
          <w:tcPr/>
          <w:p>
            <w:pPr>
              <w:pStyle w:val="Compact"/>
              <w:jc w:val="left"/>
            </w:pPr>
            <w:r>
              <w:t xml:space="preserve">6 months</w:t>
            </w:r>
          </w:p>
        </w:tc>
        <w:tc>
          <w:tcPr/>
          <w:p>
            <w:pPr>
              <w:pStyle w:val="Compact"/>
              <w:jc w:val="left"/>
            </w:pPr>
            <w:r>
              <w:t xml:space="preserve">walking distance improved more; Tβ4 was only added to the cells in the laboratory, not given to the patients</w:t>
            </w:r>
          </w:p>
        </w:tc>
      </w:tr>
    </w:tbl>
    <w:p>
      <w:pPr>
        <w:pStyle w:val="BodyText"/>
      </w:pPr>
      <w:r>
        <w:t xml:space="preserve">The most important cardiac trial is the Chinese trial with 96 heart attack patients. Across all participants, recombinant Tβ4 did not significantly reduce infarct size after 90 days; a benefit was seen only in the subgroup that received the first dose within eight hours</w:t>
      </w:r>
      <w:r>
        <w:rPr>
          <w:rStyle w:val="FootnoteReference"/>
        </w:rPr>
        <w:footnoteReference w:id="967"/>
      </w:r>
      <w:r>
        <w:t xml:space="preserve">. Subgroup results are considered an indication, not proof. The authors themselves call for further randomized trials.</w:t>
      </w:r>
    </w:p>
    <w:bookmarkEnd w:id="968"/>
    <w:bookmarkStart w:id="971" w:name="skin-and-wounds"/>
    <w:p>
      <w:pPr>
        <w:pStyle w:val="Heading4"/>
      </w:pPr>
      <w:r>
        <w:t xml:space="preserve">Skin and wounds</w:t>
      </w:r>
    </w:p>
    <w:p>
      <w:pPr>
        <w:pStyle w:val="FirstParagraph"/>
      </w:pPr>
      <w:r>
        <w:t xml:space="preserve">In the 2000s, RegeneRx tested a Tβ4 gel in venous leg ulcers, pressure ulcers and the hereditary blistering disease epidermolysis bullosa. The trial in venous ulcers randomized 73 people; safety was comparable with placebo, and an effect could only be described as a trend for the 0.03% concentration</w:t>
      </w:r>
      <w:r>
        <w:rPr>
          <w:rStyle w:val="FootnoteReference"/>
        </w:rPr>
        <w:footnoteReference w:id="969"/>
      </w:r>
      <w:r>
        <w:t xml:space="preserve">. The trial in epidermolysis bullosa was terminated early</w:t>
      </w:r>
      <w:r>
        <w:rPr>
          <w:rStyle w:val="FootnoteReference"/>
        </w:rPr>
        <w:footnoteReference w:id="970"/>
      </w:r>
      <w:r>
        <w:t xml:space="preserve">. None of these trials led to approval.</w:t>
      </w:r>
    </w:p>
    <w:bookmarkEnd w:id="971"/>
    <w:bookmarkStart w:id="974" w:name="tb-500-in-humans"/>
    <w:p>
      <w:pPr>
        <w:pStyle w:val="Heading4"/>
      </w:pPr>
      <w:r>
        <w:t xml:space="preserve">TB-500 in humans</w:t>
      </w:r>
    </w:p>
    <w:p>
      <w:pPr>
        <w:pStyle w:val="FirstParagraph"/>
      </w:pPr>
      <w:r>
        <w:t xml:space="preserve">There is no published human study for the fragment TB-500. A registry entry on TB-500 in cardiovascular disease entered in 2026</w:t>
      </w:r>
      <w:r>
        <w:rPr>
          <w:rStyle w:val="FootnoteReference"/>
        </w:rPr>
        <w:footnoteReference w:id="972"/>
      </w:r>
      <w:r>
        <w:t xml:space="preserve"> </w:t>
      </w:r>
      <w:r>
        <w:t xml:space="preserve">describes itself in its own description as a</w:t>
      </w:r>
      <w:r>
        <w:t xml:space="preserve"> </w:t>
      </w:r>
      <w:r>
        <w:t xml:space="preserve">“</w:t>
      </w:r>
      <w:r>
        <w:t xml:space="preserve">fictitious</w:t>
      </w:r>
      <w:r>
        <w:t xml:space="preserve">”</w:t>
      </w:r>
      <w:r>
        <w:t xml:space="preserve"> </w:t>
      </w:r>
      <w:r>
        <w:t xml:space="preserve">example of a registry entry; it should therefore not be regarded as a real trial. The only human publication mentioning Tβ4 for joint complaints is a retrospective telephone survey in which four people had BPC-157 injected into the knee together with Tβ4</w:t>
      </w:r>
      <w:r>
        <w:rPr>
          <w:rStyle w:val="FootnoteReference"/>
        </w:rPr>
        <w:footnoteReference w:id="973"/>
      </w:r>
      <w:r>
        <w:t xml:space="preserve"> </w:t>
      </w:r>
      <w:r>
        <w:t xml:space="preserve">– too little for any conclusion.</w:t>
      </w:r>
    </w:p>
    <w:bookmarkEnd w:id="974"/>
    <w:bookmarkEnd w:id="975"/>
    <w:bookmarkStart w:id="983" w:name="animal-and-laboratory-studies-16"/>
    <w:p>
      <w:pPr>
        <w:pStyle w:val="Heading3"/>
      </w:pPr>
      <w:r>
        <w:t xml:space="preserve">Animal and laboratory studies</w:t>
      </w:r>
    </w:p>
    <w:p>
      <w:pPr>
        <w:pStyle w:val="FirstParagraph"/>
      </w:pPr>
      <w:r>
        <w:t xml:space="preserve">Tβ4’s reputation as a</w:t>
      </w:r>
      <w:r>
        <w:t xml:space="preserve"> </w:t>
      </w:r>
      <w:r>
        <w:t xml:space="preserve">“</w:t>
      </w:r>
      <w:r>
        <w:t xml:space="preserve">repair peptide</w:t>
      </w:r>
      <w:r>
        <w:t xml:space="preserve">”</w:t>
      </w:r>
      <w:r>
        <w:t xml:space="preserve"> </w:t>
      </w:r>
      <w:r>
        <w:t xml:space="preserve">stems mainly from two papers in the journal Nature. In mice with artificially induced heart attacks, Tβ4 improved the survival of heart muscle cells and cardiac function</w:t>
      </w:r>
      <w:r>
        <w:rPr>
          <w:rStyle w:val="FootnoteReference"/>
        </w:rPr>
        <w:footnoteReference w:id="976"/>
      </w:r>
      <w:r>
        <w:t xml:space="preserve">. A follow-up study in mice showed that Tβ4 activates progenitor cells of the outer layer of the heart (epicardium) and stimulates the formation of new vessels</w:t>
      </w:r>
      <w:r>
        <w:rPr>
          <w:rStyle w:val="FootnoteReference"/>
        </w:rPr>
        <w:footnoteReference w:id="977"/>
      </w:r>
      <w:r>
        <w:t xml:space="preserve">. An independent group, however, could not confirm that Tβ4 causes new heart muscle cells to arise from these cells after a heart attack</w:t>
      </w:r>
      <w:r>
        <w:rPr>
          <w:rStyle w:val="FootnoteReference"/>
        </w:rPr>
        <w:footnoteReference w:id="978"/>
      </w:r>
      <w:r>
        <w:t xml:space="preserve"> </w:t>
      </w:r>
      <w:r>
        <w:t xml:space="preserve">– an example of how important independent replications are.</w:t>
      </w:r>
    </w:p>
    <w:p>
      <w:pPr>
        <w:pStyle w:val="BodyText"/>
      </w:pPr>
      <w:r>
        <w:t xml:space="preserve">Further animal and laboratory findings concern skin, cornea, brain, kidney and liver. In rats, Tβ4 improved the survival of skin flaps</w:t>
      </w:r>
      <w:r>
        <w:rPr>
          <w:rStyle w:val="FootnoteReference"/>
        </w:rPr>
        <w:footnoteReference w:id="979"/>
      </w:r>
      <w:r>
        <w:t xml:space="preserve">, and in mice, fracture healing</w:t>
      </w:r>
      <w:r>
        <w:rPr>
          <w:rStyle w:val="FootnoteReference"/>
        </w:rPr>
        <w:footnoteReference w:id="980"/>
      </w:r>
      <w:r>
        <w:t xml:space="preserve">. For tendons, ligaments and muscles – exactly the areas of use for which TB-500 is advertised online – there are only cell and rodent data</w:t>
      </w:r>
      <w:r>
        <w:rPr>
          <w:rStyle w:val="FootnoteReference"/>
        </w:rPr>
        <w:footnoteReference w:id="981"/>
      </w:r>
      <w:r>
        <w:t xml:space="preserve">. A 2026 rat study found, after transection of the Achilles tendon in 32 animals, higher tensile strength and better tissue structure in the TB-500 group than in the control group</w:t>
      </w:r>
      <w:r>
        <w:rPr>
          <w:rStyle w:val="FootnoteReference"/>
        </w:rPr>
        <w:footnoteReference w:id="982"/>
      </w:r>
      <w:r>
        <w:t xml:space="preserve">. This is one of the few animal studies with the fragment actually sold.</w:t>
      </w:r>
    </w:p>
    <w:bookmarkEnd w:id="983"/>
    <w:bookmarkStart w:id="993" w:name="risks-and-side-effects-16"/>
    <w:p>
      <w:pPr>
        <w:pStyle w:val="Heading3"/>
      </w:pPr>
      <w:r>
        <w:t xml:space="preserve">Risks and side effects</w:t>
      </w:r>
    </w:p>
    <w:bookmarkStart w:id="986" w:name="documented-thymosin-beta-4"/>
    <w:p>
      <w:pPr>
        <w:pStyle w:val="Heading4"/>
      </w:pPr>
      <w:r>
        <w:t xml:space="preserve">Documented (thymosin beta-4)</w:t>
      </w:r>
    </w:p>
    <w:p>
      <w:pPr>
        <w:pStyle w:val="FirstParagraph"/>
      </w:pPr>
      <w:r>
        <w:t xml:space="preserve">In the randomized trials with eye drops, gel and infusion, Tβ4 was well tolerated. In 40 healthy people, no dose-limiting side effects occurred with infusions of up to 1,260 mg daily over 14 days</w:t>
      </w:r>
      <w:r>
        <w:rPr>
          <w:rStyle w:val="FootnoteReference"/>
        </w:rPr>
        <w:footnoteReference w:id="984"/>
      </w:r>
      <w:r>
        <w:t xml:space="preserve">. In the Chinese Phase 1 trial, side effects were mild to moderate</w:t>
      </w:r>
      <w:r>
        <w:rPr>
          <w:rStyle w:val="FootnoteReference"/>
        </w:rPr>
        <w:footnoteReference w:id="985"/>
      </w:r>
      <w:r>
        <w:t xml:space="preserve">. However, these trials are short, and they concern the whole protein in pharmaceutical quality – not gray-market products.</w:t>
      </w:r>
    </w:p>
    <w:bookmarkEnd w:id="986"/>
    <w:bookmarkStart w:id="989" w:name="theoretical-cancer"/>
    <w:p>
      <w:pPr>
        <w:pStyle w:val="Heading4"/>
      </w:pPr>
      <w:r>
        <w:t xml:space="preserve">Theoretical: cancer</w:t>
      </w:r>
    </w:p>
    <w:p>
      <w:pPr>
        <w:pStyle w:val="FirstParagraph"/>
      </w:pPr>
      <w:r>
        <w:t xml:space="preserve">Tβ4 promotes cell migration and new blood vessel formation – two properties that tumors also use for growth and spread. In tissue samples from 138 bladder cancer patients, strong Tβ4 production was associated with advanced stage, lymph node involvement and shorter survival</w:t>
      </w:r>
      <w:r>
        <w:rPr>
          <w:rStyle w:val="FootnoteReference"/>
        </w:rPr>
        <w:footnoteReference w:id="987"/>
      </w:r>
      <w:r>
        <w:t xml:space="preserve">. In cultures of breast cancer cells, added Tβ4 increased the cell count</w:t>
      </w:r>
      <w:r>
        <w:rPr>
          <w:rStyle w:val="FootnoteReference"/>
        </w:rPr>
        <w:footnoteReference w:id="988"/>
      </w:r>
      <w:r>
        <w:t xml:space="preserve">. Such associations do not prove that Tβ4 administered from outside causes cancer. They are, however, one reason why experts advise caution in people with cancer or an increased cancer risk. Long-term data are lacking. Part IV deals with the topic in detail.</w:t>
      </w:r>
    </w:p>
    <w:bookmarkEnd w:id="989"/>
    <w:bookmarkStart w:id="992" w:name="gray-market"/>
    <w:p>
      <w:pPr>
        <w:pStyle w:val="Heading4"/>
      </w:pPr>
      <w:r>
        <w:t xml:space="preserve">Gray market</w:t>
      </w:r>
    </w:p>
    <w:p>
      <w:pPr>
        <w:pStyle w:val="FirstParagraph"/>
      </w:pPr>
      <w:r>
        <w:t xml:space="preserve">What is sold as</w:t>
      </w:r>
      <w:r>
        <w:t xml:space="preserve"> </w:t>
      </w:r>
      <w:r>
        <w:t xml:space="preserve">“</w:t>
      </w:r>
      <w:r>
        <w:t xml:space="preserve">TB-500</w:t>
      </w:r>
      <w:r>
        <w:t xml:space="preserve">”</w:t>
      </w:r>
      <w:r>
        <w:t xml:space="preserve"> </w:t>
      </w:r>
      <w:r>
        <w:t xml:space="preserve">does not reliably contain what is on the label. A horse doping laboratory analyzed products offered online and found that the content of</w:t>
      </w:r>
      <w:r>
        <w:t xml:space="preserve"> </w:t>
      </w:r>
      <w:r>
        <w:t xml:space="preserve">“</w:t>
      </w:r>
      <w:r>
        <w:t xml:space="preserve">TB500</w:t>
      </w:r>
      <w:r>
        <w:t xml:space="preserve">”</w:t>
      </w:r>
      <w:r>
        <w:t xml:space="preserve"> </w:t>
      </w:r>
      <w:r>
        <w:t xml:space="preserve">and</w:t>
      </w:r>
      <w:r>
        <w:t xml:space="preserve"> </w:t>
      </w:r>
      <w:r>
        <w:t xml:space="preserve">“</w:t>
      </w:r>
      <w:r>
        <w:t xml:space="preserve">TB1000</w:t>
      </w:r>
      <w:r>
        <w:t xml:space="preserve">”</w:t>
      </w:r>
      <w:r>
        <w:t xml:space="preserve"> </w:t>
      </w:r>
      <w:r>
        <w:t xml:space="preserve">did not consistently match the declared composition</w:t>
      </w:r>
      <w:r>
        <w:rPr>
          <w:rStyle w:val="FootnoteReference"/>
        </w:rPr>
        <w:footnoteReference w:id="990"/>
      </w:r>
      <w:r>
        <w:t xml:space="preserve">. Some products contain the fragment, others possibly the whole Tβ4, still others contaminants. In addition, there are the known risks of non-sterile injections. That horse doping laboratories developed detection methods for TB-500 as early as 2012</w:t>
      </w:r>
      <w:r>
        <w:rPr>
          <w:rStyle w:val="FootnoteReference"/>
        </w:rPr>
        <w:footnoteReference w:id="991"/>
      </w:r>
      <w:r>
        <w:t xml:space="preserve"> </w:t>
      </w:r>
      <w:r>
        <w:t xml:space="preserve">shows where the product comes from: the veterinary field, not human medicine.</w:t>
      </w:r>
    </w:p>
    <w:bookmarkEnd w:id="992"/>
    <w:bookmarkEnd w:id="993"/>
    <w:bookmarkStart w:id="996" w:name="legal-status-16"/>
    <w:p>
      <w:pPr>
        <w:pStyle w:val="Heading3"/>
      </w:pPr>
      <w:r>
        <w:t xml:space="preserve">Legal status</w:t>
      </w:r>
    </w:p>
    <w:p>
      <w:pPr>
        <w:pStyle w:val="FirstParagraph"/>
      </w:pPr>
      <w:r>
        <w:rPr>
          <w:iCs/>
          <w:i/>
        </w:rPr>
        <w:t xml:space="preserve">As of 2026, please check for updates.</w:t>
      </w:r>
    </w:p>
    <w:p>
      <w:pPr>
        <w:numPr>
          <w:ilvl w:val="0"/>
          <w:numId w:val="1120"/>
        </w:numPr>
        <w:pStyle w:val="Compact"/>
      </w:pPr>
      <w:r>
        <w:rPr>
          <w:bCs/>
          <w:b/>
        </w:rPr>
        <w:t xml:space="preserve">EU, Germany, Austria:</w:t>
      </w:r>
      <w:r>
        <w:t xml:space="preserve"> </w:t>
      </w:r>
      <w:r>
        <w:t xml:space="preserve">neither Tβ4 nor TB-500 is approved as a medicine. Supplying them for use in humans is not permitted; products labeled</w:t>
      </w:r>
      <w:r>
        <w:t xml:space="preserve"> </w:t>
      </w:r>
      <w:r>
        <w:t xml:space="preserve">“</w:t>
      </w:r>
      <w:r>
        <w:t xml:space="preserve">for research purposes only</w:t>
      </w:r>
      <w:r>
        <w:t xml:space="preserve">”</w:t>
      </w:r>
      <w:r>
        <w:t xml:space="preserve"> </w:t>
      </w:r>
      <w:r>
        <w:t xml:space="preserve">do not change this.</w:t>
      </w:r>
    </w:p>
    <w:p>
      <w:pPr>
        <w:numPr>
          <w:ilvl w:val="0"/>
          <w:numId w:val="1120"/>
        </w:numPr>
        <w:pStyle w:val="Compact"/>
      </w:pPr>
      <w:r>
        <w:rPr>
          <w:bCs/>
          <w:b/>
        </w:rPr>
        <w:t xml:space="preserve">USA:</w:t>
      </w:r>
      <w:r>
        <w:t xml:space="preserve"> </w:t>
      </w:r>
      <w:r>
        <w:t xml:space="preserve">no FDA approval. To the author’s knowledge, in 2023 the FDA assigned the Tβ4 fragment (TB-500), like BPC-157, to Category 2 of the bulk substances for compounding, i.e., the substances with significant safety concerns; the evaluation of peptides for compounding is currently being debated controversially</w:t>
      </w:r>
      <w:r>
        <w:rPr>
          <w:rStyle w:val="FootnoteReference"/>
        </w:rPr>
        <w:footnoteReference w:id="994"/>
      </w:r>
      <w:r>
        <w:t xml:space="preserve">.</w:t>
      </w:r>
    </w:p>
    <w:p>
      <w:pPr>
        <w:numPr>
          <w:ilvl w:val="0"/>
          <w:numId w:val="1120"/>
        </w:numPr>
        <w:pStyle w:val="Compact"/>
      </w:pPr>
      <w:r>
        <w:rPr>
          <w:bCs/>
          <w:b/>
        </w:rPr>
        <w:t xml:space="preserve">WADA:</w:t>
      </w:r>
      <w:r>
        <w:t xml:space="preserve"> </w:t>
      </w:r>
      <w:r>
        <w:t xml:space="preserve">Tβ4 and its derivatives such as TB-500 are explicitly prohibited in class S2 (peptide hormones, growth factors), in and out of competition. It is also prohibited in equestrian sport</w:t>
      </w:r>
      <w:r>
        <w:rPr>
          <w:rStyle w:val="FootnoteReference"/>
        </w:rPr>
        <w:footnoteReference w:id="995"/>
      </w:r>
      <w:r>
        <w:t xml:space="preserve">.</w:t>
      </w:r>
    </w:p>
    <w:bookmarkEnd w:id="996"/>
    <w:bookmarkStart w:id="1000" w:name="ongoing-studies-and-outlook-16"/>
    <w:p>
      <w:pPr>
        <w:pStyle w:val="Heading3"/>
      </w:pPr>
      <w:r>
        <w:t xml:space="preserve">Ongoing studies and outlook</w:t>
      </w:r>
    </w:p>
    <w:p>
      <w:pPr>
        <w:pStyle w:val="FirstParagraph"/>
      </w:pPr>
      <w:r>
        <w:rPr>
          <w:bCs/>
          <w:b/>
        </w:rPr>
        <w:t xml:space="preserve">Confirmed (according to the registry):</w:t>
      </w:r>
    </w:p>
    <w:p>
      <w:pPr>
        <w:numPr>
          <w:ilvl w:val="0"/>
          <w:numId w:val="1121"/>
        </w:numPr>
        <w:pStyle w:val="Compact"/>
      </w:pPr>
      <w:r>
        <w:rPr>
          <w:bCs/>
          <w:b/>
        </w:rPr>
        <w:t xml:space="preserve">SEER-2</w:t>
      </w:r>
      <w:r>
        <w:rPr>
          <w:rStyle w:val="FootnoteReference"/>
        </w:rPr>
        <w:footnoteReference w:id="997"/>
      </w:r>
      <w:r>
        <w:rPr>
          <w:bCs/>
          <w:b/>
        </w:rPr>
        <w:t xml:space="preserve">:</w:t>
      </w:r>
      <w:r>
        <w:t xml:space="preserve"> </w:t>
      </w:r>
      <w:r>
        <w:t xml:space="preserve">Phase 3 trial with RGN-259 eye drops in neurotrophic keratopathy, 70 people planned, recruiting, estimated study completion May 2026 according to the registry. Results had not been published as of October 2026.</w:t>
      </w:r>
    </w:p>
    <w:p>
      <w:pPr>
        <w:numPr>
          <w:ilvl w:val="0"/>
          <w:numId w:val="1121"/>
        </w:numPr>
        <w:pStyle w:val="Compact"/>
      </w:pPr>
      <w:r>
        <w:rPr>
          <w:bCs/>
          <w:b/>
        </w:rPr>
        <w:t xml:space="preserve">NL005 in heart attack</w:t>
      </w:r>
      <w:r>
        <w:rPr>
          <w:rStyle w:val="FootnoteReference"/>
        </w:rPr>
        <w:footnoteReference w:id="998"/>
      </w:r>
      <w:r>
        <w:rPr>
          <w:bCs/>
          <w:b/>
        </w:rPr>
        <w:t xml:space="preserve">:</w:t>
      </w:r>
      <w:r>
        <w:t xml:space="preserve"> </w:t>
      </w:r>
      <w:r>
        <w:t xml:space="preserve">Chinese Phase 2c trial with recombinant Tβ4, 189 people planned, primary endpoint infarct size on cardiac MRI after 90 days; not yet recruiting, estimated completion 2028. Two previous Phase 2 trials by the same manufacturer with 62 and 90 people have been completed according to the registry</w:t>
      </w:r>
      <w:r>
        <w:rPr>
          <w:rStyle w:val="FootnoteReference"/>
        </w:rPr>
        <w:footnoteReference w:id="999"/>
      </w:r>
      <w:r>
        <w:t xml:space="preserve">.</w:t>
      </w:r>
    </w:p>
    <w:p>
      <w:pPr>
        <w:numPr>
          <w:ilvl w:val="0"/>
          <w:numId w:val="1121"/>
        </w:numPr>
        <w:pStyle w:val="Compact"/>
      </w:pPr>
      <w:r>
        <w:rPr>
          <w:bCs/>
          <w:b/>
        </w:rPr>
        <w:t xml:space="preserve">TB-500:</w:t>
      </w:r>
      <w:r>
        <w:t xml:space="preserve"> </w:t>
      </w:r>
      <w:r>
        <w:t xml:space="preserve">no credible registered human trial.</w:t>
      </w:r>
    </w:p>
    <w:p>
      <w:pPr>
        <w:pStyle w:val="FirstParagraph"/>
      </w:pPr>
      <w:r>
        <w:rPr>
          <w:bCs/>
          <w:b/>
        </w:rPr>
        <w:t xml:space="preserve">Author’s assessment:</w:t>
      </w:r>
      <w:r>
        <w:t xml:space="preserve"> </w:t>
      </w:r>
      <w:r>
        <w:t xml:space="preserve">Tβ4 has the most realistic chance of approval as eye drops in the rare neurotrophic keratopathy, where even small trials can suffice for approval as an orphan drug – if SEER-2 is positive. In dry eye, the large Phase 3 data argue against a clinically relevant benefit. In heart attack, everything depends on the ongoing Chinese trial. For TB-500 as an agent for tendon and muscle healing, no serious human research is in sight for the foreseeable future.</w:t>
      </w:r>
    </w:p>
    <w:bookmarkEnd w:id="1000"/>
    <w:bookmarkStart w:id="1002" w:name="conclusion-16"/>
    <w:p>
      <w:pPr>
        <w:pStyle w:val="Heading3"/>
      </w:pPr>
      <w:r>
        <w:t xml:space="preserve">Conclusion</w:t>
      </w:r>
    </w:p>
    <w:p>
      <w:pPr>
        <w:pStyle w:val="FirstParagraph"/>
      </w:pPr>
      <w:r>
        <w:t xml:space="preserve">Thymosin beta-4 is an endogenous peptide that was well tolerated as eye drops and infusion in randomized trials, but whose benefit was not confirmed in the large dry eye trials and has so far only been hinted at in a subgroup in heart attack</w:t>
      </w:r>
      <w:r>
        <w:rPr>
          <w:rStyle w:val="FootnoteReference"/>
        </w:rPr>
        <w:footnoteReference w:id="1001"/>
      </w:r>
      <w:r>
        <w:t xml:space="preserve">. TB-500 is something else: a modified fragment that has never been tested in a published human study and whose gray-market products demonstrably do not always contain what is declared. Advertising for TB-500 relies on studies with the whole protein – and even these hardly concern tendons, ligaments or muscles. For athletes, both substances are prohibited.</w:t>
      </w:r>
    </w:p>
    <w:bookmarkEnd w:id="1002"/>
    <w:bookmarkEnd w:id="1003"/>
    <w:bookmarkStart w:id="1063" w:name="thymosin-alpha-1-thymalfasin"/>
    <w:p>
      <w:pPr>
        <w:pStyle w:val="Heading2"/>
      </w:pPr>
      <w:r>
        <w:t xml:space="preserve">Thymosin Alpha-1 (Thymalfasin)</w:t>
      </w:r>
    </w:p>
    <w:p>
      <w:pPr>
        <w:pStyle w:val="FirstParagraph"/>
      </w:pPr>
      <w:r>
        <w:t xml:space="preserve">Thymosin alpha-1 is a special case in this group. Unlike BPC-157 or TB-500, it is an approved medicine in a number of countries (brand name Zadaxin), it has been tested in dozens of randomized trials in thousands of people, and in China it is part of everyday practice in some hospitals. At the same time, this very peptide shows how a picture changes when small, older studies are superseded by large, carefully conducted ones. In Europe and the USA it is not approved, but it is marketed as an immune booster in the</w:t>
      </w:r>
      <w:r>
        <w:t xml:space="preserve"> </w:t>
      </w:r>
      <w:r>
        <w:t xml:space="preserve">“</w:t>
      </w:r>
      <w:r>
        <w:t xml:space="preserve">longevity</w:t>
      </w:r>
      <w:r>
        <w:t xml:space="preserve">”</w:t>
      </w:r>
      <w:r>
        <w:t xml:space="preserve"> </w:t>
      </w:r>
      <w:r>
        <w:t xml:space="preserve">and biohacking scene.</w:t>
      </w:r>
    </w:p>
    <w:bookmarkStart w:id="1006" w:name="profile-17"/>
    <w:p>
      <w:pPr>
        <w:pStyle w:val="Heading3"/>
      </w:pPr>
      <w:r>
        <w:t xml:space="preserve">Profile</w:t>
      </w:r>
    </w:p>
    <w:p>
      <w:pPr>
        <w:numPr>
          <w:ilvl w:val="0"/>
          <w:numId w:val="1122"/>
        </w:numPr>
        <w:pStyle w:val="Compact"/>
      </w:pPr>
      <w:r>
        <w:rPr>
          <w:bCs/>
          <w:b/>
        </w:rPr>
        <w:t xml:space="preserve">Type and structure:</w:t>
      </w:r>
      <w:r>
        <w:t xml:space="preserve"> </w:t>
      </w:r>
      <w:r>
        <w:t xml:space="preserve">peptide of 28 amino acids, acetylated at the beginning</w:t>
      </w:r>
      <w:r>
        <w:rPr>
          <w:rStyle w:val="FootnoteReference"/>
        </w:rPr>
        <w:footnoteReference w:id="1004"/>
      </w:r>
      <w:r>
        <w:t xml:space="preserve">; fragment of the larger protein prothymosin alpha.</w:t>
      </w:r>
    </w:p>
    <w:p>
      <w:pPr>
        <w:numPr>
          <w:ilvl w:val="0"/>
          <w:numId w:val="1122"/>
        </w:numPr>
        <w:pStyle w:val="Compact"/>
      </w:pPr>
      <w:r>
        <w:rPr>
          <w:bCs/>
          <w:b/>
        </w:rPr>
        <w:t xml:space="preserve">Origin:</w:t>
      </w:r>
      <w:r>
        <w:t xml:space="preserve"> </w:t>
      </w:r>
      <w:r>
        <w:t xml:space="preserve">isolated in the 1970s from an extract of the thymus gland (</w:t>
      </w:r>
      <w:r>
        <w:t xml:space="preserve">“</w:t>
      </w:r>
      <w:r>
        <w:t xml:space="preserve">thymosin fraction 5</w:t>
      </w:r>
      <w:r>
        <w:t xml:space="preserve">”</w:t>
      </w:r>
      <w:r>
        <w:t xml:space="preserve">); today chemically synthesized. Active substance name thymalfasin.</w:t>
      </w:r>
    </w:p>
    <w:p>
      <w:pPr>
        <w:numPr>
          <w:ilvl w:val="0"/>
          <w:numId w:val="1122"/>
        </w:numPr>
        <w:pStyle w:val="Compact"/>
      </w:pPr>
      <w:r>
        <w:rPr>
          <w:bCs/>
          <w:b/>
        </w:rPr>
        <w:t xml:space="preserve">Mechanism of action:</w:t>
      </w:r>
      <w:r>
        <w:t xml:space="preserve"> </w:t>
      </w:r>
      <w:r>
        <w:t xml:space="preserve">immunomodulator – intended to promote the maturation and activity of T cells and dendritic cells.</w:t>
      </w:r>
    </w:p>
    <w:p>
      <w:pPr>
        <w:numPr>
          <w:ilvl w:val="0"/>
          <w:numId w:val="1122"/>
        </w:numPr>
        <w:pStyle w:val="Compact"/>
      </w:pPr>
      <w:r>
        <w:rPr>
          <w:bCs/>
          <w:b/>
        </w:rPr>
        <w:t xml:space="preserve">Approval EU:</w:t>
      </w:r>
      <w:r>
        <w:t xml:space="preserve"> </w:t>
      </w:r>
      <w:r>
        <w:t xml:space="preserve">no centralized approval.</w:t>
      </w:r>
      <w:r>
        <w:t xml:space="preserve"> </w:t>
      </w:r>
      <w:r>
        <w:rPr>
          <w:bCs/>
          <w:b/>
        </w:rPr>
        <w:t xml:space="preserve">USA:</w:t>
      </w:r>
      <w:r>
        <w:t xml:space="preserve"> </w:t>
      </w:r>
      <w:r>
        <w:t xml:space="preserve">not approved; the FDA restricted its use in compounding pharmacies in 2023</w:t>
      </w:r>
      <w:r>
        <w:rPr>
          <w:rStyle w:val="FootnoteReference"/>
        </w:rPr>
        <w:footnoteReference w:id="1005"/>
      </w:r>
      <w:r>
        <w:t xml:space="preserve">.</w:t>
      </w:r>
      <w:r>
        <w:t xml:space="preserve"> </w:t>
      </w:r>
      <w:r>
        <w:rPr>
          <w:bCs/>
          <w:b/>
        </w:rPr>
        <w:t xml:space="preserve">Other countries:</w:t>
      </w:r>
      <w:r>
        <w:t xml:space="preserve"> </w:t>
      </w:r>
      <w:r>
        <w:t xml:space="preserve">approved as Zadaxin, mainly in China and other Asian countries, usually for chronic hepatitis B and as adjunctive therapy to strengthen the immune system.</w:t>
      </w:r>
    </w:p>
    <w:p>
      <w:pPr>
        <w:numPr>
          <w:ilvl w:val="0"/>
          <w:numId w:val="1122"/>
        </w:numPr>
        <w:pStyle w:val="Compact"/>
      </w:pPr>
      <w:r>
        <w:rPr>
          <w:bCs/>
          <w:b/>
        </w:rPr>
        <w:t xml:space="preserve">WADA:</w:t>
      </w:r>
      <w:r>
        <w:t xml:space="preserve"> </w:t>
      </w:r>
      <w:r>
        <w:t xml:space="preserve">not explicitly listed.</w:t>
      </w:r>
    </w:p>
    <w:p>
      <w:pPr>
        <w:numPr>
          <w:ilvl w:val="0"/>
          <w:numId w:val="1122"/>
        </w:numPr>
        <w:pStyle w:val="Compact"/>
      </w:pPr>
      <w:r>
        <w:rPr>
          <w:bCs/>
          <w:b/>
        </w:rPr>
        <w:t xml:space="preserve">Evidence level: B</w:t>
      </w:r>
      <w:r>
        <w:t xml:space="preserve"> </w:t>
      </w:r>
      <w:r>
        <w:t xml:space="preserve">– formally, many randomized trials are available; however, the large, methodologically best trials missed their primary endpoints, and the positive results come mainly from small studies with a high risk of bias.</w:t>
      </w:r>
    </w:p>
    <w:bookmarkEnd w:id="1006"/>
    <w:bookmarkStart w:id="1009" w:name="how-it-is-supposed-to-work-17"/>
    <w:p>
      <w:pPr>
        <w:pStyle w:val="Heading3"/>
      </w:pPr>
      <w:r>
        <w:t xml:space="preserve">How it is supposed to work</w:t>
      </w:r>
    </w:p>
    <w:p>
      <w:pPr>
        <w:pStyle w:val="FirstParagraph"/>
      </w:pPr>
      <w:r>
        <w:t xml:space="preserve">The thymus gland behind the breastbone is the</w:t>
      </w:r>
      <w:r>
        <w:t xml:space="preserve"> </w:t>
      </w:r>
      <w:r>
        <w:t xml:space="preserve">“</w:t>
      </w:r>
      <w:r>
        <w:t xml:space="preserve">school</w:t>
      </w:r>
      <w:r>
        <w:t xml:space="preserve">”</w:t>
      </w:r>
      <w:r>
        <w:t xml:space="preserve"> </w:t>
      </w:r>
      <w:r>
        <w:t xml:space="preserve">of T cells: here these white blood cells learn to distinguish foreign from self. The thymus shrinks with age. Early on, it was suspected that messengers from the thymus control the body’s defenses, and they were sought in thymus extracts. Thymosin alpha-1 was one of the first substances identified in this way.</w:t>
      </w:r>
    </w:p>
    <w:p>
      <w:pPr>
        <w:pStyle w:val="BodyText"/>
      </w:pPr>
      <w:r>
        <w:t xml:space="preserve">In laboratory and animal experiments, thymosin alpha-1 activates dendritic cells – the</w:t>
      </w:r>
      <w:r>
        <w:t xml:space="preserve"> </w:t>
      </w:r>
      <w:r>
        <w:t xml:space="preserve">“</w:t>
      </w:r>
      <w:r>
        <w:t xml:space="preserve">scouts</w:t>
      </w:r>
      <w:r>
        <w:t xml:space="preserve">”</w:t>
      </w:r>
      <w:r>
        <w:t xml:space="preserve"> </w:t>
      </w:r>
      <w:r>
        <w:t xml:space="preserve">of the immune system – via so-called Toll-like receptors, increases the expression of recognition molecules on cells and enhances the effect of interferon</w:t>
      </w:r>
      <w:r>
        <w:rPr>
          <w:rStyle w:val="FootnoteReference"/>
        </w:rPr>
        <w:footnoteReference w:id="1007"/>
      </w:r>
      <w:r>
        <w:t xml:space="preserve">. From this, the three major application ideas were derived:</w:t>
      </w:r>
    </w:p>
    <w:p>
      <w:pPr>
        <w:numPr>
          <w:ilvl w:val="0"/>
          <w:numId w:val="1123"/>
        </w:numPr>
        <w:pStyle w:val="Compact"/>
      </w:pPr>
      <w:r>
        <w:rPr>
          <w:bCs/>
          <w:b/>
        </w:rPr>
        <w:t xml:space="preserve">Chronic viral infections</w:t>
      </w:r>
      <w:r>
        <w:t xml:space="preserve"> </w:t>
      </w:r>
      <w:r>
        <w:t xml:space="preserve">(hepatitis B and C), in which the immune system does not eliminate the virus on its own.</w:t>
      </w:r>
    </w:p>
    <w:p>
      <w:pPr>
        <w:numPr>
          <w:ilvl w:val="0"/>
          <w:numId w:val="1123"/>
        </w:numPr>
        <w:pStyle w:val="Compact"/>
      </w:pPr>
      <w:r>
        <w:rPr>
          <w:bCs/>
          <w:b/>
        </w:rPr>
        <w:t xml:space="preserve">Sepsis and severe infections</w:t>
      </w:r>
      <w:r>
        <w:t xml:space="preserve">, in which an initial overreaction is often followed by a phase of immune weakness.</w:t>
      </w:r>
    </w:p>
    <w:p>
      <w:pPr>
        <w:numPr>
          <w:ilvl w:val="0"/>
          <w:numId w:val="1123"/>
        </w:numPr>
        <w:pStyle w:val="Compact"/>
      </w:pPr>
      <w:r>
        <w:rPr>
          <w:bCs/>
          <w:b/>
        </w:rPr>
        <w:t xml:space="preserve">Cancer</w:t>
      </w:r>
      <w:r>
        <w:t xml:space="preserve">, as a supplement to chemotherapy, radiotherapy and immunotherapy.</w:t>
      </w:r>
    </w:p>
    <w:p>
      <w:pPr>
        <w:pStyle w:val="FirstParagraph"/>
      </w:pPr>
      <w:r>
        <w:t xml:space="preserve">The half-life in the blood is about two hours; after 24 hours the level is back at baseline</w:t>
      </w:r>
      <w:r>
        <w:rPr>
          <w:rStyle w:val="FootnoteReference"/>
        </w:rPr>
        <w:footnoteReference w:id="1008"/>
      </w:r>
      <w:r>
        <w:t xml:space="preserve">.</w:t>
      </w:r>
    </w:p>
    <w:bookmarkEnd w:id="1009"/>
    <w:bookmarkStart w:id="1039" w:name="human-studies-17"/>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90</w:t>
      </w:r>
      <w:r>
        <w:t xml:space="preserve"> </w:t>
      </w:r>
      <w:r>
        <w:t xml:space="preserve">human studies in PubMed and</w:t>
      </w:r>
      <w:r>
        <w:t xml:space="preserve"> </w:t>
      </w:r>
      <w:r>
        <w:rPr>
          <w:bCs/>
          <w:b/>
        </w:rPr>
        <w:t xml:space="preserve">66</w:t>
      </w:r>
      <w:r>
        <w:t xml:space="preserve"> </w:t>
      </w:r>
      <w:r>
        <w:t xml:space="preserve">entries on ClinicalTrials.gov, plus 15 meta-analyses and systematic reviews. A large proportion of the studies come from China and are small. A 2024 review summarizing over 30 studies with more than 11,000 people was explicitly written to argue against the FDA restriction</w:t>
      </w:r>
      <w:r>
        <w:rPr>
          <w:rStyle w:val="FootnoteReference"/>
        </w:rPr>
        <w:footnoteReference w:id="1010"/>
      </w:r>
      <w:r>
        <w:t xml:space="preserve"> </w:t>
      </w:r>
      <w:r>
        <w:t xml:space="preserve">– it should therefore not be read as a neutral assessment.</w:t>
      </w:r>
    </w:p>
    <w:bookmarkStart w:id="1011" w:name="the-most-important-large-trials"/>
    <w:p>
      <w:pPr>
        <w:pStyle w:val="Heading4"/>
      </w:pPr>
      <w:r>
        <w:t xml:space="preserve">The most important large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TESTS, sepsis (Wu 2025, PMID 39814420)</w:t>
            </w:r>
          </w:p>
        </w:tc>
        <w:tc>
          <w:tcPr/>
          <w:p>
            <w:pPr>
              <w:pStyle w:val="Compact"/>
              <w:jc w:val="left"/>
            </w:pPr>
            <w:r>
              <w:t xml:space="preserve">1,106 adults with sepsis, 22 centers in China, double-blind RCT vs. placebo</w:t>
            </w:r>
          </w:p>
        </w:tc>
        <w:tc>
          <w:tcPr/>
          <w:p>
            <w:pPr>
              <w:pStyle w:val="Compact"/>
              <w:jc w:val="left"/>
            </w:pPr>
            <w:r>
              <w:t xml:space="preserve">7 days of treatment, 28 days of observation</w:t>
            </w:r>
          </w:p>
        </w:tc>
        <w:tc>
          <w:tcPr/>
          <w:p>
            <w:pPr>
              <w:pStyle w:val="Compact"/>
              <w:jc w:val="left"/>
            </w:pPr>
            <w:r>
              <w:t xml:space="preserve">mortality 23.4% vs. 24.1%; no difference</w:t>
            </w:r>
          </w:p>
        </w:tc>
      </w:tr>
      <w:tr>
        <w:tc>
          <w:tcPr/>
          <w:p>
            <w:pPr>
              <w:pStyle w:val="Compact"/>
              <w:jc w:val="left"/>
            </w:pPr>
            <w:r>
              <w:t xml:space="preserve">Necrotizing pancreatitis (Ke 2022, PMID 35713670)</w:t>
            </w:r>
          </w:p>
        </w:tc>
        <w:tc>
          <w:tcPr/>
          <w:p>
            <w:pPr>
              <w:pStyle w:val="Compact"/>
              <w:jc w:val="left"/>
            </w:pPr>
            <w:r>
              <w:t xml:space="preserve">508 people, double-blind RCT vs. placebo</w:t>
            </w:r>
          </w:p>
        </w:tc>
        <w:tc>
          <w:tcPr/>
          <w:p>
            <w:pPr>
              <w:pStyle w:val="Compact"/>
              <w:jc w:val="left"/>
            </w:pPr>
            <w:r>
              <w:t xml:space="preserve">14 days of treatment</w:t>
            </w:r>
          </w:p>
        </w:tc>
        <w:tc>
          <w:tcPr/>
          <w:p>
            <w:pPr>
              <w:pStyle w:val="Compact"/>
              <w:jc w:val="left"/>
            </w:pPr>
            <w:r>
              <w:t xml:space="preserve">infected necrosis 15.7% vs. 18.1%; no significant difference</w:t>
            </w:r>
          </w:p>
        </w:tc>
      </w:tr>
      <w:tr>
        <w:tc>
          <w:tcPr/>
          <w:p>
            <w:pPr>
              <w:pStyle w:val="Compact"/>
              <w:jc w:val="left"/>
            </w:pPr>
            <w:r>
              <w:t xml:space="preserve">Melanoma (Maio 2010, PMID 20194853)</w:t>
            </w:r>
          </w:p>
        </w:tc>
        <w:tc>
          <w:tcPr/>
          <w:p>
            <w:pPr>
              <w:pStyle w:val="Compact"/>
              <w:jc w:val="left"/>
            </w:pPr>
            <w:r>
              <w:t xml:space="preserve">488 people with metastatic melanoma, RCT with 5 groups</w:t>
            </w:r>
          </w:p>
        </w:tc>
        <w:tc>
          <w:tcPr/>
          <w:p>
            <w:pPr>
              <w:pStyle w:val="Compact"/>
              <w:jc w:val="left"/>
            </w:pPr>
            <w:r>
              <w:t xml:space="preserve">up to 24 months</w:t>
            </w:r>
          </w:p>
        </w:tc>
        <w:tc>
          <w:tcPr/>
          <w:p>
            <w:pPr>
              <w:pStyle w:val="Compact"/>
              <w:jc w:val="left"/>
            </w:pPr>
            <w:r>
              <w:t xml:space="preserve">more tumor response in two Tα1 groups; overall survival 9.4 vs. 6.6 months, not significant (p = 0.08)</w:t>
            </w:r>
          </w:p>
        </w:tc>
      </w:tr>
      <w:tr>
        <w:tc>
          <w:tcPr/>
          <w:p>
            <w:pPr>
              <w:pStyle w:val="Compact"/>
              <w:jc w:val="left"/>
            </w:pPr>
            <w:r>
              <w:t xml:space="preserve">Hepatitis B cirrhosis (Wu 2018, PMID 30063860)</w:t>
            </w:r>
          </w:p>
        </w:tc>
        <w:tc>
          <w:tcPr/>
          <w:p>
            <w:pPr>
              <w:pStyle w:val="Compact"/>
              <w:jc w:val="left"/>
            </w:pPr>
            <w:r>
              <w:t xml:space="preserve">690 people, open-label RCT, Tα1 plus entecavir vs. entecavir alone</w:t>
            </w:r>
          </w:p>
        </w:tc>
        <w:tc>
          <w:tcPr/>
          <w:p>
            <w:pPr>
              <w:pStyle w:val="Compact"/>
              <w:jc w:val="left"/>
            </w:pPr>
            <w:r>
              <w:t xml:space="preserve">median 38.2 months</w:t>
            </w:r>
          </w:p>
        </w:tc>
        <w:tc>
          <w:tcPr/>
          <w:p>
            <w:pPr>
              <w:pStyle w:val="Compact"/>
              <w:jc w:val="left"/>
            </w:pPr>
            <w:r>
              <w:t xml:space="preserve">no difference in liver failure, liver cancer or death</w:t>
            </w:r>
          </w:p>
        </w:tc>
      </w:tr>
      <w:tr>
        <w:tc>
          <w:tcPr/>
          <w:p>
            <w:pPr>
              <w:pStyle w:val="Compact"/>
              <w:jc w:val="left"/>
            </w:pPr>
            <w:r>
              <w:t xml:space="preserve">Hepatitis B, Japan (Iino 2005, PMID 15850471)</w:t>
            </w:r>
          </w:p>
        </w:tc>
        <w:tc>
          <w:tcPr/>
          <w:p>
            <w:pPr>
              <w:pStyle w:val="Compact"/>
              <w:jc w:val="left"/>
            </w:pPr>
            <w:r>
              <w:t xml:space="preserve">316 people, comparison of two doses, no placebo group</w:t>
            </w:r>
          </w:p>
        </w:tc>
        <w:tc>
          <w:tcPr/>
          <w:p>
            <w:pPr>
              <w:pStyle w:val="Compact"/>
              <w:jc w:val="left"/>
            </w:pPr>
            <w:r>
              <w:t xml:space="preserve">24 weeks plus 48 weeks</w:t>
            </w:r>
          </w:p>
        </w:tc>
        <w:tc>
          <w:tcPr/>
          <w:p>
            <w:pPr>
              <w:pStyle w:val="Compact"/>
              <w:jc w:val="left"/>
            </w:pPr>
            <w:r>
              <w:t xml:space="preserve">HBe antigen loss in 22.8% at the higher dose</w:t>
            </w:r>
          </w:p>
        </w:tc>
      </w:tr>
      <w:tr>
        <w:tc>
          <w:tcPr/>
          <w:p>
            <w:pPr>
              <w:pStyle w:val="Compact"/>
              <w:jc w:val="left"/>
            </w:pPr>
            <w:r>
              <w:t xml:space="preserve">Hepatitis B, Phase 3 (Mutchnick 1999, PMID 10607256)</w:t>
            </w:r>
          </w:p>
        </w:tc>
        <w:tc>
          <w:tcPr/>
          <w:p>
            <w:pPr>
              <w:pStyle w:val="Compact"/>
              <w:jc w:val="left"/>
            </w:pPr>
            <w:r>
              <w:t xml:space="preserve">97 people, double-blind RCT vs. placebo</w:t>
            </w:r>
          </w:p>
        </w:tc>
        <w:tc>
          <w:tcPr/>
          <w:p>
            <w:pPr>
              <w:pStyle w:val="Compact"/>
              <w:jc w:val="left"/>
            </w:pPr>
            <w:r>
              <w:t xml:space="preserve">12 months</w:t>
            </w:r>
          </w:p>
        </w:tc>
        <w:tc>
          <w:tcPr/>
          <w:p>
            <w:pPr>
              <w:pStyle w:val="Compact"/>
              <w:jc w:val="left"/>
            </w:pPr>
            <w:r>
              <w:t xml:space="preserve">complete response 14% vs. 4%, not significant</w:t>
            </w:r>
          </w:p>
        </w:tc>
      </w:tr>
    </w:tbl>
    <w:bookmarkEnd w:id="1011"/>
    <w:bookmarkStart w:id="1019" w:name="hepatitis-b-and-c"/>
    <w:p>
      <w:pPr>
        <w:pStyle w:val="Heading4"/>
      </w:pPr>
      <w:r>
        <w:t xml:space="preserve">Hepatitis B and C</w:t>
      </w:r>
    </w:p>
    <w:p>
      <w:pPr>
        <w:pStyle w:val="FirstParagraph"/>
      </w:pPr>
      <w:r>
        <w:t xml:space="preserve">The approvals in Asia are based mainly on studies of chronic hepatitis B from the 1990s. A randomized trial with 98 people found a complete virological response 18 months after the start in 40.6 percent after six months of treatment compared with 9.4 percent in the untreated control group</w:t>
      </w:r>
      <w:r>
        <w:rPr>
          <w:rStyle w:val="FootnoteReference"/>
        </w:rPr>
        <w:footnoteReference w:id="1012"/>
      </w:r>
      <w:r>
        <w:t xml:space="preserve">. The double-blind, placebo-controlled Phase 3 trial could not confirm this: 14 percent vs. 4 percent, not statistically significant; the authors themselves write that the results did not confirm earlier observations</w:t>
      </w:r>
      <w:r>
        <w:rPr>
          <w:rStyle w:val="FootnoteReference"/>
        </w:rPr>
        <w:footnoteReference w:id="1013"/>
      </w:r>
      <w:r>
        <w:t xml:space="preserve">.</w:t>
      </w:r>
    </w:p>
    <w:p>
      <w:pPr>
        <w:pStyle w:val="BodyText"/>
      </w:pPr>
      <w:r>
        <w:t xml:space="preserve">A meta-analysis of four small trials with 199 people found that thymosin alpha-1 performed worse than interferon alpha at the end of treatment but better six months afterward</w:t>
      </w:r>
      <w:r>
        <w:rPr>
          <w:rStyle w:val="FootnoteReference"/>
        </w:rPr>
        <w:footnoteReference w:id="1014"/>
      </w:r>
      <w:r>
        <w:t xml:space="preserve">. Today the question is largely obsolete: modern tablets against hepatitis B (such as entecavir) reliably suppress the virus. In the large trial with 690 people with liver cirrhosis, adding thymosin alpha-1 to entecavir brought no advantage in the primary endpoint of liver decompensation, liver cancer or death</w:t>
      </w:r>
      <w:r>
        <w:rPr>
          <w:rStyle w:val="FootnoteReference"/>
        </w:rPr>
        <w:footnoteReference w:id="1015"/>
      </w:r>
      <w:r>
        <w:t xml:space="preserve">. A meta-analysis of Chinese studies on the same combination did find better response rates after 24 weeks, but no difference anymore after 48 to 52 weeks</w:t>
      </w:r>
      <w:r>
        <w:rPr>
          <w:rStyle w:val="FootnoteReference"/>
        </w:rPr>
        <w:footnoteReference w:id="1016"/>
      </w:r>
      <w:r>
        <w:t xml:space="preserve">.</w:t>
      </w:r>
    </w:p>
    <w:p>
      <w:pPr>
        <w:pStyle w:val="BodyText"/>
      </w:pPr>
      <w:r>
        <w:t xml:space="preserve">In a particularly severe form – acute-on-chronic liver failure in hepatitis B – transplant-free 90-day survival in an open-label trial with 120 people was 75.0 percent on thymosin alpha-1 compared with 53.4 percent; new infections were less frequent</w:t>
      </w:r>
      <w:r>
        <w:rPr>
          <w:rStyle w:val="FootnoteReference"/>
        </w:rPr>
        <w:footnoteReference w:id="1017"/>
      </w:r>
      <w:r>
        <w:t xml:space="preserve">. The trial was not blinded, and in an analysis that took competing risks into account, the survival difference was not significant.</w:t>
      </w:r>
    </w:p>
    <w:p>
      <w:pPr>
        <w:pStyle w:val="BodyText"/>
      </w:pPr>
      <w:r>
        <w:t xml:space="preserve">In hepatitis C, combination with interferon improved values at the end of treatment in smaller trials</w:t>
      </w:r>
      <w:r>
        <w:rPr>
          <w:rStyle w:val="FootnoteReference"/>
        </w:rPr>
        <w:footnoteReference w:id="1018"/>
      </w:r>
      <w:r>
        <w:t xml:space="preserve">, but sustained response did not differ substantially. Since direct-acting tablets became available that eliminate hepatitis C in the vast majority of cases, thymosin alpha-1 no longer plays a role here.</w:t>
      </w:r>
    </w:p>
    <w:bookmarkEnd w:id="1019"/>
    <w:bookmarkStart w:id="1024" w:name="sepsis"/>
    <w:p>
      <w:pPr>
        <w:pStyle w:val="Heading4"/>
      </w:pPr>
      <w:r>
        <w:t xml:space="preserve">Sepsis</w:t>
      </w:r>
    </w:p>
    <w:p>
      <w:pPr>
        <w:pStyle w:val="FirstParagraph"/>
      </w:pPr>
      <w:r>
        <w:t xml:space="preserve">Sepsis illustrates the development of the evidence particularly well. Early meta-analyses of predominantly small Chinese studies found markedly lower mortality (Li 2015, PMID 25532482: relative risk 0.68 in 12 trials with 1,480 people), but themselves pointed to the poor quality of the studies. The first larger randomized trial (ETASS) with 361 people found a 28-day mortality of 26.0 vs. 35.0 percent – just at the threshold of statistical significance, single-blind</w:t>
      </w:r>
      <w:r>
        <w:rPr>
          <w:rStyle w:val="FootnoteReference"/>
        </w:rPr>
        <w:footnoteReference w:id="1020"/>
      </w:r>
      <w:r>
        <w:t xml:space="preserve">.</w:t>
      </w:r>
    </w:p>
    <w:p>
      <w:pPr>
        <w:pStyle w:val="BodyText"/>
      </w:pPr>
      <w:r>
        <w:t xml:space="preserve">The same research group then planned the largest and best trial to date: TESTS, double-blind, placebo-controlled, 1,106 adults in 22 centers. Result: 28-day mortality was 23.4 percent on thymosin alpha-1 and 24.1 percent on placebo – no difference. No secondary endpoint differed either</w:t>
      </w:r>
      <w:r>
        <w:rPr>
          <w:rStyle w:val="FootnoteReference"/>
        </w:rPr>
        <w:footnoteReference w:id="1021"/>
      </w:r>
      <w:r>
        <w:t xml:space="preserve">. In subgroups, there were hints of benefits in people over 60 and in people with diabetes, but even disadvantages in those under 60 – such subgroup findings are uncertain.</w:t>
      </w:r>
    </w:p>
    <w:p>
      <w:pPr>
        <w:pStyle w:val="BodyText"/>
      </w:pPr>
      <w:r>
        <w:t xml:space="preserve">A 2025 meta-analysis with 11 randomized trials found lower mortality overall, but not when only the high-quality or only the multicenter trials were considered; the available data were too limited for a definitive conclusion</w:t>
      </w:r>
      <w:r>
        <w:rPr>
          <w:rStyle w:val="FootnoteReference"/>
        </w:rPr>
        <w:footnoteReference w:id="1022"/>
      </w:r>
      <w:r>
        <w:t xml:space="preserve">. Many Chinese studies also combine thymosin alpha-1 with ulinastatin, another agent used in China; network meta-analyses rate the certainty of these results as predominantly low</w:t>
      </w:r>
      <w:r>
        <w:rPr>
          <w:rStyle w:val="FootnoteReference"/>
        </w:rPr>
        <w:footnoteReference w:id="1023"/>
      </w:r>
      <w:r>
        <w:t xml:space="preserve">.</w:t>
      </w:r>
    </w:p>
    <w:bookmarkEnd w:id="1024"/>
    <w:bookmarkStart w:id="1030" w:name="covid-19"/>
    <w:p>
      <w:pPr>
        <w:pStyle w:val="Heading4"/>
      </w:pPr>
      <w:r>
        <w:t xml:space="preserve">COVID-19</w:t>
      </w:r>
    </w:p>
    <w:p>
      <w:pPr>
        <w:pStyle w:val="FirstParagraph"/>
      </w:pPr>
      <w:r>
        <w:t xml:space="preserve">During the pandemic, thymosin alpha-1 was widely used in China. An early retrospective analysis of 76 severely ill patients in Wuhan reported a mortality of 11.1 vs. 30.0 percent</w:t>
      </w:r>
      <w:r>
        <w:rPr>
          <w:rStyle w:val="FootnoteReference"/>
        </w:rPr>
        <w:footnoteReference w:id="1025"/>
      </w:r>
      <w:r>
        <w:t xml:space="preserve">. A larger retrospective study in five hospitals with over 2,200 people found the opposite: after adjustment for confounders, treatment was associated with a higher rate of non-recovery</w:t>
      </w:r>
      <w:r>
        <w:rPr>
          <w:rStyle w:val="FootnoteReference"/>
        </w:rPr>
        <w:footnoteReference w:id="1026"/>
      </w:r>
      <w:r>
        <w:t xml:space="preserve">. A small randomized pilot study with 49 people found faster increases in T helper cells, but no significant difference in recovery</w:t>
      </w:r>
      <w:r>
        <w:rPr>
          <w:rStyle w:val="FootnoteReference"/>
        </w:rPr>
        <w:footnoteReference w:id="1027"/>
      </w:r>
      <w:r>
        <w:t xml:space="preserve">.</w:t>
      </w:r>
    </w:p>
    <w:p>
      <w:pPr>
        <w:pStyle w:val="BodyText"/>
      </w:pPr>
      <w:r>
        <w:t xml:space="preserve">Two meta-analyses reached opposite conclusions: one with 9 studies and 5,352 people found no effect on mortality and advises against use in hospitalized adults</w:t>
      </w:r>
      <w:r>
        <w:rPr>
          <w:rStyle w:val="FootnoteReference"/>
        </w:rPr>
        <w:footnoteReference w:id="1028"/>
      </w:r>
      <w:r>
        <w:t xml:space="preserve">; another with 8 studies found lower mortality, but with very high heterogeneity among the studies</w:t>
      </w:r>
      <w:r>
        <w:rPr>
          <w:rStyle w:val="FootnoteReference"/>
        </w:rPr>
        <w:footnoteReference w:id="1029"/>
      </w:r>
      <w:r>
        <w:t xml:space="preserve">. Almost all data come from non-randomized observational studies. A benefit in COVID-19 is therefore not established.</w:t>
      </w:r>
    </w:p>
    <w:bookmarkEnd w:id="1030"/>
    <w:bookmarkStart w:id="1034" w:name="cancer"/>
    <w:p>
      <w:pPr>
        <w:pStyle w:val="Heading4"/>
      </w:pPr>
      <w:r>
        <w:t xml:space="preserve">Cancer</w:t>
      </w:r>
    </w:p>
    <w:p>
      <w:pPr>
        <w:pStyle w:val="FirstParagraph"/>
      </w:pPr>
      <w:r>
        <w:t xml:space="preserve">The largest randomized cancer trial tested thymosin alpha-1 in metastatic melanoma in addition to chemotherapy with dacarbazine. In two Tα1 groups, more tumors responded than in the control group (10 and 12 vs. 4 responses); median overall survival was 9.4 versus 6.6 months, but the difference was not significant</w:t>
      </w:r>
      <w:r>
        <w:rPr>
          <w:rStyle w:val="FootnoteReference"/>
        </w:rPr>
        <w:footnoteReference w:id="1031"/>
      </w:r>
      <w:r>
        <w:t xml:space="preserve">. No approval followed, and melanoma therapy has since changed fundamentally through immune checkpoint inhibitors.</w:t>
      </w:r>
    </w:p>
    <w:p>
      <w:pPr>
        <w:pStyle w:val="BodyText"/>
      </w:pPr>
      <w:r>
        <w:t xml:space="preserve">Meta-analyses of Chinese studies on lung and gastric cancer report better response rates, better quality of life and fewer chemotherapy side effects when thymic peptides were added (Zeng 2019, PMID 31326719: 27 studies, 1,925 people; Wang 2026, PMID 42827862: 20 studies, 1,704 people). However, both papers rate the quality of the evidence as moderate to very low, and data on long-term survival are largely lacking. A review of cancer studies from 2016 to 2026 found predominantly retrospective observational studies and case reports from China and inconsistent recording of side effects</w:t>
      </w:r>
      <w:r>
        <w:rPr>
          <w:rStyle w:val="FootnoteReference"/>
        </w:rPr>
        <w:footnoteReference w:id="1032"/>
      </w:r>
      <w:r>
        <w:t xml:space="preserve">. Newer Phase 2 trials combine thymosin alpha-1 with immune checkpoint inhibitors, for example before surgery for gastric cancer with 30 people</w:t>
      </w:r>
      <w:r>
        <w:rPr>
          <w:rStyle w:val="FootnoteReference"/>
        </w:rPr>
        <w:footnoteReference w:id="1033"/>
      </w:r>
      <w:r>
        <w:t xml:space="preserve">; without a control group, the contribution of thymosin alpha-1 cannot be read from this.</w:t>
      </w:r>
    </w:p>
    <w:bookmarkEnd w:id="1034"/>
    <w:bookmarkStart w:id="1038" w:name="vaccine-enhancement"/>
    <w:p>
      <w:pPr>
        <w:pStyle w:val="Heading4"/>
      </w:pPr>
      <w:r>
        <w:t xml:space="preserve">Vaccine enhancement</w:t>
      </w:r>
    </w:p>
    <w:p>
      <w:pPr>
        <w:pStyle w:val="FirstParagraph"/>
      </w:pPr>
      <w:r>
        <w:t xml:space="preserve">As early as 1989, 90 men between 65 and 99 years of age received thymosin alpha-1 or placebo in addition to influenza vaccination; no side effects were observed</w:t>
      </w:r>
      <w:r>
        <w:rPr>
          <w:rStyle w:val="FootnoteReference"/>
        </w:rPr>
        <w:footnoteReference w:id="1035"/>
      </w:r>
      <w:r>
        <w:t xml:space="preserve">. This idea is being taken up again today, for example in dialysis patients in connection with COVID-19</w:t>
      </w:r>
      <w:r>
        <w:rPr>
          <w:rStyle w:val="FootnoteReference"/>
        </w:rPr>
        <w:footnoteReference w:id="1036"/>
      </w:r>
      <w:r>
        <w:t xml:space="preserve"> </w:t>
      </w:r>
      <w:r>
        <w:t xml:space="preserve">and in an ongoing trial on booster vaccination in older people</w:t>
      </w:r>
      <w:r>
        <w:rPr>
          <w:rStyle w:val="FootnoteReference"/>
        </w:rPr>
        <w:footnoteReference w:id="1037"/>
      </w:r>
      <w:r>
        <w:t xml:space="preserve">. Robust outcome data – i.e., fewer illnesses or deaths – are lacking.</w:t>
      </w:r>
    </w:p>
    <w:bookmarkEnd w:id="1038"/>
    <w:bookmarkEnd w:id="1039"/>
    <w:bookmarkStart w:id="1041" w:name="animal-and-laboratory-studies-17"/>
    <w:p>
      <w:pPr>
        <w:pStyle w:val="Heading3"/>
      </w:pPr>
      <w:r>
        <w:t xml:space="preserve">Animal and laboratory studies</w:t>
      </w:r>
    </w:p>
    <w:p>
      <w:pPr>
        <w:pStyle w:val="FirstParagraph"/>
      </w:pPr>
      <w:r>
        <w:t xml:space="preserve">Since thymosin alpha-1 has been studied in humans for decades, animal studies play a lesser role in the assessment. They were important for the cancer idea: in mouse models of lung cancer, leukemia and melanoma and in a rat model of liver metastases, the combination of thymosin alpha-1 with interferon or interleukin-2 and chemotherapy worked better than the individual treatments</w:t>
      </w:r>
      <w:r>
        <w:rPr>
          <w:rStyle w:val="FootnoteReference"/>
        </w:rPr>
        <w:footnoteReference w:id="1040"/>
      </w:r>
      <w:r>
        <w:t xml:space="preserve">. These findings have so far not been convincingly replicated in humans.</w:t>
      </w:r>
    </w:p>
    <w:bookmarkEnd w:id="1041"/>
    <w:bookmarkStart w:id="1050" w:name="risks-and-side-effects-17"/>
    <w:p>
      <w:pPr>
        <w:pStyle w:val="Heading3"/>
      </w:pPr>
      <w:r>
        <w:t xml:space="preserve">Risks and side effects</w:t>
      </w:r>
    </w:p>
    <w:bookmarkStart w:id="1045" w:name="documented-1"/>
    <w:p>
      <w:pPr>
        <w:pStyle w:val="Heading4"/>
      </w:pPr>
      <w:r>
        <w:t xml:space="preserve">Documented</w:t>
      </w:r>
    </w:p>
    <w:p>
      <w:pPr>
        <w:pStyle w:val="FirstParagraph"/>
      </w:pPr>
      <w:r>
        <w:t xml:space="preserve">Thymosin alpha-1 is considered well tolerated in the studies. In the older studies, usually only local irritation at the injection site was observed</w:t>
      </w:r>
      <w:r>
        <w:rPr>
          <w:rStyle w:val="FootnoteReference"/>
        </w:rPr>
        <w:footnoteReference w:id="1042"/>
      </w:r>
      <w:r>
        <w:t xml:space="preserve">. In the large sepsis trial TESTS, the safety endpoints did not differ from placebo</w:t>
      </w:r>
      <w:r>
        <w:rPr>
          <w:rStyle w:val="FootnoteReference"/>
        </w:rPr>
        <w:footnoteReference w:id="1043"/>
      </w:r>
      <w:r>
        <w:t xml:space="preserve">. In hepatitis B, there were sometimes fluctuations in liver values, which were interpreted as an expression of the immune response</w:t>
      </w:r>
      <w:r>
        <w:rPr>
          <w:rStyle w:val="FootnoteReference"/>
        </w:rPr>
        <w:footnoteReference w:id="1044"/>
      </w:r>
      <w:r>
        <w:t xml:space="preserve">.</w:t>
      </w:r>
    </w:p>
    <w:bookmarkEnd w:id="1045"/>
    <w:bookmarkStart w:id="1049" w:name="points-to-note"/>
    <w:p>
      <w:pPr>
        <w:pStyle w:val="Heading4"/>
      </w:pPr>
      <w:r>
        <w:t xml:space="preserve">Points to note</w:t>
      </w:r>
    </w:p>
    <w:p>
      <w:pPr>
        <w:numPr>
          <w:ilvl w:val="0"/>
          <w:numId w:val="1124"/>
        </w:numPr>
        <w:pStyle w:val="Compact"/>
      </w:pPr>
      <w:r>
        <w:rPr>
          <w:bCs/>
          <w:b/>
        </w:rPr>
        <w:t xml:space="preserve">Subgroups with possible harm:</w:t>
      </w:r>
      <w:r>
        <w:t xml:space="preserve"> </w:t>
      </w:r>
      <w:r>
        <w:t xml:space="preserve">In TESTS, mortality in people under 60 was higher on thymosin alpha-1 than on placebo (hazard ratio 1.67)</w:t>
      </w:r>
      <w:r>
        <w:rPr>
          <w:rStyle w:val="FootnoteReference"/>
        </w:rPr>
        <w:footnoteReference w:id="1046"/>
      </w:r>
      <w:r>
        <w:t xml:space="preserve">; in COVID-19, treatment was associated with a worse course in a large observational study</w:t>
      </w:r>
      <w:r>
        <w:rPr>
          <w:rStyle w:val="FootnoteReference"/>
        </w:rPr>
        <w:footnoteReference w:id="1047"/>
      </w:r>
      <w:r>
        <w:t xml:space="preserve">. Both may be chance or bias, but they show that</w:t>
      </w:r>
      <w:r>
        <w:t xml:space="preserve"> </w:t>
      </w:r>
      <w:r>
        <w:t xml:space="preserve">“</w:t>
      </w:r>
      <w:r>
        <w:t xml:space="preserve">harmless immune booster</w:t>
      </w:r>
      <w:r>
        <w:t xml:space="preserve">”</w:t>
      </w:r>
      <w:r>
        <w:t xml:space="preserve"> </w:t>
      </w:r>
      <w:r>
        <w:t xml:space="preserve">is not an established description.</w:t>
      </w:r>
    </w:p>
    <w:p>
      <w:pPr>
        <w:numPr>
          <w:ilvl w:val="0"/>
          <w:numId w:val="1124"/>
        </w:numPr>
        <w:pStyle w:val="Compact"/>
      </w:pPr>
      <w:r>
        <w:rPr>
          <w:bCs/>
          <w:b/>
        </w:rPr>
        <w:t xml:space="preserve">Autoimmune diseases and transplantation:</w:t>
      </w:r>
      <w:r>
        <w:t xml:space="preserve"> </w:t>
      </w:r>
      <w:r>
        <w:t xml:space="preserve">A substance intended to stimulate the immune system could theoretically aggravate autoimmune diseases or favor the rejection of transplanted organs. Systematic data on this are lacking.</w:t>
      </w:r>
    </w:p>
    <w:p>
      <w:pPr>
        <w:numPr>
          <w:ilvl w:val="0"/>
          <w:numId w:val="1124"/>
        </w:numPr>
        <w:pStyle w:val="Compact"/>
      </w:pPr>
      <w:r>
        <w:rPr>
          <w:bCs/>
          <w:b/>
        </w:rPr>
        <w:t xml:space="preserve">Combination with immunotherapy:</w:t>
      </w:r>
      <w:r>
        <w:t xml:space="preserve"> </w:t>
      </w:r>
      <w:r>
        <w:t xml:space="preserve">One review refers to a case report in which a severe immune reaction in several organs occurred under combination treatment, without thymosin alpha-1 being established with certainty as the cause</w:t>
      </w:r>
      <w:r>
        <w:rPr>
          <w:rStyle w:val="FootnoteReference"/>
        </w:rPr>
        <w:footnoteReference w:id="1048"/>
      </w:r>
      <w:r>
        <w:t xml:space="preserve">.</w:t>
      </w:r>
    </w:p>
    <w:p>
      <w:pPr>
        <w:numPr>
          <w:ilvl w:val="0"/>
          <w:numId w:val="1124"/>
        </w:numPr>
        <w:pStyle w:val="Compact"/>
      </w:pPr>
      <w:r>
        <w:rPr>
          <w:bCs/>
          <w:b/>
        </w:rPr>
        <w:t xml:space="preserve">Gray market:</w:t>
      </w:r>
      <w:r>
        <w:t xml:space="preserve"> </w:t>
      </w:r>
      <w:r>
        <w:t xml:space="preserve">Outside the countries with approval, thymosin alpha-1 is sold as a</w:t>
      </w:r>
      <w:r>
        <w:t xml:space="preserve"> </w:t>
      </w:r>
      <w:r>
        <w:t xml:space="preserve">“</w:t>
      </w:r>
      <w:r>
        <w:t xml:space="preserve">research peptide.</w:t>
      </w:r>
      <w:r>
        <w:t xml:space="preserve">”</w:t>
      </w:r>
      <w:r>
        <w:t xml:space="preserve"> </w:t>
      </w:r>
      <w:r>
        <w:t xml:space="preserve">The studies on Zadaxin do not apply to these products – purity, content and sterility are unknown.</w:t>
      </w:r>
    </w:p>
    <w:bookmarkEnd w:id="1049"/>
    <w:bookmarkEnd w:id="1050"/>
    <w:bookmarkStart w:id="1053" w:name="legal-status-17"/>
    <w:p>
      <w:pPr>
        <w:pStyle w:val="Heading3"/>
      </w:pPr>
      <w:r>
        <w:t xml:space="preserve">Legal status</w:t>
      </w:r>
    </w:p>
    <w:p>
      <w:pPr>
        <w:pStyle w:val="FirstParagraph"/>
      </w:pPr>
      <w:r>
        <w:rPr>
          <w:iCs/>
          <w:i/>
        </w:rPr>
        <w:t xml:space="preserve">As of 2026, please check for updates.</w:t>
      </w:r>
    </w:p>
    <w:p>
      <w:pPr>
        <w:numPr>
          <w:ilvl w:val="0"/>
          <w:numId w:val="1125"/>
        </w:numPr>
        <w:pStyle w:val="Compact"/>
      </w:pPr>
      <w:r>
        <w:rPr>
          <w:bCs/>
          <w:b/>
        </w:rPr>
        <w:t xml:space="preserve">EU, Germany, Austria:</w:t>
      </w:r>
      <w:r>
        <w:t xml:space="preserve"> </w:t>
      </w:r>
      <w:r>
        <w:t xml:space="preserve">no approval as a medicine. A prescription in an individual case via individual import from a country with approval may be possible under national law under narrow conditions; sale as a</w:t>
      </w:r>
      <w:r>
        <w:t xml:space="preserve"> </w:t>
      </w:r>
      <w:r>
        <w:t xml:space="preserve">“</w:t>
      </w:r>
      <w:r>
        <w:t xml:space="preserve">research peptide</w:t>
      </w:r>
      <w:r>
        <w:t xml:space="preserve">”</w:t>
      </w:r>
      <w:r>
        <w:t xml:space="preserve"> </w:t>
      </w:r>
      <w:r>
        <w:t xml:space="preserve">for use in humans is not permitted.</w:t>
      </w:r>
    </w:p>
    <w:p>
      <w:pPr>
        <w:numPr>
          <w:ilvl w:val="0"/>
          <w:numId w:val="1125"/>
        </w:numPr>
        <w:pStyle w:val="Compact"/>
      </w:pPr>
      <w:r>
        <w:rPr>
          <w:bCs/>
          <w:b/>
        </w:rPr>
        <w:t xml:space="preserve">USA:</w:t>
      </w:r>
      <w:r>
        <w:t xml:space="preserve"> </w:t>
      </w:r>
      <w:r>
        <w:t xml:space="preserve">no FDA approval. In 2023, the FDA placed thymosin alpha-1, together with other peptides, on the list of substances with safety concerns for compounding; proponents criticize this</w:t>
      </w:r>
      <w:r>
        <w:rPr>
          <w:rStyle w:val="FootnoteReference"/>
        </w:rPr>
        <w:footnoteReference w:id="1051"/>
      </w:r>
      <w:r>
        <w:t xml:space="preserve">. The classification of peptides continues to be discussed in the FDA advisory committee</w:t>
      </w:r>
      <w:r>
        <w:rPr>
          <w:rStyle w:val="FootnoteReference"/>
        </w:rPr>
        <w:footnoteReference w:id="1052"/>
      </w:r>
      <w:r>
        <w:t xml:space="preserve">.</w:t>
      </w:r>
    </w:p>
    <w:p>
      <w:pPr>
        <w:numPr>
          <w:ilvl w:val="0"/>
          <w:numId w:val="1125"/>
        </w:numPr>
        <w:pStyle w:val="Compact"/>
      </w:pPr>
      <w:r>
        <w:rPr>
          <w:bCs/>
          <w:b/>
        </w:rPr>
        <w:t xml:space="preserve">China and other countries:</w:t>
      </w:r>
      <w:r>
        <w:t xml:space="preserve"> </w:t>
      </w:r>
      <w:r>
        <w:t xml:space="preserve">approved as Zadaxin or thymalfasin; in China there are also a number of generic preparations.</w:t>
      </w:r>
    </w:p>
    <w:p>
      <w:pPr>
        <w:numPr>
          <w:ilvl w:val="0"/>
          <w:numId w:val="1125"/>
        </w:numPr>
        <w:pStyle w:val="Compact"/>
      </w:pPr>
      <w:r>
        <w:rPr>
          <w:bCs/>
          <w:b/>
        </w:rPr>
        <w:t xml:space="preserve">WADA:</w:t>
      </w:r>
      <w:r>
        <w:t xml:space="preserve"> </w:t>
      </w:r>
      <w:r>
        <w:t xml:space="preserve">not explicitly on the Prohibited List. Athletes should nevertheless check with their national anti-doping agency before use.</w:t>
      </w:r>
    </w:p>
    <w:bookmarkEnd w:id="1053"/>
    <w:bookmarkStart w:id="1058" w:name="ongoing-studies-and-outlook-17"/>
    <w:p>
      <w:pPr>
        <w:pStyle w:val="Heading3"/>
      </w:pPr>
      <w:r>
        <w:t xml:space="preserve">Ongoing studies and outlook</w:t>
      </w:r>
    </w:p>
    <w:p>
      <w:pPr>
        <w:pStyle w:val="FirstParagraph"/>
      </w:pPr>
      <w:r>
        <w:rPr>
          <w:bCs/>
          <w:b/>
        </w:rPr>
        <w:t xml:space="preserve">Confirmed (according to the registry):</w:t>
      </w:r>
    </w:p>
    <w:p>
      <w:pPr>
        <w:numPr>
          <w:ilvl w:val="0"/>
          <w:numId w:val="1126"/>
        </w:numPr>
        <w:pStyle w:val="Compact"/>
      </w:pPr>
      <w:r>
        <w:rPr>
          <w:bCs/>
          <w:b/>
        </w:rPr>
        <w:t xml:space="preserve">Colorectal cancer after surgery</w:t>
      </w:r>
      <w:r>
        <w:rPr>
          <w:rStyle w:val="FootnoteReference"/>
        </w:rPr>
        <w:footnoteReference w:id="1054"/>
      </w:r>
      <w:r>
        <w:rPr>
          <w:bCs/>
          <w:b/>
        </w:rPr>
        <w:t xml:space="preserve">:</w:t>
      </w:r>
      <w:r>
        <w:t xml:space="preserve"> </w:t>
      </w:r>
      <w:r>
        <w:t xml:space="preserve">Phase 3 trial by Fudan University in Shanghai, 2,500 people with stage II or III colorectal cancer planned, primary endpoint disease-free survival after three years; estimated completion March 2027. The trial is only single-blind.</w:t>
      </w:r>
    </w:p>
    <w:p>
      <w:pPr>
        <w:numPr>
          <w:ilvl w:val="0"/>
          <w:numId w:val="1126"/>
        </w:numPr>
        <w:pStyle w:val="Compact"/>
      </w:pPr>
      <w:r>
        <w:rPr>
          <w:bCs/>
          <w:b/>
        </w:rPr>
        <w:t xml:space="preserve">Cancer and immunotherapy:</w:t>
      </w:r>
      <w:r>
        <w:t xml:space="preserve"> </w:t>
      </w:r>
      <w:r>
        <w:t xml:space="preserve">numerous smaller Chinese Phase 2 trials combining thymosin alpha-1 with immune checkpoint inhibitors and chemotherapy or radiotherapy, for example in triple-negative breast cancer with 572 people planned</w:t>
      </w:r>
      <w:r>
        <w:rPr>
          <w:rStyle w:val="FootnoteReference"/>
        </w:rPr>
        <w:footnoteReference w:id="1055"/>
      </w:r>
      <w:r>
        <w:t xml:space="preserve">.</w:t>
      </w:r>
    </w:p>
    <w:p>
      <w:pPr>
        <w:numPr>
          <w:ilvl w:val="0"/>
          <w:numId w:val="1126"/>
        </w:numPr>
        <w:pStyle w:val="Compact"/>
      </w:pPr>
      <w:r>
        <w:rPr>
          <w:bCs/>
          <w:b/>
        </w:rPr>
        <w:t xml:space="preserve">Sepsis:</w:t>
      </w:r>
      <w:r>
        <w:t xml:space="preserve"> </w:t>
      </w:r>
      <w:r>
        <w:t xml:space="preserve">a smaller trial on recovery of immune function in 60 people</w:t>
      </w:r>
      <w:r>
        <w:rPr>
          <w:rStyle w:val="FootnoteReference"/>
        </w:rPr>
        <w:footnoteReference w:id="1056"/>
      </w:r>
      <w:r>
        <w:t xml:space="preserve">.</w:t>
      </w:r>
    </w:p>
    <w:p>
      <w:pPr>
        <w:numPr>
          <w:ilvl w:val="0"/>
          <w:numId w:val="1126"/>
        </w:numPr>
        <w:pStyle w:val="Compact"/>
      </w:pPr>
      <w:r>
        <w:rPr>
          <w:bCs/>
          <w:b/>
        </w:rPr>
        <w:t xml:space="preserve">Vaccine response in older people</w:t>
      </w:r>
      <w:r>
        <w:rPr>
          <w:rStyle w:val="FootnoteReference"/>
        </w:rPr>
        <w:footnoteReference w:id="1057"/>
      </w:r>
      <w:r>
        <w:rPr>
          <w:bCs/>
          <w:b/>
        </w:rPr>
        <w:t xml:space="preserve">:</w:t>
      </w:r>
      <w:r>
        <w:t xml:space="preserve"> </w:t>
      </w:r>
      <w:r>
        <w:t xml:space="preserve">Phase 1, 75 people planned.</w:t>
      </w:r>
    </w:p>
    <w:p>
      <w:pPr>
        <w:pStyle w:val="FirstParagraph"/>
      </w:pPr>
      <w:r>
        <w:rPr>
          <w:bCs/>
          <w:b/>
        </w:rPr>
        <w:t xml:space="preserve">Author’s assessment:</w:t>
      </w:r>
      <w:r>
        <w:t xml:space="preserve"> </w:t>
      </w:r>
      <w:r>
        <w:t xml:space="preserve">The large colorectal cancer trial is the most important open question. If it is positive, it would be the first major evidence of a benefit in a cancer – though with reservations because of the lack of double-blinding. In sepsis, TESTS is likely to have answered the question for broad use for the time being; future studies will focus on subgroups with demonstrated immune weakness. Approval in the EU or the USA is not to be expected in the next few years.</w:t>
      </w:r>
    </w:p>
    <w:bookmarkEnd w:id="1058"/>
    <w:bookmarkStart w:id="1062" w:name="conclusion-17"/>
    <w:p>
      <w:pPr>
        <w:pStyle w:val="Heading3"/>
      </w:pPr>
      <w:r>
        <w:t xml:space="preserve">Conclusion</w:t>
      </w:r>
    </w:p>
    <w:p>
      <w:pPr>
        <w:pStyle w:val="FirstParagraph"/>
      </w:pPr>
      <w:r>
        <w:t xml:space="preserve">Thymosin alpha-1 is the best-studied peptide in this group and an approved medicine in some countries. The early, small studies looked promising, but the large, carefully blinded trials showed no benefit in their primary endpoints in sepsis</w:t>
      </w:r>
      <w:r>
        <w:rPr>
          <w:rStyle w:val="FootnoteReference"/>
        </w:rPr>
        <w:footnoteReference w:id="1059"/>
      </w:r>
      <w:r>
        <w:t xml:space="preserve">, severe pancreatitis</w:t>
      </w:r>
      <w:r>
        <w:rPr>
          <w:rStyle w:val="FootnoteReference"/>
        </w:rPr>
        <w:footnoteReference w:id="1060"/>
      </w:r>
      <w:r>
        <w:t xml:space="preserve"> </w:t>
      </w:r>
      <w:r>
        <w:t xml:space="preserve">and hepatitis B cirrhosis</w:t>
      </w:r>
      <w:r>
        <w:rPr>
          <w:rStyle w:val="FootnoteReference"/>
        </w:rPr>
        <w:footnoteReference w:id="1061"/>
      </w:r>
      <w:r>
        <w:t xml:space="preserve">. In COVID-19 and cancer, positive claims are based predominantly on observational studies and low-quality studies. The peptide is well tolerated in studies – but a proven benefit as a general</w:t>
      </w:r>
      <w:r>
        <w:t xml:space="preserve"> </w:t>
      </w:r>
      <w:r>
        <w:t xml:space="preserve">“</w:t>
      </w:r>
      <w:r>
        <w:t xml:space="preserve">immune booster</w:t>
      </w:r>
      <w:r>
        <w:t xml:space="preserve">”</w:t>
      </w:r>
      <w:r>
        <w:t xml:space="preserve"> </w:t>
      </w:r>
      <w:r>
        <w:t xml:space="preserve">for healthy people does not exist.</w:t>
      </w:r>
    </w:p>
    <w:bookmarkEnd w:id="1062"/>
    <w:bookmarkEnd w:id="1063"/>
    <w:bookmarkStart w:id="1086" w:name="kpv"/>
    <w:p>
      <w:pPr>
        <w:pStyle w:val="Heading2"/>
      </w:pPr>
      <w:r>
        <w:t xml:space="preserve">KPV</w:t>
      </w:r>
    </w:p>
    <w:p>
      <w:pPr>
        <w:pStyle w:val="FirstParagraph"/>
      </w:pPr>
      <w:r>
        <w:t xml:space="preserve">KPV is the smallest peptide in this book: only three amino acids long. Online it is offered as an anti-inflammatory agent for the gut and skin, often as a capsule or cream, sometimes for injection. The scientific basis for this consists of cell experiments and mouse models – there are no human studies.</w:t>
      </w:r>
    </w:p>
    <w:bookmarkStart w:id="1065" w:name="profile-18"/>
    <w:p>
      <w:pPr>
        <w:pStyle w:val="Heading3"/>
      </w:pPr>
      <w:r>
        <w:t xml:space="preserve">Profile</w:t>
      </w:r>
    </w:p>
    <w:p>
      <w:pPr>
        <w:numPr>
          <w:ilvl w:val="0"/>
          <w:numId w:val="1127"/>
        </w:numPr>
        <w:pStyle w:val="Compact"/>
      </w:pPr>
      <w:r>
        <w:rPr>
          <w:bCs/>
          <w:b/>
        </w:rPr>
        <w:t xml:space="preserve">Type and structure:</w:t>
      </w:r>
      <w:r>
        <w:t xml:space="preserve"> </w:t>
      </w:r>
      <w:r>
        <w:t xml:space="preserve">tripeptide of the amino acids lysine, proline and valine (Lys-Pro-Val, hence KPV).</w:t>
      </w:r>
    </w:p>
    <w:p>
      <w:pPr>
        <w:numPr>
          <w:ilvl w:val="0"/>
          <w:numId w:val="1127"/>
        </w:numPr>
        <w:pStyle w:val="Compact"/>
      </w:pPr>
      <w:r>
        <w:rPr>
          <w:bCs/>
          <w:b/>
        </w:rPr>
        <w:t xml:space="preserve">Origin:</w:t>
      </w:r>
      <w:r>
        <w:t xml:space="preserve"> </w:t>
      </w:r>
      <w:r>
        <w:t xml:space="preserve">corresponds to the last three amino acids (positions 11 to 13) of the endogenous hormone alpha-MSH (alpha-melanocyte-stimulating hormone), which is involved in skin tanning and the regulation of inflammation, among other things</w:t>
      </w:r>
      <w:r>
        <w:rPr>
          <w:rStyle w:val="FootnoteReference"/>
        </w:rPr>
        <w:footnoteReference w:id="1064"/>
      </w:r>
      <w:r>
        <w:t xml:space="preserve">.</w:t>
      </w:r>
    </w:p>
    <w:p>
      <w:pPr>
        <w:numPr>
          <w:ilvl w:val="0"/>
          <w:numId w:val="1127"/>
        </w:numPr>
        <w:pStyle w:val="Compact"/>
      </w:pPr>
      <w:r>
        <w:rPr>
          <w:bCs/>
          <w:b/>
        </w:rPr>
        <w:t xml:space="preserve">Mechanism of action (presumed, from laboratory and animal studies):</w:t>
      </w:r>
      <w:r>
        <w:t xml:space="preserve"> </w:t>
      </w:r>
      <w:r>
        <w:t xml:space="preserve">inhibition of pro-inflammatory signaling pathways in gut and immune cells after uptake via the peptide transporter PepT1.</w:t>
      </w:r>
    </w:p>
    <w:p>
      <w:pPr>
        <w:numPr>
          <w:ilvl w:val="0"/>
          <w:numId w:val="1127"/>
        </w:numPr>
        <w:pStyle w:val="Compact"/>
      </w:pPr>
      <w:r>
        <w:rPr>
          <w:bCs/>
          <w:b/>
        </w:rPr>
        <w:t xml:space="preserve">Approval EU/USA:</w:t>
      </w:r>
      <w:r>
        <w:t xml:space="preserve"> </w:t>
      </w:r>
      <w:r>
        <w:t xml:space="preserve">no.</w:t>
      </w:r>
    </w:p>
    <w:p>
      <w:pPr>
        <w:numPr>
          <w:ilvl w:val="0"/>
          <w:numId w:val="1127"/>
        </w:numPr>
        <w:pStyle w:val="Compact"/>
      </w:pPr>
      <w:r>
        <w:rPr>
          <w:bCs/>
          <w:b/>
        </w:rPr>
        <w:t xml:space="preserve">WADA:</w:t>
      </w:r>
      <w:r>
        <w:t xml:space="preserve"> </w:t>
      </w:r>
      <w:r>
        <w:t xml:space="preserve">not explicitly listed; as a non-approved substance, in the author’s view it falls under group S0.</w:t>
      </w:r>
    </w:p>
    <w:p>
      <w:pPr>
        <w:numPr>
          <w:ilvl w:val="0"/>
          <w:numId w:val="1127"/>
        </w:numPr>
        <w:pStyle w:val="Compact"/>
      </w:pPr>
      <w:r>
        <w:rPr>
          <w:bCs/>
          <w:b/>
        </w:rPr>
        <w:t xml:space="preserve">Evidence level: D</w:t>
      </w:r>
      <w:r>
        <w:t xml:space="preserve"> </w:t>
      </w:r>
      <w:r>
        <w:t xml:space="preserve">– no published human study.</w:t>
      </w:r>
    </w:p>
    <w:bookmarkEnd w:id="1065"/>
    <w:bookmarkStart w:id="1070" w:name="how-it-is-supposed-to-work-18"/>
    <w:p>
      <w:pPr>
        <w:pStyle w:val="Heading3"/>
      </w:pPr>
      <w:r>
        <w:t xml:space="preserve">How it is supposed to work</w:t>
      </w:r>
    </w:p>
    <w:p>
      <w:pPr>
        <w:pStyle w:val="FirstParagraph"/>
      </w:pPr>
      <w:r>
        <w:t xml:space="preserve">Alpha-MSH is best known as a tanning hormone, but it also has anti-inflammatory effects. As early as the 1990s, researchers noticed that part of this effect depends on the last three amino acids. In the blood of people with HIV, alpha-MSH and its end piece KPV reduced the production of the inflammatory messengers interleukin-1 and TNF-alpha in the test tube</w:t>
      </w:r>
      <w:r>
        <w:rPr>
          <w:rStyle w:val="FootnoteReference"/>
        </w:rPr>
        <w:footnoteReference w:id="1066"/>
      </w:r>
      <w:r>
        <w:t xml:space="preserve">.</w:t>
      </w:r>
    </w:p>
    <w:p>
      <w:pPr>
        <w:pStyle w:val="BodyText"/>
      </w:pPr>
      <w:r>
        <w:t xml:space="preserve">Unlike the complete hormone, KPV apparently does not act via the classic melanocortin receptors. In mice with peritonitis, KPV inhibited the influx of inflammatory cells without increasing the typical messenger cAMP; the authors suspect an inhibition of the interleukin-1 effect</w:t>
      </w:r>
      <w:r>
        <w:rPr>
          <w:rStyle w:val="FootnoteReference"/>
        </w:rPr>
        <w:footnoteReference w:id="1067"/>
      </w:r>
      <w:r>
        <w:t xml:space="preserve">. This has a practical advantage: unlike melanotan or alpha-MSH derivatives, KPV should not tan the skin.</w:t>
      </w:r>
    </w:p>
    <w:p>
      <w:pPr>
        <w:pStyle w:val="BodyText"/>
      </w:pPr>
      <w:r>
        <w:t xml:space="preserve">A second mechanism concerns the gut. There sits the transporter PepT1, which normally takes up small protein fragments from food. In chronic inflammatory bowel diseases, PepT1 is also increasingly produced in the colon. In cultures of human gut and immune cells, KPV was taken up via PepT1 and, at very low concentrations, inhibited the inflammatory switches NF-kappaB and MAP kinases</w:t>
      </w:r>
      <w:r>
        <w:rPr>
          <w:rStyle w:val="FootnoteReference"/>
        </w:rPr>
        <w:footnoteReference w:id="1068"/>
      </w:r>
      <w:r>
        <w:t xml:space="preserve">. From this arose the idea of using KPV as a tablet against intestinal inflammation.</w:t>
      </w:r>
    </w:p>
    <w:p>
      <w:pPr>
        <w:pStyle w:val="BodyText"/>
      </w:pPr>
      <w:r>
        <w:t xml:space="preserve">In addition, alpha-MSH and KPV inhibited the growth of the bacterium Staphylococcus aureus and the yeast Candida albicans in the laboratory</w:t>
      </w:r>
      <w:r>
        <w:rPr>
          <w:rStyle w:val="FootnoteReference"/>
        </w:rPr>
        <w:footnoteReference w:id="1069"/>
      </w:r>
      <w:r>
        <w:t xml:space="preserve">.</w:t>
      </w:r>
    </w:p>
    <w:bookmarkEnd w:id="1070"/>
    <w:bookmarkStart w:id="1075" w:name="human-studies-18"/>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0</w:t>
      </w:r>
      <w:r>
        <w:t xml:space="preserve"> </w:t>
      </w:r>
      <w:r>
        <w:t xml:space="preserve">human studies in PubMed and</w:t>
      </w:r>
      <w:r>
        <w:t xml:space="preserve"> </w:t>
      </w:r>
      <w:r>
        <w:rPr>
          <w:bCs/>
          <w:b/>
        </w:rPr>
        <w:t xml:space="preserve">0</w:t>
      </w:r>
      <w:r>
        <w:t xml:space="preserve"> </w:t>
      </w:r>
      <w:r>
        <w:t xml:space="preserve">entries on ClinicalTrials.gov. A targeted follow-up search for pilot studies, case reports or adverse event reports also found no publication in which people received KPV.</w:t>
      </w:r>
    </w:p>
    <w:p>
      <w:pPr>
        <w:pStyle w:val="BodyText"/>
      </w:pPr>
      <w:r>
        <w:t xml:space="preserve">What does exist are laboratory experiments with human cells or tissues, for example:</w:t>
      </w:r>
    </w:p>
    <w:p>
      <w:pPr>
        <w:numPr>
          <w:ilvl w:val="0"/>
          <w:numId w:val="1128"/>
        </w:numPr>
        <w:pStyle w:val="Compact"/>
      </w:pPr>
      <w:r>
        <w:t xml:space="preserve">blood samples from people with HIV, in which KPV reduced the production of inflammatory messengers</w:t>
      </w:r>
      <w:r>
        <w:rPr>
          <w:rStyle w:val="FootnoteReference"/>
        </w:rPr>
        <w:footnoteReference w:id="1071"/>
      </w:r>
      <w:r>
        <w:t xml:space="preserve">,</w:t>
      </w:r>
    </w:p>
    <w:p>
      <w:pPr>
        <w:numPr>
          <w:ilvl w:val="0"/>
          <w:numId w:val="1128"/>
        </w:numPr>
        <w:pStyle w:val="Compact"/>
      </w:pPr>
      <w:r>
        <w:t xml:space="preserve">human skin cell lines</w:t>
      </w:r>
      <w:r>
        <w:rPr>
          <w:rStyle w:val="FootnoteReference"/>
        </w:rPr>
        <w:footnoteReference w:id="1072"/>
      </w:r>
      <w:r>
        <w:t xml:space="preserve">,</w:t>
      </w:r>
    </w:p>
    <w:p>
      <w:pPr>
        <w:numPr>
          <w:ilvl w:val="0"/>
          <w:numId w:val="1128"/>
        </w:numPr>
        <w:pStyle w:val="Compact"/>
      </w:pPr>
      <w:r>
        <w:t xml:space="preserve">donated human skin, on which it was tested whether KPV passes through the skin with microneedles and weak electric current – without such aids, it did not penetrate measurably</w:t>
      </w:r>
      <w:r>
        <w:rPr>
          <w:rStyle w:val="FootnoteReference"/>
        </w:rPr>
        <w:footnoteReference w:id="1073"/>
      </w:r>
      <w:r>
        <w:t xml:space="preserve">.</w:t>
      </w:r>
    </w:p>
    <w:p>
      <w:pPr>
        <w:pStyle w:val="FirstParagraph"/>
      </w:pPr>
      <w:r>
        <w:t xml:space="preserve">These studies say something about mechanisms and dosage forms, but nothing about efficacy or safety in humans.</w:t>
      </w:r>
    </w:p>
    <w:p>
      <w:pPr>
        <w:pStyle w:val="BodyText"/>
      </w:pPr>
      <w:r>
        <w:t xml:space="preserve">A close relative, the artificial double molecule (CKPV)2, was studied clinically in the mid-2000s as an agent against fungal infections; a 2006 paper mentions that it was</w:t>
      </w:r>
      <w:r>
        <w:t xml:space="preserve"> </w:t>
      </w:r>
      <w:r>
        <w:t xml:space="preserve">“</w:t>
      </w:r>
      <w:r>
        <w:t xml:space="preserve">currently in clinical testing</w:t>
      </w:r>
      <w:r>
        <w:t xml:space="preserve">”</w:t>
      </w:r>
      <w:r>
        <w:rPr>
          <w:rStyle w:val="FootnoteReference"/>
        </w:rPr>
        <w:footnoteReference w:id="1074"/>
      </w:r>
      <w:r>
        <w:t xml:space="preserve">. Results of these studies have not been published in PubMed. Moreover, (CKPV)2 is a different substance from the KPV sold online.</w:t>
      </w:r>
    </w:p>
    <w:bookmarkEnd w:id="1075"/>
    <w:bookmarkStart w:id="1076" w:name="animal-and-laboratory-studies-18"/>
    <w:p>
      <w:pPr>
        <w:pStyle w:val="Heading3"/>
      </w:pPr>
      <w:r>
        <w:t xml:space="preserve">Animal and laboratory studies</w:t>
      </w:r>
    </w:p>
    <w:p>
      <w:pPr>
        <w:pStyle w:val="FirstParagraph"/>
      </w:pPr>
      <w:r>
        <w:t xml:space="preserve">The focus of research is on chronic inflammatory bowel diseases. All of the following results come from mouse experiments: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Model</w:t>
            </w:r>
          </w:p>
        </w:tc>
        <w:tc>
          <w:tcPr/>
          <w:p>
            <w:pPr>
              <w:pStyle w:val="Compact"/>
              <w:jc w:val="left"/>
            </w:pPr>
            <w:r>
              <w:t xml:space="preserve">Result</w:t>
            </w:r>
          </w:p>
        </w:tc>
      </w:tr>
      <w:tr>
        <w:tc>
          <w:tcPr/>
          <w:p>
            <w:pPr>
              <w:pStyle w:val="Compact"/>
              <w:jc w:val="left"/>
            </w:pPr>
            <w:r>
              <w:t xml:space="preserve">Dalmasso 2008, PMID 18061177</w:t>
            </w:r>
          </w:p>
        </w:tc>
        <w:tc>
          <w:tcPr/>
          <w:p>
            <w:pPr>
              <w:pStyle w:val="Compact"/>
              <w:jc w:val="left"/>
            </w:pPr>
            <w:r>
              <w:t xml:space="preserve">chemically induced colitis in mice, KPV in drinking water</w:t>
            </w:r>
          </w:p>
        </w:tc>
        <w:tc>
          <w:tcPr/>
          <w:p>
            <w:pPr>
              <w:pStyle w:val="Compact"/>
              <w:jc w:val="left"/>
            </w:pPr>
            <w:r>
              <w:t xml:space="preserve">less inflammation, fewer inflammatory messengers</w:t>
            </w:r>
          </w:p>
        </w:tc>
      </w:tr>
      <w:tr>
        <w:tc>
          <w:tcPr/>
          <w:p>
            <w:pPr>
              <w:pStyle w:val="Compact"/>
              <w:jc w:val="left"/>
            </w:pPr>
            <w:r>
              <w:t xml:space="preserve">Kannengiesser 2008, PMID 18092346</w:t>
            </w:r>
          </w:p>
        </w:tc>
        <w:tc>
          <w:tcPr/>
          <w:p>
            <w:pPr>
              <w:pStyle w:val="Compact"/>
              <w:jc w:val="left"/>
            </w:pPr>
            <w:r>
              <w:t xml:space="preserve">two colitis models in mice</w:t>
            </w:r>
          </w:p>
        </w:tc>
        <w:tc>
          <w:tcPr/>
          <w:p>
            <w:pPr>
              <w:pStyle w:val="Compact"/>
              <w:jc w:val="left"/>
            </w:pPr>
            <w:r>
              <w:t xml:space="preserve">faster recovery, fewer inflammatory cells; in one model all treated animals survived</w:t>
            </w:r>
          </w:p>
        </w:tc>
      </w:tr>
      <w:tr>
        <w:tc>
          <w:tcPr/>
          <w:p>
            <w:pPr>
              <w:pStyle w:val="Compact"/>
              <w:jc w:val="left"/>
            </w:pPr>
            <w:r>
              <w:t xml:space="preserve">Viennois 2016, PMID 27458604</w:t>
            </w:r>
          </w:p>
        </w:tc>
        <w:tc>
          <w:tcPr/>
          <w:p>
            <w:pPr>
              <w:pStyle w:val="Compact"/>
              <w:jc w:val="left"/>
            </w:pPr>
            <w:r>
              <w:t xml:space="preserve">inflammation-associated colorectal cancer in mice</w:t>
            </w:r>
          </w:p>
        </w:tc>
        <w:tc>
          <w:tcPr/>
          <w:p>
            <w:pPr>
              <w:pStyle w:val="Compact"/>
              <w:jc w:val="left"/>
            </w:pPr>
            <w:r>
              <w:t xml:space="preserve">KPV prevented tumor development, but only in mice with functioning PepT1</w:t>
            </w:r>
          </w:p>
        </w:tc>
      </w:tr>
      <w:tr>
        <w:tc>
          <w:tcPr/>
          <w:p>
            <w:pPr>
              <w:pStyle w:val="Compact"/>
              <w:jc w:val="left"/>
            </w:pPr>
            <w:r>
              <w:t xml:space="preserve">Xiao 2017, PMID 28143741</w:t>
            </w:r>
          </w:p>
        </w:tc>
        <w:tc>
          <w:tcPr/>
          <w:p>
            <w:pPr>
              <w:pStyle w:val="Compact"/>
              <w:jc w:val="left"/>
            </w:pPr>
            <w:r>
              <w:t xml:space="preserve">colitis in mice, KPV in nanoparticles</w:t>
            </w:r>
          </w:p>
        </w:tc>
        <w:tc>
          <w:tcPr/>
          <w:p>
            <w:pPr>
              <w:pStyle w:val="Compact"/>
              <w:jc w:val="left"/>
            </w:pPr>
            <w:r>
              <w:t xml:space="preserve">stronger effect than unbound KPV</w:t>
            </w:r>
          </w:p>
        </w:tc>
      </w:tr>
    </w:tbl>
    <w:p>
      <w:pPr>
        <w:pStyle w:val="BodyText"/>
      </w:pPr>
      <w:r>
        <w:t xml:space="preserve">Further studies investigate KPV in hydrogels for wounds and mucous membranes, in nanoparticles against vascular calcification or in the metabolism of fat cells – almost exclusively in cell culture or in rodents. It is striking that a large part of the more recent literature develops dosage forms (nanoparticles, gels, patches). This shows that KPV alone, as a tablet or cream, apparently does not reach the site of action well enough – a point that is relevant for the freely sold products.</w:t>
      </w:r>
    </w:p>
    <w:bookmarkEnd w:id="1076"/>
    <w:bookmarkStart w:id="1081" w:name="risks-and-side-effects-18"/>
    <w:p>
      <w:pPr>
        <w:pStyle w:val="Heading3"/>
      </w:pPr>
      <w:r>
        <w:t xml:space="preserve">Risks and side effects</w:t>
      </w:r>
    </w:p>
    <w:bookmarkStart w:id="1077" w:name="documented-2"/>
    <w:p>
      <w:pPr>
        <w:pStyle w:val="Heading4"/>
      </w:pPr>
      <w:r>
        <w:t xml:space="preserve">Documented</w:t>
      </w:r>
    </w:p>
    <w:p>
      <w:pPr>
        <w:pStyle w:val="FirstParagraph"/>
      </w:pPr>
      <w:r>
        <w:t xml:space="preserve">None – because there are no human studies. The absence of reported side effects is no indication of safety here.</w:t>
      </w:r>
    </w:p>
    <w:bookmarkEnd w:id="1077"/>
    <w:bookmarkStart w:id="1080" w:name="theoretical"/>
    <w:p>
      <w:pPr>
        <w:pStyle w:val="Heading4"/>
      </w:pPr>
      <w:r>
        <w:t xml:space="preserve">Theoretical</w:t>
      </w:r>
    </w:p>
    <w:p>
      <w:pPr>
        <w:numPr>
          <w:ilvl w:val="0"/>
          <w:numId w:val="1129"/>
        </w:numPr>
        <w:pStyle w:val="Compact"/>
      </w:pPr>
      <w:r>
        <w:rPr>
          <w:bCs/>
          <w:b/>
        </w:rPr>
        <w:t xml:space="preserve">Dampening of defenses:</w:t>
      </w:r>
      <w:r>
        <w:t xml:space="preserve"> </w:t>
      </w:r>
      <w:r>
        <w:t xml:space="preserve">A substance that inhibits inflammatory signals could in principle also impair defense against infection. The laboratory findings point rather to its own antimicrobial effect</w:t>
      </w:r>
      <w:r>
        <w:rPr>
          <w:rStyle w:val="FootnoteReference"/>
        </w:rPr>
        <w:footnoteReference w:id="1078"/>
      </w:r>
      <w:r>
        <w:t xml:space="preserve">, but human data are lacking.</w:t>
      </w:r>
    </w:p>
    <w:p>
      <w:pPr>
        <w:numPr>
          <w:ilvl w:val="0"/>
          <w:numId w:val="1129"/>
        </w:numPr>
        <w:pStyle w:val="Compact"/>
      </w:pPr>
      <w:r>
        <w:rPr>
          <w:bCs/>
          <w:b/>
        </w:rPr>
        <w:t xml:space="preserve">Unclear uptake and dose:</w:t>
      </w:r>
      <w:r>
        <w:t xml:space="preserve"> </w:t>
      </w:r>
      <w:r>
        <w:t xml:space="preserve">How much KPV from a capsule or cream actually becomes effective has not been studied in humans.</w:t>
      </w:r>
    </w:p>
    <w:p>
      <w:pPr>
        <w:numPr>
          <w:ilvl w:val="0"/>
          <w:numId w:val="1129"/>
        </w:numPr>
        <w:pStyle w:val="Compact"/>
      </w:pPr>
      <w:r>
        <w:rPr>
          <w:bCs/>
          <w:b/>
        </w:rPr>
        <w:t xml:space="preserve">Gray-market quality:</w:t>
      </w:r>
      <w:r>
        <w:t xml:space="preserve"> </w:t>
      </w:r>
      <w:r>
        <w:t xml:space="preserve">KPV is sold as a</w:t>
      </w:r>
      <w:r>
        <w:t xml:space="preserve"> </w:t>
      </w:r>
      <w:r>
        <w:t xml:space="preserve">“</w:t>
      </w:r>
      <w:r>
        <w:t xml:space="preserve">research peptide</w:t>
      </w:r>
      <w:r>
        <w:t xml:space="preserve">”</w:t>
      </w:r>
      <w:r>
        <w:t xml:space="preserve"> </w:t>
      </w:r>
      <w:r>
        <w:t xml:space="preserve">without pharmaceutical control. A sports medicine review explicitly names KPV among the peptide fragments circulating in bodybuilding circles and warns of mislabeled or contaminated products</w:t>
      </w:r>
      <w:r>
        <w:rPr>
          <w:rStyle w:val="FootnoteReference"/>
        </w:rPr>
        <w:footnoteReference w:id="1079"/>
      </w:r>
      <w:r>
        <w:t xml:space="preserve">.</w:t>
      </w:r>
    </w:p>
    <w:bookmarkEnd w:id="1080"/>
    <w:bookmarkEnd w:id="1081"/>
    <w:bookmarkStart w:id="1082" w:name="legal-status-18"/>
    <w:p>
      <w:pPr>
        <w:pStyle w:val="Heading3"/>
      </w:pPr>
      <w:r>
        <w:t xml:space="preserve">Legal status</w:t>
      </w:r>
    </w:p>
    <w:p>
      <w:pPr>
        <w:pStyle w:val="FirstParagraph"/>
      </w:pPr>
      <w:r>
        <w:rPr>
          <w:iCs/>
          <w:i/>
        </w:rPr>
        <w:t xml:space="preserve">As of 2026, please check for updates.</w:t>
      </w:r>
    </w:p>
    <w:p>
      <w:pPr>
        <w:numPr>
          <w:ilvl w:val="0"/>
          <w:numId w:val="1130"/>
        </w:numPr>
        <w:pStyle w:val="Compact"/>
      </w:pPr>
      <w:r>
        <w:rPr>
          <w:bCs/>
          <w:b/>
        </w:rPr>
        <w:t xml:space="preserve">EU, Germany, Austria:</w:t>
      </w:r>
      <w:r>
        <w:t xml:space="preserve"> </w:t>
      </w:r>
      <w:r>
        <w:t xml:space="preserve">not approved as a medicine. If KPV is offered with claims about alleviating diseases, it is considered a non-approved medicine. As an ingredient of cosmetics, the rules of the EU Cosmetics Regulation apply; health claims are impermissible there.</w:t>
      </w:r>
    </w:p>
    <w:p>
      <w:pPr>
        <w:numPr>
          <w:ilvl w:val="0"/>
          <w:numId w:val="1130"/>
        </w:numPr>
        <w:pStyle w:val="Compact"/>
      </w:pPr>
      <w:r>
        <w:rPr>
          <w:bCs/>
          <w:b/>
        </w:rPr>
        <w:t xml:space="preserve">USA:</w:t>
      </w:r>
      <w:r>
        <w:t xml:space="preserve"> </w:t>
      </w:r>
      <w:r>
        <w:t xml:space="preserve">no FDA approval.</w:t>
      </w:r>
    </w:p>
    <w:p>
      <w:pPr>
        <w:numPr>
          <w:ilvl w:val="0"/>
          <w:numId w:val="1130"/>
        </w:numPr>
        <w:pStyle w:val="Compact"/>
      </w:pPr>
      <w:r>
        <w:rPr>
          <w:bCs/>
          <w:b/>
        </w:rPr>
        <w:t xml:space="preserve">WADA:</w:t>
      </w:r>
      <w:r>
        <w:t xml:space="preserve"> </w:t>
      </w:r>
      <w:r>
        <w:t xml:space="preserve">not listed by name. As a pharmacologically active substance without approval, in the author’s view KPV falls under S0 (non-approved substances).</w:t>
      </w:r>
    </w:p>
    <w:bookmarkEnd w:id="1082"/>
    <w:bookmarkStart w:id="1083" w:name="ongoing-studies-and-outlook-18"/>
    <w:p>
      <w:pPr>
        <w:pStyle w:val="Heading3"/>
      </w:pPr>
      <w:r>
        <w:t xml:space="preserve">Ongoing studies and outlook</w:t>
      </w:r>
    </w:p>
    <w:p>
      <w:pPr>
        <w:pStyle w:val="FirstParagraph"/>
      </w:pPr>
      <w:r>
        <w:rPr>
          <w:bCs/>
          <w:b/>
        </w:rPr>
        <w:t xml:space="preserve">Confirmed:</w:t>
      </w:r>
      <w:r>
        <w:t xml:space="preserve"> </w:t>
      </w:r>
      <w:r>
        <w:t xml:space="preserve">As of October 2026, no trial with KPV is registered on ClinicalTrials.gov.</w:t>
      </w:r>
    </w:p>
    <w:p>
      <w:pPr>
        <w:pStyle w:val="BodyText"/>
      </w:pPr>
      <w:r>
        <w:rPr>
          <w:bCs/>
          <w:b/>
        </w:rPr>
        <w:t xml:space="preserve">Author’s assessment:</w:t>
      </w:r>
      <w:r>
        <w:t xml:space="preserve"> </w:t>
      </w:r>
      <w:r>
        <w:t xml:space="preserve">The mouse data on intestinal inflammation are consistent and come from several independent groups – that is more than many other</w:t>
      </w:r>
      <w:r>
        <w:t xml:space="preserve"> </w:t>
      </w:r>
      <w:r>
        <w:t xml:space="preserve">“</w:t>
      </w:r>
      <w:r>
        <w:t xml:space="preserve">research peptides</w:t>
      </w:r>
      <w:r>
        <w:t xml:space="preserve">”</w:t>
      </w:r>
      <w:r>
        <w:t xml:space="preserve"> </w:t>
      </w:r>
      <w:r>
        <w:t xml:space="preserve">can show. Without a company developing KPV as a medicine, however, a human study is not in sight. It is more likely that KPV will continue to be researched in the laboratory as a building block in new dosage forms (nanoparticles, gels).</w:t>
      </w:r>
    </w:p>
    <w:bookmarkEnd w:id="1083"/>
    <w:bookmarkStart w:id="1085" w:name="conclusion-18"/>
    <w:p>
      <w:pPr>
        <w:pStyle w:val="Heading3"/>
      </w:pPr>
      <w:r>
        <w:t xml:space="preserve">Conclusion</w:t>
      </w:r>
    </w:p>
    <w:p>
      <w:pPr>
        <w:pStyle w:val="FirstParagraph"/>
      </w:pPr>
      <w:r>
        <w:t xml:space="preserve">KPV is a three-amino-acid fragment of the endogenous hormone alpha-MSH that markedly reduced intestinal inflammation in cell cultures and in mice</w:t>
      </w:r>
      <w:r>
        <w:rPr>
          <w:rStyle w:val="FootnoteReference"/>
        </w:rPr>
        <w:footnoteReference w:id="1084"/>
      </w:r>
      <w:r>
        <w:t xml:space="preserve">. KPV has never been studied in humans – neither for efficacy nor for safety. All claims about effects on the gut or skin in humans are therefore assumptions based on animal experiments. Anyone using KPV products from the internet is part of an uncontrolled self-experiment with products of unknown quality.</w:t>
      </w:r>
    </w:p>
    <w:bookmarkEnd w:id="1085"/>
    <w:bookmarkEnd w:id="1086"/>
    <w:bookmarkStart w:id="1121" w:name="ll-37"/>
    <w:p>
      <w:pPr>
        <w:pStyle w:val="Heading2"/>
      </w:pPr>
      <w:r>
        <w:t xml:space="preserve">LL-37</w:t>
      </w:r>
    </w:p>
    <w:p>
      <w:pPr>
        <w:pStyle w:val="FirstParagraph"/>
      </w:pPr>
      <w:r>
        <w:t xml:space="preserve">LL-37 is an endogenous defense peptide. Skin, mucous membranes and white blood cells produce it to kill bacteria, fungi and viruses. In the peptide scene, it is offered as a</w:t>
      </w:r>
      <w:r>
        <w:t xml:space="preserve"> </w:t>
      </w:r>
      <w:r>
        <w:t xml:space="preserve">“</w:t>
      </w:r>
      <w:r>
        <w:t xml:space="preserve">natural antibiotic</w:t>
      </w:r>
      <w:r>
        <w:t xml:space="preserve">”</w:t>
      </w:r>
      <w:r>
        <w:t xml:space="preserve"> </w:t>
      </w:r>
      <w:r>
        <w:t xml:space="preserve">and as an agent against chronic infections, Lyme disease or</w:t>
      </w:r>
      <w:r>
        <w:t xml:space="preserve"> </w:t>
      </w:r>
      <w:r>
        <w:t xml:space="preserve">“</w:t>
      </w:r>
      <w:r>
        <w:t xml:space="preserve">immune deficiency.</w:t>
      </w:r>
      <w:r>
        <w:t xml:space="preserve">”</w:t>
      </w:r>
      <w:r>
        <w:t xml:space="preserve"> </w:t>
      </w:r>
      <w:r>
        <w:t xml:space="preserve">When it comes to the evidence, a careful distinction must be made: there are very many studies in which LL-37 was</w:t>
      </w:r>
      <w:r>
        <w:t xml:space="preserve"> </w:t>
      </w:r>
      <w:r>
        <w:rPr>
          <w:iCs/>
          <w:i/>
        </w:rPr>
        <w:t xml:space="preserve">measured</w:t>
      </w:r>
      <w:r>
        <w:t xml:space="preserve"> </w:t>
      </w:r>
      <w:r>
        <w:t xml:space="preserve">in the blood or tissue – but only a handful in which people</w:t>
      </w:r>
      <w:r>
        <w:t xml:space="preserve"> </w:t>
      </w:r>
      <w:r>
        <w:rPr>
          <w:iCs/>
          <w:i/>
        </w:rPr>
        <w:t xml:space="preserve">received</w:t>
      </w:r>
      <w:r>
        <w:t xml:space="preserve"> </w:t>
      </w:r>
      <w:r>
        <w:t xml:space="preserve">LL-37 as an active substance.</w:t>
      </w:r>
    </w:p>
    <w:bookmarkStart w:id="1088" w:name="profile-19"/>
    <w:p>
      <w:pPr>
        <w:pStyle w:val="Heading3"/>
      </w:pPr>
      <w:r>
        <w:t xml:space="preserve">Profile</w:t>
      </w:r>
    </w:p>
    <w:p>
      <w:pPr>
        <w:numPr>
          <w:ilvl w:val="0"/>
          <w:numId w:val="1131"/>
        </w:numPr>
        <w:pStyle w:val="Compact"/>
      </w:pPr>
      <w:r>
        <w:rPr>
          <w:bCs/>
          <w:b/>
        </w:rPr>
        <w:t xml:space="preserve">Type and structure:</w:t>
      </w:r>
      <w:r>
        <w:t xml:space="preserve"> </w:t>
      </w:r>
      <w:r>
        <w:t xml:space="preserve">peptide of 37 amino acids, the first two of which are leucines (hence</w:t>
      </w:r>
      <w:r>
        <w:t xml:space="preserve"> </w:t>
      </w:r>
      <w:r>
        <w:t xml:space="preserve">“</w:t>
      </w:r>
      <w:r>
        <w:t xml:space="preserve">LL</w:t>
      </w:r>
      <w:r>
        <w:t xml:space="preserve">”</w:t>
      </w:r>
      <w:r>
        <w:t xml:space="preserve">). The only human cathelicidin – the name of a family of defense peptides.</w:t>
      </w:r>
    </w:p>
    <w:p>
      <w:pPr>
        <w:numPr>
          <w:ilvl w:val="0"/>
          <w:numId w:val="1131"/>
        </w:numPr>
        <w:pStyle w:val="Compact"/>
      </w:pPr>
      <w:r>
        <w:rPr>
          <w:bCs/>
          <w:b/>
        </w:rPr>
        <w:t xml:space="preserve">Origin:</w:t>
      </w:r>
      <w:r>
        <w:t xml:space="preserve"> </w:t>
      </w:r>
      <w:r>
        <w:t xml:space="preserve">cleaved from the precursor protein hCAP18; the corresponding gene (CAMP) is switched on by vitamin D, among other things</w:t>
      </w:r>
      <w:r>
        <w:rPr>
          <w:rStyle w:val="FootnoteReference"/>
        </w:rPr>
        <w:footnoteReference w:id="1087"/>
      </w:r>
      <w:r>
        <w:t xml:space="preserve">.</w:t>
      </w:r>
    </w:p>
    <w:p>
      <w:pPr>
        <w:numPr>
          <w:ilvl w:val="0"/>
          <w:numId w:val="1131"/>
        </w:numPr>
        <w:pStyle w:val="Compact"/>
      </w:pPr>
      <w:r>
        <w:rPr>
          <w:bCs/>
          <w:b/>
        </w:rPr>
        <w:t xml:space="preserve">Mechanism of action:</w:t>
      </w:r>
      <w:r>
        <w:t xml:space="preserve"> </w:t>
      </w:r>
      <w:r>
        <w:t xml:space="preserve">destroys the envelope of microbes; at the same time attracts immune cells, promotes new blood vessel formation and wound healing, and influences inflammatory responses.</w:t>
      </w:r>
    </w:p>
    <w:p>
      <w:pPr>
        <w:numPr>
          <w:ilvl w:val="0"/>
          <w:numId w:val="1131"/>
        </w:numPr>
        <w:pStyle w:val="Compact"/>
      </w:pPr>
      <w:r>
        <w:rPr>
          <w:bCs/>
          <w:b/>
        </w:rPr>
        <w:t xml:space="preserve">Approval EU/USA:</w:t>
      </w:r>
      <w:r>
        <w:t xml:space="preserve"> </w:t>
      </w:r>
      <w:r>
        <w:t xml:space="preserve">no.</w:t>
      </w:r>
    </w:p>
    <w:p>
      <w:pPr>
        <w:numPr>
          <w:ilvl w:val="0"/>
          <w:numId w:val="1131"/>
        </w:numPr>
        <w:pStyle w:val="Compact"/>
      </w:pPr>
      <w:r>
        <w:rPr>
          <w:bCs/>
          <w:b/>
        </w:rPr>
        <w:t xml:space="preserve">WADA:</w:t>
      </w:r>
      <w:r>
        <w:t xml:space="preserve"> </w:t>
      </w:r>
      <w:r>
        <w:t xml:space="preserve">not explicitly listed; in the author’s view, falls under S0 as a non-approved substance.</w:t>
      </w:r>
    </w:p>
    <w:p>
      <w:pPr>
        <w:numPr>
          <w:ilvl w:val="0"/>
          <w:numId w:val="1131"/>
        </w:numPr>
        <w:pStyle w:val="Compact"/>
      </w:pPr>
      <w:r>
        <w:rPr>
          <w:bCs/>
          <w:b/>
        </w:rPr>
        <w:t xml:space="preserve">Evidence level: B</w:t>
      </w:r>
      <w:r>
        <w:t xml:space="preserve"> </w:t>
      </w:r>
      <w:r>
        <w:t xml:space="preserve">– individual small to medium-sized randomized trials with local application to wounds; the largest of these missed its primary goal.</w:t>
      </w:r>
    </w:p>
    <w:bookmarkEnd w:id="1088"/>
    <w:bookmarkStart w:id="1093" w:name="how-it-is-supposed-to-work-19"/>
    <w:p>
      <w:pPr>
        <w:pStyle w:val="Heading3"/>
      </w:pPr>
      <w:r>
        <w:t xml:space="preserve">How it is supposed to work</w:t>
      </w:r>
    </w:p>
    <w:p>
      <w:pPr>
        <w:pStyle w:val="FirstParagraph"/>
      </w:pPr>
      <w:r>
        <w:t xml:space="preserve">LL-37 belongs to the innate immune system, the first, nonspecific line of defense. The peptide is positively charged and attaches to the negatively charged envelopes of bacteria, which thereby become permeable. In addition, it acts as a signaling substance: it attracts white blood cells and stimulates skin cells to migrate – which is why it became interesting for wound healing.</w:t>
      </w:r>
    </w:p>
    <w:p>
      <w:pPr>
        <w:pStyle w:val="BodyText"/>
      </w:pPr>
      <w:r>
        <w:t xml:space="preserve">In humans, LL-37 production is closely linked to vitamin D. The gene for the precursor protein carries a switch to which the vitamin D receptor binds; this switch is found in primates, but not in mice, rats or dogs</w:t>
      </w:r>
      <w:r>
        <w:rPr>
          <w:rStyle w:val="FootnoteReference"/>
        </w:rPr>
        <w:footnoteReference w:id="1089"/>
      </w:r>
      <w:r>
        <w:t xml:space="preserve">. This explains why many studies give vitamin D and measure LL-37 – and why animal experiments with LL-37 are only of limited transferability to humans.</w:t>
      </w:r>
    </w:p>
    <w:p>
      <w:pPr>
        <w:pStyle w:val="BodyText"/>
      </w:pPr>
      <w:r>
        <w:t xml:space="preserve">The flip side: LL-37 can also fuel inflammation. In psoriasis, LL-37 binds the body’s own genetic material from disintegrated cells and makes it</w:t>
      </w:r>
      <w:r>
        <w:t xml:space="preserve"> </w:t>
      </w:r>
      <w:r>
        <w:t xml:space="preserve">“</w:t>
      </w:r>
      <w:r>
        <w:t xml:space="preserve">visible</w:t>
      </w:r>
      <w:r>
        <w:t xml:space="preserve">”</w:t>
      </w:r>
      <w:r>
        <w:t xml:space="preserve"> </w:t>
      </w:r>
      <w:r>
        <w:t xml:space="preserve">to certain immune cells, which then release interferon</w:t>
      </w:r>
      <w:r>
        <w:rPr>
          <w:rStyle w:val="FootnoteReference"/>
        </w:rPr>
        <w:footnoteReference w:id="1090"/>
      </w:r>
      <w:r>
        <w:t xml:space="preserve">. In two thirds of the people with moderate to severe psoriasis studied, T cells directed against LL-37 itself were found</w:t>
      </w:r>
      <w:r>
        <w:rPr>
          <w:rStyle w:val="FootnoteReference"/>
        </w:rPr>
        <w:footnoteReference w:id="1091"/>
      </w:r>
      <w:r>
        <w:t xml:space="preserve">. In rosacea, affected individuals produce unusually large amounts of LL-37 in the facial skin, and in mice, injecting these peptides triggered skin inflammation</w:t>
      </w:r>
      <w:r>
        <w:rPr>
          <w:rStyle w:val="FootnoteReference"/>
        </w:rPr>
        <w:footnoteReference w:id="1092"/>
      </w:r>
      <w:r>
        <w:t xml:space="preserve">.</w:t>
      </w:r>
    </w:p>
    <w:bookmarkEnd w:id="1093"/>
    <w:bookmarkStart w:id="1105" w:name="human-studies-19"/>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91</w:t>
      </w:r>
      <w:r>
        <w:t xml:space="preserve"> </w:t>
      </w:r>
      <w:r>
        <w:t xml:space="preserve">publications classified as human studies and</w:t>
      </w:r>
      <w:r>
        <w:t xml:space="preserve"> </w:t>
      </w:r>
      <w:r>
        <w:rPr>
          <w:bCs/>
          <w:b/>
        </w:rPr>
        <w:t xml:space="preserve">20</w:t>
      </w:r>
      <w:r>
        <w:t xml:space="preserve"> </w:t>
      </w:r>
      <w:r>
        <w:t xml:space="preserve">entries on ClinicalTrials.gov. By far the largest part of these does</w:t>
      </w:r>
      <w:r>
        <w:t xml:space="preserve"> </w:t>
      </w:r>
      <w:r>
        <w:rPr>
          <w:iCs/>
          <w:i/>
        </w:rPr>
        <w:t xml:space="preserve">not</w:t>
      </w:r>
      <w:r>
        <w:t xml:space="preserve"> </w:t>
      </w:r>
      <w:r>
        <w:t xml:space="preserve">administer LL-37 as an active substance: they are vitamin D or probiotic studies that record LL-37 as a measured value, or observational studies on LL-37 levels in diseases. Only five studies in which LL-37 itself was administered can be found in PubMed; in the registry, there are two.</w:t>
      </w:r>
    </w:p>
    <w:bookmarkStart w:id="1098" w:name="Xa86db4c07ad1b25260b45eead6182459ffa5a68"/>
    <w:p>
      <w:pPr>
        <w:pStyle w:val="Heading4"/>
      </w:pPr>
      <w:r>
        <w:t xml:space="preserve">Interventional studies: LL-37 as an active substance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Venous leg ulcers (Grönberg 2014, PMID 25041740)</w:t>
            </w:r>
          </w:p>
        </w:tc>
        <w:tc>
          <w:tcPr/>
          <w:p>
            <w:pPr>
              <w:pStyle w:val="Compact"/>
              <w:jc w:val="left"/>
            </w:pPr>
            <w:r>
              <w:t xml:space="preserve">34 people, first-in-human, double-blind RCT with three concentrations and placebo</w:t>
            </w:r>
          </w:p>
        </w:tc>
        <w:tc>
          <w:tcPr/>
          <w:p>
            <w:pPr>
              <w:pStyle w:val="Compact"/>
              <w:jc w:val="left"/>
            </w:pPr>
            <w:r>
              <w:t xml:space="preserve">4 weeks of treatment</w:t>
            </w:r>
          </w:p>
        </w:tc>
        <w:tc>
          <w:tcPr/>
          <w:p>
            <w:pPr>
              <w:pStyle w:val="Compact"/>
              <w:jc w:val="left"/>
            </w:pPr>
            <w:r>
              <w:t xml:space="preserve">wound area reduced by 68% with the lowest concentration and by 50% with the middle one; highest concentration no better than placebo</w:t>
            </w:r>
          </w:p>
        </w:tc>
      </w:tr>
      <w:tr>
        <w:tc>
          <w:tcPr/>
          <w:p>
            <w:pPr>
              <w:pStyle w:val="Compact"/>
              <w:jc w:val="left"/>
            </w:pPr>
            <w:r>
              <w:t xml:space="preserve">HEAL LL-37, venous leg ulcers (Mahlapuu 2021, PMID 34687253)</w:t>
            </w:r>
          </w:p>
        </w:tc>
        <w:tc>
          <w:tcPr/>
          <w:p>
            <w:pPr>
              <w:pStyle w:val="Compact"/>
              <w:jc w:val="left"/>
            </w:pPr>
            <w:r>
              <w:t xml:space="preserve">148 people, Phase 2b, double-blind RCT</w:t>
            </w:r>
          </w:p>
        </w:tc>
        <w:tc>
          <w:tcPr/>
          <w:p>
            <w:pPr>
              <w:pStyle w:val="Compact"/>
              <w:jc w:val="left"/>
            </w:pPr>
            <w:r>
              <w:t xml:space="preserve">3 arms, in addition to compression</w:t>
            </w:r>
          </w:p>
        </w:tc>
        <w:tc>
          <w:tcPr/>
          <w:p>
            <w:pPr>
              <w:pStyle w:val="Compact"/>
              <w:jc w:val="left"/>
            </w:pPr>
            <w:r>
              <w:t xml:space="preserve">no significant difference from placebo; benefit only in post hoc subgroup analysis of large wounds</w:t>
            </w:r>
          </w:p>
        </w:tc>
      </w:tr>
      <w:tr>
        <w:tc>
          <w:tcPr/>
          <w:p>
            <w:pPr>
              <w:pStyle w:val="Compact"/>
              <w:jc w:val="left"/>
            </w:pPr>
            <w:r>
              <w:t xml:space="preserve">Diabetic foot ulcer (Miranda 2023, PMID 37480520; NCT04098562)</w:t>
            </w:r>
          </w:p>
        </w:tc>
        <w:tc>
          <w:tcPr/>
          <w:p>
            <w:pPr>
              <w:pStyle w:val="Compact"/>
              <w:jc w:val="left"/>
            </w:pPr>
            <w:r>
              <w:t xml:space="preserve">People with mildly infected foot ulcer in Jakarta, double-blind RCT vs. placebo cream</w:t>
            </w:r>
          </w:p>
        </w:tc>
        <w:tc>
          <w:tcPr/>
          <w:p>
            <w:pPr>
              <w:pStyle w:val="Compact"/>
              <w:jc w:val="left"/>
            </w:pPr>
            <w:r>
              <w:t xml:space="preserve">4 weeks</w:t>
            </w:r>
          </w:p>
        </w:tc>
        <w:tc>
          <w:tcPr/>
          <w:p>
            <w:pPr>
              <w:pStyle w:val="Compact"/>
              <w:jc w:val="left"/>
            </w:pPr>
            <w:r>
              <w:t xml:space="preserve">greater increase in granulation tissue; no reduction in inflammatory markers or bacterial count</w:t>
            </w:r>
          </w:p>
        </w:tc>
      </w:tr>
      <w:tr>
        <w:tc>
          <w:tcPr/>
          <w:p>
            <w:pPr>
              <w:pStyle w:val="Compact"/>
              <w:jc w:val="left"/>
            </w:pPr>
            <w:r>
              <w:t xml:space="preserve">COVID-19, oral LL-37 from lactic acid bacteria (Zhao 2023, PMID 37605995)</w:t>
            </w:r>
          </w:p>
        </w:tc>
        <w:tc>
          <w:tcPr/>
          <w:p>
            <w:pPr>
              <w:pStyle w:val="Compact"/>
              <w:jc w:val="left"/>
            </w:pPr>
            <w:r>
              <w:t xml:space="preserve">238 hospital patients, open-label RCT, single center</w:t>
            </w:r>
          </w:p>
        </w:tc>
        <w:tc>
          <w:tcPr/>
          <w:p>
            <w:pPr>
              <w:pStyle w:val="Compact"/>
              <w:jc w:val="left"/>
            </w:pPr>
            <w:r>
              <w:t xml:space="preserve">hospital stay</w:t>
            </w:r>
          </w:p>
        </w:tc>
        <w:tc>
          <w:tcPr/>
          <w:p>
            <w:pPr>
              <w:pStyle w:val="Compact"/>
              <w:jc w:val="left"/>
            </w:pPr>
            <w:r>
              <w:t xml:space="preserve">virus PCR negative after 9.8 instead of 14.0 days on average; no serious side effects</w:t>
            </w:r>
          </w:p>
        </w:tc>
      </w:tr>
      <w:tr>
        <w:tc>
          <w:tcPr/>
          <w:p>
            <w:pPr>
              <w:pStyle w:val="Compact"/>
              <w:jc w:val="left"/>
            </w:pPr>
            <w:r>
              <w:t xml:space="preserve">Melanoma, injection into tumors (NCT02225366)</w:t>
            </w:r>
          </w:p>
        </w:tc>
        <w:tc>
          <w:tcPr/>
          <w:p>
            <w:pPr>
              <w:pStyle w:val="Compact"/>
              <w:jc w:val="left"/>
            </w:pPr>
            <w:r>
              <w:t xml:space="preserve">4 people, Phase 1/2 without control group</w:t>
            </w:r>
          </w:p>
        </w:tc>
        <w:tc>
          <w:tcPr/>
          <w:p>
            <w:pPr>
              <w:pStyle w:val="Compact"/>
              <w:jc w:val="left"/>
            </w:pPr>
            <w:r>
              <w:t xml:space="preserve">up to 8 weeks</w:t>
            </w:r>
          </w:p>
        </w:tc>
        <w:tc>
          <w:tcPr/>
          <w:p>
            <w:pPr>
              <w:pStyle w:val="Compact"/>
              <w:jc w:val="left"/>
            </w:pPr>
            <w:r>
              <w:t xml:space="preserve">dose finding; small number of cases, see risks</w:t>
            </w:r>
          </w:p>
        </w:tc>
      </w:tr>
    </w:tbl>
    <w:p>
      <w:pPr>
        <w:pStyle w:val="BodyText"/>
      </w:pPr>
      <w:r>
        <w:t xml:space="preserve">The wound studies show the familiar pattern: the first small study was encouraging – strikingly, the lower concentrations worked, but not the highest</w:t>
      </w:r>
      <w:r>
        <w:rPr>
          <w:rStyle w:val="FootnoteReference"/>
        </w:rPr>
        <w:footnoteReference w:id="1094"/>
      </w:r>
      <w:r>
        <w:t xml:space="preserve">. The larger Phase 2b trial HEAL LL-37 with 148 people found no advantage over placebo in the overall group. A benefit in large wounds appeared only in a post hoc subgroup analysis, which the authors themselves regard as a reason for a further trial, not as proof</w:t>
      </w:r>
      <w:r>
        <w:rPr>
          <w:rStyle w:val="FootnoteReference"/>
        </w:rPr>
        <w:footnoteReference w:id="1095"/>
      </w:r>
      <w:r>
        <w:t xml:space="preserve">.</w:t>
      </w:r>
    </w:p>
    <w:p>
      <w:pPr>
        <w:pStyle w:val="BodyText"/>
      </w:pPr>
      <w:r>
        <w:t xml:space="preserve">The Indonesian study on diabetic foot ulcers measured as its main variable the proportion of granulation tissue, i.e., fresh healing tissue – an intermediate marker, not complete wound healing. Inflammatory markers and bacterial colonization did not decrease more on LL-37 than on placebo</w:t>
      </w:r>
      <w:r>
        <w:rPr>
          <w:rStyle w:val="FootnoteReference"/>
        </w:rPr>
        <w:footnoteReference w:id="1096"/>
      </w:r>
      <w:r>
        <w:t xml:space="preserve">.</w:t>
      </w:r>
    </w:p>
    <w:p>
      <w:pPr>
        <w:pStyle w:val="BodyText"/>
      </w:pPr>
      <w:r>
        <w:t xml:space="preserve">The COVID-19 study did not use LL-37 peptide but genetically modified lactic acid bacteria intended to produce LL-37 in the gut. It was not blinded and ran at a single center; what was measured was the time to a negative PCR test, not disease course or mortality</w:t>
      </w:r>
      <w:r>
        <w:rPr>
          <w:rStyle w:val="FootnoteReference"/>
        </w:rPr>
        <w:footnoteReference w:id="1097"/>
      </w:r>
      <w:r>
        <w:t xml:space="preserve">.</w:t>
      </w:r>
    </w:p>
    <w:bookmarkEnd w:id="1098"/>
    <w:bookmarkStart w:id="1102" w:name="Xf24deabd70e0952ed46520ef1755ed6c105ad9f"/>
    <w:p>
      <w:pPr>
        <w:pStyle w:val="Heading4"/>
      </w:pPr>
      <w:r>
        <w:t xml:space="preserve">Observational studies: LL-37 as a measured value</w:t>
      </w:r>
    </w:p>
    <w:p>
      <w:pPr>
        <w:pStyle w:val="FirstParagraph"/>
      </w:pPr>
      <w:r>
        <w:t xml:space="preserve">These studies say nothing about whether administered LL-37 helps. They only show how the body produces LL-37 in diseases. Some examples:</w:t>
      </w:r>
    </w:p>
    <w:p>
      <w:pPr>
        <w:numPr>
          <w:ilvl w:val="0"/>
          <w:numId w:val="1132"/>
        </w:numPr>
        <w:pStyle w:val="Compact"/>
      </w:pPr>
      <w:r>
        <w:t xml:space="preserve">In 50 people with pulmonary tuberculosis, LL-37 levels in the blood were higher than in pneumonia due to other bacteria and in healthy people</w:t>
      </w:r>
      <w:r>
        <w:rPr>
          <w:rStyle w:val="FootnoteReference"/>
        </w:rPr>
        <w:footnoteReference w:id="1099"/>
      </w:r>
      <w:r>
        <w:t xml:space="preserve">.</w:t>
      </w:r>
    </w:p>
    <w:p>
      <w:pPr>
        <w:numPr>
          <w:ilvl w:val="0"/>
          <w:numId w:val="1132"/>
        </w:numPr>
        <w:pStyle w:val="Compact"/>
      </w:pPr>
      <w:r>
        <w:t xml:space="preserve">In 76 children with bacterial meningitis, LL-37 in the cerebrospinal fluid rose with the bacterial load; a high ratio of LL-37 to bacteria was associated with less hearing damage</w:t>
      </w:r>
      <w:r>
        <w:rPr>
          <w:rStyle w:val="FootnoteReference"/>
        </w:rPr>
        <w:footnoteReference w:id="1100"/>
      </w:r>
      <w:r>
        <w:t xml:space="preserve">.</w:t>
      </w:r>
    </w:p>
    <w:p>
      <w:pPr>
        <w:numPr>
          <w:ilvl w:val="0"/>
          <w:numId w:val="1132"/>
        </w:numPr>
        <w:pStyle w:val="Compact"/>
      </w:pPr>
      <w:r>
        <w:t xml:space="preserve">In 30 intensive care patients with sepsis, LL-37 levels rose after high-dose vitamin D</w:t>
      </w:r>
      <w:r>
        <w:rPr>
          <w:rStyle w:val="FootnoteReference"/>
        </w:rPr>
        <w:footnoteReference w:id="1101"/>
      </w:r>
      <w:r>
        <w:t xml:space="preserve">.</w:t>
      </w:r>
    </w:p>
    <w:bookmarkEnd w:id="1102"/>
    <w:bookmarkStart w:id="1104" w:name="X0a70e713802146db727c71fdc3b52c91339994d"/>
    <w:p>
      <w:pPr>
        <w:pStyle w:val="Heading4"/>
      </w:pPr>
      <w:r>
        <w:t xml:space="preserve">Indirectly: stimulating LL-37 via vitamin D</w:t>
      </w:r>
    </w:p>
    <w:p>
      <w:pPr>
        <w:pStyle w:val="FirstParagraph"/>
      </w:pPr>
      <w:r>
        <w:t xml:space="preserve">In a double-blind study from Bangladesh with 288 people with pulmonary tuberculosis, more participants were culture-negative after four weeks if they additionally received vitamin D3 and phenylbutyrate – two substances that stimulate the body’s own LL-37 production (71% vs. 42.2% on placebo)</w:t>
      </w:r>
      <w:r>
        <w:rPr>
          <w:rStyle w:val="FootnoteReference"/>
        </w:rPr>
        <w:footnoteReference w:id="1103"/>
      </w:r>
      <w:r>
        <w:t xml:space="preserve">. This is a statement about this combination, not about LL-37 as a peptide. Vitamin D itself is not a peptide and is not dealt with separately in this book.</w:t>
      </w:r>
    </w:p>
    <w:bookmarkEnd w:id="1104"/>
    <w:bookmarkEnd w:id="1105"/>
    <w:bookmarkStart w:id="1108" w:name="animal-and-laboratory-studies-19"/>
    <w:p>
      <w:pPr>
        <w:pStyle w:val="Heading3"/>
      </w:pPr>
      <w:r>
        <w:t xml:space="preserve">Animal and laboratory studies</w:t>
      </w:r>
    </w:p>
    <w:p>
      <w:pPr>
        <w:pStyle w:val="FirstParagraph"/>
      </w:pPr>
      <w:r>
        <w:t xml:space="preserve">In the laboratory, LL-37 kills a broad range of bacteria, fungi and some viruses and promotes the migration of skin cells. A review on its role in cancer summarizes that in cell and animal experiments, LL-37</w:t>
      </w:r>
      <w:r>
        <w:t xml:space="preserve"> </w:t>
      </w:r>
      <w:r>
        <w:rPr>
          <w:iCs/>
          <w:i/>
        </w:rPr>
        <w:t xml:space="preserve">promotes</w:t>
      </w:r>
      <w:r>
        <w:t xml:space="preserve"> </w:t>
      </w:r>
      <w:r>
        <w:t xml:space="preserve">tumor growth in ovarian, lung, breast, prostate and pancreatic cancer as well as melanoma, but</w:t>
      </w:r>
      <w:r>
        <w:t xml:space="preserve"> </w:t>
      </w:r>
      <w:r>
        <w:rPr>
          <w:iCs/>
          <w:i/>
        </w:rPr>
        <w:t xml:space="preserve">inhibits</w:t>
      </w:r>
      <w:r>
        <w:t xml:space="preserve"> </w:t>
      </w:r>
      <w:r>
        <w:t xml:space="preserve">it in colon, gastric and some blood cancers</w:t>
      </w:r>
      <w:r>
        <w:rPr>
          <w:rStyle w:val="FootnoteReference"/>
        </w:rPr>
        <w:footnoteReference w:id="1106"/>
      </w:r>
      <w:r>
        <w:t xml:space="preserve">. The same substance can therefore have opposite effects depending on the tissue.</w:t>
      </w:r>
    </w:p>
    <w:p>
      <w:pPr>
        <w:pStyle w:val="BodyText"/>
      </w:pPr>
      <w:r>
        <w:t xml:space="preserve">For transferability, it is important to note that mice have their own cathelicidin, which only resembles human LL-37, and regulate it differently</w:t>
      </w:r>
      <w:r>
        <w:rPr>
          <w:rStyle w:val="FootnoteReference"/>
        </w:rPr>
        <w:footnoteReference w:id="1107"/>
      </w:r>
      <w:r>
        <w:t xml:space="preserve">. Mouse findings on LL-37 must therefore be assessed even more cautiously than for other peptides.</w:t>
      </w:r>
    </w:p>
    <w:bookmarkEnd w:id="1108"/>
    <w:bookmarkStart w:id="1116" w:name="risks-and-side-effects-19"/>
    <w:p>
      <w:pPr>
        <w:pStyle w:val="Heading3"/>
      </w:pPr>
      <w:r>
        <w:t xml:space="preserve">Risks and side effects</w:t>
      </w:r>
    </w:p>
    <w:bookmarkStart w:id="1111" w:name="documented-3"/>
    <w:p>
      <w:pPr>
        <w:pStyle w:val="Heading4"/>
      </w:pPr>
      <w:r>
        <w:t xml:space="preserve">Documented</w:t>
      </w:r>
    </w:p>
    <w:p>
      <w:pPr>
        <w:pStyle w:val="FirstParagraph"/>
      </w:pPr>
      <w:r>
        <w:t xml:space="preserve">In the wound studies, topically applied LL-37 was well tolerated; there were no safety concerns regarding local or systemic side effects</w:t>
      </w:r>
      <w:r>
        <w:rPr>
          <w:rStyle w:val="FootnoteReference"/>
        </w:rPr>
        <w:footnoteReference w:id="1109"/>
      </w:r>
      <w:r>
        <w:t xml:space="preserve">.</w:t>
      </w:r>
    </w:p>
    <w:p>
      <w:pPr>
        <w:pStyle w:val="BodyText"/>
      </w:pPr>
      <w:r>
        <w:t xml:space="preserve">A case report from the melanoma study shows, however, that LL-37 in injectable form is not harmless: in a 63-year-old woman who received eight weekly injections into skin metastases, numerous wart-like skin changes and blisters on the trunk and limbs appeared around 45 days after the start, initially thought to be skin cancer. Histologically, inflammatory changes with atypical skin cells were seen; all changes regressed within two months after discontinuation</w:t>
      </w:r>
      <w:r>
        <w:rPr>
          <w:rStyle w:val="FootnoteReference"/>
        </w:rPr>
        <w:footnoteReference w:id="1110"/>
      </w:r>
      <w:r>
        <w:t xml:space="preserve">.</w:t>
      </w:r>
    </w:p>
    <w:bookmarkEnd w:id="1111"/>
    <w:bookmarkStart w:id="1115" w:name="X1550e3fda6ba20a06f8f0f08ed3cb8f5ecb415e"/>
    <w:p>
      <w:pPr>
        <w:pStyle w:val="Heading4"/>
      </w:pPr>
      <w:r>
        <w:t xml:space="preserve">Theoretical and derived from disease research</w:t>
      </w:r>
    </w:p>
    <w:p>
      <w:pPr>
        <w:numPr>
          <w:ilvl w:val="0"/>
          <w:numId w:val="1133"/>
        </w:numPr>
        <w:pStyle w:val="Compact"/>
      </w:pPr>
      <w:r>
        <w:rPr>
          <w:bCs/>
          <w:b/>
        </w:rPr>
        <w:t xml:space="preserve">Autoimmunity and skin diseases:</w:t>
      </w:r>
      <w:r>
        <w:t xml:space="preserve"> </w:t>
      </w:r>
      <w:r>
        <w:t xml:space="preserve">LL-37 is a trigger of inflammation in psoriasis and a target of misdirected T cells</w:t>
      </w:r>
      <w:r>
        <w:rPr>
          <w:rStyle w:val="FootnoteReference"/>
        </w:rPr>
        <w:footnoteReference w:id="1112"/>
      </w:r>
      <w:r>
        <w:t xml:space="preserve">, and is involved in skin inflammation in rosacea</w:t>
      </w:r>
      <w:r>
        <w:rPr>
          <w:rStyle w:val="FootnoteReference"/>
        </w:rPr>
        <w:footnoteReference w:id="1113"/>
      </w:r>
      <w:r>
        <w:t xml:space="preserve">. People with these or other autoimmune diseases (such as lupus) should be especially cautious – there are no studies on this.</w:t>
      </w:r>
    </w:p>
    <w:p>
      <w:pPr>
        <w:numPr>
          <w:ilvl w:val="0"/>
          <w:numId w:val="1133"/>
        </w:numPr>
        <w:pStyle w:val="Compact"/>
      </w:pPr>
      <w:r>
        <w:rPr>
          <w:bCs/>
          <w:b/>
        </w:rPr>
        <w:t xml:space="preserve">Cancer:</w:t>
      </w:r>
      <w:r>
        <w:t xml:space="preserve"> </w:t>
      </w:r>
      <w:r>
        <w:t xml:space="preserve">Because LL-37 promotes the growth of some tumor types in laboratory experiments</w:t>
      </w:r>
      <w:r>
        <w:rPr>
          <w:rStyle w:val="FootnoteReference"/>
        </w:rPr>
        <w:footnoteReference w:id="1114"/>
      </w:r>
      <w:r>
        <w:t xml:space="preserve">, its use in people with cancer or a history of cancer cannot be assessed without studies.</w:t>
      </w:r>
    </w:p>
    <w:p>
      <w:pPr>
        <w:numPr>
          <w:ilvl w:val="0"/>
          <w:numId w:val="1133"/>
        </w:numPr>
        <w:pStyle w:val="Compact"/>
      </w:pPr>
      <w:r>
        <w:rPr>
          <w:bCs/>
          <w:b/>
        </w:rPr>
        <w:t xml:space="preserve">Cell damage at high concentrations:</w:t>
      </w:r>
      <w:r>
        <w:t xml:space="preserve"> </w:t>
      </w:r>
      <w:r>
        <w:t xml:space="preserve">The peptide attacks cell envelopes; at higher concentrations it can also damage human cells. This could explain why the highest concentration did not work in the first wound study.</w:t>
      </w:r>
    </w:p>
    <w:p>
      <w:pPr>
        <w:numPr>
          <w:ilvl w:val="0"/>
          <w:numId w:val="1133"/>
        </w:numPr>
        <w:pStyle w:val="Compact"/>
      </w:pPr>
      <w:r>
        <w:rPr>
          <w:bCs/>
          <w:b/>
        </w:rPr>
        <w:t xml:space="preserve">Gray market:</w:t>
      </w:r>
      <w:r>
        <w:t xml:space="preserve"> </w:t>
      </w:r>
      <w:r>
        <w:t xml:space="preserve">As with all</w:t>
      </w:r>
      <w:r>
        <w:t xml:space="preserve"> </w:t>
      </w:r>
      <w:r>
        <w:t xml:space="preserve">“</w:t>
      </w:r>
      <w:r>
        <w:t xml:space="preserve">research peptides,</w:t>
      </w:r>
      <w:r>
        <w:t xml:space="preserve">”</w:t>
      </w:r>
      <w:r>
        <w:t xml:space="preserve"> </w:t>
      </w:r>
      <w:r>
        <w:t xml:space="preserve">purity, content and sterility are unknown. This applies particularly to injections.</w:t>
      </w:r>
    </w:p>
    <w:bookmarkEnd w:id="1115"/>
    <w:bookmarkEnd w:id="1116"/>
    <w:bookmarkStart w:id="1117" w:name="legal-status-19"/>
    <w:p>
      <w:pPr>
        <w:pStyle w:val="Heading3"/>
      </w:pPr>
      <w:r>
        <w:t xml:space="preserve">Legal status</w:t>
      </w:r>
    </w:p>
    <w:p>
      <w:pPr>
        <w:pStyle w:val="FirstParagraph"/>
      </w:pPr>
      <w:r>
        <w:rPr>
          <w:iCs/>
          <w:i/>
        </w:rPr>
        <w:t xml:space="preserve">As of 2026, please check for updates.</w:t>
      </w:r>
    </w:p>
    <w:p>
      <w:pPr>
        <w:numPr>
          <w:ilvl w:val="0"/>
          <w:numId w:val="1134"/>
        </w:numPr>
        <w:pStyle w:val="Compact"/>
      </w:pPr>
      <w:r>
        <w:rPr>
          <w:bCs/>
          <w:b/>
        </w:rPr>
        <w:t xml:space="preserve">EU, Germany, Austria:</w:t>
      </w:r>
      <w:r>
        <w:t xml:space="preserve"> </w:t>
      </w:r>
      <w:r>
        <w:t xml:space="preserve">LL-37 is not approved as a medicine. Development as a wound agent by a Swedish company (under the name ropocamptide) has, to the author’s knowledge, not progressed beyond Phase 2. Sale for use in humans is not permitted.</w:t>
      </w:r>
    </w:p>
    <w:p>
      <w:pPr>
        <w:numPr>
          <w:ilvl w:val="0"/>
          <w:numId w:val="1134"/>
        </w:numPr>
        <w:pStyle w:val="Compact"/>
      </w:pPr>
      <w:r>
        <w:rPr>
          <w:bCs/>
          <w:b/>
        </w:rPr>
        <w:t xml:space="preserve">USA:</w:t>
      </w:r>
      <w:r>
        <w:t xml:space="preserve"> </w:t>
      </w:r>
      <w:r>
        <w:t xml:space="preserve">no FDA approval.</w:t>
      </w:r>
    </w:p>
    <w:p>
      <w:pPr>
        <w:numPr>
          <w:ilvl w:val="0"/>
          <w:numId w:val="1134"/>
        </w:numPr>
        <w:pStyle w:val="Compact"/>
      </w:pPr>
      <w:r>
        <w:rPr>
          <w:bCs/>
          <w:b/>
        </w:rPr>
        <w:t xml:space="preserve">WADA:</w:t>
      </w:r>
      <w:r>
        <w:t xml:space="preserve"> </w:t>
      </w:r>
      <w:r>
        <w:t xml:space="preserve">not listed by name; in the author’s view, to be classified under S0 as a non-approved substance.</w:t>
      </w:r>
    </w:p>
    <w:bookmarkEnd w:id="1117"/>
    <w:bookmarkStart w:id="1118" w:name="ongoing-studies-and-outlook-19"/>
    <w:p>
      <w:pPr>
        <w:pStyle w:val="Heading3"/>
      </w:pPr>
      <w:r>
        <w:t xml:space="preserve">Ongoing studies and outlook</w:t>
      </w:r>
    </w:p>
    <w:p>
      <w:pPr>
        <w:pStyle w:val="FirstParagraph"/>
      </w:pPr>
      <w:r>
        <w:rPr>
          <w:bCs/>
          <w:b/>
        </w:rPr>
        <w:t xml:space="preserve">Confirmed:</w:t>
      </w:r>
      <w:r>
        <w:t xml:space="preserve"> </w:t>
      </w:r>
      <w:r>
        <w:t xml:space="preserve">As of October 2026, no ongoing trial in which LL-37 is administered as an active substance is registered on ClinicalTrials.gov. The two entries with LL-37 as an active substance (melanoma, NCT02225366; diabetic foot ulcer, NCT04098562) are completed or have an unknown status. The remaining registry entries measure LL-37 only as a biomarker, for example in the gums or with vitamin D administration.</w:t>
      </w:r>
    </w:p>
    <w:p>
      <w:pPr>
        <w:pStyle w:val="BodyText"/>
      </w:pPr>
      <w:r>
        <w:rPr>
          <w:bCs/>
          <w:b/>
        </w:rPr>
        <w:t xml:space="preserve">Author’s assessment:</w:t>
      </w:r>
      <w:r>
        <w:t xml:space="preserve"> </w:t>
      </w:r>
      <w:r>
        <w:t xml:space="preserve">LL-37 itself is unlikely to have a future as a medicine – too unstable, damaging to cells at high concentrations and associated with autoimmune risks. Research is shifting to shortened or modified derivatives and to ways of increasing the body’s own production. A wound trial in the subgroup of large leg ulcers, as called for by the HEAL authors, would be the next logical step; it has not been registered.</w:t>
      </w:r>
    </w:p>
    <w:bookmarkEnd w:id="1118"/>
    <w:bookmarkStart w:id="1120" w:name="conclusion-19"/>
    <w:p>
      <w:pPr>
        <w:pStyle w:val="Heading3"/>
      </w:pPr>
      <w:r>
        <w:t xml:space="preserve">Conclusion</w:t>
      </w:r>
    </w:p>
    <w:p>
      <w:pPr>
        <w:pStyle w:val="FirstParagraph"/>
      </w:pPr>
      <w:r>
        <w:t xml:space="preserve">LL-37 is an important endogenous defense peptide whose levels have been measured in many studies – but as an active substance it has been given to humans only in a few small studies. Applied to wounds it was well tolerated, but the largest randomized trial with 148 people found no advantage over placebo</w:t>
      </w:r>
      <w:r>
        <w:rPr>
          <w:rStyle w:val="FootnoteReference"/>
        </w:rPr>
        <w:footnoteReference w:id="1119"/>
      </w:r>
      <w:r>
        <w:t xml:space="preserve">. At the same time, LL-37 plays a role as a driver of inflammation in psoriasis and rosacea, and an injection treatment triggered pronounced skin changes in one documented case. For the applications advertised online – for example against chronic infections or as an injectable immune booster – there are no human studies.</w:t>
      </w:r>
    </w:p>
    <w:bookmarkEnd w:id="1120"/>
    <w:bookmarkEnd w:id="1121"/>
    <w:bookmarkStart w:id="1154" w:name="ara-290-cibinetide"/>
    <w:p>
      <w:pPr>
        <w:pStyle w:val="Heading2"/>
      </w:pPr>
      <w:r>
        <w:t xml:space="preserve">ARA-290 (Cibinetide)</w:t>
      </w:r>
    </w:p>
    <w:p>
      <w:pPr>
        <w:pStyle w:val="FirstParagraph"/>
      </w:pPr>
      <w:r>
        <w:t xml:space="preserve">ARA-290 is an artificial peptide derived from the blood-forming hormone erythropoietin (EPO) – the hormone that became famous as a doping agent in cycling. ARA-290, however, is intended precisely not to stimulate blood formation, but only to make use of EPO’s tissue-protective properties. In small studies of nerve pain in sarcoidosis, it showed encouraging signals. In the biohacking scene, it is now offered as a</w:t>
      </w:r>
      <w:r>
        <w:t xml:space="preserve"> </w:t>
      </w:r>
      <w:r>
        <w:t xml:space="preserve">“</w:t>
      </w:r>
      <w:r>
        <w:t xml:space="preserve">nerve regeneration</w:t>
      </w:r>
      <w:r>
        <w:t xml:space="preserve">”</w:t>
      </w:r>
      <w:r>
        <w:t xml:space="preserve"> </w:t>
      </w:r>
      <w:r>
        <w:t xml:space="preserve">and</w:t>
      </w:r>
      <w:r>
        <w:t xml:space="preserve"> </w:t>
      </w:r>
      <w:r>
        <w:t xml:space="preserve">“</w:t>
      </w:r>
      <w:r>
        <w:t xml:space="preserve">anti-aging</w:t>
      </w:r>
      <w:r>
        <w:t xml:space="preserve">”</w:t>
      </w:r>
      <w:r>
        <w:t xml:space="preserve"> </w:t>
      </w:r>
      <w:r>
        <w:t xml:space="preserve">peptide.</w:t>
      </w:r>
    </w:p>
    <w:bookmarkStart w:id="1124" w:name="profile-20"/>
    <w:p>
      <w:pPr>
        <w:pStyle w:val="Heading3"/>
      </w:pPr>
      <w:r>
        <w:t xml:space="preserve">Profile</w:t>
      </w:r>
    </w:p>
    <w:p>
      <w:pPr>
        <w:numPr>
          <w:ilvl w:val="0"/>
          <w:numId w:val="1135"/>
        </w:numPr>
        <w:pStyle w:val="Compact"/>
      </w:pPr>
      <w:r>
        <w:rPr>
          <w:bCs/>
          <w:b/>
        </w:rPr>
        <w:t xml:space="preserve">Type and structure:</w:t>
      </w:r>
      <w:r>
        <w:t xml:space="preserve"> </w:t>
      </w:r>
      <w:r>
        <w:t xml:space="preserve">synthetic peptide of 11 amino acids</w:t>
      </w:r>
      <w:r>
        <w:rPr>
          <w:rStyle w:val="FootnoteReference"/>
        </w:rPr>
        <w:footnoteReference w:id="1122"/>
      </w:r>
      <w:r>
        <w:t xml:space="preserve">; active substance name cibinetide.</w:t>
      </w:r>
    </w:p>
    <w:p>
      <w:pPr>
        <w:numPr>
          <w:ilvl w:val="0"/>
          <w:numId w:val="1135"/>
        </w:numPr>
        <w:pStyle w:val="Compact"/>
      </w:pPr>
      <w:r>
        <w:rPr>
          <w:bCs/>
          <w:b/>
        </w:rPr>
        <w:t xml:space="preserve">Origin:</w:t>
      </w:r>
      <w:r>
        <w:t xml:space="preserve"> </w:t>
      </w:r>
      <w:r>
        <w:t xml:space="preserve">modeled on a segment of the three-dimensional structure of erythropoietin that is thought to be responsible for its tissue protection; developed by the US company Araim Pharmaceuticals.</w:t>
      </w:r>
    </w:p>
    <w:p>
      <w:pPr>
        <w:numPr>
          <w:ilvl w:val="0"/>
          <w:numId w:val="1135"/>
        </w:numPr>
        <w:pStyle w:val="Compact"/>
      </w:pPr>
      <w:r>
        <w:rPr>
          <w:bCs/>
          <w:b/>
        </w:rPr>
        <w:t xml:space="preserve">Mechanism of action:</w:t>
      </w:r>
      <w:r>
        <w:t xml:space="preserve"> </w:t>
      </w:r>
      <w:r>
        <w:t xml:space="preserve">binds to a so-called</w:t>
      </w:r>
      <w:r>
        <w:t xml:space="preserve"> </w:t>
      </w:r>
      <w:r>
        <w:t xml:space="preserve">“</w:t>
      </w:r>
      <w:r>
        <w:t xml:space="preserve">innate repair receptor</w:t>
      </w:r>
      <w:r>
        <w:t xml:space="preserve">”</w:t>
      </w:r>
      <w:r>
        <w:t xml:space="preserve"> </w:t>
      </w:r>
      <w:r>
        <w:t xml:space="preserve">(a combination of the EPO receptor and the receptor component CD131), not to the classic EPO receptor of blood formation; intended to dampen inflammation and trigger tissue repair.</w:t>
      </w:r>
    </w:p>
    <w:p>
      <w:pPr>
        <w:numPr>
          <w:ilvl w:val="0"/>
          <w:numId w:val="1135"/>
        </w:numPr>
        <w:pStyle w:val="Compact"/>
      </w:pPr>
      <w:r>
        <w:rPr>
          <w:bCs/>
          <w:b/>
        </w:rPr>
        <w:t xml:space="preserve">Approval EU/USA:</w:t>
      </w:r>
      <w:r>
        <w:t xml:space="preserve"> </w:t>
      </w:r>
      <w:r>
        <w:t xml:space="preserve">no.</w:t>
      </w:r>
    </w:p>
    <w:p>
      <w:pPr>
        <w:numPr>
          <w:ilvl w:val="0"/>
          <w:numId w:val="1135"/>
        </w:numPr>
        <w:pStyle w:val="Compact"/>
      </w:pPr>
      <w:r>
        <w:rPr>
          <w:bCs/>
          <w:b/>
        </w:rPr>
        <w:t xml:space="preserve">WADA:</w:t>
      </w:r>
      <w:r>
        <w:t xml:space="preserve"> </w:t>
      </w:r>
      <w:r>
        <w:t xml:space="preserve">prohibited – non-erythropoietic EPO receptor agonists such as ARA-290 are explicitly named in class S2; anti-doping laboratories have developed detection methods</w:t>
      </w:r>
      <w:r>
        <w:rPr>
          <w:rStyle w:val="FootnoteReference"/>
        </w:rPr>
        <w:footnoteReference w:id="1123"/>
      </w:r>
      <w:r>
        <w:t xml:space="preserve">.</w:t>
      </w:r>
    </w:p>
    <w:p>
      <w:pPr>
        <w:numPr>
          <w:ilvl w:val="0"/>
          <w:numId w:val="1135"/>
        </w:numPr>
        <w:pStyle w:val="Compact"/>
      </w:pPr>
      <w:r>
        <w:rPr>
          <w:bCs/>
          <w:b/>
        </w:rPr>
        <w:t xml:space="preserve">Evidence level: B</w:t>
      </w:r>
      <w:r>
        <w:t xml:space="preserve"> </w:t>
      </w:r>
      <w:r>
        <w:t xml:space="preserve">– several small randomized, placebo-controlled Phase 2 trials; no Phase 3 trial.</w:t>
      </w:r>
    </w:p>
    <w:bookmarkEnd w:id="1124"/>
    <w:bookmarkStart w:id="1127" w:name="how-it-is-supposed-to-work-20"/>
    <w:p>
      <w:pPr>
        <w:pStyle w:val="Heading3"/>
      </w:pPr>
      <w:r>
        <w:t xml:space="preserve">How it is supposed to work</w:t>
      </w:r>
    </w:p>
    <w:p>
      <w:pPr>
        <w:pStyle w:val="FirstParagraph"/>
      </w:pPr>
      <w:r>
        <w:t xml:space="preserve">Erythropoietin is produced in the kidney and stimulates the formation of red blood cells in the bone marrow. In the 2000s, animal experiments showed that EPO can also protect nerves, heart and kidneys from damage. As a medicine, however, EPO is unsuitable for this: it increases the number of red blood cells, thickens the blood and raises the risk of thrombosis.</w:t>
      </w:r>
    </w:p>
    <w:p>
      <w:pPr>
        <w:pStyle w:val="BodyText"/>
      </w:pPr>
      <w:r>
        <w:t xml:space="preserve">The developers of ARA-290 suspected that the protective effect runs via a different receptor than blood formation. This</w:t>
      </w:r>
      <w:r>
        <w:t xml:space="preserve"> </w:t>
      </w:r>
      <w:r>
        <w:t xml:space="preserve">“</w:t>
      </w:r>
      <w:r>
        <w:t xml:space="preserve">repair receptor</w:t>
      </w:r>
      <w:r>
        <w:t xml:space="preserve">”</w:t>
      </w:r>
      <w:r>
        <w:t xml:space="preserve"> </w:t>
      </w:r>
      <w:r>
        <w:t xml:space="preserve">is only produced in greater amounts when there is tissue damage or inflammation. ARA-290 is intended to activate only this receptor in a targeted way. In rats with nerve injury, it dose-dependently reduced hypersensitivity to touch and cold for up to 20 weeks and dampened the activation of immune cells in the spinal cord</w:t>
      </w:r>
      <w:r>
        <w:rPr>
          <w:rStyle w:val="FootnoteReference"/>
        </w:rPr>
        <w:footnoteReference w:id="1125"/>
      </w:r>
      <w:r>
        <w:t xml:space="preserve">.</w:t>
      </w:r>
    </w:p>
    <w:p>
      <w:pPr>
        <w:pStyle w:val="BodyText"/>
      </w:pPr>
      <w:r>
        <w:t xml:space="preserve">ARA-290 is rapidly broken down in the blood; an anti-doping laboratory described pronounced enzymatic degradation with one main breakdown product</w:t>
      </w:r>
      <w:r>
        <w:rPr>
          <w:rStyle w:val="FootnoteReference"/>
        </w:rPr>
        <w:footnoteReference w:id="1126"/>
      </w:r>
      <w:r>
        <w:t xml:space="preserve">.</w:t>
      </w:r>
    </w:p>
    <w:bookmarkEnd w:id="1127"/>
    <w:bookmarkStart w:id="1136" w:name="human-studies-20"/>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5</w:t>
      </w:r>
      <w:r>
        <w:t xml:space="preserve"> </w:t>
      </w:r>
      <w:r>
        <w:t xml:space="preserve">human studies in PubMed and</w:t>
      </w:r>
      <w:r>
        <w:t xml:space="preserve"> </w:t>
      </w:r>
      <w:r>
        <w:rPr>
          <w:bCs/>
          <w:b/>
        </w:rPr>
        <w:t xml:space="preserve">5</w:t>
      </w:r>
      <w:r>
        <w:t xml:space="preserve"> </w:t>
      </w:r>
      <w:r>
        <w:t xml:space="preserve">entries on ClinicalTrials.gov. One further study (diabetic macular edema) was found through a targeted search. All studies are small and lasted four to twelve weeks.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Sarcoidosis, pilot study (Heij 2012, PMID 23168581)</w:t>
            </w:r>
          </w:p>
        </w:tc>
        <w:tc>
          <w:tcPr/>
          <w:p>
            <w:pPr>
              <w:pStyle w:val="Compact"/>
              <w:jc w:val="left"/>
            </w:pPr>
            <w:r>
              <w:t xml:space="preserve">22 people with nerve pain in sarcoidosis, double-blind RCT, infusion</w:t>
            </w:r>
          </w:p>
        </w:tc>
        <w:tc>
          <w:tcPr/>
          <w:p>
            <w:pPr>
              <w:pStyle w:val="Compact"/>
              <w:jc w:val="left"/>
            </w:pPr>
            <w:r>
              <w:t xml:space="preserve">4 weeks</w:t>
            </w:r>
          </w:p>
        </w:tc>
        <w:tc>
          <w:tcPr/>
          <w:p>
            <w:pPr>
              <w:pStyle w:val="Compact"/>
              <w:jc w:val="left"/>
            </w:pPr>
            <w:r>
              <w:t xml:space="preserve">neuropathy questionnaire −11.5 vs. −2.9 points; main pain scale improved equally in both groups</w:t>
            </w:r>
          </w:p>
        </w:tc>
      </w:tr>
      <w:tr>
        <w:tc>
          <w:tcPr/>
          <w:p>
            <w:pPr>
              <w:pStyle w:val="Compact"/>
              <w:jc w:val="left"/>
            </w:pPr>
            <w:r>
              <w:t xml:space="preserve">Sarcoidosis, injection under the skin (Dahan 2013, PMID 24136731)</w:t>
            </w:r>
          </w:p>
        </w:tc>
        <w:tc>
          <w:tcPr/>
          <w:p>
            <w:pPr>
              <w:pStyle w:val="Compact"/>
              <w:jc w:val="left"/>
            </w:pPr>
            <w:r>
              <w:t xml:space="preserve">People with nerve fiber loss in sarcoidosis, blinded, placebo-controlled study</w:t>
            </w:r>
          </w:p>
        </w:tc>
        <w:tc>
          <w:tcPr/>
          <w:p>
            <w:pPr>
              <w:pStyle w:val="Compact"/>
              <w:jc w:val="left"/>
            </w:pPr>
            <w:r>
              <w:t xml:space="preserve">28 days</w:t>
            </w:r>
          </w:p>
        </w:tc>
        <w:tc>
          <w:tcPr/>
          <w:p>
            <w:pPr>
              <w:pStyle w:val="Compact"/>
              <w:jc w:val="left"/>
            </w:pPr>
            <w:r>
              <w:t xml:space="preserve">improvement in symptoms, more nerve fibers in the cornea, longer walking distance</w:t>
            </w:r>
          </w:p>
        </w:tc>
      </w:tr>
      <w:tr>
        <w:tc>
          <w:tcPr/>
          <w:p>
            <w:pPr>
              <w:pStyle w:val="Compact"/>
              <w:jc w:val="left"/>
            </w:pPr>
            <w:r>
              <w:t xml:space="preserve">Sarcoidosis, Phase 2b (Culver 2017, PMID 28475703; NCT02039687)</w:t>
            </w:r>
          </w:p>
        </w:tc>
        <w:tc>
          <w:tcPr/>
          <w:p>
            <w:pPr>
              <w:pStyle w:val="Compact"/>
              <w:jc w:val="left"/>
            </w:pPr>
            <w:r>
              <w:t xml:space="preserve">64 people, RCT with three doses and placebo</w:t>
            </w:r>
          </w:p>
        </w:tc>
        <w:tc>
          <w:tcPr/>
          <w:p>
            <w:pPr>
              <w:pStyle w:val="Compact"/>
              <w:jc w:val="left"/>
            </w:pPr>
            <w:r>
              <w:t xml:space="preserve">28 days</w:t>
            </w:r>
          </w:p>
        </w:tc>
        <w:tc>
          <w:tcPr/>
          <w:p>
            <w:pPr>
              <w:pStyle w:val="Compact"/>
              <w:jc w:val="left"/>
            </w:pPr>
            <w:r>
              <w:t xml:space="preserve">corneal nerve fiber area significantly increased only at the middle dose; pain improved in all groups including placebo</w:t>
            </w:r>
          </w:p>
        </w:tc>
      </w:tr>
      <w:tr>
        <w:tc>
          <w:tcPr/>
          <w:p>
            <w:pPr>
              <w:pStyle w:val="Compact"/>
              <w:jc w:val="left"/>
            </w:pPr>
            <w:r>
              <w:t xml:space="preserve">Type 2 diabetes with neuropathy (Brines 2015, PMID 25387363)</w:t>
            </w:r>
          </w:p>
        </w:tc>
        <w:tc>
          <w:tcPr/>
          <w:p>
            <w:pPr>
              <w:pStyle w:val="Compact"/>
              <w:jc w:val="left"/>
            </w:pPr>
            <w:r>
              <w:t xml:space="preserve">People with type 2 diabetes and nerve pain, Phase 2, vs. placebo</w:t>
            </w:r>
          </w:p>
        </w:tc>
        <w:tc>
          <w:tcPr/>
          <w:p>
            <w:pPr>
              <w:pStyle w:val="Compact"/>
              <w:jc w:val="left"/>
            </w:pPr>
            <w:r>
              <w:t xml:space="preserve">28 days plus 28 days</w:t>
            </w:r>
          </w:p>
        </w:tc>
        <w:tc>
          <w:tcPr/>
          <w:p>
            <w:pPr>
              <w:pStyle w:val="Compact"/>
              <w:jc w:val="left"/>
            </w:pPr>
            <w:r>
              <w:t xml:space="preserve">HbA1c and blood lipids improved, neuropathy questionnaire better</w:t>
            </w:r>
          </w:p>
        </w:tc>
      </w:tr>
      <w:tr>
        <w:tc>
          <w:tcPr/>
          <w:p>
            <w:pPr>
              <w:pStyle w:val="Compact"/>
              <w:jc w:val="left"/>
            </w:pPr>
            <w:r>
              <w:t xml:space="preserve">Diabetic macular edema (Lois 2020, PMID 32674280)</w:t>
            </w:r>
          </w:p>
        </w:tc>
        <w:tc>
          <w:tcPr/>
          <w:p>
            <w:pPr>
              <w:pStyle w:val="Compact"/>
              <w:jc w:val="left"/>
            </w:pPr>
            <w:r>
              <w:t xml:space="preserve">9 people, Phase 2 without control group</w:t>
            </w:r>
          </w:p>
        </w:tc>
        <w:tc>
          <w:tcPr/>
          <w:p>
            <w:pPr>
              <w:pStyle w:val="Compact"/>
              <w:jc w:val="left"/>
            </w:pPr>
            <w:r>
              <w:t xml:space="preserve">12 weeks</w:t>
            </w:r>
          </w:p>
        </w:tc>
        <w:tc>
          <w:tcPr/>
          <w:p>
            <w:pPr>
              <w:pStyle w:val="Compact"/>
              <w:jc w:val="left"/>
            </w:pPr>
            <w:r>
              <w:t xml:space="preserve">no improvement in visual acuity or retinal thickness; no antibodies against the active substance</w:t>
            </w:r>
          </w:p>
        </w:tc>
      </w:tr>
      <w:tr>
        <w:tc>
          <w:tcPr/>
          <w:p>
            <w:pPr>
              <w:pStyle w:val="Compact"/>
              <w:jc w:val="left"/>
            </w:pPr>
            <w:r>
              <w:t xml:space="preserve">Healthy people, mood (Cerit 2015, PMID 26431906)</w:t>
            </w:r>
          </w:p>
        </w:tc>
        <w:tc>
          <w:tcPr/>
          <w:p>
            <w:pPr>
              <w:pStyle w:val="Compact"/>
              <w:jc w:val="left"/>
            </w:pPr>
            <w:r>
              <w:t xml:space="preserve">36 healthy people, double-blind RCT, single dose</w:t>
            </w:r>
          </w:p>
        </w:tc>
        <w:tc>
          <w:tcPr/>
          <w:p>
            <w:pPr>
              <w:pStyle w:val="Compact"/>
              <w:jc w:val="left"/>
            </w:pPr>
            <w:r>
              <w:t xml:space="preserve">1 week</w:t>
            </w:r>
          </w:p>
        </w:tc>
        <w:tc>
          <w:tcPr/>
          <w:p>
            <w:pPr>
              <w:pStyle w:val="Compact"/>
              <w:jc w:val="left"/>
            </w:pPr>
            <w:r>
              <w:t xml:space="preserve">no effect on mood; findings do not clearly support an antidepressant effect</w:t>
            </w:r>
          </w:p>
        </w:tc>
      </w:tr>
    </w:tbl>
    <w:bookmarkStart w:id="1131" w:name="sarcoidosis-the-main-area-of-application"/>
    <w:p>
      <w:pPr>
        <w:pStyle w:val="Heading4"/>
      </w:pPr>
      <w:r>
        <w:t xml:space="preserve">Sarcoidosis – the main area of application</w:t>
      </w:r>
    </w:p>
    <w:p>
      <w:pPr>
        <w:pStyle w:val="FirstParagraph"/>
      </w:pPr>
      <w:r>
        <w:t xml:space="preserve">Sarcoidosis is an inflammatory disease in which small nodules form in the lungs, skin, eyes and other organs. Many of those affected suffer from burning pain and abnormal sensations due to damaged small nerve fibers (small fiber neuropathy). There are hardly any effective treatments.</w:t>
      </w:r>
    </w:p>
    <w:p>
      <w:pPr>
        <w:pStyle w:val="BodyText"/>
      </w:pPr>
      <w:r>
        <w:t xml:space="preserve">In the first pilot study with 22 people, a questionnaire on neuropathy symptoms improved considerably more on ARA-290 than on placebo. However, the scores of the main pain questionnaire and of fatigue improved equally in both groups – an indication of a substantial placebo effect</w:t>
      </w:r>
      <w:r>
        <w:rPr>
          <w:rStyle w:val="FootnoteReference"/>
        </w:rPr>
        <w:footnoteReference w:id="1128"/>
      </w:r>
      <w:r>
        <w:t xml:space="preserve">.</w:t>
      </w:r>
    </w:p>
    <w:p>
      <w:pPr>
        <w:pStyle w:val="BodyText"/>
      </w:pPr>
      <w:r>
        <w:t xml:space="preserve">The largest study, a Phase 2b trial with 64 people, chose as its primary endpoint the area of the small nerve fibers in the cornea of the eye, which can be measured with a special microscope. Only at the middle of three doses did this area increase significantly compared with placebo; the low and the high dose showed no significant effect. Pain improved in all groups, including placebo</w:t>
      </w:r>
      <w:r>
        <w:rPr>
          <w:rStyle w:val="FootnoteReference"/>
        </w:rPr>
        <w:footnoteReference w:id="1129"/>
      </w:r>
      <w:r>
        <w:t xml:space="preserve">. The corneal nerve fibers are a surrogate marker (surrogate endpoint): whether more nerve fibers in the cornea also mean less pain in the long term has not been demonstrated.</w:t>
      </w:r>
    </w:p>
    <w:p>
      <w:pPr>
        <w:pStyle w:val="BodyText"/>
      </w:pPr>
      <w:r>
        <w:t xml:space="preserve">A review by members of the Leiden research group rated the prospects as promising</w:t>
      </w:r>
      <w:r>
        <w:rPr>
          <w:rStyle w:val="FootnoteReference"/>
        </w:rPr>
        <w:footnoteReference w:id="1130"/>
      </w:r>
      <w:r>
        <w:t xml:space="preserve">. It should be noted that a large proportion of the studies come from the developer company and researchers closely associated with it.</w:t>
      </w:r>
    </w:p>
    <w:bookmarkEnd w:id="1131"/>
    <w:bookmarkStart w:id="1135" w:name="diabetes"/>
    <w:p>
      <w:pPr>
        <w:pStyle w:val="Heading4"/>
      </w:pPr>
      <w:r>
        <w:t xml:space="preserve">Diabetes</w:t>
      </w:r>
    </w:p>
    <w:p>
      <w:pPr>
        <w:pStyle w:val="FirstParagraph"/>
      </w:pPr>
      <w:r>
        <w:t xml:space="preserve">In people with type 2 diabetes and painful neuropathy, long-term blood glucose (HbA1c), blood lipids and neuropathy symptoms improved on ARA-290 over 28 days</w:t>
      </w:r>
      <w:r>
        <w:rPr>
          <w:rStyle w:val="FootnoteReference"/>
        </w:rPr>
        <w:footnoteReference w:id="1132"/>
      </w:r>
      <w:r>
        <w:t xml:space="preserve">. The number of participants is not stated in the abstract; the study was short. A separately registered Swedish study on the glucose-lowering effect in prediabetes with 24 people planned has an unknown status</w:t>
      </w:r>
      <w:r>
        <w:rPr>
          <w:rStyle w:val="FootnoteReference"/>
        </w:rPr>
        <w:footnoteReference w:id="1133"/>
      </w:r>
      <w:r>
        <w:t xml:space="preserve">. In nine people with diabetic macular edema – a swelling of the center of the retina – visual acuity and retinal thickness did not improve</w:t>
      </w:r>
      <w:r>
        <w:rPr>
          <w:rStyle w:val="FootnoteReference"/>
        </w:rPr>
        <w:footnoteReference w:id="1134"/>
      </w:r>
      <w:r>
        <w:t xml:space="preserve">.</w:t>
      </w:r>
    </w:p>
    <w:bookmarkEnd w:id="1135"/>
    <w:bookmarkEnd w:id="1136"/>
    <w:bookmarkStart w:id="1142" w:name="animal-and-laboratory-studies-20"/>
    <w:p>
      <w:pPr>
        <w:pStyle w:val="Heading3"/>
      </w:pPr>
      <w:r>
        <w:t xml:space="preserve">Animal and laboratory studies</w:t>
      </w:r>
    </w:p>
    <w:p>
      <w:pPr>
        <w:pStyle w:val="FirstParagraph"/>
      </w:pPr>
      <w:r>
        <w:t xml:space="preserve">Animal research on ARA-290 is broad. In rats, mice and pigs, protective effects have been described in nerve pain</w:t>
      </w:r>
      <w:r>
        <w:rPr>
          <w:rStyle w:val="FootnoteReference"/>
        </w:rPr>
        <w:footnoteReference w:id="1137"/>
      </w:r>
      <w:r>
        <w:t xml:space="preserve">, kidney damage after impaired blood flow in pigs</w:t>
      </w:r>
      <w:r>
        <w:rPr>
          <w:rStyle w:val="FootnoteReference"/>
        </w:rPr>
        <w:footnoteReference w:id="1138"/>
      </w:r>
      <w:r>
        <w:t xml:space="preserve">, diabetes in rats</w:t>
      </w:r>
      <w:r>
        <w:rPr>
          <w:rStyle w:val="FootnoteReference"/>
        </w:rPr>
        <w:footnoteReference w:id="1139"/>
      </w:r>
      <w:r>
        <w:t xml:space="preserve"> </w:t>
      </w:r>
      <w:r>
        <w:t xml:space="preserve">and Alzheimer-like changes</w:t>
      </w:r>
      <w:r>
        <w:rPr>
          <w:rStyle w:val="FootnoteReference"/>
        </w:rPr>
        <w:footnoteReference w:id="1140"/>
      </w:r>
      <w:r>
        <w:t xml:space="preserve">. In a long-term study in aging rats over 15 months, ARA-290 reduced signs of inflammation in the heart and attenuated age-related deterioration in cardiac function</w:t>
      </w:r>
      <w:r>
        <w:rPr>
          <w:rStyle w:val="FootnoteReference"/>
        </w:rPr>
        <w:footnoteReference w:id="1141"/>
      </w:r>
      <w:r>
        <w:t xml:space="preserve"> </w:t>
      </w:r>
      <w:r>
        <w:t xml:space="preserve">– the marketing as an</w:t>
      </w:r>
      <w:r>
        <w:t xml:space="preserve"> </w:t>
      </w:r>
      <w:r>
        <w:t xml:space="preserve">“</w:t>
      </w:r>
      <w:r>
        <w:t xml:space="preserve">anti-aging peptide</w:t>
      </w:r>
      <w:r>
        <w:t xml:space="preserve">”</w:t>
      </w:r>
      <w:r>
        <w:t xml:space="preserve"> </w:t>
      </w:r>
      <w:r>
        <w:t xml:space="preserve">relies on this study. All of these results come from animal experiments.</w:t>
      </w:r>
    </w:p>
    <w:bookmarkEnd w:id="1142"/>
    <w:bookmarkStart w:id="1147" w:name="risks-and-side-effects-20"/>
    <w:p>
      <w:pPr>
        <w:pStyle w:val="Heading3"/>
      </w:pPr>
      <w:r>
        <w:t xml:space="preserve">Risks and side effects</w:t>
      </w:r>
    </w:p>
    <w:bookmarkStart w:id="1145" w:name="documented-4"/>
    <w:p>
      <w:pPr>
        <w:pStyle w:val="Heading4"/>
      </w:pPr>
      <w:r>
        <w:t xml:space="preserve">Documented</w:t>
      </w:r>
    </w:p>
    <w:p>
      <w:pPr>
        <w:pStyle w:val="FirstParagraph"/>
      </w:pPr>
      <w:r>
        <w:t xml:space="preserve">No safety problems were reported in any of the published studies</w:t>
      </w:r>
      <w:r>
        <w:rPr>
          <w:rStyle w:val="FootnoteReference"/>
        </w:rPr>
        <w:footnoteReference w:id="1143"/>
      </w:r>
      <w:r>
        <w:t xml:space="preserve">. In the twelve-week macular edema study, no serious side effects and no antibodies against ARA-290 occurred</w:t>
      </w:r>
      <w:r>
        <w:rPr>
          <w:rStyle w:val="FootnoteReference"/>
        </w:rPr>
        <w:footnoteReference w:id="1144"/>
      </w:r>
      <w:r>
        <w:t xml:space="preserve">. However, the database is small, with considerably fewer than 200 people treated in total and treatment durations of twelve weeks at most.</w:t>
      </w:r>
    </w:p>
    <w:bookmarkEnd w:id="1145"/>
    <w:bookmarkStart w:id="1146" w:name="theoretical-1"/>
    <w:p>
      <w:pPr>
        <w:pStyle w:val="Heading4"/>
      </w:pPr>
      <w:r>
        <w:t xml:space="preserve">Theoretical</w:t>
      </w:r>
    </w:p>
    <w:p>
      <w:pPr>
        <w:numPr>
          <w:ilvl w:val="0"/>
          <w:numId w:val="1136"/>
        </w:numPr>
        <w:pStyle w:val="Compact"/>
      </w:pPr>
      <w:r>
        <w:rPr>
          <w:bCs/>
          <w:b/>
        </w:rPr>
        <w:t xml:space="preserve">EPO-like effects:</w:t>
      </w:r>
      <w:r>
        <w:t xml:space="preserve"> </w:t>
      </w:r>
      <w:r>
        <w:t xml:space="preserve">ARA-290 was designed so that it does not stimulate blood formation. Whether EPO-like effects nevertheless occur with longer use or higher doses, such as those circulating on the gray market, has not been studied in humans.</w:t>
      </w:r>
    </w:p>
    <w:p>
      <w:pPr>
        <w:numPr>
          <w:ilvl w:val="0"/>
          <w:numId w:val="1136"/>
        </w:numPr>
        <w:pStyle w:val="Compact"/>
      </w:pPr>
      <w:r>
        <w:rPr>
          <w:bCs/>
          <w:b/>
        </w:rPr>
        <w:t xml:space="preserve">Tumor growth:</w:t>
      </w:r>
      <w:r>
        <w:t xml:space="preserve"> </w:t>
      </w:r>
      <w:r>
        <w:t xml:space="preserve">EPO itself is suspected of promoting tumor growth in some cancers. Whether this plays a role for ARA-290 is unknown; long-term data are lacking.</w:t>
      </w:r>
    </w:p>
    <w:p>
      <w:pPr>
        <w:numPr>
          <w:ilvl w:val="0"/>
          <w:numId w:val="1136"/>
        </w:numPr>
        <w:pStyle w:val="Compact"/>
      </w:pPr>
      <w:r>
        <w:rPr>
          <w:bCs/>
          <w:b/>
        </w:rPr>
        <w:t xml:space="preserve">Gray market:</w:t>
      </w:r>
      <w:r>
        <w:t xml:space="preserve"> </w:t>
      </w:r>
      <w:r>
        <w:t xml:space="preserve">The studies were conducted with pharmaceutical-quality product. For freely sold products, purity and content are unknown.</w:t>
      </w:r>
    </w:p>
    <w:bookmarkEnd w:id="1146"/>
    <w:bookmarkEnd w:id="1147"/>
    <w:bookmarkStart w:id="1148" w:name="legal-status-20"/>
    <w:p>
      <w:pPr>
        <w:pStyle w:val="Heading3"/>
      </w:pPr>
      <w:r>
        <w:t xml:space="preserve">Legal status</w:t>
      </w:r>
    </w:p>
    <w:p>
      <w:pPr>
        <w:pStyle w:val="FirstParagraph"/>
      </w:pPr>
      <w:r>
        <w:rPr>
          <w:iCs/>
          <w:i/>
        </w:rPr>
        <w:t xml:space="preserve">As of 2026, please check for updates.</w:t>
      </w:r>
    </w:p>
    <w:p>
      <w:pPr>
        <w:numPr>
          <w:ilvl w:val="0"/>
          <w:numId w:val="1137"/>
        </w:numPr>
        <w:pStyle w:val="Compact"/>
      </w:pPr>
      <w:r>
        <w:rPr>
          <w:bCs/>
          <w:b/>
        </w:rPr>
        <w:t xml:space="preserve">EU, Germany, Austria:</w:t>
      </w:r>
      <w:r>
        <w:t xml:space="preserve"> </w:t>
      </w:r>
      <w:r>
        <w:t xml:space="preserve">not approved. Supplying it for use in humans is not permitted.</w:t>
      </w:r>
    </w:p>
    <w:p>
      <w:pPr>
        <w:numPr>
          <w:ilvl w:val="0"/>
          <w:numId w:val="1137"/>
        </w:numPr>
        <w:pStyle w:val="Compact"/>
      </w:pPr>
      <w:r>
        <w:rPr>
          <w:bCs/>
          <w:b/>
        </w:rPr>
        <w:t xml:space="preserve">USA:</w:t>
      </w:r>
      <w:r>
        <w:t xml:space="preserve"> </w:t>
      </w:r>
      <w:r>
        <w:t xml:space="preserve">no FDA approval.</w:t>
      </w:r>
    </w:p>
    <w:p>
      <w:pPr>
        <w:numPr>
          <w:ilvl w:val="0"/>
          <w:numId w:val="1137"/>
        </w:numPr>
        <w:pStyle w:val="Compact"/>
      </w:pPr>
      <w:r>
        <w:rPr>
          <w:bCs/>
          <w:b/>
        </w:rPr>
        <w:t xml:space="preserve">WADA:</w:t>
      </w:r>
      <w:r>
        <w:t xml:space="preserve"> </w:t>
      </w:r>
      <w:r>
        <w:t xml:space="preserve">prohibited in and out of competition (S2, peptide hormones and related substances; ARA-290 is named as an example of non-erythropoietic EPO receptor agonists).</w:t>
      </w:r>
    </w:p>
    <w:bookmarkEnd w:id="1148"/>
    <w:bookmarkStart w:id="1151" w:name="ongoing-studies-and-outlook-20"/>
    <w:p>
      <w:pPr>
        <w:pStyle w:val="Heading3"/>
      </w:pPr>
      <w:r>
        <w:t xml:space="preserve">Ongoing studies and outlook</w:t>
      </w:r>
    </w:p>
    <w:p>
      <w:pPr>
        <w:pStyle w:val="FirstParagraph"/>
      </w:pPr>
      <w:r>
        <w:rPr>
          <w:bCs/>
          <w:b/>
        </w:rPr>
        <w:t xml:space="preserve">Confirmed:</w:t>
      </w:r>
      <w:r>
        <w:t xml:space="preserve"> </w:t>
      </w:r>
      <w:r>
        <w:t xml:space="preserve">As of October 2026, no ongoing trial with ARA-290 or cibinetide is registered on ClinicalTrials.gov. The largest trial to date</w:t>
      </w:r>
      <w:r>
        <w:rPr>
          <w:rStyle w:val="FootnoteReference"/>
        </w:rPr>
        <w:footnoteReference w:id="1149"/>
      </w:r>
      <w:r>
        <w:t xml:space="preserve"> </w:t>
      </w:r>
      <w:r>
        <w:t xml:space="preserve">was completed in 2015; no Phase 3 trial has been started since. The macular edema trial was ended with nine people</w:t>
      </w:r>
      <w:r>
        <w:rPr>
          <w:rStyle w:val="FootnoteReference"/>
        </w:rPr>
        <w:footnoteReference w:id="1150"/>
      </w:r>
      <w:r>
        <w:t xml:space="preserve">.</w:t>
      </w:r>
    </w:p>
    <w:p>
      <w:pPr>
        <w:pStyle w:val="BodyText"/>
      </w:pPr>
      <w:r>
        <w:rPr>
          <w:bCs/>
          <w:b/>
        </w:rPr>
        <w:t xml:space="preserve">Author’s assessment:</w:t>
      </w:r>
      <w:r>
        <w:t xml:space="preserve"> </w:t>
      </w:r>
      <w:r>
        <w:t xml:space="preserve">The results in sarcoidosis neuropathy were interesting enough for a Phase 3 trial, which, however, has not discernibly been started more than ten years after the Phase 2b trial. Without a new developer or funder, approval is unlikely. Gray-market marketing as an anti-aging agent relies on rat studies and has little to do with the applications studied in humans.</w:t>
      </w:r>
    </w:p>
    <w:bookmarkEnd w:id="1151"/>
    <w:bookmarkStart w:id="1153" w:name="conclusion-20"/>
    <w:p>
      <w:pPr>
        <w:pStyle w:val="Heading3"/>
      </w:pPr>
      <w:r>
        <w:t xml:space="preserve">Conclusion</w:t>
      </w:r>
    </w:p>
    <w:p>
      <w:pPr>
        <w:pStyle w:val="FirstParagraph"/>
      </w:pPr>
      <w:r>
        <w:t xml:space="preserve">ARA-290 is a peptide derived from erythropoietin that is intended to protect tissue without stimulating blood formation. In small randomized trials in sarcoidosis-related nerve damage, nerve fibers in the cornea increased, but only at one of three doses, and pain also improved markedly on placebo</w:t>
      </w:r>
      <w:r>
        <w:rPr>
          <w:rStyle w:val="FootnoteReference"/>
        </w:rPr>
        <w:footnoteReference w:id="1152"/>
      </w:r>
      <w:r>
        <w:t xml:space="preserve">. Tolerability was good in the short trials; long-term data are lacking. There have been no new registered trials since 2015; ARA-290 is prohibited in sport.</w:t>
      </w:r>
    </w:p>
    <w:bookmarkEnd w:id="1153"/>
    <w:bookmarkEnd w:id="1154"/>
    <w:bookmarkStart w:id="1192" w:name="larazotide"/>
    <w:p>
      <w:pPr>
        <w:pStyle w:val="Heading2"/>
      </w:pPr>
      <w:r>
        <w:t xml:space="preserve">Larazotide</w:t>
      </w:r>
    </w:p>
    <w:p>
      <w:pPr>
        <w:pStyle w:val="FirstParagraph"/>
      </w:pPr>
      <w:r>
        <w:t xml:space="preserve">Larazotide is the only peptide in this group that made it into a Phase 3 approval trial without previously being approved anywhere. It was meant to become the first medicine for celiac disease – a condition for which, to this day, only a lifelong gluten-free diet helps. The concept behind it, sealing a</w:t>
      </w:r>
      <w:r>
        <w:t xml:space="preserve"> </w:t>
      </w:r>
      <w:r>
        <w:t xml:space="preserve">“</w:t>
      </w:r>
      <w:r>
        <w:t xml:space="preserve">leaky</w:t>
      </w:r>
      <w:r>
        <w:t xml:space="preserve">”</w:t>
      </w:r>
      <w:r>
        <w:t xml:space="preserve"> </w:t>
      </w:r>
      <w:r>
        <w:t xml:space="preserve">gut wall, also makes larazotide interesting to the</w:t>
      </w:r>
      <w:r>
        <w:t xml:space="preserve"> </w:t>
      </w:r>
      <w:r>
        <w:t xml:space="preserve">“</w:t>
      </w:r>
      <w:r>
        <w:t xml:space="preserve">leaky gut</w:t>
      </w:r>
      <w:r>
        <w:t xml:space="preserve">”</w:t>
      </w:r>
      <w:r>
        <w:t xml:space="preserve"> </w:t>
      </w:r>
      <w:r>
        <w:t xml:space="preserve">scene. The history of the substance shows how difficult it is to turn a plausible idea into an effective medicine.</w:t>
      </w:r>
    </w:p>
    <w:bookmarkStart w:id="1156" w:name="profile-21"/>
    <w:p>
      <w:pPr>
        <w:pStyle w:val="Heading3"/>
      </w:pPr>
      <w:r>
        <w:t xml:space="preserve">Profile</w:t>
      </w:r>
    </w:p>
    <w:p>
      <w:pPr>
        <w:numPr>
          <w:ilvl w:val="0"/>
          <w:numId w:val="1138"/>
        </w:numPr>
        <w:pStyle w:val="Compact"/>
      </w:pPr>
      <w:r>
        <w:rPr>
          <w:bCs/>
          <w:b/>
        </w:rPr>
        <w:t xml:space="preserve">Type and structure:</w:t>
      </w:r>
      <w:r>
        <w:t xml:space="preserve"> </w:t>
      </w:r>
      <w:r>
        <w:t xml:space="preserve">synthetic peptide of 8 amino acids</w:t>
      </w:r>
      <w:r>
        <w:rPr>
          <w:rStyle w:val="FootnoteReference"/>
        </w:rPr>
        <w:footnoteReference w:id="1155"/>
      </w:r>
      <w:r>
        <w:t xml:space="preserve">, as an acetate salt (larazotide acetate); development code AT-1001.</w:t>
      </w:r>
    </w:p>
    <w:p>
      <w:pPr>
        <w:numPr>
          <w:ilvl w:val="0"/>
          <w:numId w:val="1138"/>
        </w:numPr>
        <w:pStyle w:val="Compact"/>
      </w:pPr>
      <w:r>
        <w:rPr>
          <w:bCs/>
          <w:b/>
        </w:rPr>
        <w:t xml:space="preserve">Origin:</w:t>
      </w:r>
      <w:r>
        <w:t xml:space="preserve"> </w:t>
      </w:r>
      <w:r>
        <w:t xml:space="preserve">derived from research on the zonula occludens toxin of the cholera bacterium, which opens the connections between gut cells; larazotide is intended to act in the opposite way.</w:t>
      </w:r>
    </w:p>
    <w:p>
      <w:pPr>
        <w:numPr>
          <w:ilvl w:val="0"/>
          <w:numId w:val="1138"/>
        </w:numPr>
        <w:pStyle w:val="Compact"/>
      </w:pPr>
      <w:r>
        <w:rPr>
          <w:bCs/>
          <w:b/>
        </w:rPr>
        <w:t xml:space="preserve">Mechanism of action:</w:t>
      </w:r>
      <w:r>
        <w:t xml:space="preserve"> </w:t>
      </w:r>
      <w:r>
        <w:t xml:space="preserve">regulator of the</w:t>
      </w:r>
      <w:r>
        <w:t xml:space="preserve"> </w:t>
      </w:r>
      <w:r>
        <w:t xml:space="preserve">“</w:t>
      </w:r>
      <w:r>
        <w:t xml:space="preserve">tight junctions</w:t>
      </w:r>
      <w:r>
        <w:t xml:space="preserve">”</w:t>
      </w:r>
      <w:r>
        <w:t xml:space="preserve"> </w:t>
      </w:r>
      <w:r>
        <w:t xml:space="preserve">(sealing strips between gut cells); considered an antagonist of the endogenous signaling substance zonulin. Acts locally in the gut and is hardly absorbed into the blood.</w:t>
      </w:r>
    </w:p>
    <w:p>
      <w:pPr>
        <w:numPr>
          <w:ilvl w:val="0"/>
          <w:numId w:val="1138"/>
        </w:numPr>
        <w:pStyle w:val="Compact"/>
      </w:pPr>
      <w:r>
        <w:rPr>
          <w:bCs/>
          <w:b/>
        </w:rPr>
        <w:t xml:space="preserve">Approval EU/USA:</w:t>
      </w:r>
      <w:r>
        <w:t xml:space="preserve"> </w:t>
      </w:r>
      <w:r>
        <w:t xml:space="preserve">no.</w:t>
      </w:r>
    </w:p>
    <w:p>
      <w:pPr>
        <w:numPr>
          <w:ilvl w:val="0"/>
          <w:numId w:val="1138"/>
        </w:numPr>
        <w:pStyle w:val="Compact"/>
      </w:pPr>
      <w:r>
        <w:rPr>
          <w:bCs/>
          <w:b/>
        </w:rPr>
        <w:t xml:space="preserve">WADA:</w:t>
      </w:r>
      <w:r>
        <w:t xml:space="preserve"> </w:t>
      </w:r>
      <w:r>
        <w:t xml:space="preserve">not listed; without any discernible performance-enhancing effect.</w:t>
      </w:r>
    </w:p>
    <w:p>
      <w:pPr>
        <w:numPr>
          <w:ilvl w:val="0"/>
          <w:numId w:val="1138"/>
        </w:numPr>
        <w:pStyle w:val="Compact"/>
      </w:pPr>
      <w:r>
        <w:rPr>
          <w:bCs/>
          <w:b/>
        </w:rPr>
        <w:t xml:space="preserve">Evidence level: B</w:t>
      </w:r>
      <w:r>
        <w:t xml:space="preserve"> </w:t>
      </w:r>
      <w:r>
        <w:t xml:space="preserve">– several randomized Phase 2 trials with mixed results; the Phase 3 trial was stopped, without published results.</w:t>
      </w:r>
    </w:p>
    <w:bookmarkEnd w:id="1156"/>
    <w:bookmarkStart w:id="1159" w:name="how-it-is-supposed-to-work-21"/>
    <w:p>
      <w:pPr>
        <w:pStyle w:val="Heading3"/>
      </w:pPr>
      <w:r>
        <w:t xml:space="preserve">How it is supposed to work</w:t>
      </w:r>
    </w:p>
    <w:p>
      <w:pPr>
        <w:pStyle w:val="FirstParagraph"/>
      </w:pPr>
      <w:r>
        <w:t xml:space="preserve">In celiac disease, the immune system of genetically predisposed people reacts to gluten, a protein in wheat, rye and barley. Fragments of gluten pass through the intestinal mucosa and trigger inflammation there that destroys the intestinal villi. Some of these fragments presumably travel through the gaps between gut cells. These gaps are closed by the tight junctions – a kind of molecular zipper.</w:t>
      </w:r>
    </w:p>
    <w:p>
      <w:pPr>
        <w:pStyle w:val="BodyText"/>
      </w:pPr>
      <w:r>
        <w:t xml:space="preserve">The signaling substance zonulin can open this zipper; gliadin, a component of gluten, releases zonulin. Larazotide is intended to block this pathway. In cultures of human gut cells, larazotide prevented the rearrangement of the sealing proteins and reduced the passage of a gliadin fragment through the cell layer; in genetically modified mice with gluten sensitivity, the structure of the sealing strips was preserved</w:t>
      </w:r>
      <w:r>
        <w:rPr>
          <w:rStyle w:val="FootnoteReference"/>
        </w:rPr>
        <w:footnoteReference w:id="1157"/>
      </w:r>
      <w:r>
        <w:t xml:space="preserve">. Newer studies additionally suspect inhibition of the enzyme myosin light chain kinase, which puts the cell junctions under tension</w:t>
      </w:r>
      <w:r>
        <w:rPr>
          <w:rStyle w:val="FootnoteReference"/>
        </w:rPr>
        <w:footnoteReference w:id="1158"/>
      </w:r>
      <w:r>
        <w:t xml:space="preserve">.</w:t>
      </w:r>
    </w:p>
    <w:p>
      <w:pPr>
        <w:pStyle w:val="BodyText"/>
      </w:pPr>
      <w:r>
        <w:t xml:space="preserve">Larazotide was never intended as a replacement for the gluten-free diet. The aim was an add-on agent for those affected who have symptoms despite the diet – for example due to unnoticed traces of gluten.</w:t>
      </w:r>
    </w:p>
    <w:bookmarkEnd w:id="1159"/>
    <w:bookmarkStart w:id="1175" w:name="human-studies-21"/>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4</w:t>
      </w:r>
      <w:r>
        <w:t xml:space="preserve"> </w:t>
      </w:r>
      <w:r>
        <w:t xml:space="preserve">human studies in PubMed and</w:t>
      </w:r>
      <w:r>
        <w:t xml:space="preserve"> </w:t>
      </w:r>
      <w:r>
        <w:rPr>
          <w:bCs/>
          <w:b/>
        </w:rPr>
        <w:t xml:space="preserve">29</w:t>
      </w:r>
      <w:r>
        <w:t xml:space="preserve"> </w:t>
      </w:r>
      <w:r>
        <w:t xml:space="preserve">entries on ClinicalTrials.gov. Of these 29 entries, however, 19 concern a completely different medicine: migalastat for Fabry disease formerly had the same development code AT1001. Only</w:t>
      </w:r>
      <w:r>
        <w:t xml:space="preserve"> </w:t>
      </w:r>
      <w:r>
        <w:rPr>
          <w:bCs/>
          <w:b/>
        </w:rPr>
        <w:t xml:space="preserve">10</w:t>
      </w:r>
      <w:r>
        <w:t xml:space="preserve"> </w:t>
      </w:r>
      <w:r>
        <w:t xml:space="preserve">registry entries actually relate to larazotide. A 2022 meta-analysis summarized four randomized trials with 626 people</w:t>
      </w:r>
      <w:r>
        <w:rPr>
          <w:rStyle w:val="FootnoteReference"/>
        </w:rPr>
        <w:footnoteReference w:id="1160"/>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Gluten challenge (Leffler 2012, PMID 22825365)</w:t>
            </w:r>
          </w:p>
        </w:tc>
        <w:tc>
          <w:tcPr/>
          <w:p>
            <w:pPr>
              <w:pStyle w:val="Compact"/>
              <w:jc w:val="left"/>
            </w:pPr>
            <w:r>
              <w:t xml:space="preserve">86 people with celiac disease, RCT with 4 doses and placebo</w:t>
            </w:r>
          </w:p>
        </w:tc>
        <w:tc>
          <w:tcPr/>
          <w:p>
            <w:pPr>
              <w:pStyle w:val="Compact"/>
              <w:jc w:val="left"/>
            </w:pPr>
            <w:r>
              <w:t xml:space="preserve">14 days</w:t>
            </w:r>
          </w:p>
        </w:tc>
        <w:tc>
          <w:tcPr/>
          <w:p>
            <w:pPr>
              <w:pStyle w:val="Compact"/>
              <w:jc w:val="left"/>
            </w:pPr>
            <w:r>
              <w:t xml:space="preserve">permeability test without significant difference; fewer symptoms at some low doses</w:t>
            </w:r>
          </w:p>
        </w:tc>
      </w:tr>
      <w:tr>
        <w:tc>
          <w:tcPr/>
          <w:p>
            <w:pPr>
              <w:pStyle w:val="Compact"/>
              <w:jc w:val="left"/>
            </w:pPr>
            <w:r>
              <w:t xml:space="preserve">Gluten challenge (Kelly 2013, PMID 23163616)</w:t>
            </w:r>
          </w:p>
        </w:tc>
        <w:tc>
          <w:tcPr/>
          <w:p>
            <w:pPr>
              <w:pStyle w:val="Compact"/>
              <w:jc w:val="left"/>
            </w:pPr>
            <w:r>
              <w:t xml:space="preserve">184 people, RCT with 3 doses and placebo, 2.7 g gluten daily</w:t>
            </w:r>
          </w:p>
        </w:tc>
        <w:tc>
          <w:tcPr/>
          <w:p>
            <w:pPr>
              <w:pStyle w:val="Compact"/>
              <w:jc w:val="left"/>
            </w:pPr>
            <w:r>
              <w:t xml:space="preserve">6 weeks</w:t>
            </w:r>
          </w:p>
        </w:tc>
        <w:tc>
          <w:tcPr/>
          <w:p>
            <w:pPr>
              <w:pStyle w:val="Compact"/>
              <w:jc w:val="left"/>
            </w:pPr>
            <w:r>
              <w:t xml:space="preserve">permeability unchanged; fewer symptoms only with 1 mg; smaller rise in celiac antibodies</w:t>
            </w:r>
          </w:p>
        </w:tc>
      </w:tr>
      <w:tr>
        <w:tc>
          <w:tcPr/>
          <w:p>
            <w:pPr>
              <w:pStyle w:val="Compact"/>
              <w:jc w:val="left"/>
            </w:pPr>
            <w:r>
              <w:t xml:space="preserve">Symptoms despite diet (Leffler 2015, PMID 25683116; NCT01396213)</w:t>
            </w:r>
          </w:p>
        </w:tc>
        <w:tc>
          <w:tcPr/>
          <w:p>
            <w:pPr>
              <w:pStyle w:val="Compact"/>
              <w:jc w:val="left"/>
            </w:pPr>
            <w:r>
              <w:t xml:space="preserve">342 people, RCT with 3 doses and placebo</w:t>
            </w:r>
          </w:p>
        </w:tc>
        <w:tc>
          <w:tcPr/>
          <w:p>
            <w:pPr>
              <w:pStyle w:val="Compact"/>
              <w:jc w:val="left"/>
            </w:pPr>
            <w:r>
              <w:t xml:space="preserve">12 weeks</w:t>
            </w:r>
          </w:p>
        </w:tc>
        <w:tc>
          <w:tcPr/>
          <w:p>
            <w:pPr>
              <w:pStyle w:val="Compact"/>
              <w:jc w:val="left"/>
            </w:pPr>
            <w:r>
              <w:t xml:space="preserve">primary goal reached only with the lowest dose (0.5 mg); 1 mg and 2 mg no better than placebo</w:t>
            </w:r>
          </w:p>
        </w:tc>
      </w:tr>
      <w:tr>
        <w:tc>
          <w:tcPr/>
          <w:p>
            <w:pPr>
              <w:pStyle w:val="Compact"/>
              <w:jc w:val="left"/>
            </w:pPr>
            <w:r>
              <w:t xml:space="preserve">CeDLara, Phase 3 (NCT03569007)</w:t>
            </w:r>
          </w:p>
        </w:tc>
        <w:tc>
          <w:tcPr/>
          <w:p>
            <w:pPr>
              <w:pStyle w:val="Compact"/>
              <w:jc w:val="left"/>
            </w:pPr>
            <w:r>
              <w:t xml:space="preserve">307 people, randomized, blinded</w:t>
            </w:r>
          </w:p>
        </w:tc>
        <w:tc>
          <w:tcPr/>
          <w:p>
            <w:pPr>
              <w:pStyle w:val="Compact"/>
              <w:jc w:val="left"/>
            </w:pPr>
            <w:r>
              <w:t xml:space="preserve">12 weeks planned</w:t>
            </w:r>
          </w:p>
        </w:tc>
        <w:tc>
          <w:tcPr/>
          <w:p>
            <w:pPr>
              <w:pStyle w:val="Compact"/>
              <w:jc w:val="left"/>
            </w:pPr>
            <w:r>
              <w:t xml:space="preserve">stopped by the sponsor in 2022; no results published</w:t>
            </w:r>
          </w:p>
        </w:tc>
      </w:tr>
      <w:tr>
        <w:tc>
          <w:tcPr/>
          <w:p>
            <w:pPr>
              <w:pStyle w:val="Compact"/>
              <w:jc w:val="left"/>
            </w:pPr>
            <w:r>
              <w:t xml:space="preserve">MIS-C in children (Yonker 2025, PMID 40737433)</w:t>
            </w:r>
          </w:p>
        </w:tc>
        <w:tc>
          <w:tcPr/>
          <w:p>
            <w:pPr>
              <w:pStyle w:val="Compact"/>
              <w:jc w:val="left"/>
            </w:pPr>
            <w:r>
              <w:t xml:space="preserve">12 children with inflammatory syndrome after COVID-19, Phase 2a, RCT</w:t>
            </w:r>
          </w:p>
        </w:tc>
        <w:tc>
          <w:tcPr/>
          <w:p>
            <w:pPr>
              <w:pStyle w:val="Compact"/>
              <w:jc w:val="left"/>
            </w:pPr>
            <w:r>
              <w:t xml:space="preserve">3 weeks</w:t>
            </w:r>
          </w:p>
        </w:tc>
        <w:tc>
          <w:tcPr/>
          <w:p>
            <w:pPr>
              <w:pStyle w:val="Compact"/>
              <w:jc w:val="left"/>
            </w:pPr>
            <w:r>
              <w:t xml:space="preserve">faster resolution of gastrointestinal symptoms; no side effects from larazotide</w:t>
            </w:r>
          </w:p>
        </w:tc>
      </w:tr>
    </w:tbl>
    <w:bookmarkStart w:id="1165" w:name="celiac-disease-phase-2"/>
    <w:p>
      <w:pPr>
        <w:pStyle w:val="Heading4"/>
      </w:pPr>
      <w:r>
        <w:t xml:space="preserve">Celiac disease: Phase 2</w:t>
      </w:r>
    </w:p>
    <w:p>
      <w:pPr>
        <w:pStyle w:val="FirstParagraph"/>
      </w:pPr>
      <w:r>
        <w:t xml:space="preserve">In the two studies with targeted gluten challenge, larazotide was meant to prevent the rise in intestinal permeability. This was measured with a sugar test in urine (lactulose-mannitol ratio). In practice, this test fluctuated so much that no effect could be demonstrated</w:t>
      </w:r>
      <w:r>
        <w:rPr>
          <w:rStyle w:val="FootnoteReference"/>
        </w:rPr>
        <w:footnoteReference w:id="1161"/>
      </w:r>
      <w:r>
        <w:t xml:space="preserve">. An unusual pattern emerged for symptoms: low doses sometimes worked better than high ones. In the study with 184 people, only the 1 mg dose significantly limited gluten-induced symptoms; at the same time, celiac antibodies rose considerably less under all larazotide doses than under placebo</w:t>
      </w:r>
      <w:r>
        <w:rPr>
          <w:rStyle w:val="FootnoteReference"/>
        </w:rPr>
        <w:footnoteReference w:id="1162"/>
      </w:r>
      <w:r>
        <w:t xml:space="preserve">.</w:t>
      </w:r>
    </w:p>
    <w:p>
      <w:pPr>
        <w:pStyle w:val="BodyText"/>
      </w:pPr>
      <w:r>
        <w:t xml:space="preserve">The largest Phase 2 trial, with 342 people who had symptoms despite a gluten-free diet, reached its primary goal only with the lowest dose of 0.5 mg. At this dose, there were 26 percent fewer days with celiac symptoms. The higher doses were not better than placebo on any endpoint; the authors themselves describe the results as</w:t>
      </w:r>
      <w:r>
        <w:t xml:space="preserve"> </w:t>
      </w:r>
      <w:r>
        <w:t xml:space="preserve">“</w:t>
      </w:r>
      <w:r>
        <w:t xml:space="preserve">mixed</w:t>
      </w:r>
      <w:r>
        <w:t xml:space="preserve">”</w:t>
      </w:r>
      <w:r>
        <w:rPr>
          <w:rStyle w:val="FootnoteReference"/>
        </w:rPr>
        <w:footnoteReference w:id="1163"/>
      </w:r>
      <w:r>
        <w:t xml:space="preserve">. A medicine in which only the lowest dose works is pharmacologically unusual and leaves doubt as to whether it is a real effect or chance.</w:t>
      </w:r>
    </w:p>
    <w:p>
      <w:pPr>
        <w:pStyle w:val="BodyText"/>
      </w:pPr>
      <w:r>
        <w:t xml:space="preserve">The meta-analysis found no effect on intestinal permeability, and an improvement in symptoms only under gluten challenge, but not in people on a gluten-free diet – that is, precisely not in the group for which larazotide was intended</w:t>
      </w:r>
      <w:r>
        <w:rPr>
          <w:rStyle w:val="FootnoteReference"/>
        </w:rPr>
        <w:footnoteReference w:id="1164"/>
      </w:r>
      <w:r>
        <w:t xml:space="preserve">.</w:t>
      </w:r>
    </w:p>
    <w:bookmarkEnd w:id="1165"/>
    <w:bookmarkStart w:id="1169" w:name="celiac-disease-the-phase-3-trial-cedlara"/>
    <w:p>
      <w:pPr>
        <w:pStyle w:val="Heading4"/>
      </w:pPr>
      <w:r>
        <w:t xml:space="preserve">Celiac disease: the Phase 3 trial CeDLara</w:t>
      </w:r>
    </w:p>
    <w:p>
      <w:pPr>
        <w:pStyle w:val="FirstParagraph"/>
      </w:pPr>
      <w:r>
        <w:t xml:space="preserve">On the basis of the 0.5 mg results, the Phase 3 trial CeDLara started in 2019 with larazotide in enteric-coated beads</w:t>
      </w:r>
      <w:r>
        <w:rPr>
          <w:rStyle w:val="FootnoteReference"/>
        </w:rPr>
        <w:footnoteReference w:id="1166"/>
      </w:r>
      <w:r>
        <w:t xml:space="preserve">. According to the registry, 307 people were enrolled; the trial was</w:t>
      </w:r>
      <w:r>
        <w:t xml:space="preserve"> </w:t>
      </w:r>
      <w:r>
        <w:t xml:space="preserve">“</w:t>
      </w:r>
      <w:r>
        <w:t xml:space="preserve">terminated by the sponsor</w:t>
      </w:r>
      <w:r>
        <w:t xml:space="preserve">”</w:t>
      </w:r>
      <w:r>
        <w:t xml:space="preserve"> </w:t>
      </w:r>
      <w:r>
        <w:t xml:space="preserve">in July 2022. To the author’s knowledge, the manufacturer at the time, 9 Meters Biopharma, justified the termination by stating that an interim analysis had shown that considerably more participants would have been needed to demonstrate a difference from placebo. There is no scientific publication of the results in PubMed. Reviews note that to date no celiac drug has successfully completed a Phase 3 trial</w:t>
      </w:r>
      <w:r>
        <w:rPr>
          <w:rStyle w:val="FootnoteReference"/>
        </w:rPr>
        <w:footnoteReference w:id="1167"/>
      </w:r>
      <w:r>
        <w:t xml:space="preserve"> </w:t>
      </w:r>
      <w:r>
        <w:t xml:space="preserve">and that no treatment has been shown to be an effective alternative to the gluten-free diet</w:t>
      </w:r>
      <w:r>
        <w:rPr>
          <w:rStyle w:val="FootnoteReference"/>
        </w:rPr>
        <w:footnoteReference w:id="1168"/>
      </w:r>
      <w:r>
        <w:t xml:space="preserve">.</w:t>
      </w:r>
    </w:p>
    <w:bookmarkEnd w:id="1169"/>
    <w:bookmarkStart w:id="1174" w:name="X9e8c5d336452a560cbecd8b457fff0d74d080b8"/>
    <w:p>
      <w:pPr>
        <w:pStyle w:val="Heading4"/>
      </w:pPr>
      <w:r>
        <w:t xml:space="preserve">New application: inflammatory syndrome after COVID-19</w:t>
      </w:r>
    </w:p>
    <w:p>
      <w:pPr>
        <w:pStyle w:val="FirstParagraph"/>
      </w:pPr>
      <w:r>
        <w:t xml:space="preserve">One research group suspects that in multisystem inflammatory syndrome in children (MIS-C) after COVID-19, viral components pass from the gut into the blood. In a first case series with four children, the viral protein disappeared from the blood on larazotide, and gastrointestinal symptoms resolved faster than in 22 comparison children</w:t>
      </w:r>
      <w:r>
        <w:rPr>
          <w:rStyle w:val="FootnoteReference"/>
        </w:rPr>
        <w:footnoteReference w:id="1170"/>
      </w:r>
      <w:r>
        <w:t xml:space="preserve">. A randomized Phase 2a trial with only 12 children confirmed faster improvement of symptoms; no side effects from larazotide were observed</w:t>
      </w:r>
      <w:r>
        <w:rPr>
          <w:rStyle w:val="FootnoteReference"/>
        </w:rPr>
        <w:footnoteReference w:id="1171"/>
      </w:r>
      <w:r>
        <w:t xml:space="preserve">. The trial was stopped because of declining case numbers</w:t>
      </w:r>
      <w:r>
        <w:rPr>
          <w:rStyle w:val="FootnoteReference"/>
        </w:rPr>
        <w:footnoteReference w:id="1172"/>
      </w:r>
      <w:r>
        <w:t xml:space="preserve">. A trial in long COVID with 107 children and adults has been completed since June 2026 according to the registry</w:t>
      </w:r>
      <w:r>
        <w:rPr>
          <w:rStyle w:val="FootnoteReference"/>
        </w:rPr>
        <w:footnoteReference w:id="1173"/>
      </w:r>
      <w:r>
        <w:t xml:space="preserve">; results had not been published as of October 2026.</w:t>
      </w:r>
    </w:p>
    <w:bookmarkEnd w:id="1174"/>
    <w:bookmarkEnd w:id="1175"/>
    <w:bookmarkStart w:id="1179" w:name="animal-and-laboratory-studies-21"/>
    <w:p>
      <w:pPr>
        <w:pStyle w:val="Heading3"/>
      </w:pPr>
      <w:r>
        <w:t xml:space="preserve">Animal and laboratory studies</w:t>
      </w:r>
    </w:p>
    <w:p>
      <w:pPr>
        <w:pStyle w:val="FirstParagraph"/>
      </w:pPr>
      <w:r>
        <w:t xml:space="preserve">Besides celiac disease, larazotide has been tested in animal models of other diseases with an impaired intestinal barrier. In mice prone to joint inflammation, larazotide reduced the onset of arthritis</w:t>
      </w:r>
      <w:r>
        <w:rPr>
          <w:rStyle w:val="FootnoteReference"/>
        </w:rPr>
        <w:footnoteReference w:id="1176"/>
      </w:r>
      <w:r>
        <w:t xml:space="preserve">. In pigs, it promoted the recovery of small intestinal tissue after impaired blood flow</w:t>
      </w:r>
      <w:r>
        <w:rPr>
          <w:rStyle w:val="FootnoteReference"/>
        </w:rPr>
        <w:footnoteReference w:id="1177"/>
      </w:r>
      <w:r>
        <w:t xml:space="preserve">. In rats, effects in acute pancreatitis and acute liver failure have been described</w:t>
      </w:r>
      <w:r>
        <w:rPr>
          <w:rStyle w:val="FootnoteReference"/>
        </w:rPr>
        <w:footnoteReference w:id="1178"/>
      </w:r>
      <w:r>
        <w:t xml:space="preserve">. These are animal experiments; no conclusions about rheumatism, the pancreas or the liver in humans can be drawn from them.</w:t>
      </w:r>
    </w:p>
    <w:bookmarkEnd w:id="1179"/>
    <w:bookmarkStart w:id="1185" w:name="risks-and-side-effects-21"/>
    <w:p>
      <w:pPr>
        <w:pStyle w:val="Heading3"/>
      </w:pPr>
      <w:r>
        <w:t xml:space="preserve">Risks and side effects</w:t>
      </w:r>
    </w:p>
    <w:bookmarkStart w:id="1183" w:name="documented-5"/>
    <w:p>
      <w:pPr>
        <w:pStyle w:val="Heading4"/>
      </w:pPr>
      <w:r>
        <w:t xml:space="preserve">Documented</w:t>
      </w:r>
    </w:p>
    <w:p>
      <w:pPr>
        <w:pStyle w:val="FirstParagraph"/>
      </w:pPr>
      <w:r>
        <w:t xml:space="preserve">Larazotide was well tolerated in all studies. In the study with 86 people, no serious side effects occurred; the most common were headache and urinary tract infections</w:t>
      </w:r>
      <w:r>
        <w:rPr>
          <w:rStyle w:val="FootnoteReference"/>
        </w:rPr>
        <w:footnoteReference w:id="1180"/>
      </w:r>
      <w:r>
        <w:t xml:space="preserve">. In the largest Phase 2 trial, safety was comparable with placebo</w:t>
      </w:r>
      <w:r>
        <w:rPr>
          <w:rStyle w:val="FootnoteReference"/>
        </w:rPr>
        <w:footnoteReference w:id="1181"/>
      </w:r>
      <w:r>
        <w:t xml:space="preserve">. Overall, the meta-analysis found no excess of side effects compared with placebo</w:t>
      </w:r>
      <w:r>
        <w:rPr>
          <w:rStyle w:val="FootnoteReference"/>
        </w:rPr>
        <w:footnoteReference w:id="1182"/>
      </w:r>
      <w:r>
        <w:t xml:space="preserve">. Since larazotide hardly enters the blood, a favorable safety profile is plausible.</w:t>
      </w:r>
    </w:p>
    <w:bookmarkEnd w:id="1183"/>
    <w:bookmarkStart w:id="1184" w:name="points-to-note-1"/>
    <w:p>
      <w:pPr>
        <w:pStyle w:val="Heading4"/>
      </w:pPr>
      <w:r>
        <w:t xml:space="preserve">Points to note</w:t>
      </w:r>
    </w:p>
    <w:p>
      <w:pPr>
        <w:numPr>
          <w:ilvl w:val="0"/>
          <w:numId w:val="1139"/>
        </w:numPr>
        <w:pStyle w:val="Compact"/>
      </w:pPr>
      <w:r>
        <w:rPr>
          <w:bCs/>
          <w:b/>
        </w:rPr>
        <w:t xml:space="preserve">No alternative to the diet:</w:t>
      </w:r>
      <w:r>
        <w:t xml:space="preserve"> </w:t>
      </w:r>
      <w:r>
        <w:t xml:space="preserve">Even in the positive studies, larazotide did not protect against damage from larger amounts of gluten. Anyone who relaxes their gluten-free diet because of such an agent risks intestinal damage.</w:t>
      </w:r>
    </w:p>
    <w:p>
      <w:pPr>
        <w:numPr>
          <w:ilvl w:val="0"/>
          <w:numId w:val="1139"/>
        </w:numPr>
        <w:pStyle w:val="Compact"/>
      </w:pPr>
      <w:r>
        <w:rPr>
          <w:bCs/>
          <w:b/>
        </w:rPr>
        <w:t xml:space="preserve">Gray market:</w:t>
      </w:r>
      <w:r>
        <w:t xml:space="preserve"> </w:t>
      </w:r>
      <w:r>
        <w:t xml:space="preserve">Larazotide is occasionally offered as a</w:t>
      </w:r>
      <w:r>
        <w:t xml:space="preserve"> </w:t>
      </w:r>
      <w:r>
        <w:t xml:space="preserve">“</w:t>
      </w:r>
      <w:r>
        <w:t xml:space="preserve">leaky gut peptide.</w:t>
      </w:r>
      <w:r>
        <w:t xml:space="preserve">”</w:t>
      </w:r>
      <w:r>
        <w:t xml:space="preserve"> </w:t>
      </w:r>
      <w:r>
        <w:t xml:space="preserve">The studies used a special enteric-coated formulation; whether freely sold products deliver the active substance to the site of action at all is unknown. There are no studies with larazotide for the concept of</w:t>
      </w:r>
      <w:r>
        <w:t xml:space="preserve"> </w:t>
      </w:r>
      <w:r>
        <w:t xml:space="preserve">“</w:t>
      </w:r>
      <w:r>
        <w:t xml:space="preserve">leaky gut</w:t>
      </w:r>
      <w:r>
        <w:t xml:space="preserve">”</w:t>
      </w:r>
      <w:r>
        <w:t xml:space="preserve"> </w:t>
      </w:r>
      <w:r>
        <w:t xml:space="preserve">without celiac disease.</w:t>
      </w:r>
    </w:p>
    <w:bookmarkEnd w:id="1184"/>
    <w:bookmarkEnd w:id="1185"/>
    <w:bookmarkStart w:id="1186" w:name="legal-status-21"/>
    <w:p>
      <w:pPr>
        <w:pStyle w:val="Heading3"/>
      </w:pPr>
      <w:r>
        <w:t xml:space="preserve">Legal status</w:t>
      </w:r>
    </w:p>
    <w:p>
      <w:pPr>
        <w:pStyle w:val="FirstParagraph"/>
      </w:pPr>
      <w:r>
        <w:rPr>
          <w:iCs/>
          <w:i/>
        </w:rPr>
        <w:t xml:space="preserve">As of 2026, please check for updates.</w:t>
      </w:r>
    </w:p>
    <w:p>
      <w:pPr>
        <w:numPr>
          <w:ilvl w:val="0"/>
          <w:numId w:val="1140"/>
        </w:numPr>
        <w:pStyle w:val="Compact"/>
      </w:pPr>
      <w:r>
        <w:rPr>
          <w:bCs/>
          <w:b/>
        </w:rPr>
        <w:t xml:space="preserve">EU, Germany, Austria:</w:t>
      </w:r>
      <w:r>
        <w:t xml:space="preserve"> </w:t>
      </w:r>
      <w:r>
        <w:t xml:space="preserve">not approved.</w:t>
      </w:r>
    </w:p>
    <w:p>
      <w:pPr>
        <w:numPr>
          <w:ilvl w:val="0"/>
          <w:numId w:val="1140"/>
        </w:numPr>
        <w:pStyle w:val="Compact"/>
      </w:pPr>
      <w:r>
        <w:rPr>
          <w:bCs/>
          <w:b/>
        </w:rPr>
        <w:t xml:space="preserve">USA:</w:t>
      </w:r>
      <w:r>
        <w:t xml:space="preserve"> </w:t>
      </w:r>
      <w:r>
        <w:t xml:space="preserve">not approved. To the author’s knowledge, the developer had received an accelerated review designation (</w:t>
      </w:r>
      <w:r>
        <w:t xml:space="preserve">“</w:t>
      </w:r>
      <w:r>
        <w:t xml:space="preserve">Fast Track</w:t>
      </w:r>
      <w:r>
        <w:t xml:space="preserve">”</w:t>
      </w:r>
      <w:r>
        <w:t xml:space="preserve">) from the FDA for celiac disease; after the Phase 3 trial was stopped, no application for approval was submitted.</w:t>
      </w:r>
    </w:p>
    <w:p>
      <w:pPr>
        <w:numPr>
          <w:ilvl w:val="0"/>
          <w:numId w:val="1140"/>
        </w:numPr>
        <w:pStyle w:val="Compact"/>
      </w:pPr>
      <w:r>
        <w:rPr>
          <w:bCs/>
          <w:b/>
        </w:rPr>
        <w:t xml:space="preserve">WADA:</w:t>
      </w:r>
      <w:r>
        <w:t xml:space="preserve"> </w:t>
      </w:r>
      <w:r>
        <w:t xml:space="preserve">not listed.</w:t>
      </w:r>
    </w:p>
    <w:bookmarkEnd w:id="1186"/>
    <w:bookmarkStart w:id="1189" w:name="ongoing-studies-and-outlook-21"/>
    <w:p>
      <w:pPr>
        <w:pStyle w:val="Heading3"/>
      </w:pPr>
      <w:r>
        <w:t xml:space="preserve">Ongoing studies and outlook</w:t>
      </w:r>
    </w:p>
    <w:p>
      <w:pPr>
        <w:pStyle w:val="FirstParagraph"/>
      </w:pPr>
      <w:r>
        <w:rPr>
          <w:bCs/>
          <w:b/>
        </w:rPr>
        <w:t xml:space="preserve">Confirmed:</w:t>
      </w:r>
      <w:r>
        <w:t xml:space="preserve"> </w:t>
      </w:r>
      <w:r>
        <w:t xml:space="preserve">As of October 2026, no ongoing trial with larazotide is registered on ClinicalTrials.gov. The long COVID trial</w:t>
      </w:r>
      <w:r>
        <w:rPr>
          <w:rStyle w:val="FootnoteReference"/>
        </w:rPr>
        <w:footnoteReference w:id="1187"/>
      </w:r>
      <w:r>
        <w:t xml:space="preserve"> </w:t>
      </w:r>
      <w:r>
        <w:t xml:space="preserve">has been completed; results are pending.</w:t>
      </w:r>
    </w:p>
    <w:p>
      <w:pPr>
        <w:pStyle w:val="BodyText"/>
      </w:pPr>
      <w:r>
        <w:rPr>
          <w:bCs/>
          <w:b/>
        </w:rPr>
        <w:t xml:space="preserve">Author’s assessment:</w:t>
      </w:r>
      <w:r>
        <w:t xml:space="preserve"> </w:t>
      </w:r>
      <w:r>
        <w:t xml:space="preserve">For celiac disease, larazotide is unlikely to have a future after the termination of CeDLara unless a new developer takes over the rights. Other approaches – gluten-degrading enzymes, transglutaminase 2 inhibitors or methods for immune tolerance – are currently considered more promising</w:t>
      </w:r>
      <w:r>
        <w:rPr>
          <w:rStyle w:val="FootnoteReference"/>
        </w:rPr>
        <w:footnoteReference w:id="1188"/>
      </w:r>
      <w:r>
        <w:t xml:space="preserve">. In MIS-C and long COVID, further development depends on the as yet unpublished results.</w:t>
      </w:r>
    </w:p>
    <w:bookmarkEnd w:id="1189"/>
    <w:bookmarkStart w:id="1191" w:name="conclusion-21"/>
    <w:p>
      <w:pPr>
        <w:pStyle w:val="Heading3"/>
      </w:pPr>
      <w:r>
        <w:t xml:space="preserve">Conclusion</w:t>
      </w:r>
    </w:p>
    <w:p>
      <w:pPr>
        <w:pStyle w:val="FirstParagraph"/>
      </w:pPr>
      <w:r>
        <w:t xml:space="preserve">Larazotide is a peptide of eight amino acids intended to seal the connections between gut cells, and was the first agent against celiac disease to reach a Phase 3 trial. In the Phase 2 trials, the results were mixed: no effect on intestinal permeability could be demonstrated, and for symptoms despite diet, only the lowest dose worked</w:t>
      </w:r>
      <w:r>
        <w:rPr>
          <w:rStyle w:val="FootnoteReference"/>
        </w:rPr>
        <w:footnoteReference w:id="1190"/>
      </w:r>
      <w:r>
        <w:t xml:space="preserve">. The Phase 3 trial CeDLara was stopped in 2022, and results were not published. Larazotide is well tolerated, but neither approved nor proven effective – and no substitute for the gluten-free diet.</w:t>
      </w:r>
    </w:p>
    <w:bookmarkEnd w:id="1191"/>
    <w:bookmarkEnd w:id="1192"/>
    <w:bookmarkStart w:id="1221" w:name="thymalin-and-thymogen"/>
    <w:p>
      <w:pPr>
        <w:pStyle w:val="Heading2"/>
      </w:pPr>
      <w:r>
        <w:t xml:space="preserve">Thymalin and Thymogen</w:t>
      </w:r>
    </w:p>
    <w:p>
      <w:pPr>
        <w:pStyle w:val="FirstParagraph"/>
      </w:pPr>
      <w:r>
        <w:t xml:space="preserve">Thymalin is an extract from the thymus gland of calves; Thymogen is a synthetic dipeptide derived from it. Both originate from Soviet military medicine of the 1970s and 1980s and are still on the market as medicines in Russia today. In Western longevity circles, they are marketed as</w:t>
      </w:r>
      <w:r>
        <w:t xml:space="preserve"> </w:t>
      </w:r>
      <w:r>
        <w:t xml:space="preserve">“</w:t>
      </w:r>
      <w:r>
        <w:t xml:space="preserve">bioregulators</w:t>
      </w:r>
      <w:r>
        <w:t xml:space="preserve">”</w:t>
      </w:r>
      <w:r>
        <w:t xml:space="preserve"> </w:t>
      </w:r>
      <w:r>
        <w:t xml:space="preserve">intended to</w:t>
      </w:r>
      <w:r>
        <w:t xml:space="preserve"> </w:t>
      </w:r>
      <w:r>
        <w:t xml:space="preserve">“</w:t>
      </w:r>
      <w:r>
        <w:t xml:space="preserve">rejuvenate</w:t>
      </w:r>
      <w:r>
        <w:t xml:space="preserve">”</w:t>
      </w:r>
      <w:r>
        <w:t xml:space="preserve"> </w:t>
      </w:r>
      <w:r>
        <w:t xml:space="preserve">the immune system and extend life. The basis for these promises is almost exclusively the research of a single school around the St. Petersburg gerontologist Vladimir Khavinson. This chapter puts this research into perspective – and explains why its results should be read with great caution.</w:t>
      </w:r>
    </w:p>
    <w:bookmarkStart w:id="1196" w:name="profile-22"/>
    <w:p>
      <w:pPr>
        <w:pStyle w:val="Heading3"/>
      </w:pPr>
      <w:r>
        <w:t xml:space="preserve">Profile</w:t>
      </w:r>
    </w:p>
    <w:p>
      <w:pPr>
        <w:numPr>
          <w:ilvl w:val="0"/>
          <w:numId w:val="1141"/>
        </w:numPr>
        <w:pStyle w:val="Compact"/>
      </w:pPr>
      <w:r>
        <w:rPr>
          <w:bCs/>
          <w:b/>
        </w:rPr>
        <w:t xml:space="preserve">Thymalin:</w:t>
      </w:r>
      <w:r>
        <w:t xml:space="preserve"> </w:t>
      </w:r>
      <w:r>
        <w:t xml:space="preserve">mixture of peptides obtained by acid extraction from the thymus of calves</w:t>
      </w:r>
      <w:r>
        <w:rPr>
          <w:rStyle w:val="FootnoteReference"/>
        </w:rPr>
        <w:footnoteReference w:id="1193"/>
      </w:r>
      <w:r>
        <w:t xml:space="preserve">; not a uniformly defined substance. The dipeptides Lys-Glu (KE) and Glu-Trp (EW) are named as the most important active components</w:t>
      </w:r>
      <w:r>
        <w:rPr>
          <w:rStyle w:val="FootnoteReference"/>
        </w:rPr>
        <w:footnoteReference w:id="1194"/>
      </w:r>
      <w:r>
        <w:t xml:space="preserve">.</w:t>
      </w:r>
    </w:p>
    <w:p>
      <w:pPr>
        <w:numPr>
          <w:ilvl w:val="0"/>
          <w:numId w:val="1141"/>
        </w:numPr>
        <w:pStyle w:val="Compact"/>
      </w:pPr>
      <w:r>
        <w:rPr>
          <w:bCs/>
          <w:b/>
        </w:rPr>
        <w:t xml:space="preserve">Thymogen:</w:t>
      </w:r>
      <w:r>
        <w:t xml:space="preserve"> </w:t>
      </w:r>
      <w:r>
        <w:t xml:space="preserve">synthetically manufactured dipeptide L-Glu-L-Trp, isolated from thymalin</w:t>
      </w:r>
      <w:r>
        <w:rPr>
          <w:rStyle w:val="FootnoteReference"/>
        </w:rPr>
        <w:footnoteReference w:id="1195"/>
      </w:r>
      <w:r>
        <w:t xml:space="preserve">; also available as a nasal spray in Russia.</w:t>
      </w:r>
    </w:p>
    <w:p>
      <w:pPr>
        <w:numPr>
          <w:ilvl w:val="0"/>
          <w:numId w:val="1141"/>
        </w:numPr>
        <w:pStyle w:val="Compact"/>
      </w:pPr>
      <w:r>
        <w:rPr>
          <w:bCs/>
          <w:b/>
        </w:rPr>
        <w:t xml:space="preserve">Mechanism of action (claimed):</w:t>
      </w:r>
      <w:r>
        <w:t xml:space="preserve"> </w:t>
      </w:r>
      <w:r>
        <w:t xml:space="preserve">stimulation of T-cell maturation,</w:t>
      </w:r>
      <w:r>
        <w:t xml:space="preserve"> </w:t>
      </w:r>
      <w:r>
        <w:t xml:space="preserve">“</w:t>
      </w:r>
      <w:r>
        <w:t xml:space="preserve">normalization</w:t>
      </w:r>
      <w:r>
        <w:t xml:space="preserve">”</w:t>
      </w:r>
      <w:r>
        <w:t xml:space="preserve"> </w:t>
      </w:r>
      <w:r>
        <w:t xml:space="preserve">of immune function and blood clotting; according to Khavinson’s theory, short peptides act as</w:t>
      </w:r>
      <w:r>
        <w:t xml:space="preserve"> </w:t>
      </w:r>
      <w:r>
        <w:t xml:space="preserve">“</w:t>
      </w:r>
      <w:r>
        <w:t xml:space="preserve">bioregulators</w:t>
      </w:r>
      <w:r>
        <w:t xml:space="preserve">”</w:t>
      </w:r>
      <w:r>
        <w:t xml:space="preserve"> </w:t>
      </w:r>
      <w:r>
        <w:t xml:space="preserve">directly on gene activity.</w:t>
      </w:r>
    </w:p>
    <w:p>
      <w:pPr>
        <w:numPr>
          <w:ilvl w:val="0"/>
          <w:numId w:val="1141"/>
        </w:numPr>
        <w:pStyle w:val="Compact"/>
      </w:pPr>
      <w:r>
        <w:rPr>
          <w:bCs/>
          <w:b/>
        </w:rPr>
        <w:t xml:space="preserve">Approval:</w:t>
      </w:r>
      <w:r>
        <w:t xml:space="preserve"> </w:t>
      </w:r>
      <w:r>
        <w:t xml:space="preserve">approved as medicines in Russia and some successor states of the Soviet Union;</w:t>
      </w:r>
      <w:r>
        <w:t xml:space="preserve"> </w:t>
      </w:r>
      <w:r>
        <w:rPr>
          <w:bCs/>
          <w:b/>
        </w:rPr>
        <w:t xml:space="preserve">EU and USA:</w:t>
      </w:r>
      <w:r>
        <w:t xml:space="preserve"> </w:t>
      </w:r>
      <w:r>
        <w:t xml:space="preserve">no.</w:t>
      </w:r>
    </w:p>
    <w:p>
      <w:pPr>
        <w:numPr>
          <w:ilvl w:val="0"/>
          <w:numId w:val="1141"/>
        </w:numPr>
        <w:pStyle w:val="Compact"/>
      </w:pPr>
      <w:r>
        <w:rPr>
          <w:bCs/>
          <w:b/>
        </w:rPr>
        <w:t xml:space="preserve">WADA:</w:t>
      </w:r>
      <w:r>
        <w:t xml:space="preserve"> </w:t>
      </w:r>
      <w:r>
        <w:t xml:space="preserve">not explicitly listed.</w:t>
      </w:r>
    </w:p>
    <w:p>
      <w:pPr>
        <w:numPr>
          <w:ilvl w:val="0"/>
          <w:numId w:val="1141"/>
        </w:numPr>
        <w:pStyle w:val="Compact"/>
      </w:pPr>
      <w:r>
        <w:rPr>
          <w:bCs/>
          <w:b/>
        </w:rPr>
        <w:t xml:space="preserve">Evidence level: C</w:t>
      </w:r>
      <w:r>
        <w:t xml:space="preserve"> </w:t>
      </w:r>
      <w:r>
        <w:t xml:space="preserve">– predominantly small, open-label or inadequately described studies; only a single study in PubMed described as randomized and placebo-controlled.</w:t>
      </w:r>
    </w:p>
    <w:bookmarkEnd w:id="1196"/>
    <w:bookmarkStart w:id="1200" w:name="how-it-is-supposed-to-work-22"/>
    <w:p>
      <w:pPr>
        <w:pStyle w:val="Heading3"/>
      </w:pPr>
      <w:r>
        <w:t xml:space="preserve">How it is supposed to work</w:t>
      </w:r>
    </w:p>
    <w:p>
      <w:pPr>
        <w:pStyle w:val="FirstParagraph"/>
      </w:pPr>
      <w:r>
        <w:t xml:space="preserve">The idea follows the same logic as with thymosin alpha-1 (see there): the thymus trains T cells and shrinks with age, so thymic messengers should strengthen the body’s defenses. However, while thymosin alpha-1 is a precisely defined peptide with a known sequence, thymalin is a mixture of many components of animal origin.</w:t>
      </w:r>
    </w:p>
    <w:p>
      <w:pPr>
        <w:pStyle w:val="BodyText"/>
      </w:pPr>
      <w:r>
        <w:t xml:space="preserve">From this mixture, the researchers isolated the dipeptide Glu-Trp and brought it to market synthetically as Thymogen. It is said to promote T-cell differentiation and antigen recognition and to activate phagocytes</w:t>
      </w:r>
      <w:r>
        <w:rPr>
          <w:rStyle w:val="FootnoteReference"/>
        </w:rPr>
        <w:footnoteReference w:id="1197"/>
      </w:r>
      <w:r>
        <w:t xml:space="preserve">.</w:t>
      </w:r>
    </w:p>
    <w:p>
      <w:pPr>
        <w:pStyle w:val="BodyText"/>
      </w:pPr>
      <w:r>
        <w:t xml:space="preserve">Khavinson developed a more comprehensive theory from this: short peptides from various organs are said to act in a tissue-specific way and</w:t>
      </w:r>
      <w:r>
        <w:t xml:space="preserve"> </w:t>
      </w:r>
      <w:r>
        <w:t xml:space="preserve">“</w:t>
      </w:r>
      <w:r>
        <w:t xml:space="preserve">regulate</w:t>
      </w:r>
      <w:r>
        <w:t xml:space="preserve">”</w:t>
      </w:r>
      <w:r>
        <w:t xml:space="preserve"> </w:t>
      </w:r>
      <w:r>
        <w:t xml:space="preserve">gene activity – peptides from the pineal gland for the pineal gland, from the thymus for the immune system and so on</w:t>
      </w:r>
      <w:r>
        <w:rPr>
          <w:rStyle w:val="FootnoteReference"/>
        </w:rPr>
        <w:footnoteReference w:id="1198"/>
      </w:r>
      <w:r>
        <w:t xml:space="preserve">. Epitalon, which is dealt with in Part II · D, also comes from this school. This theory has hardly been tested outside the research group and does not correspond to the general understanding of how peptide messengers act – namely, as a rule, via receptors on the cell surface. Newer work by the group bases the mechanism mainly on computer simulations of binding to genetic material and on cell cultures</w:t>
      </w:r>
      <w:r>
        <w:rPr>
          <w:rStyle w:val="FootnoteReference"/>
        </w:rPr>
        <w:footnoteReference w:id="1199"/>
      </w:r>
      <w:r>
        <w:t xml:space="preserve">.</w:t>
      </w:r>
    </w:p>
    <w:bookmarkEnd w:id="1200"/>
    <w:bookmarkStart w:id="1209" w:name="human-studies-22"/>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found</w:t>
      </w:r>
      <w:r>
        <w:t xml:space="preserve"> </w:t>
      </w:r>
      <w:r>
        <w:rPr>
          <w:bCs/>
          <w:b/>
        </w:rPr>
        <w:t xml:space="preserve">17</w:t>
      </w:r>
      <w:r>
        <w:t xml:space="preserve"> </w:t>
      </w:r>
      <w:r>
        <w:t xml:space="preserve">human studies in PubMed and</w:t>
      </w:r>
      <w:r>
        <w:t xml:space="preserve"> </w:t>
      </w:r>
      <w:r>
        <w:rPr>
          <w:bCs/>
          <w:b/>
        </w:rPr>
        <w:t xml:space="preserve">0</w:t>
      </w:r>
      <w:r>
        <w:t xml:space="preserve"> </w:t>
      </w:r>
      <w:r>
        <w:t xml:space="preserve">entries on ClinicalTrials.gov. In total, PubMed lists around 290 publications on thymalin or Thymogen; of these, about 250 are in Russian, and only a single one mentions</w:t>
      </w:r>
      <w:r>
        <w:t xml:space="preserve"> </w:t>
      </w:r>
      <w:r>
        <w:t xml:space="preserve">“</w:t>
      </w:r>
      <w:r>
        <w:t xml:space="preserve">randomized</w:t>
      </w:r>
      <w:r>
        <w:t xml:space="preserve">”</w:t>
      </w:r>
      <w:r>
        <w:t xml:space="preserve"> </w:t>
      </w:r>
      <w:r>
        <w:t xml:space="preserve">or</w:t>
      </w:r>
      <w:r>
        <w:t xml:space="preserve"> </w:t>
      </w:r>
      <w:r>
        <w:t xml:space="preserve">“</w:t>
      </w:r>
      <w:r>
        <w:t xml:space="preserve">placebo</w:t>
      </w:r>
      <w:r>
        <w:t xml:space="preserve">”</w:t>
      </w:r>
      <w:r>
        <w:t xml:space="preserve"> </w:t>
      </w:r>
      <w:r>
        <w:t xml:space="preserve">in the title or abstract. For most of the human studies, PubMed contains only a short Russian or Ukrainian abstract, often without information on the number of participants, the control group or blinding.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w:t>
            </w:r>
            <w:r>
              <w:t xml:space="preserve">Extension of life</w:t>
            </w:r>
            <w:r>
              <w:t xml:space="preserve">”</w:t>
            </w:r>
            <w:r>
              <w:t xml:space="preserve"> </w:t>
            </w:r>
            <w:r>
              <w:t xml:space="preserve">(Khavinson 2003, PMID 14523363)</w:t>
            </w:r>
          </w:p>
        </w:tc>
        <w:tc>
          <w:tcPr/>
          <w:p>
            <w:pPr>
              <w:pStyle w:val="Compact"/>
              <w:jc w:val="left"/>
            </w:pPr>
            <w:r>
              <w:t xml:space="preserve">266 older people, thymalin and/or epithalamin vs. control; allocation and blinding not described</w:t>
            </w:r>
          </w:p>
        </w:tc>
        <w:tc>
          <w:tcPr/>
          <w:p>
            <w:pPr>
              <w:pStyle w:val="Compact"/>
              <w:jc w:val="left"/>
            </w:pPr>
            <w:r>
              <w:t xml:space="preserve">6–8 years of observation</w:t>
            </w:r>
          </w:p>
        </w:tc>
        <w:tc>
          <w:tcPr/>
          <w:p>
            <w:pPr>
              <w:pStyle w:val="Compact"/>
              <w:jc w:val="left"/>
            </w:pPr>
            <w:r>
              <w:t xml:space="preserve">mortality in the thymalin group 2.0- to 2.1-fold lower than in the control</w:t>
            </w:r>
          </w:p>
        </w:tc>
      </w:tr>
      <w:tr>
        <w:tc>
          <w:tcPr/>
          <w:p>
            <w:pPr>
              <w:pStyle w:val="Compact"/>
              <w:jc w:val="left"/>
            </w:pPr>
            <w:r>
              <w:t xml:space="preserve">Before abdominal surgery (Smirnov 2011, PMID 21957588)</w:t>
            </w:r>
          </w:p>
        </w:tc>
        <w:tc>
          <w:tcPr/>
          <w:p>
            <w:pPr>
              <w:pStyle w:val="Compact"/>
              <w:jc w:val="left"/>
            </w:pPr>
            <w:r>
              <w:t xml:space="preserve">older people with abdominal tumors, double-blind RCT vs. placebo, Thymogen as nasal drops; number of participants not stated in the abstract</w:t>
            </w:r>
          </w:p>
        </w:tc>
        <w:tc>
          <w:tcPr/>
          <w:p>
            <w:pPr>
              <w:pStyle w:val="Compact"/>
              <w:jc w:val="left"/>
            </w:pPr>
            <w:r>
              <w:t xml:space="preserve">7 days before surgery</w:t>
            </w:r>
          </w:p>
        </w:tc>
        <w:tc>
          <w:tcPr/>
          <w:p>
            <w:pPr>
              <w:pStyle w:val="Compact"/>
              <w:jc w:val="left"/>
            </w:pPr>
            <w:r>
              <w:t xml:space="preserve">fewer complications after surgery</w:t>
            </w:r>
          </w:p>
        </w:tc>
      </w:tr>
      <w:tr>
        <w:tc>
          <w:tcPr/>
          <w:p>
            <w:pPr>
              <w:pStyle w:val="Compact"/>
              <w:jc w:val="left"/>
            </w:pPr>
            <w:r>
              <w:t xml:space="preserve">Severe COVID-19 (Kuznik 2022, PMID 36169363)</w:t>
            </w:r>
          </w:p>
        </w:tc>
        <w:tc>
          <w:tcPr/>
          <w:p>
            <w:pPr>
              <w:pStyle w:val="Compact"/>
              <w:jc w:val="left"/>
            </w:pPr>
            <w:r>
              <w:t xml:space="preserve">three groups: standard therapy, plus tocilizumab, plus thymalin; allocation not described</w:t>
            </w:r>
          </w:p>
        </w:tc>
        <w:tc>
          <w:tcPr/>
          <w:p>
            <w:pPr>
              <w:pStyle w:val="Compact"/>
              <w:jc w:val="left"/>
            </w:pPr>
            <w:r>
              <w:t xml:space="preserve">hospital stay</w:t>
            </w:r>
          </w:p>
        </w:tc>
        <w:tc>
          <w:tcPr/>
          <w:p>
            <w:pPr>
              <w:pStyle w:val="Compact"/>
              <w:jc w:val="left"/>
            </w:pPr>
            <w:r>
              <w:t xml:space="preserve">in-hospital mortality 40.9%, 28.4% and 20.6%</w:t>
            </w:r>
          </w:p>
        </w:tc>
      </w:tr>
      <w:tr>
        <w:tc>
          <w:tcPr/>
          <w:p>
            <w:pPr>
              <w:pStyle w:val="Compact"/>
              <w:jc w:val="left"/>
            </w:pPr>
            <w:r>
              <w:t xml:space="preserve">Treatment-resistant schizophrenia (Govorin 1990, PMID 2163147)</w:t>
            </w:r>
          </w:p>
        </w:tc>
        <w:tc>
          <w:tcPr/>
          <w:p>
            <w:pPr>
              <w:pStyle w:val="Compact"/>
              <w:jc w:val="left"/>
            </w:pPr>
            <w:r>
              <w:t xml:space="preserve">36 people, no control group</w:t>
            </w:r>
          </w:p>
        </w:tc>
        <w:tc>
          <w:tcPr/>
          <w:p>
            <w:pPr>
              <w:pStyle w:val="Compact"/>
              <w:jc w:val="left"/>
            </w:pPr>
            <w:r>
              <w:t xml:space="preserve">not stated</w:t>
            </w:r>
          </w:p>
        </w:tc>
        <w:tc>
          <w:tcPr/>
          <w:p>
            <w:pPr>
              <w:pStyle w:val="Compact"/>
              <w:jc w:val="left"/>
            </w:pPr>
            <w:r>
              <w:t xml:space="preserve">improvement in psychiatric symptoms reported</w:t>
            </w:r>
          </w:p>
        </w:tc>
      </w:tr>
      <w:tr>
        <w:tc>
          <w:tcPr/>
          <w:p>
            <w:pPr>
              <w:pStyle w:val="Compact"/>
              <w:jc w:val="left"/>
            </w:pPr>
            <w:r>
              <w:t xml:space="preserve">Parkinson’s disease (Musienko 1999, PMID 10424021)</w:t>
            </w:r>
          </w:p>
        </w:tc>
        <w:tc>
          <w:tcPr/>
          <w:p>
            <w:pPr>
              <w:pStyle w:val="Compact"/>
              <w:jc w:val="left"/>
            </w:pPr>
            <w:r>
              <w:t xml:space="preserve">15 people, no control group</w:t>
            </w:r>
          </w:p>
        </w:tc>
        <w:tc>
          <w:tcPr/>
          <w:p>
            <w:pPr>
              <w:pStyle w:val="Compact"/>
              <w:jc w:val="left"/>
            </w:pPr>
            <w:r>
              <w:t xml:space="preserve">one course of treatment</w:t>
            </w:r>
          </w:p>
        </w:tc>
        <w:tc>
          <w:tcPr/>
          <w:p>
            <w:pPr>
              <w:pStyle w:val="Compact"/>
              <w:jc w:val="left"/>
            </w:pPr>
            <w:r>
              <w:t xml:space="preserve">improvement in well-being and symptoms reported</w:t>
            </w:r>
          </w:p>
        </w:tc>
      </w:tr>
    </w:tbl>
    <w:bookmarkStart w:id="1202" w:name="the-long-term-study-on-life-extension"/>
    <w:p>
      <w:pPr>
        <w:pStyle w:val="Heading4"/>
      </w:pPr>
      <w:r>
        <w:t xml:space="preserve">The long-term study on life extension</w:t>
      </w:r>
    </w:p>
    <w:p>
      <w:pPr>
        <w:pStyle w:val="FirstParagraph"/>
      </w:pPr>
      <w:r>
        <w:t xml:space="preserve">The best-known paper is at the same time the most problematic. Over six to eight years, 266 older people in St. Petersburg and Kyiv were observed, some of whom received thymalin, epithalamin or both during the first two to three years. A 2.0- to 2.1-fold lower mortality on thymalin and a 4.1-fold lower mortality with annual combination treatment over six years are reported</w:t>
      </w:r>
      <w:r>
        <w:rPr>
          <w:rStyle w:val="FootnoteReference"/>
        </w:rPr>
        <w:footnoteReference w:id="1201"/>
      </w:r>
      <w:r>
        <w:t xml:space="preserve">.</w:t>
      </w:r>
    </w:p>
    <w:p>
      <w:pPr>
        <w:pStyle w:val="BodyText"/>
      </w:pPr>
      <w:r>
        <w:t xml:space="preserve">Such effects would be spectacular – larger than with almost any established medicine. However, the abstract describes neither how participants were allocated to the groups, nor whether there was blinding, nor how many people were in each group. People who are healthier and more active are more likely to take part in years of treatment; without random allocation, such a difference can arise from this alone. There are no independent replications.</w:t>
      </w:r>
    </w:p>
    <w:bookmarkEnd w:id="1202"/>
    <w:bookmarkStart w:id="1205" w:name="covid-19-1"/>
    <w:p>
      <w:pPr>
        <w:pStyle w:val="Heading4"/>
      </w:pPr>
      <w:r>
        <w:t xml:space="preserve">COVID-19</w:t>
      </w:r>
    </w:p>
    <w:p>
      <w:pPr>
        <w:pStyle w:val="FirstParagraph"/>
      </w:pPr>
      <w:r>
        <w:t xml:space="preserve">During the pandemic, the research group reported on thymalin in patients severely ill with COVID-19. In one analysis, in-hospital mortality was 40.9 percent on standard therapy, 28.4 percent with additional tocilizumab and 20.6 percent with additional thymalin</w:t>
      </w:r>
      <w:r>
        <w:rPr>
          <w:rStyle w:val="FootnoteReference"/>
        </w:rPr>
        <w:footnoteReference w:id="1203"/>
      </w:r>
      <w:r>
        <w:t xml:space="preserve">. How the people were allocated to the groups and how large the groups were is not apparent from the abstract. Another paper reports faster decreases in inflammatory and coagulation values</w:t>
      </w:r>
      <w:r>
        <w:rPr>
          <w:rStyle w:val="FootnoteReference"/>
        </w:rPr>
        <w:footnoteReference w:id="1204"/>
      </w:r>
      <w:r>
        <w:t xml:space="preserve">. Given the experience with thymosin alpha-1, where early favorable observational data were not confirmed in larger trials (see there), these figures are not reliable without randomized confirmation.</w:t>
      </w:r>
    </w:p>
    <w:bookmarkEnd w:id="1205"/>
    <w:bookmarkStart w:id="1207" w:name="the-only-placebo-controlled-study"/>
    <w:p>
      <w:pPr>
        <w:pStyle w:val="Heading4"/>
      </w:pPr>
      <w:r>
        <w:t xml:space="preserve">The only placebo-controlled study</w:t>
      </w:r>
    </w:p>
    <w:p>
      <w:pPr>
        <w:pStyle w:val="FirstParagraph"/>
      </w:pPr>
      <w:r>
        <w:t xml:space="preserve">The only study described as double-blind, randomized and placebo-controlled examined Thymogen nasal drops in older people before abdominal tumor surgery. Fewer complications after surgery and a shorter healing course are reported</w:t>
      </w:r>
      <w:r>
        <w:rPr>
          <w:rStyle w:val="FootnoteReference"/>
        </w:rPr>
        <w:footnoteReference w:id="1206"/>
      </w:r>
      <w:r>
        <w:t xml:space="preserve">. The Russian abstract does not give the number of participants or effect sizes.</w:t>
      </w:r>
    </w:p>
    <w:bookmarkEnd w:id="1207"/>
    <w:bookmarkStart w:id="1208" w:name="other-studies"/>
    <w:p>
      <w:pPr>
        <w:pStyle w:val="Heading4"/>
      </w:pPr>
      <w:r>
        <w:t xml:space="preserve">Other studies</w:t>
      </w:r>
    </w:p>
    <w:p>
      <w:pPr>
        <w:pStyle w:val="FirstParagraph"/>
      </w:pPr>
      <w:r>
        <w:t xml:space="preserve">The remaining human studies date predominantly from the 1980s and 1990s and cover a strikingly broad spectrum: tuberculosis, dysentery, erysipelas, purulent wounds, peritonitis in children, pancreatitis, ulcerative colitis, inflammation of the female reproductive organs, schizophrenia and Parkinson’s disease. Almost always, thymalin or Thymogen was given in addition to standard treatment, without placebo and mostly without random allocation. Laboratory values of the immune system were frequently measured, not hard endpoints such as healing or survival.</w:t>
      </w:r>
    </w:p>
    <w:bookmarkEnd w:id="1208"/>
    <w:bookmarkEnd w:id="1209"/>
    <w:bookmarkStart w:id="1212" w:name="animal-and-laboratory-studies-22"/>
    <w:p>
      <w:pPr>
        <w:pStyle w:val="Heading3"/>
      </w:pPr>
      <w:r>
        <w:t xml:space="preserve">Animal and laboratory studies</w:t>
      </w:r>
    </w:p>
    <w:p>
      <w:pPr>
        <w:pStyle w:val="FirstParagraph"/>
      </w:pPr>
      <w:r>
        <w:t xml:space="preserve">The animal studies likewise come predominantly from Russian and Ukrainian research groups. In 76 rats that received Glu-Trp (Thymogen) or saline for twelve months, mean lifespan was the same; the longest-living ten percent lived longer on Thymogen, and tumors occurred less frequently</w:t>
      </w:r>
      <w:r>
        <w:rPr>
          <w:rStyle w:val="FootnoteReference"/>
        </w:rPr>
        <w:footnoteReference w:id="1210"/>
      </w:r>
      <w:r>
        <w:t xml:space="preserve">. In cultures of human blood stem cells, thymalin influenced their differentiation</w:t>
      </w:r>
      <w:r>
        <w:rPr>
          <w:rStyle w:val="FootnoteReference"/>
        </w:rPr>
        <w:footnoteReference w:id="1211"/>
      </w:r>
      <w:r>
        <w:t xml:space="preserve">. Further papers describe effects on blood clotting, cancer development after radiation or chemicals, and infections in rodents.</w:t>
      </w:r>
    </w:p>
    <w:bookmarkEnd w:id="1212"/>
    <w:bookmarkStart w:id="1213" w:name="Xe4fe6c3d3c033a7da37b22a82c2d3a393f51995"/>
    <w:p>
      <w:pPr>
        <w:pStyle w:val="Heading3"/>
      </w:pPr>
      <w:r>
        <w:t xml:space="preserve">Quality of the research: a critical assessment</w:t>
      </w:r>
    </w:p>
    <w:p>
      <w:pPr>
        <w:pStyle w:val="FirstParagraph"/>
      </w:pPr>
      <w:r>
        <w:t xml:space="preserve">For the assessment of thymalin and Thymogen, the origin of the data is more important than the individual results:</w:t>
      </w:r>
    </w:p>
    <w:p>
      <w:pPr>
        <w:numPr>
          <w:ilvl w:val="0"/>
          <w:numId w:val="1142"/>
        </w:numPr>
        <w:pStyle w:val="Compact"/>
      </w:pPr>
      <w:r>
        <w:rPr>
          <w:bCs/>
          <w:b/>
        </w:rPr>
        <w:t xml:space="preserve">One school, hardly any independent confirmation.</w:t>
      </w:r>
      <w:r>
        <w:t xml:space="preserve"> </w:t>
      </w:r>
      <w:r>
        <w:t xml:space="preserve">A large part of the work comes from Khavinson, his co-workers or cooperating institutes. According to PubMed, Khavinson is involved in over 80 of the around 290 publications; many others come from closely affiliated groups. Independent Western replication studies are lacking.</w:t>
      </w:r>
    </w:p>
    <w:p>
      <w:pPr>
        <w:numPr>
          <w:ilvl w:val="0"/>
          <w:numId w:val="1142"/>
        </w:numPr>
        <w:pStyle w:val="Compact"/>
      </w:pPr>
      <w:r>
        <w:rPr>
          <w:bCs/>
          <w:b/>
        </w:rPr>
        <w:t xml:space="preserve">Language and accessibility.</w:t>
      </w:r>
      <w:r>
        <w:t xml:space="preserve"> </w:t>
      </w:r>
      <w:r>
        <w:t xml:space="preserve">Around 250 of the papers are in Russian, often with only a short abstract in PubMed. Full texts are difficult to access, and methods can hardly be checked.</w:t>
      </w:r>
    </w:p>
    <w:p>
      <w:pPr>
        <w:numPr>
          <w:ilvl w:val="0"/>
          <w:numId w:val="1142"/>
        </w:numPr>
        <w:pStyle w:val="Compact"/>
      </w:pPr>
      <w:r>
        <w:rPr>
          <w:bCs/>
          <w:b/>
        </w:rPr>
        <w:t xml:space="preserve">Study design.</w:t>
      </w:r>
      <w:r>
        <w:t xml:space="preserve"> </w:t>
      </w:r>
      <w:r>
        <w:t xml:space="preserve">Almost no study is randomized, blinded and preregistered according to today’s standards. Not a single study is entered on ClinicalTrials.gov.</w:t>
      </w:r>
    </w:p>
    <w:p>
      <w:pPr>
        <w:numPr>
          <w:ilvl w:val="0"/>
          <w:numId w:val="1142"/>
        </w:numPr>
        <w:pStyle w:val="Compact"/>
      </w:pPr>
      <w:r>
        <w:rPr>
          <w:bCs/>
          <w:b/>
        </w:rPr>
        <w:t xml:space="preserve">Unusually large effects in a great many diseases.</w:t>
      </w:r>
      <w:r>
        <w:t xml:space="preserve"> </w:t>
      </w:r>
      <w:r>
        <w:t xml:space="preserve">A preparation that works equally in tuberculosis, schizophrenia, Parkinson’s disease, COVID-19 and aging and halves mortality is, from a methodological point of view, a warning sign, not a recommendation.</w:t>
      </w:r>
    </w:p>
    <w:p>
      <w:pPr>
        <w:numPr>
          <w:ilvl w:val="0"/>
          <w:numId w:val="1142"/>
        </w:numPr>
        <w:pStyle w:val="Compact"/>
      </w:pPr>
      <w:r>
        <w:rPr>
          <w:bCs/>
          <w:b/>
        </w:rPr>
        <w:t xml:space="preserve">Conflicts of interest.</w:t>
      </w:r>
      <w:r>
        <w:t xml:space="preserve"> </w:t>
      </w:r>
      <w:r>
        <w:t xml:space="preserve">The research group developed the preparations itself; to the author’s knowledge,</w:t>
      </w:r>
      <w:r>
        <w:t xml:space="preserve"> </w:t>
      </w:r>
      <w:r>
        <w:t xml:space="preserve">“</w:t>
      </w:r>
      <w:r>
        <w:t xml:space="preserve">bioregulators</w:t>
      </w:r>
      <w:r>
        <w:t xml:space="preserve">”</w:t>
      </w:r>
      <w:r>
        <w:t xml:space="preserve"> </w:t>
      </w:r>
      <w:r>
        <w:t xml:space="preserve">from this school are marketed internationally as dietary supplements. Independent testing by researchers without such ties is lacking.</w:t>
      </w:r>
    </w:p>
    <w:p>
      <w:pPr>
        <w:pStyle w:val="FirstParagraph"/>
      </w:pPr>
      <w:r>
        <w:t xml:space="preserve">This does not mean that all results must be wrong. It means that, by the standards of this book, they cannot count as evidence of a benefit as long as they have not been confirmed in properly planned, independent studies.</w:t>
      </w:r>
    </w:p>
    <w:bookmarkEnd w:id="1213"/>
    <w:bookmarkStart w:id="1216" w:name="risks-and-side-effects-22"/>
    <w:p>
      <w:pPr>
        <w:pStyle w:val="Heading3"/>
      </w:pPr>
      <w:r>
        <w:t xml:space="preserve">Risks and side effects</w:t>
      </w:r>
    </w:p>
    <w:bookmarkStart w:id="1214" w:name="documented-6"/>
    <w:p>
      <w:pPr>
        <w:pStyle w:val="Heading4"/>
      </w:pPr>
      <w:r>
        <w:t xml:space="preserve">Documented</w:t>
      </w:r>
    </w:p>
    <w:p>
      <w:pPr>
        <w:pStyle w:val="FirstParagraph"/>
      </w:pPr>
      <w:r>
        <w:t xml:space="preserve">Systematically collected safety data according to today’s standards are not available. The existing studies hardly report on side effects – which says little in small, unblinded studies.</w:t>
      </w:r>
    </w:p>
    <w:bookmarkEnd w:id="1214"/>
    <w:bookmarkStart w:id="1215" w:name="theoretical-2"/>
    <w:p>
      <w:pPr>
        <w:pStyle w:val="Heading4"/>
      </w:pPr>
      <w:r>
        <w:t xml:space="preserve">Theoretical</w:t>
      </w:r>
    </w:p>
    <w:p>
      <w:pPr>
        <w:numPr>
          <w:ilvl w:val="0"/>
          <w:numId w:val="1143"/>
        </w:numPr>
        <w:pStyle w:val="Compact"/>
      </w:pPr>
      <w:r>
        <w:rPr>
          <w:bCs/>
          <w:b/>
        </w:rPr>
        <w:t xml:space="preserve">Animal source material:</w:t>
      </w:r>
      <w:r>
        <w:t xml:space="preserve"> </w:t>
      </w:r>
      <w:r>
        <w:t xml:space="preserve">Thymalin is an extract from calf thymus. With animal extracts, there are fundamental risks from contaminants, batch-to-batch variation and allergic reactions. The transmission of pathogens from bovine tissue is also a theoretical risk that depends on manufacturing quality.</w:t>
      </w:r>
    </w:p>
    <w:p>
      <w:pPr>
        <w:numPr>
          <w:ilvl w:val="0"/>
          <w:numId w:val="1143"/>
        </w:numPr>
        <w:pStyle w:val="Compact"/>
      </w:pPr>
      <w:r>
        <w:rPr>
          <w:bCs/>
          <w:b/>
        </w:rPr>
        <w:t xml:space="preserve">Immune stimulation:</w:t>
      </w:r>
      <w:r>
        <w:t xml:space="preserve"> </w:t>
      </w:r>
      <w:r>
        <w:t xml:space="preserve">In autoimmune diseases or after organ transplantation, stimulating the immune system could cause harm. Data on this are lacking.</w:t>
      </w:r>
    </w:p>
    <w:p>
      <w:pPr>
        <w:numPr>
          <w:ilvl w:val="0"/>
          <w:numId w:val="1143"/>
        </w:numPr>
        <w:pStyle w:val="Compact"/>
      </w:pPr>
      <w:r>
        <w:rPr>
          <w:bCs/>
          <w:b/>
        </w:rPr>
        <w:t xml:space="preserve">Gray market and</w:t>
      </w:r>
      <w:r>
        <w:rPr>
          <w:bCs/>
          <w:b/>
        </w:rPr>
        <w:t xml:space="preserve"> </w:t>
      </w:r>
      <w:r>
        <w:rPr>
          <w:bCs/>
          <w:b/>
        </w:rPr>
        <w:t xml:space="preserve">“</w:t>
      </w:r>
      <w:r>
        <w:rPr>
          <w:bCs/>
          <w:b/>
        </w:rPr>
        <w:t xml:space="preserve">bioregulators</w:t>
      </w:r>
      <w:r>
        <w:rPr>
          <w:bCs/>
          <w:b/>
        </w:rPr>
        <w:t xml:space="preserve">”</w:t>
      </w:r>
      <w:r>
        <w:rPr>
          <w:bCs/>
          <w:b/>
        </w:rPr>
        <w:t xml:space="preserve">:</w:t>
      </w:r>
      <w:r>
        <w:t xml:space="preserve"> </w:t>
      </w:r>
      <w:r>
        <w:t xml:space="preserve">Outside Russia, thymalin, Thymogen and related products are distributed online, partly as solutions for injection, partly as capsules labeled</w:t>
      </w:r>
      <w:r>
        <w:t xml:space="preserve"> </w:t>
      </w:r>
      <w:r>
        <w:t xml:space="preserve">“</w:t>
      </w:r>
      <w:r>
        <w:t xml:space="preserve">bioregulator.</w:t>
      </w:r>
      <w:r>
        <w:t xml:space="preserve">”</w:t>
      </w:r>
      <w:r>
        <w:t xml:space="preserve"> </w:t>
      </w:r>
      <w:r>
        <w:t xml:space="preserve">The origin, content and quality of these products cannot be verified.</w:t>
      </w:r>
    </w:p>
    <w:bookmarkEnd w:id="1215"/>
    <w:bookmarkEnd w:id="1216"/>
    <w:bookmarkStart w:id="1217" w:name="legal-status-22"/>
    <w:p>
      <w:pPr>
        <w:pStyle w:val="Heading3"/>
      </w:pPr>
      <w:r>
        <w:t xml:space="preserve">Legal status</w:t>
      </w:r>
    </w:p>
    <w:p>
      <w:pPr>
        <w:pStyle w:val="FirstParagraph"/>
      </w:pPr>
      <w:r>
        <w:rPr>
          <w:iCs/>
          <w:i/>
        </w:rPr>
        <w:t xml:space="preserve">As of 2026, please check for updates.</w:t>
      </w:r>
    </w:p>
    <w:p>
      <w:pPr>
        <w:numPr>
          <w:ilvl w:val="0"/>
          <w:numId w:val="1144"/>
        </w:numPr>
        <w:pStyle w:val="Compact"/>
      </w:pPr>
      <w:r>
        <w:rPr>
          <w:bCs/>
          <w:b/>
        </w:rPr>
        <w:t xml:space="preserve">Russia and some successor states of the Soviet Union:</w:t>
      </w:r>
      <w:r>
        <w:t xml:space="preserve"> </w:t>
      </w:r>
      <w:r>
        <w:t xml:space="preserve">thymalin and Thymogen are approved as medicines.</w:t>
      </w:r>
    </w:p>
    <w:p>
      <w:pPr>
        <w:numPr>
          <w:ilvl w:val="0"/>
          <w:numId w:val="1144"/>
        </w:numPr>
        <w:pStyle w:val="Compact"/>
      </w:pPr>
      <w:r>
        <w:rPr>
          <w:bCs/>
          <w:b/>
        </w:rPr>
        <w:t xml:space="preserve">EU, Germany, Austria:</w:t>
      </w:r>
      <w:r>
        <w:t xml:space="preserve"> </w:t>
      </w:r>
      <w:r>
        <w:t xml:space="preserve">no approval. Import and supply for use in humans are permitted only under the narrow conditions of the respective pharmaceutical law. Capsules containing organ extracts sold as dietary supplements may not promise effects on diseases; whether they are to be classified as medicines depends on the individual case.</w:t>
      </w:r>
    </w:p>
    <w:p>
      <w:pPr>
        <w:numPr>
          <w:ilvl w:val="0"/>
          <w:numId w:val="1144"/>
        </w:numPr>
        <w:pStyle w:val="Compact"/>
      </w:pPr>
      <w:r>
        <w:rPr>
          <w:bCs/>
          <w:b/>
        </w:rPr>
        <w:t xml:space="preserve">USA:</w:t>
      </w:r>
      <w:r>
        <w:t xml:space="preserve"> </w:t>
      </w:r>
      <w:r>
        <w:t xml:space="preserve">no FDA approval.</w:t>
      </w:r>
    </w:p>
    <w:p>
      <w:pPr>
        <w:numPr>
          <w:ilvl w:val="0"/>
          <w:numId w:val="1144"/>
        </w:numPr>
        <w:pStyle w:val="Compact"/>
      </w:pPr>
      <w:r>
        <w:rPr>
          <w:bCs/>
          <w:b/>
        </w:rPr>
        <w:t xml:space="preserve">WADA:</w:t>
      </w:r>
      <w:r>
        <w:t xml:space="preserve"> </w:t>
      </w:r>
      <w:r>
        <w:t xml:space="preserve">not listed by name.</w:t>
      </w:r>
    </w:p>
    <w:bookmarkEnd w:id="1217"/>
    <w:bookmarkStart w:id="1218" w:name="ongoing-studies-and-outlook-22"/>
    <w:p>
      <w:pPr>
        <w:pStyle w:val="Heading3"/>
      </w:pPr>
      <w:r>
        <w:t xml:space="preserve">Ongoing studies and outlook</w:t>
      </w:r>
    </w:p>
    <w:p>
      <w:pPr>
        <w:pStyle w:val="FirstParagraph"/>
      </w:pPr>
      <w:r>
        <w:rPr>
          <w:bCs/>
          <w:b/>
        </w:rPr>
        <w:t xml:space="preserve">Confirmed:</w:t>
      </w:r>
      <w:r>
        <w:t xml:space="preserve"> </w:t>
      </w:r>
      <w:r>
        <w:t xml:space="preserve">As of October 2026, no trial on thymalin or Thymogen is registered on ClinicalTrials.gov.</w:t>
      </w:r>
    </w:p>
    <w:p>
      <w:pPr>
        <w:pStyle w:val="BodyText"/>
      </w:pPr>
      <w:r>
        <w:rPr>
          <w:bCs/>
          <w:b/>
        </w:rPr>
        <w:t xml:space="preserve">Author’s assessment:</w:t>
      </w:r>
      <w:r>
        <w:t xml:space="preserve"> </w:t>
      </w:r>
      <w:r>
        <w:t xml:space="preserve">Approval in the EU or the USA is out of the question without new studies conducted according to international standards, and such studies are not in sight. Thymalin and Thymogen will therefore probably remain a phenomenon of the Russian-speaking health market and the international longevity scene.</w:t>
      </w:r>
    </w:p>
    <w:bookmarkEnd w:id="1218"/>
    <w:bookmarkStart w:id="1220" w:name="conclusion-22"/>
    <w:p>
      <w:pPr>
        <w:pStyle w:val="Heading3"/>
      </w:pPr>
      <w:r>
        <w:t xml:space="preserve">Conclusion</w:t>
      </w:r>
    </w:p>
    <w:p>
      <w:pPr>
        <w:pStyle w:val="FirstParagraph"/>
      </w:pPr>
      <w:r>
        <w:t xml:space="preserve">Thymalin is a calf thymus extract, Thymogen a dipeptide derived from it; both are approved in Russia and are promoted in the West as</w:t>
      </w:r>
      <w:r>
        <w:t xml:space="preserve"> </w:t>
      </w:r>
      <w:r>
        <w:t xml:space="preserve">“</w:t>
      </w:r>
      <w:r>
        <w:t xml:space="preserve">bioregulators</w:t>
      </w:r>
      <w:r>
        <w:t xml:space="preserve">”</w:t>
      </w:r>
      <w:r>
        <w:t xml:space="preserve"> </w:t>
      </w:r>
      <w:r>
        <w:t xml:space="preserve">for life extension. The evidence comes almost entirely from a single Russian research school, is predominantly published in Russian and consists of small, mostly non-randomized studies. The much-cited halving of mortality in older people</w:t>
      </w:r>
      <w:r>
        <w:rPr>
          <w:rStyle w:val="FootnoteReference"/>
        </w:rPr>
        <w:footnoteReference w:id="1219"/>
      </w:r>
      <w:r>
        <w:t xml:space="preserve"> </w:t>
      </w:r>
      <w:r>
        <w:t xml:space="preserve">is based on a study whose design is not described comprehensibly in the abstract. By today’s standards, a benefit has not been proven, and the quality of freely sold products is unknown.</w:t>
      </w:r>
    </w:p>
    <w:bookmarkEnd w:id="1220"/>
    <w:bookmarkEnd w:id="1221"/>
    <w:bookmarkEnd w:id="1222"/>
    <w:bookmarkStart w:id="1602" w:name="part-ii-c-the-growth-hormone-axis"/>
    <w:p>
      <w:pPr>
        <w:pStyle w:val="Heading1"/>
      </w:pPr>
      <w:r>
        <w:t xml:space="preserve">Part II · C – The Growth Hormone Axis</w:t>
      </w:r>
    </w:p>
    <w:p>
      <w:pPr>
        <w:pStyle w:val="FirstParagraph"/>
      </w:pPr>
      <w:r>
        <w:t xml:space="preserve">Growth hormone (GH) is one of the most mythologized hormones of all. In gyms it is considered a muscle-building and fat-burning hormone, and in anti-aging practices a</w:t>
      </w:r>
      <w:r>
        <w:t xml:space="preserve"> </w:t>
      </w:r>
      <w:r>
        <w:t xml:space="preserve">“</w:t>
      </w:r>
      <w:r>
        <w:t xml:space="preserve">fountain of youth.</w:t>
      </w:r>
      <w:r>
        <w:t xml:space="preserve">”</w:t>
      </w:r>
      <w:r>
        <w:t xml:space="preserve"> </w:t>
      </w:r>
      <w:r>
        <w:t xml:space="preserve">Genuine growth hormone is a large, expensive, prescription-only protein. The peptides in this part promise a seemingly more elegant route: they are meant to get the body to release</w:t>
      </w:r>
      <w:r>
        <w:t xml:space="preserve"> </w:t>
      </w:r>
      <w:r>
        <w:rPr>
          <w:iCs/>
          <w:i/>
        </w:rPr>
        <w:t xml:space="preserve">more of its own</w:t>
      </w:r>
      <w:r>
        <w:t xml:space="preserve"> </w:t>
      </w:r>
      <w:r>
        <w:t xml:space="preserve">growth hormone – or they supply the downstream messenger IGF-1 directly.</w:t>
      </w:r>
    </w:p>
    <w:bookmarkStart w:id="1224" w:name="the-axis-in-four-stations"/>
    <w:p>
      <w:pPr>
        <w:pStyle w:val="Heading3"/>
      </w:pPr>
      <w:r>
        <w:t xml:space="preserve">The axis in four stations</w:t>
      </w:r>
    </w:p>
    <w:p>
      <w:pPr>
        <w:numPr>
          <w:ilvl w:val="0"/>
          <w:numId w:val="1145"/>
        </w:numPr>
        <w:pStyle w:val="Compact"/>
      </w:pPr>
      <w:r>
        <w:rPr>
          <w:bCs/>
          <w:b/>
        </w:rPr>
        <w:t xml:space="preserve">GHRH</w:t>
      </w:r>
      <w:r>
        <w:t xml:space="preserve"> </w:t>
      </w:r>
      <w:r>
        <w:t xml:space="preserve">(growth hormone-releasing hormone) from the diencephalon signals the pituitary gland to release growth hormone. Its counterpart somatostatin acts as a brake.</w:t>
      </w:r>
    </w:p>
    <w:p>
      <w:pPr>
        <w:numPr>
          <w:ilvl w:val="0"/>
          <w:numId w:val="1145"/>
        </w:numPr>
        <w:pStyle w:val="Compact"/>
      </w:pPr>
      <w:r>
        <w:rPr>
          <w:bCs/>
          <w:b/>
        </w:rPr>
        <w:t xml:space="preserve">Ghrelin</w:t>
      </w:r>
      <w:r>
        <w:t xml:space="preserve">, a hormone from the stomach, enhances release via its own receptor (GHS-R1a) and at the same time makes you hungry</w:t>
      </w:r>
      <w:r>
        <w:rPr>
          <w:rStyle w:val="FootnoteReference"/>
        </w:rPr>
        <w:footnoteReference w:id="1223"/>
      </w:r>
      <w:r>
        <w:t xml:space="preserve">.</w:t>
      </w:r>
    </w:p>
    <w:p>
      <w:pPr>
        <w:numPr>
          <w:ilvl w:val="0"/>
          <w:numId w:val="1145"/>
        </w:numPr>
        <w:pStyle w:val="Compact"/>
      </w:pPr>
      <w:r>
        <w:rPr>
          <w:bCs/>
          <w:b/>
        </w:rPr>
        <w:t xml:space="preserve">Growth hormone</w:t>
      </w:r>
      <w:r>
        <w:t xml:space="preserve"> </w:t>
      </w:r>
      <w:r>
        <w:t xml:space="preserve">is released by the pituitary gland in pulses, mainly at night.</w:t>
      </w:r>
    </w:p>
    <w:p>
      <w:pPr>
        <w:numPr>
          <w:ilvl w:val="0"/>
          <w:numId w:val="1145"/>
        </w:numPr>
        <w:pStyle w:val="Compact"/>
      </w:pPr>
      <w:r>
        <w:rPr>
          <w:bCs/>
          <w:b/>
        </w:rPr>
        <w:t xml:space="preserve">IGF-1</w:t>
      </w:r>
      <w:r>
        <w:t xml:space="preserve"> </w:t>
      </w:r>
      <w:r>
        <w:t xml:space="preserve">(insulin-like growth factor 1) is produced mainly in the liver in response to growth hormone and mediates many of its anabolic effects. High IGF-1 levels in turn put a brake on the axis.</w:t>
      </w:r>
    </w:p>
    <w:p>
      <w:pPr>
        <w:pStyle w:val="FirstParagraph"/>
      </w:pPr>
      <w:r>
        <w:t xml:space="preserve">The substances in this part act at different stations:</w:t>
      </w:r>
      <w:r>
        <w:t xml:space="preserve"> </w:t>
      </w:r>
      <w:r>
        <w:rPr>
          <w:bCs/>
          <w:b/>
        </w:rPr>
        <w:t xml:space="preserve">GHRH analogs</w:t>
      </w:r>
      <w:r>
        <w:t xml:space="preserve"> </w:t>
      </w:r>
      <w:r>
        <w:t xml:space="preserve">(sermorelin, tesamorelin, CJC-1295) at the GHRH receptor,</w:t>
      </w:r>
      <w:r>
        <w:t xml:space="preserve"> </w:t>
      </w:r>
      <w:r>
        <w:rPr>
          <w:bCs/>
          <w:b/>
        </w:rPr>
        <w:t xml:space="preserve">ghrelin mimetics</w:t>
      </w:r>
      <w:r>
        <w:t xml:space="preserve"> </w:t>
      </w:r>
      <w:r>
        <w:t xml:space="preserve">(ipamorelin, GHRP-2, GHRP-6, hexarelin, macimorelin and, for comparison, the non-peptide ibutamoren) at the ghrelin receptor,</w:t>
      </w:r>
      <w:r>
        <w:t xml:space="preserve"> </w:t>
      </w:r>
      <w:r>
        <w:rPr>
          <w:bCs/>
          <w:b/>
        </w:rPr>
        <w:t xml:space="preserve">IGF-1 and its variants</w:t>
      </w:r>
      <w:r>
        <w:t xml:space="preserve"> </w:t>
      </w:r>
      <w:r>
        <w:t xml:space="preserve">(mecasermin, IGF-1 LR3) directly at the end of the chain.</w:t>
      </w:r>
    </w:p>
    <w:bookmarkEnd w:id="1224"/>
    <w:bookmarkStart w:id="1227" w:name="why-this-group-is-so-popular"/>
    <w:p>
      <w:pPr>
        <w:pStyle w:val="Heading3"/>
      </w:pPr>
      <w:r>
        <w:t xml:space="preserve">Why this group is so popular</w:t>
      </w:r>
    </w:p>
    <w:p>
      <w:pPr>
        <w:pStyle w:val="FirstParagraph"/>
      </w:pPr>
      <w:r>
        <w:t xml:space="preserve">Growth hormone breaks down fat and builds lean mass – this is well documented. A review of randomized trials in young, trained people found an increase in lean mass of 2.1 kg, but no improvement in strength or endurance, and instead more fluid retention and fatigue</w:t>
      </w:r>
      <w:r>
        <w:rPr>
          <w:rStyle w:val="FootnoteReference"/>
        </w:rPr>
        <w:footnoteReference w:id="1225"/>
      </w:r>
      <w:r>
        <w:t xml:space="preserve">. In healthy older people, fat mass fell by 2.1 kg and lean mass rose by 2.1 kg; at the same time, soft tissue swelling, joint pain, carpal tunnel syndrome and breast enlargement in men occurred more frequently</w:t>
      </w:r>
      <w:r>
        <w:rPr>
          <w:rStyle w:val="FootnoteReference"/>
        </w:rPr>
        <w:footnoteReference w:id="1226"/>
      </w:r>
      <w:r>
        <w:t xml:space="preserve">. Because growth hormone release decreases with age, the idea of</w:t>
      </w:r>
      <w:r>
        <w:t xml:space="preserve"> </w:t>
      </w:r>
      <w:r>
        <w:t xml:space="preserve">“</w:t>
      </w:r>
      <w:r>
        <w:t xml:space="preserve">turning it back</w:t>
      </w:r>
      <w:r>
        <w:t xml:space="preserve">”</w:t>
      </w:r>
      <w:r>
        <w:t xml:space="preserve"> </w:t>
      </w:r>
      <w:r>
        <w:t xml:space="preserve">suggests itself. The releasers are considered a gentler alternative because the body’s own regulation is preserved. In addition, many of them are available cheaply online as</w:t>
      </w:r>
      <w:r>
        <w:t xml:space="preserve"> </w:t>
      </w:r>
      <w:r>
        <w:t xml:space="preserve">“</w:t>
      </w:r>
      <w:r>
        <w:t xml:space="preserve">research peptides.</w:t>
      </w:r>
      <w:r>
        <w:t xml:space="preserve">”</w:t>
      </w:r>
    </w:p>
    <w:p>
      <w:pPr>
        <w:pStyle w:val="BodyText"/>
      </w:pPr>
      <w:r>
        <w:t xml:space="preserve">The pattern that runs through almost all chapters: IGF-1 and lean mass rise, but strength, function or disease courses hardly improve in controlled trials – while blood glucose, fluid retention and, with some substances, stress hormones increase.</w:t>
      </w:r>
    </w:p>
    <w:bookmarkEnd w:id="1227"/>
    <w:bookmarkStart w:id="1234" w:name="the-most-important-open-question-cancer"/>
    <w:p>
      <w:pPr>
        <w:pStyle w:val="Heading3"/>
      </w:pPr>
      <w:r>
        <w:t xml:space="preserve">The most important open question: cancer</w:t>
      </w:r>
    </w:p>
    <w:p>
      <w:pPr>
        <w:pStyle w:val="FirstParagraph"/>
      </w:pPr>
      <w:r>
        <w:t xml:space="preserve">IGF-1 promotes cell division and keeps cells alive. Whether a sustained increase raises the risk of cancer is the central safety question of the group. The evidence, soberly summarized:</w:t>
      </w:r>
    </w:p>
    <w:p>
      <w:pPr>
        <w:numPr>
          <w:ilvl w:val="0"/>
          <w:numId w:val="1146"/>
        </w:numPr>
        <w:pStyle w:val="Compact"/>
      </w:pPr>
      <w:r>
        <w:rPr>
          <w:bCs/>
          <w:b/>
        </w:rPr>
        <w:t xml:space="preserve">Naturally high IGF-1:</w:t>
      </w:r>
      <w:r>
        <w:t xml:space="preserve"> </w:t>
      </w:r>
      <w:r>
        <w:t xml:space="preserve">In observational studies, a higher level is associated with a moderately increased risk of prostate cancer and premenopausal breast cancer</w:t>
      </w:r>
      <w:r>
        <w:rPr>
          <w:rStyle w:val="FootnoteReference"/>
        </w:rPr>
        <w:footnoteReference w:id="1228"/>
      </w:r>
      <w:r>
        <w:t xml:space="preserve">. Genetic analyses with hundreds of thousands of participants suggest that the association could be causal for breast and colorectal cancer</w:t>
      </w:r>
      <w:r>
        <w:rPr>
          <w:rStyle w:val="FootnoteReference"/>
        </w:rPr>
        <w:footnoteReference w:id="1229"/>
      </w:r>
      <w:r>
        <w:t xml:space="preserve">.</w:t>
      </w:r>
    </w:p>
    <w:p>
      <w:pPr>
        <w:numPr>
          <w:ilvl w:val="0"/>
          <w:numId w:val="1146"/>
        </w:numPr>
        <w:pStyle w:val="Compact"/>
      </w:pPr>
      <w:r>
        <w:rPr>
          <w:bCs/>
          <w:b/>
        </w:rPr>
        <w:t xml:space="preserve">Naturally excessive growth hormone (acromegaly):</w:t>
      </w:r>
      <w:r>
        <w:t xml:space="preserve"> </w:t>
      </w:r>
      <w:r>
        <w:t xml:space="preserve">A meta-analysis of 23 studies found a cancer rate increased by about 50%, but also points to biases in older studies</w:t>
      </w:r>
      <w:r>
        <w:rPr>
          <w:rStyle w:val="FootnoteReference"/>
        </w:rPr>
        <w:footnoteReference w:id="1230"/>
      </w:r>
      <w:r>
        <w:t xml:space="preserve">.</w:t>
      </w:r>
    </w:p>
    <w:p>
      <w:pPr>
        <w:numPr>
          <w:ilvl w:val="0"/>
          <w:numId w:val="1146"/>
        </w:numPr>
        <w:pStyle w:val="Compact"/>
      </w:pPr>
      <w:r>
        <w:rPr>
          <w:bCs/>
          <w:b/>
        </w:rPr>
        <w:t xml:space="preserve">Lifelong IGF-1 deficiency (Laron syndrome):</w:t>
      </w:r>
      <w:r>
        <w:t xml:space="preserve"> </w:t>
      </w:r>
      <w:r>
        <w:t xml:space="preserve">Cancer occurred strikingly rarely</w:t>
      </w:r>
      <w:r>
        <w:rPr>
          <w:rStyle w:val="FootnoteReference"/>
        </w:rPr>
        <w:footnoteReference w:id="1231"/>
      </w:r>
      <w:r>
        <w:t xml:space="preserve">.</w:t>
      </w:r>
    </w:p>
    <w:p>
      <w:pPr>
        <w:numPr>
          <w:ilvl w:val="0"/>
          <w:numId w:val="1146"/>
        </w:numPr>
        <w:pStyle w:val="Compact"/>
      </w:pPr>
      <w:r>
        <w:rPr>
          <w:bCs/>
          <w:b/>
        </w:rPr>
        <w:t xml:space="preserve">Growth hormone as a medicine:</w:t>
      </w:r>
      <w:r>
        <w:t xml:space="preserve"> </w:t>
      </w:r>
      <w:r>
        <w:t xml:space="preserve">In a European cohort of 23,984 treated children, there was no generally increased risk in children without pre-existing conditions, but there were abnormalities for individual cancer types and in children who had previously had cancer</w:t>
      </w:r>
      <w:r>
        <w:rPr>
          <w:rStyle w:val="FootnoteReference"/>
        </w:rPr>
        <w:footnoteReference w:id="1232"/>
      </w:r>
      <w:r>
        <w:t xml:space="preserve">. In 8,418 treated adults with hypopituitarism, the cancer risk was not increased</w:t>
      </w:r>
      <w:r>
        <w:rPr>
          <w:rStyle w:val="FootnoteReference"/>
        </w:rPr>
        <w:footnoteReference w:id="1233"/>
      </w:r>
      <w:r>
        <w:t xml:space="preserve">.</w:t>
      </w:r>
    </w:p>
    <w:p>
      <w:pPr>
        <w:pStyle w:val="FirstParagraph"/>
      </w:pPr>
      <w:r>
        <w:t xml:space="preserve">Conclusion: in people with a genuine deficiency, replacement treatment is, according to current knowledge, not associated with a markedly higher cancer risk. For healthy people who raise a normal level over years, data are lacking – and the biology argues more for than against some risk. Part IV explores the topic in more depth.</w:t>
      </w:r>
    </w:p>
    <w:bookmarkEnd w:id="1234"/>
    <w:bookmarkStart w:id="1235" w:name="overview-1"/>
    <w:p>
      <w:pPr>
        <w:pStyle w:val="Heading3"/>
      </w:pPr>
      <w:r>
        <w:t xml:space="preserve">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Sermorelin</w:t>
            </w:r>
          </w:p>
        </w:tc>
        <w:tc>
          <w:tcPr/>
          <w:p>
            <w:pPr>
              <w:pStyle w:val="Compact"/>
              <w:jc w:val="left"/>
            </w:pPr>
            <w:r>
              <w:t xml:space="preserve">B</w:t>
            </w:r>
          </w:p>
        </w:tc>
        <w:tc>
          <w:tcPr/>
          <w:p>
            <w:pPr>
              <w:pStyle w:val="Compact"/>
              <w:jc w:val="left"/>
            </w:pPr>
            <w:r>
              <w:t xml:space="preserve">formerly USA (Geref), none today</w:t>
            </w:r>
          </w:p>
        </w:tc>
        <w:tc>
          <w:tcPr/>
          <w:p>
            <w:pPr>
              <w:pStyle w:val="Compact"/>
              <w:jc w:val="left"/>
            </w:pPr>
            <w:r>
              <w:t xml:space="preserve">GHRH fragment; children with GH deficiency</w:t>
            </w:r>
          </w:p>
        </w:tc>
      </w:tr>
      <w:tr>
        <w:tc>
          <w:tcPr/>
          <w:p>
            <w:pPr>
              <w:pStyle w:val="Compact"/>
              <w:jc w:val="left"/>
            </w:pPr>
            <w:r>
              <w:t xml:space="preserve">Tesamorelin</w:t>
            </w:r>
          </w:p>
        </w:tc>
        <w:tc>
          <w:tcPr/>
          <w:p>
            <w:pPr>
              <w:pStyle w:val="Compact"/>
              <w:jc w:val="left"/>
            </w:pPr>
            <w:r>
              <w:t xml:space="preserve">A</w:t>
            </w:r>
          </w:p>
        </w:tc>
        <w:tc>
          <w:tcPr/>
          <w:p>
            <w:pPr>
              <w:pStyle w:val="Compact"/>
              <w:jc w:val="left"/>
            </w:pPr>
            <w:r>
              <w:t xml:space="preserve">USA (Egrifta)</w:t>
            </w:r>
          </w:p>
        </w:tc>
        <w:tc>
          <w:tcPr/>
          <w:p>
            <w:pPr>
              <w:pStyle w:val="Compact"/>
              <w:jc w:val="left"/>
            </w:pPr>
            <w:r>
              <w:t xml:space="preserve">less abdominal and liver fat in HIV</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none</w:t>
            </w:r>
          </w:p>
        </w:tc>
        <w:tc>
          <w:tcPr/>
          <w:p>
            <w:pPr>
              <w:pStyle w:val="Compact"/>
              <w:jc w:val="left"/>
            </w:pPr>
            <w:r>
              <w:t xml:space="preserve">only Phase 1 data;</w:t>
            </w:r>
            <w:r>
              <w:t xml:space="preserve"> </w:t>
            </w:r>
            <w:r>
              <w:t xml:space="preserve">“</w:t>
            </w:r>
            <w:r>
              <w:t xml:space="preserve">no DAC</w:t>
            </w:r>
            <w:r>
              <w:t xml:space="preserve">”</w:t>
            </w:r>
            <w:r>
              <w:t xml:space="preserve"> </w:t>
            </w:r>
            <w:r>
              <w:t xml:space="preserve">variant unstudied</w:t>
            </w:r>
          </w:p>
        </w:tc>
      </w:tr>
      <w:tr>
        <w:tc>
          <w:tcPr/>
          <w:p>
            <w:pPr>
              <w:pStyle w:val="Compact"/>
              <w:jc w:val="left"/>
            </w:pPr>
            <w:r>
              <w:t xml:space="preserve">Ipamorelin</w:t>
            </w:r>
          </w:p>
        </w:tc>
        <w:tc>
          <w:tcPr/>
          <w:p>
            <w:pPr>
              <w:pStyle w:val="Compact"/>
              <w:jc w:val="left"/>
            </w:pPr>
            <w:r>
              <w:t xml:space="preserve">B</w:t>
            </w:r>
          </w:p>
        </w:tc>
        <w:tc>
          <w:tcPr/>
          <w:p>
            <w:pPr>
              <w:pStyle w:val="Compact"/>
              <w:jc w:val="left"/>
            </w:pPr>
            <w:r>
              <w:t xml:space="preserve">none</w:t>
            </w:r>
          </w:p>
        </w:tc>
        <w:tc>
          <w:tcPr/>
          <w:p>
            <w:pPr>
              <w:pStyle w:val="Compact"/>
              <w:jc w:val="left"/>
            </w:pPr>
            <w:r>
              <w:t xml:space="preserve">no benefit in postoperative ileus</w:t>
            </w:r>
          </w:p>
        </w:tc>
      </w:tr>
      <w:tr>
        <w:tc>
          <w:tcPr/>
          <w:p>
            <w:pPr>
              <w:pStyle w:val="Compact"/>
              <w:jc w:val="left"/>
            </w:pPr>
            <w:r>
              <w:t xml:space="preserve">GHRP-2 (pralmorelin)</w:t>
            </w:r>
          </w:p>
        </w:tc>
        <w:tc>
          <w:tcPr/>
          <w:p>
            <w:pPr>
              <w:pStyle w:val="Compact"/>
              <w:jc w:val="left"/>
            </w:pPr>
            <w:r>
              <w:t xml:space="preserve">B</w:t>
            </w:r>
          </w:p>
        </w:tc>
        <w:tc>
          <w:tcPr/>
          <w:p>
            <w:pPr>
              <w:pStyle w:val="Compact"/>
              <w:jc w:val="left"/>
            </w:pPr>
            <w:r>
              <w:t xml:space="preserve">Japan (diagnostic agent)</w:t>
            </w:r>
          </w:p>
        </w:tc>
        <w:tc>
          <w:tcPr/>
          <w:p>
            <w:pPr>
              <w:pStyle w:val="Compact"/>
              <w:jc w:val="left"/>
            </w:pPr>
            <w:r>
              <w:t xml:space="preserve">test for GH deficiency</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none</w:t>
            </w:r>
          </w:p>
        </w:tc>
        <w:tc>
          <w:tcPr/>
          <w:p>
            <w:pPr>
              <w:pStyle w:val="Compact"/>
              <w:jc w:val="left"/>
            </w:pPr>
            <w:r>
              <w:t xml:space="preserve">research and test substance</w:t>
            </w:r>
          </w:p>
        </w:tc>
      </w:tr>
      <w:tr>
        <w:tc>
          <w:tcPr/>
          <w:p>
            <w:pPr>
              <w:pStyle w:val="Compact"/>
              <w:jc w:val="left"/>
            </w:pPr>
            <w:r>
              <w:t xml:space="preserve">Hexarelin</w:t>
            </w:r>
          </w:p>
        </w:tc>
        <w:tc>
          <w:tcPr/>
          <w:p>
            <w:pPr>
              <w:pStyle w:val="Compact"/>
              <w:jc w:val="left"/>
            </w:pPr>
            <w:r>
              <w:t xml:space="preserve">C</w:t>
            </w:r>
          </w:p>
        </w:tc>
        <w:tc>
          <w:tcPr/>
          <w:p>
            <w:pPr>
              <w:pStyle w:val="Compact"/>
              <w:jc w:val="left"/>
            </w:pPr>
            <w:r>
              <w:t xml:space="preserve">none</w:t>
            </w:r>
          </w:p>
        </w:tc>
        <w:tc>
          <w:tcPr/>
          <w:p>
            <w:pPr>
              <w:pStyle w:val="Compact"/>
              <w:jc w:val="left"/>
            </w:pPr>
            <w:r>
              <w:t xml:space="preserve">acute cardiac effects; loss of effect with continuous use</w:t>
            </w:r>
          </w:p>
        </w:tc>
      </w:tr>
      <w:tr>
        <w:tc>
          <w:tcPr/>
          <w:p>
            <w:pPr>
              <w:pStyle w:val="Compact"/>
              <w:jc w:val="left"/>
            </w:pPr>
            <w:r>
              <w:t xml:space="preserve">Macimorelin</w:t>
            </w:r>
          </w:p>
        </w:tc>
        <w:tc>
          <w:tcPr/>
          <w:p>
            <w:pPr>
              <w:pStyle w:val="Compact"/>
              <w:jc w:val="left"/>
            </w:pPr>
            <w:r>
              <w:t xml:space="preserve">A</w:t>
            </w:r>
          </w:p>
        </w:tc>
        <w:tc>
          <w:tcPr/>
          <w:p>
            <w:pPr>
              <w:pStyle w:val="Compact"/>
              <w:jc w:val="left"/>
            </w:pPr>
            <w:r>
              <w:t xml:space="preserve">EU, USA (diagnostic agent)</w:t>
            </w:r>
          </w:p>
        </w:tc>
        <w:tc>
          <w:tcPr/>
          <w:p>
            <w:pPr>
              <w:pStyle w:val="Compact"/>
              <w:jc w:val="left"/>
            </w:pPr>
            <w:r>
              <w:t xml:space="preserve">oral test for GH deficiency</w:t>
            </w:r>
          </w:p>
        </w:tc>
      </w:tr>
      <w:tr>
        <w:tc>
          <w:tcPr/>
          <w:p>
            <w:pPr>
              <w:pStyle w:val="Compact"/>
              <w:jc w:val="left"/>
            </w:pPr>
            <w:r>
              <w:t xml:space="preserve">Mecasermin (IGF-1)</w:t>
            </w:r>
          </w:p>
        </w:tc>
        <w:tc>
          <w:tcPr/>
          <w:p>
            <w:pPr>
              <w:pStyle w:val="Compact"/>
              <w:jc w:val="left"/>
            </w:pPr>
            <w:r>
              <w:t xml:space="preserve">A</w:t>
            </w:r>
          </w:p>
        </w:tc>
        <w:tc>
          <w:tcPr/>
          <w:p>
            <w:pPr>
              <w:pStyle w:val="Compact"/>
              <w:jc w:val="left"/>
            </w:pPr>
            <w:r>
              <w:t xml:space="preserve">EU, USA (Increlex)</w:t>
            </w:r>
          </w:p>
        </w:tc>
        <w:tc>
          <w:tcPr/>
          <w:p>
            <w:pPr>
              <w:pStyle w:val="Compact"/>
              <w:jc w:val="left"/>
            </w:pPr>
            <w:r>
              <w:t xml:space="preserve">severe IGF-1 deficiency in children</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none</w:t>
            </w:r>
          </w:p>
        </w:tc>
        <w:tc>
          <w:tcPr/>
          <w:p>
            <w:pPr>
              <w:pStyle w:val="Compact"/>
              <w:jc w:val="left"/>
            </w:pPr>
            <w:r>
              <w:t xml:space="preserve">laboratory reagent, never tested in humans</w:t>
            </w:r>
          </w:p>
        </w:tc>
      </w:tr>
      <w:tr>
        <w:tc>
          <w:tcPr/>
          <w:p>
            <w:pPr>
              <w:pStyle w:val="Compact"/>
              <w:jc w:val="left"/>
            </w:pPr>
            <w:r>
              <w:t xml:space="preserve">Ibutamoren (comparison)</w:t>
            </w:r>
          </w:p>
        </w:tc>
        <w:tc>
          <w:tcPr/>
          <w:p>
            <w:pPr>
              <w:pStyle w:val="Compact"/>
              <w:jc w:val="left"/>
            </w:pPr>
            <w:r>
              <w:t xml:space="preserve">B</w:t>
            </w:r>
          </w:p>
        </w:tc>
        <w:tc>
          <w:tcPr/>
          <w:p>
            <w:pPr>
              <w:pStyle w:val="Compact"/>
              <w:jc w:val="left"/>
            </w:pPr>
            <w:r>
              <w:t xml:space="preserve">none</w:t>
            </w:r>
          </w:p>
        </w:tc>
        <w:tc>
          <w:tcPr/>
          <w:p>
            <w:pPr>
              <w:pStyle w:val="Compact"/>
              <w:jc w:val="left"/>
            </w:pPr>
            <w:r>
              <w:t xml:space="preserve">tablet; heart failure signal</w:t>
            </w:r>
          </w:p>
        </w:tc>
      </w:tr>
    </w:tbl>
    <w:bookmarkEnd w:id="1235"/>
    <w:bookmarkStart w:id="1236" w:name="reading-guide-2"/>
    <w:p>
      <w:pPr>
        <w:pStyle w:val="Heading3"/>
      </w:pPr>
      <w:r>
        <w:t xml:space="preserve">Reading guide</w:t>
      </w:r>
    </w:p>
    <w:p>
      <w:pPr>
        <w:pStyle w:val="FirstParagraph"/>
      </w:pPr>
      <w:r>
        <w:t xml:space="preserve">If you are interested in applications with genuine benefit, start with tesamorelin, macimorelin and mecasermin. If you want to know what lies behind the gray-market classics, read CJC-1295, ipamorelin and IGF-1 LR3. Ibutamoren is not a peptide, but in large trials it shows particularly clearly what sustained stimulation of the axis does. All substances in this group are on the Prohibited List of the World Anti-Doping Agency (group S2).</w:t>
      </w:r>
    </w:p>
    <w:bookmarkEnd w:id="1236"/>
    <w:bookmarkStart w:id="1273" w:name="sermorelin"/>
    <w:p>
      <w:pPr>
        <w:pStyle w:val="Heading2"/>
      </w:pPr>
      <w:r>
        <w:t xml:space="preserve">Sermorelin</w:t>
      </w:r>
    </w:p>
    <w:p>
      <w:pPr>
        <w:pStyle w:val="FirstParagraph"/>
      </w:pPr>
      <w:r>
        <w:t xml:space="preserve">Sermorelin is a piece of pharmaceutical history that is living a second life online. In the 1990s it was approved as a medicine in the USA – first as a test substance for diagnosing growth hormone deficiency, then for the treatment of children with short stature. Since the end of the 2000s, the original product has disappeared from the market. Today, sermorelin is mainly prescribed as a compounded preparation in American</w:t>
      </w:r>
      <w:r>
        <w:t xml:space="preserve"> </w:t>
      </w:r>
      <w:r>
        <w:t xml:space="preserve">“</w:t>
      </w:r>
      <w:r>
        <w:t xml:space="preserve">anti-aging</w:t>
      </w:r>
      <w:r>
        <w:t xml:space="preserve">”</w:t>
      </w:r>
      <w:r>
        <w:t xml:space="preserve"> </w:t>
      </w:r>
      <w:r>
        <w:t xml:space="preserve">and</w:t>
      </w:r>
      <w:r>
        <w:t xml:space="preserve"> </w:t>
      </w:r>
      <w:r>
        <w:t xml:space="preserve">“</w:t>
      </w:r>
      <w:r>
        <w:t xml:space="preserve">men’s health</w:t>
      </w:r>
      <w:r>
        <w:t xml:space="preserve">”</w:t>
      </w:r>
      <w:r>
        <w:t xml:space="preserve"> </w:t>
      </w:r>
      <w:r>
        <w:t xml:space="preserve">clinics and offered on the gray market. This chapter shows what the old studies actually prove and what they do not.</w:t>
      </w:r>
    </w:p>
    <w:bookmarkStart w:id="1238" w:name="profile-23"/>
    <w:p>
      <w:pPr>
        <w:pStyle w:val="Heading3"/>
      </w:pPr>
      <w:r>
        <w:t xml:space="preserve">Profile</w:t>
      </w:r>
    </w:p>
    <w:p>
      <w:pPr>
        <w:numPr>
          <w:ilvl w:val="0"/>
          <w:numId w:val="1147"/>
        </w:numPr>
        <w:pStyle w:val="Compact"/>
      </w:pPr>
      <w:r>
        <w:rPr>
          <w:bCs/>
          <w:b/>
        </w:rPr>
        <w:t xml:space="preserve">Type and structure:</w:t>
      </w:r>
      <w:r>
        <w:t xml:space="preserve"> </w:t>
      </w:r>
      <w:r>
        <w:t xml:space="preserve">synthetic peptide of 29 amino acids; it corresponds to the front, active segment of the endogenous growth hormone-releasing hormone, GHRH(1-29)NH2. It is the shortest synthetic peptide with full GHRH activity</w:t>
      </w:r>
      <w:r>
        <w:rPr>
          <w:rStyle w:val="FootnoteReference"/>
        </w:rPr>
        <w:footnoteReference w:id="1237"/>
      </w:r>
      <w:r>
        <w:t xml:space="preserve">.</w:t>
      </w:r>
    </w:p>
    <w:p>
      <w:pPr>
        <w:numPr>
          <w:ilvl w:val="0"/>
          <w:numId w:val="1147"/>
        </w:numPr>
        <w:pStyle w:val="Compact"/>
      </w:pPr>
      <w:r>
        <w:rPr>
          <w:bCs/>
          <w:b/>
        </w:rPr>
        <w:t xml:space="preserve">Origin:</w:t>
      </w:r>
      <w:r>
        <w:t xml:space="preserve"> </w:t>
      </w:r>
      <w:r>
        <w:t xml:space="preserve">derived from natural GHRH in the 1980s; marketed by Serono as Geref.</w:t>
      </w:r>
    </w:p>
    <w:p>
      <w:pPr>
        <w:numPr>
          <w:ilvl w:val="0"/>
          <w:numId w:val="1147"/>
        </w:numPr>
        <w:pStyle w:val="Compact"/>
      </w:pPr>
      <w:r>
        <w:rPr>
          <w:bCs/>
          <w:b/>
        </w:rPr>
        <w:t xml:space="preserve">Mechanism of action:</w:t>
      </w:r>
      <w:r>
        <w:t xml:space="preserve"> </w:t>
      </w:r>
      <w:r>
        <w:t xml:space="preserve">binds to the GHRH receptor of the pituitary gland and triggers the release of growth hormone there; the body’s own regulation (brake via somatostatin, feedback via IGF-1) is preserved.</w:t>
      </w:r>
    </w:p>
    <w:p>
      <w:pPr>
        <w:numPr>
          <w:ilvl w:val="0"/>
          <w:numId w:val="1147"/>
        </w:numPr>
        <w:pStyle w:val="Compact"/>
      </w:pPr>
      <w:r>
        <w:rPr>
          <w:bCs/>
          <w:b/>
        </w:rPr>
        <w:t xml:space="preserve">Approval EU:</w:t>
      </w:r>
      <w:r>
        <w:t xml:space="preserve"> </w:t>
      </w:r>
      <w:r>
        <w:t xml:space="preserve">no (as of 2026).</w:t>
      </w:r>
      <w:r>
        <w:t xml:space="preserve"> </w:t>
      </w:r>
      <w:r>
        <w:rPr>
          <w:bCs/>
          <w:b/>
        </w:rPr>
        <w:t xml:space="preserve">Approval USA:</w:t>
      </w:r>
      <w:r>
        <w:t xml:space="preserve"> </w:t>
      </w:r>
      <w:r>
        <w:t xml:space="preserve">formerly yes (Geref as a diagnostic agent and for the treatment of children with growth hormone deficiency); the original product has no longer been available since the end of the 2000s.</w:t>
      </w:r>
    </w:p>
    <w:p>
      <w:pPr>
        <w:numPr>
          <w:ilvl w:val="0"/>
          <w:numId w:val="1147"/>
        </w:numPr>
        <w:pStyle w:val="Compact"/>
      </w:pPr>
      <w:r>
        <w:rPr>
          <w:bCs/>
          <w:b/>
        </w:rPr>
        <w:t xml:space="preserve">WADA:</w:t>
      </w:r>
      <w:r>
        <w:t xml:space="preserve"> </w:t>
      </w:r>
      <w:r>
        <w:t xml:space="preserve">prohibited, group S2 – sermorelin is explicitly named as a GHRH analog.</w:t>
      </w:r>
    </w:p>
    <w:p>
      <w:pPr>
        <w:numPr>
          <w:ilvl w:val="0"/>
          <w:numId w:val="1147"/>
        </w:numPr>
        <w:pStyle w:val="Compact"/>
      </w:pPr>
      <w:r>
        <w:rPr>
          <w:bCs/>
          <w:b/>
        </w:rPr>
        <w:t xml:space="preserve">Evidence level: B</w:t>
      </w:r>
      <w:r>
        <w:t xml:space="preserve"> </w:t>
      </w:r>
      <w:r>
        <w:t xml:space="preserve">– individual small randomized or controlled trials, mostly open-label and from the 1980s and 1990s; no modern large trial.</w:t>
      </w:r>
    </w:p>
    <w:bookmarkEnd w:id="1238"/>
    <w:bookmarkStart w:id="1240" w:name="how-it-is-supposed-to-work-23"/>
    <w:p>
      <w:pPr>
        <w:pStyle w:val="Heading3"/>
      </w:pPr>
      <w:r>
        <w:t xml:space="preserve">How it is supposed to work</w:t>
      </w:r>
    </w:p>
    <w:p>
      <w:pPr>
        <w:pStyle w:val="FirstParagraph"/>
      </w:pPr>
      <w:r>
        <w:t xml:space="preserve">The pituitary gland releases growth hormone in pulses. The starting signal comes from GHRH from the diencephalon. As produced in nature, GHRH is 44 amino acids long; in the 1980s, researchers found that the first 29 amino acids are sufficient for the full effect. Sermorelin was developed from this.</w:t>
      </w:r>
    </w:p>
    <w:p>
      <w:pPr>
        <w:pStyle w:val="BodyText"/>
      </w:pPr>
      <w:r>
        <w:t xml:space="preserve">The advantage over injected growth hormone is supposed to be that the pituitary gland</w:t>
      </w:r>
      <w:r>
        <w:t xml:space="preserve"> </w:t>
      </w:r>
      <w:r>
        <w:t xml:space="preserve">“</w:t>
      </w:r>
      <w:r>
        <w:t xml:space="preserve">has a say</w:t>
      </w:r>
      <w:r>
        <w:t xml:space="preserve">”</w:t>
      </w:r>
      <w:r>
        <w:t xml:space="preserve">: if there is enough IGF-1 in the blood, the body itself applies the brake via somatostatin. Overdoses as with direct GH administration are therefore supposed to be less likely. The disadvantage: sermorelin only works if the pituitary gland can still produce growth hormone, and its effect is short: the half-life in human blood is only about 10 to 20 minutes</w:t>
      </w:r>
      <w:r>
        <w:rPr>
          <w:rStyle w:val="FootnoteReference"/>
        </w:rPr>
        <w:footnoteReference w:id="1239"/>
      </w:r>
      <w:r>
        <w:t xml:space="preserve">. It is therefore effective mainly in disorders located in the diencephalon, not in the pituitary itself.</w:t>
      </w:r>
    </w:p>
    <w:bookmarkEnd w:id="1240"/>
    <w:bookmarkStart w:id="1257" w:name="human-studies-23"/>
    <w:p>
      <w:pPr>
        <w:pStyle w:val="Heading3"/>
      </w:pPr>
      <w:r>
        <w:t xml:space="preserve">Human studies</w:t>
      </w:r>
    </w:p>
    <w:p>
      <w:pPr>
        <w:pStyle w:val="FirstParagraph"/>
      </w:pPr>
      <w:r>
        <w:rPr>
          <w:bCs/>
          <w:b/>
        </w:rPr>
        <w:t xml:space="preserve">Scope of the evidence (search October 2026):</w:t>
      </w:r>
      <w:r>
        <w:t xml:space="preserve"> </w:t>
      </w:r>
      <w:r>
        <w:t xml:space="preserve">The automated search for this book under the keyword</w:t>
      </w:r>
      <w:r>
        <w:t xml:space="preserve"> </w:t>
      </w:r>
      <w:r>
        <w:t xml:space="preserve">“</w:t>
      </w:r>
      <w:r>
        <w:t xml:space="preserve">sermorelin</w:t>
      </w:r>
      <w:r>
        <w:t xml:space="preserve">”</w:t>
      </w:r>
      <w:r>
        <w:t xml:space="preserve"> </w:t>
      </w:r>
      <w:r>
        <w:t xml:space="preserve">found</w:t>
      </w:r>
      <w:r>
        <w:t xml:space="preserve"> </w:t>
      </w:r>
      <w:r>
        <w:rPr>
          <w:bCs/>
          <w:b/>
        </w:rPr>
        <w:t xml:space="preserve">no</w:t>
      </w:r>
      <w:r>
        <w:t xml:space="preserve"> </w:t>
      </w:r>
      <w:r>
        <w:t xml:space="preserve">human study (</w:t>
      </w:r>
      <w:r>
        <w:rPr>
          <w:rStyle w:val="VerbatimChar"/>
        </w:rPr>
        <w:t xml:space="preserve">humanstudien_alle</w:t>
      </w:r>
      <w:r>
        <w:t xml:space="preserve">: 0) and</w:t>
      </w:r>
      <w:r>
        <w:t xml:space="preserve"> </w:t>
      </w:r>
      <w:r>
        <w:rPr>
          <w:bCs/>
          <w:b/>
        </w:rPr>
        <w:t xml:space="preserve">27</w:t>
      </w:r>
      <w:r>
        <w:t xml:space="preserve"> </w:t>
      </w:r>
      <w:r>
        <w:t xml:space="preserve">entries on ClinicalTrials.gov. Both figures are misleading: most clinical papers appeared under designations such as</w:t>
      </w:r>
      <w:r>
        <w:t xml:space="preserve"> </w:t>
      </w:r>
      <w:r>
        <w:t xml:space="preserve">“</w:t>
      </w:r>
      <w:r>
        <w:t xml:space="preserve">GHRH(1-29)NH2,</w:t>
      </w:r>
      <w:r>
        <w:t xml:space="preserve">”</w:t>
      </w:r>
      <w:r>
        <w:t xml:space="preserve"> </w:t>
      </w:r>
      <w:r>
        <w:t xml:space="preserve">“</w:t>
      </w:r>
      <w:r>
        <w:t xml:space="preserve">GRF 1-29</w:t>
      </w:r>
      <w:r>
        <w:t xml:space="preserve">”</w:t>
      </w:r>
      <w:r>
        <w:t xml:space="preserve"> </w:t>
      </w:r>
      <w:r>
        <w:t xml:space="preserve">or</w:t>
      </w:r>
      <w:r>
        <w:t xml:space="preserve"> </w:t>
      </w:r>
      <w:r>
        <w:t xml:space="preserve">“</w:t>
      </w:r>
      <w:r>
        <w:t xml:space="preserve">Geref</w:t>
      </w:r>
      <w:r>
        <w:t xml:space="preserve">”</w:t>
      </w:r>
      <w:r>
        <w:t xml:space="preserve"> </w:t>
      </w:r>
      <w:r>
        <w:t xml:space="preserve">and are not captured by a pure name search. Conversely, many of the 27 registry entries do not concern sermorelin at all, but tesamorelin or GHRH tests in general. A targeted follow-up search found several dozen clinical studies, mostly small and from the period before 2000.</w:t>
      </w:r>
    </w:p>
    <w:bookmarkStart w:id="1246" w:name="children-with-growth-hormone-deficiency"/>
    <w:p>
      <w:pPr>
        <w:pStyle w:val="Heading4"/>
      </w:pPr>
      <w:r>
        <w:t xml:space="preserve">Children with growth hormone deficiency</w:t>
      </w:r>
    </w:p>
    <w:p>
      <w:pPr>
        <w:pStyle w:val="FirstParagraph"/>
      </w:pPr>
      <w:r>
        <w:t xml:space="preserve">The main area of application was growth disorder in children. In an open-label, multicenter study by the Geref study group, 110 previously untreated prepubertal children received sermorelin once daily in the evening for one year. Growth velocity rose from 4.1 cm per year to 8.0 cm after six months and 7.2 cm after twelve months; 74% were considered good responders after six months. No abnormal laboratory changes occurred</w:t>
      </w:r>
      <w:r>
        <w:rPr>
          <w:rStyle w:val="FootnoteReference"/>
        </w:rPr>
        <w:footnoteReference w:id="1241"/>
      </w:r>
      <w:r>
        <w:t xml:space="preserve">.</w:t>
      </w:r>
    </w:p>
    <w:p>
      <w:pPr>
        <w:pStyle w:val="BodyText"/>
      </w:pPr>
      <w:r>
        <w:t xml:space="preserve">An early British study with 18 children already showed the limits: only in 8 children did growth velocity increase by more than 2 cm per year in the first six months; 14 children developed antibodies against the peptide, without any discernible effect on growth</w:t>
      </w:r>
      <w:r>
        <w:rPr>
          <w:rStyle w:val="FootnoteReference"/>
        </w:rPr>
        <w:footnoteReference w:id="1242"/>
      </w:r>
      <w:r>
        <w:t xml:space="preserve">. In a randomized trial with 43 children, the children grew most slowly on low-dose sermorelin; only on growth hormone did height improve relative to bone age</w:t>
      </w:r>
      <w:r>
        <w:rPr>
          <w:rStyle w:val="FootnoteReference"/>
        </w:rPr>
        <w:footnoteReference w:id="1243"/>
      </w:r>
      <w:r>
        <w:t xml:space="preserve">. A review noted that sermorelin is effective in some of the children, but weaker than growth hormone, and that data on final height are lacking</w:t>
      </w:r>
      <w:r>
        <w:rPr>
          <w:rStyle w:val="FootnoteReference"/>
        </w:rPr>
        <w:footnoteReference w:id="1244"/>
      </w:r>
      <w:r>
        <w:t xml:space="preserve">.</w:t>
      </w:r>
    </w:p>
    <w:p>
      <w:pPr>
        <w:pStyle w:val="BodyText"/>
      </w:pPr>
      <w:r>
        <w:t xml:space="preserve">In children with idiopathic short stature (i.e., without demonstrable hormone deficiency), growth velocity also increased with twice-daily injections in a small study with 18 children; after discontinuation it fell back below baseline, and fasting glucose and insulin rose during treatment</w:t>
      </w:r>
      <w:r>
        <w:rPr>
          <w:rStyle w:val="FootnoteReference"/>
        </w:rPr>
        <w:footnoteReference w:id="1245"/>
      </w:r>
      <w:r>
        <w:t xml:space="preserve">.</w:t>
      </w:r>
    </w:p>
    <w:bookmarkEnd w:id="1246"/>
    <w:bookmarkStart w:id="1251" w:name="older-adults"/>
    <w:p>
      <w:pPr>
        <w:pStyle w:val="Heading4"/>
      </w:pPr>
      <w:r>
        <w:t xml:space="preserve">Older adults</w:t>
      </w:r>
    </w:p>
    <w:p>
      <w:pPr>
        <w:pStyle w:val="FirstParagraph"/>
      </w:pPr>
      <w:r>
        <w:t xml:space="preserve">For today’s marketing (</w:t>
      </w:r>
      <w:r>
        <w:t xml:space="preserve">“</w:t>
      </w:r>
      <w:r>
        <w:t xml:space="preserve">anti-aging</w:t>
      </w:r>
      <w:r>
        <w:t xml:space="preserve">”</w:t>
      </w:r>
      <w:r>
        <w:t xml:space="preserve">), studies in older people are decisive. There are only a few, and they are very small:</w:t>
      </w:r>
    </w:p>
    <w:p>
      <w:pPr>
        <w:numPr>
          <w:ilvl w:val="0"/>
          <w:numId w:val="1148"/>
        </w:numPr>
        <w:pStyle w:val="Compact"/>
      </w:pPr>
      <w:r>
        <w:t xml:space="preserve">19 healthy women and men between 55 and 71 years of age received a sermorelin analog for 16 weeks after four weeks of placebo. Growth hormone and IGF-1 rose, skin thickness increased in both sexes, and lean mass and insulin sensitivity only in men. Men reported improved well-being and increased libido; sleep quality did not change. As a side effect, a temporary increase in blood lipids occurred</w:t>
      </w:r>
      <w:r>
        <w:rPr>
          <w:rStyle w:val="FootnoteReference"/>
        </w:rPr>
        <w:footnoteReference w:id="1247"/>
      </w:r>
      <w:r>
        <w:t xml:space="preserve">. The same group described changes in immune cells</w:t>
      </w:r>
      <w:r>
        <w:rPr>
          <w:rStyle w:val="FootnoteReference"/>
        </w:rPr>
        <w:footnoteReference w:id="1248"/>
      </w:r>
      <w:r>
        <w:t xml:space="preserve">. The study was only single-blind and had no parallel control group.</w:t>
      </w:r>
    </w:p>
    <w:p>
      <w:pPr>
        <w:numPr>
          <w:ilvl w:val="0"/>
          <w:numId w:val="1148"/>
        </w:numPr>
        <w:pStyle w:val="Compact"/>
      </w:pPr>
      <w:r>
        <w:t xml:space="preserve">In 11 healthy men between 64 and 76 years of age, six weeks of nightly injections increased nocturnal GH release, but neither IGF-1 nor muscle or fat mass changed; two of six strength measurements improved</w:t>
      </w:r>
      <w:r>
        <w:rPr>
          <w:rStyle w:val="FootnoteReference"/>
        </w:rPr>
        <w:footnoteReference w:id="1249"/>
      </w:r>
      <w:r>
        <w:t xml:space="preserve">.</w:t>
      </w:r>
    </w:p>
    <w:p>
      <w:pPr>
        <w:pStyle w:val="FirstParagraph"/>
      </w:pPr>
      <w:r>
        <w:t xml:space="preserve">Two later studies on GHRH in older people were stopped after 5 and 13 participants, respectively</w:t>
      </w:r>
      <w:r>
        <w:rPr>
          <w:rStyle w:val="FootnoteReference"/>
        </w:rPr>
        <w:footnoteReference w:id="1250"/>
      </w:r>
      <w:r>
        <w:t xml:space="preserve">.</w:t>
      </w:r>
    </w:p>
    <w:bookmarkEnd w:id="1251"/>
    <w:bookmarkStart w:id="1254" w:name="diagnostics"/>
    <w:p>
      <w:pPr>
        <w:pStyle w:val="Heading4"/>
      </w:pPr>
      <w:r>
        <w:t xml:space="preserve">Diagnostics</w:t>
      </w:r>
    </w:p>
    <w:p>
      <w:pPr>
        <w:pStyle w:val="FirstParagraph"/>
      </w:pPr>
      <w:r>
        <w:t xml:space="preserve">As a test substance, sermorelin was given intravenously to check whether the pituitary gland responds to GHRH. Combined with the amino acid arginine, this test was considered an alternative in adults to the burdensome insulin hypoglycemia test</w:t>
      </w:r>
      <w:r>
        <w:rPr>
          <w:rStyle w:val="FootnoteReference"/>
        </w:rPr>
        <w:footnoteReference w:id="1252"/>
      </w:r>
      <w:r>
        <w:t xml:space="preserve">. After the diagnostic agent was no longer available in the USA, an ongoing study of a new test (macimorelin) had to change its design</w:t>
      </w:r>
      <w:r>
        <w:rPr>
          <w:rStyle w:val="FootnoteReference"/>
        </w:rPr>
        <w:footnoteReference w:id="1253"/>
      </w:r>
      <w:r>
        <w:t xml:space="preserve">.</w:t>
      </w:r>
    </w:p>
    <w:bookmarkEnd w:id="1254"/>
    <w:bookmarkStart w:id="1256" w:name="modern-mens-health"/>
    <w:p>
      <w:pPr>
        <w:pStyle w:val="Heading4"/>
      </w:pPr>
      <w:r>
        <w:t xml:space="preserve">Modern</w:t>
      </w:r>
      <w:r>
        <w:t xml:space="preserve"> </w:t>
      </w:r>
      <w:r>
        <w:t xml:space="preserve">“</w:t>
      </w:r>
      <w:r>
        <w:t xml:space="preserve">men’s health</w:t>
      </w:r>
      <w:r>
        <w:t xml:space="preserve">”</w:t>
      </w:r>
    </w:p>
    <w:p>
      <w:pPr>
        <w:pStyle w:val="FirstParagraph"/>
      </w:pPr>
      <w:r>
        <w:t xml:space="preserve">A retrospective chart review from a US men’s clinic described 14 young men on testosterone therapy who were prescribed a combination of sermorelin, GHRP-2 and GHRP-6. IGF-1 rose on average from 159.5 to 239.0 ng/ml</w:t>
      </w:r>
      <w:r>
        <w:rPr>
          <w:rStyle w:val="FootnoteReference"/>
        </w:rPr>
        <w:footnoteReference w:id="1255"/>
      </w:r>
      <w:r>
        <w:t xml:space="preserve">. Of an original 105 men, only 14 met the inclusion criteria; the paper allows no conclusions about muscle mass, fat loss or safety.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Geref study group (Thorner 1996), PMID 8772599</w:t>
            </w:r>
          </w:p>
        </w:tc>
        <w:tc>
          <w:tcPr/>
          <w:p>
            <w:pPr>
              <w:pStyle w:val="Compact"/>
              <w:jc w:val="left"/>
            </w:pPr>
            <w:r>
              <w:t xml:space="preserve">110 children with GH deficiency, open-label, no control group</w:t>
            </w:r>
          </w:p>
        </w:tc>
        <w:tc>
          <w:tcPr/>
          <w:p>
            <w:pPr>
              <w:pStyle w:val="Compact"/>
              <w:jc w:val="left"/>
            </w:pPr>
            <w:r>
              <w:t xml:space="preserve">12 months</w:t>
            </w:r>
          </w:p>
        </w:tc>
        <w:tc>
          <w:tcPr/>
          <w:p>
            <w:pPr>
              <w:pStyle w:val="Compact"/>
              <w:jc w:val="left"/>
            </w:pPr>
            <w:r>
              <w:t xml:space="preserve">growth 4.1 → 7.2 cm/year</w:t>
            </w:r>
          </w:p>
        </w:tc>
      </w:tr>
      <w:tr>
        <w:tc>
          <w:tcPr/>
          <w:p>
            <w:pPr>
              <w:pStyle w:val="Compact"/>
              <w:jc w:val="left"/>
            </w:pPr>
            <w:r>
              <w:t xml:space="preserve">Comparison with GH (Neyzi 1993), PMID 8329826</w:t>
            </w:r>
          </w:p>
        </w:tc>
        <w:tc>
          <w:tcPr/>
          <w:p>
            <w:pPr>
              <w:pStyle w:val="Compact"/>
              <w:jc w:val="left"/>
            </w:pPr>
            <w:r>
              <w:t xml:space="preserve">43 children, randomized (2 sermorelin doses vs. GH)</w:t>
            </w:r>
          </w:p>
        </w:tc>
        <w:tc>
          <w:tcPr/>
          <w:p>
            <w:pPr>
              <w:pStyle w:val="Compact"/>
              <w:jc w:val="left"/>
            </w:pPr>
            <w:r>
              <w:t xml:space="preserve">6 months</w:t>
            </w:r>
          </w:p>
        </w:tc>
        <w:tc>
          <w:tcPr/>
          <w:p>
            <w:pPr>
              <w:pStyle w:val="Compact"/>
              <w:jc w:val="left"/>
            </w:pPr>
            <w:r>
              <w:t xml:space="preserve">high dose similar to GH, low dose weaker</w:t>
            </w:r>
          </w:p>
        </w:tc>
      </w:tr>
      <w:tr>
        <w:tc>
          <w:tcPr/>
          <w:p>
            <w:pPr>
              <w:pStyle w:val="Compact"/>
              <w:jc w:val="left"/>
            </w:pPr>
            <w:r>
              <w:t xml:space="preserve">Older adults (Khorram 1997), PMID 9141536</w:t>
            </w:r>
          </w:p>
        </w:tc>
        <w:tc>
          <w:tcPr/>
          <w:p>
            <w:pPr>
              <w:pStyle w:val="Compact"/>
              <w:jc w:val="left"/>
            </w:pPr>
            <w:r>
              <w:t xml:space="preserve">19 healthy people, 55–71 years, single-blind, placebo run-in</w:t>
            </w:r>
          </w:p>
        </w:tc>
        <w:tc>
          <w:tcPr/>
          <w:p>
            <w:pPr>
              <w:pStyle w:val="Compact"/>
              <w:jc w:val="left"/>
            </w:pPr>
            <w:r>
              <w:t xml:space="preserve">5 months</w:t>
            </w:r>
          </w:p>
        </w:tc>
        <w:tc>
          <w:tcPr/>
          <w:p>
            <w:pPr>
              <w:pStyle w:val="Compact"/>
              <w:jc w:val="left"/>
            </w:pPr>
            <w:r>
              <w:t xml:space="preserve">IGF-1 ↑, lean mass ↑ only in men</w:t>
            </w:r>
          </w:p>
        </w:tc>
      </w:tr>
      <w:tr>
        <w:tc>
          <w:tcPr/>
          <w:p>
            <w:pPr>
              <w:pStyle w:val="Compact"/>
              <w:jc w:val="left"/>
            </w:pPr>
            <w:r>
              <w:t xml:space="preserve">Older men (Vittone 1997), PMID 9005976</w:t>
            </w:r>
          </w:p>
        </w:tc>
        <w:tc>
          <w:tcPr/>
          <w:p>
            <w:pPr>
              <w:pStyle w:val="Compact"/>
              <w:jc w:val="left"/>
            </w:pPr>
            <w:r>
              <w:t xml:space="preserve">11 healthy people, 64–76 years, no control group</w:t>
            </w:r>
          </w:p>
        </w:tc>
        <w:tc>
          <w:tcPr/>
          <w:p>
            <w:pPr>
              <w:pStyle w:val="Compact"/>
              <w:jc w:val="left"/>
            </w:pPr>
            <w:r>
              <w:t xml:space="preserve">6 weeks</w:t>
            </w:r>
          </w:p>
        </w:tc>
        <w:tc>
          <w:tcPr/>
          <w:p>
            <w:pPr>
              <w:pStyle w:val="Compact"/>
              <w:jc w:val="left"/>
            </w:pPr>
            <w:r>
              <w:t xml:space="preserve">GH ↑, IGF-1 and body composition unchanged</w:t>
            </w:r>
          </w:p>
        </w:tc>
      </w:tr>
      <w:tr>
        <w:tc>
          <w:tcPr/>
          <w:p>
            <w:pPr>
              <w:pStyle w:val="Compact"/>
              <w:jc w:val="left"/>
            </w:pPr>
            <w:r>
              <w:t xml:space="preserve">Men’s clinic (Sigalos 2017), PMID 28830317</w:t>
            </w:r>
          </w:p>
        </w:tc>
        <w:tc>
          <w:tcPr/>
          <w:p>
            <w:pPr>
              <w:pStyle w:val="Compact"/>
              <w:jc w:val="left"/>
            </w:pPr>
            <w:r>
              <w:t xml:space="preserve">14 men, retrospective, combination with GHRP-2/-6</w:t>
            </w:r>
          </w:p>
        </w:tc>
        <w:tc>
          <w:tcPr/>
          <w:p>
            <w:pPr>
              <w:pStyle w:val="Compact"/>
              <w:jc w:val="left"/>
            </w:pPr>
            <w:r>
              <w:t xml:space="preserve">134 days on average</w:t>
            </w:r>
          </w:p>
        </w:tc>
        <w:tc>
          <w:tcPr/>
          <w:p>
            <w:pPr>
              <w:pStyle w:val="Compact"/>
              <w:jc w:val="left"/>
            </w:pPr>
            <w:r>
              <w:t xml:space="preserve">IGF-1 159.5 → 239.0 ng/ml</w:t>
            </w:r>
          </w:p>
        </w:tc>
      </w:tr>
    </w:tbl>
    <w:bookmarkEnd w:id="1256"/>
    <w:bookmarkEnd w:id="1257"/>
    <w:bookmarkStart w:id="1260" w:name="animal-and-laboratory-studies-23"/>
    <w:p>
      <w:pPr>
        <w:pStyle w:val="Heading3"/>
      </w:pPr>
      <w:r>
        <w:t xml:space="preserve">Animal and laboratory studies</w:t>
      </w:r>
    </w:p>
    <w:p>
      <w:pPr>
        <w:pStyle w:val="FirstParagraph"/>
      </w:pPr>
      <w:r>
        <w:t xml:space="preserve">Sermorelin itself was studied in the laboratory mainly in connection with its discovery and with variants with a longer duration of action, for example variants coupled to polyethylene glycol, which acted longer than the unmodified peptide in rats and pigs</w:t>
      </w:r>
      <w:r>
        <w:rPr>
          <w:rStyle w:val="FootnoteReference"/>
        </w:rPr>
        <w:footnoteReference w:id="1258"/>
      </w:r>
      <w:r>
        <w:t xml:space="preserve">. A purely computational study that matched gene activity data from glioma patients against a drug database named sermorelin as a possible candidate against recurrent brain tumors</w:t>
      </w:r>
      <w:r>
        <w:rPr>
          <w:rStyle w:val="FootnoteReference"/>
        </w:rPr>
        <w:footnoteReference w:id="1259"/>
      </w:r>
      <w:r>
        <w:t xml:space="preserve">. This is a computer hypothesis without laboratory or patient confirmation – and stands in striking contrast to the concern that stimulating the growth axis might rather promote tumors.</w:t>
      </w:r>
    </w:p>
    <w:bookmarkEnd w:id="1260"/>
    <w:bookmarkStart w:id="1266" w:name="risks-and-side-effects-23"/>
    <w:p>
      <w:pPr>
        <w:pStyle w:val="Heading3"/>
      </w:pPr>
      <w:r>
        <w:t xml:space="preserve">Risks and side effects</w:t>
      </w:r>
    </w:p>
    <w:p>
      <w:pPr>
        <w:pStyle w:val="FirstParagraph"/>
      </w:pPr>
      <w:r>
        <w:rPr>
          <w:bCs/>
          <w:b/>
        </w:rPr>
        <w:t xml:space="preserve">Documented (from approval and study data):</w:t>
      </w:r>
      <w:r>
        <w:t xml:space="preserve"> </w:t>
      </w:r>
      <w:r>
        <w:t xml:space="preserve">temporary facial flushing and pain at the injection site were the most common side effects</w:t>
      </w:r>
      <w:r>
        <w:rPr>
          <w:rStyle w:val="FootnoteReference"/>
        </w:rPr>
        <w:footnoteReference w:id="1261"/>
      </w:r>
      <w:r>
        <w:t xml:space="preserve">. Antibodies against sermorelin frequently occurred in children, without discernible consequences</w:t>
      </w:r>
      <w:r>
        <w:rPr>
          <w:rStyle w:val="FootnoteReference"/>
        </w:rPr>
        <w:footnoteReference w:id="1262"/>
      </w:r>
      <w:r>
        <w:t xml:space="preserve">. In individual studies, blood glucose, insulin or blood lipids rose temporarily</w:t>
      </w:r>
      <w:r>
        <w:rPr>
          <w:rStyle w:val="FootnoteReference"/>
        </w:rPr>
        <w:footnoteReference w:id="1263"/>
      </w:r>
      <w:r>
        <w:t xml:space="preserve">.</w:t>
      </w:r>
    </w:p>
    <w:p>
      <w:pPr>
        <w:pStyle w:val="BodyText"/>
      </w:pPr>
      <w:r>
        <w:rPr>
          <w:bCs/>
          <w:b/>
        </w:rPr>
        <w:t xml:space="preserve">Long-term risks:</w:t>
      </w:r>
      <w:r>
        <w:t xml:space="preserve"> </w:t>
      </w:r>
      <w:r>
        <w:t xml:space="preserve">There are no systematic long-term data on sermorelin in adults. A case report describes a 62-year-old recreational bodybuilder who had used growth hormone and GH releasers (including sermorelin with GHRP-6) for around 20 years and developed swallowing difficulties due to a large bone spur on the cervical spine; the authors consider a connection possible but not proven</w:t>
      </w:r>
      <w:r>
        <w:rPr>
          <w:rStyle w:val="FootnoteReference"/>
        </w:rPr>
        <w:footnoteReference w:id="1264"/>
      </w:r>
      <w:r>
        <w:t xml:space="preserve">. On the fundamental question of whether a sustained increase in IGF-1 raises the risk of cancer, see the introduction to this group and Part IV.</w:t>
      </w:r>
    </w:p>
    <w:p>
      <w:pPr>
        <w:pStyle w:val="BodyText"/>
      </w:pPr>
      <w:r>
        <w:rPr>
          <w:bCs/>
          <w:b/>
        </w:rPr>
        <w:t xml:space="preserve">Gray market:</w:t>
      </w:r>
      <w:r>
        <w:t xml:space="preserve"> </w:t>
      </w:r>
      <w:r>
        <w:t xml:space="preserve">In a European customs operation, sermorelin products were found among seized injectable preparations alongside growth hormone and melanotan II – without labeling and in some cases without active substance</w:t>
      </w:r>
      <w:r>
        <w:rPr>
          <w:rStyle w:val="FootnoteReference"/>
        </w:rPr>
        <w:footnoteReference w:id="1265"/>
      </w:r>
      <w:r>
        <w:t xml:space="preserve">.</w:t>
      </w:r>
    </w:p>
    <w:bookmarkEnd w:id="1266"/>
    <w:bookmarkStart w:id="1270" w:name="legal-status-23"/>
    <w:p>
      <w:pPr>
        <w:pStyle w:val="Heading3"/>
      </w:pPr>
      <w:r>
        <w:t xml:space="preserve">Legal status</w:t>
      </w:r>
    </w:p>
    <w:p>
      <w:pPr>
        <w:pStyle w:val="FirstParagraph"/>
      </w:pPr>
      <w:r>
        <w:rPr>
          <w:iCs/>
          <w:i/>
        </w:rPr>
        <w:t xml:space="preserve">As of 2026, please check for updates.</w:t>
      </w:r>
    </w:p>
    <w:p>
      <w:pPr>
        <w:numPr>
          <w:ilvl w:val="0"/>
          <w:numId w:val="1149"/>
        </w:numPr>
        <w:pStyle w:val="Compact"/>
      </w:pPr>
      <w:r>
        <w:rPr>
          <w:bCs/>
          <w:b/>
        </w:rPr>
        <w:t xml:space="preserve">Background of the US approval:</w:t>
      </w:r>
      <w:r>
        <w:t xml:space="preserve"> </w:t>
      </w:r>
      <w:r>
        <w:t xml:space="preserve">Geref was initially approved in the USA as a diagnostic agent and, from the 1990s, for the treatment of children with growth hormone deficiency. The manufacturer discontinued distribution toward the end of the 2000s; according to publicly available information, for manufacturing or commercial reasons and not because of a newly identified safety problem. That the diagnostic agent disappeared around this time is documented in a study</w:t>
      </w:r>
      <w:r>
        <w:rPr>
          <w:rStyle w:val="FootnoteReference"/>
        </w:rPr>
        <w:footnoteReference w:id="1267"/>
      </w:r>
      <w:r>
        <w:t xml:space="preserve">. There is no finished medicinal product with a valid approval today.</w:t>
      </w:r>
    </w:p>
    <w:p>
      <w:pPr>
        <w:numPr>
          <w:ilvl w:val="0"/>
          <w:numId w:val="1149"/>
        </w:numPr>
        <w:pStyle w:val="Compact"/>
      </w:pPr>
      <w:r>
        <w:rPr>
          <w:bCs/>
          <w:b/>
        </w:rPr>
        <w:t xml:space="preserve">USA today:</w:t>
      </w:r>
      <w:r>
        <w:t xml:space="preserve"> </w:t>
      </w:r>
      <w:r>
        <w:t xml:space="preserve">Sermorelin is produced by compounding pharmacies and prescribed mainly in anti-aging practices. Whether and under what conditions this is permissible depends on the changing FDA rules for compounding substances, which are debated controversially in professional circles</w:t>
      </w:r>
      <w:r>
        <w:rPr>
          <w:rStyle w:val="FootnoteReference"/>
        </w:rPr>
        <w:footnoteReference w:id="1268"/>
      </w:r>
      <w:r>
        <w:t xml:space="preserve">.</w:t>
      </w:r>
    </w:p>
    <w:p>
      <w:pPr>
        <w:numPr>
          <w:ilvl w:val="0"/>
          <w:numId w:val="1149"/>
        </w:numPr>
        <w:pStyle w:val="Compact"/>
      </w:pPr>
      <w:r>
        <w:rPr>
          <w:bCs/>
          <w:b/>
        </w:rPr>
        <w:t xml:space="preserve">EU, Germany, Austria:</w:t>
      </w:r>
      <w:r>
        <w:t xml:space="preserve"> </w:t>
      </w:r>
      <w:r>
        <w:t xml:space="preserve">no approval, no finished medicinal product on the market. Supplying it for use in humans without approval is impermissible under the respective medicines act;</w:t>
      </w:r>
      <w:r>
        <w:t xml:space="preserve"> </w:t>
      </w:r>
      <w:r>
        <w:t xml:space="preserve">“</w:t>
      </w:r>
      <w:r>
        <w:t xml:space="preserve">for research purposes only</w:t>
      </w:r>
      <w:r>
        <w:t xml:space="preserve">”</w:t>
      </w:r>
      <w:r>
        <w:t xml:space="preserve"> </w:t>
      </w:r>
      <w:r>
        <w:t xml:space="preserve">labels do not change this.</w:t>
      </w:r>
    </w:p>
    <w:p>
      <w:pPr>
        <w:numPr>
          <w:ilvl w:val="0"/>
          <w:numId w:val="1149"/>
        </w:numPr>
        <w:pStyle w:val="Compact"/>
      </w:pPr>
      <w:r>
        <w:rPr>
          <w:bCs/>
          <w:b/>
        </w:rPr>
        <w:t xml:space="preserve">WADA:</w:t>
      </w:r>
      <w:r>
        <w:t xml:space="preserve"> </w:t>
      </w:r>
      <w:r>
        <w:t xml:space="preserve">prohibited (S2). Detection methods for sermorelin and its breakdown products in urine have been developed</w:t>
      </w:r>
      <w:r>
        <w:rPr>
          <w:rStyle w:val="FootnoteReference"/>
        </w:rPr>
        <w:footnoteReference w:id="1269"/>
      </w:r>
      <w:r>
        <w:t xml:space="preserve">.</w:t>
      </w:r>
    </w:p>
    <w:bookmarkEnd w:id="1270"/>
    <w:bookmarkStart w:id="1271" w:name="ongoing-studies-and-outlook-23"/>
    <w:p>
      <w:pPr>
        <w:pStyle w:val="Heading3"/>
      </w:pPr>
      <w:r>
        <w:t xml:space="preserve">Ongoing studies and outlook</w:t>
      </w:r>
    </w:p>
    <w:p>
      <w:pPr>
        <w:pStyle w:val="FirstParagraph"/>
      </w:pPr>
      <w:r>
        <w:t xml:space="preserve">As of October 2026, no ongoing clinical trial with sermorelin itself is listed on ClinicalTrials.gov; the registry entries under this search term concern completed GHRH studies or tesamorelin.</w:t>
      </w:r>
      <w:r>
        <w:t xml:space="preserve"> </w:t>
      </w:r>
      <w:r>
        <w:rPr>
          <w:iCs/>
          <w:i/>
        </w:rPr>
        <w:t xml:space="preserve">Author’s assessment:</w:t>
      </w:r>
      <w:r>
        <w:t xml:space="preserve"> </w:t>
      </w:r>
      <w:r>
        <w:t xml:space="preserve">A return as an approved medicine is not in sight. Demand will continue to be driven by clinics and online suppliers, not by new study data.</w:t>
      </w:r>
    </w:p>
    <w:bookmarkEnd w:id="1271"/>
    <w:bookmarkStart w:id="1272" w:name="conclusion-23"/>
    <w:p>
      <w:pPr>
        <w:pStyle w:val="Heading3"/>
      </w:pPr>
      <w:r>
        <w:t xml:space="preserve">Conclusion</w:t>
      </w:r>
    </w:p>
    <w:p>
      <w:pPr>
        <w:pStyle w:val="FirstParagraph"/>
      </w:pPr>
      <w:r>
        <w:t xml:space="preserve">Sermorelin reliably stimulates the body’s own release of growth hormone and was approved in the USA for children with growth hormone deficiency, but was weaker there than growth hormone itself. The studies in older adults each include only about ten to twenty people and show at most small, inconsistent effects. Evidence of a benefit as an</w:t>
      </w:r>
      <w:r>
        <w:t xml:space="preserve"> </w:t>
      </w:r>
      <w:r>
        <w:t xml:space="preserve">“</w:t>
      </w:r>
      <w:r>
        <w:t xml:space="preserve">anti-aging</w:t>
      </w:r>
      <w:r>
        <w:t xml:space="preserve">”</w:t>
      </w:r>
      <w:r>
        <w:t xml:space="preserve"> </w:t>
      </w:r>
      <w:r>
        <w:t xml:space="preserve">agent or for performance enhancement is lacking, as are long-term safety data.</w:t>
      </w:r>
    </w:p>
    <w:bookmarkEnd w:id="1272"/>
    <w:bookmarkEnd w:id="1273"/>
    <w:bookmarkStart w:id="1313" w:name="tesamorelin"/>
    <w:p>
      <w:pPr>
        <w:pStyle w:val="Heading2"/>
      </w:pPr>
      <w:r>
        <w:t xml:space="preserve">Tesamorelin</w:t>
      </w:r>
    </w:p>
    <w:p>
      <w:pPr>
        <w:pStyle w:val="FirstParagraph"/>
      </w:pPr>
      <w:r>
        <w:t xml:space="preserve">Tesamorelin is the only peptide in this group that is currently approved in the United States as a medicine for long-term treatment – albeit for a very specific situation: excess abdominal fat in people with HIV. That is precisely what makes it instructive. Tesamorelin shows what increasing the body’s own growth hormone secretion actually achieves in clean, placebo-controlled trials – and what it does not. On the internet, by contrast, it is often promoted as a</w:t>
      </w:r>
      <w:r>
        <w:t xml:space="preserve"> </w:t>
      </w:r>
      <w:r>
        <w:t xml:space="preserve">“</w:t>
      </w:r>
      <w:r>
        <w:t xml:space="preserve">belly fat peptide</w:t>
      </w:r>
      <w:r>
        <w:t xml:space="preserve">”</w:t>
      </w:r>
      <w:r>
        <w:t xml:space="preserve"> </w:t>
      </w:r>
      <w:r>
        <w:t xml:space="preserve">for everyone. This chapter separates the proven use from the hopes.</w:t>
      </w:r>
    </w:p>
    <w:bookmarkStart w:id="1276" w:name="profile-24"/>
    <w:p>
      <w:pPr>
        <w:pStyle w:val="Heading3"/>
      </w:pPr>
      <w:r>
        <w:t xml:space="preserve">Profile</w:t>
      </w:r>
    </w:p>
    <w:p>
      <w:pPr>
        <w:numPr>
          <w:ilvl w:val="0"/>
          <w:numId w:val="1150"/>
        </w:numPr>
        <w:pStyle w:val="Compact"/>
      </w:pPr>
      <w:r>
        <w:rPr>
          <w:bCs/>
          <w:b/>
        </w:rPr>
        <w:t xml:space="preserve">Type and structure:</w:t>
      </w:r>
      <w:r>
        <w:t xml:space="preserve"> </w:t>
      </w:r>
      <w:r>
        <w:t xml:space="preserve">synthetic peptide of 44 amino acids; it corresponds to the complete human growth hormone–releasing hormone, GHRH(1-44)</w:t>
      </w:r>
      <w:r>
        <w:rPr>
          <w:rStyle w:val="FootnoteReference"/>
        </w:rPr>
        <w:footnoteReference w:id="1274"/>
      </w:r>
      <w:r>
        <w:t xml:space="preserve">, with an additional chemical group attached to its beginning that slows its rapid breakdown in the blood.</w:t>
      </w:r>
    </w:p>
    <w:p>
      <w:pPr>
        <w:numPr>
          <w:ilvl w:val="0"/>
          <w:numId w:val="1150"/>
        </w:numPr>
        <w:pStyle w:val="Compact"/>
      </w:pPr>
      <w:r>
        <w:rPr>
          <w:bCs/>
          <w:b/>
        </w:rPr>
        <w:t xml:space="preserve">Origin:</w:t>
      </w:r>
      <w:r>
        <w:t xml:space="preserve"> </w:t>
      </w:r>
      <w:r>
        <w:t xml:space="preserve">developed by the Canadian company Theratechnologies (development name TH9507).</w:t>
      </w:r>
    </w:p>
    <w:p>
      <w:pPr>
        <w:numPr>
          <w:ilvl w:val="0"/>
          <w:numId w:val="1150"/>
        </w:numPr>
        <w:pStyle w:val="Compact"/>
      </w:pPr>
      <w:r>
        <w:rPr>
          <w:bCs/>
          <w:b/>
        </w:rPr>
        <w:t xml:space="preserve">Mechanism of action:</w:t>
      </w:r>
      <w:r>
        <w:t xml:space="preserve"> </w:t>
      </w:r>
      <w:r>
        <w:t xml:space="preserve">like the body’s own GHRH, it binds to the GHRH receptor in the pituitary gland and thereby increases the body’s own, still pulsatile, secretion of growth hormone (GH); as a consequence, the messenger IGF-1 rises.</w:t>
      </w:r>
    </w:p>
    <w:p>
      <w:pPr>
        <w:numPr>
          <w:ilvl w:val="0"/>
          <w:numId w:val="1150"/>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yes (Egrifta, since 2010) for the reduction of excess abdominal fat in adults with HIV and lipodystrophy</w:t>
      </w:r>
      <w:r>
        <w:rPr>
          <w:rStyle w:val="FootnoteReference"/>
        </w:rPr>
        <w:footnoteReference w:id="1275"/>
      </w:r>
      <w:r>
        <w:t xml:space="preserve">.</w:t>
      </w:r>
    </w:p>
    <w:p>
      <w:pPr>
        <w:numPr>
          <w:ilvl w:val="0"/>
          <w:numId w:val="1150"/>
        </w:numPr>
        <w:pStyle w:val="Compact"/>
      </w:pPr>
      <w:r>
        <w:rPr>
          <w:bCs/>
          <w:b/>
        </w:rPr>
        <w:t xml:space="preserve">WADA:</w:t>
      </w:r>
      <w:r>
        <w:t xml:space="preserve"> </w:t>
      </w:r>
      <w:r>
        <w:t xml:space="preserve">prohibited, class S2 (peptide hormones, growth factors, related substances) – explicitly covered as a GHRH analog.</w:t>
      </w:r>
    </w:p>
    <w:p>
      <w:pPr>
        <w:numPr>
          <w:ilvl w:val="0"/>
          <w:numId w:val="1150"/>
        </w:numPr>
        <w:pStyle w:val="Compact"/>
      </w:pPr>
      <w:r>
        <w:rPr>
          <w:bCs/>
          <w:b/>
        </w:rPr>
        <w:t xml:space="preserve">Evidence level: A</w:t>
      </w:r>
      <w:r>
        <w:t xml:space="preserve"> </w:t>
      </w:r>
      <w:r>
        <w:t xml:space="preserve">– two large phase 3 trials with a combined 806 participants, several further randomized trials, approval in the United States.</w:t>
      </w:r>
    </w:p>
    <w:bookmarkEnd w:id="1276"/>
    <w:bookmarkStart w:id="1277" w:name="how-it-is-supposed-to-work-24"/>
    <w:p>
      <w:pPr>
        <w:pStyle w:val="Heading3"/>
      </w:pPr>
      <w:r>
        <w:t xml:space="preserve">How it is supposed to work</w:t>
      </w:r>
    </w:p>
    <w:p>
      <w:pPr>
        <w:pStyle w:val="FirstParagraph"/>
      </w:pPr>
      <w:r>
        <w:t xml:space="preserve">Growth hormone is not released by the pituitary gland (hypophysis) evenly but in bursts, mainly at night. This is controlled by two opposing hormones from the hypothalamus: GHRH steps on the gas, somatostatin hits the brakes. Growth hormone itself breaks down fat – especially the fat between the organs in the abdominal cavity (visceral fat) – and stimulates the liver to produce IGF-1, which mediates many of its anabolic effects.</w:t>
      </w:r>
    </w:p>
    <w:p>
      <w:pPr>
        <w:pStyle w:val="BodyText"/>
      </w:pPr>
      <w:r>
        <w:t xml:space="preserve">Under certain HIV therapies, especially the older ones, some people accumulate a striking amount of abdominal fat while their arms and legs tend to become thinner. This redistribution of fat is called lipodystrophy. In those affected, growth hormone secretion is often reduced. The idea behind tesamorelin: instead of injecting growth hormone from outside, you stimulate the body’s own pituitary. Because the body’s own feedback loops remain intact, excessive levels and their side effects should be less common than with direct GH administration – an assumption that the trials support in part, but not completely.</w:t>
      </w:r>
    </w:p>
    <w:bookmarkEnd w:id="1277"/>
    <w:bookmarkStart w:id="1295" w:name="human-studies-24"/>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23</w:t>
      </w:r>
      <w:r>
        <w:t xml:space="preserve"> </w:t>
      </w:r>
      <w:r>
        <w:t xml:space="preserve">human studies in PubMed (</w:t>
      </w:r>
      <w:r>
        <w:rPr>
          <w:rStyle w:val="VerbatimChar"/>
        </w:rPr>
        <w:t xml:space="preserve">humanstudien_alle</w:t>
      </w:r>
      <w:r>
        <w:t xml:space="preserve">) and</w:t>
      </w:r>
      <w:r>
        <w:t xml:space="preserve"> </w:t>
      </w:r>
      <w:r>
        <w:rPr>
          <w:bCs/>
          <w:b/>
        </w:rPr>
        <w:t xml:space="preserve">24</w:t>
      </w:r>
      <w:r>
        <w:t xml:space="preserve"> </w:t>
      </w:r>
      <w:r>
        <w:t xml:space="preserve">entries on ClinicalTrials.gov; one of them (sponsor</w:t>
      </w:r>
      <w:r>
        <w:t xml:space="preserve"> </w:t>
      </w:r>
      <w:r>
        <w:t xml:space="preserve">“</w:t>
      </w:r>
      <w:r>
        <w:t xml:space="preserve">Hudson Biotech,</w:t>
      </w:r>
      <w:r>
        <w:t xml:space="preserve">”</w:t>
      </w:r>
      <w:r>
        <w:t xml:space="preserve"> </w:t>
      </w:r>
      <w:r>
        <w:t xml:space="preserve">title suffix</w:t>
      </w:r>
      <w:r>
        <w:t xml:space="preserve"> </w:t>
      </w:r>
      <w:r>
        <w:t xml:space="preserve">“</w:t>
      </w:r>
      <w:r>
        <w:t xml:space="preserve">Mock Study</w:t>
      </w:r>
      <w:r>
        <w:t xml:space="preserve">”</w:t>
      </w:r>
      <w:r>
        <w:t xml:space="preserve">) is evidently a fictitious sample entry and is not counted here, leaving</w:t>
      </w:r>
      <w:r>
        <w:t xml:space="preserve"> </w:t>
      </w:r>
      <w:r>
        <w:rPr>
          <w:bCs/>
          <w:b/>
        </w:rPr>
        <w:t xml:space="preserve">23</w:t>
      </w:r>
      <w:r>
        <w:t xml:space="preserve"> </w:t>
      </w:r>
      <w:r>
        <w:t xml:space="preserve">genuine registered studies. In addition, there are three systematic reviews with meta-analyses.</w:t>
      </w:r>
    </w:p>
    <w:bookmarkStart w:id="1283" w:name="the-approval-trials"/>
    <w:p>
      <w:pPr>
        <w:pStyle w:val="Heading4"/>
      </w:pPr>
      <w:r>
        <w:t xml:space="preserve">The approval trials</w:t>
      </w:r>
    </w:p>
    <w:p>
      <w:pPr>
        <w:pStyle w:val="FirstParagraph"/>
      </w:pPr>
      <w:r>
        <w:t xml:space="preserve">Approval is based on two almost identically designed phase 3 trials in people with HIV and increased abdominal fat. In both, participants were randomized 2:1 to receive daily subcutaneous injections of tesamorelin or a dummy medication (placebo); after 26 weeks there was an extension phase in which part of the tesamorelin group continued treatment and another part was switched to placebo.</w:t>
      </w:r>
    </w:p>
    <w:p>
      <w:pPr>
        <w:pStyle w:val="BodyText"/>
      </w:pPr>
      <w:r>
        <w:t xml:space="preserve">In the first trial, with 412 participants (86% men), visceral fat measured by computed tomography decreased by 15.2% on tesamorelin and increased by 5.0% on placebo. Triglycerides (blood fats) fell by 50 mg/dL compared with an increase of 9 mg/dL. IGF-1 rose by 81.0%. Blood glucose values did not differ significantly; however, more participants in the tesamorelin group dropped out because of side effects</w:t>
      </w:r>
      <w:r>
        <w:rPr>
          <w:rStyle w:val="FootnoteReference"/>
        </w:rPr>
        <w:footnoteReference w:id="1278"/>
      </w:r>
      <w:r>
        <w:t xml:space="preserve">. Over 52 weeks, the reduction in abdominal fat with continuous treatment remained at about −18%; after stopping, the fat returned</w:t>
      </w:r>
      <w:r>
        <w:rPr>
          <w:rStyle w:val="FootnoteReference"/>
        </w:rPr>
        <w:footnoteReference w:id="1279"/>
      </w:r>
      <w:r>
        <w:t xml:space="preserve">.</w:t>
      </w:r>
    </w:p>
    <w:p>
      <w:pPr>
        <w:pStyle w:val="BodyText"/>
      </w:pPr>
      <w:r>
        <w:t xml:space="preserve">The second trial, with 404 participants, confirmed this: −10.9% visceral fat on tesamorelin compared with −0.6% on placebo after six months, no change in subcutaneous fat on the arms, legs and abdomen, and a rapid loss of the effect after switching to placebo</w:t>
      </w:r>
      <w:r>
        <w:rPr>
          <w:rStyle w:val="FootnoteReference"/>
        </w:rPr>
        <w:footnoteReference w:id="1280"/>
      </w:r>
      <w:r>
        <w:t xml:space="preserve">.</w:t>
      </w:r>
    </w:p>
    <w:p>
      <w:pPr>
        <w:pStyle w:val="BodyText"/>
      </w:pPr>
      <w:r>
        <w:t xml:space="preserve">The pooled analysis of both trials with 806 people showed a treatment effect of −15.4% in visceral fat after 26 weeks, improvements in triglycerides and in the ratio of total to HDL cholesterol, and in satisfaction with the appearance of the abdomen. The authors found no clinically meaningful differences in blood glucose values</w:t>
      </w:r>
      <w:r>
        <w:rPr>
          <w:rStyle w:val="FootnoteReference"/>
        </w:rPr>
        <w:footnoteReference w:id="1281"/>
      </w:r>
      <w:r>
        <w:t xml:space="preserve">. Not everyone benefits equally: a follow-up analysis defined a reduction in abdominal fat of at least 8% in advance as a</w:t>
      </w:r>
      <w:r>
        <w:t xml:space="preserve"> </w:t>
      </w:r>
      <w:r>
        <w:t xml:space="preserve">“</w:t>
      </w:r>
      <w:r>
        <w:t xml:space="preserve">response.</w:t>
      </w:r>
      <w:r>
        <w:t xml:space="preserve">”</w:t>
      </w:r>
      <w:r>
        <w:t xml:space="preserve"> </w:t>
      </w:r>
      <w:r>
        <w:t xml:space="preserve">In these responders, triglycerides fell considerably more, and blood glucose and HbA1c remained largely stable; in non-responders, fasting glucose and HbA1c rose slightly (post hoc analysis)</w:t>
      </w:r>
      <w:r>
        <w:rPr>
          <w:rStyle w:val="FootnoteReference"/>
        </w:rPr>
        <w:footnoteReference w:id="1282"/>
      </w:r>
      <w:r>
        <w:t xml:space="preserve">.</w:t>
      </w:r>
    </w:p>
    <w:bookmarkEnd w:id="1283"/>
    <w:bookmarkStart w:id="1286" w:name="liver-fat"/>
    <w:p>
      <w:pPr>
        <w:pStyle w:val="Heading4"/>
      </w:pPr>
      <w:r>
        <w:t xml:space="preserve">Liver fat</w:t>
      </w:r>
    </w:p>
    <w:p>
      <w:pPr>
        <w:pStyle w:val="FirstParagraph"/>
      </w:pPr>
      <w:r>
        <w:t xml:space="preserve">The effect on fatty liver is particularly interesting. In a smaller study of 50 people with HIV, liver fat decreased along with abdominal fat; fasting glucose rose temporarily after two weeks, but after six months there was no longer a significant difference</w:t>
      </w:r>
      <w:r>
        <w:rPr>
          <w:rStyle w:val="FootnoteReference"/>
        </w:rPr>
        <w:footnoteReference w:id="1284"/>
      </w:r>
      <w:r>
        <w:t xml:space="preserve">. A subsequent randomized, double-blind trial specifically studied 61 people with HIV and nonalcoholic fatty liver disease over twelve months with liver biopsies. The liver fat fraction fell by 4.1 percentage points more in absolute terms than on placebo, 37% in relative terms; 35% of the tesamorelin group but only 4% of the placebo group were below the fatty liver threshold of 5% at the end</w:t>
      </w:r>
      <w:r>
        <w:rPr>
          <w:rStyle w:val="FootnoteReference"/>
        </w:rPr>
        <w:footnoteReference w:id="1285"/>
      </w:r>
      <w:r>
        <w:t xml:space="preserve">. Whether this prevents liver cirrhosis or liver cancer in the long term has not been studied.</w:t>
      </w:r>
    </w:p>
    <w:bookmarkEnd w:id="1286"/>
    <w:bookmarkStart w:id="1291" w:name="other-uses"/>
    <w:p>
      <w:pPr>
        <w:pStyle w:val="Heading4"/>
      </w:pPr>
      <w:r>
        <w:t xml:space="preserve">Other uses</w:t>
      </w:r>
    </w:p>
    <w:p>
      <w:pPr>
        <w:pStyle w:val="FirstParagraph"/>
      </w:pPr>
      <w:r>
        <w:t xml:space="preserve">Outside of HIV, only smaller studies are available:</w:t>
      </w:r>
    </w:p>
    <w:p>
      <w:pPr>
        <w:numPr>
          <w:ilvl w:val="0"/>
          <w:numId w:val="1151"/>
        </w:numPr>
        <w:pStyle w:val="Compact"/>
      </w:pPr>
      <w:r>
        <w:t xml:space="preserve">In 60 people with abdominal obesity and reduced GH secretion (without HIV), tesamorelin lowered visceral fat, triglycerides, C-reactive protein and the thickness of the carotid artery wall over twelve months without worsening blood glucose values</w:t>
      </w:r>
      <w:r>
        <w:rPr>
          <w:rStyle w:val="FootnoteReference"/>
        </w:rPr>
        <w:footnoteReference w:id="1287"/>
      </w:r>
      <w:r>
        <w:t xml:space="preserve">.</w:t>
      </w:r>
    </w:p>
    <w:p>
      <w:pPr>
        <w:numPr>
          <w:ilvl w:val="0"/>
          <w:numId w:val="1151"/>
        </w:numPr>
        <w:pStyle w:val="Compact"/>
      </w:pPr>
      <w:r>
        <w:t xml:space="preserve">In 53 people with type 2 diabetes, neither insulin response nor HbA1c changed over twelve weeks compared with placebo</w:t>
      </w:r>
      <w:r>
        <w:rPr>
          <w:rStyle w:val="FootnoteReference"/>
        </w:rPr>
        <w:footnoteReference w:id="1288"/>
      </w:r>
      <w:r>
        <w:t xml:space="preserve">.</w:t>
      </w:r>
    </w:p>
    <w:p>
      <w:pPr>
        <w:numPr>
          <w:ilvl w:val="0"/>
          <w:numId w:val="1151"/>
        </w:numPr>
        <w:pStyle w:val="Compact"/>
      </w:pPr>
      <w:r>
        <w:t xml:space="preserve">In a study of 152 older adults (55 to 87 years), 66 of whom had mild cognitive impairment, a favorable effect on the overall rating of cognitive performance, especially on executive functions, was seen after 20 weeks. Side effects – mostly mild – were reported by 68% on tesamorelin compared with 36% on placebo</w:t>
      </w:r>
      <w:r>
        <w:rPr>
          <w:rStyle w:val="FootnoteReference"/>
        </w:rPr>
        <w:footnoteReference w:id="1289"/>
      </w:r>
      <w:r>
        <w:t xml:space="preserve">. A confirmatory trial is lacking.</w:t>
      </w:r>
    </w:p>
    <w:p>
      <w:pPr>
        <w:numPr>
          <w:ilvl w:val="0"/>
          <w:numId w:val="1151"/>
        </w:numPr>
        <w:pStyle w:val="Compact"/>
      </w:pPr>
      <w:r>
        <w:t xml:space="preserve">In 73 people with HIV, abdominal obesity and cognitive impairment, an open-label phase 2 trial found no significant difference in cognitive performance compared with standard care</w:t>
      </w:r>
      <w:r>
        <w:rPr>
          <w:rStyle w:val="FootnoteReference"/>
        </w:rPr>
        <w:footnoteReference w:id="1290"/>
      </w:r>
      <w:r>
        <w:t xml:space="preserve">.</w:t>
      </w:r>
    </w:p>
    <w:bookmarkEnd w:id="1291"/>
    <w:bookmarkStart w:id="1294" w:name="meta-analyses"/>
    <w:p>
      <w:pPr>
        <w:pStyle w:val="Heading4"/>
      </w:pPr>
      <w:r>
        <w:t xml:space="preserve">Meta-analyses</w:t>
      </w:r>
    </w:p>
    <w:p>
      <w:pPr>
        <w:pStyle w:val="FirstParagraph"/>
      </w:pPr>
      <w:r>
        <w:t xml:space="preserve">Two meta-analyses from 2026 summarize the randomized trials in HIV lipodystrophy. One (four trials, 909 people) found a reduction in visceral fat, in waist circumference by 1.61 cm and in trunk fat, as well as an increase in lean mass of 1.42 kg; the rate of discontinuation due to side effects tended to be higher (risk ratio 2.25, narrowly not statistically significant)</w:t>
      </w:r>
      <w:r>
        <w:rPr>
          <w:rStyle w:val="FootnoteReference"/>
        </w:rPr>
        <w:footnoteReference w:id="1292"/>
      </w:r>
      <w:r>
        <w:t xml:space="preserve">. The other (five trials) confirmed the reduction in liver fat by 4.28 percentage points and named joint and muscle pain, abnormal sensations (paresthesia) and skin reactions at the injection site as typical side effects</w:t>
      </w:r>
      <w:r>
        <w:rPr>
          <w:rStyle w:val="FootnoteReference"/>
        </w:rPr>
        <w:footnoteReference w:id="1293"/>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3, trial 1 (Falutz 2007), PMID 18057338</w:t>
            </w:r>
          </w:p>
        </w:tc>
        <w:tc>
          <w:tcPr/>
          <w:p>
            <w:pPr>
              <w:pStyle w:val="Compact"/>
              <w:jc w:val="left"/>
            </w:pPr>
            <w:r>
              <w:t xml:space="preserve">412 people with HIV and abdominal fat, RCT vs. placebo</w:t>
            </w:r>
          </w:p>
        </w:tc>
        <w:tc>
          <w:tcPr/>
          <w:p>
            <w:pPr>
              <w:pStyle w:val="Compact"/>
              <w:jc w:val="left"/>
            </w:pPr>
            <w:r>
              <w:t xml:space="preserve">26 weeks</w:t>
            </w:r>
          </w:p>
        </w:tc>
        <w:tc>
          <w:tcPr/>
          <w:p>
            <w:pPr>
              <w:pStyle w:val="Compact"/>
              <w:jc w:val="left"/>
            </w:pPr>
            <w:r>
              <w:t xml:space="preserve">visceral fat −15.2% vs. +5.0%</w:t>
            </w:r>
          </w:p>
        </w:tc>
      </w:tr>
      <w:tr>
        <w:tc>
          <w:tcPr/>
          <w:p>
            <w:pPr>
              <w:pStyle w:val="Compact"/>
              <w:jc w:val="left"/>
            </w:pPr>
            <w:r>
              <w:t xml:space="preserve">Phase 3, trial 2 (Falutz 2010), PMID 20101189</w:t>
            </w:r>
          </w:p>
        </w:tc>
        <w:tc>
          <w:tcPr/>
          <w:p>
            <w:pPr>
              <w:pStyle w:val="Compact"/>
              <w:jc w:val="left"/>
            </w:pPr>
            <w:r>
              <w:t xml:space="preserve">404 people with HIV, RCT with extension phase</w:t>
            </w:r>
          </w:p>
        </w:tc>
        <w:tc>
          <w:tcPr/>
          <w:p>
            <w:pPr>
              <w:pStyle w:val="Compact"/>
              <w:jc w:val="left"/>
            </w:pPr>
            <w:r>
              <w:t xml:space="preserve">12 months</w:t>
            </w:r>
          </w:p>
        </w:tc>
        <w:tc>
          <w:tcPr/>
          <w:p>
            <w:pPr>
              <w:pStyle w:val="Compact"/>
              <w:jc w:val="left"/>
            </w:pPr>
            <w:r>
              <w:t xml:space="preserve">−10.9% vs. −0.6% after 6 months; effect lost after stopping</w:t>
            </w:r>
          </w:p>
        </w:tc>
      </w:tr>
      <w:tr>
        <w:tc>
          <w:tcPr/>
          <w:p>
            <w:pPr>
              <w:pStyle w:val="Compact"/>
              <w:jc w:val="left"/>
            </w:pPr>
            <w:r>
              <w:t xml:space="preserve">Pooled analysis (Falutz 2010), PMID 20554713</w:t>
            </w:r>
          </w:p>
        </w:tc>
        <w:tc>
          <w:tcPr/>
          <w:p>
            <w:pPr>
              <w:pStyle w:val="Compact"/>
              <w:jc w:val="left"/>
            </w:pPr>
            <w:r>
              <w:t xml:space="preserve">806 people from both phase 3 trials</w:t>
            </w:r>
          </w:p>
        </w:tc>
        <w:tc>
          <w:tcPr/>
          <w:p>
            <w:pPr>
              <w:pStyle w:val="Compact"/>
              <w:jc w:val="left"/>
            </w:pPr>
            <w:r>
              <w:t xml:space="preserve">26–52 weeks</w:t>
            </w:r>
          </w:p>
        </w:tc>
        <w:tc>
          <w:tcPr/>
          <w:p>
            <w:pPr>
              <w:pStyle w:val="Compact"/>
              <w:jc w:val="left"/>
            </w:pPr>
            <w:r>
              <w:t xml:space="preserve">treatment effect −15.4%; blood glucose without clinically relevant change</w:t>
            </w:r>
          </w:p>
        </w:tc>
      </w:tr>
      <w:tr>
        <w:tc>
          <w:tcPr/>
          <w:p>
            <w:pPr>
              <w:pStyle w:val="Compact"/>
              <w:jc w:val="left"/>
            </w:pPr>
            <w:r>
              <w:t xml:space="preserve">Fatty liver in HIV (Stanley 2019), PMID 31611038</w:t>
            </w:r>
          </w:p>
        </w:tc>
        <w:tc>
          <w:tcPr/>
          <w:p>
            <w:pPr>
              <w:pStyle w:val="Compact"/>
              <w:jc w:val="left"/>
            </w:pPr>
            <w:r>
              <w:t xml:space="preserve">61 people with HIV and fatty liver, RCT</w:t>
            </w:r>
          </w:p>
        </w:tc>
        <w:tc>
          <w:tcPr/>
          <w:p>
            <w:pPr>
              <w:pStyle w:val="Compact"/>
              <w:jc w:val="left"/>
            </w:pPr>
            <w:r>
              <w:t xml:space="preserve">12 months</w:t>
            </w:r>
          </w:p>
        </w:tc>
        <w:tc>
          <w:tcPr/>
          <w:p>
            <w:pPr>
              <w:pStyle w:val="Compact"/>
              <w:jc w:val="left"/>
            </w:pPr>
            <w:r>
              <w:t xml:space="preserve">liver fat fraction −4.1 percentage points vs. placebo</w:t>
            </w:r>
          </w:p>
        </w:tc>
      </w:tr>
      <w:tr>
        <w:tc>
          <w:tcPr/>
          <w:p>
            <w:pPr>
              <w:pStyle w:val="Compact"/>
              <w:jc w:val="left"/>
            </w:pPr>
            <w:r>
              <w:t xml:space="preserve">Without HIV (Makimura 2012), PMID 23015655</w:t>
            </w:r>
          </w:p>
        </w:tc>
        <w:tc>
          <w:tcPr/>
          <w:p>
            <w:pPr>
              <w:pStyle w:val="Compact"/>
              <w:jc w:val="left"/>
            </w:pPr>
            <w:r>
              <w:t xml:space="preserve">60 adults with abdominal obesity, RCT</w:t>
            </w:r>
          </w:p>
        </w:tc>
        <w:tc>
          <w:tcPr/>
          <w:p>
            <w:pPr>
              <w:pStyle w:val="Compact"/>
              <w:jc w:val="left"/>
            </w:pPr>
            <w:r>
              <w:t xml:space="preserve">12 months</w:t>
            </w:r>
          </w:p>
        </w:tc>
        <w:tc>
          <w:tcPr/>
          <w:p>
            <w:pPr>
              <w:pStyle w:val="Compact"/>
              <w:jc w:val="left"/>
            </w:pPr>
            <w:r>
              <w:t xml:space="preserve">visceral fat −35 cm² compared with placebo</w:t>
            </w:r>
          </w:p>
        </w:tc>
      </w:tr>
      <w:tr>
        <w:tc>
          <w:tcPr/>
          <w:p>
            <w:pPr>
              <w:pStyle w:val="Compact"/>
              <w:jc w:val="left"/>
            </w:pPr>
            <w:r>
              <w:t xml:space="preserve">Cognition in older age (Baker 2012), PMID 22869065</w:t>
            </w:r>
          </w:p>
        </w:tc>
        <w:tc>
          <w:tcPr/>
          <w:p>
            <w:pPr>
              <w:pStyle w:val="Compact"/>
              <w:jc w:val="left"/>
            </w:pPr>
            <w:r>
              <w:t xml:space="preserve">152 older adults, 66 of them with mild cognitive impairment, RCT</w:t>
            </w:r>
          </w:p>
        </w:tc>
        <w:tc>
          <w:tcPr/>
          <w:p>
            <w:pPr>
              <w:pStyle w:val="Compact"/>
              <w:jc w:val="left"/>
            </w:pPr>
            <w:r>
              <w:t xml:space="preserve">20 weeks</w:t>
            </w:r>
          </w:p>
        </w:tc>
        <w:tc>
          <w:tcPr/>
          <w:p>
            <w:pPr>
              <w:pStyle w:val="Compact"/>
              <w:jc w:val="left"/>
            </w:pPr>
            <w:r>
              <w:t xml:space="preserve">favorable effect on cognitive performance; more side effects</w:t>
            </w:r>
          </w:p>
        </w:tc>
      </w:tr>
      <w:tr>
        <w:tc>
          <w:tcPr/>
          <w:p>
            <w:pPr>
              <w:pStyle w:val="Compact"/>
              <w:jc w:val="left"/>
            </w:pPr>
            <w:r>
              <w:t xml:space="preserve">Meta-analysis (Ditta 2026), PMID 42538058</w:t>
            </w:r>
          </w:p>
        </w:tc>
        <w:tc>
          <w:tcPr/>
          <w:p>
            <w:pPr>
              <w:pStyle w:val="Compact"/>
              <w:jc w:val="left"/>
            </w:pPr>
            <w:r>
              <w:t xml:space="preserve">4 RCTs, 909 people with HIV</w:t>
            </w:r>
          </w:p>
        </w:tc>
        <w:tc>
          <w:tcPr/>
          <w:p>
            <w:pPr>
              <w:pStyle w:val="Compact"/>
              <w:jc w:val="left"/>
            </w:pPr>
            <w:r>
              <w:t xml:space="preserve">–</w:t>
            </w:r>
          </w:p>
        </w:tc>
        <w:tc>
          <w:tcPr/>
          <w:p>
            <w:pPr>
              <w:pStyle w:val="Compact"/>
              <w:jc w:val="left"/>
            </w:pPr>
            <w:r>
              <w:t xml:space="preserve">less visceral fat, +1.42 kg lean mass</w:t>
            </w:r>
          </w:p>
        </w:tc>
      </w:tr>
    </w:tbl>
    <w:bookmarkEnd w:id="1294"/>
    <w:bookmarkEnd w:id="1295"/>
    <w:bookmarkStart w:id="1299" w:name="animal-and-laboratory-studies-24"/>
    <w:p>
      <w:pPr>
        <w:pStyle w:val="Heading3"/>
      </w:pPr>
      <w:r>
        <w:t xml:space="preserve">Animal and laboratory studies</w:t>
      </w:r>
    </w:p>
    <w:p>
      <w:pPr>
        <w:pStyle w:val="FirstParagraph"/>
      </w:pPr>
      <w:r>
        <w:t xml:space="preserve">For tesamorelin itself there is comparatively little independent animal research; its development built on the well-studied endogenous GHRH. A review discusses whether stimulating the growth hormone axis could promote the regeneration of injured nerves, relying mainly on animal and mechanistic studies</w:t>
      </w:r>
      <w:r>
        <w:rPr>
          <w:rStyle w:val="FootnoteReference"/>
        </w:rPr>
        <w:footnoteReference w:id="1296"/>
      </w:r>
      <w:r>
        <w:t xml:space="preserve">. A small phase 2 trial on this in humans is registered</w:t>
      </w:r>
      <w:r>
        <w:rPr>
          <w:rStyle w:val="FootnoteReference"/>
        </w:rPr>
        <w:footnoteReference w:id="1297"/>
      </w:r>
      <w:r>
        <w:t xml:space="preserve">.</w:t>
      </w:r>
    </w:p>
    <w:p>
      <w:pPr>
        <w:pStyle w:val="BodyText"/>
      </w:pPr>
      <w:r>
        <w:t xml:space="preserve">A tissue analysis of the liver biopsies from the fatty liver trial found that on tesamorelin, gene sets for energy production in the mitochondria were more active and gene sets for inflammation, tissue remodeling and cell division were less active than on placebo</w:t>
      </w:r>
      <w:r>
        <w:rPr>
          <w:rStyle w:val="FootnoteReference"/>
        </w:rPr>
        <w:footnoteReference w:id="1298"/>
      </w:r>
      <w:r>
        <w:t xml:space="preserve">. These are findings from human tissue samples, but not clinical endpoints.</w:t>
      </w:r>
    </w:p>
    <w:bookmarkEnd w:id="1299"/>
    <w:bookmarkStart w:id="1308" w:name="risks-and-side-effects-24"/>
    <w:p>
      <w:pPr>
        <w:pStyle w:val="Heading3"/>
      </w:pPr>
      <w:r>
        <w:t xml:space="preserve">Risks and side effects</w:t>
      </w:r>
    </w:p>
    <w:p>
      <w:pPr>
        <w:pStyle w:val="FirstParagraph"/>
      </w:pPr>
      <w:r>
        <w:rPr>
          <w:bCs/>
          <w:b/>
        </w:rPr>
        <w:t xml:space="preserve">Established from the trials:</w:t>
      </w:r>
    </w:p>
    <w:p>
      <w:pPr>
        <w:numPr>
          <w:ilvl w:val="0"/>
          <w:numId w:val="1152"/>
        </w:numPr>
        <w:pStyle w:val="Compact"/>
      </w:pPr>
      <w:r>
        <w:t xml:space="preserve">Reactions at the injection site (redness, itching) – more frequent than on placebo in the fatty liver trial, but not serious</w:t>
      </w:r>
      <w:r>
        <w:rPr>
          <w:rStyle w:val="FootnoteReference"/>
        </w:rPr>
        <w:footnoteReference w:id="1300"/>
      </w:r>
      <w:r>
        <w:t xml:space="preserve">.</w:t>
      </w:r>
    </w:p>
    <w:p>
      <w:pPr>
        <w:numPr>
          <w:ilvl w:val="0"/>
          <w:numId w:val="1152"/>
        </w:numPr>
        <w:pStyle w:val="Compact"/>
      </w:pPr>
      <w:r>
        <w:t xml:space="preserve">Typical growth hormone effects such as joint and muscle pain and abnormal sensations</w:t>
      </w:r>
      <w:r>
        <w:rPr>
          <w:rStyle w:val="FootnoteReference"/>
        </w:rPr>
        <w:footnoteReference w:id="1301"/>
      </w:r>
      <w:r>
        <w:t xml:space="preserve">.</w:t>
      </w:r>
    </w:p>
    <w:p>
      <w:pPr>
        <w:numPr>
          <w:ilvl w:val="0"/>
          <w:numId w:val="1152"/>
        </w:numPr>
        <w:pStyle w:val="Compact"/>
      </w:pPr>
      <w:r>
        <w:t xml:space="preserve">Blood glucose: in the large trials no clinically relevant worsening on average, but a temporary rise in fasting glucose in the first weeks</w:t>
      </w:r>
      <w:r>
        <w:rPr>
          <w:rStyle w:val="FootnoteReference"/>
        </w:rPr>
        <w:footnoteReference w:id="1302"/>
      </w:r>
      <w:r>
        <w:t xml:space="preserve"> </w:t>
      </w:r>
      <w:r>
        <w:t xml:space="preserve">and a slight increase in people whose abdominal fat did not respond</w:t>
      </w:r>
      <w:r>
        <w:rPr>
          <w:rStyle w:val="FootnoteReference"/>
        </w:rPr>
        <w:footnoteReference w:id="1303"/>
      </w:r>
      <w:r>
        <w:t xml:space="preserve">. People with diabetes should be medically monitored.</w:t>
      </w:r>
    </w:p>
    <w:p>
      <w:pPr>
        <w:numPr>
          <w:ilvl w:val="0"/>
          <w:numId w:val="1152"/>
        </w:numPr>
        <w:pStyle w:val="Compact"/>
      </w:pPr>
      <w:r>
        <w:t xml:space="preserve">More treatment discontinuations due to side effects than on placebo</w:t>
      </w:r>
      <w:r>
        <w:rPr>
          <w:rStyle w:val="FootnoteReference"/>
        </w:rPr>
        <w:footnoteReference w:id="1304"/>
      </w:r>
      <w:r>
        <w:t xml:space="preserve">.</w:t>
      </w:r>
    </w:p>
    <w:p>
      <w:pPr>
        <w:numPr>
          <w:ilvl w:val="0"/>
          <w:numId w:val="1152"/>
        </w:numPr>
        <w:pStyle w:val="Compact"/>
      </w:pPr>
      <w:r>
        <w:t xml:space="preserve">The effect is not permanent: after stopping, the abdominal fat returns</w:t>
      </w:r>
      <w:r>
        <w:rPr>
          <w:rStyle w:val="FootnoteReference"/>
        </w:rPr>
        <w:footnoteReference w:id="1305"/>
      </w:r>
      <w:r>
        <w:t xml:space="preserve">.</w:t>
      </w:r>
    </w:p>
    <w:p>
      <w:pPr>
        <w:pStyle w:val="FirstParagraph"/>
      </w:pPr>
      <w:r>
        <w:rPr>
          <w:bCs/>
          <w:b/>
        </w:rPr>
        <w:t xml:space="preserve">Open or theoretical:</w:t>
      </w:r>
      <w:r>
        <w:t xml:space="preserve"> </w:t>
      </w:r>
      <w:r>
        <w:t xml:space="preserve">Tesamorelin raises IGF-1 markedly – by 81% in the first phase 3 trial. High IGF-1 levels are associated in observational studies with a somewhat higher risk of some types of cancer (details in the introduction to this group and in Part IV). No increased cancer risk can be read from the tesamorelin trials themselves, but they were too short for that. A long-term observational study by the manufacturer with 391 participants</w:t>
      </w:r>
      <w:r>
        <w:rPr>
          <w:rStyle w:val="FootnoteReference"/>
        </w:rPr>
        <w:footnoteReference w:id="1306"/>
      </w:r>
      <w:r>
        <w:t xml:space="preserve"> </w:t>
      </w:r>
      <w:r>
        <w:t xml:space="preserve">and a study on diabetic retinopathy</w:t>
      </w:r>
      <w:r>
        <w:rPr>
          <w:rStyle w:val="FootnoteReference"/>
        </w:rPr>
        <w:footnoteReference w:id="1307"/>
      </w:r>
      <w:r>
        <w:t xml:space="preserve"> </w:t>
      </w:r>
      <w:r>
        <w:t xml:space="preserve">were terminated early; I have not found published results for them in PubMed. According to the prescribing information, tesamorelin should not be used in people with active cancer; details are governed by the prescribing information, and its use belongs in medical hands.</w:t>
      </w:r>
    </w:p>
    <w:bookmarkEnd w:id="1308"/>
    <w:bookmarkStart w:id="1310" w:name="legal-status-24"/>
    <w:p>
      <w:pPr>
        <w:pStyle w:val="Heading3"/>
      </w:pPr>
      <w:r>
        <w:t xml:space="preserve">Legal status</w:t>
      </w:r>
    </w:p>
    <w:p>
      <w:pPr>
        <w:pStyle w:val="FirstParagraph"/>
      </w:pPr>
      <w:r>
        <w:rPr>
          <w:iCs/>
          <w:i/>
        </w:rPr>
        <w:t xml:space="preserve">As of 2026, please check for updates.</w:t>
      </w:r>
    </w:p>
    <w:p>
      <w:pPr>
        <w:numPr>
          <w:ilvl w:val="0"/>
          <w:numId w:val="1153"/>
        </w:numPr>
        <w:pStyle w:val="Compact"/>
      </w:pPr>
      <w:r>
        <w:rPr>
          <w:bCs/>
          <w:b/>
        </w:rPr>
        <w:t xml:space="preserve">EU:</w:t>
      </w:r>
      <w:r>
        <w:t xml:space="preserve"> </w:t>
      </w:r>
      <w:r>
        <w:t xml:space="preserve">not approved. Tesamorelin is not marketed as a finished medicinal product in any EU member state.</w:t>
      </w:r>
    </w:p>
    <w:p>
      <w:pPr>
        <w:numPr>
          <w:ilvl w:val="0"/>
          <w:numId w:val="1153"/>
        </w:numPr>
        <w:pStyle w:val="Compact"/>
      </w:pPr>
      <w:r>
        <w:rPr>
          <w:bCs/>
          <w:b/>
        </w:rPr>
        <w:t xml:space="preserve">Germany and Austria:</w:t>
      </w:r>
      <w:r>
        <w:t xml:space="preserve"> </w:t>
      </w:r>
      <w:r>
        <w:t xml:space="preserve">no approval. At most, it could be obtained through a physician-supervised individual import of a medicine approved abroad; supplying gray-market products for use in humans is not permitted.</w:t>
      </w:r>
    </w:p>
    <w:p>
      <w:pPr>
        <w:numPr>
          <w:ilvl w:val="0"/>
          <w:numId w:val="1153"/>
        </w:numPr>
        <w:pStyle w:val="Compact"/>
      </w:pPr>
      <w:r>
        <w:rPr>
          <w:bCs/>
          <w:b/>
        </w:rPr>
        <w:t xml:space="preserve">USA:</w:t>
      </w:r>
      <w:r>
        <w:t xml:space="preserve"> </w:t>
      </w:r>
      <w:r>
        <w:t xml:space="preserve">approved as Egrifta (prescription only) exclusively for the reduction of excess abdominal fat in HIV-associated lipodystrophy. Any other use – for example</w:t>
      </w:r>
      <w:r>
        <w:t xml:space="preserve"> </w:t>
      </w:r>
      <w:r>
        <w:t xml:space="preserve">“</w:t>
      </w:r>
      <w:r>
        <w:t xml:space="preserve">for weight loss</w:t>
      </w:r>
      <w:r>
        <w:t xml:space="preserve">”</w:t>
      </w:r>
      <w:r>
        <w:t xml:space="preserve"> </w:t>
      </w:r>
      <w:r>
        <w:t xml:space="preserve">or</w:t>
      </w:r>
      <w:r>
        <w:t xml:space="preserve"> </w:t>
      </w:r>
      <w:r>
        <w:t xml:space="preserve">“</w:t>
      </w:r>
      <w:r>
        <w:t xml:space="preserve">against aging</w:t>
      </w:r>
      <w:r>
        <w:t xml:space="preserve">”</w:t>
      </w:r>
      <w:r>
        <w:t xml:space="preserve"> </w:t>
      </w:r>
      <w:r>
        <w:t xml:space="preserve">– is off-label.</w:t>
      </w:r>
    </w:p>
    <w:p>
      <w:pPr>
        <w:numPr>
          <w:ilvl w:val="0"/>
          <w:numId w:val="1153"/>
        </w:numPr>
        <w:pStyle w:val="Compact"/>
      </w:pPr>
      <w:r>
        <w:rPr>
          <w:bCs/>
          <w:b/>
        </w:rPr>
        <w:t xml:space="preserve">WADA:</w:t>
      </w:r>
      <w:r>
        <w:t xml:space="preserve"> </w:t>
      </w:r>
      <w:r>
        <w:t xml:space="preserve">prohibited (S2), in and out of competition. Anti-doping laboratories have developed detection methods for tesamorelin and other GHRH analogs in urine</w:t>
      </w:r>
      <w:r>
        <w:rPr>
          <w:rStyle w:val="FootnoteReference"/>
        </w:rPr>
        <w:footnoteReference w:id="1309"/>
      </w:r>
      <w:r>
        <w:t xml:space="preserve">.</w:t>
      </w:r>
    </w:p>
    <w:bookmarkEnd w:id="1310"/>
    <w:bookmarkStart w:id="1311" w:name="ongoing-studies-and-outlook-24"/>
    <w:p>
      <w:pPr>
        <w:pStyle w:val="Heading3"/>
      </w:pPr>
      <w:r>
        <w:t xml:space="preserve">Ongoing studies and outlook</w:t>
      </w:r>
    </w:p>
    <w:p>
      <w:pPr>
        <w:pStyle w:val="FirstParagraph"/>
      </w:pPr>
      <w:r>
        <w:t xml:space="preserve">As of October 2026, ClinicalTrials.gov lists, among others, the following open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Design</w:t>
            </w:r>
          </w:p>
        </w:tc>
        <w:tc>
          <w:tcPr/>
          <w:p>
            <w:pPr>
              <w:pStyle w:val="Compact"/>
              <w:jc w:val="left"/>
            </w:pPr>
            <w:r>
              <w:t xml:space="preserve">Status</w:t>
            </w:r>
          </w:p>
        </w:tc>
        <w:tc>
          <w:tcPr/>
          <w:p>
            <w:pPr>
              <w:pStyle w:val="Compact"/>
              <w:jc w:val="left"/>
            </w:pPr>
            <w:r>
              <w:t xml:space="preserve">Topic</w:t>
            </w:r>
          </w:p>
        </w:tc>
      </w:tr>
      <w:tr>
        <w:tc>
          <w:tcPr/>
          <w:p>
            <w:pPr>
              <w:pStyle w:val="Compact"/>
              <w:jc w:val="left"/>
            </w:pPr>
            <w:r>
              <w:t xml:space="preserve">NCT06554717</w:t>
            </w:r>
          </w:p>
        </w:tc>
        <w:tc>
          <w:tcPr/>
          <w:p>
            <w:pPr>
              <w:pStyle w:val="Compact"/>
              <w:jc w:val="left"/>
            </w:pPr>
            <w:r>
              <w:t xml:space="preserve">Phase 2, 100 people</w:t>
            </w:r>
          </w:p>
        </w:tc>
        <w:tc>
          <w:tcPr/>
          <w:p>
            <w:pPr>
              <w:pStyle w:val="Compact"/>
              <w:jc w:val="left"/>
            </w:pPr>
            <w:r>
              <w:t xml:space="preserve">recruiting (start 2025)</w:t>
            </w:r>
          </w:p>
        </w:tc>
        <w:tc>
          <w:tcPr/>
          <w:p>
            <w:pPr>
              <w:pStyle w:val="Compact"/>
              <w:jc w:val="left"/>
            </w:pPr>
            <w:r>
              <w:t xml:space="preserve">tesamorelin in addition to exercise in HIV – physical performance</w:t>
            </w:r>
          </w:p>
        </w:tc>
      </w:tr>
      <w:tr>
        <w:tc>
          <w:tcPr/>
          <w:p>
            <w:pPr>
              <w:pStyle w:val="Compact"/>
              <w:jc w:val="left"/>
            </w:pPr>
            <w:r>
              <w:t xml:space="preserve">NCT03150511</w:t>
            </w:r>
          </w:p>
        </w:tc>
        <w:tc>
          <w:tcPr/>
          <w:p>
            <w:pPr>
              <w:pStyle w:val="Compact"/>
              <w:jc w:val="left"/>
            </w:pPr>
            <w:r>
              <w:t xml:space="preserve">Phase 2, 36 people</w:t>
            </w:r>
          </w:p>
        </w:tc>
        <w:tc>
          <w:tcPr/>
          <w:p>
            <w:pPr>
              <w:pStyle w:val="Compact"/>
              <w:jc w:val="left"/>
            </w:pPr>
            <w:r>
              <w:t xml:space="preserve">recruiting (since 2018)</w:t>
            </w:r>
          </w:p>
        </w:tc>
        <w:tc>
          <w:tcPr/>
          <w:p>
            <w:pPr>
              <w:pStyle w:val="Compact"/>
              <w:jc w:val="left"/>
            </w:pPr>
            <w:r>
              <w:t xml:space="preserve">recovery after peripheral nerve injury</w:t>
            </w:r>
          </w:p>
        </w:tc>
      </w:tr>
    </w:tbl>
    <w:p>
      <w:pPr>
        <w:pStyle w:val="BodyText"/>
      </w:pPr>
      <w:r>
        <w:t xml:space="preserve">What is</w:t>
      </w:r>
      <w:r>
        <w:t xml:space="preserve"> </w:t>
      </w:r>
      <w:r>
        <w:rPr>
          <w:iCs/>
          <w:i/>
        </w:rPr>
        <w:t xml:space="preserve">established</w:t>
      </w:r>
      <w:r>
        <w:t xml:space="preserve">, therefore, is only that research continues in small phase 2 trials.</w:t>
      </w:r>
      <w:r>
        <w:t xml:space="preserve"> </w:t>
      </w:r>
      <w:r>
        <w:rPr>
          <w:iCs/>
          <w:i/>
        </w:rPr>
        <w:t xml:space="preserve">Author’s assessment:</w:t>
      </w:r>
      <w:r>
        <w:t xml:space="preserve"> </w:t>
      </w:r>
      <w:r>
        <w:t xml:space="preserve">Fatty liver outside of HIV would be the most obvious new area of use, but there other agents with much larger trial programs are now competing. An approval in the EU is not foreseeable in the near future.</w:t>
      </w:r>
    </w:p>
    <w:bookmarkEnd w:id="1311"/>
    <w:bookmarkStart w:id="1312" w:name="conclusion-24"/>
    <w:p>
      <w:pPr>
        <w:pStyle w:val="Heading3"/>
      </w:pPr>
      <w:r>
        <w:t xml:space="preserve">Conclusion</w:t>
      </w:r>
    </w:p>
    <w:p>
      <w:pPr>
        <w:pStyle w:val="FirstParagraph"/>
      </w:pPr>
      <w:r>
        <w:t xml:space="preserve">Tesamorelin is the best-studied peptide of the growth hormone axis: two large phase 3 trials show that in people with HIV it reduces visceral abdominal fat by about 15 to 18% and also reduces liver fat. The effect lasts only as long as treatment continues, and not everyone responds. For healthy people, athletes, or as an</w:t>
      </w:r>
      <w:r>
        <w:t xml:space="preserve"> </w:t>
      </w:r>
      <w:r>
        <w:t xml:space="preserve">“</w:t>
      </w:r>
      <w:r>
        <w:t xml:space="preserve">anti-aging</w:t>
      </w:r>
      <w:r>
        <w:t xml:space="preserve">”</w:t>
      </w:r>
      <w:r>
        <w:t xml:space="preserve"> </w:t>
      </w:r>
      <w:r>
        <w:t xml:space="preserve">agent, there are no robust data. Long-term safety, especially with regard to the elevated IGF-1, has not been conclusively established.</w:t>
      </w:r>
    </w:p>
    <w:bookmarkEnd w:id="1312"/>
    <w:bookmarkEnd w:id="1313"/>
    <w:bookmarkStart w:id="1338" w:name="cjc-1295"/>
    <w:p>
      <w:pPr>
        <w:pStyle w:val="Heading2"/>
      </w:pPr>
      <w:r>
        <w:t xml:space="preserve">CJC-1295</w:t>
      </w:r>
    </w:p>
    <w:p>
      <w:pPr>
        <w:pStyle w:val="FirstParagraph"/>
      </w:pPr>
      <w:r>
        <w:t xml:space="preserve">Two different substances are sold on the internet under the name CJC-1295 – and that is the most important point of this chapter. The original CJC-1295 from the company ConjuChem is a growth hormone–releasing hormone with a chemical</w:t>
      </w:r>
      <w:r>
        <w:t xml:space="preserve"> </w:t>
      </w:r>
      <w:r>
        <w:t xml:space="preserve">“</w:t>
      </w:r>
      <w:r>
        <w:t xml:space="preserve">anchor</w:t>
      </w:r>
      <w:r>
        <w:t xml:space="preserve">”</w:t>
      </w:r>
      <w:r>
        <w:t xml:space="preserve"> </w:t>
      </w:r>
      <w:r>
        <w:t xml:space="preserve">that attaches to the protein albumin in the blood and extends its action to around one week. Gray-market dealers also offer</w:t>
      </w:r>
      <w:r>
        <w:t xml:space="preserve"> </w:t>
      </w:r>
      <w:r>
        <w:t xml:space="preserve">“</w:t>
      </w:r>
      <w:r>
        <w:t xml:space="preserve">CJC-1295 without DAC,</w:t>
      </w:r>
      <w:r>
        <w:t xml:space="preserve">”</w:t>
      </w:r>
      <w:r>
        <w:t xml:space="preserve"> </w:t>
      </w:r>
      <w:r>
        <w:t xml:space="preserve">which in the scientific literature is usually called</w:t>
      </w:r>
      <w:r>
        <w:t xml:space="preserve"> </w:t>
      </w:r>
      <w:r>
        <w:t xml:space="preserve">“</w:t>
      </w:r>
      <w:r>
        <w:t xml:space="preserve">modified GRF (1-29).</w:t>
      </w:r>
      <w:r>
        <w:t xml:space="preserve">”</w:t>
      </w:r>
      <w:r>
        <w:t xml:space="preserve"> </w:t>
      </w:r>
      <w:r>
        <w:t xml:space="preserve">For the first there are two small studies in healthy people; for the second, not a single one.</w:t>
      </w:r>
    </w:p>
    <w:bookmarkStart w:id="1315" w:name="profile-25"/>
    <w:p>
      <w:pPr>
        <w:pStyle w:val="Heading3"/>
      </w:pPr>
      <w:r>
        <w:t xml:space="preserve">Profile</w:t>
      </w:r>
    </w:p>
    <w:p>
      <w:pPr>
        <w:numPr>
          <w:ilvl w:val="0"/>
          <w:numId w:val="1154"/>
        </w:numPr>
        <w:pStyle w:val="Compact"/>
      </w:pPr>
      <w:r>
        <w:rPr>
          <w:bCs/>
          <w:b/>
        </w:rPr>
        <w:t xml:space="preserve">Type and structure:</w:t>
      </w:r>
      <w:r>
        <w:t xml:space="preserve"> </w:t>
      </w:r>
      <w:r>
        <w:t xml:space="preserve">synthetic analog of growth hormone–releasing hormone, based on its first 29 amino acids with four substituted building blocks that make it harder to break down.</w:t>
      </w:r>
    </w:p>
    <w:p>
      <w:pPr>
        <w:numPr>
          <w:ilvl w:val="1"/>
          <w:numId w:val="1155"/>
        </w:numPr>
        <w:pStyle w:val="Compact"/>
      </w:pPr>
      <w:r>
        <w:rPr>
          <w:iCs/>
          <w:i/>
        </w:rPr>
        <w:t xml:space="preserve">CJC-1295 with DAC</w:t>
      </w:r>
      <w:r>
        <w:t xml:space="preserve"> </w:t>
      </w:r>
      <w:r>
        <w:t xml:space="preserve">(Drug Affinity Complex): additionally a reactive anchor at the end of the chain that binds firmly to albumin after injection</w:t>
      </w:r>
      <w:r>
        <w:rPr>
          <w:rStyle w:val="FootnoteReference"/>
        </w:rPr>
        <w:footnoteReference w:id="1314"/>
      </w:r>
      <w:r>
        <w:t xml:space="preserve">.</w:t>
      </w:r>
    </w:p>
    <w:p>
      <w:pPr>
        <w:numPr>
          <w:ilvl w:val="1"/>
          <w:numId w:val="1155"/>
        </w:numPr>
        <w:pStyle w:val="Compact"/>
      </w:pPr>
      <w:r>
        <w:rPr>
          <w:iCs/>
          <w:i/>
        </w:rPr>
        <w:t xml:space="preserve">CJC-1295 without DAC</w:t>
      </w:r>
      <w:r>
        <w:t xml:space="preserve"> </w:t>
      </w:r>
      <w:r>
        <w:t xml:space="preserve">(</w:t>
      </w:r>
      <w:r>
        <w:t xml:space="preserve">“</w:t>
      </w:r>
      <w:r>
        <w:t xml:space="preserve">Mod GRF 1-29</w:t>
      </w:r>
      <w:r>
        <w:t xml:space="preserve">”</w:t>
      </w:r>
      <w:r>
        <w:t xml:space="preserve">): the same chain without the anchor; short duration of action.</w:t>
      </w:r>
    </w:p>
    <w:p>
      <w:pPr>
        <w:numPr>
          <w:ilvl w:val="0"/>
          <w:numId w:val="1154"/>
        </w:numPr>
        <w:pStyle w:val="Compact"/>
      </w:pPr>
      <w:r>
        <w:rPr>
          <w:bCs/>
          <w:b/>
        </w:rPr>
        <w:t xml:space="preserve">Origin:</w:t>
      </w:r>
      <w:r>
        <w:t xml:space="preserve"> </w:t>
      </w:r>
      <w:r>
        <w:t xml:space="preserve">developed by ConjuChem (Canada) in the 2000s; clinical development was not continued.</w:t>
      </w:r>
    </w:p>
    <w:p>
      <w:pPr>
        <w:numPr>
          <w:ilvl w:val="0"/>
          <w:numId w:val="1154"/>
        </w:numPr>
        <w:pStyle w:val="Compact"/>
      </w:pPr>
      <w:r>
        <w:rPr>
          <w:bCs/>
          <w:b/>
        </w:rPr>
        <w:t xml:space="preserve">Mechanism of action:</w:t>
      </w:r>
      <w:r>
        <w:t xml:space="preserve"> </w:t>
      </w:r>
      <w:r>
        <w:t xml:space="preserve">binding to the GHRH receptor of the pituitary gland; rise in growth hormone and IGF-1.</w:t>
      </w:r>
    </w:p>
    <w:p>
      <w:pPr>
        <w:numPr>
          <w:ilvl w:val="0"/>
          <w:numId w:val="1154"/>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w:t>
      </w:r>
    </w:p>
    <w:p>
      <w:pPr>
        <w:numPr>
          <w:ilvl w:val="0"/>
          <w:numId w:val="1154"/>
        </w:numPr>
        <w:pStyle w:val="Compact"/>
      </w:pPr>
      <w:r>
        <w:rPr>
          <w:bCs/>
          <w:b/>
        </w:rPr>
        <w:t xml:space="preserve">WADA:</w:t>
      </w:r>
      <w:r>
        <w:t xml:space="preserve"> </w:t>
      </w:r>
      <w:r>
        <w:t xml:space="preserve">prohibited, class S2 – CJC-1295 is explicitly named as a GHRH analog.</w:t>
      </w:r>
    </w:p>
    <w:p>
      <w:pPr>
        <w:numPr>
          <w:ilvl w:val="0"/>
          <w:numId w:val="1154"/>
        </w:numPr>
        <w:pStyle w:val="Compact"/>
      </w:pPr>
      <w:r>
        <w:rPr>
          <w:bCs/>
          <w:b/>
        </w:rPr>
        <w:t xml:space="preserve">Evidence level: C</w:t>
      </w:r>
      <w:r>
        <w:t xml:space="preserve"> </w:t>
      </w:r>
      <w:r>
        <w:t xml:space="preserve">– two small phase 1 studies in healthy people (with DAC); no study of a clinical benefit; no human study for the variant without DAC.</w:t>
      </w:r>
    </w:p>
    <w:bookmarkEnd w:id="1315"/>
    <w:bookmarkStart w:id="1317" w:name="how-it-is-supposed-to-work-25"/>
    <w:p>
      <w:pPr>
        <w:pStyle w:val="Heading3"/>
      </w:pPr>
      <w:r>
        <w:t xml:space="preserve">How it is supposed to work</w:t>
      </w:r>
    </w:p>
    <w:p>
      <w:pPr>
        <w:pStyle w:val="FirstParagraph"/>
      </w:pPr>
      <w:r>
        <w:t xml:space="preserve">Natural GHRH is eliminated from the blood within minutes by the enzyme dipeptidyl peptidase-4 and via the kidneys. The DAC anchor was meant to solve this problem: after injection, it reacts with a free sulfur group on albumin. The peptide then</w:t>
      </w:r>
      <w:r>
        <w:t xml:space="preserve"> </w:t>
      </w:r>
      <w:r>
        <w:t xml:space="preserve">“</w:t>
      </w:r>
      <w:r>
        <w:t xml:space="preserve">rides</w:t>
      </w:r>
      <w:r>
        <w:t xml:space="preserve">”</w:t>
      </w:r>
      <w:r>
        <w:t xml:space="preserve"> </w:t>
      </w:r>
      <w:r>
        <w:t xml:space="preserve">on albumin, which has a lifespan of weeks, and is released slowly. In rats, CJC-1295 thus remained detectable in the blood for over 72 hours</w:t>
      </w:r>
      <w:r>
        <w:rPr>
          <w:rStyle w:val="FootnoteReference"/>
        </w:rPr>
        <w:footnoteReference w:id="1316"/>
      </w:r>
      <w:r>
        <w:t xml:space="preserve">.</w:t>
      </w:r>
    </w:p>
    <w:p>
      <w:pPr>
        <w:pStyle w:val="BodyText"/>
      </w:pPr>
      <w:r>
        <w:t xml:space="preserve">This makes CJC-1295 with DAC fundamentally different from all other GH releasers: instead of short pulses, it produces continuous stimulation of the pituitary gland. Whether this is physiologically favorable was one of the open questions of its development. The variant without DAC, by contrast, acts about as briefly as sermorelin and is often offered on the gray market in combination with GH releasers from the ghrelin group (such as ipamorelin) – a practice for which there are no studies.</w:t>
      </w:r>
    </w:p>
    <w:bookmarkEnd w:id="1317"/>
    <w:bookmarkStart w:id="1323" w:name="human-studies-25"/>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2</w:t>
      </w:r>
      <w:r>
        <w:t xml:space="preserve"> </w:t>
      </w:r>
      <w:r>
        <w:t xml:space="preserve">human studies in PubMed (</w:t>
      </w:r>
      <w:r>
        <w:rPr>
          <w:rStyle w:val="VerbatimChar"/>
        </w:rPr>
        <w:t xml:space="preserve">humanstudien_alle</w:t>
      </w:r>
      <w:r>
        <w:t xml:space="preserve">) and</w:t>
      </w:r>
      <w:r>
        <w:t xml:space="preserve"> </w:t>
      </w:r>
      <w:r>
        <w:rPr>
          <w:bCs/>
          <w:b/>
        </w:rPr>
        <w:t xml:space="preserve">1</w:t>
      </w:r>
      <w:r>
        <w:t xml:space="preserve"> </w:t>
      </w:r>
      <w:r>
        <w:t xml:space="preserve">entry on ClinicalTrials.gov. A targeted follow-up search additionally yielded a secondary analysis of blood samples from one of the two studies. All papers concern CJC-1295</w:t>
      </w:r>
      <w:r>
        <w:t xml:space="preserve"> </w:t>
      </w:r>
      <w:r>
        <w:rPr>
          <w:iCs/>
          <w:i/>
        </w:rPr>
        <w:t xml:space="preserve">with</w:t>
      </w:r>
      <w:r>
        <w:t xml:space="preserve"> </w:t>
      </w:r>
      <w:r>
        <w:t xml:space="preserve">DAC.</w:t>
      </w:r>
    </w:p>
    <w:p>
      <w:pPr>
        <w:pStyle w:val="BodyText"/>
      </w:pPr>
      <w:r>
        <w:rPr>
          <w:bCs/>
          <w:b/>
        </w:rPr>
        <w:t xml:space="preserve">Dose finding in healthy people:</w:t>
      </w:r>
      <w:r>
        <w:t xml:space="preserve"> </w:t>
      </w:r>
      <w:r>
        <w:t xml:space="preserve">In two randomized, placebo-controlled, double-blind ascending-dose studies, healthy adults between 21 and 61 years of age received a single injection or two to three weekly or biweekly injections. After a single injection, growth hormone rose on average 2- to 10-fold for six days or longer, and IGF-1 1.5- to 3-fold for 9 to 11 days. The half-life was 5.8 to 8.1 days. After multiple doses, IGF-1 remained above baseline for up to 28 days. No serious side effects were reported</w:t>
      </w:r>
      <w:r>
        <w:rPr>
          <w:rStyle w:val="FootnoteReference"/>
        </w:rPr>
        <w:footnoteReference w:id="1318"/>
      </w:r>
      <w:r>
        <w:t xml:space="preserve">.</w:t>
      </w:r>
    </w:p>
    <w:p>
      <w:pPr>
        <w:pStyle w:val="BodyText"/>
      </w:pPr>
      <w:r>
        <w:rPr>
          <w:bCs/>
          <w:b/>
        </w:rPr>
        <w:t xml:space="preserve">Pulsatility:</w:t>
      </w:r>
      <w:r>
        <w:t xml:space="preserve"> </w:t>
      </w:r>
      <w:r>
        <w:t xml:space="preserve">A second study examined in healthy men between 20 and 40 years of age whether the natural pulsatile pattern of GH secretion is preserved. One week after the injection, the frequency and height of the GH pulses were unchanged, but the baseline level between pulses was increased 7.5-fold; mean GH rose by 46%, IGF-1 by 45%</w:t>
      </w:r>
      <w:r>
        <w:rPr>
          <w:rStyle w:val="FootnoteReference"/>
        </w:rPr>
        <w:footnoteReference w:id="1319"/>
      </w:r>
      <w:r>
        <w:t xml:space="preserve">.</w:t>
      </w:r>
    </w:p>
    <w:p>
      <w:pPr>
        <w:pStyle w:val="BodyText"/>
      </w:pPr>
      <w:r>
        <w:rPr>
          <w:bCs/>
          <w:b/>
        </w:rPr>
        <w:t xml:space="preserve">Blood proteins:</w:t>
      </w:r>
      <w:r>
        <w:t xml:space="preserve"> </w:t>
      </w:r>
      <w:r>
        <w:t xml:space="preserve">An analysis of serum samples from 11 young men before and one week after the injection looked for new markers of growth hormone action and found changes in individual blood proteins</w:t>
      </w:r>
      <w:r>
        <w:rPr>
          <w:rStyle w:val="FootnoteReference"/>
        </w:rPr>
        <w:footnoteReference w:id="1320"/>
      </w:r>
      <w:r>
        <w:t xml:space="preserve">. This is basic research without clinical implications.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Dose finding (Teichman 2006), PMID 16352683</w:t>
            </w:r>
          </w:p>
        </w:tc>
        <w:tc>
          <w:tcPr/>
          <w:p>
            <w:pPr>
              <w:pStyle w:val="Compact"/>
              <w:jc w:val="left"/>
            </w:pPr>
            <w:r>
              <w:t xml:space="preserve">healthy adults 21–61 years, two RCTs vs. placebo, ascending doses</w:t>
            </w:r>
          </w:p>
        </w:tc>
        <w:tc>
          <w:tcPr/>
          <w:p>
            <w:pPr>
              <w:pStyle w:val="Compact"/>
              <w:jc w:val="left"/>
            </w:pPr>
            <w:r>
              <w:t xml:space="preserve">28 and 49 days</w:t>
            </w:r>
          </w:p>
        </w:tc>
        <w:tc>
          <w:tcPr/>
          <w:p>
            <w:pPr>
              <w:pStyle w:val="Compact"/>
              <w:jc w:val="left"/>
            </w:pPr>
            <w:r>
              <w:t xml:space="preserve">GH increased 2- to 10-fold, IGF-1 1.5- to 3-fold; half-life 5.8–8.1 days</w:t>
            </w:r>
          </w:p>
        </w:tc>
      </w:tr>
      <w:tr>
        <w:tc>
          <w:tcPr/>
          <w:p>
            <w:pPr>
              <w:pStyle w:val="Compact"/>
              <w:jc w:val="left"/>
            </w:pPr>
            <w:r>
              <w:t xml:space="preserve">GH pulsatility (Ionescu 2006), PMID 17018654</w:t>
            </w:r>
          </w:p>
        </w:tc>
        <w:tc>
          <w:tcPr/>
          <w:p>
            <w:pPr>
              <w:pStyle w:val="Compact"/>
              <w:jc w:val="left"/>
            </w:pPr>
            <w:r>
              <w:t xml:space="preserve">healthy men 20–40 years, before-and-after comparison</w:t>
            </w:r>
          </w:p>
        </w:tc>
        <w:tc>
          <w:tcPr/>
          <w:p>
            <w:pPr>
              <w:pStyle w:val="Compact"/>
              <w:jc w:val="left"/>
            </w:pPr>
            <w:r>
              <w:t xml:space="preserve">1 week after single dose</w:t>
            </w:r>
          </w:p>
        </w:tc>
        <w:tc>
          <w:tcPr/>
          <w:p>
            <w:pPr>
              <w:pStyle w:val="Compact"/>
              <w:jc w:val="left"/>
            </w:pPr>
            <w:r>
              <w:t xml:space="preserve">pulses preserved, baseline GH 7.5-fold, IGF-1 +45%</w:t>
            </w:r>
          </w:p>
        </w:tc>
      </w:tr>
      <w:tr>
        <w:tc>
          <w:tcPr/>
          <w:p>
            <w:pPr>
              <w:pStyle w:val="Compact"/>
              <w:jc w:val="left"/>
            </w:pPr>
            <w:r>
              <w:t xml:space="preserve">HIV abdominal fat, NCT00267527</w:t>
            </w:r>
          </w:p>
        </w:tc>
        <w:tc>
          <w:tcPr/>
          <w:p>
            <w:pPr>
              <w:pStyle w:val="Compact"/>
              <w:jc w:val="left"/>
            </w:pPr>
            <w:r>
              <w:t xml:space="preserve">planned 120 people, phase 2, RCT</w:t>
            </w:r>
          </w:p>
        </w:tc>
        <w:tc>
          <w:tcPr/>
          <w:p>
            <w:pPr>
              <w:pStyle w:val="Compact"/>
              <w:jc w:val="left"/>
            </w:pPr>
            <w:r>
              <w:t xml:space="preserve">planned 12 weeks</w:t>
            </w:r>
          </w:p>
        </w:tc>
        <w:tc>
          <w:tcPr/>
          <w:p>
            <w:pPr>
              <w:pStyle w:val="Compact"/>
              <w:jc w:val="left"/>
            </w:pPr>
            <w:r>
              <w:t xml:space="preserve">terminated in 2006; no results published</w:t>
            </w:r>
          </w:p>
        </w:tc>
      </w:tr>
    </w:tbl>
    <w:bookmarkStart w:id="1322" w:name="X19b8a170af66b5147d87d3679df6ae742c7875e"/>
    <w:p>
      <w:pPr>
        <w:pStyle w:val="Heading4"/>
      </w:pPr>
      <w:r>
        <w:t xml:space="preserve">The terminated phase 2 trial and the reported death</w:t>
      </w:r>
    </w:p>
    <w:p>
      <w:pPr>
        <w:pStyle w:val="FirstParagraph"/>
      </w:pPr>
      <w:r>
        <w:t xml:space="preserve">At the end of 2005, ConjuChem started a randomized, placebo-controlled phase 2 trial with two doses of CJC-1295 in people with HIV and increased abdominal fat – that is, in the same indication for which tesamorelin was later approved</w:t>
      </w:r>
      <w:r>
        <w:rPr>
          <w:rStyle w:val="FootnoteReference"/>
        </w:rPr>
        <w:footnoteReference w:id="1321"/>
      </w:r>
      <w:r>
        <w:t xml:space="preserve">. The registry entry gives the status</w:t>
      </w:r>
      <w:r>
        <w:t xml:space="preserve"> </w:t>
      </w:r>
      <w:r>
        <w:t xml:space="preserve">“</w:t>
      </w:r>
      <w:r>
        <w:t xml:space="preserve">terminated</w:t>
      </w:r>
      <w:r>
        <w:t xml:space="preserve">”</w:t>
      </w:r>
      <w:r>
        <w:t xml:space="preserve"> </w:t>
      </w:r>
      <w:r>
        <w:t xml:space="preserve">(last updated October 2006), but no reason for termination and no results.</w:t>
      </w:r>
    </w:p>
    <w:p>
      <w:pPr>
        <w:pStyle w:val="BodyText"/>
      </w:pPr>
      <w:r>
        <w:t xml:space="preserve">Online forums and some reviews claim that the trial was stopped after the death of a participant.</w:t>
      </w:r>
      <w:r>
        <w:t xml:space="preserve"> </w:t>
      </w:r>
      <w:r>
        <w:rPr>
          <w:bCs/>
          <w:b/>
        </w:rPr>
        <w:t xml:space="preserve">This death is not documented in the sources reviewed for this book:</w:t>
      </w:r>
      <w:r>
        <w:t xml:space="preserve"> </w:t>
      </w:r>
      <w:r>
        <w:t xml:space="preserve">neither the registry entry nor any PubMed publication documents it. It is therefore neither possible to confirm that it occurred nor to judge whether it was related to the drug. All that is documented is that the trial ended early and that CJC-1295 was not developed further afterward.</w:t>
      </w:r>
    </w:p>
    <w:bookmarkEnd w:id="1322"/>
    <w:bookmarkEnd w:id="1323"/>
    <w:bookmarkStart w:id="1326" w:name="animal-and-laboratory-studies-25"/>
    <w:p>
      <w:pPr>
        <w:pStyle w:val="Heading3"/>
      </w:pPr>
      <w:r>
        <w:t xml:space="preserve">Animal and laboratory studies</w:t>
      </w:r>
    </w:p>
    <w:p>
      <w:pPr>
        <w:numPr>
          <w:ilvl w:val="0"/>
          <w:numId w:val="1156"/>
        </w:numPr>
        <w:pStyle w:val="Compact"/>
      </w:pPr>
      <w:r>
        <w:rPr>
          <w:bCs/>
          <w:b/>
        </w:rPr>
        <w:t xml:space="preserve">Rats:</w:t>
      </w:r>
      <w:r>
        <w:t xml:space="preserve"> </w:t>
      </w:r>
      <w:r>
        <w:t xml:space="preserve">Of three albumin-anchor variants tested, CJC-1295 released the most growth hormone – about four times as much over two hours as unmodified GRF(1-29) – and remained in the blood for over 72 hours</w:t>
      </w:r>
      <w:r>
        <w:rPr>
          <w:rStyle w:val="FootnoteReference"/>
        </w:rPr>
        <w:footnoteReference w:id="1324"/>
      </w:r>
      <w:r>
        <w:t xml:space="preserve">.</w:t>
      </w:r>
    </w:p>
    <w:p>
      <w:pPr>
        <w:numPr>
          <w:ilvl w:val="0"/>
          <w:numId w:val="1156"/>
        </w:numPr>
        <w:pStyle w:val="Compact"/>
      </w:pPr>
      <w:r>
        <w:rPr>
          <w:bCs/>
          <w:b/>
        </w:rPr>
        <w:t xml:space="preserve">Mice:</w:t>
      </w:r>
      <w:r>
        <w:t xml:space="preserve"> </w:t>
      </w:r>
      <w:r>
        <w:t xml:space="preserve">In mice lacking their own GHRH, daily administration normalized weight and length; administration every 48 or 72 hours was not fully sufficient for this. In the pituitary gland, the number of GH-producing cells increased</w:t>
      </w:r>
      <w:r>
        <w:rPr>
          <w:rStyle w:val="FootnoteReference"/>
        </w:rPr>
        <w:footnoteReference w:id="1325"/>
      </w:r>
      <w:r>
        <w:t xml:space="preserve">. An increase in pituitary cells is desirable when a deficiency is to be corrected – in healthy people, its long-term significance is unknown.</w:t>
      </w:r>
    </w:p>
    <w:bookmarkEnd w:id="1326"/>
    <w:bookmarkStart w:id="1331" w:name="risks-and-side-effects-25"/>
    <w:p>
      <w:pPr>
        <w:pStyle w:val="Heading3"/>
      </w:pPr>
      <w:r>
        <w:t xml:space="preserve">Risks and side effects</w:t>
      </w:r>
    </w:p>
    <w:p>
      <w:pPr>
        <w:pStyle w:val="FirstParagraph"/>
      </w:pPr>
      <w:r>
        <w:rPr>
          <w:bCs/>
          <w:b/>
        </w:rPr>
        <w:t xml:space="preserve">Established from the phase 1 studies:</w:t>
      </w:r>
      <w:r>
        <w:t xml:space="preserve"> </w:t>
      </w:r>
      <w:r>
        <w:t xml:space="preserve">no serious side effects in a small number of healthy people treated for a short time; tolerability was described as relatively good, especially at the lower doses</w:t>
      </w:r>
      <w:r>
        <w:rPr>
          <w:rStyle w:val="FootnoteReference"/>
        </w:rPr>
        <w:footnoteReference w:id="1327"/>
      </w:r>
      <w:r>
        <w:t xml:space="preserve">. This database is too small to detect rare or long-term risks.</w:t>
      </w:r>
    </w:p>
    <w:p>
      <w:pPr>
        <w:pStyle w:val="BodyText"/>
      </w:pPr>
      <w:r>
        <w:rPr>
          <w:bCs/>
          <w:b/>
        </w:rPr>
        <w:t xml:space="preserve">Plausible but not studied:</w:t>
      </w:r>
      <w:r>
        <w:t xml:space="preserve"> </w:t>
      </w:r>
      <w:r>
        <w:t xml:space="preserve">The DAC variant keeps growth hormone and IGF-1 continuously elevated for days. Typical consequences of elevated GH levels are fluid retention, joint pain, carpal tunnel symptoms and reduced insulin sensitivity. Whether a persistently elevated IGF-1 increases cancer risk in the long term has not been studied for CJC-1295; for the general evidence, see the introduction to this group and Part IV.</w:t>
      </w:r>
    </w:p>
    <w:p>
      <w:pPr>
        <w:pStyle w:val="BodyText"/>
      </w:pPr>
      <w:r>
        <w:rPr>
          <w:bCs/>
          <w:b/>
        </w:rPr>
        <w:t xml:space="preserve">Gray market:</w:t>
      </w:r>
      <w:r>
        <w:t xml:space="preserve"> </w:t>
      </w:r>
      <w:r>
        <w:t xml:space="preserve">As early as 2009, a Norwegian laboratory working on behalf of the police and customs analyzed an unknown preparation and found a peptide of 29 amino acids that matched the sequence sold as CJC-1295</w:t>
      </w:r>
      <w:r>
        <w:rPr>
          <w:rStyle w:val="FootnoteReference"/>
        </w:rPr>
        <w:footnoteReference w:id="1328"/>
      </w:r>
      <w:r>
        <w:t xml:space="preserve">. Danish customs samples contained</w:t>
      </w:r>
      <w:r>
        <w:t xml:space="preserve"> </w:t>
      </w:r>
      <w:r>
        <w:t xml:space="preserve">“</w:t>
      </w:r>
      <w:r>
        <w:t xml:space="preserve">modified GRF 1-29</w:t>
      </w:r>
      <w:r>
        <w:t xml:space="preserve">”</w:t>
      </w:r>
      <w:r>
        <w:t xml:space="preserve"> </w:t>
      </w:r>
      <w:r>
        <w:t xml:space="preserve">and ghrelin mimetics with an additional, undeclared amino acid, glycine</w:t>
      </w:r>
      <w:r>
        <w:rPr>
          <w:rStyle w:val="FootnoteReference"/>
        </w:rPr>
        <w:footnoteReference w:id="1329"/>
      </w:r>
      <w:r>
        <w:t xml:space="preserve">. Buyers therefore cannot know whether they are receiving the variant with or without DAC, a modified molecule, or something else entirely. An analysis of bodybuilding forums shows that women also use CJC-1295 for weight loss, for the skin or for sleep, relying on anecdotal reports rather than studies</w:t>
      </w:r>
      <w:r>
        <w:rPr>
          <w:rStyle w:val="FootnoteReference"/>
        </w:rPr>
        <w:footnoteReference w:id="1330"/>
      </w:r>
      <w:r>
        <w:t xml:space="preserve">.</w:t>
      </w:r>
    </w:p>
    <w:bookmarkEnd w:id="1331"/>
    <w:bookmarkStart w:id="1335" w:name="legal-status-25"/>
    <w:p>
      <w:pPr>
        <w:pStyle w:val="Heading3"/>
      </w:pPr>
      <w:r>
        <w:t xml:space="preserve">Legal status</w:t>
      </w:r>
    </w:p>
    <w:p>
      <w:pPr>
        <w:pStyle w:val="FirstParagraph"/>
      </w:pPr>
      <w:r>
        <w:rPr>
          <w:iCs/>
          <w:i/>
        </w:rPr>
        <w:t xml:space="preserve">As of 2026, please check for updates.</w:t>
      </w:r>
    </w:p>
    <w:p>
      <w:pPr>
        <w:numPr>
          <w:ilvl w:val="0"/>
          <w:numId w:val="1157"/>
        </w:numPr>
        <w:pStyle w:val="Compact"/>
      </w:pPr>
      <w:r>
        <w:rPr>
          <w:bCs/>
          <w:b/>
        </w:rPr>
        <w:t xml:space="preserve">EU, Germany, Austria:</w:t>
      </w:r>
      <w:r>
        <w:t xml:space="preserve"> </w:t>
      </w:r>
      <w:r>
        <w:t xml:space="preserve">no approval. CJC-1295 is an unapproved drug substance; supplying and trading it for use in humans is prohibited under medicines laws, even when products are labeled as</w:t>
      </w:r>
      <w:r>
        <w:t xml:space="preserve"> </w:t>
      </w:r>
      <w:r>
        <w:t xml:space="preserve">“</w:t>
      </w:r>
      <w:r>
        <w:t xml:space="preserve">research peptides.</w:t>
      </w:r>
      <w:r>
        <w:t xml:space="preserve">”</w:t>
      </w:r>
    </w:p>
    <w:p>
      <w:pPr>
        <w:numPr>
          <w:ilvl w:val="0"/>
          <w:numId w:val="1157"/>
        </w:numPr>
        <w:pStyle w:val="Compact"/>
      </w:pPr>
      <w:r>
        <w:rPr>
          <w:bCs/>
          <w:b/>
        </w:rPr>
        <w:t xml:space="preserve">USA:</w:t>
      </w:r>
      <w:r>
        <w:t xml:space="preserve"> </w:t>
      </w:r>
      <w:r>
        <w:t xml:space="preserve">no approval. The FDA has classified CJC-1295 – like several other peptides in this book – among the bulk drug substances for compounding pharmacies as a substance with safety concerns (Category 2). These classifications have since been debated controversially in the relevant advisory committee and in professional circles</w:t>
      </w:r>
      <w:r>
        <w:rPr>
          <w:rStyle w:val="FootnoteReference"/>
        </w:rPr>
        <w:footnoteReference w:id="1332"/>
      </w:r>
      <w:r>
        <w:t xml:space="preserve">; changes are possible.</w:t>
      </w:r>
    </w:p>
    <w:p>
      <w:pPr>
        <w:numPr>
          <w:ilvl w:val="0"/>
          <w:numId w:val="1157"/>
        </w:numPr>
        <w:pStyle w:val="Compact"/>
      </w:pPr>
      <w:r>
        <w:rPr>
          <w:bCs/>
          <w:b/>
        </w:rPr>
        <w:t xml:space="preserve">WADA:</w:t>
      </w:r>
      <w:r>
        <w:t xml:space="preserve"> </w:t>
      </w:r>
      <w:r>
        <w:t xml:space="preserve">prohibited (S2). Detection methods for CJC-1295 with and without DAC in urine have been described</w:t>
      </w:r>
      <w:r>
        <w:rPr>
          <w:rStyle w:val="FootnoteReference"/>
        </w:rPr>
        <w:footnoteReference w:id="1333"/>
      </w:r>
      <w:r>
        <w:t xml:space="preserve">; it is also screened for in equestrian sport</w:t>
      </w:r>
      <w:r>
        <w:rPr>
          <w:rStyle w:val="FootnoteReference"/>
        </w:rPr>
        <w:footnoteReference w:id="1334"/>
      </w:r>
      <w:r>
        <w:t xml:space="preserve">.</w:t>
      </w:r>
    </w:p>
    <w:bookmarkEnd w:id="1335"/>
    <w:bookmarkStart w:id="1336" w:name="ongoing-studies-and-outlook-25"/>
    <w:p>
      <w:pPr>
        <w:pStyle w:val="Heading3"/>
      </w:pPr>
      <w:r>
        <w:t xml:space="preserve">Ongoing studies and outlook</w:t>
      </w:r>
    </w:p>
    <w:p>
      <w:pPr>
        <w:pStyle w:val="FirstParagraph"/>
      </w:pPr>
      <w:r>
        <w:t xml:space="preserve">As of October 2026, ClinicalTrials.gov lists no entry for CJC-1295 other than the phase 2 trial terminated in 2006.</w:t>
      </w:r>
      <w:r>
        <w:t xml:space="preserve"> </w:t>
      </w:r>
      <w:r>
        <w:rPr>
          <w:iCs/>
          <w:i/>
        </w:rPr>
        <w:t xml:space="preserve">Author’s assessment:</w:t>
      </w:r>
      <w:r>
        <w:t xml:space="preserve"> </w:t>
      </w:r>
      <w:r>
        <w:t xml:space="preserve">No further clinical development is apparent. The principle of</w:t>
      </w:r>
      <w:r>
        <w:t xml:space="preserve"> </w:t>
      </w:r>
      <w:r>
        <w:t xml:space="preserve">“</w:t>
      </w:r>
      <w:r>
        <w:t xml:space="preserve">peptide with an albumin anchor for longer action,</w:t>
      </w:r>
      <w:r>
        <w:t xml:space="preserve">”</w:t>
      </w:r>
      <w:r>
        <w:t xml:space="preserve"> </w:t>
      </w:r>
      <w:r>
        <w:t xml:space="preserve">however, lives on in other drugs, for example in long-acting growth hormone preparations and GLP-1 medications.</w:t>
      </w:r>
    </w:p>
    <w:bookmarkEnd w:id="1336"/>
    <w:bookmarkStart w:id="1337" w:name="conclusion-25"/>
    <w:p>
      <w:pPr>
        <w:pStyle w:val="Heading3"/>
      </w:pPr>
      <w:r>
        <w:t xml:space="preserve">Conclusion</w:t>
      </w:r>
    </w:p>
    <w:p>
      <w:pPr>
        <w:pStyle w:val="FirstParagraph"/>
      </w:pPr>
      <w:r>
        <w:t xml:space="preserve">CJC-1295 with DAC raises growth hormone and IGF-1 in healthy people for one to two weeks after a single injection – nothing more has been studied in humans. The only patient trial was terminated in 2006 without a published reason; a frequently claimed death is not documented in the registry or in the scientific literature. For the variant without DAC, which is the one most often sold on the internet, there is not a single human study, and laboratory analyses show that the contents of gray-market products are uncertain.</w:t>
      </w:r>
    </w:p>
    <w:bookmarkEnd w:id="1337"/>
    <w:bookmarkEnd w:id="1338"/>
    <w:bookmarkStart w:id="1361" w:name="ipamorelin"/>
    <w:p>
      <w:pPr>
        <w:pStyle w:val="Heading2"/>
      </w:pPr>
      <w:r>
        <w:t xml:space="preserve">Ipamorelin</w:t>
      </w:r>
    </w:p>
    <w:p>
      <w:pPr>
        <w:pStyle w:val="FirstParagraph"/>
      </w:pPr>
      <w:r>
        <w:t xml:space="preserve">In fitness and anti-aging circles, ipamorelin is regarded as the</w:t>
      </w:r>
      <w:r>
        <w:t xml:space="preserve"> </w:t>
      </w:r>
      <w:r>
        <w:t xml:space="preserve">“</w:t>
      </w:r>
      <w:r>
        <w:t xml:space="preserve">clean</w:t>
      </w:r>
      <w:r>
        <w:t xml:space="preserve">”</w:t>
      </w:r>
      <w:r>
        <w:t xml:space="preserve"> </w:t>
      </w:r>
      <w:r>
        <w:t xml:space="preserve">growth hormone releaser: it is said to release growth hormone selectively without driving up stress hormones and appetite. This property comes from animal experiments in the 1990s. Ipamorelin has in fact been clinically tested in humans – but not for muscle building or rejuvenation, rather for something entirely different: bowel paralysis after abdominal surgery. There it showed no demonstrable benefit.</w:t>
      </w:r>
    </w:p>
    <w:bookmarkStart w:id="1340" w:name="profile-26"/>
    <w:p>
      <w:pPr>
        <w:pStyle w:val="Heading3"/>
      </w:pPr>
      <w:r>
        <w:t xml:space="preserve">Profile</w:t>
      </w:r>
    </w:p>
    <w:p>
      <w:pPr>
        <w:numPr>
          <w:ilvl w:val="0"/>
          <w:numId w:val="1158"/>
        </w:numPr>
        <w:pStyle w:val="Compact"/>
      </w:pPr>
      <w:r>
        <w:rPr>
          <w:bCs/>
          <w:b/>
        </w:rPr>
        <w:t xml:space="preserve">Type and structure:</w:t>
      </w:r>
      <w:r>
        <w:t xml:space="preserve"> </w:t>
      </w:r>
      <w:r>
        <w:t xml:space="preserve">synthetic pentapeptide (5 amino acids, some non-natural: Aib-His-D-2-Nal-D-Phe-Lys-NH2)</w:t>
      </w:r>
      <w:r>
        <w:rPr>
          <w:rStyle w:val="FootnoteReference"/>
        </w:rPr>
        <w:footnoteReference w:id="1339"/>
      </w:r>
      <w:r>
        <w:t xml:space="preserve">.</w:t>
      </w:r>
    </w:p>
    <w:p>
      <w:pPr>
        <w:numPr>
          <w:ilvl w:val="0"/>
          <w:numId w:val="1158"/>
        </w:numPr>
        <w:pStyle w:val="Compact"/>
      </w:pPr>
      <w:r>
        <w:rPr>
          <w:bCs/>
          <w:b/>
        </w:rPr>
        <w:t xml:space="preserve">Origin:</w:t>
      </w:r>
      <w:r>
        <w:t xml:space="preserve"> </w:t>
      </w:r>
      <w:r>
        <w:t xml:space="preserve">developed by Novo Nordisk (Denmark) from the family of growth hormone–releasing peptides (GHRP); later developed further by Helsinn for the gastrointestinal field.</w:t>
      </w:r>
    </w:p>
    <w:p>
      <w:pPr>
        <w:numPr>
          <w:ilvl w:val="0"/>
          <w:numId w:val="1158"/>
        </w:numPr>
        <w:pStyle w:val="Compact"/>
      </w:pPr>
      <w:r>
        <w:rPr>
          <w:bCs/>
          <w:b/>
        </w:rPr>
        <w:t xml:space="preserve">Mechanism of action:</w:t>
      </w:r>
      <w:r>
        <w:t xml:space="preserve"> </w:t>
      </w:r>
      <w:r>
        <w:t xml:space="preserve">binds to the ghrelin receptor (GHS-R1a) in the pituitary gland and hypothalamus as well as in the gastrointestinal tract; triggers a short burst of growth hormone and is said to stimulate bowel movement.</w:t>
      </w:r>
    </w:p>
    <w:p>
      <w:pPr>
        <w:numPr>
          <w:ilvl w:val="0"/>
          <w:numId w:val="1158"/>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w:t>
      </w:r>
    </w:p>
    <w:p>
      <w:pPr>
        <w:numPr>
          <w:ilvl w:val="0"/>
          <w:numId w:val="1158"/>
        </w:numPr>
        <w:pStyle w:val="Compact"/>
      </w:pPr>
      <w:r>
        <w:rPr>
          <w:bCs/>
          <w:b/>
        </w:rPr>
        <w:t xml:space="preserve">WADA:</w:t>
      </w:r>
      <w:r>
        <w:t xml:space="preserve"> </w:t>
      </w:r>
      <w:r>
        <w:t xml:space="preserve">prohibited, class S2 (growth hormone secretagogues; ipamorelin is explicitly named).</w:t>
      </w:r>
    </w:p>
    <w:p>
      <w:pPr>
        <w:numPr>
          <w:ilvl w:val="0"/>
          <w:numId w:val="1158"/>
        </w:numPr>
        <w:pStyle w:val="Compact"/>
      </w:pPr>
      <w:r>
        <w:rPr>
          <w:bCs/>
          <w:b/>
        </w:rPr>
        <w:t xml:space="preserve">Evidence level: B</w:t>
      </w:r>
      <w:r>
        <w:t xml:space="preserve"> </w:t>
      </w:r>
      <w:r>
        <w:t xml:space="preserve">– one randomized phase 2 trial with 117 people (without proof of efficacy) and a small pharmacological study in healthy people; a second phase 2 trial has been completed but is unpublished.</w:t>
      </w:r>
    </w:p>
    <w:bookmarkEnd w:id="1340"/>
    <w:bookmarkStart w:id="1343" w:name="how-it-is-supposed-to-work-26"/>
    <w:p>
      <w:pPr>
        <w:pStyle w:val="Heading3"/>
      </w:pPr>
      <w:r>
        <w:t xml:space="preserve">How it is supposed to work</w:t>
      </w:r>
    </w:p>
    <w:p>
      <w:pPr>
        <w:pStyle w:val="FirstParagraph"/>
      </w:pPr>
      <w:r>
        <w:t xml:space="preserve">The ghrelin receptor is the second major control lever for growth hormone secretion, alongside the GHRH receptor. Its natural key is ghrelin, a hormone from the stomach discovered in 1999</w:t>
      </w:r>
      <w:r>
        <w:rPr>
          <w:rStyle w:val="FootnoteReference"/>
        </w:rPr>
        <w:footnoteReference w:id="1341"/>
      </w:r>
      <w:r>
        <w:t xml:space="preserve">. Ghrelin increases not only growth hormone but also hunger, and it stimulates the movements of the stomach and intestines.</w:t>
      </w:r>
    </w:p>
    <w:p>
      <w:pPr>
        <w:pStyle w:val="BodyText"/>
      </w:pPr>
      <w:r>
        <w:t xml:space="preserve">Older synthetic releasers such as GHRP-6 or GHRP-2 release not only growth hormone but also the stress hormone system (ACTH and cortisol) and prolactin. Ipamorelin was specifically developed so that this side effect is absent: in pigs, it released growth hormone about as strongly as GHRP-6, whereas ACTH and cortisol did not rise more than under GHRH even at doses more than 200 times higher</w:t>
      </w:r>
      <w:r>
        <w:rPr>
          <w:rStyle w:val="FootnoteReference"/>
        </w:rPr>
        <w:footnoteReference w:id="1342"/>
      </w:r>
      <w:r>
        <w:t xml:space="preserve">. Whether this selectivity applies to the same extent in humans has not been systematically studied.</w:t>
      </w:r>
    </w:p>
    <w:p>
      <w:pPr>
        <w:pStyle w:val="BodyText"/>
      </w:pPr>
      <w:r>
        <w:t xml:space="preserve">Clinically, interest focused mainly on its effect on the gut: after abdominal surgery, bowel activity often comes to a standstill for days (postoperative ileus), which prolongs the hospital stay. A ghrelin mimetic that can be given intravenously seemed an elegant solution.</w:t>
      </w:r>
    </w:p>
    <w:bookmarkEnd w:id="1343"/>
    <w:bookmarkStart w:id="1348" w:name="human-studies-26"/>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2</w:t>
      </w:r>
      <w:r>
        <w:t xml:space="preserve"> </w:t>
      </w:r>
      <w:r>
        <w:t xml:space="preserve">human studies in PubMed (</w:t>
      </w:r>
      <w:r>
        <w:rPr>
          <w:rStyle w:val="VerbatimChar"/>
        </w:rPr>
        <w:t xml:space="preserve">humanstudien_alle</w:t>
      </w:r>
      <w:r>
        <w:t xml:space="preserve">) and</w:t>
      </w:r>
      <w:r>
        <w:t xml:space="preserve"> </w:t>
      </w:r>
      <w:r>
        <w:rPr>
          <w:bCs/>
          <w:b/>
        </w:rPr>
        <w:t xml:space="preserve">3</w:t>
      </w:r>
      <w:r>
        <w:t xml:space="preserve"> </w:t>
      </w:r>
      <w:r>
        <w:t xml:space="preserve">entries on ClinicalTrials.gov. One of these registry entries</w:t>
      </w:r>
      <w:r>
        <w:rPr>
          <w:rStyle w:val="FootnoteReference"/>
        </w:rPr>
        <w:footnoteReference w:id="1344"/>
      </w:r>
      <w:r>
        <w:t xml:space="preserve"> </w:t>
      </w:r>
      <w:r>
        <w:t xml:space="preserve">concerns an observational study on psychedelics in veterans and does not study ipamorelin as an investigational drug; it is merely listed there as one of several components of a</w:t>
      </w:r>
      <w:r>
        <w:t xml:space="preserve"> </w:t>
      </w:r>
      <w:r>
        <w:t xml:space="preserve">“</w:t>
      </w:r>
      <w:r>
        <w:t xml:space="preserve">physiological supplementation</w:t>
      </w:r>
      <w:r>
        <w:t xml:space="preserve">”</w:t>
      </w:r>
      <w:r>
        <w:t xml:space="preserve"> </w:t>
      </w:r>
      <w:r>
        <w:t xml:space="preserve">(alongside testosterone, fish oil and vitamins). Clinically relevant, therefore, are two trials on postoperative ileus.</w:t>
      </w:r>
    </w:p>
    <w:p>
      <w:pPr>
        <w:pStyle w:val="BodyText"/>
      </w:pPr>
      <w:r>
        <w:rPr>
          <w:bCs/>
          <w:b/>
        </w:rPr>
        <w:t xml:space="preserve">Pharmacology in healthy people:</w:t>
      </w:r>
      <w:r>
        <w:t xml:space="preserve"> </w:t>
      </w:r>
      <w:r>
        <w:t xml:space="preserve">In an ascending-dose study, eight healthy men per dose level each received a 15-minute infusion. Ipamorelin had a short half-life of about 2 hours and triggered a single GH pulse at all doses, which peaked after about 40 minutes and then fell rapidly</w:t>
      </w:r>
      <w:r>
        <w:rPr>
          <w:rStyle w:val="FootnoteReference"/>
        </w:rPr>
        <w:footnoteReference w:id="1345"/>
      </w:r>
      <w:r>
        <w:t xml:space="preserve">.</w:t>
      </w:r>
    </w:p>
    <w:p>
      <w:pPr>
        <w:pStyle w:val="BodyText"/>
      </w:pPr>
      <w:r>
        <w:rPr>
          <w:bCs/>
          <w:b/>
        </w:rPr>
        <w:t xml:space="preserve">Postoperative ileus, first phase 2 trial:</w:t>
      </w:r>
      <w:r>
        <w:t xml:space="preserve"> </w:t>
      </w:r>
      <w:r>
        <w:t xml:space="preserve">In a multicenter, double-blind, placebo-controlled trial, 117 adults received ipamorelin or placebo as an infusion twice daily for up to seven days after small or large bowel resection. The mean time to the first tolerated solid meal was 25.3 hours on ipamorelin and 32.6 hours on placebo – a difference that was not statistically significant (p = 0.15). The other efficacy endpoints did not differ either. Side effects occurred in 87.5% on ipamorelin and 94.8% on placebo, which is not unusual after major abdominal surgery</w:t>
      </w:r>
      <w:r>
        <w:rPr>
          <w:rStyle w:val="FootnoteReference"/>
        </w:rPr>
        <w:footnoteReference w:id="1346"/>
      </w:r>
      <w:r>
        <w:t xml:space="preserve">.</w:t>
      </w:r>
    </w:p>
    <w:p>
      <w:pPr>
        <w:pStyle w:val="BodyText"/>
      </w:pPr>
      <w:r>
        <w:rPr>
          <w:bCs/>
          <w:b/>
        </w:rPr>
        <w:t xml:space="preserve">Second phase 2 trial:</w:t>
      </w:r>
      <w:r>
        <w:t xml:space="preserve"> </w:t>
      </w:r>
      <w:r>
        <w:t xml:space="preserve">A larger follow-up trial with 320 participants on the recovery of gastrointestinal function was completed in 2014</w:t>
      </w:r>
      <w:r>
        <w:rPr>
          <w:rStyle w:val="FootnoteReference"/>
        </w:rPr>
        <w:footnoteReference w:id="1347"/>
      </w:r>
      <w:r>
        <w:t xml:space="preserve">. I have not found a publication of the results in PubMed, and the registry entry contains no results. Development was not continued thereafter.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Pharmacology (Gobburu 1999), PMID 10496658</w:t>
            </w:r>
          </w:p>
        </w:tc>
        <w:tc>
          <w:tcPr/>
          <w:p>
            <w:pPr>
              <w:pStyle w:val="Compact"/>
              <w:jc w:val="left"/>
            </w:pPr>
            <w:r>
              <w:t xml:space="preserve">healthy men, 5 dose levels of 8 people each</w:t>
            </w:r>
          </w:p>
        </w:tc>
        <w:tc>
          <w:tcPr/>
          <w:p>
            <w:pPr>
              <w:pStyle w:val="Compact"/>
              <w:jc w:val="left"/>
            </w:pPr>
            <w:r>
              <w:t xml:space="preserve">single infusion</w:t>
            </w:r>
          </w:p>
        </w:tc>
        <w:tc>
          <w:tcPr/>
          <w:p>
            <w:pPr>
              <w:pStyle w:val="Compact"/>
              <w:jc w:val="left"/>
            </w:pPr>
            <w:r>
              <w:t xml:space="preserve">half-life approx. 2 h; one GH pulse per dose</w:t>
            </w:r>
          </w:p>
        </w:tc>
      </w:tr>
      <w:tr>
        <w:tc>
          <w:tcPr/>
          <w:p>
            <w:pPr>
              <w:pStyle w:val="Compact"/>
              <w:jc w:val="left"/>
            </w:pPr>
            <w:r>
              <w:t xml:space="preserve">Ileus trial 1 (Beck 2014), PMID 25331030</w:t>
            </w:r>
          </w:p>
        </w:tc>
        <w:tc>
          <w:tcPr/>
          <w:p>
            <w:pPr>
              <w:pStyle w:val="Compact"/>
              <w:jc w:val="left"/>
            </w:pPr>
            <w:r>
              <w:t xml:space="preserve">117 adults after bowel resection, RCT vs. placebo</w:t>
            </w:r>
          </w:p>
        </w:tc>
        <w:tc>
          <w:tcPr/>
          <w:p>
            <w:pPr>
              <w:pStyle w:val="Compact"/>
              <w:jc w:val="left"/>
            </w:pPr>
            <w:r>
              <w:t xml:space="preserve">up to 7 days</w:t>
            </w:r>
          </w:p>
        </w:tc>
        <w:tc>
          <w:tcPr/>
          <w:p>
            <w:pPr>
              <w:pStyle w:val="Compact"/>
              <w:jc w:val="left"/>
            </w:pPr>
            <w:r>
              <w:t xml:space="preserve">25.3 vs. 32.6 h to first meal, not significant</w:t>
            </w:r>
          </w:p>
        </w:tc>
      </w:tr>
      <w:tr>
        <w:tc>
          <w:tcPr/>
          <w:p>
            <w:pPr>
              <w:pStyle w:val="Compact"/>
              <w:jc w:val="left"/>
            </w:pPr>
            <w:r>
              <w:t xml:space="preserve">Ileus trial 2, NCT01280344</w:t>
            </w:r>
          </w:p>
        </w:tc>
        <w:tc>
          <w:tcPr/>
          <w:p>
            <w:pPr>
              <w:pStyle w:val="Compact"/>
              <w:jc w:val="left"/>
            </w:pPr>
            <w:r>
              <w:t xml:space="preserve">320 adults, phase 2 vs. placebo</w:t>
            </w:r>
          </w:p>
        </w:tc>
        <w:tc>
          <w:tcPr/>
          <w:p>
            <w:pPr>
              <w:pStyle w:val="Compact"/>
              <w:jc w:val="left"/>
            </w:pPr>
            <w:r>
              <w:t xml:space="preserve">–</w:t>
            </w:r>
          </w:p>
        </w:tc>
        <w:tc>
          <w:tcPr/>
          <w:p>
            <w:pPr>
              <w:pStyle w:val="Compact"/>
              <w:jc w:val="left"/>
            </w:pPr>
            <w:r>
              <w:t xml:space="preserve">completed 2014, results not published</w:t>
            </w:r>
          </w:p>
        </w:tc>
      </w:tr>
    </w:tbl>
    <w:p>
      <w:pPr>
        <w:pStyle w:val="BodyText"/>
      </w:pPr>
      <w:r>
        <w:t xml:space="preserve">There is</w:t>
      </w:r>
      <w:r>
        <w:t xml:space="preserve"> </w:t>
      </w:r>
      <w:r>
        <w:rPr>
          <w:bCs/>
          <w:b/>
        </w:rPr>
        <w:t xml:space="preserve">no</w:t>
      </w:r>
      <w:r>
        <w:t xml:space="preserve"> </w:t>
      </w:r>
      <w:r>
        <w:t xml:space="preserve">published study that has examined ipamorelin in healthy adults, athletes or older people with regard to muscle mass, fat loss, sleep, skin or performance.</w:t>
      </w:r>
    </w:p>
    <w:bookmarkEnd w:id="1348"/>
    <w:bookmarkStart w:id="1352" w:name="animal-and-laboratory-studies-26"/>
    <w:p>
      <w:pPr>
        <w:pStyle w:val="Heading3"/>
      </w:pPr>
      <w:r>
        <w:t xml:space="preserve">Animal and laboratory studies</w:t>
      </w:r>
    </w:p>
    <w:p>
      <w:pPr>
        <w:numPr>
          <w:ilvl w:val="0"/>
          <w:numId w:val="1159"/>
        </w:numPr>
        <w:pStyle w:val="Compact"/>
      </w:pPr>
      <w:r>
        <w:rPr>
          <w:bCs/>
          <w:b/>
        </w:rPr>
        <w:t xml:space="preserve">Gut (rats):</w:t>
      </w:r>
      <w:r>
        <w:t xml:space="preserve"> </w:t>
      </w:r>
      <w:r>
        <w:t xml:space="preserve">In rats with surgically induced bowel paralysis, a single dose of ipamorelin shortened the time to the first bowel movement; repeated doses increased stool output, food intake and weight gain</w:t>
      </w:r>
      <w:r>
        <w:rPr>
          <w:rStyle w:val="FootnoteReference"/>
        </w:rPr>
        <w:footnoteReference w:id="1349"/>
      </w:r>
      <w:r>
        <w:t xml:space="preserve">. These results were the basis for the ileus trials in humans – which did not confirm the effect.</w:t>
      </w:r>
    </w:p>
    <w:p>
      <w:pPr>
        <w:numPr>
          <w:ilvl w:val="0"/>
          <w:numId w:val="1159"/>
        </w:numPr>
        <w:pStyle w:val="Compact"/>
      </w:pPr>
      <w:r>
        <w:rPr>
          <w:bCs/>
          <w:b/>
        </w:rPr>
        <w:t xml:space="preserve">Bone (rats):</w:t>
      </w:r>
      <w:r>
        <w:t xml:space="preserve"> </w:t>
      </w:r>
      <w:r>
        <w:t xml:space="preserve">In adult female rats, ipamorelin dose-dependently increased longitudinal bone growth and weight gain over 15 days without measurably raising IGF-1</w:t>
      </w:r>
      <w:r>
        <w:rPr>
          <w:rStyle w:val="FootnoteReference"/>
        </w:rPr>
        <w:footnoteReference w:id="1350"/>
      </w:r>
      <w:r>
        <w:t xml:space="preserve">.</w:t>
      </w:r>
    </w:p>
    <w:p>
      <w:pPr>
        <w:numPr>
          <w:ilvl w:val="0"/>
          <w:numId w:val="1159"/>
        </w:numPr>
        <w:pStyle w:val="Compact"/>
      </w:pPr>
      <w:r>
        <w:rPr>
          <w:bCs/>
          <w:b/>
        </w:rPr>
        <w:t xml:space="preserve">Selectivity (pigs, rat cells):</w:t>
      </w:r>
      <w:r>
        <w:t xml:space="preserve"> </w:t>
      </w:r>
      <w:r>
        <w:t xml:space="preserve">see above</w:t>
      </w:r>
      <w:r>
        <w:rPr>
          <w:rStyle w:val="FootnoteReference"/>
        </w:rPr>
        <w:footnoteReference w:id="1351"/>
      </w:r>
      <w:r>
        <w:t xml:space="preserve">.</w:t>
      </w:r>
    </w:p>
    <w:bookmarkEnd w:id="1352"/>
    <w:bookmarkStart w:id="1355" w:name="risks-and-side-effects-26"/>
    <w:p>
      <w:pPr>
        <w:pStyle w:val="Heading3"/>
      </w:pPr>
      <w:r>
        <w:t xml:space="preserve">Risks and side effects</w:t>
      </w:r>
    </w:p>
    <w:p>
      <w:pPr>
        <w:pStyle w:val="FirstParagraph"/>
      </w:pPr>
      <w:r>
        <w:rPr>
          <w:bCs/>
          <w:b/>
        </w:rPr>
        <w:t xml:space="preserve">Established:</w:t>
      </w:r>
      <w:r>
        <w:t xml:space="preserve"> </w:t>
      </w:r>
      <w:r>
        <w:t xml:space="preserve">In the ileus trial, ipamorelin was described as well tolerated over up to seven days, with no excess of side effects compared with placebo</w:t>
      </w:r>
      <w:r>
        <w:rPr>
          <w:rStyle w:val="FootnoteReference"/>
        </w:rPr>
        <w:footnoteReference w:id="1353"/>
      </w:r>
      <w:r>
        <w:t xml:space="preserve">. This was short-term use in hospital with intravenous administration.</w:t>
      </w:r>
    </w:p>
    <w:p>
      <w:pPr>
        <w:pStyle w:val="BodyText"/>
      </w:pPr>
      <w:r>
        <w:rPr>
          <w:bCs/>
          <w:b/>
        </w:rPr>
        <w:t xml:space="preserve">Unknown:</w:t>
      </w:r>
      <w:r>
        <w:t xml:space="preserve"> </w:t>
      </w:r>
      <w:r>
        <w:t xml:space="preserve">There are no data on repeated use over weeks or months, as described on the internet. Theoretically, the effects of elevated GH levels would be expected (fluid retention, joint complaints, reduced insulin sensitivity), as well as increased appetite via the ghrelin receptor. On the question of a cancer risk from persistently elevated IGF-1, see the introduction to this group and Part IV.</w:t>
      </w:r>
    </w:p>
    <w:p>
      <w:pPr>
        <w:pStyle w:val="BodyText"/>
      </w:pPr>
      <w:r>
        <w:rPr>
          <w:bCs/>
          <w:b/>
        </w:rPr>
        <w:t xml:space="preserve">Gray market:</w:t>
      </w:r>
      <w:r>
        <w:t xml:space="preserve"> </w:t>
      </w:r>
      <w:r>
        <w:t xml:space="preserve">Laboratory analyses of seized products found</w:t>
      </w:r>
      <w:r>
        <w:t xml:space="preserve"> </w:t>
      </w:r>
      <w:r>
        <w:t xml:space="preserve">“</w:t>
      </w:r>
      <w:r>
        <w:t xml:space="preserve">Gly-ipamorelin,</w:t>
      </w:r>
      <w:r>
        <w:t xml:space="preserve">”</w:t>
      </w:r>
      <w:r>
        <w:t xml:space="preserve"> </w:t>
      </w:r>
      <w:r>
        <w:t xml:space="preserve">that is, ipamorelin with an additional, undeclared amino acid at the beginning – presumably to evade doping tests</w:t>
      </w:r>
      <w:r>
        <w:rPr>
          <w:rStyle w:val="FootnoteReference"/>
        </w:rPr>
        <w:footnoteReference w:id="1354"/>
      </w:r>
      <w:r>
        <w:t xml:space="preserve">. How such modifications behave in the body is unknown.</w:t>
      </w:r>
    </w:p>
    <w:bookmarkEnd w:id="1355"/>
    <w:bookmarkStart w:id="1358" w:name="legal-status-26"/>
    <w:p>
      <w:pPr>
        <w:pStyle w:val="Heading3"/>
      </w:pPr>
      <w:r>
        <w:t xml:space="preserve">Legal status</w:t>
      </w:r>
    </w:p>
    <w:p>
      <w:pPr>
        <w:pStyle w:val="FirstParagraph"/>
      </w:pPr>
      <w:r>
        <w:rPr>
          <w:iCs/>
          <w:i/>
        </w:rPr>
        <w:t xml:space="preserve">As of 2026, please check for updates.</w:t>
      </w:r>
    </w:p>
    <w:p>
      <w:pPr>
        <w:numPr>
          <w:ilvl w:val="0"/>
          <w:numId w:val="1160"/>
        </w:numPr>
        <w:pStyle w:val="Compact"/>
      </w:pPr>
      <w:r>
        <w:rPr>
          <w:bCs/>
          <w:b/>
        </w:rPr>
        <w:t xml:space="preserve">EU, Germany, Austria:</w:t>
      </w:r>
      <w:r>
        <w:t xml:space="preserve"> </w:t>
      </w:r>
      <w:r>
        <w:t xml:space="preserve">no approval; supplying it for use in humans is prohibited.</w:t>
      </w:r>
    </w:p>
    <w:p>
      <w:pPr>
        <w:numPr>
          <w:ilvl w:val="0"/>
          <w:numId w:val="1160"/>
        </w:numPr>
        <w:pStyle w:val="Compact"/>
      </w:pPr>
      <w:r>
        <w:rPr>
          <w:bCs/>
          <w:b/>
        </w:rPr>
        <w:t xml:space="preserve">USA:</w:t>
      </w:r>
      <w:r>
        <w:t xml:space="preserve"> </w:t>
      </w:r>
      <w:r>
        <w:t xml:space="preserve">no approval. The FDA has classified ipamorelin among the bulk drug substances for compounding pharmacies as a substance with safety concerns (Category 2); the classification of peptides has since been debated controversially</w:t>
      </w:r>
      <w:r>
        <w:rPr>
          <w:rStyle w:val="FootnoteReference"/>
        </w:rPr>
        <w:footnoteReference w:id="1356"/>
      </w:r>
      <w:r>
        <w:t xml:space="preserve">.</w:t>
      </w:r>
    </w:p>
    <w:p>
      <w:pPr>
        <w:numPr>
          <w:ilvl w:val="0"/>
          <w:numId w:val="1160"/>
        </w:numPr>
        <w:pStyle w:val="Compact"/>
      </w:pPr>
      <w:r>
        <w:rPr>
          <w:bCs/>
          <w:b/>
        </w:rPr>
        <w:t xml:space="preserve">WADA:</w:t>
      </w:r>
      <w:r>
        <w:t xml:space="preserve"> </w:t>
      </w:r>
      <w:r>
        <w:t xml:space="preserve">prohibited (S2), in and out of competition. Ipamorelin and its metabolites can be detected in urine, including after use as a nasal spray</w:t>
      </w:r>
      <w:r>
        <w:rPr>
          <w:rStyle w:val="FootnoteReference"/>
        </w:rPr>
        <w:footnoteReference w:id="1357"/>
      </w:r>
      <w:r>
        <w:t xml:space="preserve">.</w:t>
      </w:r>
    </w:p>
    <w:bookmarkEnd w:id="1358"/>
    <w:bookmarkStart w:id="1359" w:name="ongoing-studies-and-outlook-26"/>
    <w:p>
      <w:pPr>
        <w:pStyle w:val="Heading3"/>
      </w:pPr>
      <w:r>
        <w:t xml:space="preserve">Ongoing studies and outlook</w:t>
      </w:r>
    </w:p>
    <w:p>
      <w:pPr>
        <w:pStyle w:val="FirstParagraph"/>
      </w:pPr>
      <w:r>
        <w:t xml:space="preserve">As of October 2026, ClinicalTrials.gov lists no ongoing study investigating ipamorelin as an investigational drug.</w:t>
      </w:r>
      <w:r>
        <w:t xml:space="preserve"> </w:t>
      </w:r>
      <w:r>
        <w:rPr>
          <w:iCs/>
          <w:i/>
        </w:rPr>
        <w:t xml:space="preserve">Author’s assessment:</w:t>
      </w:r>
      <w:r>
        <w:t xml:space="preserve"> </w:t>
      </w:r>
      <w:r>
        <w:t xml:space="preserve">After the negative result in postoperative ileus, there is no company developing the substance further. New data are most likely to come from case reports on gray-market use.</w:t>
      </w:r>
    </w:p>
    <w:bookmarkEnd w:id="1359"/>
    <w:bookmarkStart w:id="1360" w:name="conclusion-26"/>
    <w:p>
      <w:pPr>
        <w:pStyle w:val="Heading3"/>
      </w:pPr>
      <w:r>
        <w:t xml:space="preserve">Conclusion</w:t>
      </w:r>
    </w:p>
    <w:p>
      <w:pPr>
        <w:pStyle w:val="FirstParagraph"/>
      </w:pPr>
      <w:r>
        <w:t xml:space="preserve">Ipamorelin is a purpose-designed ghrelin receptor agonist that, in animals, releases growth hormone without appreciable stress hormone release. The only published efficacy trial in humans – 117 patients after bowel surgery – found no significant benefit; a larger follow-up trial remained unpublished. For the uses promoted on the internet (muscle building, fat loss, sleep, anti-aging), there are no human studies, and gray-market products have been shown to contain modified molecules as well.</w:t>
      </w:r>
    </w:p>
    <w:bookmarkEnd w:id="1360"/>
    <w:bookmarkEnd w:id="1361"/>
    <w:bookmarkStart w:id="1394" w:name="ghrp-2-pralmorelin"/>
    <w:p>
      <w:pPr>
        <w:pStyle w:val="Heading2"/>
      </w:pPr>
      <w:r>
        <w:t xml:space="preserve">GHRP-2 (Pralmorelin)</w:t>
      </w:r>
    </w:p>
    <w:p>
      <w:pPr>
        <w:pStyle w:val="FirstParagraph"/>
      </w:pPr>
      <w:r>
        <w:t xml:space="preserve">GHRP-2 is a small synthetic peptide of six amino acids that stimulates the pituitary gland to release growth hormone more powerfully than almost any other known stimulus. This potency has made it an approved medicine in Japan – not as a therapy but as a test substance: a single injection can determine whether an adult has growth hormone deficiency. On the gray market, the same peptide is sold as a</w:t>
      </w:r>
      <w:r>
        <w:t xml:space="preserve"> </w:t>
      </w:r>
      <w:r>
        <w:t xml:space="preserve">“</w:t>
      </w:r>
      <w:r>
        <w:t xml:space="preserve">muscle and anti-aging peptide.</w:t>
      </w:r>
      <w:r>
        <w:t xml:space="preserve">”</w:t>
      </w:r>
      <w:r>
        <w:t xml:space="preserve"> </w:t>
      </w:r>
      <w:r>
        <w:t xml:space="preserve">There is no evidence for that.</w:t>
      </w:r>
    </w:p>
    <w:bookmarkStart w:id="1364" w:name="profile-27"/>
    <w:p>
      <w:pPr>
        <w:pStyle w:val="Heading3"/>
      </w:pPr>
      <w:r>
        <w:t xml:space="preserve">Profile</w:t>
      </w:r>
    </w:p>
    <w:p>
      <w:pPr>
        <w:numPr>
          <w:ilvl w:val="0"/>
          <w:numId w:val="1161"/>
        </w:numPr>
        <w:pStyle w:val="Compact"/>
      </w:pPr>
      <w:r>
        <w:rPr>
          <w:bCs/>
          <w:b/>
        </w:rPr>
        <w:t xml:space="preserve">Type and structure:</w:t>
      </w:r>
      <w:r>
        <w:t xml:space="preserve"> </w:t>
      </w:r>
      <w:r>
        <w:t xml:space="preserve">synthetic hexapeptide (D-Ala-D-2-Nal-Ala-Trp-D-Phe-Lys-NH2) with several non-natural amino acids; development names KP-102 and GPA-748, international nonproprietary name pralmorelin</w:t>
      </w:r>
      <w:r>
        <w:rPr>
          <w:rStyle w:val="FootnoteReference"/>
        </w:rPr>
        <w:footnoteReference w:id="1362"/>
      </w:r>
      <w:r>
        <w:t xml:space="preserve">.</w:t>
      </w:r>
    </w:p>
    <w:p>
      <w:pPr>
        <w:numPr>
          <w:ilvl w:val="0"/>
          <w:numId w:val="1161"/>
        </w:numPr>
        <w:pStyle w:val="Compact"/>
      </w:pPr>
      <w:r>
        <w:rPr>
          <w:bCs/>
          <w:b/>
        </w:rPr>
        <w:t xml:space="preserve">Origin:</w:t>
      </w:r>
      <w:r>
        <w:t xml:space="preserve"> </w:t>
      </w:r>
      <w:r>
        <w:t xml:space="preserve">developed in the 1990s from the series of GH-releasing peptides founded by Cyril Bowers (Tulane University, USA); rights held by Kaken (Japan)</w:t>
      </w:r>
      <w:r>
        <w:rPr>
          <w:rStyle w:val="FootnoteReference"/>
        </w:rPr>
        <w:footnoteReference w:id="1363"/>
      </w:r>
      <w:r>
        <w:t xml:space="preserve">.</w:t>
      </w:r>
    </w:p>
    <w:p>
      <w:pPr>
        <w:numPr>
          <w:ilvl w:val="0"/>
          <w:numId w:val="1161"/>
        </w:numPr>
        <w:pStyle w:val="Compact"/>
      </w:pPr>
      <w:r>
        <w:rPr>
          <w:bCs/>
          <w:b/>
        </w:rPr>
        <w:t xml:space="preserve">Mechanism of action:</w:t>
      </w:r>
      <w:r>
        <w:t xml:space="preserve"> </w:t>
      </w:r>
      <w:r>
        <w:t xml:space="preserve">agonist at the ghrelin receptor (GHS-R1a) in the pituitary gland and hypothalamus; releases growth hormone and, to a lesser extent, ACTH, cortisol and prolactin; increases appetite.</w:t>
      </w:r>
    </w:p>
    <w:p>
      <w:pPr>
        <w:numPr>
          <w:ilvl w:val="0"/>
          <w:numId w:val="1161"/>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w:t>
      </w:r>
      <w:r>
        <w:t xml:space="preserve"> </w:t>
      </w:r>
      <w:r>
        <w:rPr>
          <w:bCs/>
          <w:b/>
        </w:rPr>
        <w:t xml:space="preserve">Japan:</w:t>
      </w:r>
      <w:r>
        <w:t xml:space="preserve"> </w:t>
      </w:r>
      <w:r>
        <w:t xml:space="preserve">approved as a diagnostic agent for pituitary function.</w:t>
      </w:r>
    </w:p>
    <w:p>
      <w:pPr>
        <w:numPr>
          <w:ilvl w:val="0"/>
          <w:numId w:val="1161"/>
        </w:numPr>
        <w:pStyle w:val="Compact"/>
      </w:pPr>
      <w:r>
        <w:rPr>
          <w:bCs/>
          <w:b/>
        </w:rPr>
        <w:t xml:space="preserve">WADA:</w:t>
      </w:r>
      <w:r>
        <w:t xml:space="preserve"> </w:t>
      </w:r>
      <w:r>
        <w:t xml:space="preserve">prohibited, class S2 – GHRP-2 (pralmorelin) is explicitly named as a growth hormone–releasing peptide.</w:t>
      </w:r>
    </w:p>
    <w:p>
      <w:pPr>
        <w:numPr>
          <w:ilvl w:val="0"/>
          <w:numId w:val="1161"/>
        </w:numPr>
        <w:pStyle w:val="Compact"/>
      </w:pPr>
      <w:r>
        <w:rPr>
          <w:bCs/>
          <w:b/>
        </w:rPr>
        <w:t xml:space="preserve">Evidence level: B</w:t>
      </w:r>
      <w:r>
        <w:t xml:space="preserve"> </w:t>
      </w:r>
      <w:r>
        <w:t xml:space="preserve">– numerous small randomized studies on hormone physiology and a validation study as a diagnostic agent; no randomized trial of a therapeutic benefit.</w:t>
      </w:r>
    </w:p>
    <w:bookmarkEnd w:id="1364"/>
    <w:bookmarkStart w:id="1367" w:name="how-it-is-supposed-to-work-27"/>
    <w:p>
      <w:pPr>
        <w:pStyle w:val="Heading3"/>
      </w:pPr>
      <w:r>
        <w:t xml:space="preserve">How it is supposed to work</w:t>
      </w:r>
    </w:p>
    <w:p>
      <w:pPr>
        <w:pStyle w:val="FirstParagraph"/>
      </w:pPr>
      <w:r>
        <w:t xml:space="preserve">GHRP-2 mimics ghrelin, the hunger hormone from the stomach that also controls growth hormone secretion</w:t>
      </w:r>
      <w:r>
        <w:rPr>
          <w:rStyle w:val="FootnoteReference"/>
        </w:rPr>
        <w:footnoteReference w:id="1365"/>
      </w:r>
      <w:r>
        <w:t xml:space="preserve">. Historically, the order was reversed: the synthetic GHRPs came first, their receptor was found, and only then was ghrelin discovered as its natural key.</w:t>
      </w:r>
    </w:p>
    <w:p>
      <w:pPr>
        <w:pStyle w:val="BodyText"/>
      </w:pPr>
      <w:r>
        <w:t xml:space="preserve">GHRP-2 acts on two levels: directly on the pituitary gland and indirectly via the hypothalamus, where it weakens the brake somatostatin and supports the body’s own GHRH. For its full effect it therefore requires an intact hypothalamus: in rats without a pituitary gland it had no effect at all, and in rats with a severed connection between the hypothalamus and pituitary only a weakened effect</w:t>
      </w:r>
      <w:r>
        <w:rPr>
          <w:rStyle w:val="FootnoteReference"/>
        </w:rPr>
        <w:footnoteReference w:id="1366"/>
      </w:r>
      <w:r>
        <w:t xml:space="preserve">. When GHRP-2 and GHRH are given together, the release is considerably greater than the sum of the individual effects.</w:t>
      </w:r>
    </w:p>
    <w:bookmarkEnd w:id="1367"/>
    <w:bookmarkStart w:id="1381" w:name="human-studies-27"/>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55</w:t>
      </w:r>
      <w:r>
        <w:t xml:space="preserve"> </w:t>
      </w:r>
      <w:r>
        <w:t xml:space="preserve">human studies in PubMed (</w:t>
      </w:r>
      <w:r>
        <w:rPr>
          <w:rStyle w:val="VerbatimChar"/>
        </w:rPr>
        <w:t xml:space="preserve">humanstudien_alle</w:t>
      </w:r>
      <w:r>
        <w:t xml:space="preserve">) and</w:t>
      </w:r>
      <w:r>
        <w:t xml:space="preserve"> </w:t>
      </w:r>
      <w:r>
        <w:rPr>
          <w:bCs/>
          <w:b/>
        </w:rPr>
        <w:t xml:space="preserve">no</w:t>
      </w:r>
      <w:r>
        <w:t xml:space="preserve"> </w:t>
      </w:r>
      <w:r>
        <w:t xml:space="preserve">entry on ClinicalTrials.gov. The large number is deceptive: most papers (especially from a research group at the Mayo Clinic) use GHRP-2 as a tool to study the regulation of growth hormone secretion in women and men, under sex hormones or in old age. They say nothing about a health benefit.</w:t>
      </w:r>
    </w:p>
    <w:bookmarkStart w:id="1372" w:name="diagnosis-of-growth-hormone-deficiency"/>
    <w:p>
      <w:pPr>
        <w:pStyle w:val="Heading4"/>
      </w:pPr>
      <w:r>
        <w:t xml:space="preserve">Diagnosis of growth hormone deficiency</w:t>
      </w:r>
    </w:p>
    <w:p>
      <w:pPr>
        <w:pStyle w:val="FirstParagraph"/>
      </w:pPr>
      <w:r>
        <w:t xml:space="preserve">The most important use is the GHRP-2 test. In a validation study, 77 healthy people and 58 patients with confirmed severe growth hormone deficiency received a single intravenous dose. The GH peak averaged 84.6 µg/L in the healthy people and 1.36 µg/L in those affected. The test was highly reproducible and was only slightly influenced by age and excess weight; a cutoff of 15 µg/L corresponded to the customary cutoff of the insulin hypoglycemia test</w:t>
      </w:r>
      <w:r>
        <w:rPr>
          <w:rStyle w:val="FootnoteReference"/>
        </w:rPr>
        <w:footnoteReference w:id="1368"/>
      </w:r>
      <w:r>
        <w:t xml:space="preserve">. In a comparison in 71 people with pituitary tumors, the GHRP-2 test achieved a sensitivity of 81.3% and a specificity of 94.5% relative to the insulin test</w:t>
      </w:r>
      <w:r>
        <w:rPr>
          <w:rStyle w:val="FootnoteReference"/>
        </w:rPr>
        <w:footnoteReference w:id="1369"/>
      </w:r>
      <w:r>
        <w:t xml:space="preserve">.</w:t>
      </w:r>
    </w:p>
    <w:p>
      <w:pPr>
        <w:pStyle w:val="BodyText"/>
      </w:pPr>
      <w:r>
        <w:t xml:space="preserve">Because GHRP-2 also releases ACTH, it was examined whether the test can additionally detect underactivity of the adrenal axis. The results are mixed: in a study of 47 people it achieved a sensitivity of 89.7%</w:t>
      </w:r>
      <w:r>
        <w:rPr>
          <w:rStyle w:val="FootnoteReference"/>
        </w:rPr>
        <w:footnoteReference w:id="1370"/>
      </w:r>
      <w:r>
        <w:t xml:space="preserve">; in a larger analysis of 254 people it was not sufficiently reliable overall (sensitivity 64%, specificity 79%), performing well only in men without a hormone-secreting tumor</w:t>
      </w:r>
      <w:r>
        <w:rPr>
          <w:rStyle w:val="FootnoteReference"/>
        </w:rPr>
        <w:footnoteReference w:id="1371"/>
      </w:r>
      <w:r>
        <w:t xml:space="preserve">.</w:t>
      </w:r>
    </w:p>
    <w:bookmarkEnd w:id="1372"/>
    <w:bookmarkStart w:id="1377" w:name="treatment-attempts-in-children"/>
    <w:p>
      <w:pPr>
        <w:pStyle w:val="Heading4"/>
      </w:pPr>
      <w:r>
        <w:t xml:space="preserve">Treatment attempts in children</w:t>
      </w:r>
    </w:p>
    <w:p>
      <w:pPr>
        <w:pStyle w:val="FirstParagraph"/>
      </w:pPr>
      <w:r>
        <w:t xml:space="preserve">In the 1990s, GHRP-2 was tested as a therapy for children of short stature. In six children with growth hormone deficiency, nighttime GH secretion rose dose-dependently, but IGF-1 did not; growth velocity was higher during treatment</w:t>
      </w:r>
      <w:r>
        <w:rPr>
          <w:rStyle w:val="FootnoteReference"/>
        </w:rPr>
        <w:footnoteReference w:id="1373"/>
      </w:r>
      <w:r>
        <w:t xml:space="preserve">. As a nasal spray, GHRP-2 increased growth velocity in 15 children from 3.7 to 6.1 cm per year, again without a rise in IGF-1</w:t>
      </w:r>
      <w:r>
        <w:rPr>
          <w:rStyle w:val="FootnoteReference"/>
        </w:rPr>
        <w:footnoteReference w:id="1374"/>
      </w:r>
      <w:r>
        <w:t xml:space="preserve">. Of ten children who received GHRP-2 as a tablet for twelve months, seven reported markedly increased appetite in the first months</w:t>
      </w:r>
      <w:r>
        <w:rPr>
          <w:rStyle w:val="FootnoteReference"/>
        </w:rPr>
        <w:footnoteReference w:id="1375"/>
      </w:r>
      <w:r>
        <w:t xml:space="preserve">. Further development as a therapy was discontinued in the United States</w:t>
      </w:r>
      <w:r>
        <w:rPr>
          <w:rStyle w:val="FootnoteReference"/>
        </w:rPr>
        <w:footnoteReference w:id="1376"/>
      </w:r>
      <w:r>
        <w:t xml:space="preserve">.</w:t>
      </w:r>
    </w:p>
    <w:bookmarkEnd w:id="1377"/>
    <w:bookmarkStart w:id="1380" w:name="appetite-and-intensive-care"/>
    <w:p>
      <w:pPr>
        <w:pStyle w:val="Heading4"/>
      </w:pPr>
      <w:r>
        <w:t xml:space="preserve">Appetite and intensive care</w:t>
      </w:r>
    </w:p>
    <w:p>
      <w:pPr>
        <w:pStyle w:val="FirstParagraph"/>
      </w:pPr>
      <w:r>
        <w:t xml:space="preserve">In 19 lean and overweight adults, an infusion of GHRP-2 dose-dependently increased freely chosen food intake by 10.2% and 33.5%, respectively, compared with placebo</w:t>
      </w:r>
      <w:r>
        <w:rPr>
          <w:rStyle w:val="FootnoteReference"/>
        </w:rPr>
        <w:footnoteReference w:id="1378"/>
      </w:r>
      <w:r>
        <w:t xml:space="preserve">. In 14 long-stay intensive care patients, a five-day infusion of GHRP-2 together with thyrotropin-releasing hormone (TRH) reactivated the suppressed GH and thyroid axes and shifted metabolic markers toward anabolism</w:t>
      </w:r>
      <w:r>
        <w:rPr>
          <w:rStyle w:val="FootnoteReference"/>
        </w:rPr>
        <w:footnoteReference w:id="1379"/>
      </w:r>
      <w:r>
        <w:t xml:space="preserve">. Whether this changes the chances of survival was never tested in an outcome trial.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Diagnosis (Chihara 2007), PMID 17609397</w:t>
            </w:r>
          </w:p>
        </w:tc>
        <w:tc>
          <w:tcPr/>
          <w:p>
            <w:pPr>
              <w:pStyle w:val="Compact"/>
              <w:jc w:val="left"/>
            </w:pPr>
            <w:r>
              <w:t xml:space="preserve">77 healthy people, 58 patients with GH deficiency, controlled validation</w:t>
            </w:r>
          </w:p>
        </w:tc>
        <w:tc>
          <w:tcPr/>
          <w:p>
            <w:pPr>
              <w:pStyle w:val="Compact"/>
              <w:jc w:val="left"/>
            </w:pPr>
            <w:r>
              <w:t xml:space="preserve">single test</w:t>
            </w:r>
          </w:p>
        </w:tc>
        <w:tc>
          <w:tcPr/>
          <w:p>
            <w:pPr>
              <w:pStyle w:val="Compact"/>
              <w:jc w:val="left"/>
            </w:pPr>
            <w:r>
              <w:t xml:space="preserve">GH peak 84.6 vs. 1.36 µg/L; cutoff 15 µg/L</w:t>
            </w:r>
          </w:p>
        </w:tc>
      </w:tr>
      <w:tr>
        <w:tc>
          <w:tcPr/>
          <w:p>
            <w:pPr>
              <w:pStyle w:val="Compact"/>
              <w:jc w:val="left"/>
            </w:pPr>
            <w:r>
              <w:t xml:space="preserve">Diagnosis (Kinoshita 2013), PMID 23079545</w:t>
            </w:r>
          </w:p>
        </w:tc>
        <w:tc>
          <w:tcPr/>
          <w:p>
            <w:pPr>
              <w:pStyle w:val="Compact"/>
              <w:jc w:val="left"/>
            </w:pPr>
            <w:r>
              <w:t xml:space="preserve">71 people with pituitary tumors, comparison with insulin test</w:t>
            </w:r>
          </w:p>
        </w:tc>
        <w:tc>
          <w:tcPr/>
          <w:p>
            <w:pPr>
              <w:pStyle w:val="Compact"/>
              <w:jc w:val="left"/>
            </w:pPr>
            <w:r>
              <w:t xml:space="preserve">single test</w:t>
            </w:r>
          </w:p>
        </w:tc>
        <w:tc>
          <w:tcPr/>
          <w:p>
            <w:pPr>
              <w:pStyle w:val="Compact"/>
              <w:jc w:val="left"/>
            </w:pPr>
            <w:r>
              <w:t xml:space="preserve">sensitivity 81.3%, specificity 94.5%</w:t>
            </w:r>
          </w:p>
        </w:tc>
      </w:tr>
      <w:tr>
        <w:tc>
          <w:tcPr/>
          <w:p>
            <w:pPr>
              <w:pStyle w:val="Compact"/>
              <w:jc w:val="left"/>
            </w:pPr>
            <w:r>
              <w:t xml:space="preserve">Children, nasal spray (Pihoker 1997), PMID 9390009</w:t>
            </w:r>
          </w:p>
        </w:tc>
        <w:tc>
          <w:tcPr/>
          <w:p>
            <w:pPr>
              <w:pStyle w:val="Compact"/>
              <w:jc w:val="left"/>
            </w:pPr>
            <w:r>
              <w:t xml:space="preserve">15 children of short stature, no control group</w:t>
            </w:r>
          </w:p>
        </w:tc>
        <w:tc>
          <w:tcPr/>
          <w:p>
            <w:pPr>
              <w:pStyle w:val="Compact"/>
              <w:jc w:val="left"/>
            </w:pPr>
            <w:r>
              <w:t xml:space="preserve">6–24 months</w:t>
            </w:r>
          </w:p>
        </w:tc>
        <w:tc>
          <w:tcPr/>
          <w:p>
            <w:pPr>
              <w:pStyle w:val="Compact"/>
              <w:jc w:val="left"/>
            </w:pPr>
            <w:r>
              <w:t xml:space="preserve">growth 3.7 → 6.1 cm/year</w:t>
            </w:r>
          </w:p>
        </w:tc>
      </w:tr>
      <w:tr>
        <w:tc>
          <w:tcPr/>
          <w:p>
            <w:pPr>
              <w:pStyle w:val="Compact"/>
              <w:jc w:val="left"/>
            </w:pPr>
            <w:r>
              <w:t xml:space="preserve">Appetite (Laferrère 2006), PMID 16861611</w:t>
            </w:r>
          </w:p>
        </w:tc>
        <w:tc>
          <w:tcPr/>
          <w:p>
            <w:pPr>
              <w:pStyle w:val="Compact"/>
              <w:jc w:val="left"/>
            </w:pPr>
            <w:r>
              <w:t xml:space="preserve">19 adults, RCT crossover design vs. placebo</w:t>
            </w:r>
          </w:p>
        </w:tc>
        <w:tc>
          <w:tcPr/>
          <w:p>
            <w:pPr>
              <w:pStyle w:val="Compact"/>
              <w:jc w:val="left"/>
            </w:pPr>
            <w:r>
              <w:t xml:space="preserve">3 single infusions</w:t>
            </w:r>
          </w:p>
        </w:tc>
        <w:tc>
          <w:tcPr/>
          <w:p>
            <w:pPr>
              <w:pStyle w:val="Compact"/>
              <w:jc w:val="left"/>
            </w:pPr>
            <w:r>
              <w:t xml:space="preserve">food intake +10.2% and +33.5%</w:t>
            </w:r>
          </w:p>
        </w:tc>
      </w:tr>
      <w:tr>
        <w:tc>
          <w:tcPr/>
          <w:p>
            <w:pPr>
              <w:pStyle w:val="Compact"/>
              <w:jc w:val="left"/>
            </w:pPr>
            <w:r>
              <w:t xml:space="preserve">Intensive care (Van den Berghe 1999), PMID 10199772</w:t>
            </w:r>
          </w:p>
        </w:tc>
        <w:tc>
          <w:tcPr/>
          <w:p>
            <w:pPr>
              <w:pStyle w:val="Compact"/>
              <w:jc w:val="left"/>
            </w:pPr>
            <w:r>
              <w:t xml:space="preserve">14 long-stay intensive care patients, randomized crossover design</w:t>
            </w:r>
          </w:p>
        </w:tc>
        <w:tc>
          <w:tcPr/>
          <w:p>
            <w:pPr>
              <w:pStyle w:val="Compact"/>
              <w:jc w:val="left"/>
            </w:pPr>
            <w:r>
              <w:t xml:space="preserve">5 days</w:t>
            </w:r>
          </w:p>
        </w:tc>
        <w:tc>
          <w:tcPr/>
          <w:p>
            <w:pPr>
              <w:pStyle w:val="Compact"/>
              <w:jc w:val="left"/>
            </w:pPr>
            <w:r>
              <w:t xml:space="preserve">GH and thyroid axes reactivated</w:t>
            </w:r>
          </w:p>
        </w:tc>
      </w:tr>
    </w:tbl>
    <w:bookmarkEnd w:id="1380"/>
    <w:bookmarkEnd w:id="1381"/>
    <w:bookmarkStart w:id="1384" w:name="animal-and-laboratory-studies-27"/>
    <w:p>
      <w:pPr>
        <w:pStyle w:val="Heading3"/>
      </w:pPr>
      <w:r>
        <w:t xml:space="preserve">Animal and laboratory studies</w:t>
      </w:r>
    </w:p>
    <w:p>
      <w:pPr>
        <w:pStyle w:val="FirstParagraph"/>
      </w:pPr>
      <w:r>
        <w:t xml:space="preserve">In conscious rats, GHRP-2 released more growth hormone than GHRH and was also effective in dogs, in which GHRH failed; in rats it increased ACTH and corticosterone but not prolactin, and accelerated growth over three weeks</w:t>
      </w:r>
      <w:r>
        <w:rPr>
          <w:rStyle w:val="FootnoteReference"/>
        </w:rPr>
        <w:footnoteReference w:id="1382"/>
      </w:r>
      <w:r>
        <w:t xml:space="preserve">. In pigs, GHRP-2 was particularly potent in a comparative study but, unlike ipamorelin, also released ACTH and cortisol</w:t>
      </w:r>
      <w:r>
        <w:rPr>
          <w:rStyle w:val="FootnoteReference"/>
        </w:rPr>
        <w:footnoteReference w:id="1383"/>
      </w:r>
      <w:r>
        <w:t xml:space="preserve">.</w:t>
      </w:r>
    </w:p>
    <w:bookmarkEnd w:id="1384"/>
    <w:bookmarkStart w:id="1389" w:name="risks-and-side-effects-27"/>
    <w:p>
      <w:pPr>
        <w:pStyle w:val="Heading3"/>
      </w:pPr>
      <w:r>
        <w:t xml:space="preserve">Risks and side effects</w:t>
      </w:r>
    </w:p>
    <w:p>
      <w:pPr>
        <w:pStyle w:val="FirstParagraph"/>
      </w:pPr>
      <w:r>
        <w:rPr>
          <w:bCs/>
          <w:b/>
        </w:rPr>
        <w:t xml:space="preserve">Established:</w:t>
      </w:r>
      <w:r>
        <w:t xml:space="preserve"> </w:t>
      </w:r>
      <w:r>
        <w:t xml:space="preserve">In the studies, GHRP-2 was well tolerated in the short term. Repeatedly described are increased appetite</w:t>
      </w:r>
      <w:r>
        <w:rPr>
          <w:rStyle w:val="FootnoteReference"/>
        </w:rPr>
        <w:footnoteReference w:id="1385"/>
      </w:r>
      <w:r>
        <w:t xml:space="preserve"> </w:t>
      </w:r>
      <w:r>
        <w:t xml:space="preserve">and the release of ACTH and cortisol</w:t>
      </w:r>
      <w:r>
        <w:rPr>
          <w:rStyle w:val="FootnoteReference"/>
        </w:rPr>
        <w:footnoteReference w:id="1386"/>
      </w:r>
      <w:r>
        <w:t xml:space="preserve">. A review of GH releasers also mentions a possible rise in blood glucose due to reduced insulin sensitivity and calls for long-term data on cancer and mortality</w:t>
      </w:r>
      <w:r>
        <w:rPr>
          <w:rStyle w:val="FootnoteReference"/>
        </w:rPr>
        <w:footnoteReference w:id="1387"/>
      </w:r>
      <w:r>
        <w:t xml:space="preserve">.</w:t>
      </w:r>
    </w:p>
    <w:p>
      <w:pPr>
        <w:pStyle w:val="BodyText"/>
      </w:pPr>
      <w:r>
        <w:rPr>
          <w:bCs/>
          <w:b/>
        </w:rPr>
        <w:t xml:space="preserve">Unknown:</w:t>
      </w:r>
      <w:r>
        <w:t xml:space="preserve"> </w:t>
      </w:r>
      <w:r>
        <w:t xml:space="preserve">There are no data on use over months or years in adults. On the question of whether persistently elevated growth hormone/IGF-1 increases cancer risk, see the introduction to this group and Part IV.</w:t>
      </w:r>
    </w:p>
    <w:p>
      <w:pPr>
        <w:pStyle w:val="BodyText"/>
      </w:pPr>
      <w:r>
        <w:rPr>
          <w:bCs/>
          <w:b/>
        </w:rPr>
        <w:t xml:space="preserve">Gray market:</w:t>
      </w:r>
      <w:r>
        <w:t xml:space="preserve"> </w:t>
      </w:r>
      <w:r>
        <w:t xml:space="preserve">“</w:t>
      </w:r>
      <w:r>
        <w:t xml:space="preserve">Gly-GHRP-2,</w:t>
      </w:r>
      <w:r>
        <w:t xml:space="preserve">”</w:t>
      </w:r>
      <w:r>
        <w:t xml:space="preserve"> </w:t>
      </w:r>
      <w:r>
        <w:t xml:space="preserve">that is, GHRP-2 with an additional, undeclared amino acid, has been found in seized products</w:t>
      </w:r>
      <w:r>
        <w:rPr>
          <w:rStyle w:val="FootnoteReference"/>
        </w:rPr>
        <w:footnoteReference w:id="1388"/>
      </w:r>
      <w:r>
        <w:t xml:space="preserve">.</w:t>
      </w:r>
    </w:p>
    <w:bookmarkEnd w:id="1389"/>
    <w:bookmarkStart w:id="1391" w:name="legal-status-27"/>
    <w:p>
      <w:pPr>
        <w:pStyle w:val="Heading3"/>
      </w:pPr>
      <w:r>
        <w:t xml:space="preserve">Legal status</w:t>
      </w:r>
    </w:p>
    <w:p>
      <w:pPr>
        <w:pStyle w:val="FirstParagraph"/>
      </w:pPr>
      <w:r>
        <w:rPr>
          <w:iCs/>
          <w:i/>
        </w:rPr>
        <w:t xml:space="preserve">As of 2026, please check for updates.</w:t>
      </w:r>
    </w:p>
    <w:p>
      <w:pPr>
        <w:numPr>
          <w:ilvl w:val="0"/>
          <w:numId w:val="1162"/>
        </w:numPr>
        <w:pStyle w:val="Compact"/>
      </w:pPr>
      <w:r>
        <w:rPr>
          <w:bCs/>
          <w:b/>
        </w:rPr>
        <w:t xml:space="preserve">Japan:</w:t>
      </w:r>
      <w:r>
        <w:t xml:space="preserve"> </w:t>
      </w:r>
      <w:r>
        <w:t xml:space="preserve">approved as a diagnostic agent; used exclusively in the context of medical function tests.</w:t>
      </w:r>
    </w:p>
    <w:p>
      <w:pPr>
        <w:numPr>
          <w:ilvl w:val="0"/>
          <w:numId w:val="1162"/>
        </w:numPr>
        <w:pStyle w:val="Compact"/>
      </w:pPr>
      <w:r>
        <w:rPr>
          <w:bCs/>
          <w:b/>
        </w:rPr>
        <w:t xml:space="preserve">EU, Germany, Austria:</w:t>
      </w:r>
      <w:r>
        <w:t xml:space="preserve"> </w:t>
      </w:r>
      <w:r>
        <w:t xml:space="preserve">no approval; supplying it for use in humans is prohibited.</w:t>
      </w:r>
    </w:p>
    <w:p>
      <w:pPr>
        <w:numPr>
          <w:ilvl w:val="0"/>
          <w:numId w:val="1162"/>
        </w:numPr>
        <w:pStyle w:val="Compact"/>
      </w:pPr>
      <w:r>
        <w:rPr>
          <w:bCs/>
          <w:b/>
        </w:rPr>
        <w:t xml:space="preserve">USA:</w:t>
      </w:r>
      <w:r>
        <w:t xml:space="preserve"> </w:t>
      </w:r>
      <w:r>
        <w:t xml:space="preserve">no approval.</w:t>
      </w:r>
    </w:p>
    <w:p>
      <w:pPr>
        <w:numPr>
          <w:ilvl w:val="0"/>
          <w:numId w:val="1162"/>
        </w:numPr>
        <w:pStyle w:val="Compact"/>
      </w:pPr>
      <w:r>
        <w:rPr>
          <w:bCs/>
          <w:b/>
        </w:rPr>
        <w:t xml:space="preserve">WADA:</w:t>
      </w:r>
      <w:r>
        <w:t xml:space="preserve"> </w:t>
      </w:r>
      <w:r>
        <w:t xml:space="preserve">prohibited (S2). After administration as a nasal spray to a volunteer, GHRP-2 and its metabolites were detectable in urine for up to 47 hours</w:t>
      </w:r>
      <w:r>
        <w:rPr>
          <w:rStyle w:val="FootnoteReference"/>
        </w:rPr>
        <w:footnoteReference w:id="1390"/>
      </w:r>
      <w:r>
        <w:t xml:space="preserve">.</w:t>
      </w:r>
    </w:p>
    <w:bookmarkEnd w:id="1391"/>
    <w:bookmarkStart w:id="1392" w:name="ongoing-studies-and-outlook-27"/>
    <w:p>
      <w:pPr>
        <w:pStyle w:val="Heading3"/>
      </w:pPr>
      <w:r>
        <w:t xml:space="preserve">Ongoing studies and outlook</w:t>
      </w:r>
    </w:p>
    <w:p>
      <w:pPr>
        <w:pStyle w:val="FirstParagraph"/>
      </w:pPr>
      <w:r>
        <w:t xml:space="preserve">As of October 2026, no study with GHRP-2 or pralmorelin is registered on ClinicalTrials.gov.</w:t>
      </w:r>
      <w:r>
        <w:t xml:space="preserve"> </w:t>
      </w:r>
      <w:r>
        <w:rPr>
          <w:iCs/>
          <w:i/>
        </w:rPr>
        <w:t xml:space="preserve">Author’s assessment:</w:t>
      </w:r>
      <w:r>
        <w:t xml:space="preserve"> </w:t>
      </w:r>
      <w:r>
        <w:t xml:space="preserve">GHRP-2 will remain a diagnostic tool in Japan and a tool of hormone research. In other countries, as a test substance it competes with macimorelin, which is available in oral form.</w:t>
      </w:r>
    </w:p>
    <w:bookmarkEnd w:id="1392"/>
    <w:bookmarkStart w:id="1393" w:name="conclusion-27"/>
    <w:p>
      <w:pPr>
        <w:pStyle w:val="Heading3"/>
      </w:pPr>
      <w:r>
        <w:t xml:space="preserve">Conclusion</w:t>
      </w:r>
    </w:p>
    <w:p>
      <w:pPr>
        <w:pStyle w:val="FirstParagraph"/>
      </w:pPr>
      <w:r>
        <w:t xml:space="preserve">GHRP-2 is one of the most potent known triggers of growth hormone secretion and is established in Japan as a diagnostic agent for growth hormone deficiency. Treatment attempts in children showed only modest effects and were not pursued further. For muscle building, fat loss or</w:t>
      </w:r>
      <w:r>
        <w:t xml:space="preserve"> </w:t>
      </w:r>
      <w:r>
        <w:t xml:space="preserve">“</w:t>
      </w:r>
      <w:r>
        <w:t xml:space="preserve">anti-aging</w:t>
      </w:r>
      <w:r>
        <w:t xml:space="preserve">”</w:t>
      </w:r>
      <w:r>
        <w:t xml:space="preserve"> </w:t>
      </w:r>
      <w:r>
        <w:t xml:space="preserve">in healthy people there are no studies; what is documented, by contrast, are side effects such as food cravings and activation of stress hormones.</w:t>
      </w:r>
    </w:p>
    <w:bookmarkEnd w:id="1393"/>
    <w:bookmarkEnd w:id="1394"/>
    <w:bookmarkStart w:id="1424" w:name="ghrp-6"/>
    <w:p>
      <w:pPr>
        <w:pStyle w:val="Heading2"/>
      </w:pPr>
      <w:r>
        <w:t xml:space="preserve">GHRP-6</w:t>
      </w:r>
    </w:p>
    <w:p>
      <w:pPr>
        <w:pStyle w:val="FirstParagraph"/>
      </w:pPr>
      <w:r>
        <w:t xml:space="preserve">GHRP-6 is the ancestor of all growth hormone–releasing peptides. In 1984, the US endocrinologist Cyril Bowers described an artificial hexapeptide that selectively releases growth hormone – 15 years before its natural counterpart, ghrelin, was known. In research, GHRP-6 became the standard tool for testing the growth hormone axis. In bodybuilding circles, by contrast, it is regarded as an inexpensive GH booster with the side effect of</w:t>
      </w:r>
      <w:r>
        <w:t xml:space="preserve"> </w:t>
      </w:r>
      <w:r>
        <w:t xml:space="preserve">“</w:t>
      </w:r>
      <w:r>
        <w:t xml:space="preserve">ravenous hunger.</w:t>
      </w:r>
      <w:r>
        <w:t xml:space="preserve">”</w:t>
      </w:r>
      <w:r>
        <w:t xml:space="preserve"> </w:t>
      </w:r>
      <w:r>
        <w:t xml:space="preserve">It never became a medicine.</w:t>
      </w:r>
    </w:p>
    <w:bookmarkStart w:id="1396" w:name="profile-28"/>
    <w:p>
      <w:pPr>
        <w:pStyle w:val="Heading3"/>
      </w:pPr>
      <w:r>
        <w:t xml:space="preserve">Profile</w:t>
      </w:r>
    </w:p>
    <w:p>
      <w:pPr>
        <w:numPr>
          <w:ilvl w:val="0"/>
          <w:numId w:val="1163"/>
        </w:numPr>
        <w:pStyle w:val="Compact"/>
      </w:pPr>
      <w:r>
        <w:rPr>
          <w:bCs/>
          <w:b/>
        </w:rPr>
        <w:t xml:space="preserve">Type and structure:</w:t>
      </w:r>
      <w:r>
        <w:t xml:space="preserve"> </w:t>
      </w:r>
      <w:r>
        <w:t xml:space="preserve">synthetic hexapeptide His-D-Trp-Ala-Trp-D-Phe-Lys-NH2 with two non-natural D-amino acids</w:t>
      </w:r>
      <w:r>
        <w:rPr>
          <w:rStyle w:val="FootnoteReference"/>
        </w:rPr>
        <w:footnoteReference w:id="1395"/>
      </w:r>
      <w:r>
        <w:t xml:space="preserve">.</w:t>
      </w:r>
    </w:p>
    <w:p>
      <w:pPr>
        <w:numPr>
          <w:ilvl w:val="0"/>
          <w:numId w:val="1163"/>
        </w:numPr>
        <w:pStyle w:val="Compact"/>
      </w:pPr>
      <w:r>
        <w:rPr>
          <w:bCs/>
          <w:b/>
        </w:rPr>
        <w:t xml:space="preserve">Origin:</w:t>
      </w:r>
      <w:r>
        <w:t xml:space="preserve"> </w:t>
      </w:r>
      <w:r>
        <w:t xml:space="preserve">Tulane University (USA), early 1980s.</w:t>
      </w:r>
    </w:p>
    <w:p>
      <w:pPr>
        <w:numPr>
          <w:ilvl w:val="0"/>
          <w:numId w:val="1163"/>
        </w:numPr>
        <w:pStyle w:val="Compact"/>
      </w:pPr>
      <w:r>
        <w:rPr>
          <w:bCs/>
          <w:b/>
        </w:rPr>
        <w:t xml:space="preserve">Mechanism of action:</w:t>
      </w:r>
      <w:r>
        <w:t xml:space="preserve"> </w:t>
      </w:r>
      <w:r>
        <w:t xml:space="preserve">agonist at the ghrelin receptor (GHS-R1a) in the pituitary gland and hypothalamus; releases growth hormone as well as ACTH, cortisol and prolactin; increases appetite.</w:t>
      </w:r>
    </w:p>
    <w:p>
      <w:pPr>
        <w:numPr>
          <w:ilvl w:val="0"/>
          <w:numId w:val="1163"/>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 Not approved as a medicine anywhere else either (as of 2026).</w:t>
      </w:r>
    </w:p>
    <w:p>
      <w:pPr>
        <w:numPr>
          <w:ilvl w:val="0"/>
          <w:numId w:val="1163"/>
        </w:numPr>
        <w:pStyle w:val="Compact"/>
      </w:pPr>
      <w:r>
        <w:rPr>
          <w:bCs/>
          <w:b/>
        </w:rPr>
        <w:t xml:space="preserve">WADA:</w:t>
      </w:r>
      <w:r>
        <w:t xml:space="preserve"> </w:t>
      </w:r>
      <w:r>
        <w:t xml:space="preserve">prohibited, class S2 – GHRP-6 is explicitly named as a growth hormone–releasing peptide.</w:t>
      </w:r>
    </w:p>
    <w:p>
      <w:pPr>
        <w:numPr>
          <w:ilvl w:val="0"/>
          <w:numId w:val="1163"/>
        </w:numPr>
        <w:pStyle w:val="Compact"/>
      </w:pPr>
      <w:r>
        <w:rPr>
          <w:bCs/>
          <w:b/>
        </w:rPr>
        <w:t xml:space="preserve">Evidence level: C</w:t>
      </w:r>
      <w:r>
        <w:t xml:space="preserve"> </w:t>
      </w:r>
      <w:r>
        <w:t xml:space="preserve">– many small studies on hormone physiology and diagnostics, each with 10 to 250 people, but not a single controlled trial of a therapeutic benefit.</w:t>
      </w:r>
    </w:p>
    <w:bookmarkEnd w:id="1396"/>
    <w:bookmarkStart w:id="1399" w:name="how-it-is-supposed-to-work-28"/>
    <w:p>
      <w:pPr>
        <w:pStyle w:val="Heading3"/>
      </w:pPr>
      <w:r>
        <w:t xml:space="preserve">How it is supposed to work</w:t>
      </w:r>
    </w:p>
    <w:p>
      <w:pPr>
        <w:pStyle w:val="FirstParagraph"/>
      </w:pPr>
      <w:r>
        <w:t xml:space="preserve">In 1984, Bowers and colleagues showed that the hexapeptide releases growth hormone within minutes in rats, monkeys, lambs and calves without affecting other pituitary hormones such as LH, FSH or TSH; rats that received it repeatedly gained more weight</w:t>
      </w:r>
      <w:r>
        <w:rPr>
          <w:rStyle w:val="FootnoteReference"/>
        </w:rPr>
        <w:footnoteReference w:id="1397"/>
      </w:r>
      <w:r>
        <w:t xml:space="preserve">. It later turned out that GHRP-6 acts at the same receptor as the stomach hormone ghrelin</w:t>
      </w:r>
      <w:r>
        <w:rPr>
          <w:rStyle w:val="FootnoteReference"/>
        </w:rPr>
        <w:footnoteReference w:id="1398"/>
      </w:r>
      <w:r>
        <w:t xml:space="preserve">.</w:t>
      </w:r>
    </w:p>
    <w:p>
      <w:pPr>
        <w:pStyle w:val="BodyText"/>
      </w:pPr>
      <w:r>
        <w:t xml:space="preserve">Like GHRP-2, GHRP-6 acts most strongly when the body’s own GHRH from the hypothalamus is involved. When both are combined, the release of growth hormone is greater than the sum of the individual effects. It was precisely this property that made GHRP-6 interesting as a diagnostic agent. Unlike ipamorelin, GHRP-6 also activates the stress hormone axis (ACTH and cortisol).</w:t>
      </w:r>
    </w:p>
    <w:bookmarkEnd w:id="1399"/>
    <w:bookmarkStart w:id="1410" w:name="human-studies-28"/>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40</w:t>
      </w:r>
      <w:r>
        <w:t xml:space="preserve"> </w:t>
      </w:r>
      <w:r>
        <w:t xml:space="preserve">human studies in PubMed (</w:t>
      </w:r>
      <w:r>
        <w:rPr>
          <w:rStyle w:val="VerbatimChar"/>
        </w:rPr>
        <w:t xml:space="preserve">humanstudien_alle</w:t>
      </w:r>
      <w:r>
        <w:t xml:space="preserve">) and</w:t>
      </w:r>
      <w:r>
        <w:t xml:space="preserve"> </w:t>
      </w:r>
      <w:r>
        <w:rPr>
          <w:bCs/>
          <w:b/>
        </w:rPr>
        <w:t xml:space="preserve">no</w:t>
      </w:r>
      <w:r>
        <w:t xml:space="preserve"> </w:t>
      </w:r>
      <w:r>
        <w:t xml:space="preserve">entry on ClinicalTrials.gov. Almost all papers use GHRP-6 as a single-dose test substance to study hormone regulation in diseases such as Cushing’s syndrome, hyperthyroidism, overweight or in old age. One study on this list was conducted in dogs.</w:t>
      </w:r>
    </w:p>
    <w:bookmarkStart w:id="1404" w:name="diagnosis-of-growth-hormone-deficiency-1"/>
    <w:p>
      <w:pPr>
        <w:pStyle w:val="Heading4"/>
      </w:pPr>
      <w:r>
        <w:t xml:space="preserve">Diagnosis of growth hormone deficiency</w:t>
      </w:r>
    </w:p>
    <w:p>
      <w:pPr>
        <w:pStyle w:val="FirstParagraph"/>
      </w:pPr>
      <w:r>
        <w:t xml:space="preserve">The best-known study was published in 2000 in the journal Lancet: 125 adults with diseases of the pituitary gland and 125 healthy people received GHRH plus GHRP-6 as a combination test. The mean GH peak was 59.2 µg/L in the healthy people and 4.1 µg/L in those affected; a cutoff of 15 µg/L reliably separated the two groups. No side effects occurred, and age, sex and body fat did not influence the result</w:t>
      </w:r>
      <w:r>
        <w:rPr>
          <w:rStyle w:val="FootnoteReference"/>
        </w:rPr>
        <w:footnoteReference w:id="1400"/>
      </w:r>
      <w:r>
        <w:t xml:space="preserve">. In a smaller study of 20 people, the test correctly identified all cases of growth hormone deficiency; the only side effect observed was a feeling of warmth (flushing)</w:t>
      </w:r>
      <w:r>
        <w:rPr>
          <w:rStyle w:val="FootnoteReference"/>
        </w:rPr>
        <w:footnoteReference w:id="1401"/>
      </w:r>
      <w:r>
        <w:t xml:space="preserve">. Of 21 adults in whom a deficiency had previously been diagnosed with conventional tests, about 40% did respond clearly to the combination after all</w:t>
      </w:r>
      <w:r>
        <w:rPr>
          <w:rStyle w:val="FootnoteReference"/>
        </w:rPr>
        <w:footnoteReference w:id="1402"/>
      </w:r>
      <w:r>
        <w:t xml:space="preserve"> </w:t>
      </w:r>
      <w:r>
        <w:t xml:space="preserve">– an indication that different tests answer different questions.</w:t>
      </w:r>
    </w:p>
    <w:p>
      <w:pPr>
        <w:pStyle w:val="BodyText"/>
      </w:pPr>
      <w:r>
        <w:t xml:space="preserve">As a test for underactivity of the adrenal axis, however, GHRP-6 was of only limited use: in 49 patients, compared with the insulin test, it achieved a sensitivity of 71.0% and a specificity of 77.8%</w:t>
      </w:r>
      <w:r>
        <w:rPr>
          <w:rStyle w:val="FootnoteReference"/>
        </w:rPr>
        <w:footnoteReference w:id="1403"/>
      </w:r>
      <w:r>
        <w:t xml:space="preserve">.</w:t>
      </w:r>
    </w:p>
    <w:bookmarkEnd w:id="1404"/>
    <w:bookmarkStart w:id="1409" w:name="pharmacology-sleep-age"/>
    <w:p>
      <w:pPr>
        <w:pStyle w:val="Heading4"/>
      </w:pPr>
      <w:r>
        <w:t xml:space="preserve">Pharmacology, sleep, age</w:t>
      </w:r>
    </w:p>
    <w:p>
      <w:pPr>
        <w:numPr>
          <w:ilvl w:val="0"/>
          <w:numId w:val="1164"/>
        </w:numPr>
        <w:pStyle w:val="Compact"/>
      </w:pPr>
      <w:r>
        <w:rPr>
          <w:bCs/>
          <w:b/>
        </w:rPr>
        <w:t xml:space="preserve">Pharmacokinetics:</w:t>
      </w:r>
      <w:r>
        <w:t xml:space="preserve"> </w:t>
      </w:r>
      <w:r>
        <w:t xml:space="preserve">In nine healthy men, the elimination half-life after intravenous administration averaged 2.5 hours</w:t>
      </w:r>
      <w:r>
        <w:rPr>
          <w:rStyle w:val="FootnoteReference"/>
        </w:rPr>
        <w:footnoteReference w:id="1405"/>
      </w:r>
      <w:r>
        <w:t xml:space="preserve">.</w:t>
      </w:r>
    </w:p>
    <w:p>
      <w:pPr>
        <w:numPr>
          <w:ilvl w:val="0"/>
          <w:numId w:val="1164"/>
        </w:numPr>
        <w:pStyle w:val="Compact"/>
      </w:pPr>
      <w:r>
        <w:rPr>
          <w:bCs/>
          <w:b/>
        </w:rPr>
        <w:t xml:space="preserve">Sleep:</w:t>
      </w:r>
      <w:r>
        <w:t xml:space="preserve"> </w:t>
      </w:r>
      <w:r>
        <w:t xml:space="preserve">In healthy men, GHRP-6 increased growth hormone, ACTH and cortisol at night and prolonged light sleep (stage 2), but not deep sleep</w:t>
      </w:r>
      <w:r>
        <w:rPr>
          <w:rStyle w:val="FootnoteReference"/>
        </w:rPr>
        <w:footnoteReference w:id="1406"/>
      </w:r>
      <w:r>
        <w:t xml:space="preserve">.</w:t>
      </w:r>
    </w:p>
    <w:p>
      <w:pPr>
        <w:numPr>
          <w:ilvl w:val="0"/>
          <w:numId w:val="1164"/>
        </w:numPr>
        <w:pStyle w:val="Compact"/>
      </w:pPr>
      <w:r>
        <w:rPr>
          <w:bCs/>
          <w:b/>
        </w:rPr>
        <w:t xml:space="preserve">Age:</w:t>
      </w:r>
      <w:r>
        <w:t xml:space="preserve"> </w:t>
      </w:r>
      <w:r>
        <w:t xml:space="preserve">In nine young and nine older adults, the pituitary gland in older age responded more weakly to GHRH, but not to GHRP-6</w:t>
      </w:r>
      <w:r>
        <w:rPr>
          <w:rStyle w:val="FootnoteReference"/>
        </w:rPr>
        <w:footnoteReference w:id="1407"/>
      </w:r>
      <w:r>
        <w:t xml:space="preserve">.</w:t>
      </w:r>
    </w:p>
    <w:p>
      <w:pPr>
        <w:numPr>
          <w:ilvl w:val="0"/>
          <w:numId w:val="1164"/>
        </w:numPr>
        <w:pStyle w:val="Compact"/>
      </w:pPr>
      <w:r>
        <w:rPr>
          <w:bCs/>
          <w:b/>
        </w:rPr>
        <w:t xml:space="preserve">Children:</w:t>
      </w:r>
      <w:r>
        <w:t xml:space="preserve"> </w:t>
      </w:r>
      <w:r>
        <w:t xml:space="preserve">As a tablet, GHRP-6 triggered a GH rise in children of short stature without hormone deficiency similar to that after GHRH injection</w:t>
      </w:r>
      <w:r>
        <w:rPr>
          <w:rStyle w:val="FootnoteReference"/>
        </w:rPr>
        <w:footnoteReference w:id="1408"/>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Diagnosis (Popovic 2000), PMID 11030292</w:t>
            </w:r>
          </w:p>
        </w:tc>
        <w:tc>
          <w:tcPr/>
          <w:p>
            <w:pPr>
              <w:pStyle w:val="Compact"/>
              <w:jc w:val="left"/>
            </w:pPr>
            <w:r>
              <w:t xml:space="preserve">125 patients, 125 healthy people; multicenter comparative study</w:t>
            </w:r>
          </w:p>
        </w:tc>
        <w:tc>
          <w:tcPr/>
          <w:p>
            <w:pPr>
              <w:pStyle w:val="Compact"/>
              <w:jc w:val="left"/>
            </w:pPr>
            <w:r>
              <w:t xml:space="preserve">single test</w:t>
            </w:r>
          </w:p>
        </w:tc>
        <w:tc>
          <w:tcPr/>
          <w:p>
            <w:pPr>
              <w:pStyle w:val="Compact"/>
              <w:jc w:val="left"/>
            </w:pPr>
            <w:r>
              <w:t xml:space="preserve">GH peak 59.2 vs. 4.1 µg/L; cutoff 15 µg/L</w:t>
            </w:r>
          </w:p>
        </w:tc>
      </w:tr>
      <w:tr>
        <w:tc>
          <w:tcPr/>
          <w:p>
            <w:pPr>
              <w:pStyle w:val="Compact"/>
              <w:jc w:val="left"/>
            </w:pPr>
            <w:r>
              <w:t xml:space="preserve">Diagnosis (Petersenn 2002), PMID 11980622</w:t>
            </w:r>
          </w:p>
        </w:tc>
        <w:tc>
          <w:tcPr/>
          <w:p>
            <w:pPr>
              <w:pStyle w:val="Compact"/>
              <w:jc w:val="left"/>
            </w:pPr>
            <w:r>
              <w:t xml:space="preserve">20 people, comparison with insulin test</w:t>
            </w:r>
          </w:p>
        </w:tc>
        <w:tc>
          <w:tcPr/>
          <w:p>
            <w:pPr>
              <w:pStyle w:val="Compact"/>
              <w:jc w:val="left"/>
            </w:pPr>
            <w:r>
              <w:t xml:space="preserve">single tests</w:t>
            </w:r>
          </w:p>
        </w:tc>
        <w:tc>
          <w:tcPr/>
          <w:p>
            <w:pPr>
              <w:pStyle w:val="Compact"/>
              <w:jc w:val="left"/>
            </w:pPr>
            <w:r>
              <w:t xml:space="preserve">all cases of GH deficiency detected</w:t>
            </w:r>
          </w:p>
        </w:tc>
      </w:tr>
      <w:tr>
        <w:tc>
          <w:tcPr/>
          <w:p>
            <w:pPr>
              <w:pStyle w:val="Compact"/>
              <w:jc w:val="left"/>
            </w:pPr>
            <w:r>
              <w:t xml:space="preserve">Adrenal test (Alaioubi 2010), PMID 19946832</w:t>
            </w:r>
          </w:p>
        </w:tc>
        <w:tc>
          <w:tcPr/>
          <w:p>
            <w:pPr>
              <w:pStyle w:val="Compact"/>
              <w:jc w:val="left"/>
            </w:pPr>
            <w:r>
              <w:t xml:space="preserve">49 patients, 20 healthy people</w:t>
            </w:r>
          </w:p>
        </w:tc>
        <w:tc>
          <w:tcPr/>
          <w:p>
            <w:pPr>
              <w:pStyle w:val="Compact"/>
              <w:jc w:val="left"/>
            </w:pPr>
            <w:r>
              <w:t xml:space="preserve">single test</w:t>
            </w:r>
          </w:p>
        </w:tc>
        <w:tc>
          <w:tcPr/>
          <w:p>
            <w:pPr>
              <w:pStyle w:val="Compact"/>
              <w:jc w:val="left"/>
            </w:pPr>
            <w:r>
              <w:t xml:space="preserve">sensitivity 71.0%, specificity 77.8%</w:t>
            </w:r>
          </w:p>
        </w:tc>
      </w:tr>
      <w:tr>
        <w:tc>
          <w:tcPr/>
          <w:p>
            <w:pPr>
              <w:pStyle w:val="Compact"/>
              <w:jc w:val="left"/>
            </w:pPr>
            <w:r>
              <w:t xml:space="preserve">Pharmacokinetics (Cabrales 2013), PMID 23099431</w:t>
            </w:r>
          </w:p>
        </w:tc>
        <w:tc>
          <w:tcPr/>
          <w:p>
            <w:pPr>
              <w:pStyle w:val="Compact"/>
              <w:jc w:val="left"/>
            </w:pPr>
            <w:r>
              <w:t xml:space="preserve">9 healthy men, phase 1</w:t>
            </w:r>
          </w:p>
        </w:tc>
        <w:tc>
          <w:tcPr/>
          <w:p>
            <w:pPr>
              <w:pStyle w:val="Compact"/>
              <w:jc w:val="left"/>
            </w:pPr>
            <w:r>
              <w:t xml:space="preserve">single doses</w:t>
            </w:r>
          </w:p>
        </w:tc>
        <w:tc>
          <w:tcPr/>
          <w:p>
            <w:pPr>
              <w:pStyle w:val="Compact"/>
              <w:jc w:val="left"/>
            </w:pPr>
            <w:r>
              <w:t xml:space="preserve">half-life 2.5 h</w:t>
            </w:r>
          </w:p>
        </w:tc>
      </w:tr>
      <w:tr>
        <w:tc>
          <w:tcPr/>
          <w:p>
            <w:pPr>
              <w:pStyle w:val="Compact"/>
              <w:jc w:val="left"/>
            </w:pPr>
            <w:r>
              <w:t xml:space="preserve">Sleep (Frieboes 1995), PMID 7617137</w:t>
            </w:r>
          </w:p>
        </w:tc>
        <w:tc>
          <w:tcPr/>
          <w:p>
            <w:pPr>
              <w:pStyle w:val="Compact"/>
              <w:jc w:val="left"/>
            </w:pPr>
            <w:r>
              <w:t xml:space="preserve">healthy men, comparison with placebo</w:t>
            </w:r>
          </w:p>
        </w:tc>
        <w:tc>
          <w:tcPr/>
          <w:p>
            <w:pPr>
              <w:pStyle w:val="Compact"/>
              <w:jc w:val="left"/>
            </w:pPr>
            <w:r>
              <w:t xml:space="preserve">1 night</w:t>
            </w:r>
          </w:p>
        </w:tc>
        <w:tc>
          <w:tcPr/>
          <w:p>
            <w:pPr>
              <w:pStyle w:val="Compact"/>
              <w:jc w:val="left"/>
            </w:pPr>
            <w:r>
              <w:t xml:space="preserve">GH, ACTH, cortisol ↑; deep sleep unchanged</w:t>
            </w:r>
          </w:p>
        </w:tc>
      </w:tr>
    </w:tbl>
    <w:bookmarkEnd w:id="1409"/>
    <w:bookmarkEnd w:id="1410"/>
    <w:bookmarkStart w:id="1414" w:name="animal-and-laboratory-studies-28"/>
    <w:p>
      <w:pPr>
        <w:pStyle w:val="Heading3"/>
      </w:pPr>
      <w:r>
        <w:t xml:space="preserve">Animal and laboratory studies</w:t>
      </w:r>
    </w:p>
    <w:p>
      <w:pPr>
        <w:pStyle w:val="FirstParagraph"/>
      </w:pPr>
      <w:r>
        <w:t xml:space="preserve">A large part of more recent research concerns the protection of organs:</w:t>
      </w:r>
    </w:p>
    <w:p>
      <w:pPr>
        <w:numPr>
          <w:ilvl w:val="0"/>
          <w:numId w:val="1165"/>
        </w:numPr>
        <w:pStyle w:val="Compact"/>
      </w:pPr>
      <w:r>
        <w:rPr>
          <w:bCs/>
          <w:b/>
        </w:rPr>
        <w:t xml:space="preserve">Heart (rats):</w:t>
      </w:r>
      <w:r>
        <w:t xml:space="preserve"> </w:t>
      </w:r>
      <w:r>
        <w:t xml:space="preserve">In rats receiving the cardiotoxic cancer drug doxorubicin, simultaneous administration of GHRP-6 prevented dilation of the heart chambers and preserved pumping function</w:t>
      </w:r>
      <w:r>
        <w:rPr>
          <w:rStyle w:val="FootnoteReference"/>
        </w:rPr>
        <w:footnoteReference w:id="1411"/>
      </w:r>
      <w:r>
        <w:t xml:space="preserve">.</w:t>
      </w:r>
    </w:p>
    <w:p>
      <w:pPr>
        <w:numPr>
          <w:ilvl w:val="0"/>
          <w:numId w:val="1165"/>
        </w:numPr>
        <w:pStyle w:val="Compact"/>
      </w:pPr>
      <w:r>
        <w:rPr>
          <w:bCs/>
          <w:b/>
        </w:rPr>
        <w:t xml:space="preserve">Multiple organ failure (rats, cell cultures):</w:t>
      </w:r>
      <w:r>
        <w:t xml:space="preserve"> </w:t>
      </w:r>
      <w:r>
        <w:t xml:space="preserve">After temporary interruption of blood flow to the liver, GHRP-6 reduced liver and intestinal damage; in cell cultures it accelerated the migration of intestinal cells</w:t>
      </w:r>
      <w:r>
        <w:rPr>
          <w:rStyle w:val="FootnoteReference"/>
        </w:rPr>
        <w:footnoteReference w:id="1412"/>
      </w:r>
      <w:r>
        <w:t xml:space="preserve">.</w:t>
      </w:r>
    </w:p>
    <w:p>
      <w:pPr>
        <w:numPr>
          <w:ilvl w:val="0"/>
          <w:numId w:val="1165"/>
        </w:numPr>
        <w:pStyle w:val="Compact"/>
      </w:pPr>
      <w:r>
        <w:rPr>
          <w:bCs/>
          <w:b/>
        </w:rPr>
        <w:t xml:space="preserve">Nervous system (rats, mice):</w:t>
      </w:r>
      <w:r>
        <w:t xml:space="preserve"> </w:t>
      </w:r>
      <w:r>
        <w:t xml:space="preserve">In an animal model of multiple sclerosis, only the combination of GHRP-6 with the growth factor EGF improved the course of the disease, not GHRP-6 alone</w:t>
      </w:r>
      <w:r>
        <w:rPr>
          <w:rStyle w:val="FootnoteReference"/>
        </w:rPr>
        <w:footnoteReference w:id="1413"/>
      </w:r>
      <w:r>
        <w:t xml:space="preserve">.</w:t>
      </w:r>
    </w:p>
    <w:p>
      <w:pPr>
        <w:pStyle w:val="FirstParagraph"/>
      </w:pPr>
      <w:r>
        <w:t xml:space="preserve">None of these approaches has so far led to a published controlled trial in humans.</w:t>
      </w:r>
    </w:p>
    <w:bookmarkEnd w:id="1414"/>
    <w:bookmarkStart w:id="1419" w:name="risks-and-side-effects-28"/>
    <w:p>
      <w:pPr>
        <w:pStyle w:val="Heading3"/>
      </w:pPr>
      <w:r>
        <w:t xml:space="preserve">Risks and side effects</w:t>
      </w:r>
    </w:p>
    <w:p>
      <w:pPr>
        <w:pStyle w:val="FirstParagraph"/>
      </w:pPr>
      <w:r>
        <w:rPr>
          <w:bCs/>
          <w:b/>
        </w:rPr>
        <w:t xml:space="preserve">Established from the short-term studies:</w:t>
      </w:r>
      <w:r>
        <w:t xml:space="preserve"> </w:t>
      </w:r>
      <w:r>
        <w:t xml:space="preserve">flushing</w:t>
      </w:r>
      <w:r>
        <w:rPr>
          <w:rStyle w:val="FootnoteReference"/>
        </w:rPr>
        <w:footnoteReference w:id="1415"/>
      </w:r>
      <w:r>
        <w:t xml:space="preserve">; rise in ACTH, cortisol and prolactin</w:t>
      </w:r>
      <w:r>
        <w:rPr>
          <w:rStyle w:val="FootnoteReference"/>
        </w:rPr>
        <w:footnoteReference w:id="1416"/>
      </w:r>
      <w:r>
        <w:t xml:space="preserve">; hunger as a known ghrelin effect. Otherwise, no relevant side effects occurred in the single-dose diagnostic studies.</w:t>
      </w:r>
    </w:p>
    <w:p>
      <w:pPr>
        <w:pStyle w:val="BodyText"/>
      </w:pPr>
      <w:r>
        <w:rPr>
          <w:bCs/>
          <w:b/>
        </w:rPr>
        <w:t xml:space="preserve">Unknown:</w:t>
      </w:r>
      <w:r>
        <w:t xml:space="preserve"> </w:t>
      </w:r>
      <w:r>
        <w:t xml:space="preserve">There are no human studies on repeated use over weeks or months. With continuous use, the known consequences of elevated growth hormone levels and repeated cortisol stimulation are conceivable, such as impaired blood glucose regulation. A case report describes a bodybuilder who used growth hormone and releasers – including a combination of sermorelin and GHRP-6 – for decades and developed a large bone spur on the cervical spine; a causal relationship has not been proven</w:t>
      </w:r>
      <w:r>
        <w:rPr>
          <w:rStyle w:val="FootnoteReference"/>
        </w:rPr>
        <w:footnoteReference w:id="1417"/>
      </w:r>
      <w:r>
        <w:t xml:space="preserve">. On the cancer question, see the introduction to this group and Part IV.</w:t>
      </w:r>
    </w:p>
    <w:p>
      <w:pPr>
        <w:pStyle w:val="BodyText"/>
      </w:pPr>
      <w:r>
        <w:rPr>
          <w:bCs/>
          <w:b/>
        </w:rPr>
        <w:t xml:space="preserve">Gray market:</w:t>
      </w:r>
      <w:r>
        <w:t xml:space="preserve"> </w:t>
      </w:r>
      <w:r>
        <w:t xml:space="preserve">“</w:t>
      </w:r>
      <w:r>
        <w:t xml:space="preserve">Gly-GHRP-6,</w:t>
      </w:r>
      <w:r>
        <w:t xml:space="preserve">”</w:t>
      </w:r>
      <w:r>
        <w:t xml:space="preserve"> </w:t>
      </w:r>
      <w:r>
        <w:t xml:space="preserve">an undeclared modification with an additional amino acid, has been detected in seized products</w:t>
      </w:r>
      <w:r>
        <w:rPr>
          <w:rStyle w:val="FootnoteReference"/>
        </w:rPr>
        <w:footnoteReference w:id="1418"/>
      </w:r>
      <w:r>
        <w:t xml:space="preserve">.</w:t>
      </w:r>
    </w:p>
    <w:bookmarkEnd w:id="1419"/>
    <w:bookmarkStart w:id="1421" w:name="legal-status-28"/>
    <w:p>
      <w:pPr>
        <w:pStyle w:val="Heading3"/>
      </w:pPr>
      <w:r>
        <w:t xml:space="preserve">Legal status</w:t>
      </w:r>
    </w:p>
    <w:p>
      <w:pPr>
        <w:pStyle w:val="FirstParagraph"/>
      </w:pPr>
      <w:r>
        <w:rPr>
          <w:iCs/>
          <w:i/>
        </w:rPr>
        <w:t xml:space="preserve">As of 2026, please check for updates.</w:t>
      </w:r>
    </w:p>
    <w:p>
      <w:pPr>
        <w:numPr>
          <w:ilvl w:val="0"/>
          <w:numId w:val="1166"/>
        </w:numPr>
        <w:pStyle w:val="Compact"/>
      </w:pPr>
      <w:r>
        <w:rPr>
          <w:bCs/>
          <w:b/>
        </w:rPr>
        <w:t xml:space="preserve">EU, Germany, Austria, USA:</w:t>
      </w:r>
      <w:r>
        <w:t xml:space="preserve"> </w:t>
      </w:r>
      <w:r>
        <w:t xml:space="preserve">no approval as a medicine; supplying it for use in humans is prohibited. In research, GHRP-6 is used within approved studies.</w:t>
      </w:r>
    </w:p>
    <w:p>
      <w:pPr>
        <w:numPr>
          <w:ilvl w:val="0"/>
          <w:numId w:val="1166"/>
        </w:numPr>
        <w:pStyle w:val="Compact"/>
      </w:pPr>
      <w:r>
        <w:rPr>
          <w:bCs/>
          <w:b/>
        </w:rPr>
        <w:t xml:space="preserve">WADA:</w:t>
      </w:r>
      <w:r>
        <w:t xml:space="preserve"> </w:t>
      </w:r>
      <w:r>
        <w:t xml:space="preserve">prohibited (S2). GHRP-6 is largely excreted unchanged in urine and, after administration as a nasal spray to a volunteer, was detectable for 23 hours</w:t>
      </w:r>
      <w:r>
        <w:rPr>
          <w:rStyle w:val="FootnoteReference"/>
        </w:rPr>
        <w:footnoteReference w:id="1420"/>
      </w:r>
      <w:r>
        <w:t xml:space="preserve">.</w:t>
      </w:r>
    </w:p>
    <w:bookmarkEnd w:id="1421"/>
    <w:bookmarkStart w:id="1422" w:name="ongoing-studies-and-outlook-28"/>
    <w:p>
      <w:pPr>
        <w:pStyle w:val="Heading3"/>
      </w:pPr>
      <w:r>
        <w:t xml:space="preserve">Ongoing studies and outlook</w:t>
      </w:r>
    </w:p>
    <w:p>
      <w:pPr>
        <w:pStyle w:val="FirstParagraph"/>
      </w:pPr>
      <w:r>
        <w:t xml:space="preserve">As of October 2026, no study with GHRP-6 is registered on ClinicalTrials.gov.</w:t>
      </w:r>
      <w:r>
        <w:t xml:space="preserve"> </w:t>
      </w:r>
      <w:r>
        <w:rPr>
          <w:iCs/>
          <w:i/>
        </w:rPr>
        <w:t xml:space="preserve">Author’s assessment:</w:t>
      </w:r>
      <w:r>
        <w:t xml:space="preserve"> </w:t>
      </w:r>
      <w:r>
        <w:t xml:space="preserve">The animal work on organ protection is the only recognizable line of development; whether it will lead to human studies is open. For diagnostics, GHRP-6 has largely been replaced by other tests.</w:t>
      </w:r>
    </w:p>
    <w:bookmarkEnd w:id="1422"/>
    <w:bookmarkStart w:id="1423" w:name="conclusion-28"/>
    <w:p>
      <w:pPr>
        <w:pStyle w:val="Heading3"/>
      </w:pPr>
      <w:r>
        <w:t xml:space="preserve">Conclusion</w:t>
      </w:r>
    </w:p>
    <w:p>
      <w:pPr>
        <w:pStyle w:val="FirstParagraph"/>
      </w:pPr>
      <w:r>
        <w:t xml:space="preserve">GHRP-6 was the first artificial peptide to selectively release growth hormone and contributed decisively to the discovery of the ghrelin system. In humans, it has been studied almost exclusively as a single-dose test substance, including in a large Lancet study on the diagnosis of growth hormone deficiency. There is no proven therapeutic benefit, and data on repeated use, as promoted on the gray market, are completely lacking.</w:t>
      </w:r>
    </w:p>
    <w:bookmarkEnd w:id="1423"/>
    <w:bookmarkEnd w:id="1424"/>
    <w:bookmarkStart w:id="1457" w:name="hexarelin"/>
    <w:p>
      <w:pPr>
        <w:pStyle w:val="Heading2"/>
      </w:pPr>
      <w:r>
        <w:t xml:space="preserve">Hexarelin</w:t>
      </w:r>
    </w:p>
    <w:p>
      <w:pPr>
        <w:pStyle w:val="FirstParagraph"/>
      </w:pPr>
      <w:r>
        <w:t xml:space="preserve">Hexarelin is a close relative of GHRP-6 – and one of the most potent artificial growth hormone releasers of all. In the 1990s it was studied intensively in humans, especially in Italy. In the process, something unexpected emerged: hexarelin appears to act directly on the heart, independently of growth hormone. Even so, no approval followed. One reason lay in a typical weakness of this class of substances: with continuous use, the effect wears off.</w:t>
      </w:r>
    </w:p>
    <w:bookmarkStart w:id="1427" w:name="profile-29"/>
    <w:p>
      <w:pPr>
        <w:pStyle w:val="Heading3"/>
      </w:pPr>
      <w:r>
        <w:t xml:space="preserve">Profile</w:t>
      </w:r>
    </w:p>
    <w:p>
      <w:pPr>
        <w:numPr>
          <w:ilvl w:val="0"/>
          <w:numId w:val="1167"/>
        </w:numPr>
        <w:pStyle w:val="Compact"/>
      </w:pPr>
      <w:r>
        <w:rPr>
          <w:bCs/>
          <w:b/>
        </w:rPr>
        <w:t xml:space="preserve">Type and structure:</w:t>
      </w:r>
      <w:r>
        <w:t xml:space="preserve"> </w:t>
      </w:r>
      <w:r>
        <w:t xml:space="preserve">synthetic hexapeptide His-D-2-methyl-Trp-Ala-Trp-D-Phe-Lys-NH2; it differs from GHRP-6 by an additional methyl group on the second building block</w:t>
      </w:r>
      <w:r>
        <w:rPr>
          <w:rStyle w:val="FootnoteReference"/>
        </w:rPr>
        <w:footnoteReference w:id="1425"/>
      </w:r>
      <w:r>
        <w:t xml:space="preserve">.</w:t>
      </w:r>
    </w:p>
    <w:p>
      <w:pPr>
        <w:numPr>
          <w:ilvl w:val="0"/>
          <w:numId w:val="1167"/>
        </w:numPr>
        <w:pStyle w:val="Compact"/>
      </w:pPr>
      <w:r>
        <w:rPr>
          <w:bCs/>
          <w:b/>
        </w:rPr>
        <w:t xml:space="preserve">Origin:</w:t>
      </w:r>
      <w:r>
        <w:t xml:space="preserve"> </w:t>
      </w:r>
      <w:r>
        <w:t xml:space="preserve">developed in the early 1990s as a modification of GHRP-6; a large part of the clinical research comes from Italian university centers.</w:t>
      </w:r>
    </w:p>
    <w:p>
      <w:pPr>
        <w:numPr>
          <w:ilvl w:val="0"/>
          <w:numId w:val="1167"/>
        </w:numPr>
        <w:pStyle w:val="Compact"/>
      </w:pPr>
      <w:r>
        <w:rPr>
          <w:bCs/>
          <w:b/>
        </w:rPr>
        <w:t xml:space="preserve">Mechanism of action:</w:t>
      </w:r>
      <w:r>
        <w:t xml:space="preserve"> </w:t>
      </w:r>
      <w:r>
        <w:t xml:space="preserve">agonist at the ghrelin receptor (GHS-R1a); releases growth hormone, ACTH, cortisol and prolactin. In addition, hexarelin binds to the receptor CD36 in heart tissue, through which GH-independent cardiac effects are suspected</w:t>
      </w:r>
      <w:r>
        <w:rPr>
          <w:rStyle w:val="FootnoteReference"/>
        </w:rPr>
        <w:footnoteReference w:id="1426"/>
      </w:r>
      <w:r>
        <w:t xml:space="preserve">.</w:t>
      </w:r>
    </w:p>
    <w:p>
      <w:pPr>
        <w:numPr>
          <w:ilvl w:val="0"/>
          <w:numId w:val="1167"/>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w:t>
      </w:r>
    </w:p>
    <w:p>
      <w:pPr>
        <w:numPr>
          <w:ilvl w:val="0"/>
          <w:numId w:val="1167"/>
        </w:numPr>
        <w:pStyle w:val="Compact"/>
      </w:pPr>
      <w:r>
        <w:rPr>
          <w:bCs/>
          <w:b/>
        </w:rPr>
        <w:t xml:space="preserve">WADA:</w:t>
      </w:r>
      <w:r>
        <w:t xml:space="preserve"> </w:t>
      </w:r>
      <w:r>
        <w:t xml:space="preserve">prohibited, class S2 – hexarelin is explicitly named as a growth hormone–releasing peptide.</w:t>
      </w:r>
    </w:p>
    <w:p>
      <w:pPr>
        <w:numPr>
          <w:ilvl w:val="0"/>
          <w:numId w:val="1167"/>
        </w:numPr>
        <w:pStyle w:val="Compact"/>
      </w:pPr>
      <w:r>
        <w:rPr>
          <w:bCs/>
          <w:b/>
        </w:rPr>
        <w:t xml:space="preserve">Evidence level: C</w:t>
      </w:r>
      <w:r>
        <w:t xml:space="preserve"> </w:t>
      </w:r>
      <w:r>
        <w:t xml:space="preserve">– numerous small studies, many of them randomized, but almost exclusively with single doses and hormonal or circulatory measures; no study of a clinical endpoint.</w:t>
      </w:r>
    </w:p>
    <w:bookmarkEnd w:id="1427"/>
    <w:bookmarkStart w:id="1429" w:name="how-it-is-supposed-to-work-29"/>
    <w:p>
      <w:pPr>
        <w:pStyle w:val="Heading3"/>
      </w:pPr>
      <w:r>
        <w:t xml:space="preserve">How it is supposed to work</w:t>
      </w:r>
    </w:p>
    <w:p>
      <w:pPr>
        <w:pStyle w:val="FirstParagraph"/>
      </w:pPr>
      <w:r>
        <w:t xml:space="preserve">Like GHRP-6 and GHRP-2, hexarelin mimics the stomach hormone ghrelin and thereby triggers growth hormone secretion. Its effect depends on an intact connection between the hypothalamus and the pituitary gland: in children and adults in whom this connection was anatomically interrupted, the GH response was absent or greatly weakened, whereas in idiopathic deficiency it was strong</w:t>
      </w:r>
      <w:r>
        <w:rPr>
          <w:rStyle w:val="FootnoteReference"/>
        </w:rPr>
        <w:footnoteReference w:id="1428"/>
      </w:r>
      <w:r>
        <w:t xml:space="preserve">.</w:t>
      </w:r>
    </w:p>
    <w:p>
      <w:pPr>
        <w:pStyle w:val="BodyText"/>
      </w:pPr>
      <w:r>
        <w:t xml:space="preserve">The second, independent idea concerns the heart. Ghrelin receptors and the scavenger molecule CD36 are also present in heart muscle. Hexarelin could therefore directly increase the pumping force of the heart – a possible approach in heart failure, independent of growth hormone.</w:t>
      </w:r>
    </w:p>
    <w:bookmarkEnd w:id="1429"/>
    <w:bookmarkStart w:id="1443" w:name="human-studies-29"/>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58</w:t>
      </w:r>
      <w:r>
        <w:t xml:space="preserve"> </w:t>
      </w:r>
      <w:r>
        <w:t xml:space="preserve">human studies in PubMed (</w:t>
      </w:r>
      <w:r>
        <w:rPr>
          <w:rStyle w:val="VerbatimChar"/>
        </w:rPr>
        <w:t xml:space="preserve">humanstudien_alle</w:t>
      </w:r>
      <w:r>
        <w:t xml:space="preserve">) and</w:t>
      </w:r>
      <w:r>
        <w:t xml:space="preserve"> </w:t>
      </w:r>
      <w:r>
        <w:rPr>
          <w:bCs/>
          <w:b/>
        </w:rPr>
        <w:t xml:space="preserve">no</w:t>
      </w:r>
      <w:r>
        <w:t xml:space="preserve"> </w:t>
      </w:r>
      <w:r>
        <w:t xml:space="preserve">entry on ClinicalTrials.gov. Most studies date from 1994 to 2004 and use single doses to examine how the hormone response depends on age, sex, nutrition, medications or diseases. Some entries on the list deal mainly with ghrelin or GHRP-6 and use hexarelin only as a comparator.</w:t>
      </w:r>
    </w:p>
    <w:bookmarkStart w:id="1433" w:name="hormonal-effect-and-dose"/>
    <w:p>
      <w:pPr>
        <w:pStyle w:val="Heading4"/>
      </w:pPr>
      <w:r>
        <w:t xml:space="preserve">Hormonal effect and dose</w:t>
      </w:r>
    </w:p>
    <w:p>
      <w:pPr>
        <w:pStyle w:val="FirstParagraph"/>
      </w:pPr>
      <w:r>
        <w:t xml:space="preserve">In a double-blind, placebo-controlled study with twelve healthy men, growth hormone rose dose-dependently after intravenous administration, peaking after about 30 minutes and returning to baseline within four hours</w:t>
      </w:r>
      <w:r>
        <w:rPr>
          <w:rStyle w:val="FootnoteReference"/>
        </w:rPr>
        <w:footnoteReference w:id="1430"/>
      </w:r>
      <w:r>
        <w:t xml:space="preserve">. Hexarelin also released prolactin and cortisol dose-dependently; combined with GHRH, a low dose of hexarelin was sufficient for a massive GH release without a rise in cortisol</w:t>
      </w:r>
      <w:r>
        <w:rPr>
          <w:rStyle w:val="FootnoteReference"/>
        </w:rPr>
        <w:footnoteReference w:id="1431"/>
      </w:r>
      <w:r>
        <w:t xml:space="preserve">. Activation of the stress hormone axis apparently runs via the hypothalamus; in a study with 15 young men, hexarelin also briefly increased appetite</w:t>
      </w:r>
      <w:r>
        <w:rPr>
          <w:rStyle w:val="FootnoteReference"/>
        </w:rPr>
        <w:footnoteReference w:id="1432"/>
      </w:r>
      <w:r>
        <w:t xml:space="preserve">.</w:t>
      </w:r>
    </w:p>
    <w:bookmarkEnd w:id="1433"/>
    <w:bookmarkStart w:id="1438" w:name="Xad86302ca3ba416775458fd8341a79a85492517"/>
    <w:p>
      <w:pPr>
        <w:pStyle w:val="Heading4"/>
      </w:pPr>
      <w:r>
        <w:t xml:space="preserve">Long-term administration: the effect wears off</w:t>
      </w:r>
    </w:p>
    <w:p>
      <w:pPr>
        <w:pStyle w:val="FirstParagraph"/>
      </w:pPr>
      <w:r>
        <w:t xml:space="preserve">What matters for a therapy is whether the effect persists with repeated administration. In adults who injected hexarelin subcutaneously twice daily for 16 weeks, the GH response declined markedly and recovered only four weeks after stopping. IGF-1, body fat, muscle mass and bone density did not change significantly</w:t>
      </w:r>
      <w:r>
        <w:rPr>
          <w:rStyle w:val="FootnoteReference"/>
        </w:rPr>
        <w:footnoteReference w:id="1434"/>
      </w:r>
      <w:r>
        <w:t xml:space="preserve">. The cortisol response also weakened temporarily in the same study</w:t>
      </w:r>
      <w:r>
        <w:rPr>
          <w:rStyle w:val="FootnoteReference"/>
        </w:rPr>
        <w:footnoteReference w:id="1435"/>
      </w:r>
      <w:r>
        <w:t xml:space="preserve">.</w:t>
      </w:r>
    </w:p>
    <w:p>
      <w:pPr>
        <w:pStyle w:val="BodyText"/>
      </w:pPr>
      <w:r>
        <w:t xml:space="preserve">In children of short stature, the picture was somewhat more favorable: with a nasal spray, growth velocity in eight children rose from 5.3 to 8.3 cm per year, and IGF-1 increased</w:t>
      </w:r>
      <w:r>
        <w:rPr>
          <w:rStyle w:val="FootnoteReference"/>
        </w:rPr>
        <w:footnoteReference w:id="1436"/>
      </w:r>
      <w:r>
        <w:t xml:space="preserve">. A follow-up study with seven children showed that the GH response of the pituitary gland was already roughly halved after seven days, yet the faster growth nevertheless continued</w:t>
      </w:r>
      <w:r>
        <w:rPr>
          <w:rStyle w:val="FootnoteReference"/>
        </w:rPr>
        <w:footnoteReference w:id="1437"/>
      </w:r>
      <w:r>
        <w:t xml:space="preserve">.</w:t>
      </w:r>
    </w:p>
    <w:bookmarkEnd w:id="1438"/>
    <w:bookmarkStart w:id="1442" w:name="cardiac-effects"/>
    <w:p>
      <w:pPr>
        <w:pStyle w:val="Heading4"/>
      </w:pPr>
      <w:r>
        <w:t xml:space="preserve">Cardiac effects</w:t>
      </w:r>
    </w:p>
    <w:p>
      <w:pPr>
        <w:pStyle w:val="FirstParagraph"/>
      </w:pPr>
      <w:r>
        <w:t xml:space="preserve">Several small studies by an Italian research group examined the heart:</w:t>
      </w:r>
    </w:p>
    <w:p>
      <w:pPr>
        <w:numPr>
          <w:ilvl w:val="0"/>
          <w:numId w:val="1168"/>
        </w:numPr>
        <w:pStyle w:val="Compact"/>
      </w:pPr>
      <w:r>
        <w:t xml:space="preserve">In seven men with growth hormone deficiency and nine healthy controls, the left ventricular ejection fraction (the proportion of blood the left ventricle ejects per beat) rose after a single dose of hexarelin in both groups, even though those affected released hardly any growth hormone. The authors conclude that there is a GH-independent effect</w:t>
      </w:r>
      <w:r>
        <w:rPr>
          <w:rStyle w:val="FootnoteReference"/>
        </w:rPr>
        <w:footnoteReference w:id="1439"/>
      </w:r>
      <w:r>
        <w:t xml:space="preserve">.</w:t>
      </w:r>
    </w:p>
    <w:p>
      <w:pPr>
        <w:numPr>
          <w:ilvl w:val="0"/>
          <w:numId w:val="1168"/>
        </w:numPr>
        <w:pStyle w:val="Compact"/>
      </w:pPr>
      <w:r>
        <w:t xml:space="preserve">In patients with severe dilated heart muscle disease (dilated cardiomyopathy), however, this effect was absent</w:t>
      </w:r>
      <w:r>
        <w:rPr>
          <w:rStyle w:val="FootnoteReference"/>
        </w:rPr>
        <w:footnoteReference w:id="1440"/>
      </w:r>
      <w:r>
        <w:t xml:space="preserve">.</w:t>
      </w:r>
    </w:p>
    <w:p>
      <w:pPr>
        <w:numPr>
          <w:ilvl w:val="0"/>
          <w:numId w:val="1168"/>
        </w:numPr>
        <w:pStyle w:val="Compact"/>
      </w:pPr>
      <w:r>
        <w:t xml:space="preserve">In 24 men with coronary artery disease during bypass surgery, hexarelin increased ejection fraction and cardiac output for up to 90 minutes, whereas GHRH, growth hormone and placebo had no effect</w:t>
      </w:r>
      <w:r>
        <w:rPr>
          <w:rStyle w:val="FootnoteReference"/>
        </w:rPr>
        <w:footnoteReference w:id="1441"/>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Dose finding (Imbimbo 1994), PMID 7957536</w:t>
            </w:r>
          </w:p>
        </w:tc>
        <w:tc>
          <w:tcPr/>
          <w:p>
            <w:pPr>
              <w:pStyle w:val="Compact"/>
              <w:jc w:val="left"/>
            </w:pPr>
            <w:r>
              <w:t xml:space="preserve">12 healthy men, double-blind, placebo, ascending doses</w:t>
            </w:r>
          </w:p>
        </w:tc>
        <w:tc>
          <w:tcPr/>
          <w:p>
            <w:pPr>
              <w:pStyle w:val="Compact"/>
              <w:jc w:val="left"/>
            </w:pPr>
            <w:r>
              <w:t xml:space="preserve">single doses</w:t>
            </w:r>
          </w:p>
        </w:tc>
        <w:tc>
          <w:tcPr/>
          <w:p>
            <w:pPr>
              <w:pStyle w:val="Compact"/>
              <w:jc w:val="left"/>
            </w:pPr>
            <w:r>
              <w:t xml:space="preserve">GH peak after approx. 30 min, dose-dependent</w:t>
            </w:r>
          </w:p>
        </w:tc>
      </w:tr>
      <w:tr>
        <w:tc>
          <w:tcPr/>
          <w:p>
            <w:pPr>
              <w:pStyle w:val="Compact"/>
              <w:jc w:val="left"/>
            </w:pPr>
            <w:r>
              <w:t xml:space="preserve">Long-term administration (Rahim 1998), PMID 9589671</w:t>
            </w:r>
          </w:p>
        </w:tc>
        <w:tc>
          <w:tcPr/>
          <w:p>
            <w:pPr>
              <w:pStyle w:val="Compact"/>
              <w:jc w:val="left"/>
            </w:pPr>
            <w:r>
              <w:t xml:space="preserve">adults, no control group</w:t>
            </w:r>
          </w:p>
        </w:tc>
        <w:tc>
          <w:tcPr/>
          <w:p>
            <w:pPr>
              <w:pStyle w:val="Compact"/>
              <w:jc w:val="left"/>
            </w:pPr>
            <w:r>
              <w:t xml:space="preserve">16 weeks</w:t>
            </w:r>
          </w:p>
        </w:tc>
        <w:tc>
          <w:tcPr/>
          <w:p>
            <w:pPr>
              <w:pStyle w:val="Compact"/>
              <w:jc w:val="left"/>
            </w:pPr>
            <w:r>
              <w:t xml:space="preserve">GH response weakened; IGF-1 and body composition unchanged</w:t>
            </w:r>
          </w:p>
        </w:tc>
      </w:tr>
      <w:tr>
        <w:tc>
          <w:tcPr/>
          <w:p>
            <w:pPr>
              <w:pStyle w:val="Compact"/>
              <w:jc w:val="left"/>
            </w:pPr>
            <w:r>
              <w:t xml:space="preserve">Children, nasal spray (Laron 1995), PMID 8548949</w:t>
            </w:r>
          </w:p>
        </w:tc>
        <w:tc>
          <w:tcPr/>
          <w:p>
            <w:pPr>
              <w:pStyle w:val="Compact"/>
              <w:jc w:val="left"/>
            </w:pPr>
            <w:r>
              <w:t xml:space="preserve">8 children of short stature, no control group</w:t>
            </w:r>
          </w:p>
        </w:tc>
        <w:tc>
          <w:tcPr/>
          <w:p>
            <w:pPr>
              <w:pStyle w:val="Compact"/>
              <w:jc w:val="left"/>
            </w:pPr>
            <w:r>
              <w:t xml:space="preserve">up to 8 months</w:t>
            </w:r>
          </w:p>
        </w:tc>
        <w:tc>
          <w:tcPr/>
          <w:p>
            <w:pPr>
              <w:pStyle w:val="Compact"/>
              <w:jc w:val="left"/>
            </w:pPr>
            <w:r>
              <w:t xml:space="preserve">growth 5.3 → 8.3 cm/year</w:t>
            </w:r>
          </w:p>
        </w:tc>
      </w:tr>
      <w:tr>
        <w:tc>
          <w:tcPr/>
          <w:p>
            <w:pPr>
              <w:pStyle w:val="Compact"/>
              <w:jc w:val="left"/>
            </w:pPr>
            <w:r>
              <w:t xml:space="preserve">Heart, GH deficiency (Bisi 1999), PMID 10528131</w:t>
            </w:r>
          </w:p>
        </w:tc>
        <w:tc>
          <w:tcPr/>
          <w:p>
            <w:pPr>
              <w:pStyle w:val="Compact"/>
              <w:jc w:val="left"/>
            </w:pPr>
            <w:r>
              <w:t xml:space="preserve">7 men with GH deficiency, 9 healthy people</w:t>
            </w:r>
          </w:p>
        </w:tc>
        <w:tc>
          <w:tcPr/>
          <w:p>
            <w:pPr>
              <w:pStyle w:val="Compact"/>
              <w:jc w:val="left"/>
            </w:pPr>
            <w:r>
              <w:t xml:space="preserve">single dose</w:t>
            </w:r>
          </w:p>
        </w:tc>
        <w:tc>
          <w:tcPr/>
          <w:p>
            <w:pPr>
              <w:pStyle w:val="Compact"/>
              <w:jc w:val="left"/>
            </w:pPr>
            <w:r>
              <w:t xml:space="preserve">ejection fraction 50 → 57% and 63 → 70%</w:t>
            </w:r>
          </w:p>
        </w:tc>
      </w:tr>
      <w:tr>
        <w:tc>
          <w:tcPr/>
          <w:p>
            <w:pPr>
              <w:pStyle w:val="Compact"/>
              <w:jc w:val="left"/>
            </w:pPr>
            <w:r>
              <w:t xml:space="preserve">Heart, bypass surgery (Broglio 2002), PMID 12144941</w:t>
            </w:r>
          </w:p>
        </w:tc>
        <w:tc>
          <w:tcPr/>
          <w:p>
            <w:pPr>
              <w:pStyle w:val="Compact"/>
              <w:jc w:val="left"/>
            </w:pPr>
            <w:r>
              <w:t xml:space="preserve">24 men with CAD, comparison with GHRH, GH, placebo</w:t>
            </w:r>
          </w:p>
        </w:tc>
        <w:tc>
          <w:tcPr/>
          <w:p>
            <w:pPr>
              <w:pStyle w:val="Compact"/>
              <w:jc w:val="left"/>
            </w:pPr>
            <w:r>
              <w:t xml:space="preserve">single dose</w:t>
            </w:r>
          </w:p>
        </w:tc>
        <w:tc>
          <w:tcPr/>
          <w:p>
            <w:pPr>
              <w:pStyle w:val="Compact"/>
              <w:jc w:val="left"/>
            </w:pPr>
            <w:r>
              <w:t xml:space="preserve">ejection fraction and cardiac output ↑</w:t>
            </w:r>
          </w:p>
        </w:tc>
      </w:tr>
    </w:tbl>
    <w:bookmarkEnd w:id="1442"/>
    <w:bookmarkEnd w:id="1443"/>
    <w:bookmarkStart w:id="1447" w:name="animal-and-laboratory-studies-29"/>
    <w:p>
      <w:pPr>
        <w:pStyle w:val="Heading3"/>
      </w:pPr>
      <w:r>
        <w:t xml:space="preserve">Animal and laboratory studies</w:t>
      </w:r>
    </w:p>
    <w:p>
      <w:pPr>
        <w:numPr>
          <w:ilvl w:val="0"/>
          <w:numId w:val="1169"/>
        </w:numPr>
        <w:pStyle w:val="Compact"/>
      </w:pPr>
      <w:r>
        <w:rPr>
          <w:bCs/>
          <w:b/>
        </w:rPr>
        <w:t xml:space="preserve">Heart attack (rats, mice):</w:t>
      </w:r>
      <w:r>
        <w:t xml:space="preserve"> </w:t>
      </w:r>
      <w:r>
        <w:t xml:space="preserve">In rats four weeks after an experimentally induced heart attack, hexarelin improved stroke volume and lowered vascular resistance over two weeks, similarly to growth hormone</w:t>
      </w:r>
      <w:r>
        <w:rPr>
          <w:rStyle w:val="FootnoteReference"/>
        </w:rPr>
        <w:footnoteReference w:id="1444"/>
      </w:r>
      <w:r>
        <w:t xml:space="preserve">. In mice after a heart attack, it preserved pumping function and reduced scarring of the heart muscle</w:t>
      </w:r>
      <w:r>
        <w:rPr>
          <w:rStyle w:val="FootnoteReference"/>
        </w:rPr>
        <w:footnoteReference w:id="1445"/>
      </w:r>
      <w:r>
        <w:t xml:space="preserve">.</w:t>
      </w:r>
    </w:p>
    <w:p>
      <w:pPr>
        <w:numPr>
          <w:ilvl w:val="0"/>
          <w:numId w:val="1169"/>
        </w:numPr>
        <w:pStyle w:val="Compact"/>
      </w:pPr>
      <w:r>
        <w:rPr>
          <w:bCs/>
          <w:b/>
        </w:rPr>
        <w:t xml:space="preserve">Mechanism:</w:t>
      </w:r>
      <w:r>
        <w:t xml:space="preserve"> </w:t>
      </w:r>
      <w:r>
        <w:t xml:space="preserve">A review describes CD36 as a specific cardiac receptor for hexarelin that is thought to mediate the protective effects</w:t>
      </w:r>
      <w:r>
        <w:rPr>
          <w:rStyle w:val="FootnoteReference"/>
        </w:rPr>
        <w:footnoteReference w:id="1446"/>
      </w:r>
      <w:r>
        <w:t xml:space="preserve">.</w:t>
      </w:r>
    </w:p>
    <w:bookmarkEnd w:id="1447"/>
    <w:bookmarkStart w:id="1452" w:name="risks-and-side-effects-29"/>
    <w:p>
      <w:pPr>
        <w:pStyle w:val="Heading3"/>
      </w:pPr>
      <w:r>
        <w:t xml:space="preserve">Risks and side effects</w:t>
      </w:r>
    </w:p>
    <w:p>
      <w:pPr>
        <w:pStyle w:val="FirstParagraph"/>
      </w:pPr>
      <w:r>
        <w:rPr>
          <w:bCs/>
          <w:b/>
        </w:rPr>
        <w:t xml:space="preserve">Established:</w:t>
      </w:r>
      <w:r>
        <w:t xml:space="preserve"> </w:t>
      </w:r>
      <w:r>
        <w:t xml:space="preserve">rise in cortisol, ACTH and prolactin</w:t>
      </w:r>
      <w:r>
        <w:rPr>
          <w:rStyle w:val="FootnoteReference"/>
        </w:rPr>
        <w:footnoteReference w:id="1448"/>
      </w:r>
      <w:r>
        <w:t xml:space="preserve">; briefly increased appetite</w:t>
      </w:r>
      <w:r>
        <w:rPr>
          <w:rStyle w:val="FootnoteReference"/>
        </w:rPr>
        <w:footnoteReference w:id="1449"/>
      </w:r>
      <w:r>
        <w:t xml:space="preserve">; waning effect with continuous administration</w:t>
      </w:r>
      <w:r>
        <w:rPr>
          <w:rStyle w:val="FootnoteReference"/>
        </w:rPr>
        <w:footnoteReference w:id="1450"/>
      </w:r>
      <w:r>
        <w:t xml:space="preserve">. No serious side effects were reported in the small studies; in children, the authors found no adverse effects</w:t>
      </w:r>
      <w:r>
        <w:rPr>
          <w:rStyle w:val="FootnoteReference"/>
        </w:rPr>
        <w:footnoteReference w:id="1451"/>
      </w:r>
      <w:r>
        <w:t xml:space="preserve">.</w:t>
      </w:r>
    </w:p>
    <w:p>
      <w:pPr>
        <w:pStyle w:val="BodyText"/>
      </w:pPr>
      <w:r>
        <w:rPr>
          <w:bCs/>
          <w:b/>
        </w:rPr>
        <w:t xml:space="preserve">Unknown:</w:t>
      </w:r>
      <w:r>
        <w:t xml:space="preserve"> </w:t>
      </w:r>
      <w:r>
        <w:t xml:space="preserve">Long-term safety data, especially regarding the heart, are lacking. The fact that a substance acutely increases pumping force says nothing about whether it helps or harms in the long term in heart failure – that could only be clarified in dedicated long-term studies with clinical endpoints, which do not exist. On the question of a cancer risk with persistently elevated growth hormone, see the introduction to this group and Part IV.</w:t>
      </w:r>
    </w:p>
    <w:bookmarkEnd w:id="1452"/>
    <w:bookmarkStart w:id="1454" w:name="legal-status-29"/>
    <w:p>
      <w:pPr>
        <w:pStyle w:val="Heading3"/>
      </w:pPr>
      <w:r>
        <w:t xml:space="preserve">Legal status</w:t>
      </w:r>
    </w:p>
    <w:p>
      <w:pPr>
        <w:pStyle w:val="FirstParagraph"/>
      </w:pPr>
      <w:r>
        <w:rPr>
          <w:iCs/>
          <w:i/>
        </w:rPr>
        <w:t xml:space="preserve">As of 2026, please check for updates.</w:t>
      </w:r>
    </w:p>
    <w:p>
      <w:pPr>
        <w:numPr>
          <w:ilvl w:val="0"/>
          <w:numId w:val="1170"/>
        </w:numPr>
        <w:pStyle w:val="Compact"/>
      </w:pPr>
      <w:r>
        <w:rPr>
          <w:bCs/>
          <w:b/>
        </w:rPr>
        <w:t xml:space="preserve">EU, Germany, Austria, USA:</w:t>
      </w:r>
      <w:r>
        <w:t xml:space="preserve"> </w:t>
      </w:r>
      <w:r>
        <w:t xml:space="preserve">no approval as a medicine; supplying it for use in humans is prohibited.</w:t>
      </w:r>
    </w:p>
    <w:p>
      <w:pPr>
        <w:numPr>
          <w:ilvl w:val="0"/>
          <w:numId w:val="1170"/>
        </w:numPr>
        <w:pStyle w:val="Compact"/>
      </w:pPr>
      <w:r>
        <w:rPr>
          <w:bCs/>
          <w:b/>
        </w:rPr>
        <w:t xml:space="preserve">WADA:</w:t>
      </w:r>
      <w:r>
        <w:t xml:space="preserve"> </w:t>
      </w:r>
      <w:r>
        <w:t xml:space="preserve">prohibited (S2). Hexarelin is extensively metabolized in the body; metabolites remain detectable in urine after the parent substance has disappeared</w:t>
      </w:r>
      <w:r>
        <w:rPr>
          <w:rStyle w:val="FootnoteReference"/>
        </w:rPr>
        <w:footnoteReference w:id="1453"/>
      </w:r>
      <w:r>
        <w:t xml:space="preserve">.</w:t>
      </w:r>
    </w:p>
    <w:bookmarkEnd w:id="1454"/>
    <w:bookmarkStart w:id="1455" w:name="ongoing-studies-and-outlook-29"/>
    <w:p>
      <w:pPr>
        <w:pStyle w:val="Heading3"/>
      </w:pPr>
      <w:r>
        <w:t xml:space="preserve">Ongoing studies and outlook</w:t>
      </w:r>
    </w:p>
    <w:p>
      <w:pPr>
        <w:pStyle w:val="FirstParagraph"/>
      </w:pPr>
      <w:r>
        <w:t xml:space="preserve">As of October 2026, no study with hexarelin is registered on ClinicalTrials.gov.</w:t>
      </w:r>
      <w:r>
        <w:t xml:space="preserve"> </w:t>
      </w:r>
      <w:r>
        <w:rPr>
          <w:iCs/>
          <w:i/>
        </w:rPr>
        <w:t xml:space="preserve">Author’s assessment:</w:t>
      </w:r>
      <w:r>
        <w:t xml:space="preserve"> </w:t>
      </w:r>
      <w:r>
        <w:t xml:space="preserve">Cardiac research continues, but only in animal models. Clinical development would require a company that holds the rights and funds trials – no such company is currently apparent.</w:t>
      </w:r>
    </w:p>
    <w:bookmarkEnd w:id="1455"/>
    <w:bookmarkStart w:id="1456" w:name="conclusion-29"/>
    <w:p>
      <w:pPr>
        <w:pStyle w:val="Heading3"/>
      </w:pPr>
      <w:r>
        <w:t xml:space="preserve">Conclusion</w:t>
      </w:r>
    </w:p>
    <w:p>
      <w:pPr>
        <w:pStyle w:val="FirstParagraph"/>
      </w:pPr>
      <w:r>
        <w:t xml:space="preserve">In humans, hexarelin strongly releases growth hormone, but also stress hormones and prolactin, and with continuous administration the effect wears off markedly; IGF-1 and body composition did not change in a 16-week study. Of interest are small studies in which a single dose increased the pumping force of the heart, apparently independently of growth hormone. Whether this will ever lead to a benefit for people with heart disease is completely open; for muscle building or rejuvenation, there is no evidence.</w:t>
      </w:r>
    </w:p>
    <w:bookmarkEnd w:id="1456"/>
    <w:bookmarkEnd w:id="1457"/>
    <w:bookmarkStart w:id="1489" w:name="macimorelin"/>
    <w:p>
      <w:pPr>
        <w:pStyle w:val="Heading2"/>
      </w:pPr>
      <w:r>
        <w:t xml:space="preserve">Macimorelin</w:t>
      </w:r>
    </w:p>
    <w:p>
      <w:pPr>
        <w:pStyle w:val="FirstParagraph"/>
      </w:pPr>
      <w:r>
        <w:t xml:space="preserve">Macimorelin is the most sober member of this group – and precisely for that reason a good counterexample to the gray-market peptides. It is not used for treatment but as a test: a person drinks a solution containing macimorelin, after which blood is drawn several times. If growth hormone barely rises, this suggests growth hormone deficiency. Macimorelin is approved for this purpose in the United States and the EU. It is an example of how a ghrelin mimetic can become a genuine medicine through clean comparative studies.</w:t>
      </w:r>
    </w:p>
    <w:bookmarkStart w:id="1459" w:name="profile-30"/>
    <w:p>
      <w:pPr>
        <w:pStyle w:val="Heading3"/>
      </w:pPr>
      <w:r>
        <w:t xml:space="preserve">Profile</w:t>
      </w:r>
    </w:p>
    <w:p>
      <w:pPr>
        <w:numPr>
          <w:ilvl w:val="0"/>
          <w:numId w:val="1171"/>
        </w:numPr>
        <w:pStyle w:val="Compact"/>
      </w:pPr>
      <w:r>
        <w:rPr>
          <w:bCs/>
          <w:b/>
        </w:rPr>
        <w:t xml:space="preserve">Type and structure:</w:t>
      </w:r>
      <w:r>
        <w:t xml:space="preserve"> </w:t>
      </w:r>
      <w:r>
        <w:t xml:space="preserve">small peptide-like molecule (peptidomimetic) that is active when swallowed</w:t>
      </w:r>
      <w:r>
        <w:rPr>
          <w:rStyle w:val="FootnoteReference"/>
        </w:rPr>
        <w:footnoteReference w:id="1458"/>
      </w:r>
      <w:r>
        <w:t xml:space="preserve">. Earlier designations: EP01572, ARD-07, AEZS-130.</w:t>
      </w:r>
    </w:p>
    <w:p>
      <w:pPr>
        <w:numPr>
          <w:ilvl w:val="0"/>
          <w:numId w:val="1171"/>
        </w:numPr>
        <w:pStyle w:val="Compact"/>
      </w:pPr>
      <w:r>
        <w:rPr>
          <w:bCs/>
          <w:b/>
        </w:rPr>
        <w:t xml:space="preserve">Origin:</w:t>
      </w:r>
      <w:r>
        <w:t xml:space="preserve"> </w:t>
      </w:r>
      <w:r>
        <w:t xml:space="preserve">developed from research on orally active growth hormone releasers; approved on the application of Aeterna Zentaris.</w:t>
      </w:r>
    </w:p>
    <w:p>
      <w:pPr>
        <w:numPr>
          <w:ilvl w:val="0"/>
          <w:numId w:val="1171"/>
        </w:numPr>
        <w:pStyle w:val="Compact"/>
      </w:pPr>
      <w:r>
        <w:rPr>
          <w:bCs/>
          <w:b/>
        </w:rPr>
        <w:t xml:space="preserve">Mechanism of action:</w:t>
      </w:r>
      <w:r>
        <w:t xml:space="preserve"> </w:t>
      </w:r>
      <w:r>
        <w:t xml:space="preserve">agonist at the ghrelin receptor (GHS-R1a); triggers a single release of growth hormone whose magnitude reflects the functional capacity of the pituitary gland.</w:t>
      </w:r>
    </w:p>
    <w:p>
      <w:pPr>
        <w:numPr>
          <w:ilvl w:val="0"/>
          <w:numId w:val="1171"/>
        </w:numPr>
        <w:pStyle w:val="Compact"/>
      </w:pPr>
      <w:r>
        <w:rPr>
          <w:bCs/>
          <w:b/>
        </w:rPr>
        <w:t xml:space="preserve">US approval:</w:t>
      </w:r>
      <w:r>
        <w:t xml:space="preserve"> </w:t>
      </w:r>
      <w:r>
        <w:t xml:space="preserve">yes (Macrilen, since 2017) for the diagnosis of growth hormone deficiency in adults.</w:t>
      </w:r>
      <w:r>
        <w:t xml:space="preserve"> </w:t>
      </w:r>
      <w:r>
        <w:rPr>
          <w:bCs/>
          <w:b/>
        </w:rPr>
        <w:t xml:space="preserve">EU approval:</w:t>
      </w:r>
      <w:r>
        <w:t xml:space="preserve"> </w:t>
      </w:r>
      <w:r>
        <w:t xml:space="preserve">yes (centrally authorized in 2019) for the same indication. For current availability in individual countries, see below.</w:t>
      </w:r>
    </w:p>
    <w:p>
      <w:pPr>
        <w:numPr>
          <w:ilvl w:val="0"/>
          <w:numId w:val="1171"/>
        </w:numPr>
        <w:pStyle w:val="Compact"/>
      </w:pPr>
      <w:r>
        <w:rPr>
          <w:bCs/>
          <w:b/>
        </w:rPr>
        <w:t xml:space="preserve">WADA:</w:t>
      </w:r>
      <w:r>
        <w:t xml:space="preserve"> </w:t>
      </w:r>
      <w:r>
        <w:t xml:space="preserve">prohibited, class S2 (growth hormone secretagogues; macimorelin is explicitly named).</w:t>
      </w:r>
    </w:p>
    <w:p>
      <w:pPr>
        <w:numPr>
          <w:ilvl w:val="0"/>
          <w:numId w:val="1171"/>
        </w:numPr>
        <w:pStyle w:val="Compact"/>
      </w:pPr>
      <w:r>
        <w:rPr>
          <w:bCs/>
          <w:b/>
        </w:rPr>
        <w:t xml:space="preserve">Evidence level: A</w:t>
      </w:r>
      <w:r>
        <w:t xml:space="preserve"> </w:t>
      </w:r>
      <w:r>
        <w:t xml:space="preserve">– two phase 3 trials on diagnostic accuracy, approval in the USA and EU. Limitation: it is a diagnostic agent, not a therapy.</w:t>
      </w:r>
    </w:p>
    <w:bookmarkEnd w:id="1459"/>
    <w:bookmarkStart w:id="1460" w:name="how-it-is-supposed-to-work-30"/>
    <w:p>
      <w:pPr>
        <w:pStyle w:val="Heading3"/>
      </w:pPr>
      <w:r>
        <w:t xml:space="preserve">How it is supposed to work</w:t>
      </w:r>
    </w:p>
    <w:p>
      <w:pPr>
        <w:pStyle w:val="FirstParagraph"/>
      </w:pPr>
      <w:r>
        <w:t xml:space="preserve">Diagnosing growth hormone deficiency in adults is difficult. A single blood value is not enough, because growth hormone is released in bursts. A stimulation test is needed: the pituitary gland is deliberately stimulated, and one measures how much growth hormone it releases.</w:t>
      </w:r>
    </w:p>
    <w:p>
      <w:pPr>
        <w:pStyle w:val="BodyText"/>
      </w:pPr>
      <w:r>
        <w:t xml:space="preserve">The reference test is the insulin hypoglycemia test (insulin tolerance test, ITT). In this test, blood glucose is deliberately lowered sharply with insulin – which is unpleasant, requires medical supervision and is not permitted in people with heart disease or seizures. Macimorelin offers an alternative: it activates the ghrelin receptor, which directly triggers growth hormone release, without lowering blood glucose. Because it is swallowed, no infusion is needed either.</w:t>
      </w:r>
    </w:p>
    <w:bookmarkEnd w:id="1460"/>
    <w:bookmarkStart w:id="1474" w:name="human-studies-30"/>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4</w:t>
      </w:r>
      <w:r>
        <w:t xml:space="preserve"> </w:t>
      </w:r>
      <w:r>
        <w:t xml:space="preserve">human studies in PubMed (</w:t>
      </w:r>
      <w:r>
        <w:rPr>
          <w:rStyle w:val="VerbatimChar"/>
        </w:rPr>
        <w:t xml:space="preserve">humanstudien_alle</w:t>
      </w:r>
      <w:r>
        <w:t xml:space="preserve">) and</w:t>
      </w:r>
      <w:r>
        <w:t xml:space="preserve"> </w:t>
      </w:r>
      <w:r>
        <w:rPr>
          <w:bCs/>
          <w:b/>
        </w:rPr>
        <w:t xml:space="preserve">6</w:t>
      </w:r>
      <w:r>
        <w:t xml:space="preserve"> </w:t>
      </w:r>
      <w:r>
        <w:t xml:space="preserve">entries on ClinicalTrials.gov. A targeted follow-up search yielded further studies, including the first phase 3 trial, a pediatric study, several studies in healthy people and a real-world analysis.</w:t>
      </w:r>
    </w:p>
    <w:bookmarkStart w:id="1463" w:name="early-pharmacology"/>
    <w:p>
      <w:pPr>
        <w:pStyle w:val="Heading4"/>
      </w:pPr>
      <w:r>
        <w:t xml:space="preserve">Early pharmacology</w:t>
      </w:r>
    </w:p>
    <w:p>
      <w:pPr>
        <w:pStyle w:val="FirstParagraph"/>
      </w:pPr>
      <w:r>
        <w:t xml:space="preserve">As early as 2007, a study with 36 healthy men showed that the substance (then EP01572) enters the blood rapidly and dose-dependently after being swallowed and strongly releases growth hormone</w:t>
      </w:r>
      <w:r>
        <w:rPr>
          <w:rStyle w:val="FootnoteReference"/>
        </w:rPr>
        <w:footnoteReference w:id="1461"/>
      </w:r>
      <w:r>
        <w:t xml:space="preserve">. In a randomized phase 1 study with 28 healthy people, the half-life was 3.5 hours for the two lower doses; the GH peak occurred after 45 to 60 minutes. ACTH, cortisol and prolactin rose temporarily</w:t>
      </w:r>
      <w:r>
        <w:rPr>
          <w:rStyle w:val="FootnoteReference"/>
        </w:rPr>
        <w:footnoteReference w:id="1462"/>
      </w:r>
      <w:r>
        <w:t xml:space="preserve">.</w:t>
      </w:r>
    </w:p>
    <w:bookmarkEnd w:id="1463"/>
    <w:bookmarkStart w:id="1467" w:name="the-approval-trials-1"/>
    <w:p>
      <w:pPr>
        <w:pStyle w:val="Heading4"/>
      </w:pPr>
      <w:r>
        <w:t xml:space="preserve">The approval trials</w:t>
      </w:r>
    </w:p>
    <w:p>
      <w:pPr>
        <w:pStyle w:val="FirstParagraph"/>
      </w:pPr>
      <w:r>
        <w:rPr>
          <w:bCs/>
          <w:b/>
        </w:rPr>
        <w:t xml:space="preserve">First phase 3 trial:</w:t>
      </w:r>
      <w:r>
        <w:t xml:space="preserve"> </w:t>
      </w:r>
      <w:r>
        <w:t xml:space="preserve">In an open-label multicenter trial, macimorelin was compared with the combination test of arginine and GHRH that was customary at the time. The analysis included 50 adults with growth hormone deficiency and 48 healthy people. The GH peak averaged 2.36 ng/mL in those affected and 17.71 ng/mL in the healthy people. With a cutoff of 2.7 ng/mL, the test achieved a sensitivity of 82% and a specificity of 92%. The only serious drug-related adverse event reported was an asymptomatic prolongation of the QT interval on the ECG. During the trial, the GHRH preparation (sermorelin) was withdrawn from the US market, so some participants were tested with macimorelin only</w:t>
      </w:r>
      <w:r>
        <w:rPr>
          <w:rStyle w:val="FootnoteReference"/>
        </w:rPr>
        <w:footnoteReference w:id="1464"/>
      </w:r>
      <w:r>
        <w:t xml:space="preserve">.</w:t>
      </w:r>
    </w:p>
    <w:p>
      <w:pPr>
        <w:pStyle w:val="BodyText"/>
      </w:pPr>
      <w:r>
        <w:rPr>
          <w:bCs/>
          <w:b/>
        </w:rPr>
        <w:t xml:space="preserve">Second phase 3 trial (basis for approval):</w:t>
      </w:r>
      <w:r>
        <w:t xml:space="preserve"> </w:t>
      </w:r>
      <w:r>
        <w:t xml:space="preserve">In a randomized crossover trial, adults with a high, intermediate and low likelihood of growth hormone deficiency as well as healthy controls received both the macimorelin test and the insulin test. 99% of the macimorelin tests but only 82% of the insulin tests were evaluable. With cutoffs of 2.8 ng/mL (macimorelin) and 5.1 ng/mL (ITT), sensitivity was 87% and specificity 96%; on repetition, the result was the same in 97%. No serious adverse events due to macimorelin occurred. A uniform cutoff of 5.1 ng/mL for both tests yielded 92% sensitivity with 96% specificity in a post hoc analysis</w:t>
      </w:r>
      <w:r>
        <w:rPr>
          <w:rStyle w:val="FootnoteReference"/>
        </w:rPr>
        <w:footnoteReference w:id="1465"/>
      </w:r>
      <w:r>
        <w:t xml:space="preserve">. Further analyses showed that age, body weight and sex did not substantially affect test accuracy</w:t>
      </w:r>
      <w:r>
        <w:rPr>
          <w:rStyle w:val="FootnoteReference"/>
        </w:rPr>
        <w:footnoteReference w:id="1466"/>
      </w:r>
      <w:r>
        <w:t xml:space="preserve">.</w:t>
      </w:r>
    </w:p>
    <w:bookmarkEnd w:id="1467"/>
    <w:bookmarkStart w:id="1469" w:name="real-world-experience"/>
    <w:p>
      <w:pPr>
        <w:pStyle w:val="Heading4"/>
      </w:pPr>
      <w:r>
        <w:t xml:space="preserve">Real-world experience</w:t>
      </w:r>
    </w:p>
    <w:p>
      <w:pPr>
        <w:pStyle w:val="FirstParagraph"/>
      </w:pPr>
      <w:r>
        <w:t xml:space="preserve">A retrospective analysis of 37 patients at one clinic found that with the cutoff of 2.8 ng/mL approved in the United States, 40.5% were classified as having growth hormone deficiency, whereas with 5.1 ng/mL it was 54.0%. The discordant classifications mainly concerned people with severe obesity and a low pretest probability</w:t>
      </w:r>
      <w:r>
        <w:rPr>
          <w:rStyle w:val="FootnoteReference"/>
        </w:rPr>
        <w:footnoteReference w:id="1468"/>
      </w:r>
      <w:r>
        <w:t xml:space="preserve">. This shows that the cutoff is not trivial and that caution is needed in interpretation in people with severe obesity.</w:t>
      </w:r>
    </w:p>
    <w:bookmarkEnd w:id="1469"/>
    <w:bookmarkStart w:id="1473" w:name="children-and-other-uses"/>
    <w:p>
      <w:pPr>
        <w:pStyle w:val="Heading4"/>
      </w:pPr>
      <w:r>
        <w:t xml:space="preserve">Children and other uses</w:t>
      </w:r>
    </w:p>
    <w:p>
      <w:pPr>
        <w:numPr>
          <w:ilvl w:val="0"/>
          <w:numId w:val="1172"/>
        </w:numPr>
        <w:pStyle w:val="Compact"/>
      </w:pPr>
      <w:r>
        <w:rPr>
          <w:bCs/>
          <w:b/>
        </w:rPr>
        <w:t xml:space="preserve">Children:</w:t>
      </w:r>
      <w:r>
        <w:t xml:space="preserve"> </w:t>
      </w:r>
      <w:r>
        <w:t xml:space="preserve">An open-label dose-finding study with 24 children and adolescents with suspected growth hormone deficiency found no macimorelin-related adverse effects</w:t>
      </w:r>
      <w:r>
        <w:rPr>
          <w:rStyle w:val="FootnoteReference"/>
        </w:rPr>
        <w:footnoteReference w:id="1470"/>
      </w:r>
      <w:r>
        <w:t xml:space="preserve">. The subsequent phase 3 trial DETECT with 101 children</w:t>
      </w:r>
      <w:r>
        <w:rPr>
          <w:rStyle w:val="FootnoteReference"/>
        </w:rPr>
        <w:footnoteReference w:id="1471"/>
      </w:r>
      <w:r>
        <w:t xml:space="preserve"> </w:t>
      </w:r>
      <w:r>
        <w:t xml:space="preserve">was completed in June 2024; results have not been posted in the registry, and I have not found a publication in PubMed.</w:t>
      </w:r>
    </w:p>
    <w:p>
      <w:pPr>
        <w:numPr>
          <w:ilvl w:val="0"/>
          <w:numId w:val="1172"/>
        </w:numPr>
        <w:pStyle w:val="Compact"/>
      </w:pPr>
      <w:r>
        <w:rPr>
          <w:bCs/>
          <w:b/>
        </w:rPr>
        <w:t xml:space="preserve">Cancer cachexia:</w:t>
      </w:r>
      <w:r>
        <w:t xml:space="preserve"> </w:t>
      </w:r>
      <w:r>
        <w:t xml:space="preserve">In a pilot study with 15 cancer patients with pathological weight loss, macimorelin was well tolerated over one week; weight and quality of life improved numerically, but without a significant difference from placebo</w:t>
      </w:r>
      <w:r>
        <w:rPr>
          <w:rStyle w:val="FootnoteReference"/>
        </w:rPr>
        <w:footnoteReference w:id="14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3, trial 1 (Garcia 2013), PMID 23559086</w:t>
            </w:r>
          </w:p>
        </w:tc>
        <w:tc>
          <w:tcPr/>
          <w:p>
            <w:pPr>
              <w:pStyle w:val="Compact"/>
              <w:jc w:val="left"/>
            </w:pPr>
            <w:r>
              <w:t xml:space="preserve">50 adults with GH deficiency, 48 healthy people; comparison with arginine+GHRH</w:t>
            </w:r>
          </w:p>
        </w:tc>
        <w:tc>
          <w:tcPr/>
          <w:p>
            <w:pPr>
              <w:pStyle w:val="Compact"/>
              <w:jc w:val="left"/>
            </w:pPr>
            <w:r>
              <w:t xml:space="preserve">single test</w:t>
            </w:r>
          </w:p>
        </w:tc>
        <w:tc>
          <w:tcPr/>
          <w:p>
            <w:pPr>
              <w:pStyle w:val="Compact"/>
              <w:jc w:val="left"/>
            </w:pPr>
            <w:r>
              <w:t xml:space="preserve">sensitivity 82%, specificity 92%</w:t>
            </w:r>
          </w:p>
        </w:tc>
      </w:tr>
      <w:tr>
        <w:tc>
          <w:tcPr/>
          <w:p>
            <w:pPr>
              <w:pStyle w:val="Compact"/>
              <w:jc w:val="left"/>
            </w:pPr>
            <w:r>
              <w:t xml:space="preserve">Phase 3, trial 2 (Garcia 2018), PMID 29860473</w:t>
            </w:r>
          </w:p>
        </w:tc>
        <w:tc>
          <w:tcPr/>
          <w:p>
            <w:pPr>
              <w:pStyle w:val="Compact"/>
              <w:jc w:val="left"/>
            </w:pPr>
            <w:r>
              <w:t xml:space="preserve">adults with varying pretest probability and healthy people; randomized crossover trial vs. ITT</w:t>
            </w:r>
          </w:p>
        </w:tc>
        <w:tc>
          <w:tcPr/>
          <w:p>
            <w:pPr>
              <w:pStyle w:val="Compact"/>
              <w:jc w:val="left"/>
            </w:pPr>
            <w:r>
              <w:t xml:space="preserve">single tests</w:t>
            </w:r>
          </w:p>
        </w:tc>
        <w:tc>
          <w:tcPr/>
          <w:p>
            <w:pPr>
              <w:pStyle w:val="Compact"/>
              <w:jc w:val="left"/>
            </w:pPr>
            <w:r>
              <w:t xml:space="preserve">sensitivity 87%, specificity 96%; reproducibility 97%</w:t>
            </w:r>
          </w:p>
        </w:tc>
      </w:tr>
      <w:tr>
        <w:tc>
          <w:tcPr/>
          <w:p>
            <w:pPr>
              <w:pStyle w:val="Compact"/>
              <w:jc w:val="left"/>
            </w:pPr>
            <w:r>
              <w:t xml:space="preserve">QT study (Lissy 2021), PMID 32961034</w:t>
            </w:r>
          </w:p>
        </w:tc>
        <w:tc>
          <w:tcPr/>
          <w:p>
            <w:pPr>
              <w:pStyle w:val="Compact"/>
              <w:jc w:val="left"/>
            </w:pPr>
            <w:r>
              <w:t xml:space="preserve">60 healthy people, randomized, placebo and moxifloxacin</w:t>
            </w:r>
          </w:p>
        </w:tc>
        <w:tc>
          <w:tcPr/>
          <w:p>
            <w:pPr>
              <w:pStyle w:val="Compact"/>
              <w:jc w:val="left"/>
            </w:pPr>
            <w:r>
              <w:t xml:space="preserve">single doses</w:t>
            </w:r>
          </w:p>
        </w:tc>
        <w:tc>
          <w:tcPr/>
          <w:p>
            <w:pPr>
              <w:pStyle w:val="Compact"/>
              <w:jc w:val="left"/>
            </w:pPr>
            <w:r>
              <w:t xml:space="preserve">QT prolongation up to 9.61 ms at supratherapeutic dose</w:t>
            </w:r>
          </w:p>
        </w:tc>
      </w:tr>
      <w:tr>
        <w:tc>
          <w:tcPr/>
          <w:p>
            <w:pPr>
              <w:pStyle w:val="Compact"/>
              <w:jc w:val="left"/>
            </w:pPr>
            <w:r>
              <w:t xml:space="preserve">Real-world data (Yadav 2026), PMID 41793495</w:t>
            </w:r>
          </w:p>
        </w:tc>
        <w:tc>
          <w:tcPr/>
          <w:p>
            <w:pPr>
              <w:pStyle w:val="Compact"/>
              <w:jc w:val="left"/>
            </w:pPr>
            <w:r>
              <w:t xml:space="preserve">37 people, retrospective</w:t>
            </w:r>
          </w:p>
        </w:tc>
        <w:tc>
          <w:tcPr/>
          <w:p>
            <w:pPr>
              <w:pStyle w:val="Compact"/>
              <w:jc w:val="left"/>
            </w:pPr>
            <w:r>
              <w:t xml:space="preserve">single test</w:t>
            </w:r>
          </w:p>
        </w:tc>
        <w:tc>
          <w:tcPr/>
          <w:p>
            <w:pPr>
              <w:pStyle w:val="Compact"/>
              <w:jc w:val="left"/>
            </w:pPr>
            <w:r>
              <w:t xml:space="preserve">cutoff affects diagnosis, especially in obesity</w:t>
            </w:r>
          </w:p>
        </w:tc>
      </w:tr>
      <w:tr>
        <w:tc>
          <w:tcPr/>
          <w:p>
            <w:pPr>
              <w:pStyle w:val="Compact"/>
              <w:jc w:val="left"/>
            </w:pPr>
            <w:r>
              <w:t xml:space="preserve">Cachexia (Herodes 2023), PMID 36860137</w:t>
            </w:r>
          </w:p>
        </w:tc>
        <w:tc>
          <w:tcPr/>
          <w:p>
            <w:pPr>
              <w:pStyle w:val="Compact"/>
              <w:jc w:val="left"/>
            </w:pPr>
            <w:r>
              <w:t xml:space="preserve">15 cancer patients, RCT pilot study</w:t>
            </w:r>
          </w:p>
        </w:tc>
        <w:tc>
          <w:tcPr/>
          <w:p>
            <w:pPr>
              <w:pStyle w:val="Compact"/>
              <w:jc w:val="left"/>
            </w:pPr>
            <w:r>
              <w:t xml:space="preserve">1 week</w:t>
            </w:r>
          </w:p>
        </w:tc>
        <w:tc>
          <w:tcPr/>
          <w:p>
            <w:pPr>
              <w:pStyle w:val="Compact"/>
              <w:jc w:val="left"/>
            </w:pPr>
            <w:r>
              <w:t xml:space="preserve">well tolerated, no significant effect</w:t>
            </w:r>
          </w:p>
        </w:tc>
      </w:tr>
    </w:tbl>
    <w:bookmarkEnd w:id="1473"/>
    <w:bookmarkEnd w:id="1474"/>
    <w:bookmarkStart w:id="1477" w:name="animal-and-laboratory-studies-30"/>
    <w:p>
      <w:pPr>
        <w:pStyle w:val="Heading3"/>
      </w:pPr>
      <w:r>
        <w:t xml:space="preserve">Animal and laboratory studies</w:t>
      </w:r>
    </w:p>
    <w:p>
      <w:pPr>
        <w:pStyle w:val="FirstParagraph"/>
      </w:pPr>
      <w:r>
        <w:t xml:space="preserve">In mice with treatment-resistant epilepsy, macimorelin reduced the number and duration of seizures during the two-week treatment but did not alter the course of the disease</w:t>
      </w:r>
      <w:r>
        <w:rPr>
          <w:rStyle w:val="FootnoteReference"/>
        </w:rPr>
        <w:footnoteReference w:id="1475"/>
      </w:r>
      <w:r>
        <w:t xml:space="preserve">. Structural studies show how macimorelin binds in the ghrelin receptor</w:t>
      </w:r>
      <w:r>
        <w:rPr>
          <w:rStyle w:val="FootnoteReference"/>
        </w:rPr>
        <w:footnoteReference w:id="1476"/>
      </w:r>
      <w:r>
        <w:t xml:space="preserve">. These studies are not relevant to the approved use.</w:t>
      </w:r>
    </w:p>
    <w:bookmarkEnd w:id="1477"/>
    <w:bookmarkStart w:id="1482" w:name="risks-and-side-effects-30"/>
    <w:p>
      <w:pPr>
        <w:pStyle w:val="Heading3"/>
      </w:pPr>
      <w:r>
        <w:t xml:space="preserve">Risks and side effects</w:t>
      </w:r>
    </w:p>
    <w:p>
      <w:pPr>
        <w:pStyle w:val="FirstParagraph"/>
      </w:pPr>
      <w:r>
        <w:rPr>
          <w:bCs/>
          <w:b/>
        </w:rPr>
        <w:t xml:space="preserve">Established:</w:t>
      </w:r>
      <w:r>
        <w:t xml:space="preserve"> </w:t>
      </w:r>
      <w:r>
        <w:t xml:space="preserve">Macimorelin is taken only once per test; side effects are correspondingly limited. In the approval trial, no serious adverse events due to macimorelin occurred</w:t>
      </w:r>
      <w:r>
        <w:rPr>
          <w:rStyle w:val="FootnoteReference"/>
        </w:rPr>
        <w:footnoteReference w:id="1478"/>
      </w:r>
      <w:r>
        <w:t xml:space="preserve">. ACTH, cortisol and prolactin rise temporarily</w:t>
      </w:r>
      <w:r>
        <w:rPr>
          <w:rStyle w:val="FootnoteReference"/>
        </w:rPr>
        <w:footnoteReference w:id="1479"/>
      </w:r>
      <w:r>
        <w:t xml:space="preserve">.</w:t>
      </w:r>
    </w:p>
    <w:p>
      <w:pPr>
        <w:pStyle w:val="BodyText"/>
      </w:pPr>
      <w:r>
        <w:rPr>
          <w:bCs/>
          <w:b/>
        </w:rPr>
        <w:t xml:space="preserve">QT prolongation:</w:t>
      </w:r>
      <w:r>
        <w:t xml:space="preserve"> </w:t>
      </w:r>
      <w:r>
        <w:t xml:space="preserve">In a thorough ECG study with 60 healthy people, a deliberately excessive (supratherapeutic) single dose prolonged the QT interval – a measure of the heart’s electrical recovery – by up to 9.61 milliseconds on average; the upper limit of the confidence interval exceeded the regulatory threshold of 10 milliseconds</w:t>
      </w:r>
      <w:r>
        <w:rPr>
          <w:rStyle w:val="FootnoteReference"/>
        </w:rPr>
        <w:footnoteReference w:id="1480"/>
      </w:r>
      <w:r>
        <w:t xml:space="preserve">. Caution is therefore advised in people taking other QT-prolonging medications. Details on contraindications and interactions are governed by the prescribing information; the test is performed by a physician.</w:t>
      </w:r>
    </w:p>
    <w:p>
      <w:pPr>
        <w:pStyle w:val="BodyText"/>
      </w:pPr>
      <w:r>
        <w:rPr>
          <w:bCs/>
          <w:b/>
        </w:rPr>
        <w:t xml:space="preserve">Misdiagnosis:</w:t>
      </w:r>
      <w:r>
        <w:t xml:space="preserve"> </w:t>
      </w:r>
      <w:r>
        <w:t xml:space="preserve">Like any stimulation test, the macimorelin test can produce false-positive and false-negative results, especially in people with severe obesity</w:t>
      </w:r>
      <w:r>
        <w:rPr>
          <w:rStyle w:val="FootnoteReference"/>
        </w:rPr>
        <w:footnoteReference w:id="1481"/>
      </w:r>
      <w:r>
        <w:t xml:space="preserve">.</w:t>
      </w:r>
    </w:p>
    <w:p>
      <w:pPr>
        <w:pStyle w:val="BodyText"/>
      </w:pPr>
      <w:r>
        <w:t xml:space="preserve">A cancer risk is not to be expected from a single dose; the discussion about persistently elevated IGF-1 (see the introduction to this group) therefore does not apply to macimorelin.</w:t>
      </w:r>
    </w:p>
    <w:bookmarkEnd w:id="1482"/>
    <w:bookmarkStart w:id="1484" w:name="legal-status-30"/>
    <w:p>
      <w:pPr>
        <w:pStyle w:val="Heading3"/>
      </w:pPr>
      <w:r>
        <w:t xml:space="preserve">Legal status</w:t>
      </w:r>
    </w:p>
    <w:p>
      <w:pPr>
        <w:pStyle w:val="FirstParagraph"/>
      </w:pPr>
      <w:r>
        <w:rPr>
          <w:iCs/>
          <w:i/>
        </w:rPr>
        <w:t xml:space="preserve">As of 2026, please check for updates.</w:t>
      </w:r>
    </w:p>
    <w:p>
      <w:pPr>
        <w:numPr>
          <w:ilvl w:val="0"/>
          <w:numId w:val="1173"/>
        </w:numPr>
        <w:pStyle w:val="Compact"/>
      </w:pPr>
      <w:r>
        <w:rPr>
          <w:bCs/>
          <w:b/>
        </w:rPr>
        <w:t xml:space="preserve">EU:</w:t>
      </w:r>
      <w:r>
        <w:t xml:space="preserve"> </w:t>
      </w:r>
      <w:r>
        <w:t xml:space="preserve">centrally authorized for the diagnosis of growth hormone deficiency in adults. Whether the product is actually marketed in Germany and Austria depends on the marketing decisions of the marketing authorization holder and should be checked for updates.</w:t>
      </w:r>
    </w:p>
    <w:p>
      <w:pPr>
        <w:numPr>
          <w:ilvl w:val="0"/>
          <w:numId w:val="1173"/>
        </w:numPr>
        <w:pStyle w:val="Compact"/>
      </w:pPr>
      <w:r>
        <w:rPr>
          <w:bCs/>
          <w:b/>
        </w:rPr>
        <w:t xml:space="preserve">USA:</w:t>
      </w:r>
      <w:r>
        <w:t xml:space="preserve"> </w:t>
      </w:r>
      <w:r>
        <w:t xml:space="preserve">approved (Macrilen) for the same indication; the distribution rights have changed hands in recent years.</w:t>
      </w:r>
    </w:p>
    <w:p>
      <w:pPr>
        <w:numPr>
          <w:ilvl w:val="0"/>
          <w:numId w:val="1173"/>
        </w:numPr>
        <w:pStyle w:val="Compact"/>
      </w:pPr>
      <w:r>
        <w:rPr>
          <w:bCs/>
          <w:b/>
        </w:rPr>
        <w:t xml:space="preserve">Use:</w:t>
      </w:r>
      <w:r>
        <w:t xml:space="preserve"> </w:t>
      </w:r>
      <w:r>
        <w:t xml:space="preserve">exclusively as a physician-performed function test according to the prescribing information; no therapeutic approval.</w:t>
      </w:r>
    </w:p>
    <w:p>
      <w:pPr>
        <w:numPr>
          <w:ilvl w:val="0"/>
          <w:numId w:val="1173"/>
        </w:numPr>
        <w:pStyle w:val="Compact"/>
      </w:pPr>
      <w:r>
        <w:rPr>
          <w:bCs/>
          <w:b/>
        </w:rPr>
        <w:t xml:space="preserve">WADA:</w:t>
      </w:r>
      <w:r>
        <w:t xml:space="preserve"> </w:t>
      </w:r>
      <w:r>
        <w:t xml:space="preserve">prohibited (S2). For doping controls, metabolites of macimorelin and related ghrelin mimetics have been characterized</w:t>
      </w:r>
      <w:r>
        <w:rPr>
          <w:rStyle w:val="FootnoteReference"/>
        </w:rPr>
        <w:footnoteReference w:id="1483"/>
      </w:r>
      <w:r>
        <w:t xml:space="preserve">.</w:t>
      </w:r>
    </w:p>
    <w:bookmarkEnd w:id="1484"/>
    <w:bookmarkStart w:id="1487" w:name="ongoing-studies-and-outlook-30"/>
    <w:p>
      <w:pPr>
        <w:pStyle w:val="Heading3"/>
      </w:pPr>
      <w:r>
        <w:t xml:space="preserve">Ongoing studies and outlook</w:t>
      </w:r>
    </w:p>
    <w:p>
      <w:pPr>
        <w:pStyle w:val="FirstParagraph"/>
      </w:pPr>
      <w:r>
        <w:rPr>
          <w:iCs/>
          <w:i/>
        </w:rPr>
        <w:t xml:space="preserve">Established:</w:t>
      </w:r>
      <w:r>
        <w:t xml:space="preserve"> </w:t>
      </w:r>
      <w:r>
        <w:t xml:space="preserve">The pediatric trial DETECT</w:t>
      </w:r>
      <w:r>
        <w:rPr>
          <w:rStyle w:val="FootnoteReference"/>
        </w:rPr>
        <w:footnoteReference w:id="1485"/>
      </w:r>
      <w:r>
        <w:t xml:space="preserve"> </w:t>
      </w:r>
      <w:r>
        <w:t xml:space="preserve">has been completed; the results are pending. Another study examined how macimorelin affects the hormone copeptin</w:t>
      </w:r>
      <w:r>
        <w:rPr>
          <w:rStyle w:val="FootnoteReference"/>
        </w:rPr>
        <w:footnoteReference w:id="1486"/>
      </w:r>
      <w:r>
        <w:t xml:space="preserve">.</w:t>
      </w:r>
      <w:r>
        <w:t xml:space="preserve"> </w:t>
      </w:r>
      <w:r>
        <w:rPr>
          <w:iCs/>
          <w:i/>
        </w:rPr>
        <w:t xml:space="preserve">Author’s assessment:</w:t>
      </w:r>
      <w:r>
        <w:t xml:space="preserve"> </w:t>
      </w:r>
      <w:r>
        <w:t xml:space="preserve">Extending the approval to children would be the logical next step but depends on the outcome of the DETECT trial. A therapeutic use, for example in cachexia, is not foreseeable based on the data so far.</w:t>
      </w:r>
    </w:p>
    <w:bookmarkEnd w:id="1487"/>
    <w:bookmarkStart w:id="1488" w:name="conclusion-30"/>
    <w:p>
      <w:pPr>
        <w:pStyle w:val="Heading3"/>
      </w:pPr>
      <w:r>
        <w:t xml:space="preserve">Conclusion</w:t>
      </w:r>
    </w:p>
    <w:p>
      <w:pPr>
        <w:pStyle w:val="FirstParagraph"/>
      </w:pPr>
      <w:r>
        <w:t xml:space="preserve">Macimorelin is a diagnostic agent approved in the United States and the EU: a single oral test detects growth hormone deficiency in adults about as reliably as the burdensome insulin test, with 87% sensitivity and 96% specificity in the approval trial. The most important known side effect is a slight prolongation of the QT interval at a supratherapeutic dose. Macimorelin is neither intended nor studied for treatment, muscle building or</w:t>
      </w:r>
      <w:r>
        <w:t xml:space="preserve"> </w:t>
      </w:r>
      <w:r>
        <w:t xml:space="preserve">“</w:t>
      </w:r>
      <w:r>
        <w:t xml:space="preserve">anti-aging.</w:t>
      </w:r>
      <w:r>
        <w:t xml:space="preserve">”</w:t>
      </w:r>
    </w:p>
    <w:bookmarkEnd w:id="1488"/>
    <w:bookmarkEnd w:id="1489"/>
    <w:bookmarkStart w:id="1529" w:name="mecasermin-igf-1"/>
    <w:p>
      <w:pPr>
        <w:pStyle w:val="Heading2"/>
      </w:pPr>
      <w:r>
        <w:t xml:space="preserve">Mecasermin (IGF-1)</w:t>
      </w:r>
    </w:p>
    <w:p>
      <w:pPr>
        <w:pStyle w:val="FirstParagraph"/>
      </w:pPr>
      <w:r>
        <w:t xml:space="preserve">Mecasermin is genetically engineered human IGF-1 – that is, the messenger through which growth hormone exerts much of its effect. As a medicine (Increlex), it is approved for a very rare group of children: children whose bodies produce enough growth hormone but do not respond to it and therefore produce hardly any IGF-1. Mecasermin is thus a rare example of an approved peptide in this group – and at the same time the drug in which the question of hypoglycemia and cancer risk from IGF-1 arises most clearly.</w:t>
      </w:r>
    </w:p>
    <w:bookmarkStart w:id="1490" w:name="profile-31"/>
    <w:p>
      <w:pPr>
        <w:pStyle w:val="Heading3"/>
      </w:pPr>
      <w:r>
        <w:t xml:space="preserve">Profile</w:t>
      </w:r>
    </w:p>
    <w:p>
      <w:pPr>
        <w:numPr>
          <w:ilvl w:val="0"/>
          <w:numId w:val="1174"/>
        </w:numPr>
        <w:pStyle w:val="Compact"/>
      </w:pPr>
      <w:r>
        <w:rPr>
          <w:bCs/>
          <w:b/>
        </w:rPr>
        <w:t xml:space="preserve">Type and structure:</w:t>
      </w:r>
      <w:r>
        <w:t xml:space="preserve"> </w:t>
      </w:r>
      <w:r>
        <w:t xml:space="preserve">recombinant (genetically engineered in bacteria) human IGF-1 of 70 amino acids, identical to the endogenous hormone.</w:t>
      </w:r>
    </w:p>
    <w:p>
      <w:pPr>
        <w:numPr>
          <w:ilvl w:val="0"/>
          <w:numId w:val="1174"/>
        </w:numPr>
        <w:pStyle w:val="Compact"/>
      </w:pPr>
      <w:r>
        <w:rPr>
          <w:bCs/>
          <w:b/>
        </w:rPr>
        <w:t xml:space="preserve">Origin:</w:t>
      </w:r>
      <w:r>
        <w:t xml:space="preserve"> </w:t>
      </w:r>
      <w:r>
        <w:t xml:space="preserve">IGF-1 was described as</w:t>
      </w:r>
      <w:r>
        <w:t xml:space="preserve"> </w:t>
      </w:r>
      <w:r>
        <w:t xml:space="preserve">“</w:t>
      </w:r>
      <w:r>
        <w:t xml:space="preserve">somatomedin</w:t>
      </w:r>
      <w:r>
        <w:t xml:space="preserve">”</w:t>
      </w:r>
      <w:r>
        <w:t xml:space="preserve"> </w:t>
      </w:r>
      <w:r>
        <w:t xml:space="preserve">in the 1970s; mecasermin was developed by Tercica and marketed by Ipsen, now by another marketing authorization holder.</w:t>
      </w:r>
    </w:p>
    <w:p>
      <w:pPr>
        <w:numPr>
          <w:ilvl w:val="0"/>
          <w:numId w:val="1174"/>
        </w:numPr>
        <w:pStyle w:val="Compact"/>
      </w:pPr>
      <w:r>
        <w:rPr>
          <w:bCs/>
          <w:b/>
        </w:rPr>
        <w:t xml:space="preserve">Mechanism of action:</w:t>
      </w:r>
      <w:r>
        <w:t xml:space="preserve"> </w:t>
      </w:r>
      <w:r>
        <w:t xml:space="preserve">binds to the IGF-1 receptor and directly replaces the missing IGF-1; promotes growth, is anabolic and – at higher doses – lowers blood glucose in a manner similar to insulin.</w:t>
      </w:r>
    </w:p>
    <w:p>
      <w:pPr>
        <w:numPr>
          <w:ilvl w:val="0"/>
          <w:numId w:val="1174"/>
        </w:numPr>
        <w:pStyle w:val="Compact"/>
      </w:pPr>
      <w:r>
        <w:rPr>
          <w:bCs/>
          <w:b/>
        </w:rPr>
        <w:t xml:space="preserve">EU approval:</w:t>
      </w:r>
      <w:r>
        <w:t xml:space="preserve"> </w:t>
      </w:r>
      <w:r>
        <w:t xml:space="preserve">yes (Increlex) for the long-term treatment of growth failure in children and adolescents with severe primary IGF-1 deficiency.</w:t>
      </w:r>
      <w:r>
        <w:t xml:space="preserve"> </w:t>
      </w:r>
      <w:r>
        <w:rPr>
          <w:bCs/>
          <w:b/>
        </w:rPr>
        <w:t xml:space="preserve">US approval:</w:t>
      </w:r>
      <w:r>
        <w:t xml:space="preserve"> </w:t>
      </w:r>
      <w:r>
        <w:t xml:space="preserve">yes (Increlex), same indication.</w:t>
      </w:r>
    </w:p>
    <w:p>
      <w:pPr>
        <w:numPr>
          <w:ilvl w:val="0"/>
          <w:numId w:val="1174"/>
        </w:numPr>
        <w:pStyle w:val="Compact"/>
      </w:pPr>
      <w:r>
        <w:rPr>
          <w:bCs/>
          <w:b/>
        </w:rPr>
        <w:t xml:space="preserve">WADA:</w:t>
      </w:r>
      <w:r>
        <w:t xml:space="preserve"> </w:t>
      </w:r>
      <w:r>
        <w:t xml:space="preserve">prohibited, class S2 (IGF-1 and its analogs as growth factors).</w:t>
      </w:r>
    </w:p>
    <w:p>
      <w:pPr>
        <w:numPr>
          <w:ilvl w:val="0"/>
          <w:numId w:val="1174"/>
        </w:numPr>
        <w:pStyle w:val="Compact"/>
      </w:pPr>
      <w:r>
        <w:rPr>
          <w:bCs/>
          <w:b/>
        </w:rPr>
        <w:t xml:space="preserve">Evidence level: A</w:t>
      </w:r>
      <w:r>
        <w:t xml:space="preserve"> </w:t>
      </w:r>
      <w:r>
        <w:t xml:space="preserve">– approved in the EU and USA. Limitation: because of the rarity of the disease, approval is based on open-label long-term studies and registries, not on large randomized trials. Randomized trials exist for other uses, such as ALS (negative).</w:t>
      </w:r>
    </w:p>
    <w:bookmarkEnd w:id="1490"/>
    <w:bookmarkStart w:id="1492" w:name="how-it-is-supposed-to-work-31"/>
    <w:p>
      <w:pPr>
        <w:pStyle w:val="Heading3"/>
      </w:pPr>
      <w:r>
        <w:t xml:space="preserve">How it is supposed to work</w:t>
      </w:r>
    </w:p>
    <w:p>
      <w:pPr>
        <w:pStyle w:val="FirstParagraph"/>
      </w:pPr>
      <w:r>
        <w:t xml:space="preserve">Growth hormone from the pituitary gland acts mainly on the liver, which then produces IGF-1. IGF-1 in turn makes bones grow in length and promotes the building of muscle and other tissue. In some children this chain is interrupted: their growth hormone receptor is nonfunctional due to a genetic variant, or signal transmission is disrupted. The classic example is Laron syndrome. These children have plenty of growth hormone but hardly any IGF-1, and growth hormone injections do not help them. Without treatment, they often reach only 120 to 130 cm as adults</w:t>
      </w:r>
      <w:r>
        <w:rPr>
          <w:rStyle w:val="FootnoteReference"/>
        </w:rPr>
        <w:footnoteReference w:id="1491"/>
      </w:r>
      <w:r>
        <w:t xml:space="preserve">.</w:t>
      </w:r>
    </w:p>
    <w:p>
      <w:pPr>
        <w:pStyle w:val="BodyText"/>
      </w:pPr>
      <w:r>
        <w:t xml:space="preserve">Mecasermin bypasses the defective step and supplies IGF-1 directly. Because IGF-1 resembles insulin, it can lower blood glucose – the most important side effect.</w:t>
      </w:r>
    </w:p>
    <w:bookmarkEnd w:id="1492"/>
    <w:bookmarkStart w:id="1508" w:name="human-studies-31"/>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21</w:t>
      </w:r>
      <w:r>
        <w:t xml:space="preserve"> </w:t>
      </w:r>
      <w:r>
        <w:t xml:space="preserve">human studies in PubMed (</w:t>
      </w:r>
      <w:r>
        <w:rPr>
          <w:rStyle w:val="VerbatimChar"/>
        </w:rPr>
        <w:t xml:space="preserve">humanstudien_alle</w:t>
      </w:r>
      <w:r>
        <w:t xml:space="preserve">) and</w:t>
      </w:r>
      <w:r>
        <w:t xml:space="preserve"> </w:t>
      </w:r>
      <w:r>
        <w:rPr>
          <w:bCs/>
          <w:b/>
        </w:rPr>
        <w:t xml:space="preserve">37</w:t>
      </w:r>
      <w:r>
        <w:t xml:space="preserve"> </w:t>
      </w:r>
      <w:r>
        <w:t xml:space="preserve">entries on ClinicalTrials.gov; some of these registry entries concern other topics and appear only because of the search term. In addition, there are three systematic reviews. A targeted follow-up search yielded the important long-term studies and registry analyses for the approved indication.</w:t>
      </w:r>
    </w:p>
    <w:bookmarkStart w:id="1498" w:name="X7d02f7767a0f82a621ad910d5610b4df5864bf6"/>
    <w:p>
      <w:pPr>
        <w:pStyle w:val="Heading4"/>
      </w:pPr>
      <w:r>
        <w:t xml:space="preserve">Severe primary IGF-1 deficiency in children</w:t>
      </w:r>
    </w:p>
    <w:p>
      <w:pPr>
        <w:pStyle w:val="FirstParagraph"/>
      </w:pPr>
      <w:r>
        <w:t xml:space="preserve">The basis for approval is a mostly open-label study running for up to twelve years with 76 children with IGF-1 deficiency due to growth hormone resistance. Growth velocity rose from an average of 2.8 cm per year before treatment to 8.0 cm in the first year of treatment; in subsequent years it declined but remained above baseline for up to eight years. The most common side effect was hypoglycemia (in 49% of the children, although it was also observed before the start of therapy), followed by changes in fatty tissue at the injection site (32%) and enlargement of the tonsils and adenoids (22%)</w:t>
      </w:r>
      <w:r>
        <w:rPr>
          <w:rStyle w:val="FootnoteReference"/>
        </w:rPr>
        <w:footnoteReference w:id="1493"/>
      </w:r>
      <w:r>
        <w:t xml:space="preserve">.</w:t>
      </w:r>
    </w:p>
    <w:p>
      <w:pPr>
        <w:pStyle w:val="BodyText"/>
      </w:pPr>
      <w:r>
        <w:t xml:space="preserve">Since 2008, a European, now global, registry has been collecting real-world data</w:t>
      </w:r>
      <w:r>
        <w:rPr>
          <w:rStyle w:val="FootnoteReference"/>
        </w:rPr>
        <w:footnoteReference w:id="1494"/>
      </w:r>
      <w:r>
        <w:t xml:space="preserve">. In 138 previously untreated prepubertal children, height improved in the first year; children with Laron syndrome responded somewhat better, and among the others 56% were considered responders. 65.3% of the children had at least one adverse effect, most commonly hypoglycemia</w:t>
      </w:r>
      <w:r>
        <w:rPr>
          <w:rStyle w:val="FootnoteReference"/>
        </w:rPr>
        <w:footnoteReference w:id="1495"/>
      </w:r>
      <w:r>
        <w:t xml:space="preserve">. 102 children and adolescents who had already reached near-final height gained an average of 0.9 standard deviations in height, and 1.4 when treatment started before puberty. Almost half of these early-treated children reached a height in the normal range, but only 10.5% of those with Laron syndrome</w:t>
      </w:r>
      <w:r>
        <w:rPr>
          <w:rStyle w:val="FootnoteReference"/>
        </w:rPr>
        <w:footnoteReference w:id="1496"/>
      </w:r>
      <w:r>
        <w:t xml:space="preserve">. Severe hypoglycemia was rare at 0.01 events per patient per treatment year; children with Laron syndrome or previous hypoglycemia were particularly at risk</w:t>
      </w:r>
      <w:r>
        <w:rPr>
          <w:rStyle w:val="FootnoteReference"/>
        </w:rPr>
        <w:footnoteReference w:id="1497"/>
      </w:r>
      <w:r>
        <w:t xml:space="preserve">.</w:t>
      </w:r>
    </w:p>
    <w:bookmarkEnd w:id="1498"/>
    <w:bookmarkStart w:id="1507" w:name="other-uses-1"/>
    <w:p>
      <w:pPr>
        <w:pStyle w:val="Heading4"/>
      </w:pPr>
      <w:r>
        <w:t xml:space="preserve">Other uses</w:t>
      </w:r>
    </w:p>
    <w:p>
      <w:pPr>
        <w:numPr>
          <w:ilvl w:val="0"/>
          <w:numId w:val="1175"/>
        </w:numPr>
        <w:pStyle w:val="Compact"/>
      </w:pPr>
      <w:r>
        <w:rPr>
          <w:bCs/>
          <w:b/>
        </w:rPr>
        <w:t xml:space="preserve">ALS:</w:t>
      </w:r>
      <w:r>
        <w:t xml:space="preserve"> </w:t>
      </w:r>
      <w:r>
        <w:t xml:space="preserve">In a phase 3 trial with 330 people with amyotrophic lateral sclerosis, IGF-1 made no difference compared with placebo over two years – neither in muscle strength nor in survival without tracheostomy</w:t>
      </w:r>
      <w:r>
        <w:rPr>
          <w:rStyle w:val="FootnoteReference"/>
        </w:rPr>
        <w:footnoteReference w:id="1499"/>
      </w:r>
      <w:r>
        <w:t xml:space="preserve">.</w:t>
      </w:r>
    </w:p>
    <w:p>
      <w:pPr>
        <w:numPr>
          <w:ilvl w:val="0"/>
          <w:numId w:val="1175"/>
        </w:numPr>
        <w:pStyle w:val="Compact"/>
      </w:pPr>
      <w:r>
        <w:rPr>
          <w:bCs/>
          <w:b/>
        </w:rPr>
        <w:t xml:space="preserve">Duchenne muscular dystrophy:</w:t>
      </w:r>
      <w:r>
        <w:t xml:space="preserve"> </w:t>
      </w:r>
      <w:r>
        <w:t xml:space="preserve">In 17 treated boys compared with 21 controls, the boys grew faster over six months (6.5 vs. 3.3 cm per year), but walking distance in the 6-minute test did not change</w:t>
      </w:r>
      <w:r>
        <w:rPr>
          <w:rStyle w:val="FootnoteReference"/>
        </w:rPr>
        <w:footnoteReference w:id="1500"/>
      </w:r>
      <w:r>
        <w:t xml:space="preserve">.</w:t>
      </w:r>
    </w:p>
    <w:p>
      <w:pPr>
        <w:numPr>
          <w:ilvl w:val="0"/>
          <w:numId w:val="1175"/>
        </w:numPr>
        <w:pStyle w:val="Compact"/>
      </w:pPr>
      <w:r>
        <w:rPr>
          <w:bCs/>
          <w:b/>
        </w:rPr>
        <w:t xml:space="preserve">Rett syndrome:</w:t>
      </w:r>
      <w:r>
        <w:t xml:space="preserve"> </w:t>
      </w:r>
      <w:r>
        <w:t xml:space="preserve">A systematic review describes indications of preserved social and cognitive abilities, but inconsistent results, and calls for larger studies</w:t>
      </w:r>
      <w:r>
        <w:rPr>
          <w:rStyle w:val="FootnoteReference"/>
        </w:rPr>
        <w:footnoteReference w:id="1501"/>
      </w:r>
      <w:r>
        <w:t xml:space="preserve">.</w:t>
      </w:r>
    </w:p>
    <w:p>
      <w:pPr>
        <w:numPr>
          <w:ilvl w:val="0"/>
          <w:numId w:val="1175"/>
        </w:numPr>
        <w:pStyle w:val="Compact"/>
      </w:pPr>
      <w:r>
        <w:rPr>
          <w:bCs/>
          <w:b/>
        </w:rPr>
        <w:t xml:space="preserve">Preterm infants:</w:t>
      </w:r>
      <w:r>
        <w:t xml:space="preserve"> </w:t>
      </w:r>
      <w:r>
        <w:t xml:space="preserve">IGF-1 together with its binding protein IGFBP-3 did not prevent retinopathy of prematurity in 121 extremely preterm infants, but reduced severe bronchopulmonary dysplasia (21.3% vs. 44.9%). Fatal serious events occurred in 19.7% of treated and 11.7% of control infants</w:t>
      </w:r>
      <w:r>
        <w:rPr>
          <w:rStyle w:val="FootnoteReference"/>
        </w:rPr>
        <w:footnoteReference w:id="1502"/>
      </w:r>
      <w:r>
        <w:t xml:space="preserve">. A follow-up trial on lung development is ongoing</w:t>
      </w:r>
      <w:r>
        <w:rPr>
          <w:rStyle w:val="FootnoteReference"/>
        </w:rPr>
        <w:footnoteReference w:id="1503"/>
      </w:r>
      <w:r>
        <w:t xml:space="preserve">.</w:t>
      </w:r>
    </w:p>
    <w:p>
      <w:pPr>
        <w:numPr>
          <w:ilvl w:val="0"/>
          <w:numId w:val="1175"/>
        </w:numPr>
        <w:pStyle w:val="Compact"/>
      </w:pPr>
      <w:r>
        <w:rPr>
          <w:bCs/>
          <w:b/>
        </w:rPr>
        <w:t xml:space="preserve">Anorexia:</w:t>
      </w:r>
      <w:r>
        <w:t xml:space="preserve"> </w:t>
      </w:r>
      <w:r>
        <w:t xml:space="preserve">In 90 women with anorexia nervosa, six months of IGF-1 treatment followed by a bone medication increased spinal bone density more than placebo</w:t>
      </w:r>
      <w:r>
        <w:rPr>
          <w:rStyle w:val="FootnoteReference"/>
        </w:rPr>
        <w:footnoteReference w:id="1504"/>
      </w:r>
      <w:r>
        <w:t xml:space="preserve">.</w:t>
      </w:r>
    </w:p>
    <w:p>
      <w:pPr>
        <w:numPr>
          <w:ilvl w:val="0"/>
          <w:numId w:val="1175"/>
        </w:numPr>
        <w:pStyle w:val="Compact"/>
      </w:pPr>
      <w:r>
        <w:rPr>
          <w:bCs/>
          <w:b/>
        </w:rPr>
        <w:t xml:space="preserve">Adults with Laron syndrome:</w:t>
      </w:r>
      <w:r>
        <w:t xml:space="preserve"> </w:t>
      </w:r>
      <w:r>
        <w:t xml:space="preserve">In ten adults, eight weeks of IGF-1 reduced the fat fraction and increased lean mass</w:t>
      </w:r>
      <w:r>
        <w:rPr>
          <w:rStyle w:val="FootnoteReference"/>
        </w:rPr>
        <w:footnoteReference w:id="1505"/>
      </w:r>
      <w:r>
        <w:t xml:space="preserve">.</w:t>
      </w:r>
    </w:p>
    <w:p>
      <w:pPr>
        <w:numPr>
          <w:ilvl w:val="0"/>
          <w:numId w:val="1175"/>
        </w:numPr>
        <w:pStyle w:val="Compact"/>
      </w:pPr>
      <w:r>
        <w:rPr>
          <w:bCs/>
          <w:b/>
        </w:rPr>
        <w:t xml:space="preserve">Athletes:</w:t>
      </w:r>
      <w:r>
        <w:t xml:space="preserve"> </w:t>
      </w:r>
      <w:r>
        <w:t xml:space="preserve">In a randomized, double-blind study with 56 recreational athletes over 28 days, blood lipids and insulin levels changed on IGF-1/IGFBP-3</w:t>
      </w:r>
      <w:r>
        <w:rPr>
          <w:rStyle w:val="FootnoteReference"/>
        </w:rPr>
        <w:footnoteReference w:id="1506"/>
      </w:r>
      <w:r>
        <w:t xml:space="preserve">. This study provides no performance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Long-term study (Chernausek 2007), PMID 17192294</w:t>
            </w:r>
          </w:p>
        </w:tc>
        <w:tc>
          <w:tcPr/>
          <w:p>
            <w:pPr>
              <w:pStyle w:val="Compact"/>
              <w:jc w:val="left"/>
            </w:pPr>
            <w:r>
              <w:t xml:space="preserve">76 children with GH resistance, mostly open-label</w:t>
            </w:r>
          </w:p>
        </w:tc>
        <w:tc>
          <w:tcPr/>
          <w:p>
            <w:pPr>
              <w:pStyle w:val="Compact"/>
              <w:jc w:val="left"/>
            </w:pPr>
            <w:r>
              <w:t xml:space="preserve">up to 12 years</w:t>
            </w:r>
          </w:p>
        </w:tc>
        <w:tc>
          <w:tcPr/>
          <w:p>
            <w:pPr>
              <w:pStyle w:val="Compact"/>
              <w:jc w:val="left"/>
            </w:pPr>
            <w:r>
              <w:t xml:space="preserve">growth 2.8 → 8.0 cm/year in year 1; hypoglycemia in 49%</w:t>
            </w:r>
          </w:p>
        </w:tc>
      </w:tr>
      <w:tr>
        <w:tc>
          <w:tcPr/>
          <w:p>
            <w:pPr>
              <w:pStyle w:val="Compact"/>
              <w:jc w:val="left"/>
            </w:pPr>
            <w:r>
              <w:t xml:space="preserve">Registry (Bang 2021), PMID 33434161</w:t>
            </w:r>
          </w:p>
        </w:tc>
        <w:tc>
          <w:tcPr/>
          <w:p>
            <w:pPr>
              <w:pStyle w:val="Compact"/>
              <w:jc w:val="left"/>
            </w:pPr>
            <w:r>
              <w:t xml:space="preserve">242 children, 138 of them untreated and prepubertal; observational</w:t>
            </w:r>
          </w:p>
        </w:tc>
        <w:tc>
          <w:tcPr/>
          <w:p>
            <w:pPr>
              <w:pStyle w:val="Compact"/>
              <w:jc w:val="left"/>
            </w:pPr>
            <w:r>
              <w:t xml:space="preserve">up to 5 years</w:t>
            </w:r>
          </w:p>
        </w:tc>
        <w:tc>
          <w:tcPr/>
          <w:p>
            <w:pPr>
              <w:pStyle w:val="Compact"/>
              <w:jc w:val="left"/>
            </w:pPr>
            <w:r>
              <w:t xml:space="preserve">height gain; 65.3% with side effects</w:t>
            </w:r>
          </w:p>
        </w:tc>
      </w:tr>
      <w:tr>
        <w:tc>
          <w:tcPr/>
          <w:p>
            <w:pPr>
              <w:pStyle w:val="Compact"/>
              <w:jc w:val="left"/>
            </w:pPr>
            <w:r>
              <w:t xml:space="preserve">Registry final height (Ramon-Krauel 2026), PMID 40626687</w:t>
            </w:r>
          </w:p>
        </w:tc>
        <w:tc>
          <w:tcPr/>
          <w:p>
            <w:pPr>
              <w:pStyle w:val="Compact"/>
              <w:jc w:val="left"/>
            </w:pPr>
            <w:r>
              <w:t xml:space="preserve">102 adolescents with near-final height</w:t>
            </w:r>
          </w:p>
        </w:tc>
        <w:tc>
          <w:tcPr/>
          <w:p>
            <w:pPr>
              <w:pStyle w:val="Compact"/>
              <w:jc w:val="left"/>
            </w:pPr>
            <w:r>
              <w:t xml:space="preserve">median 3.9 years</w:t>
            </w:r>
          </w:p>
        </w:tc>
        <w:tc>
          <w:tcPr/>
          <w:p>
            <w:pPr>
              <w:pStyle w:val="Compact"/>
              <w:jc w:val="left"/>
            </w:pPr>
            <w:r>
              <w:t xml:space="preserve">+0.9 SD (early-treated +1.4 SD)</w:t>
            </w:r>
          </w:p>
        </w:tc>
      </w:tr>
      <w:tr>
        <w:tc>
          <w:tcPr/>
          <w:p>
            <w:pPr>
              <w:pStyle w:val="Compact"/>
              <w:jc w:val="left"/>
            </w:pPr>
            <w:r>
              <w:t xml:space="preserve">ALS (Sorenson 2008), PMID 19029516</w:t>
            </w:r>
          </w:p>
        </w:tc>
        <w:tc>
          <w:tcPr/>
          <w:p>
            <w:pPr>
              <w:pStyle w:val="Compact"/>
              <w:jc w:val="left"/>
            </w:pPr>
            <w:r>
              <w:t xml:space="preserve">330 people with ALS, RCT vs. placebo</w:t>
            </w:r>
          </w:p>
        </w:tc>
        <w:tc>
          <w:tcPr/>
          <w:p>
            <w:pPr>
              <w:pStyle w:val="Compact"/>
              <w:jc w:val="left"/>
            </w:pPr>
            <w:r>
              <w:t xml:space="preserve">2 years</w:t>
            </w:r>
          </w:p>
        </w:tc>
        <w:tc>
          <w:tcPr/>
          <w:p>
            <w:pPr>
              <w:pStyle w:val="Compact"/>
              <w:jc w:val="left"/>
            </w:pPr>
            <w:r>
              <w:t xml:space="preserve">no benefit</w:t>
            </w:r>
          </w:p>
        </w:tc>
      </w:tr>
      <w:tr>
        <w:tc>
          <w:tcPr/>
          <w:p>
            <w:pPr>
              <w:pStyle w:val="Compact"/>
              <w:jc w:val="left"/>
            </w:pPr>
            <w:r>
              <w:t xml:space="preserve">Preterm infants (Ley 2019), PMID 30471715</w:t>
            </w:r>
          </w:p>
        </w:tc>
        <w:tc>
          <w:tcPr/>
          <w:p>
            <w:pPr>
              <w:pStyle w:val="Compact"/>
              <w:jc w:val="left"/>
            </w:pPr>
            <w:r>
              <w:t xml:space="preserve">121 extremely preterm infants, RCT vs. standard care</w:t>
            </w:r>
          </w:p>
        </w:tc>
        <w:tc>
          <w:tcPr/>
          <w:p>
            <w:pPr>
              <w:pStyle w:val="Compact"/>
              <w:jc w:val="left"/>
            </w:pPr>
            <w:r>
              <w:t xml:space="preserve">up to week 40</w:t>
            </w:r>
          </w:p>
        </w:tc>
        <w:tc>
          <w:tcPr/>
          <w:p>
            <w:pPr>
              <w:pStyle w:val="Compact"/>
              <w:jc w:val="left"/>
            </w:pPr>
            <w:r>
              <w:t xml:space="preserve">no effect on retina; less severe BPD</w:t>
            </w:r>
          </w:p>
        </w:tc>
      </w:tr>
    </w:tbl>
    <w:bookmarkEnd w:id="1507"/>
    <w:bookmarkEnd w:id="1508"/>
    <w:bookmarkStart w:id="1511" w:name="animal-and-laboratory-studies-31"/>
    <w:p>
      <w:pPr>
        <w:pStyle w:val="Heading3"/>
      </w:pPr>
      <w:r>
        <w:t xml:space="preserve">Animal and laboratory studies</w:t>
      </w:r>
    </w:p>
    <w:p>
      <w:pPr>
        <w:pStyle w:val="FirstParagraph"/>
      </w:pPr>
      <w:r>
        <w:t xml:space="preserve">The effects of IGF-1 on growth, muscle and metabolism have been studied very extensively in animal and cell studies and form the basis of the therapy. Important for the safety question are cell experiments with blood serum from people with Laron syndrome: cells treated with this IGF-1-poor serum and then exposed to oxidative stress had fewer DNA breaks, and damaged cells died more often</w:t>
      </w:r>
      <w:r>
        <w:rPr>
          <w:rStyle w:val="FootnoteReference"/>
        </w:rPr>
        <w:footnoteReference w:id="1509"/>
      </w:r>
      <w:r>
        <w:t xml:space="preserve">. When IGF-1 was added to the serum, these differences disappeared</w:t>
      </w:r>
      <w:r>
        <w:rPr>
          <w:rStyle w:val="FootnoteReference"/>
        </w:rPr>
        <w:footnoteReference w:id="1510"/>
      </w:r>
      <w:r>
        <w:t xml:space="preserve">. IGF-1 thus tends to keep even damaged cells alive – a possible mechanism for a cancer risk.</w:t>
      </w:r>
    </w:p>
    <w:bookmarkEnd w:id="1511"/>
    <w:bookmarkStart w:id="1522" w:name="risks-and-side-effects-31"/>
    <w:p>
      <w:pPr>
        <w:pStyle w:val="Heading3"/>
      </w:pPr>
      <w:r>
        <w:t xml:space="preserve">Risks and side effects</w:t>
      </w:r>
    </w:p>
    <w:p>
      <w:pPr>
        <w:pStyle w:val="FirstParagraph"/>
      </w:pPr>
      <w:r>
        <w:rPr>
          <w:bCs/>
          <w:b/>
        </w:rPr>
        <w:t xml:space="preserve">Established:</w:t>
      </w:r>
    </w:p>
    <w:p>
      <w:pPr>
        <w:numPr>
          <w:ilvl w:val="0"/>
          <w:numId w:val="1176"/>
        </w:numPr>
        <w:pStyle w:val="Compact"/>
      </w:pPr>
      <w:r>
        <w:rPr>
          <w:bCs/>
          <w:b/>
        </w:rPr>
        <w:t xml:space="preserve">Hypoglycemia (low blood sugar)</w:t>
      </w:r>
      <w:r>
        <w:t xml:space="preserve"> </w:t>
      </w:r>
      <w:r>
        <w:t xml:space="preserve">– the most common and most important side effect, especially in young children, in Laron syndrome and after previous hypoglycemia</w:t>
      </w:r>
      <w:r>
        <w:rPr>
          <w:rStyle w:val="FootnoteReference"/>
        </w:rPr>
        <w:footnoteReference w:id="1512"/>
      </w:r>
      <w:r>
        <w:t xml:space="preserve">. The prescribing information therefore requires a close temporal link with meals; it governs the details itself.</w:t>
      </w:r>
    </w:p>
    <w:p>
      <w:pPr>
        <w:numPr>
          <w:ilvl w:val="0"/>
          <w:numId w:val="1176"/>
        </w:numPr>
        <w:pStyle w:val="Compact"/>
      </w:pPr>
      <w:r>
        <w:rPr>
          <w:bCs/>
          <w:b/>
        </w:rPr>
        <w:t xml:space="preserve">Enlargement of the tonsils and adenoids</w:t>
      </w:r>
      <w:r>
        <w:t xml:space="preserve"> </w:t>
      </w:r>
      <w:r>
        <w:t xml:space="preserve">(22%) and changes in fatty tissue at the injection site (32%)</w:t>
      </w:r>
      <w:r>
        <w:rPr>
          <w:rStyle w:val="FootnoteReference"/>
        </w:rPr>
        <w:footnoteReference w:id="1513"/>
      </w:r>
      <w:r>
        <w:t xml:space="preserve">.</w:t>
      </w:r>
    </w:p>
    <w:p>
      <w:pPr>
        <w:numPr>
          <w:ilvl w:val="0"/>
          <w:numId w:val="1176"/>
        </w:numPr>
        <w:pStyle w:val="Compact"/>
      </w:pPr>
      <w:r>
        <w:t xml:space="preserve">In the preterm infant trial, numerically more fatal serious events occurred on IGF-1/IGFBP-3 than on standard care</w:t>
      </w:r>
      <w:r>
        <w:rPr>
          <w:rStyle w:val="FootnoteReference"/>
        </w:rPr>
        <w:footnoteReference w:id="1514"/>
      </w:r>
      <w:r>
        <w:t xml:space="preserve">; the trial was not designed to evaluate this difference.</w:t>
      </w:r>
    </w:p>
    <w:p>
      <w:pPr>
        <w:pStyle w:val="FirstParagraph"/>
      </w:pPr>
      <w:r>
        <w:rPr>
          <w:bCs/>
          <w:b/>
        </w:rPr>
        <w:t xml:space="preserve">Cancer risk – what is established and what is not:</w:t>
      </w:r>
    </w:p>
    <w:p>
      <w:pPr>
        <w:pStyle w:val="BodyText"/>
      </w:pPr>
      <w:r>
        <w:t xml:space="preserve">IGF-1 is a growth and survival signal for cells. The concern that more IGF-1 increases cancer risk is therefore biologically plausible and is supported by several types of findings:</w:t>
      </w:r>
    </w:p>
    <w:p>
      <w:pPr>
        <w:numPr>
          <w:ilvl w:val="0"/>
          <w:numId w:val="1177"/>
        </w:numPr>
        <w:pStyle w:val="Compact"/>
      </w:pPr>
      <w:r>
        <w:rPr>
          <w:iCs/>
          <w:i/>
        </w:rPr>
        <w:t xml:space="preserve">Observational studies:</w:t>
      </w:r>
      <w:r>
        <w:t xml:space="preserve"> </w:t>
      </w:r>
      <w:r>
        <w:t xml:space="preserve">People with higher IGF-1 levels in the blood are somewhat more likely to develop prostate cancer and premenopausal breast cancer</w:t>
      </w:r>
      <w:r>
        <w:rPr>
          <w:rStyle w:val="FootnoteReference"/>
        </w:rPr>
        <w:footnoteReference w:id="1515"/>
      </w:r>
      <w:r>
        <w:t xml:space="preserve">. In the UK Biobank, each increase of 5 nmol/L was associated with an 11% higher breast cancer risk</w:t>
      </w:r>
      <w:r>
        <w:rPr>
          <w:rStyle w:val="FootnoteReference"/>
        </w:rPr>
        <w:footnoteReference w:id="1516"/>
      </w:r>
      <w:r>
        <w:t xml:space="preserve">; similar associations are seen for colorectal cancer</w:t>
      </w:r>
      <w:r>
        <w:rPr>
          <w:rStyle w:val="FootnoteReference"/>
        </w:rPr>
        <w:footnoteReference w:id="1517"/>
      </w:r>
      <w:r>
        <w:t xml:space="preserve"> </w:t>
      </w:r>
      <w:r>
        <w:t xml:space="preserve">and prostate cancer</w:t>
      </w:r>
      <w:r>
        <w:rPr>
          <w:rStyle w:val="FootnoteReference"/>
        </w:rPr>
        <w:footnoteReference w:id="1518"/>
      </w:r>
      <w:r>
        <w:t xml:space="preserve">.</w:t>
      </w:r>
    </w:p>
    <w:p>
      <w:pPr>
        <w:numPr>
          <w:ilvl w:val="0"/>
          <w:numId w:val="1177"/>
        </w:numPr>
        <w:pStyle w:val="Compact"/>
      </w:pPr>
      <w:r>
        <w:rPr>
          <w:iCs/>
          <w:i/>
        </w:rPr>
        <w:t xml:space="preserve">Genetic analyses (Mendelian randomization):</w:t>
      </w:r>
      <w:r>
        <w:t xml:space="preserve"> </w:t>
      </w:r>
      <w:r>
        <w:t xml:space="preserve">People who have genetically determined higher IGF-1 levels are also somewhat more likely to develop breast and colorectal cancer – an indication that the association could be causal</w:t>
      </w:r>
      <w:r>
        <w:rPr>
          <w:rStyle w:val="FootnoteReference"/>
        </w:rPr>
        <w:footnoteReference w:id="1519"/>
      </w:r>
      <w:r>
        <w:t xml:space="preserve">.</w:t>
      </w:r>
    </w:p>
    <w:p>
      <w:pPr>
        <w:numPr>
          <w:ilvl w:val="0"/>
          <w:numId w:val="1177"/>
        </w:numPr>
        <w:pStyle w:val="Compact"/>
      </w:pPr>
      <w:r>
        <w:rPr>
          <w:iCs/>
          <w:i/>
        </w:rPr>
        <w:t xml:space="preserve">The counterpart:</w:t>
      </w:r>
      <w:r>
        <w:t xml:space="preserve"> </w:t>
      </w:r>
      <w:r>
        <w:t xml:space="preserve">In an Ecuadorian group with Laron syndrome, that is, lifelong IGF-1 deficiency, only a single, nonfatal cancer occurred over 22 years of observation, compared with 17% in unaffected relatives</w:t>
      </w:r>
      <w:r>
        <w:rPr>
          <w:rStyle w:val="FootnoteReference"/>
        </w:rPr>
        <w:footnoteReference w:id="1520"/>
      </w:r>
      <w:r>
        <w:t xml:space="preserve">.</w:t>
      </w:r>
    </w:p>
    <w:p>
      <w:pPr>
        <w:pStyle w:val="FirstParagraph"/>
      </w:pPr>
      <w:r>
        <w:t xml:space="preserve">The magnitude is important: the measured risk increases with naturally higher IGF-1 are moderate (depending on the comparison and type of cancer, mostly between about 5 and 65% in relative terms). For the children for whom mecasermin is approved, a missing hormone is being replaced, not a normal level being raised. Nevertheless, after market launch, cases of benign and malignant neoplasms were reported in treated children; the prescribing information in the EU and USA was subsequently supplemented with corresponding warnings, and mecasermin must not be used in active or suspected cancer (as of 2026, see the current prescribing information for details). Whether there is a causal relationship cannot be determined from individual reports; the long-term registry</w:t>
      </w:r>
      <w:r>
        <w:rPr>
          <w:rStyle w:val="FootnoteReference"/>
        </w:rPr>
        <w:footnoteReference w:id="1521"/>
      </w:r>
      <w:r>
        <w:t xml:space="preserve"> </w:t>
      </w:r>
      <w:r>
        <w:t xml:space="preserve">is intended to provide data on this.</w:t>
      </w:r>
    </w:p>
    <w:p>
      <w:pPr>
        <w:pStyle w:val="BodyText"/>
      </w:pPr>
      <w:r>
        <w:t xml:space="preserve">For adults who use IGF-1 without a deficiency to enhance performance or for</w:t>
      </w:r>
      <w:r>
        <w:t xml:space="preserve"> </w:t>
      </w:r>
      <w:r>
        <w:t xml:space="preserve">“</w:t>
      </w:r>
      <w:r>
        <w:t xml:space="preserve">rejuvenation,</w:t>
      </w:r>
      <w:r>
        <w:t xml:space="preserve">”</w:t>
      </w:r>
      <w:r>
        <w:t xml:space="preserve"> </w:t>
      </w:r>
      <w:r>
        <w:t xml:space="preserve">these considerations should be taken much more seriously: here a normal level would be permanently raised – exactly the situation that is associated with a higher risk in the observational studies. The topic is discussed in detail in Part IV.</w:t>
      </w:r>
    </w:p>
    <w:bookmarkEnd w:id="1522"/>
    <w:bookmarkStart w:id="1525" w:name="legal-status-31"/>
    <w:p>
      <w:pPr>
        <w:pStyle w:val="Heading3"/>
      </w:pPr>
      <w:r>
        <w:t xml:space="preserve">Legal status</w:t>
      </w:r>
    </w:p>
    <w:p>
      <w:pPr>
        <w:pStyle w:val="FirstParagraph"/>
      </w:pPr>
      <w:r>
        <w:rPr>
          <w:iCs/>
          <w:i/>
        </w:rPr>
        <w:t xml:space="preserve">As of 2026, please check for updates.</w:t>
      </w:r>
    </w:p>
    <w:p>
      <w:pPr>
        <w:numPr>
          <w:ilvl w:val="0"/>
          <w:numId w:val="1178"/>
        </w:numPr>
        <w:pStyle w:val="Compact"/>
      </w:pPr>
      <w:r>
        <w:rPr>
          <w:bCs/>
          <w:b/>
        </w:rPr>
        <w:t xml:space="preserve">EU, Germany, Austria:</w:t>
      </w:r>
      <w:r>
        <w:t xml:space="preserve"> </w:t>
      </w:r>
      <w:r>
        <w:t xml:space="preserve">approved (Increlex) exclusively for children and adolescents with severe primary IGF-1 deficiency; prescription only, treatment by physicians experienced in pediatric endocrinology according to the prescribing information. The EU approval is tied to data collection in the long-term registry</w:t>
      </w:r>
      <w:r>
        <w:rPr>
          <w:rStyle w:val="FootnoteReference"/>
        </w:rPr>
        <w:footnoteReference w:id="1523"/>
      </w:r>
      <w:r>
        <w:t xml:space="preserve">.</w:t>
      </w:r>
    </w:p>
    <w:p>
      <w:pPr>
        <w:numPr>
          <w:ilvl w:val="0"/>
          <w:numId w:val="1178"/>
        </w:numPr>
        <w:pStyle w:val="Compact"/>
      </w:pPr>
      <w:r>
        <w:rPr>
          <w:bCs/>
          <w:b/>
        </w:rPr>
        <w:t xml:space="preserve">USA:</w:t>
      </w:r>
      <w:r>
        <w:t xml:space="preserve"> </w:t>
      </w:r>
      <w:r>
        <w:t xml:space="preserve">approved (Increlex) for the same indication.</w:t>
      </w:r>
    </w:p>
    <w:p>
      <w:pPr>
        <w:numPr>
          <w:ilvl w:val="0"/>
          <w:numId w:val="1178"/>
        </w:numPr>
        <w:pStyle w:val="Compact"/>
      </w:pPr>
      <w:r>
        <w:rPr>
          <w:bCs/>
          <w:b/>
        </w:rPr>
        <w:t xml:space="preserve">Other uses</w:t>
      </w:r>
      <w:r>
        <w:t xml:space="preserve"> </w:t>
      </w:r>
      <w:r>
        <w:t xml:space="preserve">(adults, sport, anti-aging) are not approved.</w:t>
      </w:r>
    </w:p>
    <w:p>
      <w:pPr>
        <w:numPr>
          <w:ilvl w:val="0"/>
          <w:numId w:val="1178"/>
        </w:numPr>
        <w:pStyle w:val="Compact"/>
      </w:pPr>
      <w:r>
        <w:rPr>
          <w:bCs/>
          <w:b/>
        </w:rPr>
        <w:t xml:space="preserve">WADA:</w:t>
      </w:r>
      <w:r>
        <w:t xml:space="preserve"> </w:t>
      </w:r>
      <w:r>
        <w:t xml:space="preserve">prohibited (S2). For detecting IGF-1 misuse, marker methods similar to those of the growth hormone test are being developed</w:t>
      </w:r>
      <w:r>
        <w:rPr>
          <w:rStyle w:val="FootnoteReference"/>
        </w:rPr>
        <w:footnoteReference w:id="1524"/>
      </w:r>
      <w:r>
        <w:t xml:space="preserve">.</w:t>
      </w:r>
    </w:p>
    <w:bookmarkEnd w:id="1525"/>
    <w:bookmarkStart w:id="1527" w:name="ongoing-studies-and-outlook-31"/>
    <w:p>
      <w:pPr>
        <w:pStyle w:val="Heading3"/>
      </w:pPr>
      <w:r>
        <w:t xml:space="preserve">Ongoing studies and outlook</w:t>
      </w:r>
    </w:p>
    <w:p>
      <w:pPr>
        <w:pStyle w:val="FirstParagraph"/>
      </w:pPr>
      <w:r>
        <w:rPr>
          <w:iCs/>
          <w:i/>
        </w:rPr>
        <w:t xml:space="preserve">Established:</w:t>
      </w:r>
      <w:r>
        <w:t xml:space="preserve"> </w:t>
      </w:r>
      <w:r>
        <w:t xml:space="preserve">The global Increlex registry</w:t>
      </w:r>
      <w:r>
        <w:rPr>
          <w:rStyle w:val="FootnoteReference"/>
        </w:rPr>
        <w:footnoteReference w:id="1526"/>
      </w:r>
      <w:r>
        <w:t xml:space="preserve"> </w:t>
      </w:r>
      <w:r>
        <w:t xml:space="preserve">is scheduled to run until the end of 2027 according to its entry. A phase 2 trial of IGF-1/IGFBP-3 for the prevention of bronchopulmonary dysplasia in extremely preterm infants (NCT03253263, 295 infants) is active but no longer recruiting.</w:t>
      </w:r>
      <w:r>
        <w:t xml:space="preserve"> </w:t>
      </w:r>
      <w:r>
        <w:rPr>
          <w:iCs/>
          <w:i/>
        </w:rPr>
        <w:t xml:space="preserve">Author’s assessment:</w:t>
      </w:r>
      <w:r>
        <w:t xml:space="preserve"> </w:t>
      </w:r>
      <w:r>
        <w:t xml:space="preserve">New approvals for adults are not in sight; the significance of mecasermin will remain limited to rare growth disorders and possibly neonatal medicine for preterm infants.</w:t>
      </w:r>
    </w:p>
    <w:bookmarkEnd w:id="1527"/>
    <w:bookmarkStart w:id="1528" w:name="conclusion-31"/>
    <w:p>
      <w:pPr>
        <w:pStyle w:val="Heading3"/>
      </w:pPr>
      <w:r>
        <w:t xml:space="preserve">Conclusion</w:t>
      </w:r>
    </w:p>
    <w:p>
      <w:pPr>
        <w:pStyle w:val="FirstParagraph"/>
      </w:pPr>
      <w:r>
        <w:t xml:space="preserve">Mecasermin replaces the missing IGF-1 in children with severe primary IGF-1 deficiency and markedly improves their growth, especially when treatment starts early. The most common side effect is hypoglycemia; after reports of neoplasms, the warnings were strengthened. In other uses, such as ALS, IGF-1 brought no benefit. For healthy people, its use is neither supported by evidence nor justifiable, because persistently elevated IGF-1 is associated with a somewhat higher cancer risk in large observational and genetic studies.</w:t>
      </w:r>
    </w:p>
    <w:bookmarkEnd w:id="1528"/>
    <w:bookmarkEnd w:id="1529"/>
    <w:bookmarkStart w:id="1559" w:name="igf-1-lr3"/>
    <w:p>
      <w:pPr>
        <w:pStyle w:val="Heading2"/>
      </w:pPr>
      <w:r>
        <w:t xml:space="preserve">IGF-1 LR3</w:t>
      </w:r>
    </w:p>
    <w:p>
      <w:pPr>
        <w:pStyle w:val="FirstParagraph"/>
      </w:pPr>
      <w:r>
        <w:t xml:space="preserve">IGF-1 LR3 (in full,</w:t>
      </w:r>
      <w:r>
        <w:t xml:space="preserve"> </w:t>
      </w:r>
      <w:r>
        <w:t xml:space="preserve">“</w:t>
      </w:r>
      <w:r>
        <w:t xml:space="preserve">Long-R3-IGF-I</w:t>
      </w:r>
      <w:r>
        <w:t xml:space="preserve">”</w:t>
      </w:r>
      <w:r>
        <w:t xml:space="preserve">) is not a medicine but a laboratory reagent. It was developed to help cell cultures grow better in biotechnology and is used in animal experiments. The fact that it is sold on the internet in vials for injection is a prime example of the</w:t>
      </w:r>
      <w:r>
        <w:t xml:space="preserve"> </w:t>
      </w:r>
      <w:r>
        <w:t xml:space="preserve">“</w:t>
      </w:r>
      <w:r>
        <w:t xml:space="preserve">research peptide</w:t>
      </w:r>
      <w:r>
        <w:t xml:space="preserve">”</w:t>
      </w:r>
      <w:r>
        <w:t xml:space="preserve"> </w:t>
      </w:r>
      <w:r>
        <w:t xml:space="preserve">market: a substance that was never intended for humans, has never been tested in humans, and whose properties amplify precisely the risks that are a concern with natural IGF-1.</w:t>
      </w:r>
    </w:p>
    <w:bookmarkStart w:id="1531" w:name="profile-32"/>
    <w:p>
      <w:pPr>
        <w:pStyle w:val="Heading3"/>
      </w:pPr>
      <w:r>
        <w:t xml:space="preserve">Profile</w:t>
      </w:r>
    </w:p>
    <w:p>
      <w:pPr>
        <w:numPr>
          <w:ilvl w:val="0"/>
          <w:numId w:val="1179"/>
        </w:numPr>
        <w:pStyle w:val="Compact"/>
      </w:pPr>
      <w:r>
        <w:rPr>
          <w:bCs/>
          <w:b/>
        </w:rPr>
        <w:t xml:space="preserve">Type and structure:</w:t>
      </w:r>
      <w:r>
        <w:t xml:space="preserve"> </w:t>
      </w:r>
      <w:r>
        <w:t xml:space="preserve">modified human IGF-1: position 3 carries the amino acid arginine (</w:t>
      </w:r>
      <w:r>
        <w:t xml:space="preserve">“</w:t>
      </w:r>
      <w:r>
        <w:t xml:space="preserve">R3</w:t>
      </w:r>
      <w:r>
        <w:t xml:space="preserve">”</w:t>
      </w:r>
      <w:r>
        <w:t xml:space="preserve">), and an additional amino acid chain has been attached at the beginning (</w:t>
      </w:r>
      <w:r>
        <w:t xml:space="preserve">“</w:t>
      </w:r>
      <w:r>
        <w:t xml:space="preserve">Long</w:t>
      </w:r>
      <w:r>
        <w:t xml:space="preserve">”</w:t>
      </w:r>
      <w:r>
        <w:t xml:space="preserve">). Both greatly reduce binding to the IGF-binding proteins</w:t>
      </w:r>
      <w:r>
        <w:rPr>
          <w:rStyle w:val="FootnoteReference"/>
        </w:rPr>
        <w:footnoteReference w:id="1530"/>
      </w:r>
      <w:r>
        <w:t xml:space="preserve">.</w:t>
      </w:r>
    </w:p>
    <w:p>
      <w:pPr>
        <w:numPr>
          <w:ilvl w:val="0"/>
          <w:numId w:val="1179"/>
        </w:numPr>
        <w:pStyle w:val="Compact"/>
      </w:pPr>
      <w:r>
        <w:rPr>
          <w:bCs/>
          <w:b/>
        </w:rPr>
        <w:t xml:space="preserve">Origin:</w:t>
      </w:r>
      <w:r>
        <w:t xml:space="preserve"> </w:t>
      </w:r>
      <w:r>
        <w:t xml:space="preserve">described as a research tool in the early 1990s; today commercially available as an additive for cell culture media.</w:t>
      </w:r>
    </w:p>
    <w:p>
      <w:pPr>
        <w:numPr>
          <w:ilvl w:val="0"/>
          <w:numId w:val="1179"/>
        </w:numPr>
        <w:pStyle w:val="Compact"/>
      </w:pPr>
      <w:r>
        <w:rPr>
          <w:bCs/>
          <w:b/>
        </w:rPr>
        <w:t xml:space="preserve">Mechanism of action:</w:t>
      </w:r>
      <w:r>
        <w:t xml:space="preserve"> </w:t>
      </w:r>
      <w:r>
        <w:t xml:space="preserve">binds to the IGF-1 receptor like IGF-1; because it is hardly captured by binding proteins, it circulates in the blood mostly free and therefore directly active.</w:t>
      </w:r>
    </w:p>
    <w:p>
      <w:pPr>
        <w:numPr>
          <w:ilvl w:val="0"/>
          <w:numId w:val="1179"/>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 Not approved as a medicine anywhere, nor ever applied for.</w:t>
      </w:r>
    </w:p>
    <w:p>
      <w:pPr>
        <w:numPr>
          <w:ilvl w:val="0"/>
          <w:numId w:val="1179"/>
        </w:numPr>
        <w:pStyle w:val="Compact"/>
      </w:pPr>
      <w:r>
        <w:rPr>
          <w:bCs/>
          <w:b/>
        </w:rPr>
        <w:t xml:space="preserve">WADA:</w:t>
      </w:r>
      <w:r>
        <w:t xml:space="preserve"> </w:t>
      </w:r>
      <w:r>
        <w:t xml:space="preserve">prohibited, class S2 (IGF-1 analogs as growth factors).</w:t>
      </w:r>
    </w:p>
    <w:p>
      <w:pPr>
        <w:numPr>
          <w:ilvl w:val="0"/>
          <w:numId w:val="1179"/>
        </w:numPr>
        <w:pStyle w:val="Compact"/>
      </w:pPr>
      <w:r>
        <w:rPr>
          <w:bCs/>
          <w:b/>
        </w:rPr>
        <w:t xml:space="preserve">Evidence level: D</w:t>
      </w:r>
      <w:r>
        <w:t xml:space="preserve"> </w:t>
      </w:r>
      <w:r>
        <w:t xml:space="preserve">– not a single study in humans; only animal and laboratory studies.</w:t>
      </w:r>
    </w:p>
    <w:bookmarkEnd w:id="1531"/>
    <w:bookmarkStart w:id="1535" w:name="how-it-is-supposed-to-work-32"/>
    <w:p>
      <w:pPr>
        <w:pStyle w:val="Heading3"/>
      </w:pPr>
      <w:r>
        <w:t xml:space="preserve">How it is supposed to work</w:t>
      </w:r>
    </w:p>
    <w:p>
      <w:pPr>
        <w:pStyle w:val="FirstParagraph"/>
      </w:pPr>
      <w:r>
        <w:t xml:space="preserve">In the blood, almost all IGF-1 is coupled to binding proteins, mainly IGFBP-3. These proteins act like a buffer: they extend the lifespan of IGF-1 but also keep it away from cells and thus dampen its effect. In cell experiments, IGFBP-3 inhibited the activation of the IGF-1 receptor by IGF-1 and also by Long-R3-IGF-I by capturing the messengers</w:t>
      </w:r>
      <w:r>
        <w:rPr>
          <w:rStyle w:val="FootnoteReference"/>
        </w:rPr>
        <w:footnoteReference w:id="1532"/>
      </w:r>
      <w:r>
        <w:t xml:space="preserve">.</w:t>
      </w:r>
    </w:p>
    <w:p>
      <w:pPr>
        <w:pStyle w:val="BodyText"/>
      </w:pPr>
      <w:r>
        <w:t xml:space="preserve">LR3 was modified so that it largely escapes this buffer. In rats, it was present in the blood mostly as free peptide and – in nonpregnant animals – was removed from the blood about ten times faster than IGF-1, meaning it disappears rapidly into the tissues</w:t>
      </w:r>
      <w:r>
        <w:rPr>
          <w:rStyle w:val="FootnoteReference"/>
        </w:rPr>
        <w:footnoteReference w:id="1533"/>
      </w:r>
      <w:r>
        <w:t xml:space="preserve">. In diabetic rats, it was 2.5 to 3 times as effective as IGF-1 in restoring growth</w:t>
      </w:r>
      <w:r>
        <w:rPr>
          <w:rStyle w:val="FootnoteReference"/>
        </w:rPr>
        <w:footnoteReference w:id="1534"/>
      </w:r>
      <w:r>
        <w:t xml:space="preserve">. On the gray market, this gives rise to the expectation that LR3 builds more muscle in humans than natural IGF-1. There is no evidence for this.</w:t>
      </w:r>
    </w:p>
    <w:bookmarkEnd w:id="1535"/>
    <w:bookmarkStart w:id="1539" w:name="human-studies-32"/>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no</w:t>
      </w:r>
      <w:r>
        <w:t xml:space="preserve"> </w:t>
      </w:r>
      <w:r>
        <w:t xml:space="preserve">human study in PubMed (</w:t>
      </w:r>
      <w:r>
        <w:rPr>
          <w:rStyle w:val="VerbatimChar"/>
        </w:rPr>
        <w:t xml:space="preserve">humanstudien_alle</w:t>
      </w:r>
      <w:r>
        <w:t xml:space="preserve">: 0) and</w:t>
      </w:r>
      <w:r>
        <w:t xml:space="preserve"> </w:t>
      </w:r>
      <w:r>
        <w:rPr>
          <w:bCs/>
          <w:b/>
        </w:rPr>
        <w:t xml:space="preserve">no</w:t>
      </w:r>
      <w:r>
        <w:t xml:space="preserve"> </w:t>
      </w:r>
      <w:r>
        <w:t xml:space="preserve">entry on ClinicalTrials.gov. A targeted follow-up search for pilot studies or case reports of poisoning or side effects also found no publication in which humans received IGF-1 LR3.</w:t>
      </w:r>
    </w:p>
    <w:p>
      <w:pPr>
        <w:pStyle w:val="BodyText"/>
      </w:pPr>
      <w:r>
        <w:t xml:space="preserve">All that was found were:</w:t>
      </w:r>
    </w:p>
    <w:p>
      <w:pPr>
        <w:numPr>
          <w:ilvl w:val="0"/>
          <w:numId w:val="1180"/>
        </w:numPr>
        <w:pStyle w:val="Compact"/>
      </w:pPr>
      <w:r>
        <w:rPr>
          <w:bCs/>
          <w:b/>
        </w:rPr>
        <w:t xml:space="preserve">Gray-market analyses:</w:t>
      </w:r>
      <w:r>
        <w:t xml:space="preserve"> </w:t>
      </w:r>
      <w:r>
        <w:t xml:space="preserve">A doping laboratory found Long-R3-IGF-I with a so-called His-tag in an injection vial from the black market – an appendage of six histidine building blocks used for purification in the production of laboratory proteins. The authors suspect that it was a by-product from biochemical research, not a preparation made for injection; the effect of this variant in humans is completely unknown</w:t>
      </w:r>
      <w:r>
        <w:rPr>
          <w:rStyle w:val="FootnoteReference"/>
        </w:rPr>
        <w:footnoteReference w:id="1536"/>
      </w:r>
      <w:r>
        <w:t xml:space="preserve">. Another research group found numerous signs of low-quality, oxidized peptide forms in black-market products</w:t>
      </w:r>
      <w:r>
        <w:rPr>
          <w:rStyle w:val="FootnoteReference"/>
        </w:rPr>
        <w:footnoteReference w:id="1537"/>
      </w:r>
      <w:r>
        <w:t xml:space="preserve">.</w:t>
      </w:r>
    </w:p>
    <w:p>
      <w:pPr>
        <w:numPr>
          <w:ilvl w:val="0"/>
          <w:numId w:val="1180"/>
        </w:numPr>
        <w:pStyle w:val="Compact"/>
      </w:pPr>
      <w:r>
        <w:rPr>
          <w:bCs/>
          <w:b/>
        </w:rPr>
        <w:t xml:space="preserve">Doping reviews:</w:t>
      </w:r>
      <w:r>
        <w:t xml:space="preserve"> </w:t>
      </w:r>
      <w:r>
        <w:t xml:space="preserve">IGF-1 and its analogs are advertised on the internet and have been available on the black market for years</w:t>
      </w:r>
      <w:r>
        <w:rPr>
          <w:rStyle w:val="FootnoteReference"/>
        </w:rPr>
        <w:footnoteReference w:id="1538"/>
      </w:r>
      <w:r>
        <w:t xml:space="preserve">.</w:t>
      </w:r>
    </w:p>
    <w:bookmarkEnd w:id="1539"/>
    <w:bookmarkStart w:id="1547" w:name="animal-and-laboratory-studies-32"/>
    <w:p>
      <w:pPr>
        <w:pStyle w:val="Heading3"/>
      </w:pPr>
      <w:r>
        <w:t xml:space="preserve">Animal and laboratory studies</w:t>
      </w:r>
    </w:p>
    <w:p>
      <w:pPr>
        <w:pStyle w:val="FirstParagraph"/>
      </w:pPr>
      <w:r>
        <w:t xml:space="preserve">Almost all research on LR3 comes from livestock and developmental biology:</w:t>
      </w:r>
    </w:p>
    <w:p>
      <w:pPr>
        <w:numPr>
          <w:ilvl w:val="0"/>
          <w:numId w:val="1181"/>
        </w:numPr>
        <w:pStyle w:val="Compact"/>
      </w:pPr>
      <w:r>
        <w:rPr>
          <w:bCs/>
          <w:b/>
        </w:rPr>
        <w:t xml:space="preserve">Rats:</w:t>
      </w:r>
      <w:r>
        <w:t xml:space="preserve"> </w:t>
      </w:r>
      <w:r>
        <w:t xml:space="preserve">rapid distribution into tissue, mostly as free peptide</w:t>
      </w:r>
      <w:r>
        <w:rPr>
          <w:rStyle w:val="FootnoteReference"/>
        </w:rPr>
        <w:footnoteReference w:id="1540"/>
      </w:r>
      <w:r>
        <w:t xml:space="preserve">; stronger growth effect than IGF-1 in diabetic rats, without reducing glucose excretion in urine</w:t>
      </w:r>
      <w:r>
        <w:rPr>
          <w:rStyle w:val="FootnoteReference"/>
        </w:rPr>
        <w:footnoteReference w:id="1541"/>
      </w:r>
      <w:r>
        <w:t xml:space="preserve">.</w:t>
      </w:r>
    </w:p>
    <w:p>
      <w:pPr>
        <w:numPr>
          <w:ilvl w:val="0"/>
          <w:numId w:val="1181"/>
        </w:numPr>
        <w:pStyle w:val="Compact"/>
      </w:pPr>
      <w:r>
        <w:rPr>
          <w:bCs/>
          <w:b/>
        </w:rPr>
        <w:t xml:space="preserve">Pigs:</w:t>
      </w:r>
      <w:r>
        <w:t xml:space="preserve"> </w:t>
      </w:r>
      <w:r>
        <w:t xml:space="preserve">A four-day infusion</w:t>
      </w:r>
      <w:r>
        <w:t xml:space="preserve"> </w:t>
      </w:r>
      <w:r>
        <w:rPr>
          <w:bCs/>
          <w:b/>
        </w:rPr>
        <w:t xml:space="preserve">reduced</w:t>
      </w:r>
      <w:r>
        <w:t xml:space="preserve"> </w:t>
      </w:r>
      <w:r>
        <w:t xml:space="preserve">weight gain and feed intake in fattening pigs and suppressed the endogenous levels of growth hormone, IGF-1, IGFBP-3 and insulin</w:t>
      </w:r>
      <w:r>
        <w:rPr>
          <w:rStyle w:val="FootnoteReference"/>
        </w:rPr>
        <w:footnoteReference w:id="1542"/>
      </w:r>
      <w:r>
        <w:t xml:space="preserve">.</w:t>
      </w:r>
    </w:p>
    <w:p>
      <w:pPr>
        <w:numPr>
          <w:ilvl w:val="0"/>
          <w:numId w:val="1181"/>
        </w:numPr>
        <w:pStyle w:val="Compact"/>
      </w:pPr>
      <w:r>
        <w:rPr>
          <w:bCs/>
          <w:b/>
        </w:rPr>
        <w:t xml:space="preserve">Guinea pigs:</w:t>
      </w:r>
      <w:r>
        <w:t xml:space="preserve"> </w:t>
      </w:r>
      <w:r>
        <w:t xml:space="preserve">Organs such as the intestine, kidneys, spleen and adrenal glands became heavier, but overall body growth did not increase</w:t>
      </w:r>
      <w:r>
        <w:rPr>
          <w:rStyle w:val="FootnoteReference"/>
        </w:rPr>
        <w:footnoteReference w:id="1543"/>
      </w:r>
      <w:r>
        <w:t xml:space="preserve">.</w:t>
      </w:r>
    </w:p>
    <w:p>
      <w:pPr>
        <w:numPr>
          <w:ilvl w:val="0"/>
          <w:numId w:val="1181"/>
        </w:numPr>
        <w:pStyle w:val="Compact"/>
      </w:pPr>
      <w:r>
        <w:rPr>
          <w:bCs/>
          <w:b/>
        </w:rPr>
        <w:t xml:space="preserve">Sheep fetuses:</w:t>
      </w:r>
      <w:r>
        <w:t xml:space="preserve"> </w:t>
      </w:r>
      <w:r>
        <w:t xml:space="preserve">In normally growing fetuses, LR3 lowered insulin secretion; a short infusion reduced insulin levels during a glucose challenge by 66%</w:t>
      </w:r>
      <w:r>
        <w:rPr>
          <w:rStyle w:val="FootnoteReference"/>
        </w:rPr>
        <w:footnoteReference w:id="1544"/>
      </w:r>
      <w:r>
        <w:t xml:space="preserve">. In growth-restricted fetuses, a one-week treatment did not improve growth</w:t>
      </w:r>
      <w:r>
        <w:rPr>
          <w:rStyle w:val="FootnoteReference"/>
        </w:rPr>
        <w:footnoteReference w:id="1545"/>
      </w:r>
      <w:r>
        <w:t xml:space="preserve">.</w:t>
      </w:r>
    </w:p>
    <w:p>
      <w:pPr>
        <w:numPr>
          <w:ilvl w:val="0"/>
          <w:numId w:val="1181"/>
        </w:numPr>
        <w:pStyle w:val="Compact"/>
      </w:pPr>
      <w:r>
        <w:rPr>
          <w:bCs/>
          <w:b/>
        </w:rPr>
        <w:t xml:space="preserve">Mice:</w:t>
      </w:r>
      <w:r>
        <w:t xml:space="preserve"> </w:t>
      </w:r>
      <w:r>
        <w:t xml:space="preserve">In an Alzheimer’s model, LR3 given as a nasal spray altered amyloid deposits but did not prevent memory loss</w:t>
      </w:r>
      <w:r>
        <w:rPr>
          <w:rStyle w:val="FootnoteReference"/>
        </w:rPr>
        <w:footnoteReference w:id="1546"/>
      </w:r>
      <w:r>
        <w:t xml:space="preserve">.</w:t>
      </w:r>
    </w:p>
    <w:p>
      <w:pPr>
        <w:pStyle w:val="FirstParagraph"/>
      </w:pPr>
      <w:r>
        <w:t xml:space="preserve">The animal data are contradictory: depending on the species, LR3 promoted growth, had no effect, or even inhibited growth. Extrapolation to humans is not possible.</w:t>
      </w:r>
    </w:p>
    <w:bookmarkEnd w:id="1547"/>
    <w:bookmarkStart w:id="1554" w:name="risks-and-side-effects-32"/>
    <w:p>
      <w:pPr>
        <w:pStyle w:val="Heading3"/>
      </w:pPr>
      <w:r>
        <w:t xml:space="preserve">Risks and side effects</w:t>
      </w:r>
    </w:p>
    <w:p>
      <w:pPr>
        <w:pStyle w:val="FirstParagraph"/>
      </w:pPr>
      <w:r>
        <w:t xml:space="preserve">Because there are no human studies, the risks can only be inferred from biology and from experience with natural IGF-1 (mecasermin). These inferences are</w:t>
      </w:r>
      <w:r>
        <w:t xml:space="preserve"> </w:t>
      </w:r>
      <w:r>
        <w:rPr>
          <w:bCs/>
          <w:b/>
        </w:rPr>
        <w:t xml:space="preserve">theoretical</w:t>
      </w:r>
      <w:r>
        <w:t xml:space="preserve"> </w:t>
      </w:r>
      <w:r>
        <w:t xml:space="preserve">but well founded:</w:t>
      </w:r>
    </w:p>
    <w:p>
      <w:pPr>
        <w:numPr>
          <w:ilvl w:val="0"/>
          <w:numId w:val="1182"/>
        </w:numPr>
        <w:pStyle w:val="Compact"/>
      </w:pPr>
      <w:r>
        <w:rPr>
          <w:bCs/>
          <w:b/>
        </w:rPr>
        <w:t xml:space="preserve">Hypoglycemia (low blood sugar):</w:t>
      </w:r>
      <w:r>
        <w:t xml:space="preserve"> </w:t>
      </w:r>
      <w:r>
        <w:t xml:space="preserve">At higher doses, IGF-1 acts similarly to insulin. With the approved mecasermin, hypoglycemia is the most common side effect, even though the buffer of the binding proteins is largely preserved there</w:t>
      </w:r>
      <w:r>
        <w:rPr>
          <w:rStyle w:val="FootnoteReference"/>
        </w:rPr>
        <w:footnoteReference w:id="1548"/>
      </w:r>
      <w:r>
        <w:t xml:space="preserve">. An analog that specifically escapes this buffer could act more strongly and less predictably. This has not been measured in humans. In the animal experiments, insulin levels sometimes fell</w:t>
      </w:r>
      <w:r>
        <w:rPr>
          <w:rStyle w:val="FootnoteReference"/>
        </w:rPr>
        <w:footnoteReference w:id="1549"/>
      </w:r>
      <w:r>
        <w:t xml:space="preserve">, which could further alter blood glucose regulation.</w:t>
      </w:r>
    </w:p>
    <w:p>
      <w:pPr>
        <w:numPr>
          <w:ilvl w:val="0"/>
          <w:numId w:val="1182"/>
        </w:numPr>
        <w:pStyle w:val="Compact"/>
      </w:pPr>
      <w:r>
        <w:rPr>
          <w:bCs/>
          <w:b/>
        </w:rPr>
        <w:t xml:space="preserve">Growth of organs and tissue:</w:t>
      </w:r>
      <w:r>
        <w:t xml:space="preserve"> </w:t>
      </w:r>
      <w:r>
        <w:t xml:space="preserve">In guinea pigs, internal organs enlarged</w:t>
      </w:r>
      <w:r>
        <w:rPr>
          <w:rStyle w:val="FootnoteReference"/>
        </w:rPr>
        <w:footnoteReference w:id="1550"/>
      </w:r>
      <w:r>
        <w:t xml:space="preserve">. In humans it is unclear whether something similar happens.</w:t>
      </w:r>
    </w:p>
    <w:p>
      <w:pPr>
        <w:numPr>
          <w:ilvl w:val="0"/>
          <w:numId w:val="1182"/>
        </w:numPr>
        <w:pStyle w:val="Compact"/>
      </w:pPr>
      <w:r>
        <w:rPr>
          <w:bCs/>
          <w:b/>
        </w:rPr>
        <w:t xml:space="preserve">Cancer theory:</w:t>
      </w:r>
      <w:r>
        <w:t xml:space="preserve"> </w:t>
      </w:r>
      <w:r>
        <w:t xml:space="preserve">IGF-1 promotes cell division and cell survival. Higher IGF-1 levels are associated in large observational and genetic studies with a somewhat higher risk of breast and prostate cancer</w:t>
      </w:r>
      <w:r>
        <w:rPr>
          <w:rStyle w:val="FootnoteReference"/>
        </w:rPr>
        <w:footnoteReference w:id="1551"/>
      </w:r>
      <w:r>
        <w:t xml:space="preserve">, and people with congenital IGF-1 deficiency develop cancer strikingly rarely</w:t>
      </w:r>
      <w:r>
        <w:rPr>
          <w:rStyle w:val="FootnoteReference"/>
        </w:rPr>
        <w:footnoteReference w:id="1552"/>
      </w:r>
      <w:r>
        <w:t xml:space="preserve">. An analog that acts more strongly and without buffering at the IGF-1 receptor amplifies precisely this signaling pathway. Whether this measurably increases cancer risk in humans has not been studied – and, given the lack of studies, will not be. The concern is based on plausibility, not on case reports.</w:t>
      </w:r>
    </w:p>
    <w:p>
      <w:pPr>
        <w:numPr>
          <w:ilvl w:val="0"/>
          <w:numId w:val="1182"/>
        </w:numPr>
        <w:pStyle w:val="Compact"/>
      </w:pPr>
      <w:r>
        <w:rPr>
          <w:bCs/>
          <w:b/>
        </w:rPr>
        <w:t xml:space="preserve">Product quality:</w:t>
      </w:r>
      <w:r>
        <w:t xml:space="preserve"> </w:t>
      </w:r>
      <w:r>
        <w:t xml:space="preserve">The black-market preparations found contained laboratory variants with a purification tag and oxidized peptides</w:t>
      </w:r>
      <w:r>
        <w:rPr>
          <w:rStyle w:val="FootnoteReference"/>
        </w:rPr>
        <w:footnoteReference w:id="1553"/>
      </w:r>
      <w:r>
        <w:t xml:space="preserve">. Added to this are the general risks of nonsterile injections. Cell culture reagents are not subject to drug quality control.</w:t>
      </w:r>
    </w:p>
    <w:bookmarkEnd w:id="1554"/>
    <w:bookmarkStart w:id="1556" w:name="legal-status-32"/>
    <w:p>
      <w:pPr>
        <w:pStyle w:val="Heading3"/>
      </w:pPr>
      <w:r>
        <w:t xml:space="preserve">Legal status</w:t>
      </w:r>
    </w:p>
    <w:p>
      <w:pPr>
        <w:pStyle w:val="FirstParagraph"/>
      </w:pPr>
      <w:r>
        <w:rPr>
          <w:iCs/>
          <w:i/>
        </w:rPr>
        <w:t xml:space="preserve">As of 2026, please check for updates.</w:t>
      </w:r>
    </w:p>
    <w:p>
      <w:pPr>
        <w:numPr>
          <w:ilvl w:val="0"/>
          <w:numId w:val="1183"/>
        </w:numPr>
        <w:pStyle w:val="Compact"/>
      </w:pPr>
      <w:r>
        <w:rPr>
          <w:bCs/>
          <w:b/>
        </w:rPr>
        <w:t xml:space="preserve">EU, Germany, Austria:</w:t>
      </w:r>
      <w:r>
        <w:t xml:space="preserve"> </w:t>
      </w:r>
      <w:r>
        <w:t xml:space="preserve">not a medicine, no approval, not applied for either. It may be sold as a laboratory reagent for research; supplying it for use in humans is prohibited under medicines laws.</w:t>
      </w:r>
    </w:p>
    <w:p>
      <w:pPr>
        <w:numPr>
          <w:ilvl w:val="0"/>
          <w:numId w:val="1183"/>
        </w:numPr>
        <w:pStyle w:val="Compact"/>
      </w:pPr>
      <w:r>
        <w:rPr>
          <w:bCs/>
          <w:b/>
        </w:rPr>
        <w:t xml:space="preserve">USA:</w:t>
      </w:r>
      <w:r>
        <w:t xml:space="preserve"> </w:t>
      </w:r>
      <w:r>
        <w:t xml:space="preserve">no approval; distributed only as a research chemical.</w:t>
      </w:r>
    </w:p>
    <w:p>
      <w:pPr>
        <w:numPr>
          <w:ilvl w:val="0"/>
          <w:numId w:val="1183"/>
        </w:numPr>
        <w:pStyle w:val="Compact"/>
      </w:pPr>
      <w:r>
        <w:rPr>
          <w:bCs/>
          <w:b/>
        </w:rPr>
        <w:t xml:space="preserve">WADA:</w:t>
      </w:r>
      <w:r>
        <w:t xml:space="preserve"> </w:t>
      </w:r>
      <w:r>
        <w:t xml:space="preserve">prohibited (S2). A detection method for LR3 and related IGF-1 analogs in blood has been developed; in rats, unchanged LR3 disappeared after only about 4 hours, while metabolites were detectable for up to 16 hours</w:t>
      </w:r>
      <w:r>
        <w:rPr>
          <w:rStyle w:val="FootnoteReference"/>
        </w:rPr>
        <w:footnoteReference w:id="1555"/>
      </w:r>
      <w:r>
        <w:t xml:space="preserve">.</w:t>
      </w:r>
    </w:p>
    <w:bookmarkEnd w:id="1556"/>
    <w:bookmarkStart w:id="1557" w:name="ongoing-studies-and-outlook-32"/>
    <w:p>
      <w:pPr>
        <w:pStyle w:val="Heading3"/>
      </w:pPr>
      <w:r>
        <w:t xml:space="preserve">Ongoing studies and outlook</w:t>
      </w:r>
    </w:p>
    <w:p>
      <w:pPr>
        <w:pStyle w:val="FirstParagraph"/>
      </w:pPr>
      <w:r>
        <w:t xml:space="preserve">As of October 2026, no study with IGF-1 LR3 is registered on ClinicalTrials.gov.</w:t>
      </w:r>
      <w:r>
        <w:t xml:space="preserve"> </w:t>
      </w:r>
      <w:r>
        <w:rPr>
          <w:iCs/>
          <w:i/>
        </w:rPr>
        <w:t xml:space="preserve">Author’s assessment:</w:t>
      </w:r>
      <w:r>
        <w:t xml:space="preserve"> </w:t>
      </w:r>
      <w:r>
        <w:t xml:space="preserve">Development into a medicine is not to be expected. LR3 will remain a tool for cell culture and animal research.</w:t>
      </w:r>
    </w:p>
    <w:bookmarkEnd w:id="1557"/>
    <w:bookmarkStart w:id="1558" w:name="conclusion-32"/>
    <w:p>
      <w:pPr>
        <w:pStyle w:val="Heading3"/>
      </w:pPr>
      <w:r>
        <w:t xml:space="preserve">Conclusion</w:t>
      </w:r>
    </w:p>
    <w:p>
      <w:pPr>
        <w:pStyle w:val="FirstParagraph"/>
      </w:pPr>
      <w:r>
        <w:t xml:space="preserve">IGF-1 LR3 is a laboratory reagent that has never been studied in humans. In animal experiments, depending on the species, it promoted growth, had no effect, or even inhibited growth. Its special property – the lack of binding to the buffering binding proteins – suggests a higher risk of hypoglycemia and amplified growth signaling. Black-market products have been shown to contain laboratory variants that were never intended for injection.</w:t>
      </w:r>
    </w:p>
    <w:bookmarkEnd w:id="1558"/>
    <w:bookmarkEnd w:id="1559"/>
    <w:bookmarkStart w:id="1601" w:name="ibutamoren-mk-677"/>
    <w:p>
      <w:pPr>
        <w:pStyle w:val="Heading2"/>
      </w:pPr>
      <w:r>
        <w:t xml:space="preserve">Ibutamoren (MK-677)</w:t>
      </w:r>
    </w:p>
    <w:p>
      <w:pPr>
        <w:pStyle w:val="FirstParagraph"/>
      </w:pPr>
      <w:r>
        <w:rPr>
          <w:iCs/>
          <w:i/>
        </w:rPr>
        <w:t xml:space="preserve">Comparison chapter:</w:t>
      </w:r>
      <w:r>
        <w:t xml:space="preserve"> </w:t>
      </w:r>
      <w:r>
        <w:t xml:space="preserve">Ibutamoren is not a peptide. It is a small, synthetic molecule that is swallowed as a tablet or liquid – and that is precisely why it is in this book: as a point of comparison. It acts at the same receptor as ipamorelin, GHRP-2 or hexarelin, namely the ghrelin receptor, and raises growth hormone and IGF-1 for months. In the 1990s and 2000s, ibutamoren was tested by the pharmaceutical company Merck in several larger randomized trials. These trials show quite precisely what sustained stimulation of the growth hormone axis achieves in older people – and where the risks lie. On the gray market, ibutamoren is today usually sold as a</w:t>
      </w:r>
      <w:r>
        <w:t xml:space="preserve"> </w:t>
      </w:r>
      <w:r>
        <w:t xml:space="preserve">“</w:t>
      </w:r>
      <w:r>
        <w:t xml:space="preserve">SARM-like supplement.</w:t>
      </w:r>
      <w:r>
        <w:t xml:space="preserve">”</w:t>
      </w:r>
    </w:p>
    <w:bookmarkStart w:id="1561" w:name="profile-33"/>
    <w:p>
      <w:pPr>
        <w:pStyle w:val="Heading3"/>
      </w:pPr>
      <w:r>
        <w:t xml:space="preserve">Profile</w:t>
      </w:r>
    </w:p>
    <w:p>
      <w:pPr>
        <w:numPr>
          <w:ilvl w:val="0"/>
          <w:numId w:val="1184"/>
        </w:numPr>
        <w:pStyle w:val="Compact"/>
      </w:pPr>
      <w:r>
        <w:rPr>
          <w:bCs/>
          <w:b/>
        </w:rPr>
        <w:t xml:space="preserve">Type and structure:</w:t>
      </w:r>
      <w:r>
        <w:t xml:space="preserve"> </w:t>
      </w:r>
      <w:r>
        <w:t xml:space="preserve">small synthetic molecule, not a peptide (</w:t>
      </w:r>
      <w:r>
        <w:t xml:space="preserve">“</w:t>
      </w:r>
      <w:r>
        <w:t xml:space="preserve">non-peptide agonist</w:t>
      </w:r>
      <w:r>
        <w:t xml:space="preserve">”</w:t>
      </w:r>
      <w:r>
        <w:t xml:space="preserve">; Liu 2021, PMID 34737341); orally active. Development names MK-677 and MK-0677, currently in development as LUM-201</w:t>
      </w:r>
      <w:r>
        <w:rPr>
          <w:rStyle w:val="FootnoteReference"/>
        </w:rPr>
        <w:footnoteReference w:id="1560"/>
      </w:r>
      <w:r>
        <w:t xml:space="preserve">.</w:t>
      </w:r>
    </w:p>
    <w:p>
      <w:pPr>
        <w:numPr>
          <w:ilvl w:val="0"/>
          <w:numId w:val="1184"/>
        </w:numPr>
        <w:pStyle w:val="Compact"/>
      </w:pPr>
      <w:r>
        <w:rPr>
          <w:bCs/>
          <w:b/>
        </w:rPr>
        <w:t xml:space="preserve">Origin:</w:t>
      </w:r>
      <w:r>
        <w:t xml:space="preserve"> </w:t>
      </w:r>
      <w:r>
        <w:t xml:space="preserve">developed by Merck (USA) in the 1990s as a</w:t>
      </w:r>
      <w:r>
        <w:t xml:space="preserve"> </w:t>
      </w:r>
      <w:r>
        <w:t xml:space="preserve">“</w:t>
      </w:r>
      <w:r>
        <w:t xml:space="preserve">peptide mimetic</w:t>
      </w:r>
      <w:r>
        <w:t xml:space="preserve">”</w:t>
      </w:r>
      <w:r>
        <w:t xml:space="preserve"> </w:t>
      </w:r>
      <w:r>
        <w:t xml:space="preserve">of the growth hormone–releasing peptides.</w:t>
      </w:r>
    </w:p>
    <w:p>
      <w:pPr>
        <w:numPr>
          <w:ilvl w:val="0"/>
          <w:numId w:val="1184"/>
        </w:numPr>
        <w:pStyle w:val="Compact"/>
      </w:pPr>
      <w:r>
        <w:rPr>
          <w:bCs/>
          <w:b/>
        </w:rPr>
        <w:t xml:space="preserve">Mechanism of action:</w:t>
      </w:r>
      <w:r>
        <w:t xml:space="preserve"> </w:t>
      </w:r>
      <w:r>
        <w:t xml:space="preserve">agonist at the ghrelin receptor (GHS-R1a); amplifies existing GH pulses and raises IGF-1 persistently; increases appetite.</w:t>
      </w:r>
    </w:p>
    <w:p>
      <w:pPr>
        <w:numPr>
          <w:ilvl w:val="0"/>
          <w:numId w:val="1184"/>
        </w:numPr>
        <w:pStyle w:val="Compact"/>
      </w:pPr>
      <w:r>
        <w:rPr>
          <w:bCs/>
          <w:b/>
        </w:rPr>
        <w:t xml:space="preserve">EU approval:</w:t>
      </w:r>
      <w:r>
        <w:t xml:space="preserve"> </w:t>
      </w:r>
      <w:r>
        <w:t xml:space="preserve">no.</w:t>
      </w:r>
      <w:r>
        <w:t xml:space="preserve"> </w:t>
      </w:r>
      <w:r>
        <w:rPr>
          <w:bCs/>
          <w:b/>
        </w:rPr>
        <w:t xml:space="preserve">US approval:</w:t>
      </w:r>
      <w:r>
        <w:t xml:space="preserve"> </w:t>
      </w:r>
      <w:r>
        <w:t xml:space="preserve">no.</w:t>
      </w:r>
    </w:p>
    <w:p>
      <w:pPr>
        <w:numPr>
          <w:ilvl w:val="0"/>
          <w:numId w:val="1184"/>
        </w:numPr>
        <w:pStyle w:val="Compact"/>
      </w:pPr>
      <w:r>
        <w:rPr>
          <w:bCs/>
          <w:b/>
        </w:rPr>
        <w:t xml:space="preserve">WADA:</w:t>
      </w:r>
      <w:r>
        <w:t xml:space="preserve"> </w:t>
      </w:r>
      <w:r>
        <w:t xml:space="preserve">prohibited, class S2 (growth hormone secretagogues; ibutamoren is explicitly named).</w:t>
      </w:r>
    </w:p>
    <w:p>
      <w:pPr>
        <w:numPr>
          <w:ilvl w:val="0"/>
          <w:numId w:val="1184"/>
        </w:numPr>
        <w:pStyle w:val="Compact"/>
      </w:pPr>
      <w:r>
        <w:rPr>
          <w:bCs/>
          <w:b/>
        </w:rPr>
        <w:t xml:space="preserve">Evidence level: B</w:t>
      </w:r>
      <w:r>
        <w:t xml:space="preserve"> </w:t>
      </w:r>
      <w:r>
        <w:t xml:space="preserve">– several randomized, placebo-controlled trials with up to 563 participants, but no approval and no trial with a positive primary clinical outcome.</w:t>
      </w:r>
    </w:p>
    <w:bookmarkEnd w:id="1561"/>
    <w:bookmarkStart w:id="1563" w:name="how-it-is-supposed-to-work-33"/>
    <w:p>
      <w:pPr>
        <w:pStyle w:val="Heading3"/>
      </w:pPr>
      <w:r>
        <w:t xml:space="preserve">How it is supposed to work</w:t>
      </w:r>
    </w:p>
    <w:p>
      <w:pPr>
        <w:pStyle w:val="FirstParagraph"/>
      </w:pPr>
      <w:r>
        <w:t xml:space="preserve">Ibutamoren mimics ghrelin. Unlike the peptides in the group, it is not destroyed in the stomach and acts long enough to amplify growth hormone secretion around the clock with once-daily intake. In healthy older people, it nearly doubled the mean 24-hour concentration of growth hormone in one study; the number of GH pulses remained the same, but their height increased. After four weeks, IGF-1 reached levels like those of young adults</w:t>
      </w:r>
      <w:r>
        <w:rPr>
          <w:rStyle w:val="FootnoteReference"/>
        </w:rPr>
        <w:footnoteReference w:id="1562"/>
      </w:r>
      <w:r>
        <w:t xml:space="preserve">.</w:t>
      </w:r>
    </w:p>
    <w:p>
      <w:pPr>
        <w:pStyle w:val="BodyText"/>
      </w:pPr>
      <w:r>
        <w:t xml:space="preserve">Merck’s hope was thereby to compensate for the age-related decline of the growth hormone axis known as</w:t>
      </w:r>
      <w:r>
        <w:t xml:space="preserve"> </w:t>
      </w:r>
      <w:r>
        <w:t xml:space="preserve">“</w:t>
      </w:r>
      <w:r>
        <w:t xml:space="preserve">somatopause</w:t>
      </w:r>
      <w:r>
        <w:t xml:space="preserve">”</w:t>
      </w:r>
      <w:r>
        <w:t xml:space="preserve">: muscle wasting (sarcopenia), frailty, bone loss and slow recovery after injuries.</w:t>
      </w:r>
    </w:p>
    <w:bookmarkEnd w:id="1563"/>
    <w:bookmarkStart w:id="1578" w:name="human-studies-33"/>
    <w:p>
      <w:pPr>
        <w:pStyle w:val="Heading3"/>
      </w:pPr>
      <w:r>
        <w:t xml:space="preserve">Human studies</w:t>
      </w:r>
    </w:p>
    <w:p>
      <w:pPr>
        <w:pStyle w:val="FirstParagraph"/>
      </w:pPr>
      <w:r>
        <w:rPr>
          <w:bCs/>
          <w:b/>
        </w:rPr>
        <w:t xml:space="preserve">Scope of the evidence (search October 2026):</w:t>
      </w:r>
      <w:r>
        <w:t xml:space="preserve"> </w:t>
      </w:r>
      <w:r>
        <w:t xml:space="preserve">This book’s automated search found</w:t>
      </w:r>
      <w:r>
        <w:t xml:space="preserve"> </w:t>
      </w:r>
      <w:r>
        <w:rPr>
          <w:bCs/>
          <w:b/>
        </w:rPr>
        <w:t xml:space="preserve">19</w:t>
      </w:r>
      <w:r>
        <w:t xml:space="preserve"> </w:t>
      </w:r>
      <w:r>
        <w:t xml:space="preserve">human studies in PubMed (</w:t>
      </w:r>
      <w:r>
        <w:rPr>
          <w:rStyle w:val="VerbatimChar"/>
        </w:rPr>
        <w:t xml:space="preserve">humanstudien_alle</w:t>
      </w:r>
      <w:r>
        <w:t xml:space="preserve">) and</w:t>
      </w:r>
      <w:r>
        <w:t xml:space="preserve"> </w:t>
      </w:r>
      <w:r>
        <w:rPr>
          <w:bCs/>
          <w:b/>
        </w:rPr>
        <w:t xml:space="preserve">8</w:t>
      </w:r>
      <w:r>
        <w:t xml:space="preserve"> </w:t>
      </w:r>
      <w:r>
        <w:t xml:space="preserve">entries on ClinicalTrials.gov.</w:t>
      </w:r>
    </w:p>
    <w:bookmarkStart w:id="1565" w:name="healthy-older-adults"/>
    <w:p>
      <w:pPr>
        <w:pStyle w:val="Heading4"/>
      </w:pPr>
      <w:r>
        <w:t xml:space="preserve">Healthy older adults</w:t>
      </w:r>
    </w:p>
    <w:p>
      <w:pPr>
        <w:pStyle w:val="FirstParagraph"/>
      </w:pPr>
      <w:r>
        <w:t xml:space="preserve">The most important trial ran for two years: 65 healthy women and men between 60 and 81 years of age received ibutamoren or placebo daily. Growth hormone and IGF-1 rose to the levels of young adults. Lean mass increased by 1.1 kg on ibutamoren and decreased by 0.5 kg on placebo. Abdominal fat did not change, body weight rose by 2.7 kg (placebo: 0.8 kg), and fat on the arms and legs increased more. The increase in lean mass did</w:t>
      </w:r>
      <w:r>
        <w:t xml:space="preserve"> </w:t>
      </w:r>
      <w:r>
        <w:rPr>
          <w:bCs/>
          <w:b/>
        </w:rPr>
        <w:t xml:space="preserve">not</w:t>
      </w:r>
      <w:r>
        <w:t xml:space="preserve"> </w:t>
      </w:r>
      <w:r>
        <w:t xml:space="preserve">lead to more strength or better function; the authors acknowledge that the trial was too small for that. Fasting glucose rose by an average of 0.3 mmol/L (5 mg/dL), and insulin sensitivity decreased. The most common side effects were initially increased appetite, mild fluid retention in the legs and muscle pain</w:t>
      </w:r>
      <w:r>
        <w:rPr>
          <w:rStyle w:val="FootnoteReference"/>
        </w:rPr>
        <w:footnoteReference w:id="1564"/>
      </w:r>
      <w:r>
        <w:t xml:space="preserve">.</w:t>
      </w:r>
    </w:p>
    <w:bookmarkEnd w:id="1565"/>
    <w:bookmarkStart w:id="1568" w:name="hip-fracture"/>
    <w:p>
      <w:pPr>
        <w:pStyle w:val="Heading4"/>
      </w:pPr>
      <w:r>
        <w:t xml:space="preserve">Hip fracture</w:t>
      </w:r>
    </w:p>
    <w:p>
      <w:pPr>
        <w:pStyle w:val="FirstParagraph"/>
      </w:pPr>
      <w:r>
        <w:t xml:space="preserve">Two trials tested whether ibutamoren helps older people get back on their feet after a hip fracture:</w:t>
      </w:r>
    </w:p>
    <w:p>
      <w:pPr>
        <w:numPr>
          <w:ilvl w:val="0"/>
          <w:numId w:val="1185"/>
        </w:numPr>
        <w:pStyle w:val="Compact"/>
      </w:pPr>
      <w:r>
        <w:t xml:space="preserve">In the first trial, with 161 patients from 13 centers, IGF-1 rose by 84% (placebo: 17%). The functional tests showed some favorable trends but no statistically significant differences</w:t>
      </w:r>
      <w:r>
        <w:rPr>
          <w:rStyle w:val="FootnoteReference"/>
        </w:rPr>
        <w:footnoteReference w:id="1566"/>
      </w:r>
      <w:r>
        <w:t xml:space="preserve">.</w:t>
      </w:r>
    </w:p>
    <w:p>
      <w:pPr>
        <w:numPr>
          <w:ilvl w:val="0"/>
          <w:numId w:val="1185"/>
        </w:numPr>
        <w:pStyle w:val="Compact"/>
      </w:pPr>
      <w:r>
        <w:t xml:space="preserve">The second trial, with 123 patients, was</w:t>
      </w:r>
      <w:r>
        <w:t xml:space="preserve"> </w:t>
      </w:r>
      <w:r>
        <w:rPr>
          <w:bCs/>
          <w:b/>
        </w:rPr>
        <w:t xml:space="preserve">terminated early because heart failure occurred in a limited number of treated patients</w:t>
      </w:r>
      <w:r>
        <w:t xml:space="preserve">. Gait speed had improved slightly, but most other functional measures had not; the authors judged the safety profile in this patient group to be unfavorable</w:t>
      </w:r>
      <w:r>
        <w:rPr>
          <w:rStyle w:val="FootnoteReference"/>
        </w:rPr>
        <w:footnoteReference w:id="1567"/>
      </w:r>
      <w:r>
        <w:t xml:space="preserve">.</w:t>
      </w:r>
    </w:p>
    <w:p>
      <w:pPr>
        <w:pStyle w:val="FirstParagraph"/>
      </w:pPr>
      <w:r>
        <w:t xml:space="preserve">Another Merck entry on sarcopenia after hip fracture (NCT00128115, 83 people) is listed as terminated, with no reasons or results given.</w:t>
      </w:r>
    </w:p>
    <w:bookmarkEnd w:id="1568"/>
    <w:bookmarkStart w:id="1570" w:name="alzheimers-disease"/>
    <w:p>
      <w:pPr>
        <w:pStyle w:val="Heading4"/>
      </w:pPr>
      <w:r>
        <w:t xml:space="preserve">Alzheimer’s disease</w:t>
      </w:r>
    </w:p>
    <w:p>
      <w:pPr>
        <w:pStyle w:val="FirstParagraph"/>
      </w:pPr>
      <w:r>
        <w:t xml:space="preserve">In a large trial, 563 people with mild to moderate Alzheimer’s dementia received ibutamoren or placebo for one year. IGF-1 rose by 60.1% after six weeks and by 72.9% after twelve months. On none of the four scales for cognitive performance, activities of daily living and global impression did the course differ from placebo</w:t>
      </w:r>
      <w:r>
        <w:rPr>
          <w:rStyle w:val="FootnoteReference"/>
        </w:rPr>
        <w:footnoteReference w:id="1569"/>
      </w:r>
      <w:r>
        <w:t xml:space="preserve">.</w:t>
      </w:r>
    </w:p>
    <w:bookmarkEnd w:id="1570"/>
    <w:bookmarkStart w:id="1577" w:name="other-studies-1"/>
    <w:p>
      <w:pPr>
        <w:pStyle w:val="Heading4"/>
      </w:pPr>
      <w:r>
        <w:t xml:space="preserve">Other studies</w:t>
      </w:r>
    </w:p>
    <w:p>
      <w:pPr>
        <w:numPr>
          <w:ilvl w:val="0"/>
          <w:numId w:val="1186"/>
        </w:numPr>
        <w:pStyle w:val="Compact"/>
      </w:pPr>
      <w:r>
        <w:rPr>
          <w:bCs/>
          <w:b/>
        </w:rPr>
        <w:t xml:space="preserve">Overweight men:</w:t>
      </w:r>
      <w:r>
        <w:t xml:space="preserve"> </w:t>
      </w:r>
      <w:r>
        <w:t xml:space="preserve">In 24 men, lean mass increased over eight weeks, while total and abdominal fat did not change; blood glucose regulation worsened in the glucose tolerance test</w:t>
      </w:r>
      <w:r>
        <w:rPr>
          <w:rStyle w:val="FootnoteReference"/>
        </w:rPr>
        <w:footnoteReference w:id="1571"/>
      </w:r>
      <w:r>
        <w:t xml:space="preserve">.</w:t>
      </w:r>
    </w:p>
    <w:p>
      <w:pPr>
        <w:numPr>
          <w:ilvl w:val="0"/>
          <w:numId w:val="1186"/>
        </w:numPr>
        <w:pStyle w:val="Compact"/>
      </w:pPr>
      <w:r>
        <w:rPr>
          <w:bCs/>
          <w:b/>
        </w:rPr>
        <w:t xml:space="preserve">Osteoporosis:</w:t>
      </w:r>
      <w:r>
        <w:t xml:space="preserve"> </w:t>
      </w:r>
      <w:r>
        <w:t xml:space="preserve">In 292 postmenopausal women, ibutamoren together with the bone drug alendronate increased bone density more than alendronate alone only at the femoral neck, not at the spine or total hip</w:t>
      </w:r>
      <w:r>
        <w:rPr>
          <w:rStyle w:val="FootnoteReference"/>
        </w:rPr>
        <w:footnoteReference w:id="1572"/>
      </w:r>
      <w:r>
        <w:t xml:space="preserve">.</w:t>
      </w:r>
    </w:p>
    <w:p>
      <w:pPr>
        <w:numPr>
          <w:ilvl w:val="0"/>
          <w:numId w:val="1186"/>
        </w:numPr>
        <w:pStyle w:val="Compact"/>
      </w:pPr>
      <w:r>
        <w:rPr>
          <w:bCs/>
          <w:b/>
        </w:rPr>
        <w:t xml:space="preserve">Sleep:</w:t>
      </w:r>
      <w:r>
        <w:t xml:space="preserve"> </w:t>
      </w:r>
      <w:r>
        <w:t xml:space="preserve">In small studies with eight young and six older people, deep sleep and REM sleep, respectively, were prolonged</w:t>
      </w:r>
      <w:r>
        <w:rPr>
          <w:rStyle w:val="FootnoteReference"/>
        </w:rPr>
        <w:footnoteReference w:id="1573"/>
      </w:r>
      <w:r>
        <w:t xml:space="preserve">.</w:t>
      </w:r>
    </w:p>
    <w:p>
      <w:pPr>
        <w:numPr>
          <w:ilvl w:val="0"/>
          <w:numId w:val="1186"/>
        </w:numPr>
        <w:pStyle w:val="Compact"/>
      </w:pPr>
      <w:r>
        <w:rPr>
          <w:bCs/>
          <w:b/>
        </w:rPr>
        <w:t xml:space="preserve">Dialysis:</w:t>
      </w:r>
      <w:r>
        <w:t xml:space="preserve"> </w:t>
      </w:r>
      <w:r>
        <w:t xml:space="preserve">In 22 dialysis patients, IGF-1 rose 65% more than with placebo, without serious side effects</w:t>
      </w:r>
      <w:r>
        <w:rPr>
          <w:rStyle w:val="FootnoteReference"/>
        </w:rPr>
        <w:footnoteReference w:id="1574"/>
      </w:r>
      <w:r>
        <w:t xml:space="preserve">.</w:t>
      </w:r>
    </w:p>
    <w:p>
      <w:pPr>
        <w:numPr>
          <w:ilvl w:val="0"/>
          <w:numId w:val="1186"/>
        </w:numPr>
        <w:pStyle w:val="Compact"/>
      </w:pPr>
      <w:r>
        <w:rPr>
          <w:bCs/>
          <w:b/>
        </w:rPr>
        <w:t xml:space="preserve">Children with growth hormone deficiency:</w:t>
      </w:r>
      <w:r>
        <w:t xml:space="preserve"> </w:t>
      </w:r>
      <w:r>
        <w:t xml:space="preserve">As early as 2001, ibutamoren increased growth hormone and IGF-1 in 18 children</w:t>
      </w:r>
      <w:r>
        <w:rPr>
          <w:rStyle w:val="FootnoteReference"/>
        </w:rPr>
        <w:footnoteReference w:id="1575"/>
      </w:r>
      <w:r>
        <w:t xml:space="preserve">. Under the name LUM-201, in a study with 68 children it triggered higher GH responses than the usual stimulation tests</w:t>
      </w:r>
      <w:r>
        <w:rPr>
          <w:rStyle w:val="FootnoteReference"/>
        </w:rPr>
        <w:footnoteReference w:id="1576"/>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Healthy older adults (Nass 2008), PMID 18981485</w:t>
            </w:r>
          </w:p>
        </w:tc>
        <w:tc>
          <w:tcPr/>
          <w:p>
            <w:pPr>
              <w:pStyle w:val="Compact"/>
              <w:jc w:val="left"/>
            </w:pPr>
            <w:r>
              <w:t xml:space="preserve">65 people aged 60–81 years, RCT vs. placebo</w:t>
            </w:r>
          </w:p>
        </w:tc>
        <w:tc>
          <w:tcPr/>
          <w:p>
            <w:pPr>
              <w:pStyle w:val="Compact"/>
              <w:jc w:val="left"/>
            </w:pPr>
            <w:r>
              <w:t xml:space="preserve">2 years</w:t>
            </w:r>
          </w:p>
        </w:tc>
        <w:tc>
          <w:tcPr/>
          <w:p>
            <w:pPr>
              <w:pStyle w:val="Compact"/>
              <w:jc w:val="left"/>
            </w:pPr>
            <w:r>
              <w:t xml:space="preserve">lean mass +1.1 vs. −0.5 kg; strength and function unchanged; fasting glucose ↑</w:t>
            </w:r>
          </w:p>
        </w:tc>
      </w:tr>
      <w:tr>
        <w:tc>
          <w:tcPr/>
          <w:p>
            <w:pPr>
              <w:pStyle w:val="Compact"/>
              <w:jc w:val="left"/>
            </w:pPr>
            <w:r>
              <w:t xml:space="preserve">Hip fracture 1 (Bach 2004), PMID 15066065</w:t>
            </w:r>
          </w:p>
        </w:tc>
        <w:tc>
          <w:tcPr/>
          <w:p>
            <w:pPr>
              <w:pStyle w:val="Compact"/>
              <w:jc w:val="left"/>
            </w:pPr>
            <w:r>
              <w:t xml:space="preserve">161 older adults after hip fracture, RCT</w:t>
            </w:r>
          </w:p>
        </w:tc>
        <w:tc>
          <w:tcPr/>
          <w:p>
            <w:pPr>
              <w:pStyle w:val="Compact"/>
              <w:jc w:val="left"/>
            </w:pPr>
            <w:r>
              <w:t xml:space="preserve">6 months</w:t>
            </w:r>
          </w:p>
        </w:tc>
        <w:tc>
          <w:tcPr/>
          <w:p>
            <w:pPr>
              <w:pStyle w:val="Compact"/>
              <w:jc w:val="left"/>
            </w:pPr>
            <w:r>
              <w:t xml:space="preserve">IGF-1 +84%; function not significantly better</w:t>
            </w:r>
          </w:p>
        </w:tc>
      </w:tr>
      <w:tr>
        <w:tc>
          <w:tcPr/>
          <w:p>
            <w:pPr>
              <w:pStyle w:val="Compact"/>
              <w:jc w:val="left"/>
            </w:pPr>
            <w:r>
              <w:t xml:space="preserve">Hip fracture 2 (Adunsky 2011), PMID 21067829</w:t>
            </w:r>
          </w:p>
        </w:tc>
        <w:tc>
          <w:tcPr/>
          <w:p>
            <w:pPr>
              <w:pStyle w:val="Compact"/>
              <w:jc w:val="left"/>
            </w:pPr>
            <w:r>
              <w:t xml:space="preserve">123 older adults after hip fracture, RCT</w:t>
            </w:r>
          </w:p>
        </w:tc>
        <w:tc>
          <w:tcPr/>
          <w:p>
            <w:pPr>
              <w:pStyle w:val="Compact"/>
              <w:jc w:val="left"/>
            </w:pPr>
            <w:r>
              <w:t xml:space="preserve">planned 24 weeks</w:t>
            </w:r>
          </w:p>
        </w:tc>
        <w:tc>
          <w:tcPr/>
          <w:p>
            <w:pPr>
              <w:pStyle w:val="Compact"/>
              <w:jc w:val="left"/>
            </w:pPr>
            <w:r>
              <w:t xml:space="preserve">terminated due to heart failure signal</w:t>
            </w:r>
          </w:p>
        </w:tc>
      </w:tr>
      <w:tr>
        <w:tc>
          <w:tcPr/>
          <w:p>
            <w:pPr>
              <w:pStyle w:val="Compact"/>
              <w:jc w:val="left"/>
            </w:pPr>
            <w:r>
              <w:t xml:space="preserve">Alzheimer’s (Sevigny 2008), PMID 19015485</w:t>
            </w:r>
          </w:p>
        </w:tc>
        <w:tc>
          <w:tcPr/>
          <w:p>
            <w:pPr>
              <w:pStyle w:val="Compact"/>
              <w:jc w:val="left"/>
            </w:pPr>
            <w:r>
              <w:t xml:space="preserve">563 people with Alzheimer’s, RCT</w:t>
            </w:r>
          </w:p>
        </w:tc>
        <w:tc>
          <w:tcPr/>
          <w:p>
            <w:pPr>
              <w:pStyle w:val="Compact"/>
              <w:jc w:val="left"/>
            </w:pPr>
            <w:r>
              <w:t xml:space="preserve">12 months</w:t>
            </w:r>
          </w:p>
        </w:tc>
        <w:tc>
          <w:tcPr/>
          <w:p>
            <w:pPr>
              <w:pStyle w:val="Compact"/>
              <w:jc w:val="left"/>
            </w:pPr>
            <w:r>
              <w:t xml:space="preserve">IGF-1 +72.9%; no effect on disease course</w:t>
            </w:r>
          </w:p>
        </w:tc>
      </w:tr>
      <w:tr>
        <w:tc>
          <w:tcPr/>
          <w:p>
            <w:pPr>
              <w:pStyle w:val="Compact"/>
              <w:jc w:val="left"/>
            </w:pPr>
            <w:r>
              <w:t xml:space="preserve">Osteoporosis (Murphy 2001), PMID 11238495</w:t>
            </w:r>
          </w:p>
        </w:tc>
        <w:tc>
          <w:tcPr/>
          <w:p>
            <w:pPr>
              <w:pStyle w:val="Compact"/>
              <w:jc w:val="left"/>
            </w:pPr>
            <w:r>
              <w:t xml:space="preserve">292 women, RCT with alendronate</w:t>
            </w:r>
          </w:p>
        </w:tc>
        <w:tc>
          <w:tcPr/>
          <w:p>
            <w:pPr>
              <w:pStyle w:val="Compact"/>
              <w:jc w:val="left"/>
            </w:pPr>
            <w:r>
              <w:t xml:space="preserve">12–18 months</w:t>
            </w:r>
          </w:p>
        </w:tc>
        <w:tc>
          <w:tcPr/>
          <w:p>
            <w:pPr>
              <w:pStyle w:val="Compact"/>
              <w:jc w:val="left"/>
            </w:pPr>
            <w:r>
              <w:t xml:space="preserve">only femoral neck bone density somewhat higher</w:t>
            </w:r>
          </w:p>
        </w:tc>
      </w:tr>
    </w:tbl>
    <w:bookmarkEnd w:id="1577"/>
    <w:bookmarkEnd w:id="1578"/>
    <w:bookmarkStart w:id="1581" w:name="animal-and-laboratory-studies-33"/>
    <w:p>
      <w:pPr>
        <w:pStyle w:val="Heading3"/>
      </w:pPr>
      <w:r>
        <w:t xml:space="preserve">Animal and laboratory studies</w:t>
      </w:r>
    </w:p>
    <w:p>
      <w:pPr>
        <w:pStyle w:val="FirstParagraph"/>
      </w:pPr>
      <w:r>
        <w:t xml:space="preserve">In mice with an Alzheimer’s model, ibutamoren reduced amyloid deposits and nerve cell loss in the brain</w:t>
      </w:r>
      <w:r>
        <w:rPr>
          <w:rStyle w:val="FootnoteReference"/>
        </w:rPr>
        <w:footnoteReference w:id="1579"/>
      </w:r>
      <w:r>
        <w:t xml:space="preserve"> </w:t>
      </w:r>
      <w:r>
        <w:t xml:space="preserve">– a finding that did not translate into a clinical benefit in the large Alzheimer’s trial in humans. The structure of the ghrelin receptor with bound ibutamoren was solved in 2021</w:t>
      </w:r>
      <w:r>
        <w:rPr>
          <w:rStyle w:val="FootnoteReference"/>
        </w:rPr>
        <w:footnoteReference w:id="1580"/>
      </w:r>
      <w:r>
        <w:t xml:space="preserve">.</w:t>
      </w:r>
    </w:p>
    <w:bookmarkEnd w:id="1581"/>
    <w:bookmarkStart w:id="1592" w:name="risks-and-side-effects-33"/>
    <w:p>
      <w:pPr>
        <w:pStyle w:val="Heading3"/>
      </w:pPr>
      <w:r>
        <w:t xml:space="preserve">Risks and side effects</w:t>
      </w:r>
    </w:p>
    <w:p>
      <w:pPr>
        <w:pStyle w:val="FirstParagraph"/>
      </w:pPr>
      <w:r>
        <w:rPr>
          <w:bCs/>
          <w:b/>
        </w:rPr>
        <w:t xml:space="preserve">Established from randomized trials:</w:t>
      </w:r>
    </w:p>
    <w:p>
      <w:pPr>
        <w:numPr>
          <w:ilvl w:val="0"/>
          <w:numId w:val="1187"/>
        </w:numPr>
        <w:pStyle w:val="Compact"/>
      </w:pPr>
      <w:r>
        <w:rPr>
          <w:bCs/>
          <w:b/>
        </w:rPr>
        <w:t xml:space="preserve">Heart failure signal:</w:t>
      </w:r>
      <w:r>
        <w:t xml:space="preserve"> </w:t>
      </w:r>
      <w:r>
        <w:t xml:space="preserve">termination of a trial in older people after hip fracture because of cases of heart failure</w:t>
      </w:r>
      <w:r>
        <w:rPr>
          <w:rStyle w:val="FootnoteReference"/>
        </w:rPr>
        <w:footnoteReference w:id="1582"/>
      </w:r>
      <w:r>
        <w:t xml:space="preserve">. The abstract does not state how many cases there were. Fluid retention is among the known effects of elevated growth hormone levels and places a strain on a previously damaged heart.</w:t>
      </w:r>
    </w:p>
    <w:p>
      <w:pPr>
        <w:numPr>
          <w:ilvl w:val="0"/>
          <w:numId w:val="1187"/>
        </w:numPr>
        <w:pStyle w:val="Compact"/>
      </w:pPr>
      <w:r>
        <w:rPr>
          <w:bCs/>
          <w:b/>
        </w:rPr>
        <w:t xml:space="preserve">Blood glucose:</w:t>
      </w:r>
      <w:r>
        <w:t xml:space="preserve"> </w:t>
      </w:r>
      <w:r>
        <w:t xml:space="preserve">rise in fasting glucose and reduced insulin sensitivity</w:t>
      </w:r>
      <w:r>
        <w:rPr>
          <w:rStyle w:val="FootnoteReference"/>
        </w:rPr>
        <w:footnoteReference w:id="1583"/>
      </w:r>
      <w:r>
        <w:t xml:space="preserve">; impaired glucose tolerance in overweight men</w:t>
      </w:r>
      <w:r>
        <w:rPr>
          <w:rStyle w:val="FootnoteReference"/>
        </w:rPr>
        <w:footnoteReference w:id="1584"/>
      </w:r>
      <w:r>
        <w:t xml:space="preserve">.</w:t>
      </w:r>
    </w:p>
    <w:p>
      <w:pPr>
        <w:numPr>
          <w:ilvl w:val="0"/>
          <w:numId w:val="1187"/>
        </w:numPr>
        <w:pStyle w:val="Compact"/>
      </w:pPr>
      <w:r>
        <w:rPr>
          <w:bCs/>
          <w:b/>
        </w:rPr>
        <w:t xml:space="preserve">Weight gain and appetite:</w:t>
      </w:r>
      <w:r>
        <w:t xml:space="preserve"> </w:t>
      </w:r>
      <w:r>
        <w:t xml:space="preserve">more body weight, more fat on the arms and legs, increased hunger</w:t>
      </w:r>
      <w:r>
        <w:rPr>
          <w:rStyle w:val="FootnoteReference"/>
        </w:rPr>
        <w:footnoteReference w:id="1585"/>
      </w:r>
      <w:r>
        <w:t xml:space="preserve">.</w:t>
      </w:r>
    </w:p>
    <w:p>
      <w:pPr>
        <w:numPr>
          <w:ilvl w:val="0"/>
          <w:numId w:val="1187"/>
        </w:numPr>
        <w:pStyle w:val="Compact"/>
      </w:pPr>
      <w:r>
        <w:rPr>
          <w:bCs/>
          <w:b/>
        </w:rPr>
        <w:t xml:space="preserve">Fluid retention and muscle pain</w:t>
      </w:r>
      <w:r>
        <w:rPr>
          <w:rStyle w:val="FootnoteReference"/>
        </w:rPr>
        <w:footnoteReference w:id="1586"/>
      </w:r>
      <w:r>
        <w:t xml:space="preserve">.</w:t>
      </w:r>
    </w:p>
    <w:p>
      <w:pPr>
        <w:pStyle w:val="FirstParagraph"/>
      </w:pPr>
      <w:r>
        <w:rPr>
          <w:bCs/>
          <w:b/>
        </w:rPr>
        <w:t xml:space="preserve">Case reports from gray-market use:</w:t>
      </w:r>
      <w:r>
        <w:t xml:space="preserve"> </w:t>
      </w:r>
      <w:r>
        <w:t xml:space="preserve">A man in his early 30s developed elevated liver values after taking MK-677 for two months, which normalized after stopping</w:t>
      </w:r>
      <w:r>
        <w:rPr>
          <w:rStyle w:val="FootnoteReference"/>
        </w:rPr>
        <w:footnoteReference w:id="1587"/>
      </w:r>
      <w:r>
        <w:t xml:space="preserve">. A 40-year-old developed breast growth and testosterone deficiency; his fitness supplements contained, in addition to MK-677, a SARM, cardarine and undeclared hormones</w:t>
      </w:r>
      <w:r>
        <w:rPr>
          <w:rStyle w:val="FootnoteReference"/>
        </w:rPr>
        <w:footnoteReference w:id="1588"/>
      </w:r>
      <w:r>
        <w:t xml:space="preserve">.</w:t>
      </w:r>
    </w:p>
    <w:p>
      <w:pPr>
        <w:pStyle w:val="BodyText"/>
      </w:pPr>
      <w:r>
        <w:rPr>
          <w:bCs/>
          <w:b/>
        </w:rPr>
        <w:t xml:space="preserve">Cancer:</w:t>
      </w:r>
      <w:r>
        <w:t xml:space="preserve"> </w:t>
      </w:r>
      <w:r>
        <w:t xml:space="preserve">Ibutamoren raises IGF-1 to the level of young adults for months to years. No cancer signal was reported in the trials, but they were neither large nor long enough for that. A review of GH releasers explicitly calls for long-term data on cancer and mortality</w:t>
      </w:r>
      <w:r>
        <w:rPr>
          <w:rStyle w:val="FootnoteReference"/>
        </w:rPr>
        <w:footnoteReference w:id="1589"/>
      </w:r>
      <w:r>
        <w:t xml:space="preserve">. For the general evidence, see the introduction to this group and Part IV.</w:t>
      </w:r>
    </w:p>
    <w:p>
      <w:pPr>
        <w:pStyle w:val="BodyText"/>
      </w:pPr>
      <w:r>
        <w:rPr>
          <w:bCs/>
          <w:b/>
        </w:rPr>
        <w:t xml:space="preserve">Gray-market quality:</w:t>
      </w:r>
      <w:r>
        <w:t xml:space="preserve"> </w:t>
      </w:r>
      <w:r>
        <w:t xml:space="preserve">In a US analysis of 44 products sold online as SARMs, 39% contained other unapproved substances instead of or in addition to the stated one, including ibutamoren; only 41% contained the stated amount of the active ingredient</w:t>
      </w:r>
      <w:r>
        <w:rPr>
          <w:rStyle w:val="FootnoteReference"/>
        </w:rPr>
        <w:footnoteReference w:id="1590"/>
      </w:r>
      <w:r>
        <w:t xml:space="preserve">. A European market surveillance study of 324 samples from 13 countries found ibutamoren to be the most common active ingredient among the muscle-building preparations examined; 24% of the products were presented as dietary supplements</w:t>
      </w:r>
      <w:r>
        <w:rPr>
          <w:rStyle w:val="FootnoteReference"/>
        </w:rPr>
        <w:footnoteReference w:id="1591"/>
      </w:r>
      <w:r>
        <w:t xml:space="preserve">.</w:t>
      </w:r>
    </w:p>
    <w:bookmarkEnd w:id="1592"/>
    <w:bookmarkStart w:id="1594" w:name="legal-status-33"/>
    <w:p>
      <w:pPr>
        <w:pStyle w:val="Heading3"/>
      </w:pPr>
      <w:r>
        <w:t xml:space="preserve">Legal status</w:t>
      </w:r>
    </w:p>
    <w:p>
      <w:pPr>
        <w:pStyle w:val="FirstParagraph"/>
      </w:pPr>
      <w:r>
        <w:rPr>
          <w:iCs/>
          <w:i/>
        </w:rPr>
        <w:t xml:space="preserve">As of 2026, please check for updates.</w:t>
      </w:r>
    </w:p>
    <w:p>
      <w:pPr>
        <w:numPr>
          <w:ilvl w:val="0"/>
          <w:numId w:val="1188"/>
        </w:numPr>
        <w:pStyle w:val="Compact"/>
      </w:pPr>
      <w:r>
        <w:rPr>
          <w:bCs/>
          <w:b/>
        </w:rPr>
        <w:t xml:space="preserve">EU, Germany, Austria:</w:t>
      </w:r>
      <w:r>
        <w:t xml:space="preserve"> </w:t>
      </w:r>
      <w:r>
        <w:t xml:space="preserve">no approval. Ibutamoren is an unapproved drug substance; it may not be marketed as a dietary supplement. Anyone offering it for use in humans violates medicines law.</w:t>
      </w:r>
    </w:p>
    <w:p>
      <w:pPr>
        <w:numPr>
          <w:ilvl w:val="0"/>
          <w:numId w:val="1188"/>
        </w:numPr>
        <w:pStyle w:val="Compact"/>
      </w:pPr>
      <w:r>
        <w:rPr>
          <w:bCs/>
          <w:b/>
        </w:rPr>
        <w:t xml:space="preserve">USA:</w:t>
      </w:r>
      <w:r>
        <w:t xml:space="preserve"> </w:t>
      </w:r>
      <w:r>
        <w:t xml:space="preserve">no approval; nevertheless sold as a</w:t>
      </w:r>
      <w:r>
        <w:t xml:space="preserve"> </w:t>
      </w:r>
      <w:r>
        <w:t xml:space="preserve">“</w:t>
      </w:r>
      <w:r>
        <w:t xml:space="preserve">research chemical</w:t>
      </w:r>
      <w:r>
        <w:t xml:space="preserve">”</w:t>
      </w:r>
      <w:r>
        <w:t xml:space="preserve"> </w:t>
      </w:r>
      <w:r>
        <w:t xml:space="preserve">or in supplements.</w:t>
      </w:r>
    </w:p>
    <w:p>
      <w:pPr>
        <w:numPr>
          <w:ilvl w:val="0"/>
          <w:numId w:val="1188"/>
        </w:numPr>
        <w:pStyle w:val="Compact"/>
      </w:pPr>
      <w:r>
        <w:rPr>
          <w:bCs/>
          <w:b/>
        </w:rPr>
        <w:t xml:space="preserve">WADA:</w:t>
      </w:r>
      <w:r>
        <w:t xml:space="preserve"> </w:t>
      </w:r>
      <w:r>
        <w:t xml:space="preserve">prohibited (S2). It is also controlled in equestrian sport, for example through hair analysis</w:t>
      </w:r>
      <w:r>
        <w:rPr>
          <w:rStyle w:val="FootnoteReference"/>
        </w:rPr>
        <w:footnoteReference w:id="1593"/>
      </w:r>
      <w:r>
        <w:t xml:space="preserve">.</w:t>
      </w:r>
    </w:p>
    <w:bookmarkEnd w:id="1594"/>
    <w:bookmarkStart w:id="1599" w:name="ongoing-studies-and-outlook-33"/>
    <w:p>
      <w:pPr>
        <w:pStyle w:val="Heading3"/>
      </w:pPr>
      <w:r>
        <w:t xml:space="preserve">Ongoing studies and outlook</w:t>
      </w:r>
    </w:p>
    <w:p>
      <w:pPr>
        <w:pStyle w:val="FirstParagraph"/>
      </w:pPr>
      <w:r>
        <w:rPr>
          <w:iCs/>
          <w:i/>
        </w:rPr>
        <w:t xml:space="preserve">Established:</w:t>
      </w:r>
      <w:r>
        <w:t xml:space="preserve"> </w:t>
      </w:r>
      <w:r>
        <w:t xml:space="preserve">Under the name LUM-201, ibutamoren is being developed as a tablet for children with growth hormone deficiency. A phase 2 trial with 104 children</w:t>
      </w:r>
      <w:r>
        <w:rPr>
          <w:rStyle w:val="FootnoteReference"/>
        </w:rPr>
        <w:footnoteReference w:id="1595"/>
      </w:r>
      <w:r>
        <w:t xml:space="preserve"> </w:t>
      </w:r>
      <w:r>
        <w:t xml:space="preserve">has been completed; a phase 3 trial with a planned 150 children has been recruiting since 2026</w:t>
      </w:r>
      <w:r>
        <w:rPr>
          <w:rStyle w:val="FootnoteReference"/>
        </w:rPr>
        <w:footnoteReference w:id="1596"/>
      </w:r>
      <w:r>
        <w:t xml:space="preserve">, and a long-term safety study is planned</w:t>
      </w:r>
      <w:r>
        <w:rPr>
          <w:rStyle w:val="FootnoteReference"/>
        </w:rPr>
        <w:footnoteReference w:id="1597"/>
      </w:r>
      <w:r>
        <w:t xml:space="preserve">. Another phase 2 trial is to study LUM-201 from 2027 in addition to semaglutide in older people with obesity, in order to limit muscle loss during weight loss</w:t>
      </w:r>
      <w:r>
        <w:rPr>
          <w:rStyle w:val="FootnoteReference"/>
        </w:rPr>
        <w:footnoteReference w:id="1598"/>
      </w:r>
      <w:r>
        <w:t xml:space="preserve">.</w:t>
      </w:r>
    </w:p>
    <w:p>
      <w:pPr>
        <w:pStyle w:val="BodyText"/>
      </w:pPr>
      <w:r>
        <w:rPr>
          <w:iCs/>
          <w:i/>
        </w:rPr>
        <w:t xml:space="preserve">Author’s assessment:</w:t>
      </w:r>
      <w:r>
        <w:t xml:space="preserve"> </w:t>
      </w:r>
      <w:r>
        <w:t xml:space="preserve">Approval for children is conceivable at the earliest after completion of the phase 3 trial, that is, not before the end of the 2020s. Approval for older adults is not in sight after the heart failure signal and the lack of functional improvements.</w:t>
      </w:r>
    </w:p>
    <w:bookmarkEnd w:id="1599"/>
    <w:bookmarkStart w:id="1600" w:name="conclusion-33"/>
    <w:p>
      <w:pPr>
        <w:pStyle w:val="Heading3"/>
      </w:pPr>
      <w:r>
        <w:t xml:space="preserve">Conclusion</w:t>
      </w:r>
    </w:p>
    <w:p>
      <w:pPr>
        <w:pStyle w:val="FirstParagraph"/>
      </w:pPr>
      <w:r>
        <w:t xml:space="preserve">Ibutamoren is the most thoroughly studied orally active agent that persistently stimulates the growth hormone axis. The trials show the basic pattern of the whole group: IGF-1 and lean mass rise, but strength, function and disease course – in aging, hip fracture and Alzheimer’s – did not improve. Instead, blood glucose and weight rose, and one trial in older people was terminated because of heart failure. Gray-market products labeled</w:t>
      </w:r>
      <w:r>
        <w:t xml:space="preserve"> </w:t>
      </w:r>
      <w:r>
        <w:t xml:space="preserve">“</w:t>
      </w:r>
      <w:r>
        <w:t xml:space="preserve">MK-677</w:t>
      </w:r>
      <w:r>
        <w:t xml:space="preserve">”</w:t>
      </w:r>
      <w:r>
        <w:t xml:space="preserve"> </w:t>
      </w:r>
      <w:r>
        <w:t xml:space="preserve">are frequently mislabeled.</w:t>
      </w:r>
    </w:p>
    <w:bookmarkEnd w:id="1600"/>
    <w:bookmarkEnd w:id="1601"/>
    <w:bookmarkEnd w:id="1602"/>
    <w:bookmarkStart w:id="1957" w:name="part-ii-d-brain-sleep-and-longevity"/>
    <w:p>
      <w:pPr>
        <w:pStyle w:val="Heading1"/>
      </w:pPr>
      <w:r>
        <w:t xml:space="preserve">Part II · D – Brain, Sleep and Longevity</w:t>
      </w:r>
    </w:p>
    <w:p>
      <w:pPr>
        <w:pStyle w:val="FirstParagraph"/>
      </w:pPr>
      <w:r>
        <w:t xml:space="preserve">Hardly any group of peptides is promoted on the internet as promisingly as this one: agents for better concentration and memory (</w:t>
      </w:r>
      <w:r>
        <w:t xml:space="preserve">“</w:t>
      </w:r>
      <w:r>
        <w:t xml:space="preserve">nootropics</w:t>
      </w:r>
      <w:r>
        <w:t xml:space="preserve">”</w:t>
      </w:r>
      <w:r>
        <w:t xml:space="preserve">), for deeper sleep, for longer telomeres and</w:t>
      </w:r>
      <w:r>
        <w:t xml:space="preserve"> </w:t>
      </w:r>
      <w:r>
        <w:t xml:space="preserve">“</w:t>
      </w:r>
      <w:r>
        <w:t xml:space="preserve">younger mitochondria.</w:t>
      </w:r>
      <w:r>
        <w:t xml:space="preserve">”</w:t>
      </w:r>
      <w:r>
        <w:t xml:space="preserve"> </w:t>
      </w:r>
      <w:r>
        <w:t xml:space="preserve">What the twelve substances in this section have in common is that they target the brain, cellular aging or energy metabolism – and that the gap between promise and evidence is particularly wide here.</w:t>
      </w:r>
    </w:p>
    <w:bookmarkStart w:id="1603" w:name="what-these-peptides-have-in-common-1"/>
    <w:p>
      <w:pPr>
        <w:pStyle w:val="Heading3"/>
      </w:pPr>
      <w:r>
        <w:t xml:space="preserve">What these peptides have in common</w:t>
      </w:r>
    </w:p>
    <w:p>
      <w:pPr>
        <w:pStyle w:val="FirstParagraph"/>
      </w:pPr>
      <w:r>
        <w:t xml:space="preserve">The group can be roughly divided into three families:</w:t>
      </w:r>
    </w:p>
    <w:p>
      <w:pPr>
        <w:numPr>
          <w:ilvl w:val="0"/>
          <w:numId w:val="1189"/>
        </w:numPr>
        <w:pStyle w:val="Compact"/>
      </w:pPr>
      <w:r>
        <w:rPr>
          <w:bCs/>
          <w:b/>
        </w:rPr>
        <w:t xml:space="preserve">Russian neuropeptides and</w:t>
      </w:r>
      <w:r>
        <w:rPr>
          <w:bCs/>
          <w:b/>
        </w:rPr>
        <w:t xml:space="preserve"> </w:t>
      </w:r>
      <w:r>
        <w:rPr>
          <w:bCs/>
          <w:b/>
        </w:rPr>
        <w:t xml:space="preserve">“</w:t>
      </w:r>
      <w:r>
        <w:rPr>
          <w:bCs/>
          <w:b/>
        </w:rPr>
        <w:t xml:space="preserve">bioregulators</w:t>
      </w:r>
      <w:r>
        <w:rPr>
          <w:bCs/>
          <w:b/>
        </w:rPr>
        <w:t xml:space="preserve">”</w:t>
      </w:r>
      <w:r>
        <w:rPr>
          <w:bCs/>
          <w:b/>
        </w:rPr>
        <w:t xml:space="preserve">:</w:t>
      </w:r>
      <w:r>
        <w:t xml:space="preserve"> </w:t>
      </w:r>
      <w:r>
        <w:t xml:space="preserve">Semax, Selank, DSIP, Epitalon and Pinealon come from Soviet and Russian research. Cerebrolysin, a peptide mixture from pig brain, comes from Austria but is used mainly in Eastern Europe and Asia.</w:t>
      </w:r>
    </w:p>
    <w:p>
      <w:pPr>
        <w:numPr>
          <w:ilvl w:val="0"/>
          <w:numId w:val="1189"/>
        </w:numPr>
        <w:pStyle w:val="Compact"/>
      </w:pPr>
      <w:r>
        <w:rPr>
          <w:bCs/>
          <w:b/>
        </w:rPr>
        <w:t xml:space="preserve">Mitochondrial peptides:</w:t>
      </w:r>
      <w:r>
        <w:t xml:space="preserve"> </w:t>
      </w:r>
      <w:r>
        <w:t xml:space="preserve">MOTS-c and humanin are endogenous signaling molecules encoded in the genome of the mitochondria. SS-31 (elamipretide) is an artificial peptide that binds specifically to the mitochondrial membrane.</w:t>
      </w:r>
    </w:p>
    <w:p>
      <w:pPr>
        <w:numPr>
          <w:ilvl w:val="0"/>
          <w:numId w:val="1189"/>
        </w:numPr>
        <w:pStyle w:val="Compact"/>
      </w:pPr>
      <w:r>
        <w:rPr>
          <w:bCs/>
          <w:b/>
        </w:rPr>
        <w:t xml:space="preserve">Experimental</w:t>
      </w:r>
      <w:r>
        <w:rPr>
          <w:bCs/>
          <w:b/>
        </w:rPr>
        <w:t xml:space="preserve"> </w:t>
      </w:r>
      <w:r>
        <w:rPr>
          <w:bCs/>
          <w:b/>
        </w:rPr>
        <w:t xml:space="preserve">“</w:t>
      </w:r>
      <w:r>
        <w:rPr>
          <w:bCs/>
          <w:b/>
        </w:rPr>
        <w:t xml:space="preserve">anti-aging</w:t>
      </w:r>
      <w:r>
        <w:rPr>
          <w:bCs/>
          <w:b/>
        </w:rPr>
        <w:t xml:space="preserve">”</w:t>
      </w:r>
      <w:r>
        <w:rPr>
          <w:bCs/>
          <w:b/>
        </w:rPr>
        <w:t xml:space="preserve"> </w:t>
      </w:r>
      <w:r>
        <w:rPr>
          <w:bCs/>
          <w:b/>
        </w:rPr>
        <w:t xml:space="preserve">molecules:</w:t>
      </w:r>
      <w:r>
        <w:t xml:space="preserve"> </w:t>
      </w:r>
      <w:r>
        <w:t xml:space="preserve">Dihexa (a derivative of angiotensin IV) and FOXO4-DRI (a senolytic intended to eliminate aged cells) have never been studied in humans. Glutathione, finally, is an endogenous tripeptide sold as a dietary supplement and as an infusion.</w:t>
      </w:r>
    </w:p>
    <w:bookmarkEnd w:id="1603"/>
    <w:bookmarkStart w:id="1604" w:name="the-nootropics-and-longevity-scene"/>
    <w:p>
      <w:pPr>
        <w:pStyle w:val="Heading3"/>
      </w:pPr>
      <w:r>
        <w:t xml:space="preserve">The nootropics and longevity scene</w:t>
      </w:r>
    </w:p>
    <w:p>
      <w:pPr>
        <w:pStyle w:val="FirstParagraph"/>
      </w:pPr>
      <w:r>
        <w:t xml:space="preserve">Anyone searching the internet for these substances quickly ends up in forums, with influencers and at</w:t>
      </w:r>
      <w:r>
        <w:t xml:space="preserve"> </w:t>
      </w:r>
      <w:r>
        <w:t xml:space="preserve">“</w:t>
      </w:r>
      <w:r>
        <w:t xml:space="preserve">longevity clinics.</w:t>
      </w:r>
      <w:r>
        <w:t xml:space="preserve">”</w:t>
      </w:r>
      <w:r>
        <w:t xml:space="preserve"> </w:t>
      </w:r>
      <w:r>
        <w:t xml:space="preserve">Three fallacies are typical, and you will encounter them again and again in the following chapters:</w:t>
      </w:r>
    </w:p>
    <w:p>
      <w:pPr>
        <w:numPr>
          <w:ilvl w:val="0"/>
          <w:numId w:val="1190"/>
        </w:numPr>
        <w:pStyle w:val="Compact"/>
      </w:pPr>
      <w:r>
        <w:rPr>
          <w:bCs/>
          <w:b/>
        </w:rPr>
        <w:t xml:space="preserve">From animal to human:</w:t>
      </w:r>
      <w:r>
        <w:t xml:space="preserve"> </w:t>
      </w:r>
      <w:r>
        <w:t xml:space="preserve">The fact that a peptide improves memory or lifespan in mice says little about whether it works in humans. In stroke and Alzheimer’s research, hundreds of agents that were successful in animals have failed in humans.</w:t>
      </w:r>
    </w:p>
    <w:p>
      <w:pPr>
        <w:numPr>
          <w:ilvl w:val="0"/>
          <w:numId w:val="1190"/>
        </w:numPr>
        <w:pStyle w:val="Compact"/>
      </w:pPr>
      <w:r>
        <w:rPr>
          <w:bCs/>
          <w:b/>
        </w:rPr>
        <w:t xml:space="preserve">From level to injection:</w:t>
      </w:r>
      <w:r>
        <w:t xml:space="preserve"> </w:t>
      </w:r>
      <w:r>
        <w:t xml:space="preserve">The fact that people with low MOTS-c or humanin levels are more often ill does not prove that supplementing them makes people healthy.</w:t>
      </w:r>
    </w:p>
    <w:p>
      <w:pPr>
        <w:numPr>
          <w:ilvl w:val="0"/>
          <w:numId w:val="1190"/>
        </w:numPr>
        <w:pStyle w:val="Compact"/>
      </w:pPr>
      <w:r>
        <w:rPr>
          <w:bCs/>
          <w:b/>
        </w:rPr>
        <w:t xml:space="preserve">From mechanism to benefit:</w:t>
      </w:r>
      <w:r>
        <w:t xml:space="preserve"> </w:t>
      </w:r>
      <w:r>
        <w:t xml:space="preserve">A coherent mechanism –</w:t>
      </w:r>
      <w:r>
        <w:t xml:space="preserve"> </w:t>
      </w:r>
      <w:r>
        <w:t xml:space="preserve">“</w:t>
      </w:r>
      <w:r>
        <w:t xml:space="preserve">protects the mitochondria,</w:t>
      </w:r>
      <w:r>
        <w:t xml:space="preserve">”</w:t>
      </w:r>
      <w:r>
        <w:t xml:space="preserve"> </w:t>
      </w:r>
      <w:r>
        <w:t xml:space="preserve">“</w:t>
      </w:r>
      <w:r>
        <w:t xml:space="preserve">lengthens telomeres</w:t>
      </w:r>
      <w:r>
        <w:t xml:space="preserve">”</w:t>
      </w:r>
      <w:r>
        <w:t xml:space="preserve"> </w:t>
      </w:r>
      <w:r>
        <w:t xml:space="preserve">– is not efficacy. SS-31 is the best example of this: it was tested in several large trials and missed its primary endpoints in heart attack, heart failure and mitochondrial myopathy.</w:t>
      </w:r>
    </w:p>
    <w:p>
      <w:pPr>
        <w:pStyle w:val="FirstParagraph"/>
      </w:pPr>
      <w:r>
        <w:t xml:space="preserve">On top of this, almost all of these substances are sold on the gray market as</w:t>
      </w:r>
      <w:r>
        <w:t xml:space="preserve"> </w:t>
      </w:r>
      <w:r>
        <w:t xml:space="preserve">“</w:t>
      </w:r>
      <w:r>
        <w:t xml:space="preserve">research peptides</w:t>
      </w:r>
      <w:r>
        <w:t xml:space="preserve">”</w:t>
      </w:r>
      <w:r>
        <w:t xml:space="preserve"> </w:t>
      </w:r>
      <w:r>
        <w:t xml:space="preserve">– without quality control (see Part I and Part IV).</w:t>
      </w:r>
    </w:p>
    <w:bookmarkEnd w:id="1604"/>
    <w:bookmarkStart w:id="1605" w:name="X6e2cf81bff86aebdd6fe6c6182971ac389537b5"/>
    <w:p>
      <w:pPr>
        <w:pStyle w:val="Heading3"/>
      </w:pPr>
      <w:r>
        <w:t xml:space="preserve">Russian peptide research and its publication record</w:t>
      </w:r>
    </w:p>
    <w:p>
      <w:pPr>
        <w:pStyle w:val="FirstParagraph"/>
      </w:pPr>
      <w:r>
        <w:t xml:space="preserve">A large part of the literature on Semax, Selank, DSIP, Epitalon and Pinealon comes from a few institutes in Moscow and St. Petersburg. That is no reason to reject the research wholesale – but it is a reason for caution:</w:t>
      </w:r>
    </w:p>
    <w:p>
      <w:pPr>
        <w:numPr>
          <w:ilvl w:val="0"/>
          <w:numId w:val="1191"/>
        </w:numPr>
        <w:pStyle w:val="Compact"/>
      </w:pPr>
      <w:r>
        <w:rPr>
          <w:bCs/>
          <w:b/>
        </w:rPr>
        <w:t xml:space="preserve">Approval without international standards:</w:t>
      </w:r>
      <w:r>
        <w:t xml:space="preserve"> </w:t>
      </w:r>
      <w:r>
        <w:t xml:space="preserve">Some peptides are registered as medicines in Russia without large, blinded, preregistered trials having been published of the kind required by the EU or the USA.</w:t>
      </w:r>
    </w:p>
    <w:p>
      <w:pPr>
        <w:numPr>
          <w:ilvl w:val="0"/>
          <w:numId w:val="1191"/>
        </w:numPr>
        <w:pStyle w:val="Compact"/>
      </w:pPr>
      <w:r>
        <w:rPr>
          <w:bCs/>
          <w:b/>
        </w:rPr>
        <w:t xml:space="preserve">Small, uncontrolled studies:</w:t>
      </w:r>
      <w:r>
        <w:t xml:space="preserve"> </w:t>
      </w:r>
      <w:r>
        <w:t xml:space="preserve">Many clinical papers have no placebo group, no randomization, or give no figures in the abstract.</w:t>
      </w:r>
    </w:p>
    <w:p>
      <w:pPr>
        <w:numPr>
          <w:ilvl w:val="0"/>
          <w:numId w:val="1191"/>
        </w:numPr>
        <w:pStyle w:val="Compact"/>
      </w:pPr>
      <w:r>
        <w:rPr>
          <w:bCs/>
          <w:b/>
        </w:rPr>
        <w:t xml:space="preserve">Language and access:</w:t>
      </w:r>
      <w:r>
        <w:t xml:space="preserve"> </w:t>
      </w:r>
      <w:r>
        <w:t xml:space="preserve">Many papers appear only in Russian, often in journals in which the author groups themselves frequently publish.</w:t>
      </w:r>
    </w:p>
    <w:p>
      <w:pPr>
        <w:numPr>
          <w:ilvl w:val="0"/>
          <w:numId w:val="1191"/>
        </w:numPr>
        <w:pStyle w:val="Compact"/>
      </w:pPr>
      <w:r>
        <w:rPr>
          <w:bCs/>
          <w:b/>
        </w:rPr>
        <w:t xml:space="preserve">Lack of replication:</w:t>
      </w:r>
      <w:r>
        <w:t xml:space="preserve"> </w:t>
      </w:r>
      <w:r>
        <w:t xml:space="preserve">Independent groups outside Russia have rarely re-examined the results – and when they have, often with sobering results, as with DSIP.</w:t>
      </w:r>
    </w:p>
    <w:p>
      <w:pPr>
        <w:numPr>
          <w:ilvl w:val="0"/>
          <w:numId w:val="1191"/>
        </w:numPr>
        <w:pStyle w:val="Compact"/>
      </w:pPr>
      <w:r>
        <w:rPr>
          <w:bCs/>
          <w:b/>
        </w:rPr>
        <w:t xml:space="preserve">No registry entries:</w:t>
      </w:r>
      <w:r>
        <w:t xml:space="preserve"> </w:t>
      </w:r>
      <w:r>
        <w:t xml:space="preserve">For Semax, Selank, DSIP and Pinealon, not a single study can be found on ClinicalTrials.gov.</w:t>
      </w:r>
    </w:p>
    <w:bookmarkEnd w:id="1605"/>
    <w:bookmarkStart w:id="1606" w:name="overview-2"/>
    <w:p>
      <w:pPr>
        <w:pStyle w:val="Heading3"/>
      </w:pPr>
      <w:r>
        <w:t xml:space="preserve">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Russia only</w:t>
            </w:r>
          </w:p>
        </w:tc>
        <w:tc>
          <w:tcPr/>
          <w:p>
            <w:pPr>
              <w:pStyle w:val="Compact"/>
              <w:jc w:val="left"/>
            </w:pPr>
            <w:r>
              <w:t xml:space="preserve">ACTH fragment; small stroke studies</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Russia only</w:t>
            </w:r>
          </w:p>
        </w:tc>
        <w:tc>
          <w:tcPr/>
          <w:p>
            <w:pPr>
              <w:pStyle w:val="Compact"/>
              <w:jc w:val="left"/>
            </w:pPr>
            <w:r>
              <w:t xml:space="preserve">anxiolytic; no placebo-controlled studies</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 including Austria</w:t>
            </w:r>
          </w:p>
        </w:tc>
        <w:tc>
          <w:tcPr/>
          <w:p>
            <w:pPr>
              <w:pStyle w:val="Compact"/>
              <w:jc w:val="left"/>
            </w:pPr>
            <w:r>
              <w:t xml:space="preserve">many RCTs, Cochrane cautious</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w:t>
            </w:r>
          </w:p>
        </w:tc>
        <w:tc>
          <w:tcPr/>
          <w:p>
            <w:pPr>
              <w:pStyle w:val="Compact"/>
              <w:jc w:val="left"/>
            </w:pPr>
            <w:r>
              <w:t xml:space="preserve">animal data only; cancer question open</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w:t>
            </w:r>
          </w:p>
        </w:tc>
        <w:tc>
          <w:tcPr/>
          <w:p>
            <w:pPr>
              <w:pStyle w:val="Compact"/>
              <w:jc w:val="left"/>
            </w:pPr>
            <w:r>
              <w:t xml:space="preserve">“</w:t>
            </w:r>
            <w:r>
              <w:t xml:space="preserve">sleep peptide</w:t>
            </w:r>
            <w:r>
              <w:t xml:space="preserve">”</w:t>
            </w:r>
            <w:r>
              <w:t xml:space="preserve"> </w:t>
            </w:r>
            <w:r>
              <w:t xml:space="preserve">without confirmed benefit</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telomere promise only in the lab</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w:t>
            </w:r>
          </w:p>
        </w:tc>
        <w:tc>
          <w:tcPr/>
          <w:p>
            <w:pPr>
              <w:pStyle w:val="Compact"/>
              <w:jc w:val="left"/>
            </w:pPr>
            <w:r>
              <w:t xml:space="preserve">small Russian observations</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w:t>
            </w:r>
          </w:p>
        </w:tc>
        <w:tc>
          <w:tcPr/>
          <w:p>
            <w:pPr>
              <w:pStyle w:val="Compact"/>
              <w:jc w:val="left"/>
            </w:pPr>
            <w:r>
              <w:t xml:space="preserve">mice yes, humans only levels</w:t>
            </w:r>
          </w:p>
        </w:tc>
      </w:tr>
      <w:tr>
        <w:tc>
          <w:tcPr/>
          <w:p>
            <w:pPr>
              <w:pStyle w:val="Compact"/>
              <w:jc w:val="left"/>
            </w:pPr>
            <w:r>
              <w:t xml:space="preserve">Humanin</w:t>
            </w:r>
          </w:p>
        </w:tc>
        <w:tc>
          <w:tcPr/>
          <w:p>
            <w:pPr>
              <w:pStyle w:val="Compact"/>
              <w:jc w:val="left"/>
            </w:pPr>
            <w:r>
              <w:t xml:space="preserve">D</w:t>
            </w:r>
          </w:p>
        </w:tc>
        <w:tc>
          <w:tcPr/>
          <w:p>
            <w:pPr>
              <w:pStyle w:val="Compact"/>
              <w:jc w:val="left"/>
            </w:pPr>
            <w:r>
              <w:t xml:space="preserve">no</w:t>
            </w:r>
          </w:p>
        </w:tc>
        <w:tc>
          <w:tcPr/>
          <w:p>
            <w:pPr>
              <w:pStyle w:val="Compact"/>
              <w:jc w:val="left"/>
            </w:pPr>
            <w:r>
              <w:t xml:space="preserve">biomarker; tumor-promoting in animals</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USA (Barth syndrome)</w:t>
            </w:r>
          </w:p>
        </w:tc>
        <w:tc>
          <w:tcPr/>
          <w:p>
            <w:pPr>
              <w:pStyle w:val="Compact"/>
              <w:jc w:val="left"/>
            </w:pPr>
            <w:r>
              <w:t xml:space="preserve">large trials mostly negative</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w:t>
            </w:r>
          </w:p>
        </w:tc>
        <w:tc>
          <w:tcPr/>
          <w:p>
            <w:pPr>
              <w:pStyle w:val="Compact"/>
              <w:jc w:val="left"/>
            </w:pPr>
            <w:r>
              <w:t xml:space="preserve">senolytic, animal data only</w:t>
            </w:r>
          </w:p>
        </w:tc>
      </w:tr>
      <w:tr>
        <w:tc>
          <w:tcPr/>
          <w:p>
            <w:pPr>
              <w:pStyle w:val="Compact"/>
              <w:jc w:val="left"/>
            </w:pPr>
            <w:r>
              <w:t xml:space="preserve">Glutathione</w:t>
            </w:r>
          </w:p>
        </w:tc>
        <w:tc>
          <w:tcPr/>
          <w:p>
            <w:pPr>
              <w:pStyle w:val="Compact"/>
              <w:jc w:val="left"/>
            </w:pPr>
            <w:r>
              <w:t xml:space="preserve">B</w:t>
            </w:r>
          </w:p>
        </w:tc>
        <w:tc>
          <w:tcPr/>
          <w:p>
            <w:pPr>
              <w:pStyle w:val="Compact"/>
              <w:jc w:val="left"/>
            </w:pPr>
            <w:r>
              <w:t xml:space="preserve">dietary supplement</w:t>
            </w:r>
          </w:p>
        </w:tc>
        <w:tc>
          <w:tcPr/>
          <w:p>
            <w:pPr>
              <w:pStyle w:val="Compact"/>
              <w:jc w:val="left"/>
            </w:pPr>
            <w:r>
              <w:t xml:space="preserve">infusions for skin lightening risky</w:t>
            </w:r>
          </w:p>
        </w:tc>
      </w:tr>
    </w:tbl>
    <w:bookmarkEnd w:id="1606"/>
    <w:bookmarkStart w:id="1607" w:name="reading-guide-3"/>
    <w:p>
      <w:pPr>
        <w:pStyle w:val="Heading3"/>
      </w:pPr>
      <w:r>
        <w:t xml:space="preserve">Reading guide</w:t>
      </w:r>
    </w:p>
    <w:p>
      <w:pPr>
        <w:pStyle w:val="FirstParagraph"/>
      </w:pPr>
      <w:r>
        <w:t xml:space="preserve">The chapters follow the uniform structure of this book. In each chapter, pay particular attention to the section</w:t>
      </w:r>
      <w:r>
        <w:t xml:space="preserve"> </w:t>
      </w:r>
      <w:r>
        <w:t xml:space="preserve">“</w:t>
      </w:r>
      <w:r>
        <w:t xml:space="preserve">Human studies</w:t>
      </w:r>
      <w:r>
        <w:t xml:space="preserve">”</w:t>
      </w:r>
      <w:r>
        <w:t xml:space="preserve"> </w:t>
      </w:r>
      <w:r>
        <w:t xml:space="preserve">and, within it, to the scope of the evidence: for nine of the twelve peptides, there is either no study in which humans received the substance or only very small, methodologically weak studies. The legal situation and FDA status changed several times in 2026; the information reflects the situation as of October 2026 and should be checked for updates.</w:t>
      </w:r>
    </w:p>
    <w:bookmarkEnd w:id="1607"/>
    <w:bookmarkStart w:id="1636" w:name="semax"/>
    <w:p>
      <w:pPr>
        <w:pStyle w:val="Heading2"/>
      </w:pPr>
      <w:r>
        <w:t xml:space="preserve">Semax</w:t>
      </w:r>
    </w:p>
    <w:bookmarkStart w:id="1608" w:name="profile-34"/>
    <w:p>
      <w:pPr>
        <w:pStyle w:val="Heading3"/>
      </w:pPr>
      <w:r>
        <w:t xml:space="preserve">Profile</w:t>
      </w:r>
    </w:p>
    <w:p>
      <w:pPr>
        <w:numPr>
          <w:ilvl w:val="0"/>
          <w:numId w:val="1192"/>
        </w:numPr>
        <w:pStyle w:val="Compact"/>
      </w:pPr>
      <w:r>
        <w:rPr>
          <w:bCs/>
          <w:b/>
        </w:rPr>
        <w:t xml:space="preserve">Type and structure:</w:t>
      </w:r>
      <w:r>
        <w:t xml:space="preserve"> </w:t>
      </w:r>
      <w:r>
        <w:t xml:space="preserve">synthetic heptapeptide (seven amino acids: Met-Glu-His-Phe-Pro-Gly-Pro). The first four building blocks correspond to a fragment of the stress hormone ACTH (adrenocorticotropic hormone, segment 4–7), to which the tripeptide Pro-Gly-Pro is attached, which is intended to slow its breakdown.</w:t>
      </w:r>
    </w:p>
    <w:p>
      <w:pPr>
        <w:numPr>
          <w:ilvl w:val="0"/>
          <w:numId w:val="1192"/>
        </w:numPr>
        <w:pStyle w:val="Compact"/>
      </w:pPr>
      <w:r>
        <w:rPr>
          <w:bCs/>
          <w:b/>
        </w:rPr>
        <w:t xml:space="preserve">Origin:</w:t>
      </w:r>
      <w:r>
        <w:t xml:space="preserve"> </w:t>
      </w:r>
      <w:r>
        <w:t xml:space="preserve">developed from the 1980s onward at the Institute of Molecular Genetics of the Russian Academy of Sciences in Moscow.</w:t>
      </w:r>
    </w:p>
    <w:p>
      <w:pPr>
        <w:numPr>
          <w:ilvl w:val="0"/>
          <w:numId w:val="1192"/>
        </w:numPr>
        <w:pStyle w:val="Compact"/>
      </w:pPr>
      <w:r>
        <w:rPr>
          <w:bCs/>
          <w:b/>
        </w:rPr>
        <w:t xml:space="preserve">Mechanism of action:</w:t>
      </w:r>
      <w:r>
        <w:t xml:space="preserve"> </w:t>
      </w:r>
      <w:r>
        <w:t xml:space="preserve">said to stimulate the production of nerve growth factors (especially BDNF) and to protect nerve cells during oxygen deprivation; unlike ACTH, it does not stimulate the adrenal gland to release cortisol. It is administered as nasal drops.</w:t>
      </w:r>
    </w:p>
    <w:p>
      <w:pPr>
        <w:numPr>
          <w:ilvl w:val="0"/>
          <w:numId w:val="1192"/>
        </w:numPr>
        <w:pStyle w:val="Compact"/>
      </w:pPr>
      <w:r>
        <w:rPr>
          <w:bCs/>
          <w:b/>
        </w:rPr>
        <w:t xml:space="preserve">EU approval:</w:t>
      </w:r>
      <w:r>
        <w:t xml:space="preserve"> </w:t>
      </w:r>
      <w:r>
        <w:t xml:space="preserve">no.</w:t>
      </w:r>
    </w:p>
    <w:p>
      <w:pPr>
        <w:numPr>
          <w:ilvl w:val="0"/>
          <w:numId w:val="1192"/>
        </w:numPr>
        <w:pStyle w:val="Compact"/>
      </w:pPr>
      <w:r>
        <w:rPr>
          <w:bCs/>
          <w:b/>
        </w:rPr>
        <w:t xml:space="preserve">US approval:</w:t>
      </w:r>
      <w:r>
        <w:t xml:space="preserve"> </w:t>
      </w:r>
      <w:r>
        <w:t xml:space="preserve">no. From 2023, Semax was on the FDA list of substances with potential safety risks for pharmacy compounding (</w:t>
      </w:r>
      <w:r>
        <w:t xml:space="preserve">“</w:t>
      </w:r>
      <w:r>
        <w:t xml:space="preserve">Category 2</w:t>
      </w:r>
      <w:r>
        <w:t xml:space="preserve">”</w:t>
      </w:r>
      <w:r>
        <w:t xml:space="preserve">); it was removed from that list in April 2026, and in July 2026 the advisory committee PCAC narrowly recommended its inclusion in the list of permitted bulk substances for compounding. That is not approval as a medicine.</w:t>
      </w:r>
    </w:p>
    <w:p>
      <w:pPr>
        <w:numPr>
          <w:ilvl w:val="0"/>
          <w:numId w:val="1192"/>
        </w:numPr>
        <w:pStyle w:val="Compact"/>
      </w:pPr>
      <w:r>
        <w:rPr>
          <w:bCs/>
          <w:b/>
        </w:rPr>
        <w:t xml:space="preserve">Russia and some neighboring countries:</w:t>
      </w:r>
      <w:r>
        <w:t xml:space="preserve"> </w:t>
      </w:r>
      <w:r>
        <w:t xml:space="preserve">registered as a medicine (nasal drops; 0.1% solution as a nootropic, 1% solution for stroke).</w:t>
      </w:r>
    </w:p>
    <w:p>
      <w:pPr>
        <w:numPr>
          <w:ilvl w:val="0"/>
          <w:numId w:val="1192"/>
        </w:numPr>
        <w:pStyle w:val="Compact"/>
      </w:pPr>
      <w:r>
        <w:rPr>
          <w:bCs/>
          <w:b/>
        </w:rPr>
        <w:t xml:space="preserve">WADA:</w:t>
      </w:r>
      <w:r>
        <w:t xml:space="preserve"> </w:t>
      </w:r>
      <w:r>
        <w:t xml:space="preserve">not listed by name. Since Semax is approved in Russia, it does not clearly fall under the catch-all category S0 for non-approved substances.</w:t>
      </w:r>
    </w:p>
    <w:p>
      <w:pPr>
        <w:numPr>
          <w:ilvl w:val="0"/>
          <w:numId w:val="1192"/>
        </w:numPr>
        <w:pStyle w:val="Compact"/>
      </w:pPr>
      <w:r>
        <w:rPr>
          <w:bCs/>
          <w:b/>
        </w:rPr>
        <w:t xml:space="preserve">Evidence level:</w:t>
      </w:r>
      <w:r>
        <w:t xml:space="preserve"> </w:t>
      </w:r>
      <w:r>
        <w:rPr>
          <w:bCs/>
          <w:b/>
        </w:rPr>
        <w:t xml:space="preserve">C</w:t>
      </w:r>
      <w:r>
        <w:t xml:space="preserve"> </w:t>
      </w:r>
      <w:r>
        <w:t xml:space="preserve">– a few small, mostly nonrandomized studies from Russian centers.</w:t>
      </w:r>
    </w:p>
    <w:bookmarkEnd w:id="1608"/>
    <w:bookmarkStart w:id="1611" w:name="how-it-is-supposed-to-work-34"/>
    <w:p>
      <w:pPr>
        <w:pStyle w:val="Heading3"/>
      </w:pPr>
      <w:r>
        <w:t xml:space="preserve">How it is supposed to work</w:t>
      </w:r>
    </w:p>
    <w:p>
      <w:pPr>
        <w:pStyle w:val="FirstParagraph"/>
      </w:pPr>
      <w:r>
        <w:t xml:space="preserve">ACTH is a hormone of the pituitary gland that stimulates the adrenal gland to produce cortisol. As early as the 1970s, it was noticed that short fragments of this hormone – without the effect on the adrenal gland – influence attention and learning in animals. Such fragments, however, are broken down in the body within minutes. The developers of Semax therefore extended the fragment ACTH(4–7) with the sequence Pro-Gly-Pro, which is more stable against protein-cleaving enzymes.</w:t>
      </w:r>
    </w:p>
    <w:p>
      <w:pPr>
        <w:pStyle w:val="BodyText"/>
      </w:pPr>
      <w:r>
        <w:t xml:space="preserve">For the mechanism of action, the developers rely mainly on animal data:</w:t>
      </w:r>
    </w:p>
    <w:p>
      <w:pPr>
        <w:numPr>
          <w:ilvl w:val="0"/>
          <w:numId w:val="1193"/>
        </w:numPr>
        <w:pStyle w:val="Compact"/>
      </w:pPr>
      <w:r>
        <w:rPr>
          <w:bCs/>
          <w:b/>
        </w:rPr>
        <w:t xml:space="preserve">Nerve growth factors:</w:t>
      </w:r>
      <w:r>
        <w:t xml:space="preserve"> </w:t>
      </w:r>
      <w:r>
        <w:t xml:space="preserve">In rats, specific binding sites for labeled Semax were found in the basal forebrain; after intranasal administration, the content of BDNF (brain-derived neurotrophic factor), a protein that promotes the adaptability of nerve connections, rose there within three hours. This was not the case in the cerebellum</w:t>
      </w:r>
      <w:r>
        <w:rPr>
          <w:rStyle w:val="FootnoteReference"/>
        </w:rPr>
        <w:footnoteReference w:id="1609"/>
      </w:r>
      <w:r>
        <w:t xml:space="preserve">.</w:t>
      </w:r>
    </w:p>
    <w:p>
      <w:pPr>
        <w:numPr>
          <w:ilvl w:val="0"/>
          <w:numId w:val="1193"/>
        </w:numPr>
        <w:pStyle w:val="Compact"/>
      </w:pPr>
      <w:r>
        <w:rPr>
          <w:bCs/>
          <w:b/>
        </w:rPr>
        <w:t xml:space="preserve">Gene activity after stroke:</w:t>
      </w:r>
      <w:r>
        <w:t xml:space="preserve"> </w:t>
      </w:r>
      <w:r>
        <w:t xml:space="preserve">In a rat stroke model, Semax altered the activity of numerous genes, especially those of the immune system and blood vessel formation</w:t>
      </w:r>
      <w:r>
        <w:rPr>
          <w:rStyle w:val="FootnoteReference"/>
        </w:rPr>
        <w:footnoteReference w:id="1610"/>
      </w:r>
      <w:r>
        <w:t xml:space="preserve">.</w:t>
      </w:r>
    </w:p>
    <w:p>
      <w:pPr>
        <w:pStyle w:val="FirstParagraph"/>
      </w:pPr>
      <w:r>
        <w:t xml:space="preserve">A dedicated receptor for Semax has not been identified. Whether the BDNF increases measured in rats occur in comparable form in humans and whether they are sufficient for a benefit is open.</w:t>
      </w:r>
    </w:p>
    <w:bookmarkEnd w:id="1611"/>
    <w:bookmarkStart w:id="1623" w:name="human-studies-34"/>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only 4 publications classified as human studies; in total, PubMed lists around 210 papers with</w:t>
      </w:r>
      <w:r>
        <w:t xml:space="preserve"> </w:t>
      </w:r>
      <w:r>
        <w:t xml:space="preserve">“</w:t>
      </w:r>
      <w:r>
        <w:t xml:space="preserve">Semax</w:t>
      </w:r>
      <w:r>
        <w:t xml:space="preserve">”</w:t>
      </w:r>
      <w:r>
        <w:t xml:space="preserve"> </w:t>
      </w:r>
      <w:r>
        <w:t xml:space="preserve">in the title or abstract, the vast majority of them animal and laboratory studies. Not a single study is registered on ClinicalTrials.gov. A targeted follow-up search found a few further small clinical papers. Virtually all come from Russian institutions, many from the developers’ circle, and have been published only in Russian with an English abstract.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Gusev 1997, PMID 11517472</w:t>
            </w:r>
          </w:p>
        </w:tc>
        <w:tc>
          <w:tcPr/>
          <w:p>
            <w:pPr>
              <w:pStyle w:val="Compact"/>
              <w:jc w:val="left"/>
            </w:pPr>
            <w:r>
              <w:t xml:space="preserve">30 people with acute ischemic stroke, compared with 80 people on standard therapy, nonrandomized</w:t>
            </w:r>
          </w:p>
        </w:tc>
        <w:tc>
          <w:tcPr/>
          <w:p>
            <w:pPr>
              <w:pStyle w:val="Compact"/>
              <w:jc w:val="left"/>
            </w:pPr>
            <w:r>
              <w:t xml:space="preserve">5–10 days of treatment</w:t>
            </w:r>
          </w:p>
        </w:tc>
        <w:tc>
          <w:tcPr/>
          <w:p>
            <w:pPr>
              <w:pStyle w:val="Compact"/>
              <w:jc w:val="left"/>
            </w:pPr>
            <w:r>
              <w:t xml:space="preserve">“</w:t>
            </w:r>
            <w:r>
              <w:t xml:space="preserve">some influence</w:t>
            </w:r>
            <w:r>
              <w:t xml:space="preserve">”</w:t>
            </w:r>
            <w:r>
              <w:t xml:space="preserve"> </w:t>
            </w:r>
            <w:r>
              <w:t xml:space="preserve">on the speed of recovery of neurological deficits, no effect sizes in the abstract</w:t>
            </w:r>
          </w:p>
        </w:tc>
      </w:tr>
      <w:tr>
        <w:tc>
          <w:tcPr/>
          <w:p>
            <w:pPr>
              <w:pStyle w:val="Compact"/>
              <w:jc w:val="left"/>
            </w:pPr>
            <w:r>
              <w:t xml:space="preserve">Gusev 2005, PMID 15792140</w:t>
            </w:r>
          </w:p>
        </w:tc>
        <w:tc>
          <w:tcPr/>
          <w:p>
            <w:pPr>
              <w:pStyle w:val="Compact"/>
              <w:jc w:val="left"/>
            </w:pPr>
            <w:r>
              <w:t xml:space="preserve">187 people with chronic cerebrovascular insufficiency</w:t>
            </w:r>
          </w:p>
        </w:tc>
        <w:tc>
          <w:tcPr/>
          <w:p>
            <w:pPr>
              <w:pStyle w:val="Compact"/>
              <w:jc w:val="left"/>
            </w:pPr>
            <w:r>
              <w:t xml:space="preserve">not stated</w:t>
            </w:r>
          </w:p>
        </w:tc>
        <w:tc>
          <w:tcPr/>
          <w:p>
            <w:pPr>
              <w:pStyle w:val="Compact"/>
              <w:jc w:val="left"/>
            </w:pPr>
            <w:r>
              <w:t xml:space="preserve">according to the authors, clinical improvement and fewer strokes; design and figures not in the abstract</w:t>
            </w:r>
          </w:p>
        </w:tc>
      </w:tr>
      <w:tr>
        <w:tc>
          <w:tcPr/>
          <w:p>
            <w:pPr>
              <w:pStyle w:val="Compact"/>
              <w:jc w:val="left"/>
            </w:pPr>
            <w:r>
              <w:t xml:space="preserve">Gusev 2018, PMID 29798983</w:t>
            </w:r>
          </w:p>
        </w:tc>
        <w:tc>
          <w:tcPr/>
          <w:p>
            <w:pPr>
              <w:pStyle w:val="Compact"/>
              <w:jc w:val="left"/>
            </w:pPr>
            <w:r>
              <w:t xml:space="preserve">110 people after stroke, early or late rehabilitation, each with or without Semax</w:t>
            </w:r>
          </w:p>
        </w:tc>
        <w:tc>
          <w:tcPr/>
          <w:p>
            <w:pPr>
              <w:pStyle w:val="Compact"/>
              <w:jc w:val="left"/>
            </w:pPr>
            <w:r>
              <w:t xml:space="preserve">about 5 months</w:t>
            </w:r>
          </w:p>
        </w:tc>
        <w:tc>
          <w:tcPr/>
          <w:p>
            <w:pPr>
              <w:pStyle w:val="Compact"/>
              <w:jc w:val="left"/>
            </w:pPr>
            <w:r>
              <w:t xml:space="preserve">higher BDNF level in the blood, faster improvement in the Barthel index</w:t>
            </w:r>
          </w:p>
        </w:tc>
      </w:tr>
      <w:tr>
        <w:tc>
          <w:tcPr/>
          <w:p>
            <w:pPr>
              <w:pStyle w:val="Compact"/>
              <w:jc w:val="left"/>
            </w:pPr>
            <w:r>
              <w:t xml:space="preserve">Serdiuk 2007, PMID 18379501</w:t>
            </w:r>
          </w:p>
        </w:tc>
        <w:tc>
          <w:tcPr/>
          <w:p>
            <w:pPr>
              <w:pStyle w:val="Compact"/>
              <w:jc w:val="left"/>
            </w:pPr>
            <w:r>
              <w:t xml:space="preserve">27 people with motor neuron disease (e.g., ALS), open-label</w:t>
            </w:r>
          </w:p>
        </w:tc>
        <w:tc>
          <w:tcPr/>
          <w:p>
            <w:pPr>
              <w:pStyle w:val="Compact"/>
              <w:jc w:val="left"/>
            </w:pPr>
            <w:r>
              <w:t xml:space="preserve">48 days</w:t>
            </w:r>
          </w:p>
        </w:tc>
        <w:tc>
          <w:tcPr/>
          <w:p>
            <w:pPr>
              <w:pStyle w:val="Compact"/>
              <w:jc w:val="left"/>
            </w:pPr>
            <w:r>
              <w:t xml:space="preserve">no influence on disease course and muscle findings; better quality-of-life scores</w:t>
            </w:r>
          </w:p>
        </w:tc>
      </w:tr>
      <w:tr>
        <w:tc>
          <w:tcPr/>
          <w:p>
            <w:pPr>
              <w:pStyle w:val="Compact"/>
              <w:jc w:val="left"/>
            </w:pPr>
            <w:r>
              <w:t xml:space="preserve">Polunin 2000, PMID 10741256</w:t>
            </w:r>
          </w:p>
        </w:tc>
        <w:tc>
          <w:tcPr/>
          <w:p>
            <w:pPr>
              <w:pStyle w:val="Compact"/>
              <w:jc w:val="left"/>
            </w:pPr>
            <w:r>
              <w:t xml:space="preserve">people with optic nerve diseases, three groups including control</w:t>
            </w:r>
          </w:p>
        </w:tc>
        <w:tc>
          <w:tcPr/>
          <w:p>
            <w:pPr>
              <w:pStyle w:val="Compact"/>
              <w:jc w:val="left"/>
            </w:pPr>
            <w:r>
              <w:t xml:space="preserve">not stated</w:t>
            </w:r>
          </w:p>
        </w:tc>
        <w:tc>
          <w:tcPr/>
          <w:p>
            <w:pPr>
              <w:pStyle w:val="Compact"/>
              <w:jc w:val="left"/>
            </w:pPr>
            <w:r>
              <w:t xml:space="preserve">according to the authors, better visual acuity and visual field; no figures in the abstract</w:t>
            </w:r>
          </w:p>
        </w:tc>
      </w:tr>
      <w:tr>
        <w:tc>
          <w:tcPr/>
          <w:p>
            <w:pPr>
              <w:pStyle w:val="Compact"/>
              <w:jc w:val="left"/>
            </w:pPr>
            <w:r>
              <w:t xml:space="preserve">Lebedeva 2018, PMID 30225715</w:t>
            </w:r>
          </w:p>
        </w:tc>
        <w:tc>
          <w:tcPr/>
          <w:p>
            <w:pPr>
              <w:pStyle w:val="Compact"/>
              <w:jc w:val="left"/>
            </w:pPr>
            <w:r>
              <w:t xml:space="preserve">24 healthy people, Semax (14) or placebo (10)</w:t>
            </w:r>
          </w:p>
        </w:tc>
        <w:tc>
          <w:tcPr/>
          <w:p>
            <w:pPr>
              <w:pStyle w:val="Compact"/>
              <w:jc w:val="left"/>
            </w:pPr>
            <w:r>
              <w:t xml:space="preserve">single dose, measurement after 20 minutes</w:t>
            </w:r>
          </w:p>
        </w:tc>
        <w:tc>
          <w:tcPr/>
          <w:p>
            <w:pPr>
              <w:pStyle w:val="Compact"/>
              <w:jc w:val="left"/>
            </w:pPr>
            <w:r>
              <w:t xml:space="preserve">altered resting-state network activity on functional MRI</w:t>
            </w:r>
          </w:p>
        </w:tc>
      </w:tr>
    </w:tbl>
    <w:bookmarkStart w:id="1615" w:name="stroke"/>
    <w:p>
      <w:pPr>
        <w:pStyle w:val="Heading4"/>
      </w:pPr>
      <w:r>
        <w:t xml:space="preserve">Stroke</w:t>
      </w:r>
    </w:p>
    <w:p>
      <w:pPr>
        <w:pStyle w:val="FirstParagraph"/>
      </w:pPr>
      <w:r>
        <w:t xml:space="preserve">Stroke is the main indication for which Semax is registered in Russia. The basis for this is thin. In the first clinical study, 30 people with acute stroke received Semax in addition to standard treatment; 80 people who received only standard treatment served as the comparison. The groups were not assigned by randomization. The authors report</w:t>
      </w:r>
      <w:r>
        <w:t xml:space="preserve"> </w:t>
      </w:r>
      <w:r>
        <w:t xml:space="preserve">“</w:t>
      </w:r>
      <w:r>
        <w:t xml:space="preserve">some influence</w:t>
      </w:r>
      <w:r>
        <w:t xml:space="preserve">”</w:t>
      </w:r>
      <w:r>
        <w:t xml:space="preserve"> </w:t>
      </w:r>
      <w:r>
        <w:t xml:space="preserve">on the regression of deficits, especially paralysis</w:t>
      </w:r>
      <w:r>
        <w:rPr>
          <w:rStyle w:val="FootnoteReference"/>
        </w:rPr>
        <w:footnoteReference w:id="1612"/>
      </w:r>
      <w:r>
        <w:t xml:space="preserve">. A follow-up paper by the same group examined inflammatory messengers in the blood and was explicitly a retrospective analysis</w:t>
      </w:r>
      <w:r>
        <w:rPr>
          <w:rStyle w:val="FootnoteReference"/>
        </w:rPr>
        <w:footnoteReference w:id="1613"/>
      </w:r>
      <w:r>
        <w:t xml:space="preserve">.</w:t>
      </w:r>
    </w:p>
    <w:p>
      <w:pPr>
        <w:pStyle w:val="BodyText"/>
      </w:pPr>
      <w:r>
        <w:t xml:space="preserve">The largest study to date, with 110 people after a stroke, compared early and late rehabilitation, each with or without Semax. On Semax, the BDNF level in blood plasma rose and remained elevated during the observation period; the Barthel index, a measure of independence in daily life, improved faster</w:t>
      </w:r>
      <w:r>
        <w:rPr>
          <w:rStyle w:val="FootnoteReference"/>
        </w:rPr>
        <w:footnoteReference w:id="1614"/>
      </w:r>
      <w:r>
        <w:t xml:space="preserve">. The abstract mentions neither randomization nor blinding, and the differences between groups are not given as effect sizes. That is not sufficient to prove a benefit.</w:t>
      </w:r>
    </w:p>
    <w:p>
      <w:pPr>
        <w:pStyle w:val="BodyText"/>
      </w:pPr>
      <w:r>
        <w:t xml:space="preserve">For comparison: among other agents intended to</w:t>
      </w:r>
      <w:r>
        <w:t xml:space="preserve"> </w:t>
      </w:r>
      <w:r>
        <w:t xml:space="preserve">“</w:t>
      </w:r>
      <w:r>
        <w:t xml:space="preserve">protect nerve cells,</w:t>
      </w:r>
      <w:r>
        <w:t xml:space="preserve">”</w:t>
      </w:r>
      <w:r>
        <w:t xml:space="preserve"> </w:t>
      </w:r>
      <w:r>
        <w:t xml:space="preserve">almost all have so far failed in stroke in large, blinded international trials. No such trial exists for Semax.</w:t>
      </w:r>
    </w:p>
    <w:bookmarkEnd w:id="1615"/>
    <w:bookmarkStart w:id="1620" w:name="other-uses-2"/>
    <w:p>
      <w:pPr>
        <w:pStyle w:val="Heading4"/>
      </w:pPr>
      <w:r>
        <w:t xml:space="preserve">Other uses</w:t>
      </w:r>
    </w:p>
    <w:p>
      <w:pPr>
        <w:numPr>
          <w:ilvl w:val="0"/>
          <w:numId w:val="1194"/>
        </w:numPr>
        <w:pStyle w:val="Compact"/>
      </w:pPr>
      <w:r>
        <w:rPr>
          <w:bCs/>
          <w:b/>
        </w:rPr>
        <w:t xml:space="preserve">Motor neuron diseases:</w:t>
      </w:r>
      <w:r>
        <w:t xml:space="preserve"> </w:t>
      </w:r>
      <w:r>
        <w:t xml:space="preserve">In an open-label study with 27 people, Semax changed neither the course of nerve damage on electromyography nor the clinical rating scales. Quality-of-life scores improved, especially mood and motivation, most strongly on day ten</w:t>
      </w:r>
      <w:r>
        <w:rPr>
          <w:rStyle w:val="FootnoteReference"/>
        </w:rPr>
        <w:footnoteReference w:id="1616"/>
      </w:r>
      <w:r>
        <w:t xml:space="preserve">. Without a placebo group, an expectation effect cannot be ruled out.</w:t>
      </w:r>
    </w:p>
    <w:p>
      <w:pPr>
        <w:numPr>
          <w:ilvl w:val="0"/>
          <w:numId w:val="1194"/>
        </w:numPr>
        <w:pStyle w:val="Compact"/>
      </w:pPr>
      <w:r>
        <w:rPr>
          <w:bCs/>
          <w:b/>
        </w:rPr>
        <w:t xml:space="preserve">Optic nerve diseases:</w:t>
      </w:r>
      <w:r>
        <w:t xml:space="preserve"> </w:t>
      </w:r>
      <w:r>
        <w:t xml:space="preserve">A controlled study reports better visual function with add-on Semax treatment, without figures in the abstract</w:t>
      </w:r>
      <w:r>
        <w:rPr>
          <w:rStyle w:val="FootnoteReference"/>
        </w:rPr>
        <w:footnoteReference w:id="1617"/>
      </w:r>
      <w:r>
        <w:t xml:space="preserve">.</w:t>
      </w:r>
    </w:p>
    <w:p>
      <w:pPr>
        <w:numPr>
          <w:ilvl w:val="0"/>
          <w:numId w:val="1194"/>
        </w:numPr>
        <w:pStyle w:val="Compact"/>
      </w:pPr>
      <w:r>
        <w:rPr>
          <w:bCs/>
          <w:b/>
        </w:rPr>
        <w:t xml:space="preserve">Sequelae of oxygen deprivation:</w:t>
      </w:r>
      <w:r>
        <w:t xml:space="preserve"> </w:t>
      </w:r>
      <w:r>
        <w:t xml:space="preserve">In 73 people with brain damage after oxygen deprivation, the authors describe an effect on memory disorders. In some, episodes of seizure-like activity appeared on the EEG after administration; the authors therefore advise giving the first dose under EEG monitoring</w:t>
      </w:r>
      <w:r>
        <w:rPr>
          <w:rStyle w:val="FootnoteReference"/>
        </w:rPr>
        <w:footnoteReference w:id="1618"/>
      </w:r>
      <w:r>
        <w:t xml:space="preserve">.</w:t>
      </w:r>
    </w:p>
    <w:p>
      <w:pPr>
        <w:numPr>
          <w:ilvl w:val="0"/>
          <w:numId w:val="1194"/>
        </w:numPr>
        <w:pStyle w:val="Compact"/>
      </w:pPr>
      <w:r>
        <w:rPr>
          <w:bCs/>
          <w:b/>
        </w:rPr>
        <w:t xml:space="preserve">Stomach ulcer:</w:t>
      </w:r>
      <w:r>
        <w:t xml:space="preserve"> </w:t>
      </w:r>
      <w:r>
        <w:t xml:space="preserve">In a paper on treatment-resistant stomach ulcers, 89.5% of ulcers healed after 14 days with Semax in addition to standard therapy, compared with 30.8% in the control group</w:t>
      </w:r>
      <w:r>
        <w:rPr>
          <w:rStyle w:val="FootnoteReference"/>
        </w:rPr>
        <w:footnoteReference w:id="1619"/>
      </w:r>
      <w:r>
        <w:t xml:space="preserve">. The abstract does not state group size or allocation; the authors themselves call for further studies.</w:t>
      </w:r>
    </w:p>
    <w:bookmarkEnd w:id="1620"/>
    <w:bookmarkStart w:id="1622" w:name="healthy-people-and-nootropic"/>
    <w:p>
      <w:pPr>
        <w:pStyle w:val="Heading4"/>
      </w:pPr>
      <w:r>
        <w:t xml:space="preserve">Healthy people and</w:t>
      </w:r>
      <w:r>
        <w:t xml:space="preserve"> </w:t>
      </w:r>
      <w:r>
        <w:t xml:space="preserve">“</w:t>
      </w:r>
      <w:r>
        <w:t xml:space="preserve">nootropic</w:t>
      </w:r>
      <w:r>
        <w:t xml:space="preserve">”</w:t>
      </w:r>
    </w:p>
    <w:p>
      <w:pPr>
        <w:pStyle w:val="FirstParagraph"/>
      </w:pPr>
      <w:r>
        <w:t xml:space="preserve">On the internet, Semax is offered mainly as an agent to enhance concentration and memory in healthy people. Robust studies on this are lacking. A review by the developers from the 1990s reports that Semax improves memory and attention in healthy men</w:t>
      </w:r>
      <w:r>
        <w:t xml:space="preserve"> </w:t>
      </w:r>
      <w:r>
        <w:t xml:space="preserve">“</w:t>
      </w:r>
      <w:r>
        <w:t xml:space="preserve">under extreme conditions</w:t>
      </w:r>
      <w:r>
        <w:t xml:space="preserve">”</w:t>
      </w:r>
      <w:r>
        <w:t xml:space="preserve"> </w:t>
      </w:r>
      <w:r>
        <w:t xml:space="preserve">but gives no study data in the abstract</w:t>
      </w:r>
      <w:r>
        <w:rPr>
          <w:rStyle w:val="FootnoteReference"/>
        </w:rPr>
        <w:footnoteReference w:id="1621"/>
      </w:r>
      <w:r>
        <w:t xml:space="preserve">. Two small imaging studies in healthy people showed altered activity patterns on functional MRI after a single dose (Lebedeva 2018, PMID 30225715; Panikratova 2020, PMID 32342318, 52 healthy people with Semax, Selank or placebo). Altered brain activity in the scanner, however, is not proof of better performance in everyday life.</w:t>
      </w:r>
    </w:p>
    <w:bookmarkEnd w:id="1622"/>
    <w:bookmarkEnd w:id="1623"/>
    <w:bookmarkStart w:id="1628" w:name="animal-and-laboratory-studies-34"/>
    <w:p>
      <w:pPr>
        <w:pStyle w:val="Heading3"/>
      </w:pPr>
      <w:r>
        <w:t xml:space="preserve">Animal and laboratory studies</w:t>
      </w:r>
    </w:p>
    <w:p>
      <w:pPr>
        <w:pStyle w:val="FirstParagraph"/>
      </w:pPr>
      <w:r>
        <w:t xml:space="preserve">The preclinical literature is extensive and likewise comes mainly from Moscow:</w:t>
      </w:r>
    </w:p>
    <w:p>
      <w:pPr>
        <w:numPr>
          <w:ilvl w:val="0"/>
          <w:numId w:val="1195"/>
        </w:numPr>
        <w:pStyle w:val="Compact"/>
      </w:pPr>
      <w:r>
        <w:t xml:space="preserve">In rats with experimentally induced stroke, Semax altered the activity of genes of the immune and vascular systems</w:t>
      </w:r>
      <w:r>
        <w:rPr>
          <w:rStyle w:val="FootnoteReference"/>
        </w:rPr>
        <w:footnoteReference w:id="1624"/>
      </w:r>
      <w:r>
        <w:t xml:space="preserve">.</w:t>
      </w:r>
    </w:p>
    <w:p>
      <w:pPr>
        <w:numPr>
          <w:ilvl w:val="0"/>
          <w:numId w:val="1195"/>
        </w:numPr>
        <w:pStyle w:val="Compact"/>
      </w:pPr>
      <w:r>
        <w:t xml:space="preserve">In rats whose dopamine system had been damaged with the neurotoxin MPTP, Semax reduced movement and anxiety disorders</w:t>
      </w:r>
      <w:r>
        <w:rPr>
          <w:rStyle w:val="FootnoteReference"/>
        </w:rPr>
        <w:footnoteReference w:id="1625"/>
      </w:r>
      <w:r>
        <w:t xml:space="preserve">.</w:t>
      </w:r>
    </w:p>
    <w:p>
      <w:pPr>
        <w:numPr>
          <w:ilvl w:val="0"/>
          <w:numId w:val="1195"/>
        </w:numPr>
        <w:pStyle w:val="Compact"/>
      </w:pPr>
      <w:r>
        <w:t xml:space="preserve">In genetically modified mice with Alzheimer-like deposits, Semax and a derivative improved behavior in memory tests and reduced the number of amyloid deposits</w:t>
      </w:r>
      <w:r>
        <w:rPr>
          <w:rStyle w:val="FootnoteReference"/>
        </w:rPr>
        <w:footnoteReference w:id="1626"/>
      </w:r>
      <w:r>
        <w:t xml:space="preserve">.</w:t>
      </w:r>
    </w:p>
    <w:p>
      <w:pPr>
        <w:numPr>
          <w:ilvl w:val="0"/>
          <w:numId w:val="1195"/>
        </w:numPr>
        <w:pStyle w:val="Compact"/>
      </w:pPr>
      <w:r>
        <w:t xml:space="preserve">In laboratory experiments, Semax binds copper ions, which dampened the formation of harmful oxygen radicals by amyloid-copper complexes</w:t>
      </w:r>
      <w:r>
        <w:rPr>
          <w:rStyle w:val="FootnoteReference"/>
        </w:rPr>
        <w:footnoteReference w:id="1627"/>
      </w:r>
      <w:r>
        <w:t xml:space="preserve">.</w:t>
      </w:r>
    </w:p>
    <w:p>
      <w:pPr>
        <w:pStyle w:val="FirstParagraph"/>
      </w:pPr>
      <w:r>
        <w:t xml:space="preserve">These results are animal and laboratory findings. Many agents that were protective in such models later failed in humans.</w:t>
      </w:r>
    </w:p>
    <w:bookmarkEnd w:id="1628"/>
    <w:bookmarkStart w:id="1632" w:name="risks-and-side-effects-34"/>
    <w:p>
      <w:pPr>
        <w:pStyle w:val="Heading3"/>
      </w:pPr>
      <w:r>
        <w:t xml:space="preserve">Risks and side effects</w:t>
      </w:r>
    </w:p>
    <w:p>
      <w:pPr>
        <w:pStyle w:val="FirstParagraph"/>
      </w:pPr>
      <w:r>
        <w:rPr>
          <w:bCs/>
          <w:b/>
        </w:rPr>
        <w:t xml:space="preserve">Established:</w:t>
      </w:r>
      <w:r>
        <w:t xml:space="preserve"> </w:t>
      </w:r>
      <w:r>
        <w:t xml:space="preserve">Systematically collected safety data from larger studies do not exist. The Russian papers describe Semax as well tolerated, in some cases explicitly also in older people</w:t>
      </w:r>
      <w:r>
        <w:rPr>
          <w:rStyle w:val="FootnoteReference"/>
        </w:rPr>
        <w:footnoteReference w:id="1629"/>
      </w:r>
      <w:r>
        <w:t xml:space="preserve">. A signal to be taken seriously is the observation of seizure-like EEG changes after administration in individual people with preexisting brain damage</w:t>
      </w:r>
      <w:r>
        <w:rPr>
          <w:rStyle w:val="FootnoteReference"/>
        </w:rPr>
        <w:footnoteReference w:id="1630"/>
      </w:r>
      <w:r>
        <w:t xml:space="preserve">.</w:t>
      </w:r>
    </w:p>
    <w:p>
      <w:pPr>
        <w:pStyle w:val="BodyText"/>
      </w:pPr>
      <w:r>
        <w:rPr>
          <w:bCs/>
          <w:b/>
        </w:rPr>
        <w:t xml:space="preserve">Theoretical:</w:t>
      </w:r>
      <w:r>
        <w:t xml:space="preserve"> </w:t>
      </w:r>
      <w:r>
        <w:t xml:space="preserve">Semax is said to influence growth factors and immune genes; the long-term consequences of such interventions have not been studied. Data are lacking for pregnancy, breastfeeding, children, epilepsy and mental illness.</w:t>
      </w:r>
    </w:p>
    <w:p>
      <w:pPr>
        <w:pStyle w:val="BodyText"/>
      </w:pPr>
      <w:r>
        <w:rPr>
          <w:bCs/>
          <w:b/>
        </w:rPr>
        <w:t xml:space="preserve">Gray market:</w:t>
      </w:r>
      <w:r>
        <w:t xml:space="preserve"> </w:t>
      </w:r>
      <w:r>
        <w:t xml:space="preserve">Outside Russia, Semax is mostly sold as a</w:t>
      </w:r>
      <w:r>
        <w:t xml:space="preserve"> </w:t>
      </w:r>
      <w:r>
        <w:t xml:space="preserve">“</w:t>
      </w:r>
      <w:r>
        <w:t xml:space="preserve">research peptide</w:t>
      </w:r>
      <w:r>
        <w:t xml:space="preserve">”</w:t>
      </w:r>
      <w:r>
        <w:t xml:space="preserve"> </w:t>
      </w:r>
      <w:r>
        <w:t xml:space="preserve">or as a self-mixed nasal solution. The content, purity and sterility of such products are unverified. In 2017 and 2018, a medicines control laboratory identified Semax and Selank in seized, unknown preparations and found through an online search that such</w:t>
      </w:r>
      <w:r>
        <w:t xml:space="preserve"> </w:t>
      </w:r>
      <w:r>
        <w:t xml:space="preserve">“</w:t>
      </w:r>
      <w:r>
        <w:t xml:space="preserve">nootropic peptides</w:t>
      </w:r>
      <w:r>
        <w:t xml:space="preserve">”</w:t>
      </w:r>
      <w:r>
        <w:t xml:space="preserve"> </w:t>
      </w:r>
      <w:r>
        <w:t xml:space="preserve">are freely offered as powder for injection or as nasal spray</w:t>
      </w:r>
      <w:r>
        <w:rPr>
          <w:rStyle w:val="FootnoteReference"/>
        </w:rPr>
        <w:footnoteReference w:id="1631"/>
      </w:r>
      <w:r>
        <w:t xml:space="preserve">. More on this in Part I and Part IV.</w:t>
      </w:r>
    </w:p>
    <w:bookmarkEnd w:id="1632"/>
    <w:bookmarkStart w:id="1633" w:name="legal-status-34"/>
    <w:p>
      <w:pPr>
        <w:pStyle w:val="Heading3"/>
      </w:pPr>
      <w:r>
        <w:t xml:space="preserve">Legal status</w:t>
      </w:r>
    </w:p>
    <w:p>
      <w:pPr>
        <w:numPr>
          <w:ilvl w:val="0"/>
          <w:numId w:val="1196"/>
        </w:numPr>
        <w:pStyle w:val="Compact"/>
      </w:pPr>
      <w:r>
        <w:rPr>
          <w:bCs/>
          <w:b/>
        </w:rPr>
        <w:t xml:space="preserve">EU / Austria / Germany:</w:t>
      </w:r>
      <w:r>
        <w:t xml:space="preserve"> </w:t>
      </w:r>
      <w:r>
        <w:t xml:space="preserve">Semax is not approved. As a substance with an intended effect on bodily functions, it is considered a medicine; sale and advertising without approval are not permitted. Importing it from Russia as a medicine is subject to the rules for individual imports.</w:t>
      </w:r>
    </w:p>
    <w:p>
      <w:pPr>
        <w:numPr>
          <w:ilvl w:val="0"/>
          <w:numId w:val="1196"/>
        </w:numPr>
        <w:pStyle w:val="Compact"/>
      </w:pPr>
      <w:r>
        <w:rPr>
          <w:bCs/>
          <w:b/>
        </w:rPr>
        <w:t xml:space="preserve">USA:</w:t>
      </w:r>
      <w:r>
        <w:t xml:space="preserve"> </w:t>
      </w:r>
      <w:r>
        <w:t xml:space="preserve">not approved. In April 2026, the FDA removed Semax from its</w:t>
      </w:r>
      <w:r>
        <w:t xml:space="preserve"> </w:t>
      </w:r>
      <w:r>
        <w:t xml:space="preserve">“</w:t>
      </w:r>
      <w:r>
        <w:t xml:space="preserve">Category 2</w:t>
      </w:r>
      <w:r>
        <w:t xml:space="preserve">”</w:t>
      </w:r>
      <w:r>
        <w:t xml:space="preserve"> </w:t>
      </w:r>
      <w:r>
        <w:t xml:space="preserve">list; in July 2026, the advisory committee PCAC voted 8 to 5 to add Semax to the list of substances that pharmacies may use for compounding. FDA staff had advised against it; the agency’s decision was pending at the time of going to press (as of October 2026, please check for updates).</w:t>
      </w:r>
    </w:p>
    <w:p>
      <w:pPr>
        <w:numPr>
          <w:ilvl w:val="0"/>
          <w:numId w:val="1196"/>
        </w:numPr>
        <w:pStyle w:val="Compact"/>
      </w:pPr>
      <w:r>
        <w:rPr>
          <w:bCs/>
          <w:b/>
        </w:rPr>
        <w:t xml:space="preserve">Russia:</w:t>
      </w:r>
      <w:r>
        <w:t xml:space="preserve"> </w:t>
      </w:r>
      <w:r>
        <w:t xml:space="preserve">registered as a medicine and available in pharmacies.</w:t>
      </w:r>
    </w:p>
    <w:p>
      <w:pPr>
        <w:numPr>
          <w:ilvl w:val="0"/>
          <w:numId w:val="1196"/>
        </w:numPr>
        <w:pStyle w:val="Compact"/>
      </w:pPr>
      <w:r>
        <w:rPr>
          <w:bCs/>
          <w:b/>
        </w:rPr>
        <w:t xml:space="preserve">Sport:</w:t>
      </w:r>
      <w:r>
        <w:t xml:space="preserve"> </w:t>
      </w:r>
      <w:r>
        <w:t xml:space="preserve">not listed by name on the WADA list (as of 2026, please check for updates).</w:t>
      </w:r>
    </w:p>
    <w:bookmarkEnd w:id="1633"/>
    <w:bookmarkStart w:id="1634" w:name="ongoing-studies-and-outlook-34"/>
    <w:p>
      <w:pPr>
        <w:pStyle w:val="Heading3"/>
      </w:pPr>
      <w:r>
        <w:t xml:space="preserve">Ongoing studies and outlook</w:t>
      </w:r>
    </w:p>
    <w:p>
      <w:pPr>
        <w:pStyle w:val="FirstParagraph"/>
      </w:pPr>
      <w:r>
        <w:rPr>
          <w:bCs/>
          <w:b/>
        </w:rPr>
        <w:t xml:space="preserve">Established:</w:t>
      </w:r>
      <w:r>
        <w:t xml:space="preserve"> </w:t>
      </w:r>
      <w:r>
        <w:t xml:space="preserve">No study with Semax is registered on ClinicalTrials.gov (search October 2026). Research in Russia continues to focus on animal models, for example on gene activity after stroke and on Alzheimer’s models.</w:t>
      </w:r>
    </w:p>
    <w:p>
      <w:pPr>
        <w:pStyle w:val="BodyText"/>
      </w:pPr>
      <w:r>
        <w:rPr>
          <w:bCs/>
          <w:b/>
        </w:rPr>
        <w:t xml:space="preserve">Assessment:</w:t>
      </w:r>
      <w:r>
        <w:t xml:space="preserve"> </w:t>
      </w:r>
      <w:r>
        <w:t xml:space="preserve">Without a sufficiently large, blinded, internationally registered trial, Semax is unlikely to achieve approval outside Russia. The discussion in the USA revolves around pharmacy compounding, not around proof of efficacy.</w:t>
      </w:r>
    </w:p>
    <w:bookmarkEnd w:id="1634"/>
    <w:bookmarkStart w:id="1635" w:name="conclusion-34"/>
    <w:p>
      <w:pPr>
        <w:pStyle w:val="Heading3"/>
      </w:pPr>
      <w:r>
        <w:t xml:space="preserve">Conclusion</w:t>
      </w:r>
    </w:p>
    <w:p>
      <w:pPr>
        <w:pStyle w:val="FirstParagraph"/>
      </w:pPr>
      <w:r>
        <w:t xml:space="preserve">Semax is a peptide derived from an ACTH fragment that has been used in Russia for decades and increased nerve growth factors in rats. The human studies are small, mostly nonrandomized and come almost exclusively from the developers’ circle; in stroke, they report faster recovery and higher BDNF levels, without effect sizes of international standard. For performance enhancement in healthy people, there are no meaningful data. The data are not sufficient to assess a benefit or long-term safety.</w:t>
      </w:r>
    </w:p>
    <w:bookmarkEnd w:id="1635"/>
    <w:bookmarkEnd w:id="1636"/>
    <w:bookmarkStart w:id="1659" w:name="selank"/>
    <w:p>
      <w:pPr>
        <w:pStyle w:val="Heading2"/>
      </w:pPr>
      <w:r>
        <w:t xml:space="preserve">Selank</w:t>
      </w:r>
    </w:p>
    <w:bookmarkStart w:id="1637" w:name="profile-35"/>
    <w:p>
      <w:pPr>
        <w:pStyle w:val="Heading3"/>
      </w:pPr>
      <w:r>
        <w:t xml:space="preserve">Profile</w:t>
      </w:r>
    </w:p>
    <w:p>
      <w:pPr>
        <w:numPr>
          <w:ilvl w:val="0"/>
          <w:numId w:val="1197"/>
        </w:numPr>
        <w:pStyle w:val="Compact"/>
      </w:pPr>
      <w:r>
        <w:rPr>
          <w:bCs/>
          <w:b/>
        </w:rPr>
        <w:t xml:space="preserve">Type and structure:</w:t>
      </w:r>
      <w:r>
        <w:t xml:space="preserve"> </w:t>
      </w:r>
      <w:r>
        <w:t xml:space="preserve">synthetic heptapeptide (Thr-Lys-Pro-Arg-Pro-Gly-Pro). The first four amino acids correspond to tuftsin, an endogenous peptide that is cleaved from an antibody fragment and stimulates immune cells; attached to it – as with Semax – is the stabilizing sequence Pro-Gly-Pro.</w:t>
      </w:r>
    </w:p>
    <w:p>
      <w:pPr>
        <w:numPr>
          <w:ilvl w:val="0"/>
          <w:numId w:val="1197"/>
        </w:numPr>
        <w:pStyle w:val="Compact"/>
      </w:pPr>
      <w:r>
        <w:rPr>
          <w:bCs/>
          <w:b/>
        </w:rPr>
        <w:t xml:space="preserve">Origin:</w:t>
      </w:r>
      <w:r>
        <w:t xml:space="preserve"> </w:t>
      </w:r>
      <w:r>
        <w:t xml:space="preserve">developed in Moscow at the Institute of Molecular Genetics and the Zakusov Institute of Pharmacology.</w:t>
      </w:r>
    </w:p>
    <w:p>
      <w:pPr>
        <w:numPr>
          <w:ilvl w:val="0"/>
          <w:numId w:val="1197"/>
        </w:numPr>
        <w:pStyle w:val="Compact"/>
      </w:pPr>
      <w:r>
        <w:rPr>
          <w:bCs/>
          <w:b/>
        </w:rPr>
        <w:t xml:space="preserve">Mechanism of action:</w:t>
      </w:r>
      <w:r>
        <w:t xml:space="preserve"> </w:t>
      </w:r>
      <w:r>
        <w:t xml:space="preserve">said to relieve anxiety without causing drowsiness or dependence as benzodiazepines do. Proposed mechanisms include inhibition of the breakdown of endogenous enkephalins (messengers that dampen pain and stress), effects on the GABA system and on immune messengers. It is administered as nasal drops.</w:t>
      </w:r>
    </w:p>
    <w:p>
      <w:pPr>
        <w:numPr>
          <w:ilvl w:val="0"/>
          <w:numId w:val="1197"/>
        </w:numPr>
        <w:pStyle w:val="Compact"/>
      </w:pPr>
      <w:r>
        <w:rPr>
          <w:bCs/>
          <w:b/>
        </w:rPr>
        <w:t xml:space="preserve">EU approval:</w:t>
      </w:r>
      <w:r>
        <w:t xml:space="preserve"> </w:t>
      </w:r>
      <w:r>
        <w:t xml:space="preserve">no.</w:t>
      </w:r>
    </w:p>
    <w:p>
      <w:pPr>
        <w:numPr>
          <w:ilvl w:val="0"/>
          <w:numId w:val="1197"/>
        </w:numPr>
        <w:pStyle w:val="Compact"/>
      </w:pPr>
      <w:r>
        <w:rPr>
          <w:bCs/>
          <w:b/>
        </w:rPr>
        <w:t xml:space="preserve">US approval:</w:t>
      </w:r>
      <w:r>
        <w:t xml:space="preserve"> </w:t>
      </w:r>
      <w:r>
        <w:t xml:space="preserve">no. In 2023, Selank was on the FDA</w:t>
      </w:r>
      <w:r>
        <w:t xml:space="preserve"> </w:t>
      </w:r>
      <w:r>
        <w:t xml:space="preserve">“</w:t>
      </w:r>
      <w:r>
        <w:t xml:space="preserve">Category 2</w:t>
      </w:r>
      <w:r>
        <w:t xml:space="preserve">”</w:t>
      </w:r>
      <w:r>
        <w:t xml:space="preserve"> </w:t>
      </w:r>
      <w:r>
        <w:t xml:space="preserve">list for pharmacy compounding; its current status is inconsistently documented (as of October 2026, please check for updates).</w:t>
      </w:r>
    </w:p>
    <w:p>
      <w:pPr>
        <w:numPr>
          <w:ilvl w:val="0"/>
          <w:numId w:val="1197"/>
        </w:numPr>
        <w:pStyle w:val="Compact"/>
      </w:pPr>
      <w:r>
        <w:rPr>
          <w:bCs/>
          <w:b/>
        </w:rPr>
        <w:t xml:space="preserve">Russia:</w:t>
      </w:r>
      <w:r>
        <w:t xml:space="preserve"> </w:t>
      </w:r>
      <w:r>
        <w:t xml:space="preserve">registered as a medicine (anxiolytic).</w:t>
      </w:r>
    </w:p>
    <w:p>
      <w:pPr>
        <w:numPr>
          <w:ilvl w:val="0"/>
          <w:numId w:val="1197"/>
        </w:numPr>
        <w:pStyle w:val="Compact"/>
      </w:pPr>
      <w:r>
        <w:rPr>
          <w:bCs/>
          <w:b/>
        </w:rPr>
        <w:t xml:space="preserve">WADA:</w:t>
      </w:r>
      <w:r>
        <w:t xml:space="preserve"> </w:t>
      </w:r>
      <w:r>
        <w:t xml:space="preserve">not listed by name.</w:t>
      </w:r>
    </w:p>
    <w:p>
      <w:pPr>
        <w:numPr>
          <w:ilvl w:val="0"/>
          <w:numId w:val="1197"/>
        </w:numPr>
        <w:pStyle w:val="Compact"/>
      </w:pPr>
      <w:r>
        <w:rPr>
          <w:bCs/>
          <w:b/>
        </w:rPr>
        <w:t xml:space="preserve">Evidence level:</w:t>
      </w:r>
      <w:r>
        <w:t xml:space="preserve"> </w:t>
      </w:r>
      <w:r>
        <w:rPr>
          <w:bCs/>
          <w:b/>
        </w:rPr>
        <w:t xml:space="preserve">C</w:t>
      </w:r>
      <w:r>
        <w:t xml:space="preserve"> </w:t>
      </w:r>
      <w:r>
        <w:t xml:space="preserve">– three small comparative studies from Russia, without placebo control and without registration.</w:t>
      </w:r>
    </w:p>
    <w:bookmarkEnd w:id="1637"/>
    <w:bookmarkStart w:id="1641" w:name="how-it-is-supposed-to-work-35"/>
    <w:p>
      <w:pPr>
        <w:pStyle w:val="Heading3"/>
      </w:pPr>
      <w:r>
        <w:t xml:space="preserve">How it is supposed to work</w:t>
      </w:r>
    </w:p>
    <w:p>
      <w:pPr>
        <w:pStyle w:val="FirstParagraph"/>
      </w:pPr>
      <w:r>
        <w:t xml:space="preserve">Tuftsin is a short peptide that activates phagocytic cells of the immune system. Animal experiments showed that modifications of it also influence behavior. Selank is one such modification, intended to remain in the body longer thanks to the attached Pro-Gly-Pro.</w:t>
      </w:r>
    </w:p>
    <w:p>
      <w:pPr>
        <w:pStyle w:val="BodyText"/>
      </w:pPr>
      <w:r>
        <w:t xml:space="preserve">There are several hypotheses for the mechanism, based on laboratory and animal data:</w:t>
      </w:r>
    </w:p>
    <w:p>
      <w:pPr>
        <w:numPr>
          <w:ilvl w:val="0"/>
          <w:numId w:val="1198"/>
        </w:numPr>
        <w:pStyle w:val="Compact"/>
      </w:pPr>
      <w:r>
        <w:rPr>
          <w:bCs/>
          <w:b/>
        </w:rPr>
        <w:t xml:space="preserve">Enkephalins:</w:t>
      </w:r>
      <w:r>
        <w:t xml:space="preserve"> </w:t>
      </w:r>
      <w:r>
        <w:t xml:space="preserve">In blood serum, Selank inhibited enzymes that break down enkephalins in the test tube. The researchers also found a shortened half-life of enkephalins in the blood of people with generalized anxiety disorder and concluded that Selank could act via this pathway</w:t>
      </w:r>
      <w:r>
        <w:rPr>
          <w:rStyle w:val="FootnoteReference"/>
        </w:rPr>
        <w:footnoteReference w:id="1638"/>
      </w:r>
      <w:r>
        <w:t xml:space="preserve">.</w:t>
      </w:r>
    </w:p>
    <w:p>
      <w:pPr>
        <w:numPr>
          <w:ilvl w:val="0"/>
          <w:numId w:val="1198"/>
        </w:numPr>
        <w:pStyle w:val="Compact"/>
      </w:pPr>
      <w:r>
        <w:rPr>
          <w:bCs/>
          <w:b/>
        </w:rPr>
        <w:t xml:space="preserve">GABA system:</w:t>
      </w:r>
      <w:r>
        <w:t xml:space="preserve"> </w:t>
      </w:r>
      <w:r>
        <w:t xml:space="preserve">In rats, one hour after administration Selank altered the activity of 45 of 84 examined genes involved in nerve transmission in the cerebral cortex, similarly to the messenger GABA itself. The authors suspect an influence on the GABA system, which is also the target of benzodiazepines</w:t>
      </w:r>
      <w:r>
        <w:rPr>
          <w:rStyle w:val="FootnoteReference"/>
        </w:rPr>
        <w:footnoteReference w:id="1639"/>
      </w:r>
      <w:r>
        <w:t xml:space="preserve">.</w:t>
      </w:r>
    </w:p>
    <w:p>
      <w:pPr>
        <w:numPr>
          <w:ilvl w:val="0"/>
          <w:numId w:val="1198"/>
        </w:numPr>
        <w:pStyle w:val="Compact"/>
      </w:pPr>
      <w:r>
        <w:rPr>
          <w:bCs/>
          <w:b/>
        </w:rPr>
        <w:t xml:space="preserve">Immune system:</w:t>
      </w:r>
      <w:r>
        <w:t xml:space="preserve"> </w:t>
      </w:r>
      <w:r>
        <w:t xml:space="preserve">In rats and mice, Selank influenced inflammatory genes; in cell cultures and in mice, it showed effects against influenza viruses</w:t>
      </w:r>
      <w:r>
        <w:rPr>
          <w:rStyle w:val="FootnoteReference"/>
        </w:rPr>
        <w:footnoteReference w:id="1640"/>
      </w:r>
      <w:r>
        <w:t xml:space="preserve">.</w:t>
      </w:r>
    </w:p>
    <w:p>
      <w:pPr>
        <w:pStyle w:val="FirstParagraph"/>
      </w:pPr>
      <w:r>
        <w:t xml:space="preserve">How much Selank actually reaches the brain in humans after intranasal administration has not been published.</w:t>
      </w:r>
    </w:p>
    <w:bookmarkEnd w:id="1641"/>
    <w:bookmarkStart w:id="1649" w:name="human-studies-35"/>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3 publications classified as human studies; in total, PubMed lists around 70 papers with</w:t>
      </w:r>
      <w:r>
        <w:t xml:space="preserve"> </w:t>
      </w:r>
      <w:r>
        <w:t xml:space="preserve">“</w:t>
      </w:r>
      <w:r>
        <w:t xml:space="preserve">Selank</w:t>
      </w:r>
      <w:r>
        <w:t xml:space="preserve">”</w:t>
      </w:r>
      <w:r>
        <w:t xml:space="preserve"> </w:t>
      </w:r>
      <w:r>
        <w:t xml:space="preserve">in the title or abstract, almost all animal experiments. The search on ClinicalTrials.gov yielded 2 hits – on closer inspection, both concern other procedures (brain stimulation) and are not Selank studies. There is therefore no registered clinical trial with Selank.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Zozulia 2008, PMID 18454096</w:t>
            </w:r>
          </w:p>
        </w:tc>
        <w:tc>
          <w:tcPr/>
          <w:p>
            <w:pPr>
              <w:pStyle w:val="Compact"/>
              <w:jc w:val="left"/>
            </w:pPr>
            <w:r>
              <w:t xml:space="preserve">62 people with generalized anxiety disorder or neurasthenia; Selank (30) vs. medazepam (32)</w:t>
            </w:r>
          </w:p>
        </w:tc>
        <w:tc>
          <w:tcPr/>
          <w:p>
            <w:pPr>
              <w:pStyle w:val="Compact"/>
              <w:jc w:val="left"/>
            </w:pPr>
            <w:r>
              <w:t xml:space="preserve">not in the abstract</w:t>
            </w:r>
          </w:p>
        </w:tc>
        <w:tc>
          <w:tcPr/>
          <w:p>
            <w:pPr>
              <w:pStyle w:val="Compact"/>
              <w:jc w:val="left"/>
            </w:pPr>
            <w:r>
              <w:t xml:space="preserve">anxiolytic effect of both agents similar; with Selank additionally</w:t>
            </w:r>
            <w:r>
              <w:t xml:space="preserve"> </w:t>
            </w:r>
            <w:r>
              <w:t xml:space="preserve">“</w:t>
            </w:r>
            <w:r>
              <w:t xml:space="preserve">activating</w:t>
            </w:r>
            <w:r>
              <w:t xml:space="preserve">”</w:t>
            </w:r>
          </w:p>
        </w:tc>
      </w:tr>
      <w:tr>
        <w:tc>
          <w:tcPr/>
          <w:p>
            <w:pPr>
              <w:pStyle w:val="Compact"/>
              <w:jc w:val="left"/>
            </w:pPr>
            <w:r>
              <w:t xml:space="preserve">Medvedev 2014, PMID 25176261</w:t>
            </w:r>
          </w:p>
        </w:tc>
        <w:tc>
          <w:tcPr/>
          <w:p>
            <w:pPr>
              <w:pStyle w:val="Compact"/>
              <w:jc w:val="left"/>
            </w:pPr>
            <w:r>
              <w:t xml:space="preserve">60 people with anxiety and somatoform disorders; Selank vs. phenazepam</w:t>
            </w:r>
          </w:p>
        </w:tc>
        <w:tc>
          <w:tcPr/>
          <w:p>
            <w:pPr>
              <w:pStyle w:val="Compact"/>
              <w:jc w:val="left"/>
            </w:pPr>
            <w:r>
              <w:t xml:space="preserve">not in the abstract</w:t>
            </w:r>
          </w:p>
        </w:tc>
        <w:tc>
          <w:tcPr/>
          <w:p>
            <w:pPr>
              <w:pStyle w:val="Compact"/>
              <w:jc w:val="left"/>
            </w:pPr>
            <w:r>
              <w:t xml:space="preserve">according to the authors, marked anxiolytic effect that persisted one week after stopping</w:t>
            </w:r>
          </w:p>
        </w:tc>
      </w:tr>
      <w:tr>
        <w:tc>
          <w:tcPr/>
          <w:p>
            <w:pPr>
              <w:pStyle w:val="Compact"/>
              <w:jc w:val="left"/>
            </w:pPr>
            <w:r>
              <w:t xml:space="preserve">Medvedev 2015, PMID 26356395</w:t>
            </w:r>
          </w:p>
        </w:tc>
        <w:tc>
          <w:tcPr/>
          <w:p>
            <w:pPr>
              <w:pStyle w:val="Compact"/>
              <w:jc w:val="left"/>
            </w:pPr>
            <w:r>
              <w:t xml:space="preserve">70 people; phenazepam alone (30) vs. phenazepam plus Selank (40)</w:t>
            </w:r>
          </w:p>
        </w:tc>
        <w:tc>
          <w:tcPr/>
          <w:p>
            <w:pPr>
              <w:pStyle w:val="Compact"/>
              <w:jc w:val="left"/>
            </w:pPr>
            <w:r>
              <w:t xml:space="preserve">not in the abstract</w:t>
            </w:r>
          </w:p>
        </w:tc>
        <w:tc>
          <w:tcPr/>
          <w:p>
            <w:pPr>
              <w:pStyle w:val="Compact"/>
              <w:jc w:val="left"/>
            </w:pPr>
            <w:r>
              <w:t xml:space="preserve">faster onset of action and fewer phenazepam side effects in the combination group</w:t>
            </w:r>
          </w:p>
        </w:tc>
      </w:tr>
      <w:tr>
        <w:tc>
          <w:tcPr/>
          <w:p>
            <w:pPr>
              <w:pStyle w:val="Compact"/>
              <w:jc w:val="left"/>
            </w:pPr>
            <w:r>
              <w:t xml:space="preserve">Uchakina 2008, PMID 18577961</w:t>
            </w:r>
          </w:p>
        </w:tc>
        <w:tc>
          <w:tcPr/>
          <w:p>
            <w:pPr>
              <w:pStyle w:val="Compact"/>
              <w:jc w:val="left"/>
            </w:pPr>
            <w:r>
              <w:t xml:space="preserve">people with anxiety disorder or neurasthenia</w:t>
            </w:r>
          </w:p>
        </w:tc>
        <w:tc>
          <w:tcPr/>
          <w:p>
            <w:pPr>
              <w:pStyle w:val="Compact"/>
              <w:jc w:val="left"/>
            </w:pPr>
            <w:r>
              <w:t xml:space="preserve">14 days</w:t>
            </w:r>
          </w:p>
        </w:tc>
        <w:tc>
          <w:tcPr/>
          <w:p>
            <w:pPr>
              <w:pStyle w:val="Compact"/>
              <w:jc w:val="left"/>
            </w:pPr>
            <w:r>
              <w:t xml:space="preserve">shifts in the balance of immune messengers in the blood</w:t>
            </w:r>
          </w:p>
        </w:tc>
      </w:tr>
      <w:tr>
        <w:tc>
          <w:tcPr/>
          <w:p>
            <w:pPr>
              <w:pStyle w:val="Compact"/>
              <w:jc w:val="left"/>
            </w:pPr>
            <w:r>
              <w:t xml:space="preserve">Panikratova 2020, PMID 32342318</w:t>
            </w:r>
          </w:p>
        </w:tc>
        <w:tc>
          <w:tcPr/>
          <w:p>
            <w:pPr>
              <w:pStyle w:val="Compact"/>
              <w:jc w:val="left"/>
            </w:pPr>
            <w:r>
              <w:t xml:space="preserve">52 healthy people; Selank, Semax or placebo, single dose</w:t>
            </w:r>
          </w:p>
        </w:tc>
        <w:tc>
          <w:tcPr/>
          <w:p>
            <w:pPr>
              <w:pStyle w:val="Compact"/>
              <w:jc w:val="left"/>
            </w:pPr>
            <w:r>
              <w:t xml:space="preserve">20 minutes</w:t>
            </w:r>
          </w:p>
        </w:tc>
        <w:tc>
          <w:tcPr/>
          <w:p>
            <w:pPr>
              <w:pStyle w:val="Compact"/>
              <w:jc w:val="left"/>
            </w:pPr>
            <w:r>
              <w:t xml:space="preserve">altered functional connections of the amygdala on MRI</w:t>
            </w:r>
          </w:p>
        </w:tc>
      </w:tr>
    </w:tbl>
    <w:bookmarkStart w:id="1645" w:name="anxiety-disorders"/>
    <w:p>
      <w:pPr>
        <w:pStyle w:val="Heading4"/>
      </w:pPr>
      <w:r>
        <w:t xml:space="preserve">Anxiety disorders</w:t>
      </w:r>
    </w:p>
    <w:p>
      <w:pPr>
        <w:pStyle w:val="FirstParagraph"/>
      </w:pPr>
      <w:r>
        <w:t xml:space="preserve">All three clinical studies compared Selank with benzodiazepines – medazepam or phenazepam, which is widely used in Russia. In the first study, with 62 people, the anxiolytic effect of Selank and medazepam on questionnaire scales (Hamilton, Zung, CGI) was similar; Selank is said to have additionally acted against fatigue. The researchers also measured the half-life of the messenger Leu-enkephalin in the blood, which increased on Selank</w:t>
      </w:r>
      <w:r>
        <w:rPr>
          <w:rStyle w:val="FootnoteReference"/>
        </w:rPr>
        <w:footnoteReference w:id="1642"/>
      </w:r>
      <w:r>
        <w:t xml:space="preserve">. A second study, with 60 people, describes a pronounced anxiolytic and a mild memory-enhancing effect that persisted for a week beyond the end of treatment</w:t>
      </w:r>
      <w:r>
        <w:rPr>
          <w:rStyle w:val="FootnoteReference"/>
        </w:rPr>
        <w:footnoteReference w:id="1643"/>
      </w:r>
      <w:r>
        <w:t xml:space="preserve">.</w:t>
      </w:r>
    </w:p>
    <w:p>
      <w:pPr>
        <w:pStyle w:val="BodyText"/>
      </w:pPr>
      <w:r>
        <w:t xml:space="preserve">The third study tested Selank as an add-on: 40 people received phenazepam plus Selank, 30 phenazepam alone. According to the authors, the effect began earlier in the combination group, and typical benzodiazepine side effects such as attention and memory problems, fatigue and sexual dysfunction were less frequent – even after the tranquilizer was stopped</w:t>
      </w:r>
      <w:r>
        <w:rPr>
          <w:rStyle w:val="FootnoteReference"/>
        </w:rPr>
        <w:footnoteReference w:id="1644"/>
      </w:r>
      <w:r>
        <w:t xml:space="preserve">.</w:t>
      </w:r>
    </w:p>
    <w:p>
      <w:pPr>
        <w:pStyle w:val="BodyText"/>
      </w:pPr>
      <w:r>
        <w:t xml:space="preserve">These results sound encouraging but have clear limitations:</w:t>
      </w:r>
    </w:p>
    <w:p>
      <w:pPr>
        <w:numPr>
          <w:ilvl w:val="0"/>
          <w:numId w:val="1199"/>
        </w:numPr>
        <w:pStyle w:val="Compact"/>
      </w:pPr>
      <w:r>
        <w:rPr>
          <w:bCs/>
          <w:b/>
        </w:rPr>
        <w:t xml:space="preserve">No placebo:</w:t>
      </w:r>
      <w:r>
        <w:t xml:space="preserve"> </w:t>
      </w:r>
      <w:r>
        <w:t xml:space="preserve">In anxiety disorders, symptoms often improve considerably even on dummy medications. Without a placebo group, it is impossible to say what share is attributable to Selank.</w:t>
      </w:r>
    </w:p>
    <w:p>
      <w:pPr>
        <w:numPr>
          <w:ilvl w:val="0"/>
          <w:numId w:val="1199"/>
        </w:numPr>
        <w:pStyle w:val="Compact"/>
      </w:pPr>
      <w:r>
        <w:rPr>
          <w:bCs/>
          <w:b/>
        </w:rPr>
        <w:t xml:space="preserve">“</w:t>
      </w:r>
      <w:r>
        <w:rPr>
          <w:bCs/>
          <w:b/>
        </w:rPr>
        <w:t xml:space="preserve">Similarly effective</w:t>
      </w:r>
      <w:r>
        <w:rPr>
          <w:bCs/>
          <w:b/>
        </w:rPr>
        <w:t xml:space="preserve">”</w:t>
      </w:r>
      <w:r>
        <w:rPr>
          <w:bCs/>
          <w:b/>
        </w:rPr>
        <w:t xml:space="preserve"> </w:t>
      </w:r>
      <w:r>
        <w:rPr>
          <w:bCs/>
          <w:b/>
        </w:rPr>
        <w:t xml:space="preserve">is not proof:</w:t>
      </w:r>
      <w:r>
        <w:t xml:space="preserve"> </w:t>
      </w:r>
      <w:r>
        <w:t xml:space="preserve">Demonstrating equivalence requires predefined margins and a sufficient number of participants. Neither is discernible in the abstracts.</w:t>
      </w:r>
    </w:p>
    <w:p>
      <w:pPr>
        <w:numPr>
          <w:ilvl w:val="0"/>
          <w:numId w:val="1199"/>
        </w:numPr>
        <w:pStyle w:val="Compact"/>
      </w:pPr>
      <w:r>
        <w:rPr>
          <w:bCs/>
          <w:b/>
        </w:rPr>
        <w:t xml:space="preserve">Short observation, small groups, no registration:</w:t>
      </w:r>
      <w:r>
        <w:t xml:space="preserve"> </w:t>
      </w:r>
      <w:r>
        <w:t xml:space="preserve">All studies come from Russian centers, were not preregistered in a public registry and were published in Russian-language journals.</w:t>
      </w:r>
    </w:p>
    <w:bookmarkEnd w:id="1645"/>
    <w:bookmarkStart w:id="1648" w:name="immune-system-and-healthy-people"/>
    <w:p>
      <w:pPr>
        <w:pStyle w:val="Heading4"/>
      </w:pPr>
      <w:r>
        <w:t xml:space="preserve">Immune system and healthy people</w:t>
      </w:r>
    </w:p>
    <w:p>
      <w:pPr>
        <w:pStyle w:val="FirstParagraph"/>
      </w:pPr>
      <w:r>
        <w:t xml:space="preserve">One paper describes changes in immune messengers (Th1/Th2 balance) in the blood of people with anxiety and fatigue states after 14 days of Selank; in the test tube, Selank suppressed the production of the inflammatory messenger IL-6 in blood cells from people with depression</w:t>
      </w:r>
      <w:r>
        <w:rPr>
          <w:rStyle w:val="FootnoteReference"/>
        </w:rPr>
        <w:footnoteReference w:id="1646"/>
      </w:r>
      <w:r>
        <w:t xml:space="preserve">. Whether this is clinically meaningful has not been studied. In healthy people, a small imaging study after a single dose showed altered connections between the amygdala, a brain region important for anxiety, and parts of the temporal lobe</w:t>
      </w:r>
      <w:r>
        <w:rPr>
          <w:rStyle w:val="FootnoteReference"/>
        </w:rPr>
        <w:footnoteReference w:id="1647"/>
      </w:r>
      <w:r>
        <w:t xml:space="preserve">. Studies on concentration or performance in healthy people – the main promise on the internet – do not exist.</w:t>
      </w:r>
    </w:p>
    <w:bookmarkEnd w:id="1648"/>
    <w:bookmarkEnd w:id="1649"/>
    <w:bookmarkStart w:id="1653" w:name="animal-and-laboratory-studies-35"/>
    <w:p>
      <w:pPr>
        <w:pStyle w:val="Heading3"/>
      </w:pPr>
      <w:r>
        <w:t xml:space="preserve">Animal and laboratory studies</w:t>
      </w:r>
    </w:p>
    <w:p>
      <w:pPr>
        <w:numPr>
          <w:ilvl w:val="0"/>
          <w:numId w:val="1200"/>
        </w:numPr>
        <w:pStyle w:val="Compact"/>
      </w:pPr>
      <w:r>
        <w:t xml:space="preserve">In rats with 30 weeks of alcohol consumption, Selank prevented memory and attention problems during withdrawal and influenced BDNF content in the hippocampus and frontal cortex</w:t>
      </w:r>
      <w:r>
        <w:rPr>
          <w:rStyle w:val="FootnoteReference"/>
        </w:rPr>
        <w:footnoteReference w:id="1650"/>
      </w:r>
      <w:r>
        <w:t xml:space="preserve">.</w:t>
      </w:r>
    </w:p>
    <w:p>
      <w:pPr>
        <w:numPr>
          <w:ilvl w:val="0"/>
          <w:numId w:val="1200"/>
        </w:numPr>
        <w:pStyle w:val="Compact"/>
      </w:pPr>
      <w:r>
        <w:t xml:space="preserve">In rats, Selank altered the activity of numerous genes of the GABA system</w:t>
      </w:r>
      <w:r>
        <w:rPr>
          <w:rStyle w:val="FootnoteReference"/>
        </w:rPr>
        <w:footnoteReference w:id="1651"/>
      </w:r>
      <w:r>
        <w:t xml:space="preserve">.</w:t>
      </w:r>
    </w:p>
    <w:p>
      <w:pPr>
        <w:numPr>
          <w:ilvl w:val="0"/>
          <w:numId w:val="1200"/>
        </w:numPr>
        <w:pStyle w:val="Compact"/>
      </w:pPr>
      <w:r>
        <w:t xml:space="preserve">In cell cultures and in mice, Selank inhibited influenza viruses, most strongly when given before infection</w:t>
      </w:r>
      <w:r>
        <w:rPr>
          <w:rStyle w:val="FootnoteReference"/>
        </w:rPr>
        <w:footnoteReference w:id="1652"/>
      </w:r>
      <w:r>
        <w:t xml:space="preserve">.</w:t>
      </w:r>
    </w:p>
    <w:p>
      <w:pPr>
        <w:numPr>
          <w:ilvl w:val="0"/>
          <w:numId w:val="1200"/>
        </w:numPr>
        <w:pStyle w:val="Compact"/>
      </w:pPr>
      <w:r>
        <w:t xml:space="preserve">Other papers from the same research groups describe effects in rodents in stress, morphine and alcohol withdrawal, and in Parkinson’s models.</w:t>
      </w:r>
    </w:p>
    <w:p>
      <w:pPr>
        <w:pStyle w:val="FirstParagraph"/>
      </w:pPr>
      <w:r>
        <w:t xml:space="preserve">These findings are animal and laboratory findings and come largely from a small circle of research groups.</w:t>
      </w:r>
    </w:p>
    <w:bookmarkEnd w:id="1653"/>
    <w:bookmarkStart w:id="1655" w:name="risks-and-side-effects-35"/>
    <w:p>
      <w:pPr>
        <w:pStyle w:val="Heading3"/>
      </w:pPr>
      <w:r>
        <w:t xml:space="preserve">Risks and side effects</w:t>
      </w:r>
    </w:p>
    <w:p>
      <w:pPr>
        <w:pStyle w:val="FirstParagraph"/>
      </w:pPr>
      <w:r>
        <w:rPr>
          <w:bCs/>
          <w:b/>
        </w:rPr>
        <w:t xml:space="preserve">Established:</w:t>
      </w:r>
      <w:r>
        <w:t xml:space="preserve"> </w:t>
      </w:r>
      <w:r>
        <w:t xml:space="preserve">In the small Russian studies, Selank is described as well tolerated; the abstracts do not give systematically recorded rates of side effects. Long-term data and data on dependence or withdrawal symptoms are lacking.</w:t>
      </w:r>
    </w:p>
    <w:p>
      <w:pPr>
        <w:pStyle w:val="BodyText"/>
      </w:pPr>
      <w:r>
        <w:rPr>
          <w:bCs/>
          <w:b/>
        </w:rPr>
        <w:t xml:space="preserve">Theoretical:</w:t>
      </w:r>
      <w:r>
        <w:t xml:space="preserve"> </w:t>
      </w:r>
      <w:r>
        <w:t xml:space="preserve">Selank is said to act on the immune, enkephalin and GABA systems. Interactions with tranquilizers, alcohol or antidepressants have not been studied; the Russian combination study does at least show that Selank is used together with benzodiazepines. No data are available for pregnancy, breastfeeding and children.</w:t>
      </w:r>
    </w:p>
    <w:p>
      <w:pPr>
        <w:pStyle w:val="BodyText"/>
      </w:pPr>
      <w:r>
        <w:rPr>
          <w:bCs/>
          <w:b/>
        </w:rPr>
        <w:t xml:space="preserve">Gray market:</w:t>
      </w:r>
      <w:r>
        <w:t xml:space="preserve"> </w:t>
      </w:r>
      <w:r>
        <w:t xml:space="preserve">Outside Russia, Selank is sold as a</w:t>
      </w:r>
      <w:r>
        <w:t xml:space="preserve"> </w:t>
      </w:r>
      <w:r>
        <w:t xml:space="preserve">“</w:t>
      </w:r>
      <w:r>
        <w:t xml:space="preserve">research peptide</w:t>
      </w:r>
      <w:r>
        <w:t xml:space="preserve">”</w:t>
      </w:r>
      <w:r>
        <w:t xml:space="preserve"> </w:t>
      </w:r>
      <w:r>
        <w:t xml:space="preserve">as powder for injection or as nasal spray. A Belgian control laboratory found Selank in seized unknown preparations</w:t>
      </w:r>
      <w:r>
        <w:rPr>
          <w:rStyle w:val="FootnoteReference"/>
        </w:rPr>
        <w:footnoteReference w:id="1654"/>
      </w:r>
      <w:r>
        <w:t xml:space="preserve">. Injection is not a route of administration tested in studies; the purity and content of such products are unverified.</w:t>
      </w:r>
    </w:p>
    <w:p>
      <w:pPr>
        <w:pStyle w:val="BodyText"/>
      </w:pPr>
      <w:r>
        <w:rPr>
          <w:bCs/>
          <w:b/>
        </w:rPr>
        <w:t xml:space="preserve">Important:</w:t>
      </w:r>
      <w:r>
        <w:t xml:space="preserve"> </w:t>
      </w:r>
      <w:r>
        <w:t xml:space="preserve">Anxiety disorders are very treatable – with psychotherapy and with approved medications whose effect has been demonstrated in large placebo-controlled trials. A gray-market peptide is no substitute for these.</w:t>
      </w:r>
    </w:p>
    <w:bookmarkEnd w:id="1655"/>
    <w:bookmarkStart w:id="1656" w:name="legal-status-35"/>
    <w:p>
      <w:pPr>
        <w:pStyle w:val="Heading3"/>
      </w:pPr>
      <w:r>
        <w:t xml:space="preserve">Legal status</w:t>
      </w:r>
    </w:p>
    <w:p>
      <w:pPr>
        <w:numPr>
          <w:ilvl w:val="0"/>
          <w:numId w:val="1201"/>
        </w:numPr>
        <w:pStyle w:val="Compact"/>
      </w:pPr>
      <w:r>
        <w:rPr>
          <w:bCs/>
          <w:b/>
        </w:rPr>
        <w:t xml:space="preserve">EU / Austria / Germany:</w:t>
      </w:r>
      <w:r>
        <w:t xml:space="preserve"> </w:t>
      </w:r>
      <w:r>
        <w:t xml:space="preserve">not approved; as a substance with a pharmacological effect, Selank is considered a medicine, and placing it on the market without approval is not permitted.</w:t>
      </w:r>
    </w:p>
    <w:p>
      <w:pPr>
        <w:numPr>
          <w:ilvl w:val="0"/>
          <w:numId w:val="1201"/>
        </w:numPr>
        <w:pStyle w:val="Compact"/>
      </w:pPr>
      <w:r>
        <w:rPr>
          <w:bCs/>
          <w:b/>
        </w:rPr>
        <w:t xml:space="preserve">USA:</w:t>
      </w:r>
      <w:r>
        <w:t xml:space="preserve"> </w:t>
      </w:r>
      <w:r>
        <w:t xml:space="preserve">not approved. In 2023, Selank was placed in FDA</w:t>
      </w:r>
      <w:r>
        <w:t xml:space="preserve"> </w:t>
      </w:r>
      <w:r>
        <w:t xml:space="preserve">“</w:t>
      </w:r>
      <w:r>
        <w:t xml:space="preserve">Category 2</w:t>
      </w:r>
      <w:r>
        <w:t xml:space="preserve">”</w:t>
      </w:r>
      <w:r>
        <w:t xml:space="preserve"> </w:t>
      </w:r>
      <w:r>
        <w:t xml:space="preserve">for compounding substances with safety concerns; according to reports, the nomination was later withdrawn. Selank was not among the peptides evaluated by the advisory committee PCAC in July 2026. To current knowledge, there is no permission for pharmacy compounding (as of October 2026, please check for updates).</w:t>
      </w:r>
    </w:p>
    <w:p>
      <w:pPr>
        <w:numPr>
          <w:ilvl w:val="0"/>
          <w:numId w:val="1201"/>
        </w:numPr>
        <w:pStyle w:val="Compact"/>
      </w:pPr>
      <w:r>
        <w:rPr>
          <w:bCs/>
          <w:b/>
        </w:rPr>
        <w:t xml:space="preserve">Russia:</w:t>
      </w:r>
      <w:r>
        <w:t xml:space="preserve"> </w:t>
      </w:r>
      <w:r>
        <w:t xml:space="preserve">registered as a medicine.</w:t>
      </w:r>
    </w:p>
    <w:p>
      <w:pPr>
        <w:numPr>
          <w:ilvl w:val="0"/>
          <w:numId w:val="1201"/>
        </w:numPr>
        <w:pStyle w:val="Compact"/>
      </w:pPr>
      <w:r>
        <w:rPr>
          <w:bCs/>
          <w:b/>
        </w:rPr>
        <w:t xml:space="preserve">Sport:</w:t>
      </w:r>
      <w:r>
        <w:t xml:space="preserve"> </w:t>
      </w:r>
      <w:r>
        <w:t xml:space="preserve">not listed by name on the WADA list (as of 2026, please check for updates).</w:t>
      </w:r>
    </w:p>
    <w:bookmarkEnd w:id="1656"/>
    <w:bookmarkStart w:id="1657" w:name="ongoing-studies-and-outlook-35"/>
    <w:p>
      <w:pPr>
        <w:pStyle w:val="Heading3"/>
      </w:pPr>
      <w:r>
        <w:t xml:space="preserve">Ongoing studies and outlook</w:t>
      </w:r>
    </w:p>
    <w:p>
      <w:pPr>
        <w:pStyle w:val="FirstParagraph"/>
      </w:pPr>
      <w:r>
        <w:rPr>
          <w:bCs/>
          <w:b/>
        </w:rPr>
        <w:t xml:space="preserve">Established:</w:t>
      </w:r>
      <w:r>
        <w:t xml:space="preserve"> </w:t>
      </w:r>
      <w:r>
        <w:t xml:space="preserve">No study with Selank is registered on ClinicalTrials.gov (search October 2026).</w:t>
      </w:r>
    </w:p>
    <w:p>
      <w:pPr>
        <w:pStyle w:val="BodyText"/>
      </w:pPr>
      <w:r>
        <w:rPr>
          <w:bCs/>
          <w:b/>
        </w:rPr>
        <w:t xml:space="preserve">Assessment:</w:t>
      </w:r>
      <w:r>
        <w:t xml:space="preserve"> </w:t>
      </w:r>
      <w:r>
        <w:t xml:space="preserve">Selank is an example of a peptide that entered clinical use in Russia without meeting the study requirements that apply in the EU or the USA. Approval outside Russia would require at least one larger placebo-controlled trial in anxiety disorders; there are no indications of such a trial.</w:t>
      </w:r>
    </w:p>
    <w:bookmarkEnd w:id="1657"/>
    <w:bookmarkStart w:id="1658" w:name="conclusion-35"/>
    <w:p>
      <w:pPr>
        <w:pStyle w:val="Heading3"/>
      </w:pPr>
      <w:r>
        <w:t xml:space="preserve">Conclusion</w:t>
      </w:r>
    </w:p>
    <w:p>
      <w:pPr>
        <w:pStyle w:val="FirstParagraph"/>
      </w:pPr>
      <w:r>
        <w:t xml:space="preserve">Selank is a tuftsin-derived peptide registered in Russia as an anxiolytic. Three small Russian studies describe an anxiolytic effect similar to that of benzodiazepines, but none of them had a placebo group or was preregistered. Mechanistic hypotheses about enkephalins, GABA and the immune system are based on laboratory and animal data. The data are not sufficient to assess efficacy and safety by today’s standards.</w:t>
      </w:r>
    </w:p>
    <w:bookmarkEnd w:id="1658"/>
    <w:bookmarkEnd w:id="1659"/>
    <w:bookmarkStart w:id="1712" w:name="cerebrolysin"/>
    <w:p>
      <w:pPr>
        <w:pStyle w:val="Heading2"/>
      </w:pPr>
      <w:r>
        <w:t xml:space="preserve">Cerebrolysin</w:t>
      </w:r>
    </w:p>
    <w:bookmarkStart w:id="1660" w:name="profile-36"/>
    <w:p>
      <w:pPr>
        <w:pStyle w:val="Heading3"/>
      </w:pPr>
      <w:r>
        <w:t xml:space="preserve">Profile</w:t>
      </w:r>
    </w:p>
    <w:p>
      <w:pPr>
        <w:numPr>
          <w:ilvl w:val="0"/>
          <w:numId w:val="1202"/>
        </w:numPr>
        <w:pStyle w:val="Compact"/>
      </w:pPr>
      <w:r>
        <w:rPr>
          <w:bCs/>
          <w:b/>
        </w:rPr>
        <w:t xml:space="preserve">Type and structure:</w:t>
      </w:r>
      <w:r>
        <w:t xml:space="preserve"> </w:t>
      </w:r>
      <w:r>
        <w:t xml:space="preserve">not a single peptide but a mixture of short peptides and free amino acids. It is obtained by enzymatic cleavage of purified proteins from pig brain. The exact composition has not been fully described; the manufacturer standardizes the preparation through its manufacturing process and biological assays.</w:t>
      </w:r>
    </w:p>
    <w:p>
      <w:pPr>
        <w:numPr>
          <w:ilvl w:val="0"/>
          <w:numId w:val="1202"/>
        </w:numPr>
        <w:pStyle w:val="Compact"/>
      </w:pPr>
      <w:r>
        <w:rPr>
          <w:bCs/>
          <w:b/>
        </w:rPr>
        <w:t xml:space="preserve">Origin:</w:t>
      </w:r>
      <w:r>
        <w:t xml:space="preserve"> </w:t>
      </w:r>
      <w:r>
        <w:t xml:space="preserve">manufactured for decades by an Austrian company (today EVER Neuro Pharma, Unterach am Attersee).</w:t>
      </w:r>
    </w:p>
    <w:p>
      <w:pPr>
        <w:numPr>
          <w:ilvl w:val="0"/>
          <w:numId w:val="1202"/>
        </w:numPr>
        <w:pStyle w:val="Compact"/>
      </w:pPr>
      <w:r>
        <w:rPr>
          <w:bCs/>
          <w:b/>
        </w:rPr>
        <w:t xml:space="preserve">Mechanism of action:</w:t>
      </w:r>
      <w:r>
        <w:t xml:space="preserve"> </w:t>
      </w:r>
      <w:r>
        <w:t xml:space="preserve">said to mimic the effects of endogenous nerve growth factors – protecting nerve cells (neuroprotection) and promoting repair and remodeling processes (neuroregeneration). It is administered as an infusion or intravenous injection, usually in courses of 10 to 21 days.</w:t>
      </w:r>
    </w:p>
    <w:p>
      <w:pPr>
        <w:numPr>
          <w:ilvl w:val="0"/>
          <w:numId w:val="1202"/>
        </w:numPr>
        <w:pStyle w:val="Compact"/>
      </w:pPr>
      <w:r>
        <w:rPr>
          <w:bCs/>
          <w:b/>
        </w:rPr>
        <w:t xml:space="preserve">EU approval:</w:t>
      </w:r>
      <w:r>
        <w:t xml:space="preserve"> </w:t>
      </w:r>
      <w:r>
        <w:t xml:space="preserve">no centralized EU approval. Nationally approved in Austria and a number of other, mainly Central and Eastern European, countries (depending on the country, for stroke, traumatic brain injury and dementia). To our knowledge, it is not marketed in Germany.</w:t>
      </w:r>
    </w:p>
    <w:p>
      <w:pPr>
        <w:numPr>
          <w:ilvl w:val="0"/>
          <w:numId w:val="1202"/>
        </w:numPr>
        <w:pStyle w:val="Compact"/>
      </w:pPr>
      <w:r>
        <w:rPr>
          <w:bCs/>
          <w:b/>
        </w:rPr>
        <w:t xml:space="preserve">US approval:</w:t>
      </w:r>
      <w:r>
        <w:t xml:space="preserve"> </w:t>
      </w:r>
      <w:r>
        <w:t xml:space="preserve">no.</w:t>
      </w:r>
    </w:p>
    <w:p>
      <w:pPr>
        <w:numPr>
          <w:ilvl w:val="0"/>
          <w:numId w:val="1202"/>
        </w:numPr>
        <w:pStyle w:val="Compact"/>
      </w:pPr>
      <w:r>
        <w:rPr>
          <w:bCs/>
          <w:b/>
        </w:rPr>
        <w:t xml:space="preserve">Other countries:</w:t>
      </w:r>
      <w:r>
        <w:t xml:space="preserve"> </w:t>
      </w:r>
      <w:r>
        <w:t xml:space="preserve">widely used in Russia, other successor states of the Soviet Union, China and other Asian countries.</w:t>
      </w:r>
    </w:p>
    <w:p>
      <w:pPr>
        <w:numPr>
          <w:ilvl w:val="0"/>
          <w:numId w:val="1202"/>
        </w:numPr>
        <w:pStyle w:val="Compact"/>
      </w:pPr>
      <w:r>
        <w:rPr>
          <w:bCs/>
          <w:b/>
        </w:rPr>
        <w:t xml:space="preserve">WADA:</w:t>
      </w:r>
      <w:r>
        <w:t xml:space="preserve"> </w:t>
      </w:r>
      <w:r>
        <w:t xml:space="preserve">not listed.</w:t>
      </w:r>
    </w:p>
    <w:p>
      <w:pPr>
        <w:numPr>
          <w:ilvl w:val="0"/>
          <w:numId w:val="1202"/>
        </w:numPr>
        <w:pStyle w:val="Compact"/>
      </w:pPr>
      <w:r>
        <w:rPr>
          <w:bCs/>
          <w:b/>
        </w:rPr>
        <w:t xml:space="preserve">Evidence level:</w:t>
      </w:r>
      <w:r>
        <w:t xml:space="preserve"> </w:t>
      </w:r>
      <w:r>
        <w:rPr>
          <w:bCs/>
          <w:b/>
        </w:rPr>
        <w:t xml:space="preserve">B</w:t>
      </w:r>
      <w:r>
        <w:t xml:space="preserve"> </w:t>
      </w:r>
      <w:r>
        <w:t xml:space="preserve">– numerous randomized, placebo-controlled trials, including a large one with over 1,000 participants; however, the results are inconsistent, and the two major independent Cochrane reviews reach cautious conclusions.</w:t>
      </w:r>
    </w:p>
    <w:bookmarkEnd w:id="1660"/>
    <w:bookmarkStart w:id="1661" w:name="how-it-is-supposed-to-work-36"/>
    <w:p>
      <w:pPr>
        <w:pStyle w:val="Heading3"/>
      </w:pPr>
      <w:r>
        <w:t xml:space="preserve">How it is supposed to work</w:t>
      </w:r>
    </w:p>
    <w:p>
      <w:pPr>
        <w:pStyle w:val="FirstParagraph"/>
      </w:pPr>
      <w:r>
        <w:t xml:space="preserve">Nerve growth factors such as BDNF, NGF or CNTF are proteins that keep nerve cells alive, stimulate the sprouting of new connections and promote the formation of new nerve cells in certain brain regions. As medicines they are difficult: they are large, barely cross the blood-brain barrier and act at many sites simultaneously.</w:t>
      </w:r>
    </w:p>
    <w:p>
      <w:pPr>
        <w:pStyle w:val="BodyText"/>
      </w:pPr>
      <w:r>
        <w:t xml:space="preserve">Cerebrolysin takes a different approach. Controlled cleavage of pig brain proteins produces a mixture of small fragments. The manufacturer and researchers associated with it assume that some of these fragments trigger signals similar to those of the endogenous growth factors. It is therefore referred to as a</w:t>
      </w:r>
      <w:r>
        <w:t xml:space="preserve"> </w:t>
      </w:r>
      <w:r>
        <w:t xml:space="preserve">“</w:t>
      </w:r>
      <w:r>
        <w:t xml:space="preserve">multimodal</w:t>
      </w:r>
      <w:r>
        <w:t xml:space="preserve">”</w:t>
      </w:r>
      <w:r>
        <w:t xml:space="preserve"> </w:t>
      </w:r>
      <w:r>
        <w:t xml:space="preserve">agent – that is, one intended to influence many pathways at once.</w:t>
      </w:r>
    </w:p>
    <w:p>
      <w:pPr>
        <w:pStyle w:val="BodyText"/>
      </w:pPr>
      <w:r>
        <w:t xml:space="preserve">For readers, this means two things: first, the mechanism is derived mainly from animal and cell experiments. Second, with a mixture it is hard to say which component is responsible for what and how much of it actually reaches the brain.</w:t>
      </w:r>
    </w:p>
    <w:bookmarkEnd w:id="1661"/>
    <w:bookmarkStart w:id="1697" w:name="human-studies-36"/>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88 publications classified as human studies, plus 15 meta-analyses and systematic reviews (including eight versions of Cochrane reviews). On ClinicalTrials.gov, 43 studies were registered, most on stroke, some on traumatic brain injury, dementia, intracerebral hemorrhage, delirium and – during the pandemic – loss of smell after COVID-19. A large proportion of the studies was funded or supported by the manufacturer; many smaller papers come from Russia, Romania, China and Iran.</w:t>
      </w:r>
    </w:p>
    <w:p>
      <w:pPr>
        <w:pStyle w:val="BodyText"/>
      </w:pPr>
      <w:r>
        <w:t xml:space="preserve">A word on the statistics used in many Cerebrolysin trials: instead of a single primary endpoint, they often test a combination of several scales using a so-called Mann-Whitney estimator (MW). It gives the probability that a randomly chosen person from the Cerebrolysin group does better than one from the placebo group. An MW of 0.50 means no difference; values around 0.56 are considered a small, around 0.64 a medium and from 0.71 a large advantage. This method is legitimate, but it makes the results harder to compare with other stroke trials, which usually report the proportion of people without lasting disability.</w:t>
      </w:r>
    </w:p>
    <w:bookmarkStart w:id="1668" w:name="acute-ischemic-stroke"/>
    <w:p>
      <w:pPr>
        <w:pStyle w:val="Heading4"/>
      </w:pPr>
      <w:r>
        <w:t xml:space="preserve">Acute ischemic stroke</w:t>
      </w:r>
    </w:p>
    <w:p>
      <w:pPr>
        <w:pStyle w:val="FirstParagraph"/>
      </w:pPr>
      <w:r>
        <w:t xml:space="preserve">In ischemic stroke, a clot blocks a brain vessel. Established treatments are dissolving the clot with medication (thrombolysis) and removing it with a catheter (thrombectomy).</w:t>
      </w:r>
      <w:r>
        <w:t xml:space="preserve"> </w:t>
      </w:r>
      <w:r>
        <w:t xml:space="preserve">“</w:t>
      </w:r>
      <w:r>
        <w:t xml:space="preserve">Neuroprotective</w:t>
      </w:r>
      <w:r>
        <w:t xml:space="preserve">”</w:t>
      </w:r>
      <w:r>
        <w:t xml:space="preserve"> </w:t>
      </w:r>
      <w:r>
        <w:t xml:space="preserve">add-on agents are intended to protect the surrounding tissue – an approach in which dozens of agents worldwide have failed in large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Ladurner 2005, PMID 15583955</w:t>
            </w:r>
          </w:p>
        </w:tc>
        <w:tc>
          <w:tcPr/>
          <w:p>
            <w:pPr>
              <w:pStyle w:val="Compact"/>
              <w:jc w:val="left"/>
            </w:pPr>
            <w:r>
              <w:t xml:space="preserve">146 people, RCT vs. placebo, start within 24 h</w:t>
            </w:r>
          </w:p>
        </w:tc>
        <w:tc>
          <w:tcPr/>
          <w:p>
            <w:pPr>
              <w:pStyle w:val="Compact"/>
              <w:jc w:val="left"/>
            </w:pPr>
            <w:r>
              <w:t xml:space="preserve">90 days</w:t>
            </w:r>
          </w:p>
        </w:tc>
        <w:tc>
          <w:tcPr/>
          <w:p>
            <w:pPr>
              <w:pStyle w:val="Compact"/>
              <w:jc w:val="left"/>
            </w:pPr>
            <w:r>
              <w:t xml:space="preserve">no improvement in neurological scale, Barthel index and global impression; one cognitive test better</w:t>
            </w:r>
          </w:p>
        </w:tc>
      </w:tr>
      <w:tr>
        <w:tc>
          <w:tcPr/>
          <w:p>
            <w:pPr>
              <w:pStyle w:val="Compact"/>
              <w:jc w:val="left"/>
            </w:pPr>
            <w:r>
              <w:t xml:space="preserve">CASTA (Heiss 2012), PMID 22282884</w:t>
            </w:r>
          </w:p>
        </w:tc>
        <w:tc>
          <w:tcPr/>
          <w:p>
            <w:pPr>
              <w:pStyle w:val="Compact"/>
              <w:jc w:val="left"/>
            </w:pPr>
            <w:r>
              <w:t xml:space="preserve">1,070 people in Asia, double-blind vs. placebo, start within 12 h</w:t>
            </w:r>
          </w:p>
        </w:tc>
        <w:tc>
          <w:tcPr/>
          <w:p>
            <w:pPr>
              <w:pStyle w:val="Compact"/>
              <w:jc w:val="left"/>
            </w:pPr>
            <w:r>
              <w:t xml:space="preserve">90 days</w:t>
            </w:r>
          </w:p>
        </w:tc>
        <w:tc>
          <w:tcPr/>
          <w:p>
            <w:pPr>
              <w:pStyle w:val="Compact"/>
              <w:jc w:val="left"/>
            </w:pPr>
            <w:r>
              <w:t xml:space="preserve">primary endpoint neutral; post hoc subgroup of severely affected with trend in favor of Cerebrolysin</w:t>
            </w:r>
          </w:p>
        </w:tc>
      </w:tr>
      <w:tr>
        <w:tc>
          <w:tcPr/>
          <w:p>
            <w:pPr>
              <w:pStyle w:val="Compact"/>
              <w:jc w:val="left"/>
            </w:pPr>
            <w:r>
              <w:t xml:space="preserve">Lang 2013, PMID 23009193</w:t>
            </w:r>
          </w:p>
        </w:tc>
        <w:tc>
          <w:tcPr/>
          <w:p>
            <w:pPr>
              <w:pStyle w:val="Compact"/>
              <w:jc w:val="left"/>
            </w:pPr>
            <w:r>
              <w:t xml:space="preserve">119 people, in addition to thrombolysis, double-blind</w:t>
            </w:r>
          </w:p>
        </w:tc>
        <w:tc>
          <w:tcPr/>
          <w:p>
            <w:pPr>
              <w:pStyle w:val="Compact"/>
              <w:jc w:val="left"/>
            </w:pPr>
            <w:r>
              <w:t xml:space="preserve">90 days</w:t>
            </w:r>
          </w:p>
        </w:tc>
        <w:tc>
          <w:tcPr/>
          <w:p>
            <w:pPr>
              <w:pStyle w:val="Compact"/>
              <w:jc w:val="left"/>
            </w:pPr>
            <w:r>
              <w:t xml:space="preserve">stopped after interim analysis without benefit in primary endpoint; early improvement on NIHSS more frequent</w:t>
            </w:r>
          </w:p>
        </w:tc>
      </w:tr>
      <w:tr>
        <w:tc>
          <w:tcPr/>
          <w:p>
            <w:pPr>
              <w:pStyle w:val="Compact"/>
              <w:jc w:val="left"/>
            </w:pPr>
            <w:r>
              <w:t xml:space="preserve">CARS (Muresanu 2016), PMID 26564102</w:t>
            </w:r>
          </w:p>
        </w:tc>
        <w:tc>
          <w:tcPr/>
          <w:p>
            <w:pPr>
              <w:pStyle w:val="Compact"/>
              <w:jc w:val="left"/>
            </w:pPr>
            <w:r>
              <w:t xml:space="preserve">people in early rehabilitation, double-blind vs. placebo</w:t>
            </w:r>
          </w:p>
        </w:tc>
        <w:tc>
          <w:tcPr/>
          <w:p>
            <w:pPr>
              <w:pStyle w:val="Compact"/>
              <w:jc w:val="left"/>
            </w:pPr>
            <w:r>
              <w:t xml:space="preserve">90 days</w:t>
            </w:r>
          </w:p>
        </w:tc>
        <w:tc>
          <w:tcPr/>
          <w:p>
            <w:pPr>
              <w:pStyle w:val="Compact"/>
              <w:jc w:val="left"/>
            </w:pPr>
            <w:r>
              <w:t xml:space="preserve">arm function (ARAT) markedly better: MW 0.71</w:t>
            </w:r>
          </w:p>
        </w:tc>
      </w:tr>
      <w:tr>
        <w:tc>
          <w:tcPr/>
          <w:p>
            <w:pPr>
              <w:pStyle w:val="Compact"/>
              <w:jc w:val="left"/>
            </w:pPr>
            <w:r>
              <w:t xml:space="preserve">Gharagozli 2017, PMID 29075343</w:t>
            </w:r>
          </w:p>
        </w:tc>
        <w:tc>
          <w:tcPr/>
          <w:p>
            <w:pPr>
              <w:pStyle w:val="Compact"/>
              <w:jc w:val="left"/>
            </w:pPr>
            <w:r>
              <w:t xml:space="preserve">100 people, double-blind vs. placebo</w:t>
            </w:r>
          </w:p>
        </w:tc>
        <w:tc>
          <w:tcPr/>
          <w:p>
            <w:pPr>
              <w:pStyle w:val="Compact"/>
              <w:jc w:val="left"/>
            </w:pPr>
            <w:r>
              <w:t xml:space="preserve">30 days</w:t>
            </w:r>
          </w:p>
        </w:tc>
        <w:tc>
          <w:tcPr/>
          <w:p>
            <w:pPr>
              <w:pStyle w:val="Compact"/>
              <w:jc w:val="left"/>
            </w:pPr>
            <w:r>
              <w:t xml:space="preserve">NIHSS better: MW 0.66</w:t>
            </w:r>
          </w:p>
        </w:tc>
      </w:tr>
      <w:tr>
        <w:tc>
          <w:tcPr/>
          <w:p>
            <w:pPr>
              <w:pStyle w:val="Compact"/>
              <w:jc w:val="left"/>
            </w:pPr>
            <w:r>
              <w:t xml:space="preserve">CEREHETIS (Khasanova 2023), PMID 36973684</w:t>
            </w:r>
          </w:p>
        </w:tc>
        <w:tc>
          <w:tcPr/>
          <w:p>
            <w:pPr>
              <w:pStyle w:val="Compact"/>
              <w:jc w:val="left"/>
            </w:pPr>
            <w:r>
              <w:t xml:space="preserve">341 people with thrombolysis, open-label randomized</w:t>
            </w:r>
          </w:p>
        </w:tc>
        <w:tc>
          <w:tcPr/>
          <w:p>
            <w:pPr>
              <w:pStyle w:val="Compact"/>
              <w:jc w:val="left"/>
            </w:pPr>
            <w:r>
              <w:t xml:space="preserve">90 days</w:t>
            </w:r>
          </w:p>
        </w:tc>
        <w:tc>
          <w:tcPr/>
          <w:p>
            <w:pPr>
              <w:pStyle w:val="Compact"/>
              <w:jc w:val="left"/>
            </w:pPr>
            <w:r>
              <w:t xml:space="preserve">fewer symptomatic hemorrhages (OR 0.248); no difference in mRS after 90 days</w:t>
            </w:r>
          </w:p>
        </w:tc>
      </w:tr>
    </w:tbl>
    <w:p>
      <w:pPr>
        <w:pStyle w:val="BodyText"/>
      </w:pPr>
      <w:r>
        <w:rPr>
          <w:bCs/>
          <w:b/>
        </w:rPr>
        <w:t xml:space="preserve">CASTA – the largest trial.</w:t>
      </w:r>
      <w:r>
        <w:t xml:space="preserve"> </w:t>
      </w:r>
      <w:r>
        <w:t xml:space="preserve">The</w:t>
      </w:r>
      <w:r>
        <w:t xml:space="preserve"> </w:t>
      </w:r>
      <w:r>
        <w:rPr>
          <w:iCs/>
          <w:i/>
        </w:rPr>
        <w:t xml:space="preserve">Cerebrolysin Acute Stroke Treatment in Asia</w:t>
      </w:r>
      <w:r>
        <w:t xml:space="preserve"> </w:t>
      </w:r>
      <w:r>
        <w:t xml:space="preserve">trial was published in advance with its study protocol</w:t>
      </w:r>
      <w:r>
        <w:rPr>
          <w:rStyle w:val="FootnoteReference"/>
        </w:rPr>
        <w:footnoteReference w:id="1662"/>
      </w:r>
      <w:r>
        <w:t xml:space="preserve"> </w:t>
      </w:r>
      <w:r>
        <w:t xml:space="preserve">and is registered on ClinicalTrials.gov</w:t>
      </w:r>
      <w:r>
        <w:rPr>
          <w:rStyle w:val="FootnoteReference"/>
        </w:rPr>
        <w:footnoteReference w:id="1663"/>
      </w:r>
      <w:r>
        <w:t xml:space="preserve">. 1,070 people with acute stroke received Cerebrolysin or saline within twelve hours for ten days, each in addition to aspirin. The prespecified primary endpoint – a combination of the modified Rankin Scale (mRS, degree of disability), Barthel index (independence in daily life) and NIHSS (severity of neurological deficits) after 90 days – showed</w:t>
      </w:r>
      <w:r>
        <w:t xml:space="preserve"> </w:t>
      </w:r>
      <w:r>
        <w:rPr>
          <w:bCs/>
          <w:b/>
        </w:rPr>
        <w:t xml:space="preserve">no difference</w:t>
      </w:r>
      <w:r>
        <w:t xml:space="preserve">. In a post hoc analysis of the more severely affected (NIHSS above 12), mortality after 90 days was 10.5% on Cerebrolysin compared with 20.2% on placebo</w:t>
      </w:r>
      <w:r>
        <w:rPr>
          <w:rStyle w:val="FootnoteReference"/>
        </w:rPr>
        <w:footnoteReference w:id="1664"/>
      </w:r>
      <w:r>
        <w:t xml:space="preserve">. The authors themselves write that this finding would need to be confirmed in a further trial. Such a large confirmatory trial specifically in severe strokes has not been published to date.</w:t>
      </w:r>
    </w:p>
    <w:p>
      <w:pPr>
        <w:pStyle w:val="BodyText"/>
      </w:pPr>
      <w:r>
        <w:rPr>
          <w:bCs/>
          <w:b/>
        </w:rPr>
        <w:t xml:space="preserve">Together with thrombolysis.</w:t>
      </w:r>
      <w:r>
        <w:t xml:space="preserve"> </w:t>
      </w:r>
      <w:r>
        <w:t xml:space="preserve">In a trial with 119 people, Cerebrolysin was started one hour after thrombolysis. After the third interim analysis, there was no advantage in the primary endpoint (mRS after 90 days), and the trial was stopped. In the first 30 days, more people improved markedly on the NIHSS on Cerebrolysin</w:t>
      </w:r>
      <w:r>
        <w:rPr>
          <w:rStyle w:val="FootnoteReference"/>
        </w:rPr>
        <w:footnoteReference w:id="1665"/>
      </w:r>
      <w:r>
        <w:t xml:space="preserve">. This pattern – early improvements on neurological scales but no clear difference in disability after three months – runs through several trials. The CEREHETIS trial found fewer symptomatic hemorrhages after thrombolysis in 341 people but likewise no difference in mRS after 90 days; it was open-label, that is, not blinded</w:t>
      </w:r>
      <w:r>
        <w:rPr>
          <w:rStyle w:val="FootnoteReference"/>
        </w:rPr>
        <w:footnoteReference w:id="1666"/>
      </w:r>
      <w:r>
        <w:t xml:space="preserve">.</w:t>
      </w:r>
    </w:p>
    <w:p>
      <w:pPr>
        <w:pStyle w:val="BodyText"/>
      </w:pPr>
      <w:r>
        <w:rPr>
          <w:bCs/>
          <w:b/>
        </w:rPr>
        <w:t xml:space="preserve">Thrombectomy.</w:t>
      </w:r>
      <w:r>
        <w:t xml:space="preserve"> </w:t>
      </w:r>
      <w:r>
        <w:t xml:space="preserve">One study compared 50 people who received Cerebrolysin after catheter treatment with 50 previously treated people (historical controls). After 90 days, 68% versus 44% were functionally independent (mRS 0–2), and secondary brain hemorrhages occurred less often</w:t>
      </w:r>
      <w:r>
        <w:rPr>
          <w:rStyle w:val="FootnoteReference"/>
        </w:rPr>
        <w:footnoteReference w:id="1667"/>
      </w:r>
      <w:r>
        <w:t xml:space="preserve">. Without randomization and with comparison against earlier patients, however, this is only an indication; the authors themselves call for randomized trials.</w:t>
      </w:r>
    </w:p>
    <w:bookmarkEnd w:id="1668"/>
    <w:bookmarkStart w:id="1675" w:name="X88ff8211e405c538c74cb6c2b0593dadbae421d"/>
    <w:p>
      <w:pPr>
        <w:pStyle w:val="Heading4"/>
      </w:pPr>
      <w:r>
        <w:t xml:space="preserve">Rehabilitation after stroke: CARS and follow-up trials</w:t>
      </w:r>
    </w:p>
    <w:p>
      <w:pPr>
        <w:pStyle w:val="FirstParagraph"/>
      </w:pPr>
      <w:r>
        <w:t xml:space="preserve">A second approach does not start in the first hours but in early rehabilitation: Cerebrolysin is meant to make the brain</w:t>
      </w:r>
      <w:r>
        <w:t xml:space="preserve"> </w:t>
      </w:r>
      <w:r>
        <w:t xml:space="preserve">“</w:t>
      </w:r>
      <w:r>
        <w:t xml:space="preserve">more capable of learning</w:t>
      </w:r>
      <w:r>
        <w:t xml:space="preserve">”</w:t>
      </w:r>
      <w:r>
        <w:t xml:space="preserve"> </w:t>
      </w:r>
      <w:r>
        <w:t xml:space="preserve">while physiotherapy takes place at the same time.</w:t>
      </w:r>
    </w:p>
    <w:p>
      <w:pPr>
        <w:pStyle w:val="BodyText"/>
      </w:pPr>
      <w:r>
        <w:t xml:space="preserve">The</w:t>
      </w:r>
      <w:r>
        <w:t xml:space="preserve"> </w:t>
      </w:r>
      <w:r>
        <w:rPr>
          <w:bCs/>
          <w:b/>
        </w:rPr>
        <w:t xml:space="preserve">CARS trial</w:t>
      </w:r>
      <w:r>
        <w:t xml:space="preserve"> </w:t>
      </w:r>
      <w:r>
        <w:t xml:space="preserve">(</w:t>
      </w:r>
      <w:r>
        <w:rPr>
          <w:iCs/>
          <w:i/>
        </w:rPr>
        <w:t xml:space="preserve">Cerebrolysin and Recovery After Stroke</w:t>
      </w:r>
      <w:r>
        <w:t xml:space="preserve">) treated people 24 to 72 hours after stroke with Cerebrolysin or placebo for 21 days, in addition to a standardized rehabilitation program. The primary endpoint, the Action Research Arm Test (ARAT) for arm function after 90 days, showed a large advantage (MW 0.71; 95% confidence interval 0.63–0.79); across twelve scales, a small to medium advantage (MW 0.62)</w:t>
      </w:r>
      <w:r>
        <w:rPr>
          <w:rStyle w:val="FootnoteReference"/>
        </w:rPr>
        <w:footnoteReference w:id="1669"/>
      </w:r>
      <w:r>
        <w:t xml:space="preserve">. The authors explicitly describe the trial as exploratory with a relatively small sample size. A prespecified pooled analysis with the identically designed trial CARS-2 (442 people in total) yielded an MW of 0.62 for the ARAT</w:t>
      </w:r>
      <w:r>
        <w:rPr>
          <w:rStyle w:val="FootnoteReference"/>
        </w:rPr>
        <w:footnoteReference w:id="1670"/>
      </w:r>
      <w:r>
        <w:t xml:space="preserve">.</w:t>
      </w:r>
    </w:p>
    <w:p>
      <w:pPr>
        <w:pStyle w:val="BodyText"/>
      </w:pPr>
      <w:r>
        <w:t xml:space="preserve">Further smaller studies show a mixed picture:</w:t>
      </w:r>
    </w:p>
    <w:p>
      <w:pPr>
        <w:numPr>
          <w:ilvl w:val="0"/>
          <w:numId w:val="1203"/>
        </w:numPr>
        <w:pStyle w:val="Compact"/>
      </w:pPr>
      <w:r>
        <w:t xml:space="preserve">A study with 60 people found large advantages on the NIHSS after 10 and 30 days</w:t>
      </w:r>
      <w:r>
        <w:rPr>
          <w:rStyle w:val="FootnoteReference"/>
        </w:rPr>
        <w:footnoteReference w:id="1671"/>
      </w:r>
      <w:r>
        <w:t xml:space="preserve">.</w:t>
      </w:r>
    </w:p>
    <w:p>
      <w:pPr>
        <w:numPr>
          <w:ilvl w:val="0"/>
          <w:numId w:val="1203"/>
        </w:numPr>
        <w:pStyle w:val="Compact"/>
      </w:pPr>
      <w:r>
        <w:t xml:space="preserve">A study with 70 people found</w:t>
      </w:r>
      <w:r>
        <w:t xml:space="preserve"> </w:t>
      </w:r>
      <w:r>
        <w:rPr>
          <w:bCs/>
          <w:b/>
        </w:rPr>
        <w:t xml:space="preserve">no</w:t>
      </w:r>
      <w:r>
        <w:t xml:space="preserve"> </w:t>
      </w:r>
      <w:r>
        <w:t xml:space="preserve">difference in motor function overall; only in the subgroup with severe paralysis did Cerebrolysin perform better</w:t>
      </w:r>
      <w:r>
        <w:rPr>
          <w:rStyle w:val="FootnoteReference"/>
        </w:rPr>
        <w:footnoteReference w:id="1672"/>
      </w:r>
      <w:r>
        <w:t xml:space="preserve">.</w:t>
      </w:r>
    </w:p>
    <w:p>
      <w:pPr>
        <w:numPr>
          <w:ilvl w:val="0"/>
          <w:numId w:val="1203"/>
        </w:numPr>
        <w:pStyle w:val="Compact"/>
      </w:pPr>
      <w:r>
        <w:t xml:space="preserve">The Romanian ESCAS pilot study in language disorders (nonfluent aphasia) with 132 people combined Cerebrolysin with speech therapy. After 90 days, language function on the Western Aphasia Battery improved by about 35.6 points compared with 20.8 points on placebo</w:t>
      </w:r>
      <w:r>
        <w:rPr>
          <w:rStyle w:val="FootnoteReference"/>
        </w:rPr>
        <w:footnoteReference w:id="1673"/>
      </w:r>
      <w:r>
        <w:t xml:space="preserve">.</w:t>
      </w:r>
    </w:p>
    <w:p>
      <w:pPr>
        <w:pStyle w:val="FirstParagraph"/>
      </w:pPr>
      <w:r>
        <w:t xml:space="preserve">In 2021, a guideline of the European Academy of Neurology and the European Federation of Neurorehabilitation Societies, based on a meta-analysis, recommended Cerebrolysin – alongside the antidepressant citalopram – to support early motor rehabilitation after ischemic stroke</w:t>
      </w:r>
      <w:r>
        <w:rPr>
          <w:rStyle w:val="FootnoteReference"/>
        </w:rPr>
        <w:footnoteReference w:id="1674"/>
      </w:r>
      <w:r>
        <w:t xml:space="preserve">. Other major guidelines, for example in the USA, contain no such recommendation.</w:t>
      </w:r>
    </w:p>
    <w:bookmarkEnd w:id="1675"/>
    <w:bookmarkStart w:id="1680" w:name="X7e4e27d4fe50a02473e92782e80bb1af42f577b"/>
    <w:p>
      <w:pPr>
        <w:pStyle w:val="Heading4"/>
      </w:pPr>
      <w:r>
        <w:t xml:space="preserve">The meta-analyses: two readings of the same data</w:t>
      </w:r>
    </w:p>
    <w:p>
      <w:pPr>
        <w:pStyle w:val="FirstParagraph"/>
      </w:pPr>
      <w:r>
        <w:t xml:space="preserve">With Cerebrolysin, the summaries diverge widely – depending on who wrote them and which endpoints are the focus.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Review</w:t>
            </w:r>
          </w:p>
        </w:tc>
        <w:tc>
          <w:tcPr/>
          <w:p>
            <w:pPr>
              <w:pStyle w:val="Compact"/>
              <w:jc w:val="left"/>
            </w:pPr>
            <w:r>
              <w:t xml:space="preserve">Data included</w:t>
            </w:r>
          </w:p>
        </w:tc>
        <w:tc>
          <w:tcPr/>
          <w:p>
            <w:pPr>
              <w:pStyle w:val="Compact"/>
              <w:jc w:val="left"/>
            </w:pPr>
            <w:r>
              <w:t xml:space="preserve">Key finding</w:t>
            </w:r>
          </w:p>
        </w:tc>
      </w:tr>
      <w:tr>
        <w:tc>
          <w:tcPr/>
          <w:p>
            <w:pPr>
              <w:pStyle w:val="Compact"/>
              <w:jc w:val="left"/>
            </w:pPr>
            <w:r>
              <w:t xml:space="preserve">Cochrane (Ziganshina 2023), PMID 37818733</w:t>
            </w:r>
          </w:p>
        </w:tc>
        <w:tc>
          <w:tcPr/>
          <w:p>
            <w:pPr>
              <w:pStyle w:val="Compact"/>
              <w:jc w:val="left"/>
            </w:pPr>
            <w:r>
              <w:t xml:space="preserve">7 RCTs, 1,773 people, start within 48 h</w:t>
            </w:r>
          </w:p>
        </w:tc>
        <w:tc>
          <w:tcPr/>
          <w:p>
            <w:pPr>
              <w:pStyle w:val="Compact"/>
              <w:jc w:val="left"/>
            </w:pPr>
            <w:r>
              <w:t xml:space="preserve">no effect on mortality (RR 0.96); more nonfatal serious adverse events (RR 2.39)</w:t>
            </w:r>
          </w:p>
        </w:tc>
      </w:tr>
      <w:tr>
        <w:tc>
          <w:tcPr/>
          <w:p>
            <w:pPr>
              <w:pStyle w:val="Compact"/>
              <w:jc w:val="left"/>
            </w:pPr>
            <w:r>
              <w:t xml:space="preserve">Bornstein 2018, PMID 29248999</w:t>
            </w:r>
          </w:p>
        </w:tc>
        <w:tc>
          <w:tcPr/>
          <w:p>
            <w:pPr>
              <w:pStyle w:val="Compact"/>
              <w:jc w:val="left"/>
            </w:pPr>
            <w:r>
              <w:t xml:space="preserve">9 RCTs, 1,879 people</w:t>
            </w:r>
          </w:p>
        </w:tc>
        <w:tc>
          <w:tcPr/>
          <w:p>
            <w:pPr>
              <w:pStyle w:val="Compact"/>
              <w:jc w:val="left"/>
            </w:pPr>
            <w:r>
              <w:t xml:space="preserve">NIHSS better after 30 days (MW 0.60); NNT 7.7 for clinically relevant improvement</w:t>
            </w:r>
          </w:p>
        </w:tc>
      </w:tr>
      <w:tr>
        <w:tc>
          <w:tcPr/>
          <w:p>
            <w:pPr>
              <w:pStyle w:val="Compact"/>
              <w:jc w:val="left"/>
            </w:pPr>
            <w:r>
              <w:t xml:space="preserve">Zhang 2017, PMID 28656143</w:t>
            </w:r>
          </w:p>
        </w:tc>
        <w:tc>
          <w:tcPr/>
          <w:p>
            <w:pPr>
              <w:pStyle w:val="Compact"/>
              <w:jc w:val="left"/>
            </w:pPr>
            <w:r>
              <w:t xml:space="preserve">7 RCTs, 1,779 people</w:t>
            </w:r>
          </w:p>
        </w:tc>
        <w:tc>
          <w:tcPr/>
          <w:p>
            <w:pPr>
              <w:pStyle w:val="Compact"/>
              <w:jc w:val="left"/>
            </w:pPr>
            <w:r>
              <w:t xml:space="preserve">no superiority in mRS and Barthel index; safety neutral</w:t>
            </w:r>
          </w:p>
        </w:tc>
      </w:tr>
      <w:tr>
        <w:tc>
          <w:tcPr/>
          <w:p>
            <w:pPr>
              <w:pStyle w:val="Compact"/>
              <w:jc w:val="left"/>
            </w:pPr>
            <w:r>
              <w:t xml:space="preserve">Patel 2025, PMID 41018475</w:t>
            </w:r>
          </w:p>
        </w:tc>
        <w:tc>
          <w:tcPr/>
          <w:p>
            <w:pPr>
              <w:pStyle w:val="Compact"/>
              <w:jc w:val="left"/>
            </w:pPr>
            <w:r>
              <w:t xml:space="preserve">14 RCTs, 2,884 people</w:t>
            </w:r>
          </w:p>
        </w:tc>
        <w:tc>
          <w:tcPr/>
          <w:p>
            <w:pPr>
              <w:pStyle w:val="Compact"/>
              <w:jc w:val="left"/>
            </w:pPr>
            <w:r>
              <w:t xml:space="preserve">NIHSS improvement 1.39 points greater; functional independence not significant (RR 1.31)</w:t>
            </w:r>
          </w:p>
        </w:tc>
      </w:tr>
    </w:tbl>
    <w:p>
      <w:pPr>
        <w:pStyle w:val="BodyText"/>
      </w:pPr>
      <w:r>
        <w:t xml:space="preserve">The</w:t>
      </w:r>
      <w:r>
        <w:t xml:space="preserve"> </w:t>
      </w:r>
      <w:r>
        <w:rPr>
          <w:bCs/>
          <w:b/>
        </w:rPr>
        <w:t xml:space="preserve">Cochrane review</w:t>
      </w:r>
      <w:r>
        <w:t xml:space="preserve"> </w:t>
      </w:r>
      <w:r>
        <w:t xml:space="preserve">– an independent, methodologically rigorous form of summary – has been updated several times since 2010. The 2020 version included seven randomized trials with 1,601 people and found no effect on mortality (RR 0.90; 95% CI 0.61–1.32). The total number of serious adverse events did not differ substantially, but the number of people with</w:t>
      </w:r>
      <w:r>
        <w:t xml:space="preserve"> </w:t>
      </w:r>
      <w:r>
        <w:rPr>
          <w:bCs/>
          <w:b/>
        </w:rPr>
        <w:t xml:space="preserve">nonfatal</w:t>
      </w:r>
      <w:r>
        <w:t xml:space="preserve"> </w:t>
      </w:r>
      <w:r>
        <w:t xml:space="preserve">serious adverse events was higher on Cerebrolysin (RR 2.15; 95% CI 1.01–4.55)</w:t>
      </w:r>
      <w:r>
        <w:rPr>
          <w:rStyle w:val="FootnoteReference"/>
        </w:rPr>
        <w:footnoteReference w:id="1676"/>
      </w:r>
      <w:r>
        <w:t xml:space="preserve">. The 2023 update added a trial with the Russian bovine brain preparation Cortexin (1,773 people in total) and confirmed these findings: no effect on mortality (RR 0.96), more nonfatal serious events (RR 2.39; 95% CI 1.10–5.23), even more pronounced with a ten-day treatment regimen</w:t>
      </w:r>
      <w:r>
        <w:rPr>
          <w:rStyle w:val="FootnoteReference"/>
        </w:rPr>
        <w:footnoteReference w:id="1677"/>
      </w:r>
      <w:r>
        <w:t xml:space="preserve">. The Cochrane authors rated the risk of bias of many trials as unclear or high and pointed out that the manufacturer had supported several of the large trials. Importantly: none of the included trials reported the endpoint that matters most from the patient’s perspective,</w:t>
      </w:r>
      <w:r>
        <w:t xml:space="preserve"> </w:t>
      </w:r>
      <w:r>
        <w:t xml:space="preserve">“</w:t>
      </w:r>
      <w:r>
        <w:t xml:space="preserve">death or dependency,</w:t>
      </w:r>
      <w:r>
        <w:t xml:space="preserve">”</w:t>
      </w:r>
      <w:r>
        <w:t xml:space="preserve"> </w:t>
      </w:r>
      <w:r>
        <w:t xml:space="preserve">in the form the review had planned.</w:t>
      </w:r>
    </w:p>
    <w:p>
      <w:pPr>
        <w:pStyle w:val="BodyText"/>
      </w:pPr>
      <w:r>
        <w:t xml:space="preserve">The</w:t>
      </w:r>
      <w:r>
        <w:t xml:space="preserve"> </w:t>
      </w:r>
      <w:r>
        <w:rPr>
          <w:bCs/>
          <w:b/>
        </w:rPr>
        <w:t xml:space="preserve">manufacturer-affiliated meta-analyses</w:t>
      </w:r>
      <w:r>
        <w:t xml:space="preserve">, by contrast, look mainly at early neurological improvement on the NIHSS and find a moderate advantage there</w:t>
      </w:r>
      <w:r>
        <w:rPr>
          <w:rStyle w:val="FootnoteReference"/>
        </w:rPr>
        <w:footnoteReference w:id="1678"/>
      </w:r>
      <w:r>
        <w:t xml:space="preserve">. A safety meta-analysis with twelve trials and 2,202 people found no significant differences from placebo in side effects</w:t>
      </w:r>
      <w:r>
        <w:rPr>
          <w:rStyle w:val="FootnoteReference"/>
        </w:rPr>
        <w:footnoteReference w:id="1679"/>
      </w:r>
      <w:r>
        <w:t xml:space="preserve"> </w:t>
      </w:r>
      <w:r>
        <w:t xml:space="preserve">– in contrast to the Cochrane signal, which, however, is based on few events.</w:t>
      </w:r>
    </w:p>
    <w:p>
      <w:pPr>
        <w:pStyle w:val="BodyText"/>
      </w:pPr>
      <w:r>
        <w:t xml:space="preserve">How can this be reconciled? The honest answer is: in several trials, Cerebrolysin improves neurological scale scores in the first weeks. Whether this leads to less lasting disability, less dependency or a longer life has not been demonstrated. There is no coherent explanation for the signal of nonfatal serious side effects; it is based on few events and is therefore uncertain, but it was found in two Cochrane versions.</w:t>
      </w:r>
    </w:p>
    <w:bookmarkEnd w:id="1680"/>
    <w:bookmarkStart w:id="1682" w:name="registry-data-from-everyday-practice"/>
    <w:p>
      <w:pPr>
        <w:pStyle w:val="Heading4"/>
      </w:pPr>
      <w:r>
        <w:t xml:space="preserve">Registry data from everyday practice</w:t>
      </w:r>
    </w:p>
    <w:p>
      <w:pPr>
        <w:pStyle w:val="FirstParagraph"/>
      </w:pPr>
      <w:r>
        <w:t xml:space="preserve">The manufacturer has also funded large observational studies. The registry study C-REGS2 recorded 1,865 people with moderate stroke in 16 countries; 1,769 were analyzed (1,021 with Cerebrolysin, 748 without). After 90 days, the Cerebrolysin group did better on the modified Rankin Scale (MW 0.6157)</w:t>
      </w:r>
      <w:r>
        <w:rPr>
          <w:rStyle w:val="FootnoteReference"/>
        </w:rPr>
        <w:footnoteReference w:id="1681"/>
      </w:r>
      <w:r>
        <w:t xml:space="preserve">. The study uses sophisticated statistical methods to make the groups comparable. But it remains an observational study: those who receive Cerebrolysin in everyday practice may differ in treatment, hospital or country from those who do not. It cannot replace randomization.</w:t>
      </w:r>
    </w:p>
    <w:bookmarkEnd w:id="1682"/>
    <w:bookmarkStart w:id="1686" w:name="X4a8bad7d87ce6f9b8ffcec1cf20364eb4d0a945"/>
    <w:p>
      <w:pPr>
        <w:pStyle w:val="Heading4"/>
      </w:pPr>
      <w:r>
        <w:t xml:space="preserve">Intracerebral hemorrhage and subarachnoid hemorrhage</w:t>
      </w:r>
    </w:p>
    <w:p>
      <w:pPr>
        <w:pStyle w:val="FirstParagraph"/>
      </w:pPr>
      <w:r>
        <w:t xml:space="preserve">In intracerebral hemorrhage, a study with 100 people found no significant differences after 21 days, but also no safety problems</w:t>
      </w:r>
      <w:r>
        <w:rPr>
          <w:rStyle w:val="FootnoteReference"/>
        </w:rPr>
        <w:footnoteReference w:id="1683"/>
      </w:r>
      <w:r>
        <w:t xml:space="preserve">. In bleeding from a bulge in a brain vessel (aneurysmal subarachnoid hemorrhage), a double-blind pilot study with 50 people showed no difference in functional outcome after six months</w:t>
      </w:r>
      <w:r>
        <w:rPr>
          <w:rStyle w:val="FootnoteReference"/>
        </w:rPr>
        <w:footnoteReference w:id="1684"/>
      </w:r>
      <w:r>
        <w:t xml:space="preserve">. A pilot study on lobar hemorrhages (CLINCH) is planned or ongoing</w:t>
      </w:r>
      <w:r>
        <w:rPr>
          <w:rStyle w:val="FootnoteReference"/>
        </w:rPr>
        <w:footnoteReference w:id="1685"/>
      </w:r>
      <w:r>
        <w:t xml:space="preserve">.</w:t>
      </w:r>
    </w:p>
    <w:bookmarkEnd w:id="1686"/>
    <w:bookmarkStart w:id="1688" w:name="traumatic-brain-injury-captain"/>
    <w:p>
      <w:pPr>
        <w:pStyle w:val="Heading4"/>
      </w:pPr>
      <w:r>
        <w:t xml:space="preserve">Traumatic brain injury: CAPTAIN</w:t>
      </w:r>
    </w:p>
    <w:p>
      <w:pPr>
        <w:pStyle w:val="FirstParagraph"/>
      </w:pPr>
      <w:r>
        <w:t xml:space="preserve">In moderate to severe traumatic brain injury, two trials tested Cerebrolysin in addition to standard treatment: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CAPTAIN I (Poon 2020), PMID 31494820</w:t>
            </w:r>
          </w:p>
        </w:tc>
        <w:tc>
          <w:tcPr/>
          <w:p>
            <w:pPr>
              <w:pStyle w:val="Compact"/>
              <w:jc w:val="left"/>
            </w:pPr>
            <w:r>
              <w:t xml:space="preserve">46 people, double-blind vs. placebo, multicenter</w:t>
            </w:r>
          </w:p>
        </w:tc>
        <w:tc>
          <w:tcPr/>
          <w:p>
            <w:pPr>
              <w:pStyle w:val="Compact"/>
              <w:jc w:val="left"/>
            </w:pPr>
            <w:r>
              <w:t xml:space="preserve">90 days</w:t>
            </w:r>
          </w:p>
        </w:tc>
        <w:tc>
          <w:tcPr/>
          <w:p>
            <w:pPr>
              <w:pStyle w:val="Compact"/>
              <w:jc w:val="left"/>
            </w:pPr>
            <w:r>
              <w:t xml:space="preserve">primary endpoint narrowly missed (ITT: MW 0.63); significant in the per-protocol analysis</w:t>
            </w:r>
          </w:p>
        </w:tc>
      </w:tr>
      <w:tr>
        <w:tc>
          <w:tcPr/>
          <w:p>
            <w:pPr>
              <w:pStyle w:val="Compact"/>
              <w:jc w:val="left"/>
            </w:pPr>
            <w:r>
              <w:t xml:space="preserve">CAPTAIN II (Muresanu 2020), PMID 31897941</w:t>
            </w:r>
          </w:p>
        </w:tc>
        <w:tc>
          <w:tcPr/>
          <w:p>
            <w:pPr>
              <w:pStyle w:val="Compact"/>
              <w:jc w:val="left"/>
            </w:pPr>
            <w:r>
              <w:t xml:space="preserve">142 people (139 analyzed), double-blind, single center</w:t>
            </w:r>
          </w:p>
        </w:tc>
        <w:tc>
          <w:tcPr/>
          <w:p>
            <w:pPr>
              <w:pStyle w:val="Compact"/>
              <w:jc w:val="left"/>
            </w:pPr>
            <w:r>
              <w:t xml:space="preserve">90 days</w:t>
            </w:r>
          </w:p>
        </w:tc>
        <w:tc>
          <w:tcPr/>
          <w:p>
            <w:pPr>
              <w:pStyle w:val="Compact"/>
              <w:jc w:val="left"/>
            </w:pPr>
            <w:r>
              <w:t xml:space="preserve">small to medium advantage in the combined endpoint of 13 scales (MW 0.59)</w:t>
            </w:r>
          </w:p>
        </w:tc>
      </w:tr>
      <w:tr>
        <w:tc>
          <w:tcPr/>
          <w:p>
            <w:pPr>
              <w:pStyle w:val="Compact"/>
              <w:jc w:val="left"/>
            </w:pPr>
            <w:r>
              <w:t xml:space="preserve">CAPTAIN meta-analysis (Vester 2021), PMID 33620612</w:t>
            </w:r>
          </w:p>
        </w:tc>
        <w:tc>
          <w:tcPr/>
          <w:p>
            <w:pPr>
              <w:pStyle w:val="Compact"/>
              <w:jc w:val="left"/>
            </w:pPr>
            <w:r>
              <w:t xml:space="preserve">185 people from both trials</w:t>
            </w:r>
          </w:p>
        </w:tc>
        <w:tc>
          <w:tcPr/>
          <w:p>
            <w:pPr>
              <w:pStyle w:val="Compact"/>
              <w:jc w:val="left"/>
            </w:pPr>
            <w:r>
              <w:t xml:space="preserve">90 days</w:t>
            </w:r>
          </w:p>
        </w:tc>
        <w:tc>
          <w:tcPr/>
          <w:p>
            <w:pPr>
              <w:pStyle w:val="Compact"/>
              <w:jc w:val="left"/>
            </w:pPr>
            <w:r>
              <w:t xml:space="preserve">MW 0.60 after 30 and 90 days</w:t>
            </w:r>
          </w:p>
        </w:tc>
      </w:tr>
    </w:tbl>
    <w:p>
      <w:pPr>
        <w:pStyle w:val="BodyText"/>
      </w:pPr>
      <w:r>
        <w:t xml:space="preserve">CAPTAIN I was terminated early with only 46 participants (NCT01606111, registry status</w:t>
      </w:r>
      <w:r>
        <w:t xml:space="preserve"> </w:t>
      </w:r>
      <w:r>
        <w:t xml:space="preserve">“</w:t>
      </w:r>
      <w:r>
        <w:t xml:space="preserve">terminated</w:t>
      </w:r>
      <w:r>
        <w:t xml:space="preserve">”</w:t>
      </w:r>
      <w:r>
        <w:t xml:space="preserve">). Further meta-analyses on traumatic brain injury are based mainly on observational studies and found better scores on the Glasgow Outcome Scale, but no effect on mortality</w:t>
      </w:r>
      <w:r>
        <w:rPr>
          <w:rStyle w:val="FootnoteReference"/>
        </w:rPr>
        <w:footnoteReference w:id="1687"/>
      </w:r>
      <w:r>
        <w:t xml:space="preserve">. Overall, the data point to a possible small advantage; the number of people studied in randomized fashion is too small for a firm conclusion.</w:t>
      </w:r>
    </w:p>
    <w:bookmarkEnd w:id="1688"/>
    <w:bookmarkStart w:id="1694" w:name="dementia"/>
    <w:p>
      <w:pPr>
        <w:pStyle w:val="Heading4"/>
      </w:pPr>
      <w:r>
        <w:t xml:space="preserve">Dementia</w:t>
      </w:r>
    </w:p>
    <w:p>
      <w:pPr>
        <w:pStyle w:val="FirstParagraph"/>
      </w:pPr>
      <w:r>
        <w:rPr>
          <w:bCs/>
          <w:b/>
        </w:rPr>
        <w:t xml:space="preserve">Alzheimer’s disease.</w:t>
      </w:r>
      <w:r>
        <w:t xml:space="preserve"> </w:t>
      </w:r>
      <w:r>
        <w:t xml:space="preserve">Several placebo-controlled trials were conducted in the 1990s and 2000s. In a trial with 192 people, the clinical global impression (CIBIC+) after twelve weeks was better on Cerebrolysin (76% versus 57%</w:t>
      </w:r>
      <w:r>
        <w:t xml:space="preserve"> </w:t>
      </w:r>
      <w:r>
        <w:t xml:space="preserve">“</w:t>
      </w:r>
      <w:r>
        <w:t xml:space="preserve">responders</w:t>
      </w:r>
      <w:r>
        <w:t xml:space="preserve">”</w:t>
      </w:r>
      <w:r>
        <w:t xml:space="preserve">); however, the groups already differed at baseline in age and hallucinations</w:t>
      </w:r>
      <w:r>
        <w:rPr>
          <w:rStyle w:val="FootnoteReference"/>
        </w:rPr>
        <w:footnoteReference w:id="1689"/>
      </w:r>
      <w:r>
        <w:t xml:space="preserve">. In a trial with 197 people, Cerebrolysin was as effective as the approved Alzheimer’s drug donepezil on global impression; there were no significant differences between groups in cognition, daily functioning and behavior</w:t>
      </w:r>
      <w:r>
        <w:rPr>
          <w:rStyle w:val="FootnoteReference"/>
        </w:rPr>
        <w:footnoteReference w:id="1690"/>
      </w:r>
      <w:r>
        <w:t xml:space="preserve">. A meta-analysis of six trials found an advantage in clinical global impression after four weeks and six months, but in cognition only after four weeks, not after six months</w:t>
      </w:r>
      <w:r>
        <w:rPr>
          <w:rStyle w:val="FootnoteReference"/>
        </w:rPr>
        <w:footnoteReference w:id="1691"/>
      </w:r>
      <w:r>
        <w:t xml:space="preserve">. Researchers who work with the manufacturer were involved in this meta-analysis.</w:t>
      </w:r>
    </w:p>
    <w:p>
      <w:pPr>
        <w:pStyle w:val="BodyText"/>
      </w:pPr>
      <w:r>
        <w:rPr>
          <w:bCs/>
          <w:b/>
        </w:rPr>
        <w:t xml:space="preserve">Vascular dementia.</w:t>
      </w:r>
      <w:r>
        <w:t xml:space="preserve"> </w:t>
      </w:r>
      <w:r>
        <w:t xml:space="preserve">The largest trial, with 242 people, reported an improvement on the ADAS-cog+ of 10.6 points after 24 weeks compared with 4.4 points on placebo</w:t>
      </w:r>
      <w:r>
        <w:rPr>
          <w:rStyle w:val="FootnoteReference"/>
        </w:rPr>
        <w:footnoteReference w:id="1692"/>
      </w:r>
      <w:r>
        <w:t xml:space="preserve"> </w:t>
      </w:r>
      <w:r>
        <w:t xml:space="preserve">– an unusually large effect for dementia trials. The Cochrane review on vascular dementia summarized six trials with 597 people and found advantages in cognition and global impression, but rated the certainty of the evidence as</w:t>
      </w:r>
      <w:r>
        <w:t xml:space="preserve"> </w:t>
      </w:r>
      <w:r>
        <w:t xml:space="preserve">“</w:t>
      </w:r>
      <w:r>
        <w:t xml:space="preserve">very low.</w:t>
      </w:r>
      <w:r>
        <w:t xml:space="preserve">”</w:t>
      </w:r>
      <w:r>
        <w:t xml:space="preserve"> </w:t>
      </w:r>
      <w:r>
        <w:t xml:space="preserve">The authors write that possible effects may be too small to be clinically meaningful and that the evidence base is weak, even though Cerebrolysin continues to be promoted</w:t>
      </w:r>
      <w:r>
        <w:rPr>
          <w:rStyle w:val="FootnoteReference"/>
        </w:rPr>
        <w:footnoteReference w:id="1693"/>
      </w:r>
      <w:r>
        <w:t xml:space="preserve">.</w:t>
      </w:r>
    </w:p>
    <w:bookmarkEnd w:id="1694"/>
    <w:bookmarkStart w:id="1696" w:name="other-uses-3"/>
    <w:p>
      <w:pPr>
        <w:pStyle w:val="Heading4"/>
      </w:pPr>
      <w:r>
        <w:t xml:space="preserve">Other uses</w:t>
      </w:r>
    </w:p>
    <w:p>
      <w:pPr>
        <w:pStyle w:val="FirstParagraph"/>
      </w:pPr>
      <w:r>
        <w:t xml:space="preserve">Smaller studies exist on ALS (20 people, improvement on the ALS functional rating scale after one month; Firstenfeld 2023, PMID 38585517), preterm infants, children with cerebral palsy, loss of smell after COVID-19 and psychiatric disorders. In healthy men, Cerebrolysin altered EEG patterns in a small study with 48 participants; in short-term memory, there was a trend toward poorer word recall in the first hours on placebo, but not on Cerebrolysin</w:t>
      </w:r>
      <w:r>
        <w:rPr>
          <w:rStyle w:val="FootnoteReference"/>
        </w:rPr>
        <w:footnoteReference w:id="1695"/>
      </w:r>
      <w:r>
        <w:t xml:space="preserve">. There is no evidence for use as a</w:t>
      </w:r>
      <w:r>
        <w:t xml:space="preserve"> </w:t>
      </w:r>
      <w:r>
        <w:t xml:space="preserve">“</w:t>
      </w:r>
      <w:r>
        <w:t xml:space="preserve">nootropic</w:t>
      </w:r>
      <w:r>
        <w:t xml:space="preserve">”</w:t>
      </w:r>
      <w:r>
        <w:t xml:space="preserve"> </w:t>
      </w:r>
      <w:r>
        <w:t xml:space="preserve">in healthy people.</w:t>
      </w:r>
    </w:p>
    <w:bookmarkEnd w:id="1696"/>
    <w:bookmarkEnd w:id="1697"/>
    <w:bookmarkStart w:id="1701" w:name="animal-and-laboratory-studies-36"/>
    <w:p>
      <w:pPr>
        <w:pStyle w:val="Heading3"/>
      </w:pPr>
      <w:r>
        <w:t xml:space="preserve">Animal and laboratory studies</w:t>
      </w:r>
    </w:p>
    <w:p>
      <w:pPr>
        <w:numPr>
          <w:ilvl w:val="0"/>
          <w:numId w:val="1204"/>
        </w:numPr>
        <w:pStyle w:val="Compact"/>
      </w:pPr>
      <w:r>
        <w:t xml:space="preserve">In rats with experimentally induced stroke, Cerebrolysin dose-dependently improved neurological recovery after 28 days in a randomized, blinded animal study</w:t>
      </w:r>
      <w:r>
        <w:rPr>
          <w:rStyle w:val="FootnoteReference"/>
        </w:rPr>
        <w:footnoteReference w:id="1698"/>
      </w:r>
      <w:r>
        <w:t xml:space="preserve">.</w:t>
      </w:r>
    </w:p>
    <w:p>
      <w:pPr>
        <w:numPr>
          <w:ilvl w:val="0"/>
          <w:numId w:val="1204"/>
        </w:numPr>
        <w:pStyle w:val="Compact"/>
      </w:pPr>
      <w:r>
        <w:t xml:space="preserve">In rats with mild brain injury, Cerebrolysin reduced axonal damage and promoted the formation of new nerve cells in the hippocampus</w:t>
      </w:r>
      <w:r>
        <w:rPr>
          <w:rStyle w:val="FootnoteReference"/>
        </w:rPr>
        <w:footnoteReference w:id="1699"/>
      </w:r>
      <w:r>
        <w:t xml:space="preserve">.</w:t>
      </w:r>
    </w:p>
    <w:p>
      <w:pPr>
        <w:numPr>
          <w:ilvl w:val="0"/>
          <w:numId w:val="1204"/>
        </w:numPr>
        <w:pStyle w:val="Compact"/>
      </w:pPr>
      <w:r>
        <w:t xml:space="preserve">In a mouse model of the hereditary disease CADASIL, Cerebrolysin extended lifespan and improved spatial memory without affecting the typical changes in the white matter</w:t>
      </w:r>
      <w:r>
        <w:rPr>
          <w:rStyle w:val="FootnoteReference"/>
        </w:rPr>
        <w:footnoteReference w:id="1700"/>
      </w:r>
      <w:r>
        <w:t xml:space="preserve">.</w:t>
      </w:r>
    </w:p>
    <w:p>
      <w:pPr>
        <w:pStyle w:val="FirstParagraph"/>
      </w:pPr>
      <w:r>
        <w:t xml:space="preserve">A considerable proportion of the preclinical studies come from collaborations with the manufacturer. Good animal results have so far rarely translated into clinical benefit for stroke drugs.</w:t>
      </w:r>
    </w:p>
    <w:bookmarkEnd w:id="1701"/>
    <w:bookmarkStart w:id="1705" w:name="risks-and-side-effects-36"/>
    <w:p>
      <w:pPr>
        <w:pStyle w:val="Heading3"/>
      </w:pPr>
      <w:r>
        <w:t xml:space="preserve">Risks and side effects</w:t>
      </w:r>
    </w:p>
    <w:p>
      <w:pPr>
        <w:pStyle w:val="FirstParagraph"/>
      </w:pPr>
      <w:r>
        <w:rPr>
          <w:bCs/>
          <w:b/>
        </w:rPr>
        <w:t xml:space="preserve">Established:</w:t>
      </w:r>
    </w:p>
    <w:p>
      <w:pPr>
        <w:numPr>
          <w:ilvl w:val="0"/>
          <w:numId w:val="1205"/>
        </w:numPr>
        <w:pStyle w:val="Compact"/>
      </w:pPr>
      <w:r>
        <w:t xml:space="preserve">In the trials, side effects overall were about as frequent as on placebo. Those mentioned include headache, dizziness and restlessness</w:t>
      </w:r>
      <w:r>
        <w:rPr>
          <w:rStyle w:val="FootnoteReference"/>
        </w:rPr>
        <w:footnoteReference w:id="1702"/>
      </w:r>
      <w:r>
        <w:t xml:space="preserve">.</w:t>
      </w:r>
    </w:p>
    <w:p>
      <w:pPr>
        <w:numPr>
          <w:ilvl w:val="0"/>
          <w:numId w:val="1205"/>
        </w:numPr>
        <w:pStyle w:val="Compact"/>
      </w:pPr>
      <w:r>
        <w:t xml:space="preserve">The Cochrane review on stroke found more</w:t>
      </w:r>
      <w:r>
        <w:t xml:space="preserve"> </w:t>
      </w:r>
      <w:r>
        <w:rPr>
          <w:bCs/>
          <w:b/>
        </w:rPr>
        <w:t xml:space="preserve">nonfatal serious adverse events</w:t>
      </w:r>
      <w:r>
        <w:t xml:space="preserve"> </w:t>
      </w:r>
      <w:r>
        <w:t xml:space="preserve">on Cerebrolysin (RR 2.39; Ziganshina 2023, PMID 37818733); the manufacturer-affiliated safety meta-analysis did not</w:t>
      </w:r>
      <w:r>
        <w:rPr>
          <w:rStyle w:val="FootnoteReference"/>
        </w:rPr>
        <w:footnoteReference w:id="1703"/>
      </w:r>
      <w:r>
        <w:t xml:space="preserve">.</w:t>
      </w:r>
    </w:p>
    <w:p>
      <w:pPr>
        <w:numPr>
          <w:ilvl w:val="0"/>
          <w:numId w:val="1205"/>
        </w:numPr>
        <w:pStyle w:val="Compact"/>
      </w:pPr>
      <w:r>
        <w:rPr>
          <w:bCs/>
          <w:b/>
        </w:rPr>
        <w:t xml:space="preserve">Allergic reactions:</w:t>
      </w:r>
      <w:r>
        <w:t xml:space="preserve"> </w:t>
      </w:r>
      <w:r>
        <w:t xml:space="preserve">A thoroughly documented case report describes a life-threatening anaphylactic reaction in an 85-year-old man after a Cerebrolysin infusion; the authors emphasize that such cases are rare but significant in critically ill people</w:t>
      </w:r>
      <w:r>
        <w:rPr>
          <w:rStyle w:val="FootnoteReference"/>
        </w:rPr>
        <w:footnoteReference w:id="1704"/>
      </w:r>
      <w:r>
        <w:t xml:space="preserve">.</w:t>
      </w:r>
    </w:p>
    <w:p>
      <w:pPr>
        <w:pStyle w:val="FirstParagraph"/>
      </w:pPr>
      <w:r>
        <w:rPr>
          <w:bCs/>
          <w:b/>
        </w:rPr>
        <w:t xml:space="preserve">Theoretical:</w:t>
      </w:r>
      <w:r>
        <w:t xml:space="preserve"> </w:t>
      </w:r>
      <w:r>
        <w:t xml:space="preserve">As a preparation made from animal brain tissue, Cerebrolysin is inherently subject to questions of purity and transmissibility of pathogens; manufacturing processes and regulatory requirements are intended to minimize this risk. Specific cases of transmission are not described in the sources reviewed here.</w:t>
      </w:r>
    </w:p>
    <w:p>
      <w:pPr>
        <w:pStyle w:val="BodyText"/>
      </w:pPr>
      <w:r>
        <w:rPr>
          <w:bCs/>
          <w:b/>
        </w:rPr>
        <w:t xml:space="preserve">Gray market:</w:t>
      </w:r>
      <w:r>
        <w:t xml:space="preserve"> </w:t>
      </w:r>
      <w:r>
        <w:t xml:space="preserve">In nootropics forums, Cerebrolysin is discussed as a</w:t>
      </w:r>
      <w:r>
        <w:t xml:space="preserve"> </w:t>
      </w:r>
      <w:r>
        <w:t xml:space="preserve">“</w:t>
      </w:r>
      <w:r>
        <w:t xml:space="preserve">brain booster</w:t>
      </w:r>
      <w:r>
        <w:t xml:space="preserve">”</w:t>
      </w:r>
      <w:r>
        <w:t xml:space="preserve"> </w:t>
      </w:r>
      <w:r>
        <w:t xml:space="preserve">and obtained from countries where it is available. Intravenous self-administration without medical supervision carries the risk of severe allergic reactions for which no emergency care is then available. More on gray-market products in Part I and Part IV.</w:t>
      </w:r>
    </w:p>
    <w:bookmarkEnd w:id="1705"/>
    <w:bookmarkStart w:id="1706" w:name="legal-status-36"/>
    <w:p>
      <w:pPr>
        <w:pStyle w:val="Heading3"/>
      </w:pPr>
      <w:r>
        <w:t xml:space="preserve">Legal status</w:t>
      </w:r>
    </w:p>
    <w:p>
      <w:pPr>
        <w:numPr>
          <w:ilvl w:val="0"/>
          <w:numId w:val="1206"/>
        </w:numPr>
        <w:pStyle w:val="Compact"/>
      </w:pPr>
      <w:r>
        <w:rPr>
          <w:bCs/>
          <w:b/>
        </w:rPr>
        <w:t xml:space="preserve">EU / Austria / Germany:</w:t>
      </w:r>
      <w:r>
        <w:t xml:space="preserve"> </w:t>
      </w:r>
      <w:r>
        <w:t xml:space="preserve">no centralized EU approval. In Austria, Cerebrolysin is nationally approved as a prescription medicine; indications and reimbursement are governed by the Austrian prescribing information. Other EU member states have their own national approvals. To our knowledge, Cerebrolysin is not marketed in Germany; at most, it could be obtained as an individual import on a physician’s prescription.</w:t>
      </w:r>
    </w:p>
    <w:p>
      <w:pPr>
        <w:numPr>
          <w:ilvl w:val="0"/>
          <w:numId w:val="1206"/>
        </w:numPr>
        <w:pStyle w:val="Compact"/>
      </w:pPr>
      <w:r>
        <w:rPr>
          <w:bCs/>
          <w:b/>
        </w:rPr>
        <w:t xml:space="preserve">USA:</w:t>
      </w:r>
      <w:r>
        <w:t xml:space="preserve"> </w:t>
      </w:r>
      <w:r>
        <w:t xml:space="preserve">not approved.</w:t>
      </w:r>
    </w:p>
    <w:p>
      <w:pPr>
        <w:numPr>
          <w:ilvl w:val="0"/>
          <w:numId w:val="1206"/>
        </w:numPr>
        <w:pStyle w:val="Compact"/>
      </w:pPr>
      <w:r>
        <w:rPr>
          <w:bCs/>
          <w:b/>
        </w:rPr>
        <w:t xml:space="preserve">Sport:</w:t>
      </w:r>
      <w:r>
        <w:t xml:space="preserve"> </w:t>
      </w:r>
      <w:r>
        <w:t xml:space="preserve">not on the WADA list (as of 2026, please check for updates).</w:t>
      </w:r>
    </w:p>
    <w:p>
      <w:pPr>
        <w:numPr>
          <w:ilvl w:val="0"/>
          <w:numId w:val="1206"/>
        </w:numPr>
        <w:pStyle w:val="Compact"/>
      </w:pPr>
      <w:r>
        <w:t xml:space="preserve">For approved use: refer to the prescribing information and medical supervision.</w:t>
      </w:r>
    </w:p>
    <w:bookmarkEnd w:id="1706"/>
    <w:bookmarkStart w:id="1710" w:name="ongoing-studies-and-outlook-36"/>
    <w:p>
      <w:pPr>
        <w:pStyle w:val="Heading3"/>
      </w:pPr>
      <w:r>
        <w:t xml:space="preserve">Ongoing studies and outlook</w:t>
      </w:r>
    </w:p>
    <w:p>
      <w:pPr>
        <w:pStyle w:val="FirstParagraph"/>
      </w:pPr>
      <w:r>
        <w:rPr>
          <w:bCs/>
          <w:b/>
        </w:rPr>
        <w:t xml:space="preserve">Established (registered studies, as of October 2026):</w:t>
      </w:r>
    </w:p>
    <w:p>
      <w:pPr>
        <w:numPr>
          <w:ilvl w:val="0"/>
          <w:numId w:val="1207"/>
        </w:numPr>
        <w:pStyle w:val="Compact"/>
      </w:pPr>
      <w:r>
        <w:rPr>
          <w:bCs/>
          <w:b/>
        </w:rPr>
        <w:t xml:space="preserve">CERebrolysin In CADASIL</w:t>
      </w:r>
      <w:r>
        <w:rPr>
          <w:rStyle w:val="FootnoteReference"/>
        </w:rPr>
        <w:footnoteReference w:id="1707"/>
      </w:r>
      <w:r>
        <w:t xml:space="preserve">: phase 2 trial with 30 participants in the hereditary vascular disease CADASIL, active, recruitment completed.</w:t>
      </w:r>
    </w:p>
    <w:p>
      <w:pPr>
        <w:numPr>
          <w:ilvl w:val="0"/>
          <w:numId w:val="1207"/>
        </w:numPr>
        <w:pStyle w:val="Compact"/>
      </w:pPr>
      <w:r>
        <w:rPr>
          <w:bCs/>
          <w:b/>
        </w:rPr>
        <w:t xml:space="preserve">Aphasia after stroke</w:t>
      </w:r>
      <w:r>
        <w:rPr>
          <w:rStyle w:val="FootnoteReference"/>
        </w:rPr>
        <w:footnoteReference w:id="1708"/>
      </w:r>
      <w:r>
        <w:t xml:space="preserve">: randomized, placebo-controlled trial with 40 participants in Korea, recruiting.</w:t>
      </w:r>
    </w:p>
    <w:p>
      <w:pPr>
        <w:numPr>
          <w:ilvl w:val="0"/>
          <w:numId w:val="1207"/>
        </w:numPr>
        <w:pStyle w:val="Compact"/>
      </w:pPr>
      <w:r>
        <w:rPr>
          <w:bCs/>
          <w:b/>
        </w:rPr>
        <w:t xml:space="preserve">Cerebrolysin after extended thrombectomy</w:t>
      </w:r>
      <w:r>
        <w:rPr>
          <w:rStyle w:val="FootnoteReference"/>
        </w:rPr>
        <w:footnoteReference w:id="1709"/>
      </w:r>
      <w:r>
        <w:t xml:space="preserve">: phase 2 trial with 100 planned participants in Taiwan, starting 2026.</w:t>
      </w:r>
    </w:p>
    <w:p>
      <w:pPr>
        <w:numPr>
          <w:ilvl w:val="0"/>
          <w:numId w:val="1207"/>
        </w:numPr>
        <w:pStyle w:val="Compact"/>
      </w:pPr>
      <w:r>
        <w:t xml:space="preserve">Further smaller studies on delirium after heart surgery and in the intensive care unit, on intracerebral hemorrhage and on early rehabilitation are registered.</w:t>
      </w:r>
    </w:p>
    <w:p>
      <w:pPr>
        <w:pStyle w:val="FirstParagraph"/>
      </w:pPr>
      <w:r>
        <w:rPr>
          <w:bCs/>
          <w:b/>
        </w:rPr>
        <w:t xml:space="preserve">Assessment:</w:t>
      </w:r>
      <w:r>
        <w:t xml:space="preserve"> </w:t>
      </w:r>
      <w:r>
        <w:t xml:space="preserve">None of the registered studies is large enough to answer the central open question: does Cerebrolysin reduce lasting disability or mortality after stroke? That would require an independently conducted, sufficiently large trial with a clear, prespecified primary endpoint such as the modified Rankin Scale after 90 days. As long as it is lacking, assessments will remain divided between</w:t>
      </w:r>
      <w:r>
        <w:t xml:space="preserve"> </w:t>
      </w:r>
      <w:r>
        <w:t xml:space="preserve">“</w:t>
      </w:r>
      <w:r>
        <w:t xml:space="preserve">established in Eastern Europe and Asia</w:t>
      </w:r>
      <w:r>
        <w:t xml:space="preserve">”</w:t>
      </w:r>
      <w:r>
        <w:t xml:space="preserve"> </w:t>
      </w:r>
      <w:r>
        <w:t xml:space="preserve">and</w:t>
      </w:r>
      <w:r>
        <w:t xml:space="preserve"> </w:t>
      </w:r>
      <w:r>
        <w:t xml:space="preserve">“</w:t>
      </w:r>
      <w:r>
        <w:t xml:space="preserve">insufficiently proven in the West.</w:t>
      </w:r>
      <w:r>
        <w:t xml:space="preserve">”</w:t>
      </w:r>
    </w:p>
    <w:bookmarkEnd w:id="1710"/>
    <w:bookmarkStart w:id="1711" w:name="conclusion-36"/>
    <w:p>
      <w:pPr>
        <w:pStyle w:val="Heading3"/>
      </w:pPr>
      <w:r>
        <w:t xml:space="preserve">Conclusion</w:t>
      </w:r>
    </w:p>
    <w:p>
      <w:pPr>
        <w:pStyle w:val="FirstParagraph"/>
      </w:pPr>
      <w:r>
        <w:t xml:space="preserve">Cerebrolysin is a peptide mixture derived from pig brain that is used in Austria and many countries of Eastern Europe and Asia for stroke, traumatic brain injury and dementia. Numerous randomized trials show early improvements on neurological scales, but the largest trial (CASTA), with over 1,000 people, missed its primary endpoint. The independent Cochrane reviews find no effect on mortality, a signal for more nonfatal serious side effects in stroke, and only very uncertain benefits in vascular dementia. Manufacturer-affiliated analyses reach considerably more positive results. The data are not sufficient to reliably demonstrate a clinically meaningful long-term benefit; Cerebrolysin is unsuitable for self-treatment or as a</w:t>
      </w:r>
      <w:r>
        <w:t xml:space="preserve"> </w:t>
      </w:r>
      <w:r>
        <w:t xml:space="preserve">“</w:t>
      </w:r>
      <w:r>
        <w:t xml:space="preserve">nootropic.</w:t>
      </w:r>
      <w:r>
        <w:t xml:space="preserve">”</w:t>
      </w:r>
    </w:p>
    <w:bookmarkEnd w:id="1711"/>
    <w:bookmarkEnd w:id="1712"/>
    <w:bookmarkStart w:id="1734" w:name="dihexa"/>
    <w:p>
      <w:pPr>
        <w:pStyle w:val="Heading2"/>
      </w:pPr>
      <w:r>
        <w:t xml:space="preserve">Dihexa</w:t>
      </w:r>
    </w:p>
    <w:bookmarkStart w:id="1713" w:name="profile-37"/>
    <w:p>
      <w:pPr>
        <w:pStyle w:val="Heading3"/>
      </w:pPr>
      <w:r>
        <w:t xml:space="preserve">Profile</w:t>
      </w:r>
    </w:p>
    <w:p>
      <w:pPr>
        <w:numPr>
          <w:ilvl w:val="0"/>
          <w:numId w:val="1208"/>
        </w:numPr>
        <w:pStyle w:val="Compact"/>
      </w:pPr>
      <w:r>
        <w:rPr>
          <w:bCs/>
          <w:b/>
        </w:rPr>
        <w:t xml:space="preserve">Type and structure:</w:t>
      </w:r>
      <w:r>
        <w:t xml:space="preserve"> </w:t>
      </w:r>
      <w:r>
        <w:t xml:space="preserve">chemically modified mini-peptide derived from angiotensin IV, a fragment of the blood pressure–regulating hormone system. The core consists of two amino acids (tyrosine and isoleucine), with fatty acid–like chains attached at both ends; chemical name N-hexanoyl-Tyr-Ile-(6)-aminohexanoic amide, research code PNB-0408.</w:t>
      </w:r>
    </w:p>
    <w:p>
      <w:pPr>
        <w:numPr>
          <w:ilvl w:val="0"/>
          <w:numId w:val="1208"/>
        </w:numPr>
        <w:pStyle w:val="Compact"/>
      </w:pPr>
      <w:r>
        <w:rPr>
          <w:bCs/>
          <w:b/>
        </w:rPr>
        <w:t xml:space="preserve">Origin:</w:t>
      </w:r>
      <w:r>
        <w:t xml:space="preserve"> </w:t>
      </w:r>
      <w:r>
        <w:t xml:space="preserve">developed around 2012 at Washington State University (USA).</w:t>
      </w:r>
    </w:p>
    <w:p>
      <w:pPr>
        <w:numPr>
          <w:ilvl w:val="0"/>
          <w:numId w:val="1208"/>
        </w:numPr>
        <w:pStyle w:val="Compact"/>
      </w:pPr>
      <w:r>
        <w:rPr>
          <w:bCs/>
          <w:b/>
        </w:rPr>
        <w:t xml:space="preserve">Mechanism of action:</w:t>
      </w:r>
      <w:r>
        <w:t xml:space="preserve"> </w:t>
      </w:r>
      <w:r>
        <w:t xml:space="preserve">said to amplify the growth factor system HGF/c-Met (HGF = hepatocyte growth factor, c-Met = its receptor) and thereby stimulate the formation of new nerve connections (synapses).</w:t>
      </w:r>
    </w:p>
    <w:p>
      <w:pPr>
        <w:numPr>
          <w:ilvl w:val="0"/>
          <w:numId w:val="1208"/>
        </w:numPr>
        <w:pStyle w:val="Compact"/>
      </w:pPr>
      <w:r>
        <w:rPr>
          <w:bCs/>
          <w:b/>
        </w:rPr>
        <w:t xml:space="preserve">EU approval:</w:t>
      </w:r>
      <w:r>
        <w:t xml:space="preserve"> </w:t>
      </w:r>
      <w:r>
        <w:t xml:space="preserve">no.</w:t>
      </w:r>
    </w:p>
    <w:p>
      <w:pPr>
        <w:numPr>
          <w:ilvl w:val="0"/>
          <w:numId w:val="1208"/>
        </w:numPr>
        <w:pStyle w:val="Compact"/>
      </w:pPr>
      <w:r>
        <w:rPr>
          <w:bCs/>
          <w:b/>
        </w:rPr>
        <w:t xml:space="preserve">US approval:</w:t>
      </w:r>
      <w:r>
        <w:t xml:space="preserve"> </w:t>
      </w:r>
      <w:r>
        <w:t xml:space="preserve">no. From 2023, Dihexa was in FDA</w:t>
      </w:r>
      <w:r>
        <w:t xml:space="preserve"> </w:t>
      </w:r>
      <w:r>
        <w:t xml:space="preserve">“</w:t>
      </w:r>
      <w:r>
        <w:t xml:space="preserve">Category 2</w:t>
      </w:r>
      <w:r>
        <w:t xml:space="preserve">”</w:t>
      </w:r>
      <w:r>
        <w:t xml:space="preserve"> </w:t>
      </w:r>
      <w:r>
        <w:t xml:space="preserve">for compounding substances with safety concerns; in April 2026 it was removed from that category, and an evaluation by the advisory committee PCAC has been announced for a meeting by February 2027 (as of October 2026, please check for updates).</w:t>
      </w:r>
    </w:p>
    <w:p>
      <w:pPr>
        <w:numPr>
          <w:ilvl w:val="0"/>
          <w:numId w:val="1208"/>
        </w:numPr>
        <w:pStyle w:val="Compact"/>
      </w:pPr>
      <w:r>
        <w:rPr>
          <w:bCs/>
          <w:b/>
        </w:rPr>
        <w:t xml:space="preserve">WADA:</w:t>
      </w:r>
      <w:r>
        <w:t xml:space="preserve"> </w:t>
      </w:r>
      <w:r>
        <w:t xml:space="preserve">not listed by name; as a substance not approved anywhere, Dihexa falls in our assessment under the catch-all category S0</w:t>
      </w:r>
      <w:r>
        <w:t xml:space="preserve"> </w:t>
      </w:r>
      <w:r>
        <w:t xml:space="preserve">“</w:t>
      </w:r>
      <w:r>
        <w:t xml:space="preserve">non-approved substances</w:t>
      </w:r>
      <w:r>
        <w:t xml:space="preserve">”</w:t>
      </w:r>
      <w:r>
        <w:t xml:space="preserve">.</w:t>
      </w:r>
    </w:p>
    <w:p>
      <w:pPr>
        <w:numPr>
          <w:ilvl w:val="0"/>
          <w:numId w:val="1208"/>
        </w:numPr>
        <w:pStyle w:val="Compact"/>
      </w:pPr>
      <w:r>
        <w:rPr>
          <w:bCs/>
          <w:b/>
        </w:rPr>
        <w:t xml:space="preserve">Evidence level:</w:t>
      </w:r>
      <w:r>
        <w:t xml:space="preserve"> </w:t>
      </w:r>
      <w:r>
        <w:rPr>
          <w:bCs/>
          <w:b/>
        </w:rPr>
        <w:t xml:space="preserve">D</w:t>
      </w:r>
      <w:r>
        <w:t xml:space="preserve"> </w:t>
      </w:r>
      <w:r>
        <w:t xml:space="preserve">– not a single published study in humans.</w:t>
      </w:r>
    </w:p>
    <w:bookmarkEnd w:id="1713"/>
    <w:bookmarkStart w:id="1716" w:name="how-it-is-supposed-to-work-37"/>
    <w:p>
      <w:pPr>
        <w:pStyle w:val="Heading3"/>
      </w:pPr>
      <w:r>
        <w:t xml:space="preserve">How it is supposed to work</w:t>
      </w:r>
    </w:p>
    <w:p>
      <w:pPr>
        <w:pStyle w:val="FirstParagraph"/>
      </w:pPr>
      <w:r>
        <w:t xml:space="preserve">Angiotensin IV is a short peptide formed in the body from the blood pressure hormone angiotensin II. Since the 1990s, researchers have observed that angiotensin IV and related molecules improve learning and memory in rats when injected directly into the brain. For a medicine this was useless: the peptides were rapidly broken down and passed neither from the gut into the blood nor across the blood-brain barrier.</w:t>
      </w:r>
    </w:p>
    <w:p>
      <w:pPr>
        <w:pStyle w:val="BodyText"/>
      </w:pPr>
      <w:r>
        <w:t xml:space="preserve">The research group led by Joseph Harding and John Wright in Washington therefore shortened the molecule to its active core and added chemical protecting groups. The result was Dihexa: stable against breakdown, orally active in rats and able to enter the brain. In rats with drug-induced memory impairment and in old rats, it improved performance in the water maze and promoted synapse formation in the hippocampus</w:t>
      </w:r>
      <w:r>
        <w:rPr>
          <w:rStyle w:val="FootnoteReference"/>
        </w:rPr>
        <w:footnoteReference w:id="1714"/>
      </w:r>
      <w:r>
        <w:t xml:space="preserve">.</w:t>
      </w:r>
    </w:p>
    <w:p>
      <w:pPr>
        <w:pStyle w:val="BodyText"/>
      </w:pPr>
      <w:r>
        <w:t xml:space="preserve">Later, the same group found the presumed mechanism of action: Dihexa binds to the growth factor HGF and amplifies its signal at the c-Met receptor. When the HGF system in the brains of rats was blocked, the memory-enhancing effect disappeared</w:t>
      </w:r>
      <w:r>
        <w:rPr>
          <w:rStyle w:val="FootnoteReference"/>
        </w:rPr>
        <w:footnoteReference w:id="1715"/>
      </w:r>
      <w:r>
        <w:t xml:space="preserve">. This paper was retracted by the journal in 2025 (retraction notice: PMID 40312093), as was another foundational paper by the same group on angiotensin IV derivatives as HGF/c-Met modulators (retraction notice: PMID 40312092). The described mechanism of action is therefore no longer reliably supported; the PubMed entries do not state the reasons for the retraction.</w:t>
      </w:r>
    </w:p>
    <w:p>
      <w:pPr>
        <w:pStyle w:val="BodyText"/>
      </w:pPr>
      <w:r>
        <w:t xml:space="preserve">On the internet, Dihexa is often described as a substance many times more potent than the nerve growth factor BDNF. Such comparisons come from cell culture experiments and say nothing about whether and how Dihexa works in humans.</w:t>
      </w:r>
    </w:p>
    <w:bookmarkEnd w:id="1716"/>
    <w:bookmarkStart w:id="1721" w:name="human-studies-37"/>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w:t>
      </w:r>
      <w:r>
        <w:t xml:space="preserve"> </w:t>
      </w:r>
      <w:r>
        <w:rPr>
          <w:bCs/>
          <w:b/>
        </w:rPr>
        <w:t xml:space="preserve">no</w:t>
      </w:r>
      <w:r>
        <w:t xml:space="preserve"> </w:t>
      </w:r>
      <w:r>
        <w:t xml:space="preserve">human study with Dihexa; in total, PubMed lists only 18 papers for the search term, several of them unrelated to the substance. No study is registered on ClinicalTrials.gov. A targeted follow-up search for case reports, poisonings or analyses of gray-market products also found nothing.</w:t>
      </w:r>
    </w:p>
    <w:p>
      <w:pPr>
        <w:pStyle w:val="BodyText"/>
      </w:pPr>
      <w:r>
        <w:t xml:space="preserve">There are thus no data on efficacy, tolerability, duration of action or appropriate amounts in humans. Everything reported about effects in humans comes from anecdotal reports in forums.</w:t>
      </w:r>
    </w:p>
    <w:bookmarkStart w:id="1720" w:name="a-relative-in-the-clinic-fosgonimeton"/>
    <w:p>
      <w:pPr>
        <w:pStyle w:val="Heading4"/>
      </w:pPr>
      <w:r>
        <w:t xml:space="preserve">A relative in the clinic: fosgonimeton</w:t>
      </w:r>
    </w:p>
    <w:p>
      <w:pPr>
        <w:pStyle w:val="FirstParagraph"/>
      </w:pPr>
      <w:r>
        <w:t xml:space="preserve">The fate of another agent that emerged from the same research approach – amplification of the HGF/c-Met system – is revealing. The company Athira Pharma developed fosgonimeton (ATH-1017), a chemically different molecule that is likewise intended to positively influence HGF/c-Met. Unlike Dihexa, fosgonimeton was tested in regular clinical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Phase 1 (Hua 2022), PMID 35180125</w:t>
            </w:r>
          </w:p>
        </w:tc>
        <w:tc>
          <w:tcPr/>
          <w:p>
            <w:pPr>
              <w:pStyle w:val="Compact"/>
              <w:jc w:val="left"/>
            </w:pPr>
            <w:r>
              <w:t xml:space="preserve">88 people (healthy people and 11 people with Alzheimer’s), double-blind vs. placebo</w:t>
            </w:r>
          </w:p>
        </w:tc>
        <w:tc>
          <w:tcPr/>
          <w:p>
            <w:pPr>
              <w:pStyle w:val="Compact"/>
              <w:jc w:val="left"/>
            </w:pPr>
            <w:r>
              <w:t xml:space="preserve">up to 9 days</w:t>
            </w:r>
          </w:p>
        </w:tc>
        <w:tc>
          <w:tcPr/>
          <w:p>
            <w:pPr>
              <w:pStyle w:val="Compact"/>
              <w:jc w:val="left"/>
            </w:pPr>
            <w:r>
              <w:t xml:space="preserve">well tolerated; EEG changes as an indication of brain penetration</w:t>
            </w:r>
          </w:p>
        </w:tc>
      </w:tr>
      <w:tr>
        <w:tc>
          <w:tcPr/>
          <w:p>
            <w:pPr>
              <w:pStyle w:val="Compact"/>
              <w:jc w:val="left"/>
            </w:pPr>
            <w:r>
              <w:t xml:space="preserve">LIFT-AD (Porsteinsson 2025), PMID 41393340</w:t>
            </w:r>
          </w:p>
        </w:tc>
        <w:tc>
          <w:tcPr/>
          <w:p>
            <w:pPr>
              <w:pStyle w:val="Compact"/>
              <w:jc w:val="left"/>
            </w:pPr>
            <w:r>
              <w:t xml:space="preserve">287 people with mild to moderate Alzheimer’s disease in the primary analysis, phase 2/3 vs. placebo</w:t>
            </w:r>
          </w:p>
        </w:tc>
        <w:tc>
          <w:tcPr/>
          <w:p>
            <w:pPr>
              <w:pStyle w:val="Compact"/>
              <w:jc w:val="left"/>
            </w:pPr>
            <w:r>
              <w:t xml:space="preserve">26 weeks</w:t>
            </w:r>
          </w:p>
        </w:tc>
        <w:tc>
          <w:tcPr/>
          <w:p>
            <w:pPr>
              <w:pStyle w:val="Compact"/>
              <w:jc w:val="left"/>
            </w:pPr>
            <w:r>
              <w:t xml:space="preserve">primary and secondary endpoints missed; more discontinuations due to side effects (14.2% vs. 4.6%)</w:t>
            </w:r>
          </w:p>
        </w:tc>
      </w:tr>
    </w:tbl>
    <w:p>
      <w:pPr>
        <w:pStyle w:val="BodyText"/>
      </w:pPr>
      <w:r>
        <w:t xml:space="preserve">In LIFT-AD</w:t>
      </w:r>
      <w:r>
        <w:rPr>
          <w:rStyle w:val="FootnoteReference"/>
        </w:rPr>
        <w:footnoteReference w:id="1717"/>
      </w:r>
      <w:r>
        <w:t xml:space="preserve">, fosgonimeton did not differ significantly from placebo in either the combined primary endpoint or memory or daily-living scales. Serious adverse events were balanced (4.2% versus 6.9%); treatment discontinuations due to side effects – mainly injection site reactions – were more frequent on fosgonimeton</w:t>
      </w:r>
      <w:r>
        <w:rPr>
          <w:rStyle w:val="FootnoteReference"/>
        </w:rPr>
        <w:footnoteReference w:id="1718"/>
      </w:r>
      <w:r>
        <w:t xml:space="preserve">. A trial in Parkinson’s disease dementia and dementia with Lewy bodies was terminated early</w:t>
      </w:r>
      <w:r>
        <w:rPr>
          <w:rStyle w:val="FootnoteReference"/>
        </w:rPr>
        <w:footnoteReference w:id="1719"/>
      </w:r>
      <w:r>
        <w:t xml:space="preserve">.</w:t>
      </w:r>
    </w:p>
    <w:p>
      <w:pPr>
        <w:pStyle w:val="BodyText"/>
      </w:pPr>
      <w:r>
        <w:t xml:space="preserve">This does not prove that Dihexa would be ineffective – it is a different substance. But it shows how poorly memory improvements in rats translate to people with dementia.</w:t>
      </w:r>
    </w:p>
    <w:bookmarkEnd w:id="1720"/>
    <w:bookmarkEnd w:id="1721"/>
    <w:bookmarkStart w:id="1728" w:name="animal-and-laboratory-studies-37"/>
    <w:p>
      <w:pPr>
        <w:pStyle w:val="Heading3"/>
      </w:pPr>
      <w:r>
        <w:t xml:space="preserve">Animal and laboratory studies</w:t>
      </w:r>
    </w:p>
    <w:p>
      <w:pPr>
        <w:numPr>
          <w:ilvl w:val="0"/>
          <w:numId w:val="1209"/>
        </w:numPr>
        <w:pStyle w:val="Compact"/>
      </w:pPr>
      <w:r>
        <w:t xml:space="preserve">In rats with scopolamine-induced memory impairment and in old rats, Dihexa improved spatial learning and promoted synapse formation</w:t>
      </w:r>
      <w:r>
        <w:rPr>
          <w:rStyle w:val="FootnoteReference"/>
        </w:rPr>
        <w:footnoteReference w:id="1722"/>
      </w:r>
      <w:r>
        <w:t xml:space="preserve">.</w:t>
      </w:r>
    </w:p>
    <w:p>
      <w:pPr>
        <w:numPr>
          <w:ilvl w:val="0"/>
          <w:numId w:val="1209"/>
        </w:numPr>
        <w:pStyle w:val="Compact"/>
      </w:pPr>
      <w:r>
        <w:t xml:space="preserve">In Alzheimer’s model mice (APP/PS1), Dihexa improved learning in the water maze and reduced signs of inflammation in the brain</w:t>
      </w:r>
      <w:r>
        <w:rPr>
          <w:rStyle w:val="FootnoteReference"/>
        </w:rPr>
        <w:footnoteReference w:id="1723"/>
      </w:r>
      <w:r>
        <w:t xml:space="preserve">.</w:t>
      </w:r>
    </w:p>
    <w:p>
      <w:pPr>
        <w:numPr>
          <w:ilvl w:val="0"/>
          <w:numId w:val="1209"/>
        </w:numPr>
        <w:pStyle w:val="Compact"/>
      </w:pPr>
      <w:r>
        <w:t xml:space="preserve">In a rat model of Huntington’s disease, Dihexa did</w:t>
      </w:r>
      <w:r>
        <w:t xml:space="preserve"> </w:t>
      </w:r>
      <w:r>
        <w:rPr>
          <w:bCs/>
          <w:b/>
        </w:rPr>
        <w:t xml:space="preserve">not</w:t>
      </w:r>
      <w:r>
        <w:t xml:space="preserve"> </w:t>
      </w:r>
      <w:r>
        <w:t xml:space="preserve">protect against the deficits</w:t>
      </w:r>
      <w:r>
        <w:rPr>
          <w:rStyle w:val="FootnoteReference"/>
        </w:rPr>
        <w:footnoteReference w:id="1724"/>
      </w:r>
      <w:r>
        <w:t xml:space="preserve">.</w:t>
      </w:r>
    </w:p>
    <w:p>
      <w:pPr>
        <w:numPr>
          <w:ilvl w:val="0"/>
          <w:numId w:val="1209"/>
        </w:numPr>
        <w:pStyle w:val="Compact"/>
      </w:pPr>
      <w:r>
        <w:t xml:space="preserve">In zebrafish larvae, Dihexa protected sensory hair cells from damage by certain antibiotics</w:t>
      </w:r>
      <w:r>
        <w:rPr>
          <w:rStyle w:val="FootnoteReference"/>
        </w:rPr>
        <w:footnoteReference w:id="1725"/>
      </w:r>
      <w:r>
        <w:t xml:space="preserve">.</w:t>
      </w:r>
    </w:p>
    <w:p>
      <w:pPr>
        <w:numPr>
          <w:ilvl w:val="0"/>
          <w:numId w:val="1209"/>
        </w:numPr>
        <w:pStyle w:val="Compact"/>
      </w:pPr>
      <w:r>
        <w:t xml:space="preserve">In stem cell research, Dihexa is used as an inexpensive substitute for growth factors in the production of liver-like cells</w:t>
      </w:r>
      <w:r>
        <w:rPr>
          <w:rStyle w:val="FootnoteReference"/>
        </w:rPr>
        <w:footnoteReference w:id="1726"/>
      </w:r>
      <w:r>
        <w:t xml:space="preserve"> </w:t>
      </w:r>
      <w:r>
        <w:t xml:space="preserve">– an indication of how broadly the HGF system acts in the body.</w:t>
      </w:r>
    </w:p>
    <w:p>
      <w:pPr>
        <w:pStyle w:val="FirstParagraph"/>
      </w:pPr>
      <w:r>
        <w:t xml:space="preserve">A systematic review of angiotensin IV derivatives found favorable effects in eight of nine animal studies on memory impairment, but emphasizes that the substances worked best when given directly into the brain</w:t>
      </w:r>
      <w:r>
        <w:rPr>
          <w:rStyle w:val="FootnoteReference"/>
        </w:rPr>
        <w:footnoteReference w:id="1727"/>
      </w:r>
      <w:r>
        <w:t xml:space="preserve">.</w:t>
      </w:r>
    </w:p>
    <w:bookmarkEnd w:id="1728"/>
    <w:bookmarkStart w:id="1730" w:name="risks-and-side-effects-37"/>
    <w:p>
      <w:pPr>
        <w:pStyle w:val="Heading3"/>
      </w:pPr>
      <w:r>
        <w:t xml:space="preserve">Risks and side effects</w:t>
      </w:r>
    </w:p>
    <w:p>
      <w:pPr>
        <w:pStyle w:val="FirstParagraph"/>
      </w:pPr>
      <w:r>
        <w:rPr>
          <w:bCs/>
          <w:b/>
        </w:rPr>
        <w:t xml:space="preserve">Established:</w:t>
      </w:r>
      <w:r>
        <w:t xml:space="preserve"> </w:t>
      </w:r>
      <w:r>
        <w:t xml:space="preserve">There are no published safety data in humans – neither from studies nor from case reports.</w:t>
      </w:r>
    </w:p>
    <w:p>
      <w:pPr>
        <w:pStyle w:val="BodyText"/>
      </w:pPr>
      <w:r>
        <w:rPr>
          <w:bCs/>
          <w:b/>
        </w:rPr>
        <w:t xml:space="preserve">Theoretical – and to be taken seriously:</w:t>
      </w:r>
      <w:r>
        <w:t xml:space="preserve"> </w:t>
      </w:r>
      <w:r>
        <w:t xml:space="preserve">The HGF/c-Met system is not only important for nerve cells. Activation of c-Met stimulates cell division, cell migration and tissue remodeling</w:t>
      </w:r>
      <w:r>
        <w:rPr>
          <w:rStyle w:val="FootnoteReference"/>
        </w:rPr>
        <w:footnoteReference w:id="1729"/>
      </w:r>
      <w:r>
        <w:t xml:space="preserve">. In cancer research, c-Met is known as a driver of the growth and spread of various tumors; several approved cancer drugs block precisely this receptor. A substance that persistently amplifies this signal could theoretically favor the growth of undetected tumors. Whether this is the case with Dihexa has never been studied – there are no long-term toxicity studies in publicly accessible form. (More on growth signals and cancer risk in Part IV.)</w:t>
      </w:r>
    </w:p>
    <w:p>
      <w:pPr>
        <w:pStyle w:val="BodyText"/>
      </w:pPr>
      <w:r>
        <w:rPr>
          <w:bCs/>
          <w:b/>
        </w:rPr>
        <w:t xml:space="preserve">Gray market:</w:t>
      </w:r>
      <w:r>
        <w:t xml:space="preserve"> </w:t>
      </w:r>
      <w:r>
        <w:t xml:space="preserve">Dihexa is sold online as powder, capsules or solution, some for oral use, some for application to the skin. Content and purity are unverified.</w:t>
      </w:r>
    </w:p>
    <w:bookmarkEnd w:id="1730"/>
    <w:bookmarkStart w:id="1731" w:name="legal-status-37"/>
    <w:p>
      <w:pPr>
        <w:pStyle w:val="Heading3"/>
      </w:pPr>
      <w:r>
        <w:t xml:space="preserve">Legal status</w:t>
      </w:r>
    </w:p>
    <w:p>
      <w:pPr>
        <w:numPr>
          <w:ilvl w:val="0"/>
          <w:numId w:val="1210"/>
        </w:numPr>
        <w:pStyle w:val="Compact"/>
      </w:pPr>
      <w:r>
        <w:rPr>
          <w:bCs/>
          <w:b/>
        </w:rPr>
        <w:t xml:space="preserve">EU / Austria / Germany:</w:t>
      </w:r>
      <w:r>
        <w:t xml:space="preserve"> </w:t>
      </w:r>
      <w:r>
        <w:t xml:space="preserve">not approved. As a substance with a pharmacological effect, Dihexa is considered a medicine; selling it for use in humans is not permitted. Labeling it</w:t>
      </w:r>
      <w:r>
        <w:t xml:space="preserve"> </w:t>
      </w:r>
      <w:r>
        <w:t xml:space="preserve">“</w:t>
      </w:r>
      <w:r>
        <w:t xml:space="preserve">for research purposes only</w:t>
      </w:r>
      <w:r>
        <w:t xml:space="preserve">”</w:t>
      </w:r>
      <w:r>
        <w:t xml:space="preserve"> </w:t>
      </w:r>
      <w:r>
        <w:t xml:space="preserve">does not change this.</w:t>
      </w:r>
    </w:p>
    <w:p>
      <w:pPr>
        <w:numPr>
          <w:ilvl w:val="0"/>
          <w:numId w:val="1210"/>
        </w:numPr>
        <w:pStyle w:val="Compact"/>
      </w:pPr>
      <w:r>
        <w:rPr>
          <w:bCs/>
          <w:b/>
        </w:rPr>
        <w:t xml:space="preserve">USA:</w:t>
      </w:r>
      <w:r>
        <w:t xml:space="preserve"> </w:t>
      </w:r>
      <w:r>
        <w:t xml:space="preserve">not approved. No longer in FDA</w:t>
      </w:r>
      <w:r>
        <w:t xml:space="preserve"> </w:t>
      </w:r>
      <w:r>
        <w:t xml:space="preserve">“</w:t>
      </w:r>
      <w:r>
        <w:t xml:space="preserve">Category 2</w:t>
      </w:r>
      <w:r>
        <w:t xml:space="preserve">”</w:t>
      </w:r>
      <w:r>
        <w:t xml:space="preserve"> </w:t>
      </w:r>
      <w:r>
        <w:t xml:space="preserve">since April 2026; as of October 2026, the advisory committee PCAC had not yet deliberated on possible inclusion in the list of permitted compounding substances (as of October 2026, please check for updates).</w:t>
      </w:r>
    </w:p>
    <w:p>
      <w:pPr>
        <w:numPr>
          <w:ilvl w:val="0"/>
          <w:numId w:val="1210"/>
        </w:numPr>
        <w:pStyle w:val="Compact"/>
      </w:pPr>
      <w:r>
        <w:rPr>
          <w:bCs/>
          <w:b/>
        </w:rPr>
        <w:t xml:space="preserve">Sport:</w:t>
      </w:r>
      <w:r>
        <w:t xml:space="preserve"> </w:t>
      </w:r>
      <w:r>
        <w:t xml:space="preserve">as a non-approved substance, falls in our assessment under WADA category S0 (as of 2026, please check for updates).</w:t>
      </w:r>
    </w:p>
    <w:bookmarkEnd w:id="1731"/>
    <w:bookmarkStart w:id="1732" w:name="ongoing-studies-and-outlook-37"/>
    <w:p>
      <w:pPr>
        <w:pStyle w:val="Heading3"/>
      </w:pPr>
      <w:r>
        <w:t xml:space="preserve">Ongoing studies and outlook</w:t>
      </w:r>
    </w:p>
    <w:p>
      <w:pPr>
        <w:pStyle w:val="FirstParagraph"/>
      </w:pPr>
      <w:r>
        <w:rPr>
          <w:bCs/>
          <w:b/>
        </w:rPr>
        <w:t xml:space="preserve">Established:</w:t>
      </w:r>
      <w:r>
        <w:t xml:space="preserve"> </w:t>
      </w:r>
      <w:r>
        <w:t xml:space="preserve">No clinical trial is registered for Dihexa (search October 2026). The related approach fosgonimeton failed in the Alzheimer’s trial LIFT-AD.</w:t>
      </w:r>
    </w:p>
    <w:p>
      <w:pPr>
        <w:pStyle w:val="BodyText"/>
      </w:pPr>
      <w:r>
        <w:rPr>
          <w:bCs/>
          <w:b/>
        </w:rPr>
        <w:t xml:space="preserve">Assessment:</w:t>
      </w:r>
      <w:r>
        <w:t xml:space="preserve"> </w:t>
      </w:r>
      <w:r>
        <w:t xml:space="preserve">Without toxicity data and a first study in humans, Dihexa remains a laboratory compound. Whether the announced PCAC deliberation in the USA will change anything is open – at most it would concern pharmacy compounding, not the missing proof of efficacy.</w:t>
      </w:r>
    </w:p>
    <w:bookmarkEnd w:id="1732"/>
    <w:bookmarkStart w:id="1733" w:name="conclusion-37"/>
    <w:p>
      <w:pPr>
        <w:pStyle w:val="Heading3"/>
      </w:pPr>
      <w:r>
        <w:t xml:space="preserve">Conclusion</w:t>
      </w:r>
    </w:p>
    <w:p>
      <w:pPr>
        <w:pStyle w:val="FirstParagraph"/>
      </w:pPr>
      <w:r>
        <w:t xml:space="preserve">Dihexa is a chemically stabilized derivative of angiotensin IV that promoted learning and synapse formation in rats and mice, mediated via the growth factor system HGF/c-Met. It has never been studied in humans; a related agent (fosgonimeton) missed all endpoints in an Alzheimer’s trial with 287 people. Because c-Met also drives tumor growth, there is a plausible but untested cancer concern. The data are not sufficient to assess any benefit or safety in humans.</w:t>
      </w:r>
    </w:p>
    <w:bookmarkEnd w:id="1733"/>
    <w:bookmarkEnd w:id="1734"/>
    <w:bookmarkStart w:id="1766" w:name="dsip-delta-sleepinducing-peptide"/>
    <w:p>
      <w:pPr>
        <w:pStyle w:val="Heading2"/>
      </w:pPr>
      <w:r>
        <w:t xml:space="preserve">DSIP (Delta Sleep–Inducing Peptide)</w:t>
      </w:r>
    </w:p>
    <w:bookmarkStart w:id="1735" w:name="profile-38"/>
    <w:p>
      <w:pPr>
        <w:pStyle w:val="Heading3"/>
      </w:pPr>
      <w:r>
        <w:t xml:space="preserve">Profile</w:t>
      </w:r>
    </w:p>
    <w:p>
      <w:pPr>
        <w:numPr>
          <w:ilvl w:val="0"/>
          <w:numId w:val="1211"/>
        </w:numPr>
        <w:pStyle w:val="Compact"/>
      </w:pPr>
      <w:r>
        <w:rPr>
          <w:bCs/>
          <w:b/>
        </w:rPr>
        <w:t xml:space="preserve">Type and structure:</w:t>
      </w:r>
      <w:r>
        <w:t xml:space="preserve"> </w:t>
      </w:r>
      <w:r>
        <w:t xml:space="preserve">nonapeptide of nine amino acids (Trp-Ala-Gly-Gly-Asp-Ala-Ser-Gly-Glu); international nonproprietary name emideltide.</w:t>
      </w:r>
    </w:p>
    <w:p>
      <w:pPr>
        <w:numPr>
          <w:ilvl w:val="0"/>
          <w:numId w:val="1211"/>
        </w:numPr>
        <w:pStyle w:val="Compact"/>
      </w:pPr>
      <w:r>
        <w:rPr>
          <w:bCs/>
          <w:b/>
        </w:rPr>
        <w:t xml:space="preserve">Origin:</w:t>
      </w:r>
      <w:r>
        <w:t xml:space="preserve"> </w:t>
      </w:r>
      <w:r>
        <w:t xml:space="preserve">isolated in 1977 by a research group in Basel from the cerebral venous blood of rabbits that had been put into deep sleep by electrical stimulation. A gene, a precursor protein or a receptor for DSIP has not been found to this day.</w:t>
      </w:r>
    </w:p>
    <w:p>
      <w:pPr>
        <w:numPr>
          <w:ilvl w:val="0"/>
          <w:numId w:val="1211"/>
        </w:numPr>
        <w:pStyle w:val="Compact"/>
      </w:pPr>
      <w:r>
        <w:rPr>
          <w:bCs/>
          <w:b/>
        </w:rPr>
        <w:t xml:space="preserve">Mechanism of action:</w:t>
      </w:r>
      <w:r>
        <w:t xml:space="preserve"> </w:t>
      </w:r>
      <w:r>
        <w:t xml:space="preserve">was supposed to promote deep sleep (delta sleep with slow EEG waves) as an endogenous</w:t>
      </w:r>
      <w:r>
        <w:t xml:space="preserve"> </w:t>
      </w:r>
      <w:r>
        <w:t xml:space="preserve">“</w:t>
      </w:r>
      <w:r>
        <w:t xml:space="preserve">sleep substance</w:t>
      </w:r>
      <w:r>
        <w:t xml:space="preserve">”</w:t>
      </w:r>
      <w:r>
        <w:t xml:space="preserve">; later, effects on stress hormones, pain and withdrawal symptoms were suspected.</w:t>
      </w:r>
    </w:p>
    <w:p>
      <w:pPr>
        <w:numPr>
          <w:ilvl w:val="0"/>
          <w:numId w:val="1211"/>
        </w:numPr>
        <w:pStyle w:val="Compact"/>
      </w:pPr>
      <w:r>
        <w:rPr>
          <w:bCs/>
          <w:b/>
        </w:rPr>
        <w:t xml:space="preserve">EU approval:</w:t>
      </w:r>
      <w:r>
        <w:t xml:space="preserve"> </w:t>
      </w:r>
      <w:r>
        <w:t xml:space="preserve">no.</w:t>
      </w:r>
    </w:p>
    <w:p>
      <w:pPr>
        <w:numPr>
          <w:ilvl w:val="0"/>
          <w:numId w:val="1211"/>
        </w:numPr>
        <w:pStyle w:val="Compact"/>
      </w:pPr>
      <w:r>
        <w:rPr>
          <w:bCs/>
          <w:b/>
        </w:rPr>
        <w:t xml:space="preserve">US approval:</w:t>
      </w:r>
      <w:r>
        <w:t xml:space="preserve"> </w:t>
      </w:r>
      <w:r>
        <w:t xml:space="preserve">no. Emideltide was removed from FDA</w:t>
      </w:r>
      <w:r>
        <w:t xml:space="preserve"> </w:t>
      </w:r>
      <w:r>
        <w:t xml:space="preserve">“</w:t>
      </w:r>
      <w:r>
        <w:t xml:space="preserve">Category 2</w:t>
      </w:r>
      <w:r>
        <w:t xml:space="preserve">”</w:t>
      </w:r>
      <w:r>
        <w:t xml:space="preserve"> </w:t>
      </w:r>
      <w:r>
        <w:t xml:space="preserve">in April 2026; in July 2026, the advisory committee PCAC voted 6 to 7</w:t>
      </w:r>
      <w:r>
        <w:t xml:space="preserve"> </w:t>
      </w:r>
      <w:r>
        <w:rPr>
          <w:bCs/>
          <w:b/>
        </w:rPr>
        <w:t xml:space="preserve">against</w:t>
      </w:r>
      <w:r>
        <w:t xml:space="preserve"> </w:t>
      </w:r>
      <w:r>
        <w:t xml:space="preserve">inclusion in the list of permitted compounding substances (as of October 2026, please check for updates).</w:t>
      </w:r>
    </w:p>
    <w:p>
      <w:pPr>
        <w:numPr>
          <w:ilvl w:val="0"/>
          <w:numId w:val="1211"/>
        </w:numPr>
        <w:pStyle w:val="Compact"/>
      </w:pPr>
      <w:r>
        <w:rPr>
          <w:bCs/>
          <w:b/>
        </w:rPr>
        <w:t xml:space="preserve">Russia and neighboring countries:</w:t>
      </w:r>
      <w:r>
        <w:t xml:space="preserve"> </w:t>
      </w:r>
      <w:r>
        <w:t xml:space="preserve">DSIP preparations (e.g., Deltaran, Deltalicin) have been used there in studies and in practice.</w:t>
      </w:r>
    </w:p>
    <w:p>
      <w:pPr>
        <w:numPr>
          <w:ilvl w:val="0"/>
          <w:numId w:val="1211"/>
        </w:numPr>
        <w:pStyle w:val="Compact"/>
      </w:pPr>
      <w:r>
        <w:rPr>
          <w:bCs/>
          <w:b/>
        </w:rPr>
        <w:t xml:space="preserve">WADA:</w:t>
      </w:r>
      <w:r>
        <w:t xml:space="preserve"> </w:t>
      </w:r>
      <w:r>
        <w:t xml:space="preserve">not listed by name.</w:t>
      </w:r>
    </w:p>
    <w:p>
      <w:pPr>
        <w:numPr>
          <w:ilvl w:val="0"/>
          <w:numId w:val="1211"/>
        </w:numPr>
        <w:pStyle w:val="Compact"/>
      </w:pPr>
      <w:r>
        <w:rPr>
          <w:bCs/>
          <w:b/>
        </w:rPr>
        <w:t xml:space="preserve">Evidence level:</w:t>
      </w:r>
      <w:r>
        <w:t xml:space="preserve"> </w:t>
      </w:r>
      <w:r>
        <w:rPr>
          <w:bCs/>
          <w:b/>
        </w:rPr>
        <w:t xml:space="preserve">C</w:t>
      </w:r>
      <w:r>
        <w:t xml:space="preserve"> </w:t>
      </w:r>
      <w:r>
        <w:t xml:space="preserve">– only very small studies, mostly conducted in the 1980s; the methodologically best of them found no clinically relevant benefit.</w:t>
      </w:r>
    </w:p>
    <w:bookmarkEnd w:id="1735"/>
    <w:bookmarkStart w:id="1739" w:name="how-it-is-supposed-to-work-38"/>
    <w:p>
      <w:pPr>
        <w:pStyle w:val="Heading3"/>
      </w:pPr>
      <w:r>
        <w:t xml:space="preserve">How it is supposed to work</w:t>
      </w:r>
    </w:p>
    <w:p>
      <w:pPr>
        <w:pStyle w:val="FirstParagraph"/>
      </w:pPr>
      <w:r>
        <w:t xml:space="preserve">The idea was simple and appealing: if the brain releases a substance into the blood during sleep that induces sleep in other animals, it could be a natural sleeping aid – without the drawbacks of sedatives. The Basel researchers transferred blood from sleeping rabbits to awake animals and isolated from it the peptide they considered responsible for the effect</w:t>
      </w:r>
      <w:r>
        <w:rPr>
          <w:rStyle w:val="FootnoteReference"/>
        </w:rPr>
        <w:footnoteReference w:id="1736"/>
      </w:r>
      <w:r>
        <w:t xml:space="preserve">.</w:t>
      </w:r>
    </w:p>
    <w:p>
      <w:pPr>
        <w:pStyle w:val="BodyText"/>
      </w:pPr>
      <w:r>
        <w:t xml:space="preserve">The hope has not been borne out. A 2006 review calls DSIP a</w:t>
      </w:r>
      <w:r>
        <w:t xml:space="preserve"> </w:t>
      </w:r>
      <w:r>
        <w:t xml:space="preserve">“</w:t>
      </w:r>
      <w:r>
        <w:t xml:space="preserve">still unresolved enigma</w:t>
      </w:r>
      <w:r>
        <w:t xml:space="preserve">”</w:t>
      </w:r>
      <w:r>
        <w:t xml:space="preserve">: its connection to sleep is</w:t>
      </w:r>
      <w:r>
        <w:t xml:space="preserve"> </w:t>
      </w:r>
      <w:r>
        <w:t xml:space="preserve">“</w:t>
      </w:r>
      <w:r>
        <w:t xml:space="preserve">extremely poorly documented,</w:t>
      </w:r>
      <w:r>
        <w:t xml:space="preserve">”</w:t>
      </w:r>
      <w:r>
        <w:t xml:space="preserve"> </w:t>
      </w:r>
      <w:r>
        <w:t xml:space="preserve">because neither the associated gene nor a receptor has been found. In animal experiments, certain artificial modifications promoted deep sleep more than DSIP itself. The authors suspect that a hitherto unknown DSIP-like peptide could be responsible for the observed effects</w:t>
      </w:r>
      <w:r>
        <w:rPr>
          <w:rStyle w:val="FootnoteReference"/>
        </w:rPr>
        <w:footnoteReference w:id="1737"/>
      </w:r>
      <w:r>
        <w:t xml:space="preserve">.</w:t>
      </w:r>
    </w:p>
    <w:p>
      <w:pPr>
        <w:pStyle w:val="BodyText"/>
      </w:pPr>
      <w:r>
        <w:t xml:space="preserve">Further suspected effects – on stress hormones, pain perception, the opioid system and antioxidant enzymes – come mainly from animal experiments. In sheep, labeled DSIP crossed the barrier between blood and cerebrospinal fluid to a small to moderate extent</w:t>
      </w:r>
      <w:r>
        <w:rPr>
          <w:rStyle w:val="FootnoteReference"/>
        </w:rPr>
        <w:footnoteReference w:id="1738"/>
      </w:r>
      <w:r>
        <w:t xml:space="preserve">.</w:t>
      </w:r>
    </w:p>
    <w:bookmarkEnd w:id="1739"/>
    <w:bookmarkStart w:id="1756" w:name="human-studies-38"/>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18 publications classified as human studies; on closer inspection, one of them concerns a different topic (spinal surgery). Almost all date from 1981 to 1998 and each had between 1 and 16 participants in placebo-controlled parts. On ClinicalTrials.gov, the search yielded one hit that does not relate to DSIP; there is no registered DSIP study.</w:t>
      </w:r>
    </w:p>
    <w:bookmarkStart w:id="1744" w:name="sleep-disorders"/>
    <w:p>
      <w:pPr>
        <w:pStyle w:val="Heading4"/>
      </w:pPr>
      <w:r>
        <w:t xml:space="preserve">Sleep disorders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Schneider-Helmert 1981, PMID 6895513</w:t>
            </w:r>
          </w:p>
        </w:tc>
        <w:tc>
          <w:tcPr/>
          <w:p>
            <w:pPr>
              <w:pStyle w:val="Compact"/>
              <w:jc w:val="left"/>
            </w:pPr>
            <w:r>
              <w:t xml:space="preserve">6 healthy people, double-blind, crossover vs. placebo</w:t>
            </w:r>
          </w:p>
        </w:tc>
        <w:tc>
          <w:tcPr/>
          <w:p>
            <w:pPr>
              <w:pStyle w:val="Compact"/>
              <w:jc w:val="left"/>
            </w:pPr>
            <w:r>
              <w:t xml:space="preserve">single infusion</w:t>
            </w:r>
          </w:p>
        </w:tc>
        <w:tc>
          <w:tcPr/>
          <w:p>
            <w:pPr>
              <w:pStyle w:val="Compact"/>
              <w:jc w:val="left"/>
            </w:pPr>
            <w:r>
              <w:t xml:space="preserve">sleep time 59% longer within 130 minutes; no classic sedation</w:t>
            </w:r>
          </w:p>
        </w:tc>
      </w:tr>
      <w:tr>
        <w:tc>
          <w:tcPr/>
          <w:p>
            <w:pPr>
              <w:pStyle w:val="Compact"/>
              <w:jc w:val="left"/>
            </w:pPr>
            <w:r>
              <w:t xml:space="preserve">Schneider-Helmert 1981, PMID 7028502</w:t>
            </w:r>
          </w:p>
        </w:tc>
        <w:tc>
          <w:tcPr/>
          <w:p>
            <w:pPr>
              <w:pStyle w:val="Compact"/>
              <w:jc w:val="left"/>
            </w:pPr>
            <w:r>
              <w:t xml:space="preserve">6 people with chronic insomnia</w:t>
            </w:r>
          </w:p>
        </w:tc>
        <w:tc>
          <w:tcPr/>
          <w:p>
            <w:pPr>
              <w:pStyle w:val="Compact"/>
              <w:jc w:val="left"/>
            </w:pPr>
            <w:r>
              <w:t xml:space="preserve">single dose</w:t>
            </w:r>
          </w:p>
        </w:tc>
        <w:tc>
          <w:tcPr/>
          <w:p>
            <w:pPr>
              <w:pStyle w:val="Compact"/>
              <w:jc w:val="left"/>
            </w:pPr>
            <w:r>
              <w:t xml:space="preserve">longer, less interrupted sleep</w:t>
            </w:r>
          </w:p>
        </w:tc>
      </w:tr>
      <w:tr>
        <w:tc>
          <w:tcPr/>
          <w:p>
            <w:pPr>
              <w:pStyle w:val="Compact"/>
              <w:jc w:val="left"/>
            </w:pPr>
            <w:r>
              <w:t xml:space="preserve">Schneider-Helmert 1987, PMID 3622582</w:t>
            </w:r>
          </w:p>
        </w:tc>
        <w:tc>
          <w:tcPr/>
          <w:p>
            <w:pPr>
              <w:pStyle w:val="Compact"/>
              <w:jc w:val="left"/>
            </w:pPr>
            <w:r>
              <w:t xml:space="preserve">14 people with severe chronic insomnia, double-blind vs. placebo</w:t>
            </w:r>
          </w:p>
        </w:tc>
        <w:tc>
          <w:tcPr/>
          <w:p>
            <w:pPr>
              <w:pStyle w:val="Compact"/>
              <w:jc w:val="left"/>
            </w:pPr>
            <w:r>
              <w:t xml:space="preserve">7 nights</w:t>
            </w:r>
          </w:p>
        </w:tc>
        <w:tc>
          <w:tcPr/>
          <w:p>
            <w:pPr>
              <w:pStyle w:val="Compact"/>
              <w:jc w:val="left"/>
            </w:pPr>
            <w:r>
              <w:t xml:space="preserve">sleep efficiency and daytime performance at the level of healthy people, according to the authors</w:t>
            </w:r>
          </w:p>
        </w:tc>
      </w:tr>
      <w:tr>
        <w:tc>
          <w:tcPr/>
          <w:p>
            <w:pPr>
              <w:pStyle w:val="Compact"/>
              <w:jc w:val="left"/>
            </w:pPr>
            <w:r>
              <w:t xml:space="preserve">Monti 1987, PMID 3583493</w:t>
            </w:r>
          </w:p>
        </w:tc>
        <w:tc>
          <w:tcPr/>
          <w:p>
            <w:pPr>
              <w:pStyle w:val="Compact"/>
              <w:jc w:val="left"/>
            </w:pPr>
            <w:r>
              <w:t xml:space="preserve">people with chronic insomnia, double-blind, crossover</w:t>
            </w:r>
          </w:p>
        </w:tc>
        <w:tc>
          <w:tcPr/>
          <w:p>
            <w:pPr>
              <w:pStyle w:val="Compact"/>
              <w:jc w:val="left"/>
            </w:pPr>
            <w:r>
              <w:t xml:space="preserve">4 nights</w:t>
            </w:r>
          </w:p>
        </w:tc>
        <w:tc>
          <w:tcPr/>
          <w:p>
            <w:pPr>
              <w:pStyle w:val="Compact"/>
              <w:jc w:val="left"/>
            </w:pPr>
            <w:r>
              <w:t xml:space="preserve">improvements</w:t>
            </w:r>
            <w:r>
              <w:t xml:space="preserve"> </w:t>
            </w:r>
            <w:r>
              <w:t xml:space="preserve">“</w:t>
            </w:r>
            <w:r>
              <w:t xml:space="preserve">of little clinical significance</w:t>
            </w:r>
            <w:r>
              <w:t xml:space="preserve">”</w:t>
            </w:r>
            <w:r>
              <w:t xml:space="preserve">; differences already existed before treatment</w:t>
            </w:r>
          </w:p>
        </w:tc>
      </w:tr>
      <w:tr>
        <w:tc>
          <w:tcPr/>
          <w:p>
            <w:pPr>
              <w:pStyle w:val="Compact"/>
              <w:jc w:val="left"/>
            </w:pPr>
            <w:r>
              <w:t xml:space="preserve">Bes 1992, PMID 1299794</w:t>
            </w:r>
          </w:p>
        </w:tc>
        <w:tc>
          <w:tcPr/>
          <w:p>
            <w:pPr>
              <w:pStyle w:val="Compact"/>
              <w:jc w:val="left"/>
            </w:pPr>
            <w:r>
              <w:t xml:space="preserve">16 people with chronic insomnia, double-blind vs. placebo</w:t>
            </w:r>
          </w:p>
        </w:tc>
        <w:tc>
          <w:tcPr/>
          <w:p>
            <w:pPr>
              <w:pStyle w:val="Compact"/>
              <w:jc w:val="left"/>
            </w:pPr>
            <w:r>
              <w:t xml:space="preserve">3 nights</w:t>
            </w:r>
          </w:p>
        </w:tc>
        <w:tc>
          <w:tcPr/>
          <w:p>
            <w:pPr>
              <w:pStyle w:val="Compact"/>
              <w:jc w:val="left"/>
            </w:pPr>
            <w:r>
              <w:t xml:space="preserve">weak effects, partly explainable by random fluctuation;</w:t>
            </w:r>
            <w:r>
              <w:t xml:space="preserve"> </w:t>
            </w:r>
            <w:r>
              <w:t xml:space="preserve">“</w:t>
            </w:r>
            <w:r>
              <w:t xml:space="preserve">no major therapeutic benefit</w:t>
            </w:r>
            <w:r>
              <w:t xml:space="preserve">”</w:t>
            </w:r>
          </w:p>
        </w:tc>
      </w:tr>
    </w:tbl>
    <w:p>
      <w:pPr>
        <w:pStyle w:val="BodyText"/>
      </w:pPr>
      <w:r>
        <w:t xml:space="preserve">The first studies came almost entirely from a single Basel research group and were uniformly positive. In six healthy volunteers, a morning infusion prolonged sleep time in the following two-plus hours by 59%, without the participants appearing sedated in the classic sense</w:t>
      </w:r>
      <w:r>
        <w:rPr>
          <w:rStyle w:val="FootnoteReference"/>
        </w:rPr>
        <w:footnoteReference w:id="1740"/>
      </w:r>
      <w:r>
        <w:t xml:space="preserve">. In 14 people with severe insomnia, according to the authors, sleep efficiency and daytime performance reached the level of healthy controls after seven nights</w:t>
      </w:r>
      <w:r>
        <w:rPr>
          <w:rStyle w:val="FootnoteReference"/>
        </w:rPr>
        <w:footnoteReference w:id="1741"/>
      </w:r>
      <w:r>
        <w:t xml:space="preserve">.</w:t>
      </w:r>
    </w:p>
    <w:p>
      <w:pPr>
        <w:pStyle w:val="BodyText"/>
      </w:pPr>
      <w:r>
        <w:t xml:space="preserve">Independent groups could not confirm this. One study did find more total and NREM sleep, but the significant differences from placebo (NREM sleep and sleep stage 2) already existed before treatment; the authors judged the improvement to be of little clinical significance</w:t>
      </w:r>
      <w:r>
        <w:rPr>
          <w:rStyle w:val="FootnoteReference"/>
        </w:rPr>
        <w:footnoteReference w:id="1742"/>
      </w:r>
      <w:r>
        <w:t xml:space="preserve">. Another study with 16 people found statistically significant but weak effects on sleep efficiency and sleep onset latency, which were partly explainable by a random change in the placebo group; subjective sleep quality did not change. Its conclusion: short-term treatment with DSIP probably has no major therapeutic benefit</w:t>
      </w:r>
      <w:r>
        <w:rPr>
          <w:rStyle w:val="FootnoteReference"/>
        </w:rPr>
        <w:footnoteReference w:id="1743"/>
      </w:r>
      <w:r>
        <w:t xml:space="preserve">.</w:t>
      </w:r>
    </w:p>
    <w:p>
      <w:pPr>
        <w:pStyle w:val="BodyText"/>
      </w:pPr>
      <w:r>
        <w:t xml:space="preserve">This pattern – enthusiastic first reports, sobering replications – is typical of substances whose effect is based on very small studies.</w:t>
      </w:r>
    </w:p>
    <w:bookmarkEnd w:id="1744"/>
    <w:bookmarkStart w:id="1750" w:name="withdrawal-pain-and-other-uses"/>
    <w:p>
      <w:pPr>
        <w:pStyle w:val="Heading4"/>
      </w:pPr>
      <w:r>
        <w:t xml:space="preserve">Withdrawal, pain and other uses</w:t>
      </w:r>
    </w:p>
    <w:p>
      <w:pPr>
        <w:pStyle w:val="FirstParagraph"/>
      </w:pPr>
      <w:r>
        <w:t xml:space="preserve">In the 1980s, DSIP was used in 107 inpatients undergoing alcohol or opiate withdrawal; according to the physicians’ assessment, withdrawal symptoms disappeared or improved markedly in 97% of the opiate-dependent and 87% of the alcohol-dependent patients. There was no control group, and some of the people could not be evaluated</w:t>
      </w:r>
      <w:r>
        <w:rPr>
          <w:rStyle w:val="FootnoteReference"/>
        </w:rPr>
        <w:footnoteReference w:id="1745"/>
      </w:r>
      <w:r>
        <w:t xml:space="preserve">. A later open-label study on opioid detoxification was published only as a short communication without an abstract</w:t>
      </w:r>
      <w:r>
        <w:rPr>
          <w:rStyle w:val="FootnoteReference"/>
        </w:rPr>
        <w:footnoteReference w:id="1746"/>
      </w:r>
      <w:r>
        <w:t xml:space="preserve">. Further individual reports concern seven people with chronic pain</w:t>
      </w:r>
      <w:r>
        <w:rPr>
          <w:rStyle w:val="FootnoteReference"/>
        </w:rPr>
        <w:footnoteReference w:id="1747"/>
      </w:r>
      <w:r>
        <w:t xml:space="preserve"> </w:t>
      </w:r>
      <w:r>
        <w:t xml:space="preserve">and a man with narcolepsy</w:t>
      </w:r>
      <w:r>
        <w:rPr>
          <w:rStyle w:val="FootnoteReference"/>
        </w:rPr>
        <w:footnoteReference w:id="1748"/>
      </w:r>
      <w:r>
        <w:t xml:space="preserve">. One study examined an intranasal DSIP preparation (Deltalicin) in diabetic retinopathy, in which the electrical responses of the retina improved</w:t>
      </w:r>
      <w:r>
        <w:rPr>
          <w:rStyle w:val="FootnoteReference"/>
        </w:rPr>
        <w:footnoteReference w:id="1749"/>
      </w:r>
      <w:r>
        <w:t xml:space="preserve">.</w:t>
      </w:r>
    </w:p>
    <w:bookmarkEnd w:id="1750"/>
    <w:bookmarkStart w:id="1755" w:name="hormones-and-anesthesia"/>
    <w:p>
      <w:pPr>
        <w:pStyle w:val="Heading4"/>
      </w:pPr>
      <w:r>
        <w:t xml:space="preserve">Hormones and anesthesia</w:t>
      </w:r>
    </w:p>
    <w:p>
      <w:pPr>
        <w:pStyle w:val="FirstParagraph"/>
      </w:pPr>
      <w:r>
        <w:t xml:space="preserve">Several small studies in healthy people examined whether DSIP influences stress hormones. A study with eleven men found less ACTH in the blood after an injection but unchanged cortisol levels</w:t>
      </w:r>
      <w:r>
        <w:rPr>
          <w:rStyle w:val="FootnoteReference"/>
        </w:rPr>
        <w:footnoteReference w:id="1751"/>
      </w:r>
      <w:r>
        <w:t xml:space="preserve">; another with a total of 20 men found no effect on ACTH and cortisol</w:t>
      </w:r>
      <w:r>
        <w:rPr>
          <w:rStyle w:val="FootnoteReference"/>
        </w:rPr>
        <w:footnoteReference w:id="1752"/>
      </w:r>
      <w:r>
        <w:t xml:space="preserve">. DSIP had no effect on growth hormone and prolactin in women</w:t>
      </w:r>
      <w:r>
        <w:rPr>
          <w:rStyle w:val="FootnoteReference"/>
        </w:rPr>
        <w:footnoteReference w:id="1753"/>
      </w:r>
      <w:r>
        <w:t xml:space="preserve">.</w:t>
      </w:r>
    </w:p>
    <w:p>
      <w:pPr>
        <w:pStyle w:val="BodyText"/>
      </w:pPr>
      <w:r>
        <w:t xml:space="preserve">A study of 24 women during anesthesia is noteworthy: instead of deepening anesthesia, as would be expected of a</w:t>
      </w:r>
      <w:r>
        <w:t xml:space="preserve"> </w:t>
      </w:r>
      <w:r>
        <w:t xml:space="preserve">“</w:t>
      </w:r>
      <w:r>
        <w:t xml:space="preserve">natural sleep substance,</w:t>
      </w:r>
      <w:r>
        <w:t xml:space="preserve">”</w:t>
      </w:r>
      <w:r>
        <w:t xml:space="preserve"> </w:t>
      </w:r>
      <w:r>
        <w:t xml:space="preserve">DSIP increased heart rate and paradoxically reduced the delta rhythm on the EEG</w:t>
      </w:r>
      <w:r>
        <w:rPr>
          <w:rStyle w:val="FootnoteReference"/>
        </w:rPr>
        <w:footnoteReference w:id="1754"/>
      </w:r>
      <w:r>
        <w:t xml:space="preserve">.</w:t>
      </w:r>
    </w:p>
    <w:bookmarkEnd w:id="1755"/>
    <w:bookmarkEnd w:id="1756"/>
    <w:bookmarkStart w:id="1759" w:name="animal-and-laboratory-studies-38"/>
    <w:p>
      <w:pPr>
        <w:pStyle w:val="Heading3"/>
      </w:pPr>
      <w:r>
        <w:t xml:space="preserve">Animal and laboratory studies</w:t>
      </w:r>
    </w:p>
    <w:p>
      <w:pPr>
        <w:numPr>
          <w:ilvl w:val="0"/>
          <w:numId w:val="1212"/>
        </w:numPr>
        <w:pStyle w:val="Compact"/>
      </w:pPr>
      <w:r>
        <w:t xml:space="preserve">In rabbits and rats, early studies described sleep-promoting effects, but these could not be consistently replicated</w:t>
      </w:r>
      <w:r>
        <w:rPr>
          <w:rStyle w:val="FootnoteReference"/>
        </w:rPr>
        <w:footnoteReference w:id="1757"/>
      </w:r>
      <w:r>
        <w:t xml:space="preserve">.</w:t>
      </w:r>
    </w:p>
    <w:p>
      <w:pPr>
        <w:numPr>
          <w:ilvl w:val="0"/>
          <w:numId w:val="1212"/>
        </w:numPr>
        <w:pStyle w:val="Compact"/>
      </w:pPr>
      <w:r>
        <w:t xml:space="preserve">In mice, the oldest 10% of animals that received a Russian DSIP preparation throughout life lived 16% longer than the control animals; spontaneous tumors appeared later</w:t>
      </w:r>
      <w:r>
        <w:rPr>
          <w:rStyle w:val="FootnoteReference"/>
        </w:rPr>
        <w:footnoteReference w:id="1758"/>
      </w:r>
      <w:r>
        <w:t xml:space="preserve">. This paper comes from the circle of Russian gerontology that also studies Epitalon (see the chapter Epitalon).</w:t>
      </w:r>
    </w:p>
    <w:p>
      <w:pPr>
        <w:numPr>
          <w:ilvl w:val="0"/>
          <w:numId w:val="1212"/>
        </w:numPr>
        <w:pStyle w:val="Compact"/>
      </w:pPr>
      <w:r>
        <w:t xml:space="preserve">Other animal studies describe effects on stress resistance, pain perception and antioxidant enzymes.</w:t>
      </w:r>
    </w:p>
    <w:bookmarkEnd w:id="1759"/>
    <w:bookmarkStart w:id="1762" w:name="risks-and-side-effects-38"/>
    <w:p>
      <w:pPr>
        <w:pStyle w:val="Heading3"/>
      </w:pPr>
      <w:r>
        <w:t xml:space="preserve">Risks and side effects</w:t>
      </w:r>
    </w:p>
    <w:p>
      <w:pPr>
        <w:pStyle w:val="FirstParagraph"/>
      </w:pPr>
      <w:r>
        <w:rPr>
          <w:bCs/>
          <w:b/>
        </w:rPr>
        <w:t xml:space="preserve">Established:</w:t>
      </w:r>
      <w:r>
        <w:t xml:space="preserve"> </w:t>
      </w:r>
      <w:r>
        <w:t xml:space="preserve">In the small studies, DSIP was described as well tolerated; headaches occurred occasionally</w:t>
      </w:r>
      <w:r>
        <w:rPr>
          <w:rStyle w:val="FootnoteReference"/>
        </w:rPr>
        <w:footnoteReference w:id="1760"/>
      </w:r>
      <w:r>
        <w:t xml:space="preserve">. Under anesthesia, it increased heart rate and reduced heart rate variability</w:t>
      </w:r>
      <w:r>
        <w:rPr>
          <w:rStyle w:val="FootnoteReference"/>
        </w:rPr>
        <w:footnoteReference w:id="1761"/>
      </w:r>
      <w:r>
        <w:t xml:space="preserve">. There are no systematic safety data covering more than a few days.</w:t>
      </w:r>
    </w:p>
    <w:p>
      <w:pPr>
        <w:pStyle w:val="BodyText"/>
      </w:pPr>
      <w:r>
        <w:rPr>
          <w:bCs/>
          <w:b/>
        </w:rPr>
        <w:t xml:space="preserve">Theoretical:</w:t>
      </w:r>
      <w:r>
        <w:t xml:space="preserve"> </w:t>
      </w:r>
      <w:r>
        <w:t xml:space="preserve">Because neither the receptor nor the natural function has been clarified, effects and interactions – for example with sleeping pills, alcohol or opioids – can hardly be predicted.</w:t>
      </w:r>
    </w:p>
    <w:p>
      <w:pPr>
        <w:pStyle w:val="BodyText"/>
      </w:pPr>
      <w:r>
        <w:rPr>
          <w:bCs/>
          <w:b/>
        </w:rPr>
        <w:t xml:space="preserve">Gray market:</w:t>
      </w:r>
      <w:r>
        <w:t xml:space="preserve"> </w:t>
      </w:r>
      <w:r>
        <w:t xml:space="preserve">DSIP is sold online as powder for injection and advertised as a sleeping aid. The preparations used in the studies were infused into a vein; data on subcutaneous injection are lacking. The purity and content of gray-market products are unverified.</w:t>
      </w:r>
    </w:p>
    <w:p>
      <w:pPr>
        <w:pStyle w:val="BodyText"/>
      </w:pPr>
      <w:r>
        <w:rPr>
          <w:bCs/>
          <w:b/>
        </w:rPr>
        <w:t xml:space="preserve">Important:</w:t>
      </w:r>
      <w:r>
        <w:t xml:space="preserve"> </w:t>
      </w:r>
      <w:r>
        <w:t xml:space="preserve">For chronic insomnia, there are effective, well-studied treatments, above all cognitive behavioral therapy for insomnia.</w:t>
      </w:r>
    </w:p>
    <w:bookmarkEnd w:id="1762"/>
    <w:bookmarkStart w:id="1763" w:name="legal-status-38"/>
    <w:p>
      <w:pPr>
        <w:pStyle w:val="Heading3"/>
      </w:pPr>
      <w:r>
        <w:t xml:space="preserve">Legal status</w:t>
      </w:r>
    </w:p>
    <w:p>
      <w:pPr>
        <w:numPr>
          <w:ilvl w:val="0"/>
          <w:numId w:val="1213"/>
        </w:numPr>
        <w:pStyle w:val="Compact"/>
      </w:pPr>
      <w:r>
        <w:rPr>
          <w:bCs/>
          <w:b/>
        </w:rPr>
        <w:t xml:space="preserve">EU / Austria / Germany:</w:t>
      </w:r>
      <w:r>
        <w:t xml:space="preserve"> </w:t>
      </w:r>
      <w:r>
        <w:t xml:space="preserve">not approved; as a substance with a pharmacological effect, DSIP is considered a medicine, and selling it for use in humans is not permitted.</w:t>
      </w:r>
    </w:p>
    <w:p>
      <w:pPr>
        <w:numPr>
          <w:ilvl w:val="0"/>
          <w:numId w:val="1213"/>
        </w:numPr>
        <w:pStyle w:val="Compact"/>
      </w:pPr>
      <w:r>
        <w:rPr>
          <w:bCs/>
          <w:b/>
        </w:rPr>
        <w:t xml:space="preserve">USA:</w:t>
      </w:r>
      <w:r>
        <w:t xml:space="preserve"> </w:t>
      </w:r>
      <w:r>
        <w:t xml:space="preserve">not approved; in July 2026, the advisory committee PCAC narrowly voted against allowing it for pharmacy compounding. The final FDA decision was pending at the time of going to press (as of October 2026, please check for updates).</w:t>
      </w:r>
    </w:p>
    <w:p>
      <w:pPr>
        <w:numPr>
          <w:ilvl w:val="0"/>
          <w:numId w:val="1213"/>
        </w:numPr>
        <w:pStyle w:val="Compact"/>
      </w:pPr>
      <w:r>
        <w:rPr>
          <w:bCs/>
          <w:b/>
        </w:rPr>
        <w:t xml:space="preserve">Sport:</w:t>
      </w:r>
      <w:r>
        <w:t xml:space="preserve"> </w:t>
      </w:r>
      <w:r>
        <w:t xml:space="preserve">not listed by name on the WADA list (as of 2026, please check for updates).</w:t>
      </w:r>
    </w:p>
    <w:bookmarkEnd w:id="1763"/>
    <w:bookmarkStart w:id="1764" w:name="ongoing-studies-and-outlook-38"/>
    <w:p>
      <w:pPr>
        <w:pStyle w:val="Heading3"/>
      </w:pPr>
      <w:r>
        <w:t xml:space="preserve">Ongoing studies and outlook</w:t>
      </w:r>
    </w:p>
    <w:p>
      <w:pPr>
        <w:pStyle w:val="FirstParagraph"/>
      </w:pPr>
      <w:r>
        <w:rPr>
          <w:bCs/>
          <w:b/>
        </w:rPr>
        <w:t xml:space="preserve">Established:</w:t>
      </w:r>
      <w:r>
        <w:t xml:space="preserve"> </w:t>
      </w:r>
      <w:r>
        <w:t xml:space="preserve">No study with DSIP is registered on ClinicalTrials.gov (search October 2026). Since the 1990s, practically no new clinical data have been added.</w:t>
      </w:r>
    </w:p>
    <w:p>
      <w:pPr>
        <w:pStyle w:val="BodyText"/>
      </w:pPr>
      <w:r>
        <w:rPr>
          <w:bCs/>
          <w:b/>
        </w:rPr>
        <w:t xml:space="preserve">Assessment:</w:t>
      </w:r>
      <w:r>
        <w:t xml:space="preserve"> </w:t>
      </w:r>
      <w:r>
        <w:t xml:space="preserve">Without clarity about the receptor and natural function and without a modern, sufficiently large sleep study, DSIP is not expected to return as a medicine.</w:t>
      </w:r>
    </w:p>
    <w:bookmarkEnd w:id="1764"/>
    <w:bookmarkStart w:id="1765" w:name="conclusion-38"/>
    <w:p>
      <w:pPr>
        <w:pStyle w:val="Heading3"/>
      </w:pPr>
      <w:r>
        <w:t xml:space="preserve">Conclusion</w:t>
      </w:r>
    </w:p>
    <w:p>
      <w:pPr>
        <w:pStyle w:val="FirstParagraph"/>
      </w:pPr>
      <w:r>
        <w:t xml:space="preserve">DSIP was discovered in 1977 as a possible endogenous</w:t>
      </w:r>
      <w:r>
        <w:t xml:space="preserve"> </w:t>
      </w:r>
      <w:r>
        <w:t xml:space="preserve">“</w:t>
      </w:r>
      <w:r>
        <w:t xml:space="preserve">sleep substance,</w:t>
      </w:r>
      <w:r>
        <w:t xml:space="preserve">”</w:t>
      </w:r>
      <w:r>
        <w:t xml:space="preserve"> </w:t>
      </w:r>
      <w:r>
        <w:t xml:space="preserve">but its gene, receptor and natural function remain unknown to this day. Early studies by a Basel group with six to 14 people each reported better sleep; independent placebo-controlled studies found only weak effects of little clinical significance. There are hardly any newer data in humans. The data are not sufficient to regard DSIP as an effective or safe sleeping aid.</w:t>
      </w:r>
    </w:p>
    <w:bookmarkEnd w:id="1765"/>
    <w:bookmarkEnd w:id="1766"/>
    <w:bookmarkStart w:id="1796" w:name="epitalon-epithalon"/>
    <w:p>
      <w:pPr>
        <w:pStyle w:val="Heading2"/>
      </w:pPr>
      <w:r>
        <w:t xml:space="preserve">Epitalon (Epithalon)</w:t>
      </w:r>
    </w:p>
    <w:bookmarkStart w:id="1767" w:name="profile-39"/>
    <w:p>
      <w:pPr>
        <w:pStyle w:val="Heading3"/>
      </w:pPr>
      <w:r>
        <w:t xml:space="preserve">Profile</w:t>
      </w:r>
    </w:p>
    <w:p>
      <w:pPr>
        <w:numPr>
          <w:ilvl w:val="0"/>
          <w:numId w:val="1214"/>
        </w:numPr>
        <w:pStyle w:val="Compact"/>
      </w:pPr>
      <w:r>
        <w:rPr>
          <w:bCs/>
          <w:b/>
        </w:rPr>
        <w:t xml:space="preserve">Type and structure:</w:t>
      </w:r>
      <w:r>
        <w:t xml:space="preserve"> </w:t>
      </w:r>
      <w:r>
        <w:t xml:space="preserve">synthetic tetrapeptide of four amino acids: Ala-Glu-Asp-Gly (abbreviated AEDG). Spellings: Epitalon, Epithalon, Epithalone.</w:t>
      </w:r>
    </w:p>
    <w:p>
      <w:pPr>
        <w:numPr>
          <w:ilvl w:val="0"/>
          <w:numId w:val="1214"/>
        </w:numPr>
        <w:pStyle w:val="Compact"/>
      </w:pPr>
      <w:r>
        <w:rPr>
          <w:bCs/>
          <w:b/>
        </w:rPr>
        <w:t xml:space="preserve">Origin:</w:t>
      </w:r>
      <w:r>
        <w:t xml:space="preserve"> </w:t>
      </w:r>
      <w:r>
        <w:t xml:space="preserve">developed in the 1980s and 1990s at the St. Petersburg Institute of Bioregulation and Gerontology under Vladimir Khavinson. The amino acid sequence was derived from the composition of</w:t>
      </w:r>
      <w:r>
        <w:t xml:space="preserve"> </w:t>
      </w:r>
      <w:r>
        <w:rPr>
          <w:bCs/>
          <w:b/>
        </w:rPr>
        <w:t xml:space="preserve">Epithalamin</w:t>
      </w:r>
      <w:r>
        <w:t xml:space="preserve">, an extract from the pineal gland (epiphysis) of cattle. Epitalon and Epithalamin are chemically different substances.</w:t>
      </w:r>
    </w:p>
    <w:p>
      <w:pPr>
        <w:numPr>
          <w:ilvl w:val="0"/>
          <w:numId w:val="1214"/>
        </w:numPr>
        <w:pStyle w:val="Compact"/>
      </w:pPr>
      <w:r>
        <w:rPr>
          <w:bCs/>
          <w:b/>
        </w:rPr>
        <w:t xml:space="preserve">Mechanism of action:</w:t>
      </w:r>
      <w:r>
        <w:t xml:space="preserve"> </w:t>
      </w:r>
      <w:r>
        <w:t xml:space="preserve">as a</w:t>
      </w:r>
      <w:r>
        <w:t xml:space="preserve"> </w:t>
      </w:r>
      <w:r>
        <w:t xml:space="preserve">“</w:t>
      </w:r>
      <w:r>
        <w:t xml:space="preserve">peptide bioregulator,</w:t>
      </w:r>
      <w:r>
        <w:t xml:space="preserve">”</w:t>
      </w:r>
      <w:r>
        <w:t xml:space="preserve"> </w:t>
      </w:r>
      <w:r>
        <w:t xml:space="preserve">it is said to normalize the function of the pineal gland, promote melatonin production in old age and activate the enzyme telomerase, which lengthens the ends of the chromosomes (telomeres).</w:t>
      </w:r>
    </w:p>
    <w:p>
      <w:pPr>
        <w:numPr>
          <w:ilvl w:val="0"/>
          <w:numId w:val="1214"/>
        </w:numPr>
        <w:pStyle w:val="Compact"/>
      </w:pPr>
      <w:r>
        <w:rPr>
          <w:bCs/>
          <w:b/>
        </w:rPr>
        <w:t xml:space="preserve">EU approval:</w:t>
      </w:r>
      <w:r>
        <w:t xml:space="preserve"> </w:t>
      </w:r>
      <w:r>
        <w:t xml:space="preserve">no.</w:t>
      </w:r>
    </w:p>
    <w:p>
      <w:pPr>
        <w:numPr>
          <w:ilvl w:val="0"/>
          <w:numId w:val="1214"/>
        </w:numPr>
        <w:pStyle w:val="Compact"/>
      </w:pPr>
      <w:r>
        <w:rPr>
          <w:bCs/>
          <w:b/>
        </w:rPr>
        <w:t xml:space="preserve">US approval:</w:t>
      </w:r>
      <w:r>
        <w:t xml:space="preserve"> </w:t>
      </w:r>
      <w:r>
        <w:t xml:space="preserve">no. Removed from FDA</w:t>
      </w:r>
      <w:r>
        <w:t xml:space="preserve"> </w:t>
      </w:r>
      <w:r>
        <w:t xml:space="preserve">“</w:t>
      </w:r>
      <w:r>
        <w:t xml:space="preserve">Category 2</w:t>
      </w:r>
      <w:r>
        <w:t xml:space="preserve">”</w:t>
      </w:r>
      <w:r>
        <w:t xml:space="preserve"> </w:t>
      </w:r>
      <w:r>
        <w:t xml:space="preserve">in April 2026; in July 2026, the advisory committee PCAC voted 7 to 4 for inclusion in the list of permitted compounding substances, contrary to the recommendation of FDA staff. That is not approval as a medicine (as of October 2026, please check for updates).</w:t>
      </w:r>
    </w:p>
    <w:p>
      <w:pPr>
        <w:numPr>
          <w:ilvl w:val="0"/>
          <w:numId w:val="1214"/>
        </w:numPr>
        <w:pStyle w:val="Compact"/>
      </w:pPr>
      <w:r>
        <w:rPr>
          <w:bCs/>
          <w:b/>
        </w:rPr>
        <w:t xml:space="preserve">WADA:</w:t>
      </w:r>
      <w:r>
        <w:t xml:space="preserve"> </w:t>
      </w:r>
      <w:r>
        <w:t xml:space="preserve">not listed by name; as a substance not approved as a medicine anywhere, Epitalon falls in our assessment under the catch-all category S0.</w:t>
      </w:r>
    </w:p>
    <w:p>
      <w:pPr>
        <w:numPr>
          <w:ilvl w:val="0"/>
          <w:numId w:val="1214"/>
        </w:numPr>
        <w:pStyle w:val="Compact"/>
      </w:pPr>
      <w:r>
        <w:rPr>
          <w:bCs/>
          <w:b/>
        </w:rPr>
        <w:t xml:space="preserve">Evidence level:</w:t>
      </w:r>
      <w:r>
        <w:t xml:space="preserve"> </w:t>
      </w:r>
      <w:r>
        <w:rPr>
          <w:bCs/>
          <w:b/>
        </w:rPr>
        <w:t xml:space="preserve">C</w:t>
      </w:r>
      <w:r>
        <w:t xml:space="preserve"> </w:t>
      </w:r>
      <w:r>
        <w:t xml:space="preserve">– only one small controlled study with the synthetic peptide in humans; the remaining human data concern the extract Epithalamin or cells in the test tube.</w:t>
      </w:r>
    </w:p>
    <w:bookmarkEnd w:id="1767"/>
    <w:bookmarkStart w:id="1771" w:name="how-it-is-supposed-to-work-39"/>
    <w:p>
      <w:pPr>
        <w:pStyle w:val="Heading3"/>
      </w:pPr>
      <w:r>
        <w:t xml:space="preserve">How it is supposed to work</w:t>
      </w:r>
    </w:p>
    <w:p>
      <w:pPr>
        <w:pStyle w:val="FirstParagraph"/>
      </w:pPr>
      <w:r>
        <w:t xml:space="preserve">The pineal gland is a small organ in the brain that produces the hormone melatonin at night and thereby helps regulate the day-night rhythm. Melatonin production declines with age. The St. Petersburg group assumed that short peptides from organs can act as</w:t>
      </w:r>
      <w:r>
        <w:t xml:space="preserve"> </w:t>
      </w:r>
      <w:r>
        <w:t xml:space="preserve">“</w:t>
      </w:r>
      <w:r>
        <w:t xml:space="preserve">bioregulators</w:t>
      </w:r>
      <w:r>
        <w:t xml:space="preserve">”</w:t>
      </w:r>
      <w:r>
        <w:t xml:space="preserve"> </w:t>
      </w:r>
      <w:r>
        <w:t xml:space="preserve">to restore the function of precisely those organs – from the pineal gland for the pineal gland, from the thymus for the immune system (see also the chapter Thymalin in Part II · B).</w:t>
      </w:r>
    </w:p>
    <w:p>
      <w:pPr>
        <w:pStyle w:val="BodyText"/>
      </w:pPr>
      <w:r>
        <w:t xml:space="preserve">Several mechanisms are described for Epitalon, almost all from laboratory and animal experiments by the developer group:</w:t>
      </w:r>
    </w:p>
    <w:p>
      <w:pPr>
        <w:numPr>
          <w:ilvl w:val="0"/>
          <w:numId w:val="1215"/>
        </w:numPr>
        <w:pStyle w:val="Compact"/>
      </w:pPr>
      <w:r>
        <w:rPr>
          <w:bCs/>
          <w:b/>
        </w:rPr>
        <w:t xml:space="preserve">Telomerase and telomeres:</w:t>
      </w:r>
      <w:r>
        <w:t xml:space="preserve"> </w:t>
      </w:r>
      <w:r>
        <w:t xml:space="preserve">Telomeres are protective end pieces of the chromosomes that become slightly shorter with each cell division. The enzyme telomerase can lengthen them again; in most body cells it is switched off. In cultures of human fibroblasts (connective tissue cells) from fetuses, Epitalon reportedly switched on telomerase and lengthened the telomeres</w:t>
      </w:r>
      <w:r>
        <w:rPr>
          <w:rStyle w:val="FootnoteReference"/>
        </w:rPr>
        <w:footnoteReference w:id="1768"/>
      </w:r>
      <w:r>
        <w:t xml:space="preserve">.</w:t>
      </w:r>
    </w:p>
    <w:p>
      <w:pPr>
        <w:numPr>
          <w:ilvl w:val="0"/>
          <w:numId w:val="1215"/>
        </w:numPr>
        <w:pStyle w:val="Compact"/>
      </w:pPr>
      <w:r>
        <w:rPr>
          <w:bCs/>
          <w:b/>
        </w:rPr>
        <w:t xml:space="preserve">Chromatin and genes:</w:t>
      </w:r>
      <w:r>
        <w:t xml:space="preserve"> </w:t>
      </w:r>
      <w:r>
        <w:t xml:space="preserve">In lymphocytes from people aged 76 to 80, Epitalon reportedly loosened</w:t>
      </w:r>
      <w:r>
        <w:t xml:space="preserve"> </w:t>
      </w:r>
      <w:r>
        <w:t xml:space="preserve">“</w:t>
      </w:r>
      <w:r>
        <w:t xml:space="preserve">condensed</w:t>
      </w:r>
      <w:r>
        <w:t xml:space="preserve">”</w:t>
      </w:r>
      <w:r>
        <w:t xml:space="preserve"> </w:t>
      </w:r>
      <w:r>
        <w:t xml:space="preserve">genetic material again in the test tube and activated silenced genes</w:t>
      </w:r>
      <w:r>
        <w:rPr>
          <w:rStyle w:val="FootnoteReference"/>
        </w:rPr>
        <w:footnoteReference w:id="1769"/>
      </w:r>
      <w:r>
        <w:t xml:space="preserve">. The group postulates that short peptides bind directly to DNA.</w:t>
      </w:r>
    </w:p>
    <w:p>
      <w:pPr>
        <w:numPr>
          <w:ilvl w:val="0"/>
          <w:numId w:val="1215"/>
        </w:numPr>
        <w:pStyle w:val="Compact"/>
      </w:pPr>
      <w:r>
        <w:rPr>
          <w:bCs/>
          <w:b/>
        </w:rPr>
        <w:t xml:space="preserve">Melatonin:</w:t>
      </w:r>
      <w:r>
        <w:t xml:space="preserve"> </w:t>
      </w:r>
      <w:r>
        <w:t xml:space="preserve">In cell cultures and in animals, Epitalon influenced melatonin production.</w:t>
      </w:r>
    </w:p>
    <w:p>
      <w:pPr>
        <w:pStyle w:val="FirstParagraph"/>
      </w:pPr>
      <w:r>
        <w:t xml:space="preserve">A 2025 review summarizes that, despite 25 years of research, it remains unclear whether these mechanisms are the only ones, and that there are only a few fundamental physicochemical and structural studies of the peptide</w:t>
      </w:r>
      <w:r>
        <w:rPr>
          <w:rStyle w:val="FootnoteReference"/>
        </w:rPr>
        <w:footnoteReference w:id="1770"/>
      </w:r>
      <w:r>
        <w:t xml:space="preserve">.</w:t>
      </w:r>
    </w:p>
    <w:bookmarkEnd w:id="1771"/>
    <w:bookmarkStart w:id="1782" w:name="human-studies-39"/>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only</w:t>
      </w:r>
      <w:r>
        <w:t xml:space="preserve"> </w:t>
      </w:r>
      <w:r>
        <w:rPr>
          <w:bCs/>
          <w:b/>
        </w:rPr>
        <w:t xml:space="preserve">one</w:t>
      </w:r>
      <w:r>
        <w:t xml:space="preserve"> </w:t>
      </w:r>
      <w:r>
        <w:t xml:space="preserve">publication on Epitalon classified as a human study; in total, PubMed lists around 120 papers for the search terms, the vast majority animal and cell studies from St. Petersburg. One study is registered on ClinicalTrials.gov (see Outlook). A recent independent review reaches the same conclusion: human data on synthetic Epitalon are limited to small physiological or biomarker studies and an older controlled study in retinitis pigmentosa; no sufficiently large randomized trial has demonstrated therapeutic efficacy</w:t>
      </w:r>
      <w:r>
        <w:rPr>
          <w:rStyle w:val="FootnoteReference"/>
        </w:rPr>
        <w:footnoteReference w:id="1772"/>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Substance studied and design</w:t>
            </w:r>
          </w:p>
        </w:tc>
        <w:tc>
          <w:tcPr/>
          <w:p>
            <w:pPr>
              <w:pStyle w:val="Compact"/>
              <w:jc w:val="left"/>
            </w:pPr>
            <w:r>
              <w:t xml:space="preserve">Participants</w:t>
            </w:r>
          </w:p>
        </w:tc>
        <w:tc>
          <w:tcPr/>
          <w:p>
            <w:pPr>
              <w:pStyle w:val="Compact"/>
              <w:jc w:val="left"/>
            </w:pPr>
            <w:r>
              <w:t xml:space="preserve">Result</w:t>
            </w:r>
          </w:p>
        </w:tc>
      </w:tr>
      <w:tr>
        <w:tc>
          <w:tcPr/>
          <w:p>
            <w:pPr>
              <w:pStyle w:val="Compact"/>
              <w:jc w:val="left"/>
            </w:pPr>
            <w:r>
              <w:t xml:space="preserve">Khavinson 2002, PMID 12195242</w:t>
            </w:r>
          </w:p>
        </w:tc>
        <w:tc>
          <w:tcPr/>
          <w:p>
            <w:pPr>
              <w:pStyle w:val="Compact"/>
              <w:jc w:val="left"/>
            </w:pPr>
            <w:r>
              <w:t xml:space="preserve">Epitalon, controlled study in hereditary retinal degeneration (retinitis pigmentosa)</w:t>
            </w:r>
          </w:p>
        </w:tc>
        <w:tc>
          <w:tcPr/>
          <w:p>
            <w:pPr>
              <w:pStyle w:val="Compact"/>
              <w:jc w:val="left"/>
            </w:pPr>
            <w:r>
              <w:t xml:space="preserve">not stated in the abstract</w:t>
            </w:r>
          </w:p>
        </w:tc>
        <w:tc>
          <w:tcPr/>
          <w:p>
            <w:pPr>
              <w:pStyle w:val="Compact"/>
              <w:jc w:val="left"/>
            </w:pPr>
            <w:r>
              <w:t xml:space="preserve">“</w:t>
            </w:r>
            <w:r>
              <w:t xml:space="preserve">positive clinical effect in 90% of cases</w:t>
            </w:r>
            <w:r>
              <w:t xml:space="preserve">”</w:t>
            </w:r>
          </w:p>
        </w:tc>
      </w:tr>
      <w:tr>
        <w:tc>
          <w:tcPr/>
          <w:p>
            <w:pPr>
              <w:pStyle w:val="Compact"/>
              <w:jc w:val="left"/>
            </w:pPr>
            <w:r>
              <w:t xml:space="preserve">Khavinson 2003, PMID 14523363</w:t>
            </w:r>
          </w:p>
        </w:tc>
        <w:tc>
          <w:tcPr/>
          <w:p>
            <w:pPr>
              <w:pStyle w:val="Compact"/>
              <w:jc w:val="left"/>
            </w:pPr>
            <w:r>
              <w:t xml:space="preserve">Epithalamin (extract) and Thymalin in older people, control group</w:t>
            </w:r>
          </w:p>
        </w:tc>
        <w:tc>
          <w:tcPr/>
          <w:p>
            <w:pPr>
              <w:pStyle w:val="Compact"/>
              <w:jc w:val="left"/>
            </w:pPr>
            <w:r>
              <w:t xml:space="preserve">266 people, 6–8 years</w:t>
            </w:r>
          </w:p>
        </w:tc>
        <w:tc>
          <w:tcPr/>
          <w:p>
            <w:pPr>
              <w:pStyle w:val="Compact"/>
              <w:jc w:val="left"/>
            </w:pPr>
            <w:r>
              <w:t xml:space="preserve">according to the authors, 1.6- to 1.8-fold lower mortality on Epithalamin</w:t>
            </w:r>
          </w:p>
        </w:tc>
      </w:tr>
      <w:tr>
        <w:tc>
          <w:tcPr/>
          <w:p>
            <w:pPr>
              <w:pStyle w:val="Compact"/>
              <w:jc w:val="left"/>
            </w:pPr>
            <w:r>
              <w:t xml:space="preserve">Labunets 2004, PMID 15455130</w:t>
            </w:r>
          </w:p>
        </w:tc>
        <w:tc>
          <w:tcPr/>
          <w:p>
            <w:pPr>
              <w:pStyle w:val="Compact"/>
              <w:jc w:val="left"/>
            </w:pPr>
            <w:r>
              <w:t xml:space="preserve">Epithalamin, course in older people</w:t>
            </w:r>
          </w:p>
        </w:tc>
        <w:tc>
          <w:tcPr/>
          <w:p>
            <w:pPr>
              <w:pStyle w:val="Compact"/>
              <w:jc w:val="left"/>
            </w:pPr>
            <w:r>
              <w:t xml:space="preserve">not stated in the abstract</w:t>
            </w:r>
          </w:p>
        </w:tc>
        <w:tc>
          <w:tcPr/>
          <w:p>
            <w:pPr>
              <w:pStyle w:val="Compact"/>
              <w:jc w:val="left"/>
            </w:pPr>
            <w:r>
              <w:t xml:space="preserve">melatonin rhythm and thymic factor</w:t>
            </w:r>
            <w:r>
              <w:t xml:space="preserve"> </w:t>
            </w:r>
            <w:r>
              <w:t xml:space="preserve">“</w:t>
            </w:r>
            <w:r>
              <w:t xml:space="preserve">younger</w:t>
            </w:r>
            <w:r>
              <w:t xml:space="preserve">”</w:t>
            </w:r>
          </w:p>
        </w:tc>
      </w:tr>
      <w:tr>
        <w:tc>
          <w:tcPr/>
          <w:p>
            <w:pPr>
              <w:pStyle w:val="Compact"/>
              <w:jc w:val="left"/>
            </w:pPr>
            <w:r>
              <w:t xml:space="preserve">Khavinson 2019, PMID 31761987</w:t>
            </w:r>
          </w:p>
        </w:tc>
        <w:tc>
          <w:tcPr/>
          <w:p>
            <w:pPr>
              <w:pStyle w:val="Compact"/>
              <w:jc w:val="left"/>
            </w:pPr>
            <w:r>
              <w:t xml:space="preserve">AEDG in the test tube on blood cells</w:t>
            </w:r>
          </w:p>
        </w:tc>
        <w:tc>
          <w:tcPr/>
          <w:p>
            <w:pPr>
              <w:pStyle w:val="Compact"/>
              <w:jc w:val="left"/>
            </w:pPr>
            <w:r>
              <w:t xml:space="preserve">11 men (cell samples)</w:t>
            </w:r>
          </w:p>
        </w:tc>
        <w:tc>
          <w:tcPr/>
          <w:p>
            <w:pPr>
              <w:pStyle w:val="Compact"/>
              <w:jc w:val="left"/>
            </w:pPr>
            <w:r>
              <w:t xml:space="preserve">telomere length longer in 5 cases, shorter in 2 cases</w:t>
            </w:r>
          </w:p>
        </w:tc>
      </w:tr>
    </w:tbl>
    <w:bookmarkStart w:id="1774" w:name="the-one-study-with-epitalon"/>
    <w:p>
      <w:pPr>
        <w:pStyle w:val="Heading4"/>
      </w:pPr>
      <w:r>
        <w:t xml:space="preserve">The one study with Epitalon</w:t>
      </w:r>
    </w:p>
    <w:p>
      <w:pPr>
        <w:pStyle w:val="FirstParagraph"/>
      </w:pPr>
      <w:r>
        <w:t xml:space="preserve">In the only clinical study with synthetic Epitalon, people with retinitis pigmentosa were treated, a hereditary disease in which the retina gradually dies. The abstract reports a</w:t>
      </w:r>
      <w:r>
        <w:t xml:space="preserve"> </w:t>
      </w:r>
      <w:r>
        <w:t xml:space="preserve">“</w:t>
      </w:r>
      <w:r>
        <w:t xml:space="preserve">positive clinical effect in 90% of cases</w:t>
      </w:r>
      <w:r>
        <w:t xml:space="preserve">”</w:t>
      </w:r>
      <w:r>
        <w:t xml:space="preserve"> </w:t>
      </w:r>
      <w:r>
        <w:t xml:space="preserve">but states neither the number of participants nor the criterion for</w:t>
      </w:r>
      <w:r>
        <w:t xml:space="preserve"> </w:t>
      </w:r>
      <w:r>
        <w:t xml:space="preserve">“</w:t>
      </w:r>
      <w:r>
        <w:t xml:space="preserve">positive</w:t>
      </w:r>
      <w:r>
        <w:t xml:space="preserve">”</w:t>
      </w:r>
      <w:r>
        <w:t xml:space="preserve"> </w:t>
      </w:r>
      <w:r>
        <w:t xml:space="preserve">or the results of the control group</w:t>
      </w:r>
      <w:r>
        <w:rPr>
          <w:rStyle w:val="FootnoteReference"/>
        </w:rPr>
        <w:footnoteReference w:id="1773"/>
      </w:r>
      <w:r>
        <w:t xml:space="preserve">. The finding has not been independently confirmed; Epitalon plays no role in the treatment of retinitis pigmentosa.</w:t>
      </w:r>
    </w:p>
    <w:bookmarkEnd w:id="1774"/>
    <w:bookmarkStart w:id="1776" w:name="the-longevity-study-with-epithalamin"/>
    <w:p>
      <w:pPr>
        <w:pStyle w:val="Heading4"/>
      </w:pPr>
      <w:r>
        <w:t xml:space="preserve">The longevity study with Epithalamin</w:t>
      </w:r>
    </w:p>
    <w:p>
      <w:pPr>
        <w:pStyle w:val="FirstParagraph"/>
      </w:pPr>
      <w:r>
        <w:t xml:space="preserve">The most-cited human study on the internet –</w:t>
      </w:r>
      <w:r>
        <w:t xml:space="preserve"> </w:t>
      </w:r>
      <w:r>
        <w:t xml:space="preserve">“</w:t>
      </w:r>
      <w:r>
        <w:t xml:space="preserve">pineal peptides extend human life</w:t>
      </w:r>
      <w:r>
        <w:t xml:space="preserve">”</w:t>
      </w:r>
      <w:r>
        <w:t xml:space="preserve"> </w:t>
      </w:r>
      <w:r>
        <w:t xml:space="preserve">– concerns not Epitalon but the animal extract Epithalamin. Researchers from St. Petersburg and Kyiv followed 266 older people for six to eight years; in the first two to three years, parts of the group received Thymalin, Epithalamin or both. According to the abstract, mortality fell 1.6- to 1.8-fold on Epithalamin, 2.5-fold on the combination, and with annual combination treatment over six years even 4.1-fold</w:t>
      </w:r>
      <w:r>
        <w:rPr>
          <w:rStyle w:val="FootnoteReference"/>
        </w:rPr>
        <w:footnoteReference w:id="1775"/>
      </w:r>
      <w:r>
        <w:t xml:space="preserve">.</w:t>
      </w:r>
    </w:p>
    <w:p>
      <w:pPr>
        <w:pStyle w:val="BodyText"/>
      </w:pPr>
      <w:r>
        <w:t xml:space="preserve">Such effects would be extraordinary – greater than for almost any measure of modern medicine. All the more important are the limitations:</w:t>
      </w:r>
    </w:p>
    <w:p>
      <w:pPr>
        <w:numPr>
          <w:ilvl w:val="0"/>
          <w:numId w:val="1216"/>
        </w:numPr>
        <w:pStyle w:val="Compact"/>
      </w:pPr>
      <w:r>
        <w:t xml:space="preserve">The abstract describes neither randomization nor blinding. It is not apparent how the control group was selected.</w:t>
      </w:r>
    </w:p>
    <w:p>
      <w:pPr>
        <w:numPr>
          <w:ilvl w:val="0"/>
          <w:numId w:val="1216"/>
        </w:numPr>
        <w:pStyle w:val="Compact"/>
      </w:pPr>
      <w:r>
        <w:t xml:space="preserve">The group sizes of the individual arms and absolute numbers of deaths are not stated.</w:t>
      </w:r>
    </w:p>
    <w:p>
      <w:pPr>
        <w:numPr>
          <w:ilvl w:val="0"/>
          <w:numId w:val="1216"/>
        </w:numPr>
        <w:pStyle w:val="Compact"/>
      </w:pPr>
      <w:r>
        <w:t xml:space="preserve">The study was never registered, and there is no independent replication.</w:t>
      </w:r>
    </w:p>
    <w:p>
      <w:pPr>
        <w:numPr>
          <w:ilvl w:val="0"/>
          <w:numId w:val="1216"/>
        </w:numPr>
        <w:pStyle w:val="Compact"/>
      </w:pPr>
      <w:r>
        <w:t xml:space="preserve">The results come from the developers of the preparations.</w:t>
      </w:r>
    </w:p>
    <w:p>
      <w:pPr>
        <w:pStyle w:val="FirstParagraph"/>
      </w:pPr>
      <w:r>
        <w:t xml:space="preserve">In nonrandomized observations, even small differences between groups – such as who was healthier or better cared for – can produce large apparent effects on mortality. In any case, nothing can be inferred from this study about Epitalon itself, because a different substance was studied.</w:t>
      </w:r>
    </w:p>
    <w:bookmarkEnd w:id="1776"/>
    <w:bookmarkStart w:id="1781" w:name="fact-checking-the-telomere-claim"/>
    <w:p>
      <w:pPr>
        <w:pStyle w:val="Heading4"/>
      </w:pPr>
      <w:r>
        <w:t xml:space="preserve">Fact-checking the telomere claim</w:t>
      </w:r>
    </w:p>
    <w:p>
      <w:pPr>
        <w:pStyle w:val="FirstParagraph"/>
      </w:pPr>
      <w:r>
        <w:t xml:space="preserve">On the internet, Epitalon is frequently advertised as an agent that</w:t>
      </w:r>
      <w:r>
        <w:t xml:space="preserve"> </w:t>
      </w:r>
      <w:r>
        <w:t xml:space="preserve">“</w:t>
      </w:r>
      <w:r>
        <w:t xml:space="preserve">lengthens telomeres</w:t>
      </w:r>
      <w:r>
        <w:t xml:space="preserve">”</w:t>
      </w:r>
      <w:r>
        <w:t xml:space="preserve"> </w:t>
      </w:r>
      <w:r>
        <w:t xml:space="preserve">and thereby</w:t>
      </w:r>
      <w:r>
        <w:t xml:space="preserve"> </w:t>
      </w:r>
      <w:r>
        <w:t xml:space="preserve">“</w:t>
      </w:r>
      <w:r>
        <w:t xml:space="preserve">turns back the biological clock.</w:t>
      </w:r>
      <w:r>
        <w:t xml:space="preserve">”</w:t>
      </w:r>
      <w:r>
        <w:t xml:space="preserve"> </w:t>
      </w:r>
      <w:r>
        <w:t xml:space="preserve">What part of this is established?</w:t>
      </w:r>
    </w:p>
    <w:p>
      <w:pPr>
        <w:numPr>
          <w:ilvl w:val="0"/>
          <w:numId w:val="1217"/>
        </w:numPr>
        <w:pStyle w:val="Compact"/>
      </w:pPr>
      <w:r>
        <w:rPr>
          <w:bCs/>
          <w:b/>
        </w:rPr>
        <w:t xml:space="preserve">Cell culture from St. Petersburg:</w:t>
      </w:r>
      <w:r>
        <w:t xml:space="preserve"> </w:t>
      </w:r>
      <w:r>
        <w:t xml:space="preserve">In human fetal fibroblasts, Epitalon triggered telomerase activity and telomere lengthening</w:t>
      </w:r>
      <w:r>
        <w:rPr>
          <w:rStyle w:val="FootnoteReference"/>
        </w:rPr>
        <w:footnoteReference w:id="1777"/>
      </w:r>
      <w:r>
        <w:t xml:space="preserve">; in a follow-up paper, treated cells underwent ten additional divisions beyond their usual limit</w:t>
      </w:r>
      <w:r>
        <w:rPr>
          <w:rStyle w:val="FootnoteReference"/>
        </w:rPr>
        <w:footnoteReference w:id="1778"/>
      </w:r>
      <w:r>
        <w:t xml:space="preserve">. Both papers are published very briefly, without detailed methods in the abstract.</w:t>
      </w:r>
    </w:p>
    <w:p>
      <w:pPr>
        <w:numPr>
          <w:ilvl w:val="0"/>
          <w:numId w:val="1217"/>
        </w:numPr>
        <w:pStyle w:val="Compact"/>
      </w:pPr>
      <w:r>
        <w:rPr>
          <w:bCs/>
          <w:b/>
        </w:rPr>
        <w:t xml:space="preserve">Independent cell study:</w:t>
      </w:r>
      <w:r>
        <w:t xml:space="preserve"> </w:t>
      </w:r>
      <w:r>
        <w:t xml:space="preserve">In 2025, a research group outside Russia likewise found dose-dependently longer telomeres in normal human epithelial and connective tissue cells. In breast cancer cell lines, the telomeres also lengthened – there via an alternative mechanism (ALT) that is typical of cancer cells</w:t>
      </w:r>
      <w:r>
        <w:rPr>
          <w:rStyle w:val="FootnoteReference"/>
        </w:rPr>
        <w:footnoteReference w:id="1779"/>
      </w:r>
      <w:r>
        <w:t xml:space="preserve">.</w:t>
      </w:r>
    </w:p>
    <w:p>
      <w:pPr>
        <w:numPr>
          <w:ilvl w:val="0"/>
          <w:numId w:val="1217"/>
        </w:numPr>
        <w:pStyle w:val="Compact"/>
      </w:pPr>
      <w:r>
        <w:rPr>
          <w:bCs/>
          <w:b/>
        </w:rPr>
        <w:t xml:space="preserve">Human blood cells in the test tube:</w:t>
      </w:r>
      <w:r>
        <w:t xml:space="preserve"> </w:t>
      </w:r>
      <w:r>
        <w:t xml:space="preserve">In blood cells from eleven men, the telomeres lengthened after contact with the peptide in five cases and shortened in two cases; the authors interpret this as</w:t>
      </w:r>
      <w:r>
        <w:t xml:space="preserve"> </w:t>
      </w:r>
      <w:r>
        <w:t xml:space="preserve">“</w:t>
      </w:r>
      <w:r>
        <w:t xml:space="preserve">normalization</w:t>
      </w:r>
      <w:r>
        <w:t xml:space="preserve">”</w:t>
      </w:r>
      <w:r>
        <w:rPr>
          <w:rStyle w:val="FootnoteReference"/>
        </w:rPr>
        <w:footnoteReference w:id="1780"/>
      </w:r>
      <w:r>
        <w:t xml:space="preserve">.</w:t>
      </w:r>
    </w:p>
    <w:p>
      <w:pPr>
        <w:numPr>
          <w:ilvl w:val="0"/>
          <w:numId w:val="1217"/>
        </w:numPr>
        <w:pStyle w:val="Compact"/>
      </w:pPr>
      <w:r>
        <w:rPr>
          <w:bCs/>
          <w:b/>
        </w:rPr>
        <w:t xml:space="preserve">In living humans:</w:t>
      </w:r>
      <w:r>
        <w:t xml:space="preserve"> </w:t>
      </w:r>
      <w:r>
        <w:t xml:space="preserve">There is no published controlled study showing that Epitalon changes telomere length in human blood or tissue – let alone one demonstrating a health benefit of such a change.</w:t>
      </w:r>
    </w:p>
    <w:p>
      <w:pPr>
        <w:pStyle w:val="FirstParagraph"/>
      </w:pPr>
      <w:r>
        <w:t xml:space="preserve">In addition: although telomere length is linked to age, it is not a reliable measure of an individual person’s</w:t>
      </w:r>
      <w:r>
        <w:t xml:space="preserve"> </w:t>
      </w:r>
      <w:r>
        <w:t xml:space="preserve">“</w:t>
      </w:r>
      <w:r>
        <w:t xml:space="preserve">biological clock.</w:t>
      </w:r>
      <w:r>
        <w:t xml:space="preserve">”</w:t>
      </w:r>
      <w:r>
        <w:t xml:space="preserve"> </w:t>
      </w:r>
      <w:r>
        <w:t xml:space="preserve">And a persistently activated telomerase is a hallmark of the vast majority of cancers. The ability to lengthen telomeres is therefore not automatically an advantage (see Risks).</w:t>
      </w:r>
    </w:p>
    <w:bookmarkEnd w:id="1781"/>
    <w:bookmarkEnd w:id="1782"/>
    <w:bookmarkStart w:id="1787" w:name="animal-and-laboratory-studies-39"/>
    <w:p>
      <w:pPr>
        <w:pStyle w:val="Heading3"/>
      </w:pPr>
      <w:r>
        <w:t xml:space="preserve">Animal and laboratory studies</w:t>
      </w:r>
    </w:p>
    <w:p>
      <w:pPr>
        <w:numPr>
          <w:ilvl w:val="0"/>
          <w:numId w:val="1218"/>
        </w:numPr>
        <w:pStyle w:val="Compact"/>
      </w:pPr>
      <w:r>
        <w:rPr>
          <w:bCs/>
          <w:b/>
        </w:rPr>
        <w:t xml:space="preserve">Lifespan in mice:</w:t>
      </w:r>
      <w:r>
        <w:t xml:space="preserve"> </w:t>
      </w:r>
      <w:r>
        <w:t xml:space="preserve">In the most important animal study, 54 female mice each received Epitalon or saline monthly throughout life. The</w:t>
      </w:r>
      <w:r>
        <w:t xml:space="preserve"> </w:t>
      </w:r>
      <w:r>
        <w:rPr>
          <w:bCs/>
          <w:b/>
        </w:rPr>
        <w:t xml:space="preserve">mean lifespan</w:t>
      </w:r>
      <w:r>
        <w:t xml:space="preserve"> </w:t>
      </w:r>
      <w:r>
        <w:t xml:space="preserve">did</w:t>
      </w:r>
      <w:r>
        <w:t xml:space="preserve"> </w:t>
      </w:r>
      <w:r>
        <w:rPr>
          <w:bCs/>
          <w:b/>
        </w:rPr>
        <w:t xml:space="preserve">not</w:t>
      </w:r>
      <w:r>
        <w:t xml:space="preserve"> </w:t>
      </w:r>
      <w:r>
        <w:t xml:space="preserve">differ; only the last 10% of survivors lived 13.3% longer, and the maximum lifespan was 12.3% higher. The total number of spontaneous tumors was the same; leukemias occurred less often</w:t>
      </w:r>
      <w:r>
        <w:rPr>
          <w:rStyle w:val="FootnoteReference"/>
        </w:rPr>
        <w:footnoteReference w:id="1783"/>
      </w:r>
      <w:r>
        <w:t xml:space="preserve">.</w:t>
      </w:r>
    </w:p>
    <w:p>
      <w:pPr>
        <w:numPr>
          <w:ilvl w:val="0"/>
          <w:numId w:val="1218"/>
        </w:numPr>
        <w:pStyle w:val="Compact"/>
      </w:pPr>
      <w:r>
        <w:rPr>
          <w:bCs/>
          <w:b/>
        </w:rPr>
        <w:t xml:space="preserve">Fruit flies:</w:t>
      </w:r>
      <w:r>
        <w:t xml:space="preserve"> </w:t>
      </w:r>
      <w:r>
        <w:t xml:space="preserve">A longer lifespan was also reported in fruit flies</w:t>
      </w:r>
      <w:r>
        <w:rPr>
          <w:rStyle w:val="FootnoteReference"/>
        </w:rPr>
        <w:footnoteReference w:id="1784"/>
      </w:r>
      <w:r>
        <w:t xml:space="preserve">.</w:t>
      </w:r>
    </w:p>
    <w:p>
      <w:pPr>
        <w:numPr>
          <w:ilvl w:val="0"/>
          <w:numId w:val="1218"/>
        </w:numPr>
        <w:pStyle w:val="Compact"/>
      </w:pPr>
      <w:r>
        <w:rPr>
          <w:bCs/>
          <w:b/>
        </w:rPr>
        <w:t xml:space="preserve">Retina:</w:t>
      </w:r>
      <w:r>
        <w:t xml:space="preserve"> </w:t>
      </w:r>
      <w:r>
        <w:t xml:space="preserve">In rats with hereditary retinal degeneration, retinal structure was better preserved on Epitalon</w:t>
      </w:r>
      <w:r>
        <w:rPr>
          <w:rStyle w:val="FootnoteReference"/>
        </w:rPr>
        <w:footnoteReference w:id="1785"/>
      </w:r>
      <w:r>
        <w:t xml:space="preserve">.</w:t>
      </w:r>
    </w:p>
    <w:p>
      <w:pPr>
        <w:numPr>
          <w:ilvl w:val="0"/>
          <w:numId w:val="1218"/>
        </w:numPr>
        <w:pStyle w:val="Compact"/>
      </w:pPr>
      <w:r>
        <w:rPr>
          <w:bCs/>
          <w:b/>
        </w:rPr>
        <w:t xml:space="preserve">Oocytes:</w:t>
      </w:r>
      <w:r>
        <w:t xml:space="preserve"> </w:t>
      </w:r>
      <w:r>
        <w:t xml:space="preserve">In cultures of aged mouse oocytes, Epitalon reduced damage from oxidative stress</w:t>
      </w:r>
      <w:r>
        <w:rPr>
          <w:rStyle w:val="FootnoteReference"/>
        </w:rPr>
        <w:footnoteReference w:id="1786"/>
      </w:r>
      <w:r>
        <w:t xml:space="preserve">.</w:t>
      </w:r>
    </w:p>
    <w:p>
      <w:pPr>
        <w:pStyle w:val="FirstParagraph"/>
      </w:pPr>
      <w:r>
        <w:t xml:space="preserve">The majority of these studies come from the group around Khavinson and Anisimov, mostly in Russian journals or in journals in which the group itself frequently published. Independent replications are rare.</w:t>
      </w:r>
    </w:p>
    <w:bookmarkEnd w:id="1787"/>
    <w:bookmarkStart w:id="1791" w:name="risks-and-side-effects-39"/>
    <w:p>
      <w:pPr>
        <w:pStyle w:val="Heading3"/>
      </w:pPr>
      <w:r>
        <w:t xml:space="preserve">Risks and side effects</w:t>
      </w:r>
    </w:p>
    <w:p>
      <w:pPr>
        <w:pStyle w:val="FirstParagraph"/>
      </w:pPr>
      <w:r>
        <w:rPr>
          <w:bCs/>
          <w:b/>
        </w:rPr>
        <w:t xml:space="preserve">Established:</w:t>
      </w:r>
      <w:r>
        <w:t xml:space="preserve"> </w:t>
      </w:r>
      <w:r>
        <w:t xml:space="preserve">There are no systematically collected safety data on Epitalon in humans.</w:t>
      </w:r>
    </w:p>
    <w:p>
      <w:pPr>
        <w:pStyle w:val="BodyText"/>
      </w:pPr>
      <w:r>
        <w:rPr>
          <w:bCs/>
          <w:b/>
        </w:rPr>
        <w:t xml:space="preserve">Theoretical:</w:t>
      </w:r>
    </w:p>
    <w:p>
      <w:pPr>
        <w:numPr>
          <w:ilvl w:val="0"/>
          <w:numId w:val="1219"/>
        </w:numPr>
        <w:pStyle w:val="Compact"/>
      </w:pPr>
      <w:r>
        <w:rPr>
          <w:bCs/>
          <w:b/>
        </w:rPr>
        <w:t xml:space="preserve">Cancer:</w:t>
      </w:r>
      <w:r>
        <w:t xml:space="preserve"> </w:t>
      </w:r>
      <w:r>
        <w:t xml:space="preserve">Telomerase activation is a central feature of cancer cells. A substance intended to switch on telomerase could theoretically favor the growth of already existing, undetected cancer cells. In the independent cell study, the telomeres of breast cancer cells also lengthened</w:t>
      </w:r>
      <w:r>
        <w:rPr>
          <w:rStyle w:val="FootnoteReference"/>
        </w:rPr>
        <w:footnoteReference w:id="1788"/>
      </w:r>
      <w:r>
        <w:t xml:space="preserve">. The mouse study found no increase in spontaneous tumors</w:t>
      </w:r>
      <w:r>
        <w:rPr>
          <w:rStyle w:val="FootnoteReference"/>
        </w:rPr>
        <w:footnoteReference w:id="1789"/>
      </w:r>
      <w:r>
        <w:t xml:space="preserve">, but animal data cannot be extrapolated to decades of human use.</w:t>
      </w:r>
    </w:p>
    <w:p>
      <w:pPr>
        <w:numPr>
          <w:ilvl w:val="0"/>
          <w:numId w:val="1219"/>
        </w:numPr>
        <w:pStyle w:val="Compact"/>
      </w:pPr>
      <w:r>
        <w:rPr>
          <w:bCs/>
          <w:b/>
        </w:rPr>
        <w:t xml:space="preserve">Hormonal system:</w:t>
      </w:r>
      <w:r>
        <w:t xml:space="preserve"> </w:t>
      </w:r>
      <w:r>
        <w:t xml:space="preserve">An influence on melatonin and the pineal gland can alter sleep and hormonal rhythms; this has not been studied in humans.</w:t>
      </w:r>
    </w:p>
    <w:p>
      <w:pPr>
        <w:pStyle w:val="FirstParagraph"/>
      </w:pPr>
      <w:r>
        <w:rPr>
          <w:bCs/>
          <w:b/>
        </w:rPr>
        <w:t xml:space="preserve">Gray market:</w:t>
      </w:r>
      <w:r>
        <w:t xml:space="preserve"> </w:t>
      </w:r>
      <w:r>
        <w:t xml:space="preserve">Epitalon is one of the best-selling</w:t>
      </w:r>
      <w:r>
        <w:t xml:space="preserve"> </w:t>
      </w:r>
      <w:r>
        <w:t xml:space="preserve">“</w:t>
      </w:r>
      <w:r>
        <w:t xml:space="preserve">longevity peptides</w:t>
      </w:r>
      <w:r>
        <w:t xml:space="preserve">”</w:t>
      </w:r>
      <w:r>
        <w:t xml:space="preserve"> </w:t>
      </w:r>
      <w:r>
        <w:t xml:space="preserve">and is offered as powder for injection or as nasal spray. Purity, content and sterility are unverified. An independent review cites unresolved questions about product quality, immune reactions and cancer risk</w:t>
      </w:r>
      <w:r>
        <w:rPr>
          <w:rStyle w:val="FootnoteReference"/>
        </w:rPr>
        <w:footnoteReference w:id="1790"/>
      </w:r>
      <w:r>
        <w:t xml:space="preserve">.</w:t>
      </w:r>
    </w:p>
    <w:bookmarkEnd w:id="1791"/>
    <w:bookmarkStart w:id="1792" w:name="legal-status-39"/>
    <w:p>
      <w:pPr>
        <w:pStyle w:val="Heading3"/>
      </w:pPr>
      <w:r>
        <w:t xml:space="preserve">Legal status</w:t>
      </w:r>
    </w:p>
    <w:p>
      <w:pPr>
        <w:numPr>
          <w:ilvl w:val="0"/>
          <w:numId w:val="1220"/>
        </w:numPr>
        <w:pStyle w:val="Compact"/>
      </w:pPr>
      <w:r>
        <w:rPr>
          <w:bCs/>
          <w:b/>
        </w:rPr>
        <w:t xml:space="preserve">EU / Austria / Germany:</w:t>
      </w:r>
      <w:r>
        <w:t xml:space="preserve"> </w:t>
      </w:r>
      <w:r>
        <w:t xml:space="preserve">not approved; as a substance with a pharmacological effect, Epitalon is considered a medicine, and selling it for use in humans is not permitted.</w:t>
      </w:r>
    </w:p>
    <w:p>
      <w:pPr>
        <w:numPr>
          <w:ilvl w:val="0"/>
          <w:numId w:val="1220"/>
        </w:numPr>
        <w:pStyle w:val="Compact"/>
      </w:pPr>
      <w:r>
        <w:rPr>
          <w:bCs/>
          <w:b/>
        </w:rPr>
        <w:t xml:space="preserve">USA:</w:t>
      </w:r>
      <w:r>
        <w:t xml:space="preserve"> </w:t>
      </w:r>
      <w:r>
        <w:t xml:space="preserve">not approved. Following the vote of the advisory committee PCAC in July 2026, Epitalon could in future be permitted for use in pharmacy compounding if the FDA follows it; the process had not been completed at the time of going to press (as of October 2026, please check for updates).</w:t>
      </w:r>
    </w:p>
    <w:p>
      <w:pPr>
        <w:numPr>
          <w:ilvl w:val="0"/>
          <w:numId w:val="1220"/>
        </w:numPr>
        <w:pStyle w:val="Compact"/>
      </w:pPr>
      <w:r>
        <w:rPr>
          <w:bCs/>
          <w:b/>
        </w:rPr>
        <w:t xml:space="preserve">Russia:</w:t>
      </w:r>
      <w:r>
        <w:t xml:space="preserve"> </w:t>
      </w:r>
      <w:r>
        <w:t xml:space="preserve">In Russia, peptide bioregulators are in some cases marketed as dietary supplements; to our knowledge, Epitalon itself is not registered there as a medicine (please check for updates).</w:t>
      </w:r>
    </w:p>
    <w:p>
      <w:pPr>
        <w:numPr>
          <w:ilvl w:val="0"/>
          <w:numId w:val="1220"/>
        </w:numPr>
        <w:pStyle w:val="Compact"/>
      </w:pPr>
      <w:r>
        <w:rPr>
          <w:bCs/>
          <w:b/>
        </w:rPr>
        <w:t xml:space="preserve">Sport:</w:t>
      </w:r>
      <w:r>
        <w:t xml:space="preserve"> </w:t>
      </w:r>
      <w:r>
        <w:t xml:space="preserve">in our assessment WADA category S0 (as of 2026, please check for updates).</w:t>
      </w:r>
    </w:p>
    <w:bookmarkEnd w:id="1792"/>
    <w:bookmarkStart w:id="1794" w:name="ongoing-studies-and-outlook-39"/>
    <w:p>
      <w:pPr>
        <w:pStyle w:val="Heading3"/>
      </w:pPr>
      <w:r>
        <w:t xml:space="preserve">Ongoing studies and outlook</w:t>
      </w:r>
    </w:p>
    <w:p>
      <w:pPr>
        <w:pStyle w:val="FirstParagraph"/>
      </w:pPr>
      <w:r>
        <w:rPr>
          <w:bCs/>
          <w:b/>
        </w:rPr>
        <w:t xml:space="preserve">Established:</w:t>
      </w:r>
      <w:r>
        <w:t xml:space="preserve"> </w:t>
      </w:r>
      <w:r>
        <w:t xml:space="preserve">An early study is registered on ClinicalTrials.gov in which</w:t>
      </w:r>
      <w:r>
        <w:t xml:space="preserve"> </w:t>
      </w:r>
      <w:r>
        <w:t xml:space="preserve">“</w:t>
      </w:r>
      <w:r>
        <w:t xml:space="preserve">systemic and local</w:t>
      </w:r>
      <w:r>
        <w:t xml:space="preserve">”</w:t>
      </w:r>
      <w:r>
        <w:t xml:space="preserve"> </w:t>
      </w:r>
      <w:r>
        <w:t xml:space="preserve">rejuvenation measures are to be evaluated using so-called aging clocks (epigenetic measurement methods); 48 participants are planned, starting October 2026</w:t>
      </w:r>
      <w:r>
        <w:rPr>
          <w:rStyle w:val="FootnoteReference"/>
        </w:rPr>
        <w:footnoteReference w:id="1793"/>
      </w:r>
      <w:r>
        <w:t xml:space="preserve">. According to the registry entry, Epitalon is only one of five components of a peptide serum applied to the skin; in addition, medications and dietary supplements are taken. The study has only one group, no blinding and no placebo control. It therefore cannot provide any information about the effect of Epitalon itself.</w:t>
      </w:r>
    </w:p>
    <w:p>
      <w:pPr>
        <w:pStyle w:val="BodyText"/>
      </w:pPr>
      <w:r>
        <w:rPr>
          <w:bCs/>
          <w:b/>
        </w:rPr>
        <w:t xml:space="preserve">Assessment:</w:t>
      </w:r>
      <w:r>
        <w:t xml:space="preserve"> </w:t>
      </w:r>
      <w:r>
        <w:t xml:space="preserve">Inclusion in the US compounding list would increase its use without improving the evidence. What would matter is an independent, randomized trial that measures at least telomere length, melatonin and safety parameters in humans over a longer period.</w:t>
      </w:r>
    </w:p>
    <w:bookmarkEnd w:id="1794"/>
    <w:bookmarkStart w:id="1795" w:name="conclusion-39"/>
    <w:p>
      <w:pPr>
        <w:pStyle w:val="Heading3"/>
      </w:pPr>
      <w:r>
        <w:t xml:space="preserve">Conclusion</w:t>
      </w:r>
    </w:p>
    <w:p>
      <w:pPr>
        <w:pStyle w:val="FirstParagraph"/>
      </w:pPr>
      <w:r>
        <w:t xml:space="preserve">Epitalon is a synthetic tetrapeptide from St. Petersburg that activated telomerase in cell cultures and extended the maximum, but not the mean, lifespan in mice. The frequently cited study on longer life concerned the bovine extract Epithalamin, was not randomized and was never independently replicated. That Epitalon lengthens telomeres or slows aging in humans has not been demonstrated; telomerase activation also raises an unresolved cancer question. The data are not sufficient to assess benefit or safety in humans.</w:t>
      </w:r>
    </w:p>
    <w:bookmarkEnd w:id="1795"/>
    <w:bookmarkEnd w:id="1796"/>
    <w:bookmarkStart w:id="1813" w:name="pinealon"/>
    <w:p>
      <w:pPr>
        <w:pStyle w:val="Heading2"/>
      </w:pPr>
      <w:r>
        <w:t xml:space="preserve">Pinealon</w:t>
      </w:r>
    </w:p>
    <w:bookmarkStart w:id="1797" w:name="profile-40"/>
    <w:p>
      <w:pPr>
        <w:pStyle w:val="Heading3"/>
      </w:pPr>
      <w:r>
        <w:t xml:space="preserve">Profile</w:t>
      </w:r>
    </w:p>
    <w:p>
      <w:pPr>
        <w:numPr>
          <w:ilvl w:val="0"/>
          <w:numId w:val="1221"/>
        </w:numPr>
        <w:pStyle w:val="Compact"/>
      </w:pPr>
      <w:r>
        <w:rPr>
          <w:bCs/>
          <w:b/>
        </w:rPr>
        <w:t xml:space="preserve">Type and structure:</w:t>
      </w:r>
      <w:r>
        <w:t xml:space="preserve"> </w:t>
      </w:r>
      <w:r>
        <w:t xml:space="preserve">synthetic tripeptide of three amino acids: Glu-Asp-Arg (abbreviated EDR).</w:t>
      </w:r>
    </w:p>
    <w:p>
      <w:pPr>
        <w:numPr>
          <w:ilvl w:val="0"/>
          <w:numId w:val="1221"/>
        </w:numPr>
        <w:pStyle w:val="Compact"/>
      </w:pPr>
      <w:r>
        <w:rPr>
          <w:bCs/>
          <w:b/>
        </w:rPr>
        <w:t xml:space="preserve">Origin:</w:t>
      </w:r>
      <w:r>
        <w:t xml:space="preserve"> </w:t>
      </w:r>
      <w:r>
        <w:t xml:space="preserve">developed at the St. Petersburg Institute of Bioregulation and Gerontology (the group around Vladimir Khavinson, which also developed Epitalon). The name refers to the pineal gland (glandula pinealis), although the peptide is described mainly as a protective agent for nerve cells.</w:t>
      </w:r>
    </w:p>
    <w:p>
      <w:pPr>
        <w:numPr>
          <w:ilvl w:val="0"/>
          <w:numId w:val="1221"/>
        </w:numPr>
        <w:pStyle w:val="Compact"/>
      </w:pPr>
      <w:r>
        <w:rPr>
          <w:bCs/>
          <w:b/>
        </w:rPr>
        <w:t xml:space="preserve">Mechanism of action:</w:t>
      </w:r>
      <w:r>
        <w:t xml:space="preserve"> </w:t>
      </w:r>
      <w:r>
        <w:t xml:space="preserve">as a</w:t>
      </w:r>
      <w:r>
        <w:t xml:space="preserve"> </w:t>
      </w:r>
      <w:r>
        <w:t xml:space="preserve">“</w:t>
      </w:r>
      <w:r>
        <w:t xml:space="preserve">short peptide bioregulator,</w:t>
      </w:r>
      <w:r>
        <w:t xml:space="preserve">”</w:t>
      </w:r>
      <w:r>
        <w:t xml:space="preserve"> </w:t>
      </w:r>
      <w:r>
        <w:t xml:space="preserve">it is said to penetrate cells and cell nuclei, bind to DNA or histones and thereby influence the activity of genes that protect nerve cells from oxidative stress and cell death.</w:t>
      </w:r>
    </w:p>
    <w:p>
      <w:pPr>
        <w:numPr>
          <w:ilvl w:val="0"/>
          <w:numId w:val="1221"/>
        </w:numPr>
        <w:pStyle w:val="Compact"/>
      </w:pPr>
      <w:r>
        <w:rPr>
          <w:bCs/>
          <w:b/>
        </w:rPr>
        <w:t xml:space="preserve">EU approval:</w:t>
      </w:r>
      <w:r>
        <w:t xml:space="preserve"> </w:t>
      </w:r>
      <w:r>
        <w:t xml:space="preserve">no.</w:t>
      </w:r>
    </w:p>
    <w:p>
      <w:pPr>
        <w:numPr>
          <w:ilvl w:val="0"/>
          <w:numId w:val="1221"/>
        </w:numPr>
        <w:pStyle w:val="Compact"/>
      </w:pPr>
      <w:r>
        <w:rPr>
          <w:bCs/>
          <w:b/>
        </w:rPr>
        <w:t xml:space="preserve">US approval:</w:t>
      </w:r>
      <w:r>
        <w:t xml:space="preserve"> </w:t>
      </w:r>
      <w:r>
        <w:t xml:space="preserve">no.</w:t>
      </w:r>
    </w:p>
    <w:p>
      <w:pPr>
        <w:numPr>
          <w:ilvl w:val="0"/>
          <w:numId w:val="1221"/>
        </w:numPr>
        <w:pStyle w:val="Compact"/>
      </w:pPr>
      <w:r>
        <w:rPr>
          <w:bCs/>
          <w:b/>
        </w:rPr>
        <w:t xml:space="preserve">Russia:</w:t>
      </w:r>
      <w:r>
        <w:t xml:space="preserve"> </w:t>
      </w:r>
      <w:r>
        <w:t xml:space="preserve">marketed in capsule form as a component of so-called</w:t>
      </w:r>
      <w:r>
        <w:t xml:space="preserve"> </w:t>
      </w:r>
      <w:r>
        <w:t xml:space="preserve">“</w:t>
      </w:r>
      <w:r>
        <w:t xml:space="preserve">cytogens,</w:t>
      </w:r>
      <w:r>
        <w:t xml:space="preserve">”</w:t>
      </w:r>
      <w:r>
        <w:t xml:space="preserve"> </w:t>
      </w:r>
      <w:r>
        <w:t xml:space="preserve">that is, more as a dietary supplement than as a tested medicine.</w:t>
      </w:r>
    </w:p>
    <w:p>
      <w:pPr>
        <w:numPr>
          <w:ilvl w:val="0"/>
          <w:numId w:val="1221"/>
        </w:numPr>
        <w:pStyle w:val="Compact"/>
      </w:pPr>
      <w:r>
        <w:rPr>
          <w:bCs/>
          <w:b/>
        </w:rPr>
        <w:t xml:space="preserve">WADA:</w:t>
      </w:r>
      <w:r>
        <w:t xml:space="preserve"> </w:t>
      </w:r>
      <w:r>
        <w:t xml:space="preserve">not listed by name; an active substance not approved as a medicine can fall under the catch-all category S0.</w:t>
      </w:r>
    </w:p>
    <w:p>
      <w:pPr>
        <w:numPr>
          <w:ilvl w:val="0"/>
          <w:numId w:val="1221"/>
        </w:numPr>
        <w:pStyle w:val="Compact"/>
      </w:pPr>
      <w:r>
        <w:rPr>
          <w:bCs/>
          <w:b/>
        </w:rPr>
        <w:t xml:space="preserve">Evidence level:</w:t>
      </w:r>
      <w:r>
        <w:t xml:space="preserve"> </w:t>
      </w:r>
      <w:r>
        <w:rPr>
          <w:bCs/>
          <w:b/>
        </w:rPr>
        <w:t xml:space="preserve">C</w:t>
      </w:r>
      <w:r>
        <w:t xml:space="preserve"> </w:t>
      </w:r>
      <w:r>
        <w:t xml:space="preserve">– a few small, nonrandomized Russian observational studies with surrogate measures such as</w:t>
      </w:r>
      <w:r>
        <w:t xml:space="preserve"> </w:t>
      </w:r>
      <w:r>
        <w:t xml:space="preserve">“</w:t>
      </w:r>
      <w:r>
        <w:t xml:space="preserve">biological age.</w:t>
      </w:r>
      <w:r>
        <w:t xml:space="preserve">”</w:t>
      </w:r>
    </w:p>
    <w:bookmarkEnd w:id="1797"/>
    <w:bookmarkStart w:id="1801" w:name="how-it-is-supposed-to-work-40"/>
    <w:p>
      <w:pPr>
        <w:pStyle w:val="Heading3"/>
      </w:pPr>
      <w:r>
        <w:t xml:space="preserve">How it is supposed to work</w:t>
      </w:r>
    </w:p>
    <w:p>
      <w:pPr>
        <w:pStyle w:val="FirstParagraph"/>
      </w:pPr>
      <w:r>
        <w:t xml:space="preserve">Pinealon belongs to a family of very short peptides (two to four amino acids) that the St. Petersburg group calls</w:t>
      </w:r>
      <w:r>
        <w:t xml:space="preserve"> </w:t>
      </w:r>
      <w:r>
        <w:t xml:space="preserve">“</w:t>
      </w:r>
      <w:r>
        <w:t xml:space="preserve">peptide bioregulators.</w:t>
      </w:r>
      <w:r>
        <w:t xml:space="preserve">”</w:t>
      </w:r>
      <w:r>
        <w:t xml:space="preserve"> </w:t>
      </w:r>
      <w:r>
        <w:t xml:space="preserve">The central hypothesis is that such mini-peptides reach the cell nucleus, bind there to specific DNA segments and thereby regulate genes – similar to transcription factors, that is, proteins that switch genes on and off.</w:t>
      </w:r>
    </w:p>
    <w:p>
      <w:pPr>
        <w:pStyle w:val="BodyText"/>
      </w:pPr>
      <w:r>
        <w:t xml:space="preserve">Evidence for this comes from the laboratory:</w:t>
      </w:r>
    </w:p>
    <w:p>
      <w:pPr>
        <w:numPr>
          <w:ilvl w:val="0"/>
          <w:numId w:val="1222"/>
        </w:numPr>
        <w:pStyle w:val="Compact"/>
      </w:pPr>
      <w:r>
        <w:t xml:space="preserve">In cancer cells (HeLa), fluorescently labeled Pinealon, Epitalon and related peptides penetrated the cytoplasm, nucleus and nucleoli; in the test tube, they altered the fluorescence of labeled DNA fragments depending on their sequence</w:t>
      </w:r>
      <w:r>
        <w:rPr>
          <w:rStyle w:val="FootnoteReference"/>
        </w:rPr>
        <w:footnoteReference w:id="1798"/>
      </w:r>
      <w:r>
        <w:t xml:space="preserve">.</w:t>
      </w:r>
    </w:p>
    <w:p>
      <w:pPr>
        <w:numPr>
          <w:ilvl w:val="0"/>
          <w:numId w:val="1222"/>
        </w:numPr>
        <w:pStyle w:val="Compact"/>
      </w:pPr>
      <w:r>
        <w:t xml:space="preserve">In nerve cells from the cerebellum of rats and in other cell cultures, Pinealon limited the accumulation of reactive oxygen species and reduced cell death</w:t>
      </w:r>
      <w:r>
        <w:rPr>
          <w:rStyle w:val="FootnoteReference"/>
        </w:rPr>
        <w:footnoteReference w:id="1799"/>
      </w:r>
      <w:r>
        <w:t xml:space="preserve">.</w:t>
      </w:r>
    </w:p>
    <w:p>
      <w:pPr>
        <w:pStyle w:val="FirstParagraph"/>
      </w:pPr>
      <w:r>
        <w:t xml:space="preserve">A review by the developers summarizes that the EDR peptide influenced genes and proteins in cell and animal experiments that play a role in Alzheimer’s disease, such as enzymes of antioxidant defense and cell death signals</w:t>
      </w:r>
      <w:r>
        <w:rPr>
          <w:rStyle w:val="FootnoteReference"/>
        </w:rPr>
        <w:footnoteReference w:id="1800"/>
      </w:r>
      <w:r>
        <w:t xml:space="preserve">. This is a hypothesis that has so far hardly been tested by other research groups. It is also known from classical pharmacology that such short peptides are rapidly broken down in the digestive tract and in the blood; how much unchanged Pinealon reaches the nerve cells after taking a capsule has not been studied.</w:t>
      </w:r>
    </w:p>
    <w:bookmarkEnd w:id="1801"/>
    <w:bookmarkStart w:id="1803" w:name="human-studies-40"/>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w:t>
      </w:r>
      <w:r>
        <w:t xml:space="preserve"> </w:t>
      </w:r>
      <w:r>
        <w:rPr>
          <w:bCs/>
          <w:b/>
        </w:rPr>
        <w:t xml:space="preserve">one</w:t>
      </w:r>
      <w:r>
        <w:t xml:space="preserve"> </w:t>
      </w:r>
      <w:r>
        <w:t xml:space="preserve">publication classified as a human study; in total, PubMed lists only 15 papers with</w:t>
      </w:r>
      <w:r>
        <w:t xml:space="preserve"> </w:t>
      </w:r>
      <w:r>
        <w:t xml:space="preserve">“</w:t>
      </w:r>
      <w:r>
        <w:t xml:space="preserve">Pinealon</w:t>
      </w:r>
      <w:r>
        <w:t xml:space="preserve">”</w:t>
      </w:r>
      <w:r>
        <w:t xml:space="preserve"> </w:t>
      </w:r>
      <w:r>
        <w:t xml:space="preserve">in the title or abstract. No study is registered on ClinicalTrials.gov. A follow-up search found three further small Russian papers involving humans, all in the journal</w:t>
      </w:r>
      <w:r>
        <w:t xml:space="preserve"> </w:t>
      </w:r>
      <w:r>
        <w:t xml:space="preserve">“</w:t>
      </w:r>
      <w:r>
        <w:t xml:space="preserve">Uspekhi Gerontologii</w:t>
      </w:r>
      <w:r>
        <w:t xml:space="preserve">”</w:t>
      </w:r>
      <w:r>
        <w:t xml:space="preserve"> </w:t>
      </w:r>
      <w:r>
        <w:t xml:space="preserve">(Advances in Gerontology).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Bashkireva 2012, PMID 23734521</w:t>
            </w:r>
          </w:p>
        </w:tc>
        <w:tc>
          <w:tcPr/>
          <w:p>
            <w:pPr>
              <w:pStyle w:val="Compact"/>
              <w:jc w:val="left"/>
            </w:pPr>
            <w:r>
              <w:t xml:space="preserve">150 truck drivers, 150 metalworkers as comparison; peptides in subgroups</w:t>
            </w:r>
          </w:p>
        </w:tc>
        <w:tc>
          <w:tcPr/>
          <w:p>
            <w:pPr>
              <w:pStyle w:val="Compact"/>
              <w:jc w:val="left"/>
            </w:pPr>
            <w:r>
              <w:t xml:space="preserve">not stated</w:t>
            </w:r>
          </w:p>
        </w:tc>
        <w:tc>
          <w:tcPr/>
          <w:p>
            <w:pPr>
              <w:pStyle w:val="Compact"/>
              <w:jc w:val="left"/>
            </w:pPr>
            <w:r>
              <w:t xml:space="preserve">according to the authors, better psycho-emotional scores, best effect with a combination of two peptides</w:t>
            </w:r>
          </w:p>
        </w:tc>
      </w:tr>
      <w:tr>
        <w:tc>
          <w:tcPr/>
          <w:p>
            <w:pPr>
              <w:pStyle w:val="Compact"/>
              <w:jc w:val="left"/>
            </w:pPr>
            <w:r>
              <w:t xml:space="preserve">Nazimko 2012, PMID 22708445</w:t>
            </w:r>
          </w:p>
        </w:tc>
        <w:tc>
          <w:tcPr/>
          <w:p>
            <w:pPr>
              <w:pStyle w:val="Compact"/>
              <w:jc w:val="left"/>
            </w:pPr>
            <w:r>
              <w:t xml:space="preserve">locomotive driver teams, Pinealon capsules</w:t>
            </w:r>
          </w:p>
        </w:tc>
        <w:tc>
          <w:tcPr/>
          <w:p>
            <w:pPr>
              <w:pStyle w:val="Compact"/>
              <w:jc w:val="left"/>
            </w:pPr>
            <w:r>
              <w:t xml:space="preserve">2 weeks</w:t>
            </w:r>
          </w:p>
        </w:tc>
        <w:tc>
          <w:tcPr/>
          <w:p>
            <w:pPr>
              <w:pStyle w:val="Compact"/>
              <w:jc w:val="left"/>
            </w:pPr>
            <w:r>
              <w:t xml:space="preserve">according to the authors, better</w:t>
            </w:r>
            <w:r>
              <w:t xml:space="preserve"> </w:t>
            </w:r>
            <w:r>
              <w:t xml:space="preserve">“</w:t>
            </w:r>
            <w:r>
              <w:t xml:space="preserve">biological age</w:t>
            </w:r>
            <w:r>
              <w:t xml:space="preserve">”</w:t>
            </w:r>
            <w:r>
              <w:t xml:space="preserve"> </w:t>
            </w:r>
            <w:r>
              <w:t xml:space="preserve">and better adaptive responses</w:t>
            </w:r>
          </w:p>
        </w:tc>
      </w:tr>
      <w:tr>
        <w:tc>
          <w:tcPr/>
          <w:p>
            <w:pPr>
              <w:pStyle w:val="Compact"/>
              <w:jc w:val="left"/>
            </w:pPr>
            <w:r>
              <w:t xml:space="preserve">Meshchaninov 2015, PMID 26390612</w:t>
            </w:r>
          </w:p>
        </w:tc>
        <w:tc>
          <w:tcPr/>
          <w:p>
            <w:pPr>
              <w:pStyle w:val="Compact"/>
              <w:jc w:val="left"/>
            </w:pPr>
            <w:r>
              <w:t xml:space="preserve">32 people (41–83 years) with multimorbidity and organic psychosyndrome</w:t>
            </w:r>
          </w:p>
        </w:tc>
        <w:tc>
          <w:tcPr/>
          <w:p>
            <w:pPr>
              <w:pStyle w:val="Compact"/>
              <w:jc w:val="left"/>
            </w:pPr>
            <w:r>
              <w:t xml:space="preserve">not stated</w:t>
            </w:r>
          </w:p>
        </w:tc>
        <w:tc>
          <w:tcPr/>
          <w:p>
            <w:pPr>
              <w:pStyle w:val="Compact"/>
              <w:jc w:val="left"/>
            </w:pPr>
            <w:r>
              <w:t xml:space="preserve">“</w:t>
            </w:r>
            <w:r>
              <w:t xml:space="preserve">anabolic</w:t>
            </w:r>
            <w:r>
              <w:t xml:space="preserve">”</w:t>
            </w:r>
            <w:r>
              <w:t xml:space="preserve"> </w:t>
            </w:r>
            <w:r>
              <w:t xml:space="preserve">effect; indications of an oxidizing effect and inhibition of blood formation</w:t>
            </w:r>
          </w:p>
        </w:tc>
      </w:tr>
      <w:tr>
        <w:tc>
          <w:tcPr/>
          <w:p>
            <w:pPr>
              <w:pStyle w:val="Compact"/>
              <w:jc w:val="left"/>
            </w:pPr>
            <w:r>
              <w:t xml:space="preserve">Myakotnykh 2016, PMID 28539017</w:t>
            </w:r>
          </w:p>
        </w:tc>
        <w:tc>
          <w:tcPr/>
          <w:p>
            <w:pPr>
              <w:pStyle w:val="Compact"/>
              <w:jc w:val="left"/>
            </w:pPr>
            <w:r>
              <w:t xml:space="preserve">110 people, comparison of various</w:t>
            </w:r>
            <w:r>
              <w:t xml:space="preserve"> </w:t>
            </w:r>
            <w:r>
              <w:t xml:space="preserve">“</w:t>
            </w:r>
            <w:r>
              <w:t xml:space="preserve">anti-aging</w:t>
            </w:r>
            <w:r>
              <w:t xml:space="preserve">”</w:t>
            </w:r>
            <w:r>
              <w:t xml:space="preserve"> </w:t>
            </w:r>
            <w:r>
              <w:t xml:space="preserve">methods</w:t>
            </w:r>
          </w:p>
        </w:tc>
        <w:tc>
          <w:tcPr/>
          <w:p>
            <w:pPr>
              <w:pStyle w:val="Compact"/>
              <w:jc w:val="left"/>
            </w:pPr>
            <w:r>
              <w:t xml:space="preserve">not stated</w:t>
            </w:r>
          </w:p>
        </w:tc>
        <w:tc>
          <w:tcPr/>
          <w:p>
            <w:pPr>
              <w:pStyle w:val="Compact"/>
              <w:jc w:val="left"/>
            </w:pPr>
            <w:r>
              <w:t xml:space="preserve">strongest effect on</w:t>
            </w:r>
            <w:r>
              <w:t xml:space="preserve"> </w:t>
            </w:r>
            <w:r>
              <w:t xml:space="preserve">“</w:t>
            </w:r>
            <w:r>
              <w:t xml:space="preserve">biological age</w:t>
            </w:r>
            <w:r>
              <w:t xml:space="preserve">”</w:t>
            </w:r>
            <w:r>
              <w:t xml:space="preserve"> </w:t>
            </w:r>
            <w:r>
              <w:t xml:space="preserve">with a combination of two peptides</w:t>
            </w:r>
          </w:p>
        </w:tc>
      </w:tr>
    </w:tbl>
    <w:p>
      <w:pPr>
        <w:pStyle w:val="BodyText"/>
      </w:pPr>
      <w:r>
        <w:t xml:space="preserve">All four papers share weaknesses:</w:t>
      </w:r>
    </w:p>
    <w:p>
      <w:pPr>
        <w:numPr>
          <w:ilvl w:val="0"/>
          <w:numId w:val="1223"/>
        </w:numPr>
        <w:pStyle w:val="Compact"/>
      </w:pPr>
      <w:r>
        <w:rPr>
          <w:bCs/>
          <w:b/>
        </w:rPr>
        <w:t xml:space="preserve">No placebo, no blinding, no randomization</w:t>
      </w:r>
      <w:r>
        <w:t xml:space="preserve"> </w:t>
      </w:r>
      <w:r>
        <w:t xml:space="preserve">discernible. With questionnaires on mood and stress, the expectation effect is considerable.</w:t>
      </w:r>
    </w:p>
    <w:p>
      <w:pPr>
        <w:numPr>
          <w:ilvl w:val="0"/>
          <w:numId w:val="1223"/>
        </w:numPr>
        <w:pStyle w:val="Compact"/>
      </w:pPr>
      <w:r>
        <w:rPr>
          <w:bCs/>
          <w:b/>
        </w:rPr>
        <w:t xml:space="preserve">Surrogate measures instead of clinical endpoints:</w:t>
      </w:r>
      <w:r>
        <w:t xml:space="preserve"> </w:t>
      </w:r>
      <w:r>
        <w:t xml:space="preserve">In Russian gerontology,</w:t>
      </w:r>
      <w:r>
        <w:t xml:space="preserve"> </w:t>
      </w:r>
      <w:r>
        <w:t xml:space="preserve">“</w:t>
      </w:r>
      <w:r>
        <w:t xml:space="preserve">biological age</w:t>
      </w:r>
      <w:r>
        <w:t xml:space="preserve">”</w:t>
      </w:r>
      <w:r>
        <w:t xml:space="preserve"> </w:t>
      </w:r>
      <w:r>
        <w:t xml:space="preserve">is calculated from a combination of measurements such as blood pressure, lung function, reaction time and self-report. It is not an internationally standardized measure, and an improvement does not automatically mean better health or a longer life.</w:t>
      </w:r>
    </w:p>
    <w:p>
      <w:pPr>
        <w:numPr>
          <w:ilvl w:val="0"/>
          <w:numId w:val="1223"/>
        </w:numPr>
        <w:pStyle w:val="Compact"/>
      </w:pPr>
      <w:r>
        <w:rPr>
          <w:bCs/>
          <w:b/>
        </w:rPr>
        <w:t xml:space="preserve">Combinations:</w:t>
      </w:r>
      <w:r>
        <w:t xml:space="preserve"> </w:t>
      </w:r>
      <w:r>
        <w:t xml:space="preserve">In several studies, Pinealon was given together with the peptide Vesugen (Lys-Glu-Asp), so the effect cannot be attributed to one substance.</w:t>
      </w:r>
    </w:p>
    <w:p>
      <w:pPr>
        <w:numPr>
          <w:ilvl w:val="0"/>
          <w:numId w:val="1223"/>
        </w:numPr>
        <w:pStyle w:val="Compact"/>
      </w:pPr>
      <w:r>
        <w:rPr>
          <w:bCs/>
          <w:b/>
        </w:rPr>
        <w:t xml:space="preserve">Unclear figures:</w:t>
      </w:r>
      <w:r>
        <w:t xml:space="preserve"> </w:t>
      </w:r>
      <w:r>
        <w:t xml:space="preserve">The abstracts give hardly any effect sizes.</w:t>
      </w:r>
    </w:p>
    <w:p>
      <w:pPr>
        <w:pStyle w:val="FirstParagraph"/>
      </w:pPr>
      <w:r>
        <w:t xml:space="preserve">One finding that does not appear in the advertising is noteworthy: in the study with 32 older people, the authors observed a</w:t>
      </w:r>
      <w:r>
        <w:t xml:space="preserve"> </w:t>
      </w:r>
      <w:r>
        <w:rPr>
          <w:bCs/>
          <w:b/>
        </w:rPr>
        <w:t xml:space="preserve">pro-oxidative</w:t>
      </w:r>
      <w:r>
        <w:t xml:space="preserve"> </w:t>
      </w:r>
      <w:r>
        <w:t xml:space="preserve">activity with Pinealon and Vesugen – that is, the opposite of the claimed antioxidant effect – and a decrease in blood-forming stem cells (CD34+) in the blood, which they describe as a marked inhibition of blood formation. Nevertheless, they recommend the peptides for geriatric practice</w:t>
      </w:r>
      <w:r>
        <w:rPr>
          <w:rStyle w:val="FootnoteReference"/>
        </w:rPr>
        <w:footnoteReference w:id="1802"/>
      </w:r>
      <w:r>
        <w:t xml:space="preserve">.</w:t>
      </w:r>
    </w:p>
    <w:bookmarkEnd w:id="1803"/>
    <w:bookmarkStart w:id="1807" w:name="animal-and-laboratory-studies-40"/>
    <w:p>
      <w:pPr>
        <w:pStyle w:val="Heading3"/>
      </w:pPr>
      <w:r>
        <w:t xml:space="preserve">Animal and laboratory studies</w:t>
      </w:r>
    </w:p>
    <w:p>
      <w:pPr>
        <w:numPr>
          <w:ilvl w:val="0"/>
          <w:numId w:val="1224"/>
        </w:numPr>
        <w:pStyle w:val="Compact"/>
      </w:pPr>
      <w:r>
        <w:t xml:space="preserve">In rats whose mothers had elevated homocysteine levels during pregnancy due to methionine-rich feed, Pinealon (given to the mothers) improved the orientation and learning ability of the offspring; their cerebellar nerve cells were more resistant to oxidative stress</w:t>
      </w:r>
      <w:r>
        <w:rPr>
          <w:rStyle w:val="FootnoteReference"/>
        </w:rPr>
        <w:footnoteReference w:id="1804"/>
      </w:r>
      <w:r>
        <w:t xml:space="preserve">.</w:t>
      </w:r>
    </w:p>
    <w:p>
      <w:pPr>
        <w:numPr>
          <w:ilvl w:val="0"/>
          <w:numId w:val="1224"/>
        </w:numPr>
        <w:pStyle w:val="Compact"/>
      </w:pPr>
      <w:r>
        <w:t xml:space="preserve">In 18-month-old rats, Pinealon and Cortexin (a Russian brain extract preparation) influenced behavior and brain messengers under oxygen deprivation and hypothermia; Cortexin had a stronger effect on radical processes and cell death enzymes</w:t>
      </w:r>
      <w:r>
        <w:rPr>
          <w:rStyle w:val="FootnoteReference"/>
        </w:rPr>
        <w:footnoteReference w:id="1805"/>
      </w:r>
      <w:r>
        <w:t xml:space="preserve">.</w:t>
      </w:r>
    </w:p>
    <w:p>
      <w:pPr>
        <w:numPr>
          <w:ilvl w:val="0"/>
          <w:numId w:val="1224"/>
        </w:numPr>
        <w:pStyle w:val="Compact"/>
      </w:pPr>
      <w:r>
        <w:t xml:space="preserve">In cell cultures, Pinealon protected various cell types from oxidative stress</w:t>
      </w:r>
      <w:r>
        <w:rPr>
          <w:rStyle w:val="FootnoteReference"/>
        </w:rPr>
        <w:footnoteReference w:id="1806"/>
      </w:r>
      <w:r>
        <w:t xml:space="preserve">.</w:t>
      </w:r>
    </w:p>
    <w:p>
      <w:pPr>
        <w:pStyle w:val="FirstParagraph"/>
      </w:pPr>
      <w:r>
        <w:t xml:space="preserve">Almost all papers come from the developer group or cooperating Russian institutes.</w:t>
      </w:r>
    </w:p>
    <w:bookmarkEnd w:id="1807"/>
    <w:bookmarkStart w:id="1809" w:name="risks-and-side-effects-40"/>
    <w:p>
      <w:pPr>
        <w:pStyle w:val="Heading3"/>
      </w:pPr>
      <w:r>
        <w:t xml:space="preserve">Risks and side effects</w:t>
      </w:r>
    </w:p>
    <w:p>
      <w:pPr>
        <w:pStyle w:val="FirstParagraph"/>
      </w:pPr>
      <w:r>
        <w:rPr>
          <w:bCs/>
          <w:b/>
        </w:rPr>
        <w:t xml:space="preserve">Established:</w:t>
      </w:r>
      <w:r>
        <w:t xml:space="preserve"> </w:t>
      </w:r>
      <w:r>
        <w:t xml:space="preserve">There are no systematic safety data. The only study that reports laboratory values in more detail describes a pro-oxidative activity and a decrease in blood-forming stem cells in the blood</w:t>
      </w:r>
      <w:r>
        <w:rPr>
          <w:rStyle w:val="FootnoteReference"/>
        </w:rPr>
        <w:footnoteReference w:id="1808"/>
      </w:r>
      <w:r>
        <w:t xml:space="preserve">. What this means is unclear – but it is a warning signal that has not been investigated further.</w:t>
      </w:r>
    </w:p>
    <w:p>
      <w:pPr>
        <w:pStyle w:val="BodyText"/>
      </w:pPr>
      <w:r>
        <w:rPr>
          <w:bCs/>
          <w:b/>
        </w:rPr>
        <w:t xml:space="preserve">Theoretical:</w:t>
      </w:r>
      <w:r>
        <w:t xml:space="preserve"> </w:t>
      </w:r>
      <w:r>
        <w:t xml:space="preserve">If the developers’ hypothesis is correct and Pinealon actually binds to DNA and regulates genes, unwanted genetic effects would also be conceivable. Studies on genetic damage, cancer risk or long-term effects are not available.</w:t>
      </w:r>
    </w:p>
    <w:p>
      <w:pPr>
        <w:pStyle w:val="BodyText"/>
      </w:pPr>
      <w:r>
        <w:rPr>
          <w:bCs/>
          <w:b/>
        </w:rPr>
        <w:t xml:space="preserve">Gray market:</w:t>
      </w:r>
      <w:r>
        <w:t xml:space="preserve"> </w:t>
      </w:r>
      <w:r>
        <w:t xml:space="preserve">Pinealon is offered online as capsules, nasal spray or powder for injection, usually with promises about memory, sleep and</w:t>
      </w:r>
      <w:r>
        <w:t xml:space="preserve"> </w:t>
      </w:r>
      <w:r>
        <w:t xml:space="preserve">“</w:t>
      </w:r>
      <w:r>
        <w:t xml:space="preserve">brain rejuvenation.</w:t>
      </w:r>
      <w:r>
        <w:t xml:space="preserve">”</w:t>
      </w:r>
      <w:r>
        <w:t xml:space="preserve"> </w:t>
      </w:r>
      <w:r>
        <w:t xml:space="preserve">Content and purity are unverified.</w:t>
      </w:r>
    </w:p>
    <w:bookmarkEnd w:id="1809"/>
    <w:bookmarkStart w:id="1810" w:name="legal-status-40"/>
    <w:p>
      <w:pPr>
        <w:pStyle w:val="Heading3"/>
      </w:pPr>
      <w:r>
        <w:t xml:space="preserve">Legal status</w:t>
      </w:r>
    </w:p>
    <w:p>
      <w:pPr>
        <w:numPr>
          <w:ilvl w:val="0"/>
          <w:numId w:val="1225"/>
        </w:numPr>
        <w:pStyle w:val="Compact"/>
      </w:pPr>
      <w:r>
        <w:rPr>
          <w:bCs/>
          <w:b/>
        </w:rPr>
        <w:t xml:space="preserve">EU / Austria / Germany:</w:t>
      </w:r>
      <w:r>
        <w:t xml:space="preserve"> </w:t>
      </w:r>
      <w:r>
        <w:t xml:space="preserve">not approved as a medicine. Sale as a dietary supplement would only be permissible if the substance is permitted under food law; as a novel, synthetic substance with an intended pharmacological effect, this is not the case in our assessment.</w:t>
      </w:r>
    </w:p>
    <w:p>
      <w:pPr>
        <w:numPr>
          <w:ilvl w:val="0"/>
          <w:numId w:val="1225"/>
        </w:numPr>
        <w:pStyle w:val="Compact"/>
      </w:pPr>
      <w:r>
        <w:rPr>
          <w:bCs/>
          <w:b/>
        </w:rPr>
        <w:t xml:space="preserve">USA:</w:t>
      </w:r>
      <w:r>
        <w:t xml:space="preserve"> </w:t>
      </w:r>
      <w:r>
        <w:t xml:space="preserve">not approved.</w:t>
      </w:r>
    </w:p>
    <w:p>
      <w:pPr>
        <w:numPr>
          <w:ilvl w:val="0"/>
          <w:numId w:val="1225"/>
        </w:numPr>
        <w:pStyle w:val="Compact"/>
      </w:pPr>
      <w:r>
        <w:rPr>
          <w:bCs/>
          <w:b/>
        </w:rPr>
        <w:t xml:space="preserve">Russia:</w:t>
      </w:r>
      <w:r>
        <w:t xml:space="preserve"> </w:t>
      </w:r>
      <w:r>
        <w:t xml:space="preserve">marketed as a component of peptide preparations that have not gone through the approval process for medicines.</w:t>
      </w:r>
    </w:p>
    <w:p>
      <w:pPr>
        <w:numPr>
          <w:ilvl w:val="0"/>
          <w:numId w:val="1225"/>
        </w:numPr>
        <w:pStyle w:val="Compact"/>
      </w:pPr>
      <w:r>
        <w:rPr>
          <w:bCs/>
          <w:b/>
        </w:rPr>
        <w:t xml:space="preserve">Sport:</w:t>
      </w:r>
      <w:r>
        <w:t xml:space="preserve"> </w:t>
      </w:r>
      <w:r>
        <w:t xml:space="preserve">not listed by name; possibly covered by WADA category S0 (as of 2026, please check for updates).</w:t>
      </w:r>
    </w:p>
    <w:bookmarkEnd w:id="1810"/>
    <w:bookmarkStart w:id="1811" w:name="ongoing-studies-and-outlook-40"/>
    <w:p>
      <w:pPr>
        <w:pStyle w:val="Heading3"/>
      </w:pPr>
      <w:r>
        <w:t xml:space="preserve">Ongoing studies and outlook</w:t>
      </w:r>
    </w:p>
    <w:p>
      <w:pPr>
        <w:pStyle w:val="FirstParagraph"/>
      </w:pPr>
      <w:r>
        <w:rPr>
          <w:bCs/>
          <w:b/>
        </w:rPr>
        <w:t xml:space="preserve">Established:</w:t>
      </w:r>
      <w:r>
        <w:t xml:space="preserve"> </w:t>
      </w:r>
      <w:r>
        <w:t xml:space="preserve">No registered study (search October 2026).</w:t>
      </w:r>
    </w:p>
    <w:p>
      <w:pPr>
        <w:pStyle w:val="BodyText"/>
      </w:pPr>
      <w:r>
        <w:rPr>
          <w:bCs/>
          <w:b/>
        </w:rPr>
        <w:t xml:space="preserve">Assessment:</w:t>
      </w:r>
      <w:r>
        <w:t xml:space="preserve"> </w:t>
      </w:r>
      <w:r>
        <w:t xml:space="preserve">As long as research remains limited to a small circle of Russian institutes and no randomized, placebo-controlled trials with clinical endpoints are conducted, Pinealon will remain a laboratory concept with a marketing superstructure.</w:t>
      </w:r>
    </w:p>
    <w:bookmarkEnd w:id="1811"/>
    <w:bookmarkStart w:id="1812" w:name="conclusion-40"/>
    <w:p>
      <w:pPr>
        <w:pStyle w:val="Heading3"/>
      </w:pPr>
      <w:r>
        <w:t xml:space="preserve">Conclusion</w:t>
      </w:r>
    </w:p>
    <w:p>
      <w:pPr>
        <w:pStyle w:val="FirstParagraph"/>
      </w:pPr>
      <w:r>
        <w:t xml:space="preserve">Pinealon is a synthetic tripeptide from St. Petersburg that protected nerve cells from oxidative stress in cell cultures and in rats; the developers suspect a direct effect on genes. The few human studies are small, uncontrolled and mainly measure a nonstandardized</w:t>
      </w:r>
      <w:r>
        <w:t xml:space="preserve"> </w:t>
      </w:r>
      <w:r>
        <w:t xml:space="preserve">“</w:t>
      </w:r>
      <w:r>
        <w:t xml:space="preserve">biological age.</w:t>
      </w:r>
      <w:r>
        <w:t xml:space="preserve">”</w:t>
      </w:r>
      <w:r>
        <w:t xml:space="preserve"> </w:t>
      </w:r>
      <w:r>
        <w:t xml:space="preserve">One of them even found indications of a pro-oxidative effect and an inhibition of blood formation. The data are not sufficient to assess a benefit or safety in humans.</w:t>
      </w:r>
    </w:p>
    <w:bookmarkEnd w:id="1812"/>
    <w:bookmarkEnd w:id="1813"/>
    <w:bookmarkStart w:id="1842" w:name="mots-c"/>
    <w:p>
      <w:pPr>
        <w:pStyle w:val="Heading2"/>
      </w:pPr>
      <w:r>
        <w:t xml:space="preserve">MOTS-c</w:t>
      </w:r>
    </w:p>
    <w:bookmarkStart w:id="1814" w:name="profile-41"/>
    <w:p>
      <w:pPr>
        <w:pStyle w:val="Heading3"/>
      </w:pPr>
      <w:r>
        <w:t xml:space="preserve">Profile</w:t>
      </w:r>
    </w:p>
    <w:p>
      <w:pPr>
        <w:numPr>
          <w:ilvl w:val="0"/>
          <w:numId w:val="1226"/>
        </w:numPr>
        <w:pStyle w:val="Compact"/>
      </w:pPr>
      <w:r>
        <w:rPr>
          <w:bCs/>
          <w:b/>
        </w:rPr>
        <w:t xml:space="preserve">Type and structure:</w:t>
      </w:r>
      <w:r>
        <w:t xml:space="preserve"> </w:t>
      </w:r>
      <w:r>
        <w:t xml:space="preserve">peptide of 16 amino acids. The name stands for</w:t>
      </w:r>
      <w:r>
        <w:t xml:space="preserve"> </w:t>
      </w:r>
      <w:r>
        <w:rPr>
          <w:iCs/>
          <w:i/>
        </w:rPr>
        <w:t xml:space="preserve">mitochondrial open reading frame of the 12S rRNA-c</w:t>
      </w:r>
      <w:r>
        <w:t xml:space="preserve"> </w:t>
      </w:r>
      <w:r>
        <w:t xml:space="preserve">– it is encoded not in the cell nucleus but in the genome of the mitochondria, the</w:t>
      </w:r>
      <w:r>
        <w:t xml:space="preserve"> </w:t>
      </w:r>
      <w:r>
        <w:t xml:space="preserve">“</w:t>
      </w:r>
      <w:r>
        <w:t xml:space="preserve">power plants</w:t>
      </w:r>
      <w:r>
        <w:t xml:space="preserve">”</w:t>
      </w:r>
      <w:r>
        <w:t xml:space="preserve"> </w:t>
      </w:r>
      <w:r>
        <w:t xml:space="preserve">of the cell.</w:t>
      </w:r>
    </w:p>
    <w:p>
      <w:pPr>
        <w:numPr>
          <w:ilvl w:val="0"/>
          <w:numId w:val="1226"/>
        </w:numPr>
        <w:pStyle w:val="Compact"/>
      </w:pPr>
      <w:r>
        <w:rPr>
          <w:bCs/>
          <w:b/>
        </w:rPr>
        <w:t xml:space="preserve">Origin:</w:t>
      </w:r>
      <w:r>
        <w:t xml:space="preserve"> </w:t>
      </w:r>
      <w:r>
        <w:t xml:space="preserve">described in 2015 by a research group led by Pinchas Cohen at the University of Southern California. The body produces it itself, mainly in skeletal muscle.</w:t>
      </w:r>
    </w:p>
    <w:p>
      <w:pPr>
        <w:numPr>
          <w:ilvl w:val="0"/>
          <w:numId w:val="1226"/>
        </w:numPr>
        <w:pStyle w:val="Compact"/>
      </w:pPr>
      <w:r>
        <w:rPr>
          <w:bCs/>
          <w:b/>
        </w:rPr>
        <w:t xml:space="preserve">Mechanism of action:</w:t>
      </w:r>
      <w:r>
        <w:t xml:space="preserve"> </w:t>
      </w:r>
      <w:r>
        <w:t xml:space="preserve">regarded as a</w:t>
      </w:r>
      <w:r>
        <w:t xml:space="preserve"> </w:t>
      </w:r>
      <w:r>
        <w:t xml:space="preserve">“</w:t>
      </w:r>
      <w:r>
        <w:t xml:space="preserve">mitokine</w:t>
      </w:r>
      <w:r>
        <w:t xml:space="preserve">”</w:t>
      </w:r>
      <w:r>
        <w:t xml:space="preserve"> </w:t>
      </w:r>
      <w:r>
        <w:t xml:space="preserve">– a signaling molecule of the mitochondria. In mice, it activated the energy sensor AMPK and improved insulin sensitivity and physical performance; it is therefore discussed as an</w:t>
      </w:r>
      <w:r>
        <w:t xml:space="preserve"> </w:t>
      </w:r>
      <w:r>
        <w:t xml:space="preserve">“</w:t>
      </w:r>
      <w:r>
        <w:t xml:space="preserve">exercise mimetic.</w:t>
      </w:r>
      <w:r>
        <w:t xml:space="preserve">”</w:t>
      </w:r>
    </w:p>
    <w:p>
      <w:pPr>
        <w:numPr>
          <w:ilvl w:val="0"/>
          <w:numId w:val="1226"/>
        </w:numPr>
        <w:pStyle w:val="Compact"/>
      </w:pPr>
      <w:r>
        <w:rPr>
          <w:bCs/>
          <w:b/>
        </w:rPr>
        <w:t xml:space="preserve">EU approval:</w:t>
      </w:r>
      <w:r>
        <w:t xml:space="preserve"> </w:t>
      </w:r>
      <w:r>
        <w:t xml:space="preserve">no.</w:t>
      </w:r>
    </w:p>
    <w:p>
      <w:pPr>
        <w:numPr>
          <w:ilvl w:val="0"/>
          <w:numId w:val="1226"/>
        </w:numPr>
        <w:pStyle w:val="Compact"/>
      </w:pPr>
      <w:r>
        <w:rPr>
          <w:bCs/>
          <w:b/>
        </w:rPr>
        <w:t xml:space="preserve">US approval:</w:t>
      </w:r>
      <w:r>
        <w:t xml:space="preserve"> </w:t>
      </w:r>
      <w:r>
        <w:t xml:space="preserve">no. Removed from FDA</w:t>
      </w:r>
      <w:r>
        <w:t xml:space="preserve"> </w:t>
      </w:r>
      <w:r>
        <w:t xml:space="preserve">“</w:t>
      </w:r>
      <w:r>
        <w:t xml:space="preserve">Category 2</w:t>
      </w:r>
      <w:r>
        <w:t xml:space="preserve">”</w:t>
      </w:r>
      <w:r>
        <w:t xml:space="preserve"> </w:t>
      </w:r>
      <w:r>
        <w:t xml:space="preserve">in April 2026; in July 2026, the advisory committee PCAC voted 7 to 5 for inclusion in the list of permitted compounding substances (as of October 2026, please check for updates).</w:t>
      </w:r>
    </w:p>
    <w:p>
      <w:pPr>
        <w:numPr>
          <w:ilvl w:val="0"/>
          <w:numId w:val="1226"/>
        </w:numPr>
        <w:pStyle w:val="Compact"/>
      </w:pPr>
      <w:r>
        <w:rPr>
          <w:bCs/>
          <w:b/>
        </w:rPr>
        <w:t xml:space="preserve">WADA:</w:t>
      </w:r>
      <w:r>
        <w:t xml:space="preserve"> </w:t>
      </w:r>
      <w:r>
        <w:rPr>
          <w:bCs/>
          <w:b/>
        </w:rPr>
        <w:t xml:space="preserve">prohibited</w:t>
      </w:r>
      <w:r>
        <w:t xml:space="preserve"> </w:t>
      </w:r>
      <w:r>
        <w:t xml:space="preserve">– explicitly named in category S4 (hormone and metabolic modulators) as an example of an AMPK activator, in and out of competition.</w:t>
      </w:r>
    </w:p>
    <w:p>
      <w:pPr>
        <w:numPr>
          <w:ilvl w:val="0"/>
          <w:numId w:val="1226"/>
        </w:numPr>
        <w:pStyle w:val="Compact"/>
      </w:pPr>
      <w:r>
        <w:rPr>
          <w:bCs/>
          <w:b/>
        </w:rPr>
        <w:t xml:space="preserve">Evidence level:</w:t>
      </w:r>
      <w:r>
        <w:t xml:space="preserve"> </w:t>
      </w:r>
      <w:r>
        <w:rPr>
          <w:bCs/>
          <w:b/>
        </w:rPr>
        <w:t xml:space="preserve">D</w:t>
      </w:r>
      <w:r>
        <w:t xml:space="preserve"> </w:t>
      </w:r>
      <w:r>
        <w:t xml:space="preserve">for administration as a drug – there are no published results of controlled studies in humans; in humans, only observational studies on endogenous levels exist.</w:t>
      </w:r>
    </w:p>
    <w:bookmarkEnd w:id="1814"/>
    <w:bookmarkStart w:id="1818" w:name="how-it-is-supposed-to-work-41"/>
    <w:p>
      <w:pPr>
        <w:pStyle w:val="Heading3"/>
      </w:pPr>
      <w:r>
        <w:t xml:space="preserve">How it is supposed to work</w:t>
      </w:r>
    </w:p>
    <w:p>
      <w:pPr>
        <w:pStyle w:val="FirstParagraph"/>
      </w:pPr>
      <w:r>
        <w:t xml:space="preserve">Mitochondria have their own small genome. For a long time, it was regarded as the</w:t>
      </w:r>
      <w:r>
        <w:t xml:space="preserve"> </w:t>
      </w:r>
      <w:r>
        <w:t xml:space="preserve">“</w:t>
      </w:r>
      <w:r>
        <w:t xml:space="preserve">blueprint</w:t>
      </w:r>
      <w:r>
        <w:t xml:space="preserve">”</w:t>
      </w:r>
      <w:r>
        <w:t xml:space="preserve"> </w:t>
      </w:r>
      <w:r>
        <w:t xml:space="preserve">for only 13 proteins of energy production. Since the early 2000s, additional short reading frames have been discovered in it that encode small signaling peptides – first humanin (see the next chapter), then MOTS-c.</w:t>
      </w:r>
    </w:p>
    <w:p>
      <w:pPr>
        <w:pStyle w:val="BodyText"/>
      </w:pPr>
      <w:r>
        <w:t xml:space="preserve">The first description showed in mice that MOTS-c acts mainly on skeletal muscle: it inhibits a metabolic pathway (the folate cycle and de novo purine synthesis), causing the messenger AICAR to accumulate and the enzyme AMPK to be activated – the same energy sensor targeted by exercise and the diabetes drug metformin. Mice injected with MOTS-c developed less obesity and less insulin resistance on a high-fat diet</w:t>
      </w:r>
      <w:r>
        <w:rPr>
          <w:rStyle w:val="FootnoteReference"/>
        </w:rPr>
        <w:footnoteReference w:id="1815"/>
      </w:r>
      <w:r>
        <w:t xml:space="preserve">. Under metabolic stress, MOTS-c migrated into the cell nucleus in cell cultures and influenced genes there</w:t>
      </w:r>
      <w:r>
        <w:rPr>
          <w:rStyle w:val="FootnoteReference"/>
        </w:rPr>
        <w:footnoteReference w:id="1816"/>
      </w:r>
      <w:r>
        <w:t xml:space="preserve">.</w:t>
      </w:r>
    </w:p>
    <w:p>
      <w:pPr>
        <w:pStyle w:val="BodyText"/>
      </w:pPr>
      <w:r>
        <w:t xml:space="preserve">In a second major paper, MOTS-c increased the physical performance of young, middle-aged and old mice; treatment started only in old age improved performance and</w:t>
      </w:r>
      <w:r>
        <w:t xml:space="preserve"> </w:t>
      </w:r>
      <w:r>
        <w:t xml:space="preserve">“</w:t>
      </w:r>
      <w:r>
        <w:t xml:space="preserve">healthy lifespan.</w:t>
      </w:r>
      <w:r>
        <w:t xml:space="preserve">”</w:t>
      </w:r>
      <w:r>
        <w:t xml:space="preserve"> </w:t>
      </w:r>
      <w:r>
        <w:t xml:space="preserve">In humans, MOTS-c levels in muscle and blood rose after physical exertion</w:t>
      </w:r>
      <w:r>
        <w:rPr>
          <w:rStyle w:val="FootnoteReference"/>
        </w:rPr>
        <w:footnoteReference w:id="1817"/>
      </w:r>
      <w:r>
        <w:t xml:space="preserve">.</w:t>
      </w:r>
    </w:p>
    <w:p>
      <w:pPr>
        <w:pStyle w:val="BodyText"/>
      </w:pPr>
      <w:r>
        <w:t xml:space="preserve">This gave rise to the image of MOTS-c as</w:t>
      </w:r>
      <w:r>
        <w:t xml:space="preserve"> </w:t>
      </w:r>
      <w:r>
        <w:t xml:space="preserve">“</w:t>
      </w:r>
      <w:r>
        <w:t xml:space="preserve">exercise in a syringe.</w:t>
      </w:r>
      <w:r>
        <w:t xml:space="preserve">”</w:t>
      </w:r>
      <w:r>
        <w:t xml:space="preserve"> </w:t>
      </w:r>
      <w:r>
        <w:t xml:space="preserve">But the order matters: the fact that exercise increases MOTS-c does not mean that MOTS-c injections reproduce the effects of exercise in humans.</w:t>
      </w:r>
    </w:p>
    <w:bookmarkEnd w:id="1818"/>
    <w:bookmarkStart w:id="1828" w:name="human-studies-41"/>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5 publications classified as human studies; none of them administered MOTS-c. In total, PubMed lists around 260 papers on</w:t>
      </w:r>
      <w:r>
        <w:t xml:space="preserve"> </w:t>
      </w:r>
      <w:r>
        <w:t xml:space="preserve">“</w:t>
      </w:r>
      <w:r>
        <w:t xml:space="preserve">MOTS-c,</w:t>
      </w:r>
      <w:r>
        <w:t xml:space="preserve">”</w:t>
      </w:r>
      <w:r>
        <w:t xml:space="preserve"> </w:t>
      </w:r>
      <w:r>
        <w:t xml:space="preserve">mostly animal and cell experiments and observational studies on endogenous blood levels. On ClinicalTrials.gov, the search yielded 5 entries. Four of them only measure levels or concern other questions. The fifth, a purported phase 2 trial of MOTS-c in prediabetes, comes from a sponsor under whose name apparently fictitious sample entries appear in the registry. We therefore do not consider it a genuine study and do not count it; a registered study with MOTS-c itself as the active substance is thus not documented. In addition, there is a completed study with the MOTS-c derivative CB4211</w:t>
      </w:r>
      <w:r>
        <w:rPr>
          <w:rStyle w:val="FootnoteReference"/>
        </w:rPr>
        <w:footnoteReference w:id="1819"/>
      </w:r>
      <w:r>
        <w:t xml:space="preserve">.</w:t>
      </w:r>
    </w:p>
    <w:p>
      <w:pPr>
        <w:pStyle w:val="BodyText"/>
      </w:pPr>
      <w:r>
        <w:t xml:space="preserve">For understanding this chapter, one distinction is central:</w:t>
      </w:r>
    </w:p>
    <w:p>
      <w:pPr>
        <w:numPr>
          <w:ilvl w:val="0"/>
          <w:numId w:val="1227"/>
        </w:numPr>
        <w:pStyle w:val="Compact"/>
      </w:pPr>
      <w:r>
        <w:rPr>
          <w:bCs/>
          <w:b/>
        </w:rPr>
        <w:t xml:space="preserve">Observational studies on endogenous levels:</w:t>
      </w:r>
      <w:r>
        <w:t xml:space="preserve"> </w:t>
      </w:r>
      <w:r>
        <w:t xml:space="preserve">These measure how much MOTS-c people have in their blood and relate it to diseases or behavior.</w:t>
      </w:r>
    </w:p>
    <w:p>
      <w:pPr>
        <w:numPr>
          <w:ilvl w:val="0"/>
          <w:numId w:val="1227"/>
        </w:numPr>
        <w:pStyle w:val="Compact"/>
      </w:pPr>
      <w:r>
        <w:rPr>
          <w:bCs/>
          <w:b/>
        </w:rPr>
        <w:t xml:space="preserve">Studies in which MOTS-c (or a derivative) is given as a drug:</w:t>
      </w:r>
      <w:r>
        <w:t xml:space="preserve"> </w:t>
      </w:r>
      <w:r>
        <w:t xml:space="preserve">Only these can show whether supplementation has an effect.</w:t>
      </w:r>
    </w:p>
    <w:p>
      <w:pPr>
        <w:pStyle w:val="FirstParagraph"/>
      </w:pPr>
      <w:r>
        <w:t xml:space="preserve">Results of the first kind are often presented on the internet as if they proved the effect of the second kind. That is a short circuit.</w:t>
      </w:r>
    </w:p>
    <w:bookmarkStart w:id="1825" w:name="endogenous-levels-observations"/>
    <w:p>
      <w:pPr>
        <w:pStyle w:val="Heading4"/>
      </w:pPr>
      <w:r>
        <w:t xml:space="preserve">1. Endogenous levels: observations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Du 2018, PMID 29691953</w:t>
            </w:r>
          </w:p>
        </w:tc>
        <w:tc>
          <w:tcPr/>
          <w:p>
            <w:pPr>
              <w:pStyle w:val="Compact"/>
              <w:jc w:val="left"/>
            </w:pPr>
            <w:r>
              <w:t xml:space="preserve">40 overweight children and adolescents, 57 controls, case-control study</w:t>
            </w:r>
          </w:p>
        </w:tc>
        <w:tc>
          <w:tcPr/>
          <w:p>
            <w:pPr>
              <w:pStyle w:val="Compact"/>
              <w:jc w:val="left"/>
            </w:pPr>
            <w:r>
              <w:t xml:space="preserve">cross-sectional</w:t>
            </w:r>
          </w:p>
        </w:tc>
        <w:tc>
          <w:tcPr/>
          <w:p>
            <w:pPr>
              <w:pStyle w:val="Compact"/>
              <w:jc w:val="left"/>
            </w:pPr>
            <w:r>
              <w:t xml:space="preserve">lower levels in overweight boys, not in girls</w:t>
            </w:r>
          </w:p>
        </w:tc>
      </w:tr>
      <w:tr>
        <w:tc>
          <w:tcPr/>
          <w:p>
            <w:pPr>
              <w:pStyle w:val="Compact"/>
              <w:jc w:val="left"/>
            </w:pPr>
            <w:r>
              <w:t xml:space="preserve">Kirik 2023, PMID 37750635</w:t>
            </w:r>
          </w:p>
        </w:tc>
        <w:tc>
          <w:tcPr/>
          <w:p>
            <w:pPr>
              <w:pStyle w:val="Compact"/>
              <w:jc w:val="left"/>
            </w:pPr>
            <w:r>
              <w:t xml:space="preserve">150 people with fatty liver, 84 healthy people</w:t>
            </w:r>
          </w:p>
        </w:tc>
        <w:tc>
          <w:tcPr/>
          <w:p>
            <w:pPr>
              <w:pStyle w:val="Compact"/>
              <w:jc w:val="left"/>
            </w:pPr>
            <w:r>
              <w:t xml:space="preserve">cross-sectional</w:t>
            </w:r>
          </w:p>
        </w:tc>
        <w:tc>
          <w:tcPr/>
          <w:p>
            <w:pPr>
              <w:pStyle w:val="Compact"/>
              <w:jc w:val="left"/>
            </w:pPr>
            <w:r>
              <w:t xml:space="preserve">lower levels in fatty liver and metabolic syndrome</w:t>
            </w:r>
          </w:p>
        </w:tc>
      </w:tr>
      <w:tr>
        <w:tc>
          <w:tcPr/>
          <w:p>
            <w:pPr>
              <w:pStyle w:val="Compact"/>
              <w:jc w:val="left"/>
            </w:pPr>
            <w:r>
              <w:t xml:space="preserve">Ikonomidis 2020, PMID 32052315</w:t>
            </w:r>
          </w:p>
        </w:tc>
        <w:tc>
          <w:tcPr/>
          <w:p>
            <w:pPr>
              <w:pStyle w:val="Compact"/>
              <w:jc w:val="left"/>
            </w:pPr>
            <w:r>
              <w:t xml:space="preserve">121 people with type 2 diabetes after vascular intervention</w:t>
            </w:r>
          </w:p>
        </w:tc>
        <w:tc>
          <w:tcPr/>
          <w:p>
            <w:pPr>
              <w:pStyle w:val="Compact"/>
              <w:jc w:val="left"/>
            </w:pPr>
            <w:r>
              <w:t xml:space="preserve">2 years</w:t>
            </w:r>
          </w:p>
        </w:tc>
        <w:tc>
          <w:tcPr/>
          <w:p>
            <w:pPr>
              <w:pStyle w:val="Compact"/>
              <w:jc w:val="left"/>
            </w:pPr>
            <w:r>
              <w:t xml:space="preserve">low MOTS-c (below 167 ng/mL) predicted cardiovascular events (relative risk 3.8)</w:t>
            </w:r>
          </w:p>
        </w:tc>
      </w:tr>
      <w:tr>
        <w:tc>
          <w:tcPr/>
          <w:p>
            <w:pPr>
              <w:pStyle w:val="Compact"/>
              <w:jc w:val="left"/>
            </w:pPr>
            <w:r>
              <w:t xml:space="preserve">von Walden 2021, PMID 34351816</w:t>
            </w:r>
          </w:p>
        </w:tc>
        <w:tc>
          <w:tcPr/>
          <w:p>
            <w:pPr>
              <w:pStyle w:val="Compact"/>
              <w:jc w:val="left"/>
            </w:pPr>
            <w:r>
              <w:t xml:space="preserve">30 people, endurance or strength training or control, randomized</w:t>
            </w:r>
          </w:p>
        </w:tc>
        <w:tc>
          <w:tcPr/>
          <w:p>
            <w:pPr>
              <w:pStyle w:val="Compact"/>
              <w:jc w:val="left"/>
            </w:pPr>
            <w:r>
              <w:t xml:space="preserve">single bout</w:t>
            </w:r>
          </w:p>
        </w:tc>
        <w:tc>
          <w:tcPr/>
          <w:p>
            <w:pPr>
              <w:pStyle w:val="Compact"/>
              <w:jc w:val="left"/>
            </w:pPr>
            <w:r>
              <w:t xml:space="preserve">humanin rose after endurance exercise, MOTS-c showed only a trend</w:t>
            </w:r>
          </w:p>
        </w:tc>
      </w:tr>
      <w:tr>
        <w:tc>
          <w:tcPr/>
          <w:p>
            <w:pPr>
              <w:pStyle w:val="Compact"/>
              <w:jc w:val="left"/>
            </w:pPr>
            <w:r>
              <w:t xml:space="preserve">Dieli-Conwright 2021, PMID 34413391</w:t>
            </w:r>
          </w:p>
        </w:tc>
        <w:tc>
          <w:tcPr/>
          <w:p>
            <w:pPr>
              <w:pStyle w:val="Compact"/>
              <w:jc w:val="left"/>
            </w:pPr>
            <w:r>
              <w:t xml:space="preserve">49 women after breast cancer, training or usual care, randomized</w:t>
            </w:r>
          </w:p>
        </w:tc>
        <w:tc>
          <w:tcPr/>
          <w:p>
            <w:pPr>
              <w:pStyle w:val="Compact"/>
              <w:jc w:val="left"/>
            </w:pPr>
            <w:r>
              <w:t xml:space="preserve">16 weeks</w:t>
            </w:r>
          </w:p>
        </w:tc>
        <w:tc>
          <w:tcPr/>
          <w:p>
            <w:pPr>
              <w:pStyle w:val="Compact"/>
              <w:jc w:val="left"/>
            </w:pPr>
            <w:r>
              <w:t xml:space="preserve">rise in MOTS-c in non-Hispanic white women, not in Hispanic women</w:t>
            </w:r>
          </w:p>
        </w:tc>
      </w:tr>
      <w:tr>
        <w:tc>
          <w:tcPr/>
          <w:p>
            <w:pPr>
              <w:pStyle w:val="Compact"/>
              <w:jc w:val="left"/>
            </w:pPr>
            <w:r>
              <w:t xml:space="preserve">Elhusseiny 2025, PMID 40674654</w:t>
            </w:r>
          </w:p>
        </w:tc>
        <w:tc>
          <w:tcPr/>
          <w:p>
            <w:pPr>
              <w:pStyle w:val="Compact"/>
              <w:jc w:val="left"/>
            </w:pPr>
            <w:r>
              <w:t xml:space="preserve">19 active men with immobilized lower leg, heat treatment or sham</w:t>
            </w:r>
          </w:p>
        </w:tc>
        <w:tc>
          <w:tcPr/>
          <w:p>
            <w:pPr>
              <w:pStyle w:val="Compact"/>
              <w:jc w:val="left"/>
            </w:pPr>
            <w:r>
              <w:t xml:space="preserve">2 weeks</w:t>
            </w:r>
          </w:p>
        </w:tc>
        <w:tc>
          <w:tcPr/>
          <w:p>
            <w:pPr>
              <w:pStyle w:val="Compact"/>
              <w:jc w:val="left"/>
            </w:pPr>
            <w:r>
              <w:t xml:space="preserve">heat increased MOTS-c in the blood</w:t>
            </w:r>
          </w:p>
        </w:tc>
      </w:tr>
    </w:tbl>
    <w:p>
      <w:pPr>
        <w:pStyle w:val="BodyText"/>
      </w:pPr>
      <w:r>
        <w:t xml:space="preserve">These studies show that low MOTS-c levels frequently go hand in hand with overweight, insulin resistance, fatty liver or vascular problems</w:t>
      </w:r>
      <w:r>
        <w:rPr>
          <w:rStyle w:val="FootnoteReference"/>
        </w:rPr>
        <w:footnoteReference w:id="1820"/>
      </w:r>
      <w:r>
        <w:t xml:space="preserve"> </w:t>
      </w:r>
      <w:r>
        <w:t xml:space="preserve">and that exercise or heat can raise the levels. What they do</w:t>
      </w:r>
      <w:r>
        <w:t xml:space="preserve"> </w:t>
      </w:r>
      <w:r>
        <w:rPr>
          <w:bCs/>
          <w:b/>
        </w:rPr>
        <w:t xml:space="preserve">not</w:t>
      </w:r>
      <w:r>
        <w:t xml:space="preserve"> </w:t>
      </w:r>
      <w:r>
        <w:t xml:space="preserve">show: that low levels cause the diseases, or that supplemental MOTS-c prevents them. It could just as well be the other way around – the disease lowers the level.</w:t>
      </w:r>
    </w:p>
    <w:p>
      <w:pPr>
        <w:pStyle w:val="BodyText"/>
      </w:pPr>
      <w:r>
        <w:t xml:space="preserve">Another difficulty is the measurement itself. The studies use different assays (ELISA) whose results differ widely: in children, mean values were around 470 to 560 ng/mL</w:t>
      </w:r>
      <w:r>
        <w:rPr>
          <w:rStyle w:val="FootnoteReference"/>
        </w:rPr>
        <w:footnoteReference w:id="1821"/>
      </w:r>
      <w:r>
        <w:t xml:space="preserve">, whereas in the diabetes study a value below 167 ng/mL was considered low</w:t>
      </w:r>
      <w:r>
        <w:rPr>
          <w:rStyle w:val="FootnoteReference"/>
        </w:rPr>
        <w:footnoteReference w:id="1822"/>
      </w:r>
      <w:r>
        <w:t xml:space="preserve">. In a study of breast cancer patients, even metformin – which acts on the same energy sensor – did not change the levels measured with a commercial assay</w:t>
      </w:r>
      <w:r>
        <w:rPr>
          <w:rStyle w:val="FootnoteReference"/>
        </w:rPr>
        <w:footnoteReference w:id="1823"/>
      </w:r>
      <w:r>
        <w:t xml:space="preserve">.</w:t>
      </w:r>
    </w:p>
    <w:p>
      <w:pPr>
        <w:pStyle w:val="BodyText"/>
      </w:pPr>
      <w:r>
        <w:rPr>
          <w:bCs/>
          <w:b/>
        </w:rPr>
        <w:t xml:space="preserve">Genetic evidence:</w:t>
      </w:r>
      <w:r>
        <w:t xml:space="preserve"> </w:t>
      </w:r>
      <w:r>
        <w:t xml:space="preserve">A variant in the mitochondrial genome found only in Asia changes one building block of MOTS-c (K14Q). In three cohorts with a combined 27,527 people, men with this variant more often had type 2 diabetes, especially if they were physically inactive. In mice, the altered MOTS-c form was less effective</w:t>
      </w:r>
      <w:r>
        <w:rPr>
          <w:rStyle w:val="FootnoteReference"/>
        </w:rPr>
        <w:footnoteReference w:id="1824"/>
      </w:r>
      <w:r>
        <w:t xml:space="preserve">. This is an interesting indication that MOTS-c could play a role in human metabolism – but not proof of the benefit of supplementation.</w:t>
      </w:r>
    </w:p>
    <w:bookmarkEnd w:id="1825"/>
    <w:bookmarkStart w:id="1827" w:name="administration-as-a-drug-cb4211"/>
    <w:p>
      <w:pPr>
        <w:pStyle w:val="Heading4"/>
      </w:pPr>
      <w:r>
        <w:t xml:space="preserve">2. Administration as a drug: CB4211</w:t>
      </w:r>
    </w:p>
    <w:p>
      <w:pPr>
        <w:pStyle w:val="FirstParagraph"/>
      </w:pPr>
      <w:r>
        <w:rPr>
          <w:bCs/>
          <w:b/>
        </w:rPr>
        <w:t xml:space="preserve">CB4211</w:t>
      </w:r>
      <w:r>
        <w:t xml:space="preserve"> </w:t>
      </w:r>
      <w:r>
        <w:t xml:space="preserve">is a derivative of MOTS-c developed by the company CohBar. The phase 1a/1b trial</w:t>
      </w:r>
      <w:r>
        <w:rPr>
          <w:rStyle w:val="FootnoteReference"/>
        </w:rPr>
        <w:footnoteReference w:id="1826"/>
      </w:r>
      <w:r>
        <w:t xml:space="preserve"> </w:t>
      </w:r>
      <w:r>
        <w:t xml:space="preserve">was randomized, double-blind and placebo-controlled and included 88 participants: healthy people received single injections or daily subcutaneous injections for seven days, and people with obesity and fatty liver for 28 days. Primary endpoints were safety and tolerability; secondary objectives included liver fat and body weight. The trial was completed in April 2021. No results have been posted in the registry, and our search did not find a publication in a scientific journal. In 2021, the company announced in a press release favorable changes in individual liver and blood glucose values with good tolerability; such announcements are not independently peer-reviewed. Further development in larger trials is not known.</w:t>
      </w:r>
    </w:p>
    <w:p>
      <w:pPr>
        <w:pStyle w:val="BodyText"/>
      </w:pPr>
      <w:r>
        <w:rPr>
          <w:bCs/>
          <w:b/>
        </w:rPr>
        <w:t xml:space="preserve">MOTS-c itself</w:t>
      </w:r>
      <w:r>
        <w:t xml:space="preserve">, according to our research, has not yet been given as a drug in any published or reliably registered human study. A registry entry describing such a phase 2 trial proved dubious (see above).</w:t>
      </w:r>
    </w:p>
    <w:p>
      <w:pPr>
        <w:pStyle w:val="BodyText"/>
      </w:pPr>
      <w:r>
        <w:t xml:space="preserve">Until then, the following applies: there are</w:t>
      </w:r>
      <w:r>
        <w:t xml:space="preserve"> </w:t>
      </w:r>
      <w:r>
        <w:rPr>
          <w:bCs/>
          <w:b/>
        </w:rPr>
        <w:t xml:space="preserve">no published data</w:t>
      </w:r>
      <w:r>
        <w:t xml:space="preserve"> </w:t>
      </w:r>
      <w:r>
        <w:t xml:space="preserve">on whether MOTS-c injections influence metabolism, performance or aging in humans.</w:t>
      </w:r>
    </w:p>
    <w:bookmarkEnd w:id="1827"/>
    <w:bookmarkEnd w:id="1828"/>
    <w:bookmarkStart w:id="1833" w:name="animal-and-laboratory-studies-41"/>
    <w:p>
      <w:pPr>
        <w:pStyle w:val="Heading3"/>
      </w:pPr>
      <w:r>
        <w:t xml:space="preserve">Animal and laboratory studies</w:t>
      </w:r>
    </w:p>
    <w:p>
      <w:pPr>
        <w:pStyle w:val="FirstParagraph"/>
      </w:pPr>
      <w:r>
        <w:t xml:space="preserve">Preclinical research is extensive and growing rapidly:</w:t>
      </w:r>
    </w:p>
    <w:p>
      <w:pPr>
        <w:numPr>
          <w:ilvl w:val="0"/>
          <w:numId w:val="1228"/>
        </w:numPr>
        <w:pStyle w:val="Compact"/>
      </w:pPr>
      <w:r>
        <w:rPr>
          <w:bCs/>
          <w:b/>
        </w:rPr>
        <w:t xml:space="preserve">Metabolism:</w:t>
      </w:r>
      <w:r>
        <w:t xml:space="preserve"> </w:t>
      </w:r>
      <w:r>
        <w:t xml:space="preserve">In mice, MOTS-c prevented diet-induced obesity and insulin resistance</w:t>
      </w:r>
      <w:r>
        <w:rPr>
          <w:rStyle w:val="FootnoteReference"/>
        </w:rPr>
        <w:footnoteReference w:id="1829"/>
      </w:r>
      <w:r>
        <w:t xml:space="preserve">.</w:t>
      </w:r>
    </w:p>
    <w:p>
      <w:pPr>
        <w:numPr>
          <w:ilvl w:val="0"/>
          <w:numId w:val="1228"/>
        </w:numPr>
        <w:pStyle w:val="Compact"/>
      </w:pPr>
      <w:r>
        <w:rPr>
          <w:bCs/>
          <w:b/>
        </w:rPr>
        <w:t xml:space="preserve">Muscle:</w:t>
      </w:r>
      <w:r>
        <w:t xml:space="preserve"> </w:t>
      </w:r>
      <w:r>
        <w:t xml:space="preserve">MOTS-c reduced the muscle-wasting messenger myostatin in obese mice; in humans, MOTS-c and myostatin levels in the blood were inversely related</w:t>
      </w:r>
      <w:r>
        <w:rPr>
          <w:rStyle w:val="FootnoteReference"/>
        </w:rPr>
        <w:footnoteReference w:id="1830"/>
      </w:r>
      <w:r>
        <w:t xml:space="preserve">.</w:t>
      </w:r>
    </w:p>
    <w:p>
      <w:pPr>
        <w:numPr>
          <w:ilvl w:val="0"/>
          <w:numId w:val="1228"/>
        </w:numPr>
        <w:pStyle w:val="Compact"/>
      </w:pPr>
      <w:r>
        <w:rPr>
          <w:bCs/>
          <w:b/>
        </w:rPr>
        <w:t xml:space="preserve">Performance and age:</w:t>
      </w:r>
      <w:r>
        <w:t xml:space="preserve"> </w:t>
      </w:r>
      <w:r>
        <w:t xml:space="preserve">MOTS-c increased the physical performance of mice of various ages</w:t>
      </w:r>
      <w:r>
        <w:rPr>
          <w:rStyle w:val="FootnoteReference"/>
        </w:rPr>
        <w:footnoteReference w:id="1831"/>
      </w:r>
      <w:r>
        <w:t xml:space="preserve">.</w:t>
      </w:r>
    </w:p>
    <w:p>
      <w:pPr>
        <w:numPr>
          <w:ilvl w:val="0"/>
          <w:numId w:val="1228"/>
        </w:numPr>
        <w:pStyle w:val="Compact"/>
      </w:pPr>
      <w:r>
        <w:rPr>
          <w:bCs/>
          <w:b/>
        </w:rPr>
        <w:t xml:space="preserve">Pancreas:</w:t>
      </w:r>
      <w:r>
        <w:t xml:space="preserve"> </w:t>
      </w:r>
      <w:r>
        <w:t xml:space="preserve">In mice, MOTS-c delayed the aging of insulin-producing cells and the onset of diabetes</w:t>
      </w:r>
      <w:r>
        <w:rPr>
          <w:rStyle w:val="FootnoteReference"/>
        </w:rPr>
        <w:footnoteReference w:id="1832"/>
      </w:r>
      <w:r>
        <w:t xml:space="preserve">.</w:t>
      </w:r>
    </w:p>
    <w:p>
      <w:pPr>
        <w:numPr>
          <w:ilvl w:val="0"/>
          <w:numId w:val="1228"/>
        </w:numPr>
        <w:pStyle w:val="Compact"/>
      </w:pPr>
      <w:r>
        <w:t xml:space="preserve">Numerous other papers, mainly from China, describe protective effects in models of lung, heart, liver, bone and kidney damage.</w:t>
      </w:r>
    </w:p>
    <w:p>
      <w:pPr>
        <w:pStyle w:val="FirstParagraph"/>
      </w:pPr>
      <w:r>
        <w:t xml:space="preserve">The abundance of positive animal studies is striking. It shows that MOTS-c is biologically active; it says little about efficacy and safety in humans.</w:t>
      </w:r>
    </w:p>
    <w:bookmarkEnd w:id="1833"/>
    <w:bookmarkStart w:id="1836" w:name="risks-and-side-effects-41"/>
    <w:p>
      <w:pPr>
        <w:pStyle w:val="Heading3"/>
      </w:pPr>
      <w:r>
        <w:t xml:space="preserve">Risks and side effects</w:t>
      </w:r>
    </w:p>
    <w:p>
      <w:pPr>
        <w:pStyle w:val="FirstParagraph"/>
      </w:pPr>
      <w:r>
        <w:rPr>
          <w:bCs/>
          <w:b/>
        </w:rPr>
        <w:t xml:space="preserve">Established:</w:t>
      </w:r>
      <w:r>
        <w:t xml:space="preserve"> </w:t>
      </w:r>
      <w:r>
        <w:t xml:space="preserve">There are no published safety data on the administration of MOTS-c to humans.</w:t>
      </w:r>
    </w:p>
    <w:p>
      <w:pPr>
        <w:pStyle w:val="BodyText"/>
      </w:pPr>
      <w:r>
        <w:rPr>
          <w:bCs/>
          <w:b/>
        </w:rPr>
        <w:t xml:space="preserve">Theoretical:</w:t>
      </w:r>
    </w:p>
    <w:p>
      <w:pPr>
        <w:numPr>
          <w:ilvl w:val="0"/>
          <w:numId w:val="1229"/>
        </w:numPr>
        <w:pStyle w:val="Compact"/>
      </w:pPr>
      <w:r>
        <w:rPr>
          <w:bCs/>
          <w:b/>
        </w:rPr>
        <w:t xml:space="preserve">Blood glucose:</w:t>
      </w:r>
      <w:r>
        <w:t xml:space="preserve"> </w:t>
      </w:r>
      <w:r>
        <w:t xml:space="preserve">A substance that increases insulin sensitivity could promote hypoglycemia in combination with diabetes medications.</w:t>
      </w:r>
    </w:p>
    <w:p>
      <w:pPr>
        <w:numPr>
          <w:ilvl w:val="0"/>
          <w:numId w:val="1229"/>
        </w:numPr>
        <w:pStyle w:val="Compact"/>
      </w:pPr>
      <w:r>
        <w:rPr>
          <w:bCs/>
          <w:b/>
        </w:rPr>
        <w:t xml:space="preserve">Cancer:</w:t>
      </w:r>
      <w:r>
        <w:t xml:space="preserve"> </w:t>
      </w:r>
      <w:r>
        <w:t xml:space="preserve">In laboratory studies, MOTS-c tended to slow cancer cells: it inhibited the growth of ovarian cancer cells</w:t>
      </w:r>
      <w:r>
        <w:rPr>
          <w:rStyle w:val="FootnoteReference"/>
        </w:rPr>
        <w:footnoteReference w:id="1834"/>
      </w:r>
      <w:r>
        <w:t xml:space="preserve"> </w:t>
      </w:r>
      <w:r>
        <w:t xml:space="preserve">and made liver cancer cells more susceptible to programmed cell death under oxygen deprivation</w:t>
      </w:r>
      <w:r>
        <w:rPr>
          <w:rStyle w:val="FootnoteReference"/>
        </w:rPr>
        <w:footnoteReference w:id="1835"/>
      </w:r>
      <w:r>
        <w:t xml:space="preserve">. Whether this applies in humans, and what effects years of supplementation with a metabolically active signaling molecule would have, has not been studied.</w:t>
      </w:r>
    </w:p>
    <w:p>
      <w:pPr>
        <w:numPr>
          <w:ilvl w:val="0"/>
          <w:numId w:val="1229"/>
        </w:numPr>
        <w:pStyle w:val="Compact"/>
      </w:pPr>
      <w:r>
        <w:rPr>
          <w:bCs/>
          <w:b/>
        </w:rPr>
        <w:t xml:space="preserve">Immune reactions:</w:t>
      </w:r>
      <w:r>
        <w:t xml:space="preserve"> </w:t>
      </w:r>
      <w:r>
        <w:t xml:space="preserve">Repeated injections of a peptide can lead to the formation of antibodies; this has not been studied for MOTS-c.</w:t>
      </w:r>
    </w:p>
    <w:p>
      <w:pPr>
        <w:pStyle w:val="FirstParagraph"/>
      </w:pPr>
      <w:r>
        <w:rPr>
          <w:bCs/>
          <w:b/>
        </w:rPr>
        <w:t xml:space="preserve">Gray market and sport:</w:t>
      </w:r>
      <w:r>
        <w:t xml:space="preserve"> </w:t>
      </w:r>
      <w:r>
        <w:t xml:space="preserve">MOTS-c is one of the most popular</w:t>
      </w:r>
      <w:r>
        <w:t xml:space="preserve"> </w:t>
      </w:r>
      <w:r>
        <w:t xml:space="preserve">“</w:t>
      </w:r>
      <w:r>
        <w:t xml:space="preserve">longevity</w:t>
      </w:r>
      <w:r>
        <w:t xml:space="preserve">”</w:t>
      </w:r>
      <w:r>
        <w:t xml:space="preserve"> </w:t>
      </w:r>
      <w:r>
        <w:t xml:space="preserve">and fitness peptides on the internet and is sold as powder for injection. Purity and content are unverified. For athletes, its use is explicitly prohibited (WADA S4).</w:t>
      </w:r>
    </w:p>
    <w:bookmarkEnd w:id="1836"/>
    <w:bookmarkStart w:id="1837" w:name="legal-status-41"/>
    <w:p>
      <w:pPr>
        <w:pStyle w:val="Heading3"/>
      </w:pPr>
      <w:r>
        <w:t xml:space="preserve">Legal status</w:t>
      </w:r>
    </w:p>
    <w:p>
      <w:pPr>
        <w:numPr>
          <w:ilvl w:val="0"/>
          <w:numId w:val="1230"/>
        </w:numPr>
        <w:pStyle w:val="Compact"/>
      </w:pPr>
      <w:r>
        <w:rPr>
          <w:bCs/>
          <w:b/>
        </w:rPr>
        <w:t xml:space="preserve">EU / Austria / Germany:</w:t>
      </w:r>
      <w:r>
        <w:t xml:space="preserve"> </w:t>
      </w:r>
      <w:r>
        <w:t xml:space="preserve">not approved; as a substance with a pharmacological effect, MOTS-c is considered a medicine, and selling it for use in humans is not permitted.</w:t>
      </w:r>
    </w:p>
    <w:p>
      <w:pPr>
        <w:numPr>
          <w:ilvl w:val="0"/>
          <w:numId w:val="1230"/>
        </w:numPr>
        <w:pStyle w:val="Compact"/>
      </w:pPr>
      <w:r>
        <w:rPr>
          <w:bCs/>
          <w:b/>
        </w:rPr>
        <w:t xml:space="preserve">USA:</w:t>
      </w:r>
      <w:r>
        <w:t xml:space="preserve"> </w:t>
      </w:r>
      <w:r>
        <w:t xml:space="preserve">not approved. Following the positive PCAC vote in July 2026, MOTS-c could in future be used in pharmacy compounding if the FDA follows it; the decision was pending at the time of going to press (as of October 2026, please check for updates).</w:t>
      </w:r>
    </w:p>
    <w:p>
      <w:pPr>
        <w:numPr>
          <w:ilvl w:val="0"/>
          <w:numId w:val="1230"/>
        </w:numPr>
        <w:pStyle w:val="Compact"/>
      </w:pPr>
      <w:r>
        <w:rPr>
          <w:bCs/>
          <w:b/>
        </w:rPr>
        <w:t xml:space="preserve">Sport:</w:t>
      </w:r>
      <w:r>
        <w:t xml:space="preserve"> </w:t>
      </w:r>
      <w:r>
        <w:t xml:space="preserve">prohibited under the WADA list, category S4 (as of 2026, please check for updates).</w:t>
      </w:r>
    </w:p>
    <w:bookmarkEnd w:id="1837"/>
    <w:bookmarkStart w:id="1840" w:name="ongoing-studies-and-outlook-41"/>
    <w:p>
      <w:pPr>
        <w:pStyle w:val="Heading3"/>
      </w:pPr>
      <w:r>
        <w:t xml:space="preserve">Ongoing studies and outlook</w:t>
      </w:r>
    </w:p>
    <w:p>
      <w:pPr>
        <w:pStyle w:val="FirstParagraph"/>
      </w:pPr>
      <w:r>
        <w:rPr>
          <w:bCs/>
          <w:b/>
        </w:rPr>
        <w:t xml:space="preserve">Established (registered studies, as of October 2026):</w:t>
      </w:r>
    </w:p>
    <w:p>
      <w:pPr>
        <w:numPr>
          <w:ilvl w:val="0"/>
          <w:numId w:val="1231"/>
        </w:numPr>
        <w:pStyle w:val="Compact"/>
      </w:pPr>
      <w:r>
        <w:t xml:space="preserve">There is no reliably registered study in which MOTS-c is given as a drug.</w:t>
      </w:r>
    </w:p>
    <w:p>
      <w:pPr>
        <w:numPr>
          <w:ilvl w:val="0"/>
          <w:numId w:val="1231"/>
        </w:numPr>
        <w:pStyle w:val="Compact"/>
      </w:pPr>
      <w:r>
        <w:t xml:space="preserve">Several observational studies measure MOTS-c levels, for example in kidney transplantation</w:t>
      </w:r>
      <w:r>
        <w:rPr>
          <w:rStyle w:val="FootnoteReference"/>
        </w:rPr>
        <w:footnoteReference w:id="1838"/>
      </w:r>
      <w:r>
        <w:t xml:space="preserve"> </w:t>
      </w:r>
      <w:r>
        <w:t xml:space="preserve">or in diabetes under different medications</w:t>
      </w:r>
      <w:r>
        <w:rPr>
          <w:rStyle w:val="FootnoteReference"/>
        </w:rPr>
        <w:footnoteReference w:id="1839"/>
      </w:r>
      <w:r>
        <w:t xml:space="preserve">.</w:t>
      </w:r>
    </w:p>
    <w:p>
      <w:pPr>
        <w:pStyle w:val="FirstParagraph"/>
      </w:pPr>
      <w:r>
        <w:rPr>
          <w:bCs/>
          <w:b/>
        </w:rPr>
        <w:t xml:space="preserve">Assessment:</w:t>
      </w:r>
      <w:r>
        <w:t xml:space="preserve"> </w:t>
      </w:r>
      <w:r>
        <w:t xml:space="preserve">The central question – does supplemental MOTS-c improve insulin sensitivity in humans? – has not yet been tested by anyone in a published study. That would first require a controlled phase 1/2 trial with published results. Until then, every statement about an effect in humans rests on animal experiments and level measurements.</w:t>
      </w:r>
    </w:p>
    <w:bookmarkEnd w:id="1840"/>
    <w:bookmarkStart w:id="1841" w:name="conclusion-41"/>
    <w:p>
      <w:pPr>
        <w:pStyle w:val="Heading3"/>
      </w:pPr>
      <w:r>
        <w:t xml:space="preserve">Conclusion</w:t>
      </w:r>
    </w:p>
    <w:p>
      <w:pPr>
        <w:pStyle w:val="FirstParagraph"/>
      </w:pPr>
      <w:r>
        <w:t xml:space="preserve">MOTS-c is an endogenous peptide encoded in the mitochondrial genome that improved metabolism and performance in mice and rises in humans after exercise. Observational studies show lower levels in overweight, fatty liver and vascular disease but prove neither causation nor a benefit of supplementation. The only completed study with a MOTS-c derivative (CB4211) has not been published in a scientific journal, and there is no published human study with MOTS-c itself. The data are not sufficient to assess benefit or safety in humans; in sport, MOTS-c is prohibited.</w:t>
      </w:r>
    </w:p>
    <w:bookmarkEnd w:id="1841"/>
    <w:bookmarkEnd w:id="1842"/>
    <w:bookmarkStart w:id="1865" w:name="humanin"/>
    <w:p>
      <w:pPr>
        <w:pStyle w:val="Heading2"/>
      </w:pPr>
      <w:r>
        <w:t xml:space="preserve">Humanin</w:t>
      </w:r>
    </w:p>
    <w:bookmarkStart w:id="1843" w:name="profile-42"/>
    <w:p>
      <w:pPr>
        <w:pStyle w:val="Heading3"/>
      </w:pPr>
      <w:r>
        <w:t xml:space="preserve">Profile</w:t>
      </w:r>
    </w:p>
    <w:p>
      <w:pPr>
        <w:numPr>
          <w:ilvl w:val="0"/>
          <w:numId w:val="1232"/>
        </w:numPr>
        <w:pStyle w:val="Compact"/>
      </w:pPr>
      <w:r>
        <w:rPr>
          <w:bCs/>
          <w:b/>
        </w:rPr>
        <w:t xml:space="preserve">Type and structure:</w:t>
      </w:r>
      <w:r>
        <w:t xml:space="preserve"> </w:t>
      </w:r>
      <w:r>
        <w:t xml:space="preserve">endogenous peptide of 24 amino acids. On the gray market and in research, the modified form</w:t>
      </w:r>
      <w:r>
        <w:t xml:space="preserve"> </w:t>
      </w:r>
      <w:r>
        <w:rPr>
          <w:bCs/>
          <w:b/>
        </w:rPr>
        <w:t xml:space="preserve">HNG</w:t>
      </w:r>
      <w:r>
        <w:t xml:space="preserve"> </w:t>
      </w:r>
      <w:r>
        <w:t xml:space="preserve">(humanin-G, also S14G-humanin) is mostly used, in which serine at position 14 is replaced by glycine; it is considerably more potent in laboratory experiments.</w:t>
      </w:r>
    </w:p>
    <w:p>
      <w:pPr>
        <w:numPr>
          <w:ilvl w:val="0"/>
          <w:numId w:val="1232"/>
        </w:numPr>
        <w:pStyle w:val="Compact"/>
      </w:pPr>
      <w:r>
        <w:rPr>
          <w:bCs/>
          <w:b/>
        </w:rPr>
        <w:t xml:space="preserve">Origin:</w:t>
      </w:r>
      <w:r>
        <w:t xml:space="preserve"> </w:t>
      </w:r>
      <w:r>
        <w:t xml:space="preserve">discovered in 2001 by Japanese researchers while searching brain tissue from a person with Alzheimer’s disease for factors that protect nerve cells from dying – hence the name. It is encoded in the genome of the mitochondria; similar segments also exist in the nuclear genome.</w:t>
      </w:r>
    </w:p>
    <w:p>
      <w:pPr>
        <w:numPr>
          <w:ilvl w:val="0"/>
          <w:numId w:val="1232"/>
        </w:numPr>
        <w:pStyle w:val="Compact"/>
      </w:pPr>
      <w:r>
        <w:rPr>
          <w:bCs/>
          <w:b/>
        </w:rPr>
        <w:t xml:space="preserve">Mechanism of action:</w:t>
      </w:r>
      <w:r>
        <w:t xml:space="preserve"> </w:t>
      </w:r>
      <w:r>
        <w:t xml:space="preserve">a</w:t>
      </w:r>
      <w:r>
        <w:t xml:space="preserve"> </w:t>
      </w:r>
      <w:r>
        <w:t xml:space="preserve">“</w:t>
      </w:r>
      <w:r>
        <w:t xml:space="preserve">mitokine</w:t>
      </w:r>
      <w:r>
        <w:t xml:space="preserve">”</w:t>
      </w:r>
      <w:r>
        <w:t xml:space="preserve"> </w:t>
      </w:r>
      <w:r>
        <w:t xml:space="preserve">(signaling molecule of the mitochondria) said to protect cells from programmed cell death. Among other things, it binds to a receptor complex of the CNTF receptor, WSX-1 and gp130 on the cell surface.</w:t>
      </w:r>
    </w:p>
    <w:p>
      <w:pPr>
        <w:numPr>
          <w:ilvl w:val="0"/>
          <w:numId w:val="1232"/>
        </w:numPr>
        <w:pStyle w:val="Compact"/>
      </w:pPr>
      <w:r>
        <w:rPr>
          <w:bCs/>
          <w:b/>
        </w:rPr>
        <w:t xml:space="preserve">EU approval:</w:t>
      </w:r>
      <w:r>
        <w:t xml:space="preserve"> </w:t>
      </w:r>
      <w:r>
        <w:t xml:space="preserve">no.</w:t>
      </w:r>
    </w:p>
    <w:p>
      <w:pPr>
        <w:numPr>
          <w:ilvl w:val="0"/>
          <w:numId w:val="1232"/>
        </w:numPr>
        <w:pStyle w:val="Compact"/>
      </w:pPr>
      <w:r>
        <w:rPr>
          <w:bCs/>
          <w:b/>
        </w:rPr>
        <w:t xml:space="preserve">US approval:</w:t>
      </w:r>
      <w:r>
        <w:t xml:space="preserve"> </w:t>
      </w:r>
      <w:r>
        <w:t xml:space="preserve">no.</w:t>
      </w:r>
    </w:p>
    <w:p>
      <w:pPr>
        <w:numPr>
          <w:ilvl w:val="0"/>
          <w:numId w:val="1232"/>
        </w:numPr>
        <w:pStyle w:val="Compact"/>
      </w:pPr>
      <w:r>
        <w:rPr>
          <w:bCs/>
          <w:b/>
        </w:rPr>
        <w:t xml:space="preserve">WADA:</w:t>
      </w:r>
      <w:r>
        <w:t xml:space="preserve"> </w:t>
      </w:r>
      <w:r>
        <w:t xml:space="preserve">not listed by name; as a substance not approved anywhere, humanin or HNG falls in our assessment under the catch-all category S0.</w:t>
      </w:r>
    </w:p>
    <w:p>
      <w:pPr>
        <w:numPr>
          <w:ilvl w:val="0"/>
          <w:numId w:val="1232"/>
        </w:numPr>
        <w:pStyle w:val="Compact"/>
      </w:pPr>
      <w:r>
        <w:rPr>
          <w:bCs/>
          <w:b/>
        </w:rPr>
        <w:t xml:space="preserve">Evidence level:</w:t>
      </w:r>
      <w:r>
        <w:t xml:space="preserve"> </w:t>
      </w:r>
      <w:r>
        <w:rPr>
          <w:bCs/>
          <w:b/>
        </w:rPr>
        <w:t xml:space="preserve">D</w:t>
      </w:r>
      <w:r>
        <w:t xml:space="preserve"> </w:t>
      </w:r>
      <w:r>
        <w:t xml:space="preserve">for administration as a drug – not a single study in which humans received humanin or HNG; in humans, there are only measurements of endogenous levels.</w:t>
      </w:r>
    </w:p>
    <w:bookmarkEnd w:id="1843"/>
    <w:bookmarkStart w:id="1847" w:name="how-it-is-supposed-to-work-42"/>
    <w:p>
      <w:pPr>
        <w:pStyle w:val="Heading3"/>
      </w:pPr>
      <w:r>
        <w:t xml:space="preserve">How it is supposed to work</w:t>
      </w:r>
    </w:p>
    <w:p>
      <w:pPr>
        <w:pStyle w:val="FirstParagraph"/>
      </w:pPr>
      <w:r>
        <w:t xml:space="preserve">In 2001, the discoverers searched a gene library from brain tissue for segments that protect nerve cells from the toxic effects of Alzheimer’s genes. They found a short peptide that, in cell cultures, protected nerve cells from numerous types of damage typical of Alzheimer’s – against amyloid-beta and against the effects of several hereditary Alzheimer’s mutations, but not against other toxins such as glutamate or prion fragments</w:t>
      </w:r>
      <w:r>
        <w:rPr>
          <w:rStyle w:val="FootnoteReference"/>
        </w:rPr>
        <w:footnoteReference w:id="1844"/>
      </w:r>
      <w:r>
        <w:t xml:space="preserve">. The variant HNG was more effective than other protective factors tested.</w:t>
      </w:r>
    </w:p>
    <w:p>
      <w:pPr>
        <w:pStyle w:val="BodyText"/>
      </w:pPr>
      <w:r>
        <w:t xml:space="preserve">The same group later showed that humanin binds to a receptor complex belonging to the cytokine receptor family (CNTF receptor, WSX-1 and gp130) and acts via the signaling molecule STAT3</w:t>
      </w:r>
      <w:r>
        <w:rPr>
          <w:rStyle w:val="FootnoteReference"/>
        </w:rPr>
        <w:footnoteReference w:id="1845"/>
      </w:r>
      <w:r>
        <w:t xml:space="preserve">. In addition, laboratory studies describe binding to proteins that control cell death and to the growth factor binding partner IGFBP-3.</w:t>
      </w:r>
    </w:p>
    <w:p>
      <w:pPr>
        <w:pStyle w:val="BodyText"/>
      </w:pPr>
      <w:r>
        <w:t xml:space="preserve">A special feature: like MOTS-c (see the previous chapter), humanin is encoded in the genome of the mitochondria. These</w:t>
      </w:r>
      <w:r>
        <w:t xml:space="preserve"> </w:t>
      </w:r>
      <w:r>
        <w:t xml:space="preserve">“</w:t>
      </w:r>
      <w:r>
        <w:t xml:space="preserve">mitochondrial peptides</w:t>
      </w:r>
      <w:r>
        <w:t xml:space="preserve">”</w:t>
      </w:r>
      <w:r>
        <w:t xml:space="preserve"> </w:t>
      </w:r>
      <w:r>
        <w:t xml:space="preserve">are regarded as a new signaling level through which mitochondria communicate with the rest of the body</w:t>
      </w:r>
      <w:r>
        <w:rPr>
          <w:rStyle w:val="FootnoteReference"/>
        </w:rPr>
        <w:footnoteReference w:id="1846"/>
      </w:r>
      <w:r>
        <w:t xml:space="preserve">.</w:t>
      </w:r>
    </w:p>
    <w:bookmarkEnd w:id="1847"/>
    <w:bookmarkStart w:id="1851" w:name="human-studies-42"/>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8 publications classified as human studies; in none of them was humanin administered. They examine how endogenous levels change with training, oxygen therapy or dietary supplements, or concern patients’ cells in the laboratory. In total, PubMed lists around 550 papers on humanin. On ClinicalTrials.gov, 3 studies are registered, all observational studies on humanin levels (in heart surgery, acute kidney failure and kidney transplantation).</w:t>
      </w:r>
    </w:p>
    <w:bookmarkStart w:id="1849" w:name="levels-and-age"/>
    <w:p>
      <w:pPr>
        <w:pStyle w:val="Heading4"/>
      </w:pPr>
      <w:r>
        <w:t xml:space="preserve">Levels and 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Lee 2014, PMID 25040290</w:t>
            </w:r>
          </w:p>
        </w:tc>
        <w:tc>
          <w:tcPr/>
          <w:p>
            <w:pPr>
              <w:pStyle w:val="Compact"/>
              <w:jc w:val="left"/>
            </w:pPr>
            <w:r>
              <w:t xml:space="preserve">mice and humans, observation and hormone administration</w:t>
            </w:r>
          </w:p>
        </w:tc>
        <w:tc>
          <w:tcPr/>
          <w:p>
            <w:pPr>
              <w:pStyle w:val="Compact"/>
              <w:jc w:val="left"/>
            </w:pPr>
            <w:r>
              <w:t xml:space="preserve">–</w:t>
            </w:r>
          </w:p>
        </w:tc>
        <w:tc>
          <w:tcPr/>
          <w:p>
            <w:pPr>
              <w:pStyle w:val="Compact"/>
              <w:jc w:val="left"/>
            </w:pPr>
            <w:r>
              <w:t xml:space="preserve">humanin levels decline with age; growth hormone and IGF-1 lowered them in mice and humans</w:t>
            </w:r>
          </w:p>
        </w:tc>
      </w:tr>
      <w:tr>
        <w:tc>
          <w:tcPr/>
          <w:p>
            <w:pPr>
              <w:pStyle w:val="Compact"/>
              <w:jc w:val="left"/>
            </w:pPr>
            <w:r>
              <w:t xml:space="preserve">Yen 2020, PMID 32575074</w:t>
            </w:r>
          </w:p>
        </w:tc>
        <w:tc>
          <w:tcPr/>
          <w:p>
            <w:pPr>
              <w:pStyle w:val="Compact"/>
              <w:jc w:val="left"/>
            </w:pPr>
            <w:r>
              <w:t xml:space="preserve">children of centenarians and comparison subjects; animal models</w:t>
            </w:r>
          </w:p>
        </w:tc>
        <w:tc>
          <w:tcPr/>
          <w:p>
            <w:pPr>
              <w:pStyle w:val="Compact"/>
              <w:jc w:val="left"/>
            </w:pPr>
            <w:r>
              <w:t xml:space="preserve">cross-sectional</w:t>
            </w:r>
          </w:p>
        </w:tc>
        <w:tc>
          <w:tcPr/>
          <w:p>
            <w:pPr>
              <w:pStyle w:val="Compact"/>
              <w:jc w:val="left"/>
            </w:pPr>
            <w:r>
              <w:t xml:space="preserve">markedly higher levels in children of centenarians; lower in Alzheimer’s and MELAS</w:t>
            </w:r>
          </w:p>
        </w:tc>
      </w:tr>
      <w:tr>
        <w:tc>
          <w:tcPr/>
          <w:p>
            <w:pPr>
              <w:pStyle w:val="Compact"/>
              <w:jc w:val="left"/>
            </w:pPr>
            <w:r>
              <w:t xml:space="preserve">Miller 2024, PMID 38520065</w:t>
            </w:r>
          </w:p>
        </w:tc>
        <w:tc>
          <w:tcPr/>
          <w:p>
            <w:pPr>
              <w:pStyle w:val="Compact"/>
              <w:jc w:val="left"/>
            </w:pPr>
            <w:r>
              <w:t xml:space="preserve">centenarians with the Alzheimer’s risk gene APOE4; mouse model</w:t>
            </w:r>
          </w:p>
        </w:tc>
        <w:tc>
          <w:tcPr/>
          <w:p>
            <w:pPr>
              <w:pStyle w:val="Compact"/>
              <w:jc w:val="left"/>
            </w:pPr>
            <w:r>
              <w:t xml:space="preserve">genetic analysis</w:t>
            </w:r>
          </w:p>
        </w:tc>
        <w:tc>
          <w:tcPr/>
          <w:p>
            <w:pPr>
              <w:pStyle w:val="Compact"/>
              <w:jc w:val="left"/>
            </w:pPr>
            <w:r>
              <w:t xml:space="preserve">rare humanin variant P3S more frequent in long-lived APOE4 carriers</w:t>
            </w:r>
          </w:p>
        </w:tc>
      </w:tr>
      <w:tr>
        <w:tc>
          <w:tcPr/>
          <w:p>
            <w:pPr>
              <w:pStyle w:val="Compact"/>
              <w:jc w:val="left"/>
            </w:pPr>
            <w:r>
              <w:t xml:space="preserve">Gidlund 2016, PMID 27923980</w:t>
            </w:r>
          </w:p>
        </w:tc>
        <w:tc>
          <w:tcPr/>
          <w:p>
            <w:pPr>
              <w:pStyle w:val="Compact"/>
              <w:jc w:val="left"/>
            </w:pPr>
            <w:r>
              <w:t xml:space="preserve">55 men with impaired glucose metabolism, strength training, Nordic walking or control, randomized</w:t>
            </w:r>
          </w:p>
        </w:tc>
        <w:tc>
          <w:tcPr/>
          <w:p>
            <w:pPr>
              <w:pStyle w:val="Compact"/>
              <w:jc w:val="left"/>
            </w:pPr>
            <w:r>
              <w:t xml:space="preserve">12 weeks</w:t>
            </w:r>
          </w:p>
        </w:tc>
        <w:tc>
          <w:tcPr/>
          <w:p>
            <w:pPr>
              <w:pStyle w:val="Compact"/>
              <w:jc w:val="left"/>
            </w:pPr>
            <w:r>
              <w:t xml:space="preserve">humanin in muscle 35% higher after strength training, unchanged in blood</w:t>
            </w:r>
          </w:p>
        </w:tc>
      </w:tr>
      <w:tr>
        <w:tc>
          <w:tcPr/>
          <w:p>
            <w:pPr>
              <w:pStyle w:val="Compact"/>
              <w:jc w:val="left"/>
            </w:pPr>
            <w:r>
              <w:t xml:space="preserve">von Walden 2021, PMID 34351816</w:t>
            </w:r>
          </w:p>
        </w:tc>
        <w:tc>
          <w:tcPr/>
          <w:p>
            <w:pPr>
              <w:pStyle w:val="Compact"/>
              <w:jc w:val="left"/>
            </w:pPr>
            <w:r>
              <w:t xml:space="preserve">30 people, one endurance or strength session or control, randomized</w:t>
            </w:r>
          </w:p>
        </w:tc>
        <w:tc>
          <w:tcPr/>
          <w:p>
            <w:pPr>
              <w:pStyle w:val="Compact"/>
              <w:jc w:val="left"/>
            </w:pPr>
            <w:r>
              <w:t xml:space="preserve">single session</w:t>
            </w:r>
          </w:p>
        </w:tc>
        <w:tc>
          <w:tcPr/>
          <w:p>
            <w:pPr>
              <w:pStyle w:val="Compact"/>
              <w:jc w:val="left"/>
            </w:pPr>
            <w:r>
              <w:t xml:space="preserve">humanin in blood elevated after endurance exercise</w:t>
            </w:r>
          </w:p>
        </w:tc>
      </w:tr>
      <w:tr>
        <w:tc>
          <w:tcPr/>
          <w:p>
            <w:pPr>
              <w:pStyle w:val="Compact"/>
              <w:jc w:val="left"/>
            </w:pPr>
            <w:r>
              <w:t xml:space="preserve">Xu 2019, PMID 31134827</w:t>
            </w:r>
          </w:p>
        </w:tc>
        <w:tc>
          <w:tcPr/>
          <w:p>
            <w:pPr>
              <w:pStyle w:val="Compact"/>
              <w:jc w:val="left"/>
            </w:pPr>
            <w:r>
              <w:t xml:space="preserve">158 people with vascular dementia, hyperbaric oxygen therapy or standard care</w:t>
            </w:r>
          </w:p>
        </w:tc>
        <w:tc>
          <w:tcPr/>
          <w:p>
            <w:pPr>
              <w:pStyle w:val="Compact"/>
              <w:jc w:val="left"/>
            </w:pPr>
            <w:r>
              <w:t xml:space="preserve">12 weeks</w:t>
            </w:r>
          </w:p>
        </w:tc>
        <w:tc>
          <w:tcPr/>
          <w:p>
            <w:pPr>
              <w:pStyle w:val="Compact"/>
              <w:jc w:val="left"/>
            </w:pPr>
            <w:r>
              <w:t xml:space="preserve">higher humanin levels and MMSE scores with hyperbaric therapy</w:t>
            </w:r>
          </w:p>
        </w:tc>
      </w:tr>
    </w:tbl>
    <w:p>
      <w:pPr>
        <w:pStyle w:val="BodyText"/>
      </w:pPr>
      <w:r>
        <w:t xml:space="preserve">The observations form a coherent picture: humanin levels decline with age, are higher in children of very old people, lower in some diseases, and rise with exercise. The connection with the growth hormone system is interesting: growth hormone and IGF-1 lowered humanin levels in mice and humans, and long-lived mice with growth hormone deficiency had elevated levels</w:t>
      </w:r>
      <w:r>
        <w:rPr>
          <w:rStyle w:val="FootnoteReference"/>
        </w:rPr>
        <w:footnoteReference w:id="1848"/>
      </w:r>
      <w:r>
        <w:t xml:space="preserve">. This is noteworthy because growth hormone releasers are frequently offered on the same gray market (see Part II · C).</w:t>
      </w:r>
    </w:p>
    <w:p>
      <w:pPr>
        <w:pStyle w:val="BodyText"/>
      </w:pPr>
      <w:r>
        <w:t xml:space="preserve">But here too: a level associated with health is not proof that supplementation makes people healthier. Humanin could just as well be an accompanying sign of healthy mitochondria without itself being the cause.</w:t>
      </w:r>
    </w:p>
    <w:bookmarkEnd w:id="1849"/>
    <w:bookmarkStart w:id="1850" w:name="administration-as-a-drug"/>
    <w:p>
      <w:pPr>
        <w:pStyle w:val="Heading4"/>
      </w:pPr>
      <w:r>
        <w:t xml:space="preserve">Administration as a drug</w:t>
      </w:r>
    </w:p>
    <w:p>
      <w:pPr>
        <w:pStyle w:val="FirstParagraph"/>
      </w:pPr>
      <w:r>
        <w:t xml:space="preserve">There is no published study and no registry entry in which humans received humanin or HNG (search October 2026). No case reports of side effects after self-administration were found either.</w:t>
      </w:r>
    </w:p>
    <w:bookmarkEnd w:id="1850"/>
    <w:bookmarkEnd w:id="1851"/>
    <w:bookmarkStart w:id="1857" w:name="animal-and-laboratory-studies-42"/>
    <w:p>
      <w:pPr>
        <w:pStyle w:val="Heading3"/>
      </w:pPr>
      <w:r>
        <w:t xml:space="preserve">Animal and laboratory studies</w:t>
      </w:r>
    </w:p>
    <w:p>
      <w:pPr>
        <w:pStyle w:val="FirstParagraph"/>
      </w:pPr>
      <w:r>
        <w:t xml:space="preserve">The preclinical literature is extensive:</w:t>
      </w:r>
    </w:p>
    <w:p>
      <w:pPr>
        <w:numPr>
          <w:ilvl w:val="0"/>
          <w:numId w:val="1233"/>
        </w:numPr>
        <w:pStyle w:val="Compact"/>
      </w:pPr>
      <w:r>
        <w:rPr>
          <w:bCs/>
          <w:b/>
        </w:rPr>
        <w:t xml:space="preserve">Lifespan:</w:t>
      </w:r>
      <w:r>
        <w:t xml:space="preserve"> </w:t>
      </w:r>
      <w:r>
        <w:t xml:space="preserve">In roundworms, increased humanin production extended lifespan; in middle-aged mice, HNG improved metabolic values and lowered inflammatory markers</w:t>
      </w:r>
      <w:r>
        <w:rPr>
          <w:rStyle w:val="FootnoteReference"/>
        </w:rPr>
        <w:footnoteReference w:id="1852"/>
      </w:r>
      <w:r>
        <w:t xml:space="preserve">.</w:t>
      </w:r>
    </w:p>
    <w:p>
      <w:pPr>
        <w:numPr>
          <w:ilvl w:val="0"/>
          <w:numId w:val="1233"/>
        </w:numPr>
        <w:pStyle w:val="Compact"/>
      </w:pPr>
      <w:r>
        <w:rPr>
          <w:bCs/>
          <w:b/>
        </w:rPr>
        <w:t xml:space="preserve">Heart:</w:t>
      </w:r>
      <w:r>
        <w:t xml:space="preserve"> </w:t>
      </w:r>
      <w:r>
        <w:t xml:space="preserve">In mice, HNG reduced infarct size after an experimentally induced heart attack</w:t>
      </w:r>
      <w:r>
        <w:rPr>
          <w:rStyle w:val="FootnoteReference"/>
        </w:rPr>
        <w:footnoteReference w:id="1853"/>
      </w:r>
      <w:r>
        <w:t xml:space="preserve">; a 14-month treatment of old mice reduced age-related scarring of the heart muscle</w:t>
      </w:r>
      <w:r>
        <w:rPr>
          <w:rStyle w:val="FootnoteReference"/>
        </w:rPr>
        <w:footnoteReference w:id="1854"/>
      </w:r>
      <w:r>
        <w:t xml:space="preserve">.</w:t>
      </w:r>
    </w:p>
    <w:p>
      <w:pPr>
        <w:numPr>
          <w:ilvl w:val="0"/>
          <w:numId w:val="1233"/>
        </w:numPr>
        <w:pStyle w:val="Compact"/>
      </w:pPr>
      <w:r>
        <w:rPr>
          <w:bCs/>
          <w:b/>
        </w:rPr>
        <w:t xml:space="preserve">Alzheimer’s models:</w:t>
      </w:r>
      <w:r>
        <w:t xml:space="preserve"> </w:t>
      </w:r>
      <w:r>
        <w:t xml:space="preserve">In mice with APOE4, the rare variant P3S reduced amyloid deposits more than normal humanin</w:t>
      </w:r>
      <w:r>
        <w:rPr>
          <w:rStyle w:val="FootnoteReference"/>
        </w:rPr>
        <w:footnoteReference w:id="1855"/>
      </w:r>
      <w:r>
        <w:t xml:space="preserve">.</w:t>
      </w:r>
    </w:p>
    <w:p>
      <w:pPr>
        <w:numPr>
          <w:ilvl w:val="0"/>
          <w:numId w:val="1233"/>
        </w:numPr>
        <w:pStyle w:val="Compact"/>
      </w:pPr>
      <w:r>
        <w:rPr>
          <w:bCs/>
          <w:b/>
        </w:rPr>
        <w:t xml:space="preserve">Retina:</w:t>
      </w:r>
      <w:r>
        <w:t xml:space="preserve"> </w:t>
      </w:r>
      <w:r>
        <w:t xml:space="preserve">In cell models with mitochondria from people with age-related macular degeneration, HNG protected against cell damage</w:t>
      </w:r>
      <w:r>
        <w:rPr>
          <w:rStyle w:val="FootnoteReference"/>
        </w:rPr>
        <w:footnoteReference w:id="1856"/>
      </w:r>
      <w:r>
        <w:t xml:space="preserve">.</w:t>
      </w:r>
    </w:p>
    <w:bookmarkEnd w:id="1857"/>
    <w:bookmarkStart w:id="1860" w:name="risks-and-side-effects-42"/>
    <w:p>
      <w:pPr>
        <w:pStyle w:val="Heading3"/>
      </w:pPr>
      <w:r>
        <w:t xml:space="preserve">Risks and side effects</w:t>
      </w:r>
    </w:p>
    <w:p>
      <w:pPr>
        <w:pStyle w:val="FirstParagraph"/>
      </w:pPr>
      <w:r>
        <w:rPr>
          <w:bCs/>
          <w:b/>
        </w:rPr>
        <w:t xml:space="preserve">Established:</w:t>
      </w:r>
      <w:r>
        <w:t xml:space="preserve"> </w:t>
      </w:r>
      <w:r>
        <w:t xml:space="preserve">There are no safety data on administration to humans.</w:t>
      </w:r>
    </w:p>
    <w:p>
      <w:pPr>
        <w:pStyle w:val="BodyText"/>
      </w:pPr>
      <w:r>
        <w:rPr>
          <w:bCs/>
          <w:b/>
        </w:rPr>
        <w:t xml:space="preserve">Theoretical – with concrete warning signs from the laboratory:</w:t>
      </w:r>
    </w:p>
    <w:p>
      <w:pPr>
        <w:numPr>
          <w:ilvl w:val="0"/>
          <w:numId w:val="1234"/>
        </w:numPr>
        <w:pStyle w:val="Compact"/>
      </w:pPr>
      <w:r>
        <w:rPr>
          <w:bCs/>
          <w:b/>
        </w:rPr>
        <w:t xml:space="preserve">Cancer:</w:t>
      </w:r>
      <w:r>
        <w:t xml:space="preserve"> </w:t>
      </w:r>
      <w:r>
        <w:t xml:space="preserve">Humanin protects cells from programmed cell death – and this also applies to cancer cells. In mice with triple-negative breast cancer, supplemental humanin reduced cell death in the tumor, weakened the effect of chemotherapy and accelerated tumor growth and lung metastases. In biopsies of this type of breast cancer, humanin was found at increased levels. The authors explicitly advise caution in using humanin against degenerative diseases</w:t>
      </w:r>
      <w:r>
        <w:rPr>
          <w:rStyle w:val="FootnoteReference"/>
        </w:rPr>
        <w:footnoteReference w:id="1858"/>
      </w:r>
      <w:r>
        <w:t xml:space="preserve">.</w:t>
      </w:r>
    </w:p>
    <w:p>
      <w:pPr>
        <w:numPr>
          <w:ilvl w:val="0"/>
          <w:numId w:val="1234"/>
        </w:numPr>
        <w:pStyle w:val="Compact"/>
      </w:pPr>
      <w:r>
        <w:rPr>
          <w:bCs/>
          <w:b/>
        </w:rPr>
        <w:t xml:space="preserve">Inflammation in aged cells:</w:t>
      </w:r>
      <w:r>
        <w:t xml:space="preserve"> </w:t>
      </w:r>
      <w:r>
        <w:t xml:space="preserve">In cell experiments, humanin and MOTS-c increased the release of inflammatory messengers by aged (</w:t>
      </w:r>
      <w:r>
        <w:t xml:space="preserve">“</w:t>
      </w:r>
      <w:r>
        <w:t xml:space="preserve">senescent</w:t>
      </w:r>
      <w:r>
        <w:t xml:space="preserve">”</w:t>
      </w:r>
      <w:r>
        <w:t xml:space="preserve">) cells</w:t>
      </w:r>
      <w:r>
        <w:rPr>
          <w:rStyle w:val="FootnoteReference"/>
        </w:rPr>
        <w:footnoteReference w:id="1859"/>
      </w:r>
      <w:r>
        <w:t xml:space="preserve">.</w:t>
      </w:r>
    </w:p>
    <w:p>
      <w:pPr>
        <w:numPr>
          <w:ilvl w:val="0"/>
          <w:numId w:val="1234"/>
        </w:numPr>
        <w:pStyle w:val="Compact"/>
      </w:pPr>
      <w:r>
        <w:rPr>
          <w:bCs/>
          <w:b/>
        </w:rPr>
        <w:t xml:space="preserve">Immune reactions:</w:t>
      </w:r>
      <w:r>
        <w:t xml:space="preserve"> </w:t>
      </w:r>
      <w:r>
        <w:t xml:space="preserve">Repeated injection of a peptide can lead to the formation of antibodies; not studied.</w:t>
      </w:r>
    </w:p>
    <w:p>
      <w:pPr>
        <w:pStyle w:val="FirstParagraph"/>
      </w:pPr>
      <w:r>
        <w:rPr>
          <w:bCs/>
          <w:b/>
        </w:rPr>
        <w:t xml:space="preserve">Gray market:</w:t>
      </w:r>
      <w:r>
        <w:t xml:space="preserve"> </w:t>
      </w:r>
      <w:r>
        <w:t xml:space="preserve">Humanin and HNG are offered as</w:t>
      </w:r>
      <w:r>
        <w:t xml:space="preserve"> </w:t>
      </w:r>
      <w:r>
        <w:t xml:space="preserve">“</w:t>
      </w:r>
      <w:r>
        <w:t xml:space="preserve">longevity peptides</w:t>
      </w:r>
      <w:r>
        <w:t xml:space="preserve">”</w:t>
      </w:r>
      <w:r>
        <w:t xml:space="preserve"> </w:t>
      </w:r>
      <w:r>
        <w:t xml:space="preserve">for injection. Content, purity and sterility are unverified.</w:t>
      </w:r>
    </w:p>
    <w:bookmarkEnd w:id="1860"/>
    <w:bookmarkStart w:id="1861" w:name="legal-status-42"/>
    <w:p>
      <w:pPr>
        <w:pStyle w:val="Heading3"/>
      </w:pPr>
      <w:r>
        <w:t xml:space="preserve">Legal status</w:t>
      </w:r>
    </w:p>
    <w:p>
      <w:pPr>
        <w:numPr>
          <w:ilvl w:val="0"/>
          <w:numId w:val="1235"/>
        </w:numPr>
        <w:pStyle w:val="Compact"/>
      </w:pPr>
      <w:r>
        <w:rPr>
          <w:bCs/>
          <w:b/>
        </w:rPr>
        <w:t xml:space="preserve">EU / Austria / Germany:</w:t>
      </w:r>
      <w:r>
        <w:t xml:space="preserve"> </w:t>
      </w:r>
      <w:r>
        <w:t xml:space="preserve">not approved; as a substance with a pharmacological effect, humanin is considered a medicine, and selling it for use in humans is not permitted.</w:t>
      </w:r>
    </w:p>
    <w:p>
      <w:pPr>
        <w:numPr>
          <w:ilvl w:val="0"/>
          <w:numId w:val="1235"/>
        </w:numPr>
        <w:pStyle w:val="Compact"/>
      </w:pPr>
      <w:r>
        <w:rPr>
          <w:bCs/>
          <w:b/>
        </w:rPr>
        <w:t xml:space="preserve">USA:</w:t>
      </w:r>
      <w:r>
        <w:t xml:space="preserve"> </w:t>
      </w:r>
      <w:r>
        <w:t xml:space="preserve">not approved.</w:t>
      </w:r>
    </w:p>
    <w:p>
      <w:pPr>
        <w:numPr>
          <w:ilvl w:val="0"/>
          <w:numId w:val="1235"/>
        </w:numPr>
        <w:pStyle w:val="Compact"/>
      </w:pPr>
      <w:r>
        <w:rPr>
          <w:bCs/>
          <w:b/>
        </w:rPr>
        <w:t xml:space="preserve">Sport:</w:t>
      </w:r>
      <w:r>
        <w:t xml:space="preserve"> </w:t>
      </w:r>
      <w:r>
        <w:t xml:space="preserve">in our assessment WADA category S0 (as of 2026, please check for updates).</w:t>
      </w:r>
    </w:p>
    <w:bookmarkEnd w:id="1861"/>
    <w:bookmarkStart w:id="1863" w:name="ongoing-studies-and-outlook-42"/>
    <w:p>
      <w:pPr>
        <w:pStyle w:val="Heading3"/>
      </w:pPr>
      <w:r>
        <w:t xml:space="preserve">Ongoing studies and outlook</w:t>
      </w:r>
    </w:p>
    <w:p>
      <w:pPr>
        <w:pStyle w:val="FirstParagraph"/>
      </w:pPr>
      <w:r>
        <w:rPr>
          <w:bCs/>
          <w:b/>
        </w:rPr>
        <w:t xml:space="preserve">Established:</w:t>
      </w:r>
      <w:r>
        <w:t xml:space="preserve"> </w:t>
      </w:r>
      <w:r>
        <w:t xml:space="preserve">Only observational studies on humanin levels are registered, for example after heart surgery (NCT03431844, 106 participants, completed) and in kidney transplantation</w:t>
      </w:r>
      <w:r>
        <w:rPr>
          <w:rStyle w:val="FootnoteReference"/>
        </w:rPr>
        <w:footnoteReference w:id="1862"/>
      </w:r>
      <w:r>
        <w:t xml:space="preserve">. There is no study of humanin administration.</w:t>
      </w:r>
    </w:p>
    <w:p>
      <w:pPr>
        <w:pStyle w:val="BodyText"/>
      </w:pPr>
      <w:r>
        <w:rPr>
          <w:bCs/>
          <w:b/>
        </w:rPr>
        <w:t xml:space="preserve">Assessment:</w:t>
      </w:r>
      <w:r>
        <w:t xml:space="preserve"> </w:t>
      </w:r>
      <w:r>
        <w:t xml:space="preserve">Humanin is a scientifically exciting signaling peptide and a possible biomarker of aging. Whether it will ever be tested as a medicine is open; the cancer findings from the animal model would have to be carefully clarified before any use in humans.</w:t>
      </w:r>
    </w:p>
    <w:bookmarkEnd w:id="1863"/>
    <w:bookmarkStart w:id="1864" w:name="conclusion-42"/>
    <w:p>
      <w:pPr>
        <w:pStyle w:val="Heading3"/>
      </w:pPr>
      <w:r>
        <w:t xml:space="preserve">Conclusion</w:t>
      </w:r>
    </w:p>
    <w:p>
      <w:pPr>
        <w:pStyle w:val="FirstParagraph"/>
      </w:pPr>
      <w:r>
        <w:t xml:space="preserve">Humanin is an endogenous mitochondrial peptide discovered in 2001 as a protective factor for nerve cells. Its levels decline with age, are higher in children of centenarians and rise with exercise; in animal experiments, the variant HNG protected the heart, brain and metabolism. Humanin has never been given to humans as a drug, and in mice it promoted the growth of breast cancer. The data are not sufficient to assess the benefit or safety of supplementation.</w:t>
      </w:r>
    </w:p>
    <w:bookmarkEnd w:id="1864"/>
    <w:bookmarkEnd w:id="1865"/>
    <w:bookmarkStart w:id="1905" w:name="ss-31-elamipretide"/>
    <w:p>
      <w:pPr>
        <w:pStyle w:val="Heading2"/>
      </w:pPr>
      <w:r>
        <w:t xml:space="preserve">SS-31 (Elamipretide)</w:t>
      </w:r>
    </w:p>
    <w:bookmarkStart w:id="1866" w:name="profile-43"/>
    <w:p>
      <w:pPr>
        <w:pStyle w:val="Heading3"/>
      </w:pPr>
      <w:r>
        <w:t xml:space="preserve">Profile</w:t>
      </w:r>
    </w:p>
    <w:p>
      <w:pPr>
        <w:numPr>
          <w:ilvl w:val="0"/>
          <w:numId w:val="1236"/>
        </w:numPr>
        <w:pStyle w:val="Compact"/>
      </w:pPr>
      <w:r>
        <w:rPr>
          <w:bCs/>
          <w:b/>
        </w:rPr>
        <w:t xml:space="preserve">Type and structure:</w:t>
      </w:r>
      <w:r>
        <w:t xml:space="preserve"> </w:t>
      </w:r>
      <w:r>
        <w:t xml:space="preserve">synthetic tetrapeptide of four building blocks (D-arginine, dimethyltyrosine, lysine, phenylalanine) that penetrates cell membranes thanks to an unusual sequence of positively charged and ring-shaped amino acids. Research designations SS-31, MTP-131 and Bendavia; international nonproprietary name elamipretide; brand name Forzinity.</w:t>
      </w:r>
    </w:p>
    <w:p>
      <w:pPr>
        <w:numPr>
          <w:ilvl w:val="0"/>
          <w:numId w:val="1236"/>
        </w:numPr>
        <w:pStyle w:val="Compact"/>
      </w:pPr>
      <w:r>
        <w:rPr>
          <w:bCs/>
          <w:b/>
        </w:rPr>
        <w:t xml:space="preserve">Origin:</w:t>
      </w:r>
      <w:r>
        <w:t xml:space="preserve"> </w:t>
      </w:r>
      <w:r>
        <w:t xml:space="preserve">developed by Hazel Szeto and Peter Schiller (hence</w:t>
      </w:r>
      <w:r>
        <w:t xml:space="preserve"> </w:t>
      </w:r>
      <w:r>
        <w:t xml:space="preserve">“</w:t>
      </w:r>
      <w:r>
        <w:t xml:space="preserve">SS</w:t>
      </w:r>
      <w:r>
        <w:t xml:space="preserve">”</w:t>
      </w:r>
      <w:r>
        <w:t xml:space="preserve"> </w:t>
      </w:r>
      <w:r>
        <w:t xml:space="preserve">peptides), clinically developed further by the US company Stealth BioTherapeutics.</w:t>
      </w:r>
    </w:p>
    <w:p>
      <w:pPr>
        <w:numPr>
          <w:ilvl w:val="0"/>
          <w:numId w:val="1236"/>
        </w:numPr>
        <w:pStyle w:val="Compact"/>
      </w:pPr>
      <w:r>
        <w:rPr>
          <w:bCs/>
          <w:b/>
        </w:rPr>
        <w:t xml:space="preserve">Mechanism of action:</w:t>
      </w:r>
      <w:r>
        <w:t xml:space="preserve"> </w:t>
      </w:r>
      <w:r>
        <w:t xml:space="preserve">accumulates at the inner membrane of the mitochondria and binds there to cardiolipin, a lipid indispensable for energy production. It is said to stabilize the respiratory chain and limit harmful oxidation.</w:t>
      </w:r>
    </w:p>
    <w:p>
      <w:pPr>
        <w:numPr>
          <w:ilvl w:val="0"/>
          <w:numId w:val="1236"/>
        </w:numPr>
        <w:pStyle w:val="Compact"/>
      </w:pPr>
      <w:r>
        <w:rPr>
          <w:bCs/>
          <w:b/>
        </w:rPr>
        <w:t xml:space="preserve">EU approval:</w:t>
      </w:r>
      <w:r>
        <w:t xml:space="preserve"> </w:t>
      </w:r>
      <w:r>
        <w:t xml:space="preserve">no.</w:t>
      </w:r>
    </w:p>
    <w:p>
      <w:pPr>
        <w:numPr>
          <w:ilvl w:val="0"/>
          <w:numId w:val="1236"/>
        </w:numPr>
        <w:pStyle w:val="Compact"/>
      </w:pPr>
      <w:r>
        <w:rPr>
          <w:bCs/>
          <w:b/>
        </w:rPr>
        <w:t xml:space="preserve">US approval:</w:t>
      </w:r>
      <w:r>
        <w:t xml:space="preserve"> </w:t>
      </w:r>
      <w:r>
        <w:t xml:space="preserve">yes – in September 2025,</w:t>
      </w:r>
      <w:r>
        <w:t xml:space="preserve"> </w:t>
      </w:r>
      <w:r>
        <w:rPr>
          <w:bCs/>
          <w:b/>
        </w:rPr>
        <w:t xml:space="preserve">accelerated approval</w:t>
      </w:r>
      <w:r>
        <w:t xml:space="preserve"> </w:t>
      </w:r>
      <w:r>
        <w:t xml:space="preserve">as Forzinity to improve muscle strength in Barth syndrome for adults and children weighing at least 30 kg. The approval is contingent on a confirmatory trial.</w:t>
      </w:r>
    </w:p>
    <w:p>
      <w:pPr>
        <w:numPr>
          <w:ilvl w:val="0"/>
          <w:numId w:val="1236"/>
        </w:numPr>
        <w:pStyle w:val="Compact"/>
      </w:pPr>
      <w:r>
        <w:rPr>
          <w:bCs/>
          <w:b/>
        </w:rPr>
        <w:t xml:space="preserve">WADA:</w:t>
      </w:r>
      <w:r>
        <w:t xml:space="preserve"> </w:t>
      </w:r>
      <w:r>
        <w:t xml:space="preserve">not listed by name.</w:t>
      </w:r>
    </w:p>
    <w:p>
      <w:pPr>
        <w:numPr>
          <w:ilvl w:val="0"/>
          <w:numId w:val="1236"/>
        </w:numPr>
        <w:pStyle w:val="Compact"/>
      </w:pPr>
      <w:r>
        <w:rPr>
          <w:bCs/>
          <w:b/>
        </w:rPr>
        <w:t xml:space="preserve">Evidence level:</w:t>
      </w:r>
      <w:r>
        <w:t xml:space="preserve"> </w:t>
      </w:r>
      <w:r>
        <w:rPr>
          <w:bCs/>
          <w:b/>
        </w:rPr>
        <w:t xml:space="preserve">B</w:t>
      </w:r>
      <w:r>
        <w:t xml:space="preserve"> </w:t>
      </w:r>
      <w:r>
        <w:t xml:space="preserve">– numerous randomized trials, including a phase 3 trial with 218 participants; however, most of the large trials missed their primary endpoint, and the approval is based on a very small study in an extremely rare disease.</w:t>
      </w:r>
    </w:p>
    <w:bookmarkEnd w:id="1866"/>
    <w:bookmarkStart w:id="1868" w:name="how-it-is-supposed-to-work-43"/>
    <w:p>
      <w:pPr>
        <w:pStyle w:val="Heading3"/>
      </w:pPr>
      <w:r>
        <w:t xml:space="preserve">How it is supposed to work</w:t>
      </w:r>
    </w:p>
    <w:p>
      <w:pPr>
        <w:pStyle w:val="FirstParagraph"/>
      </w:pPr>
      <w:r>
        <w:t xml:space="preserve">Mitochondria produce energy via a chain of protein complexes in their inner membrane. For these complexes to work together properly, cardiolipin is needed – a special lipid found only in this membrane. If cardiolipin is damaged or missing, the respiratory chain works less well, and the protein cytochrome c can turn from an electron carrier into a harmful enzyme (a peroxidase).</w:t>
      </w:r>
    </w:p>
    <w:p>
      <w:pPr>
        <w:pStyle w:val="BodyText"/>
      </w:pPr>
      <w:r>
        <w:t xml:space="preserve">According to its developer, SS-31 binds selectively to cardiolipin via electrostatic and hydrophobic forces, prevents this conversion of cytochrome c and thereby protects the structure of the mitochondria</w:t>
      </w:r>
      <w:r>
        <w:rPr>
          <w:rStyle w:val="FootnoteReference"/>
        </w:rPr>
        <w:footnoteReference w:id="1867"/>
      </w:r>
      <w:r>
        <w:t xml:space="preserve">. The principle has been studied in many animal models of heart, kidney, muscle and eye diseases.</w:t>
      </w:r>
    </w:p>
    <w:p>
      <w:pPr>
        <w:pStyle w:val="BodyText"/>
      </w:pPr>
      <w:r>
        <w:t xml:space="preserve">The connection is clearest in</w:t>
      </w:r>
      <w:r>
        <w:t xml:space="preserve"> </w:t>
      </w:r>
      <w:r>
        <w:rPr>
          <w:bCs/>
          <w:b/>
        </w:rPr>
        <w:t xml:space="preserve">Barth syndrome</w:t>
      </w:r>
      <w:r>
        <w:t xml:space="preserve">: in this very rare, X-linked disease, which affects almost exclusively boys and men, the gene</w:t>
      </w:r>
      <w:r>
        <w:t xml:space="preserve"> </w:t>
      </w:r>
      <w:r>
        <w:rPr>
          <w:iCs/>
          <w:i/>
        </w:rPr>
        <w:t xml:space="preserve">TAZ</w:t>
      </w:r>
      <w:r>
        <w:t xml:space="preserve">, which is needed for the remodeling of cardiolipin, is defective. Those affected have heart muscle weakness, muscle weakness, severe fatigability and a reduced number of certain white blood cells. An agent that specifically targets cardiolipin is biologically particularly obvious here.</w:t>
      </w:r>
    </w:p>
    <w:bookmarkEnd w:id="1868"/>
    <w:bookmarkStart w:id="1887" w:name="human-studies-43"/>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19 publications classified as human studies; on closer inspection, four of them concern other agents (the abbreviation</w:t>
      </w:r>
      <w:r>
        <w:t xml:space="preserve"> </w:t>
      </w:r>
      <w:r>
        <w:t xml:space="preserve">“</w:t>
      </w:r>
      <w:r>
        <w:t xml:space="preserve">SS-31</w:t>
      </w:r>
      <w:r>
        <w:t xml:space="preserve">”</w:t>
      </w:r>
      <w:r>
        <w:t xml:space="preserve"> </w:t>
      </w:r>
      <w:r>
        <w:t xml:space="preserve">also appears elsewhere). On ClinicalTrials.gov, 21 studies were registered, almost all by the manufacturer, on Barth syndrome, mitochondrial myopathies, heart failure, heart attack, renal artery stenosis, dry macular degeneration and eye diseases. Elamipretide is thus the best-studied peptide in this part.</w:t>
      </w:r>
    </w:p>
    <w:bookmarkStart w:id="1876" w:name="barth-syndrome-tazpower-and-the-approval"/>
    <w:p>
      <w:pPr>
        <w:pStyle w:val="Heading4"/>
      </w:pPr>
      <w:r>
        <w:t xml:space="preserve">Barth syndrome: TAZPOWER and the approval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TAZPOWER part 1 (Reid Thompson 2021), PMID 33077895</w:t>
            </w:r>
          </w:p>
        </w:tc>
        <w:tc>
          <w:tcPr/>
          <w:p>
            <w:pPr>
              <w:pStyle w:val="Compact"/>
              <w:jc w:val="left"/>
            </w:pPr>
            <w:r>
              <w:t xml:space="preserve">12 people, double-blind, crossover vs. placebo</w:t>
            </w:r>
          </w:p>
        </w:tc>
        <w:tc>
          <w:tcPr/>
          <w:p>
            <w:pPr>
              <w:pStyle w:val="Compact"/>
              <w:jc w:val="left"/>
            </w:pPr>
            <w:r>
              <w:t xml:space="preserve">12 weeks each</w:t>
            </w:r>
          </w:p>
        </w:tc>
        <w:tc>
          <w:tcPr/>
          <w:p>
            <w:pPr>
              <w:pStyle w:val="Compact"/>
              <w:jc w:val="left"/>
            </w:pPr>
            <w:r>
              <w:t xml:space="preserve">both primary endpoints (6-minute walk test, symptom scale) missed</w:t>
            </w:r>
          </w:p>
        </w:tc>
      </w:tr>
      <w:tr>
        <w:tc>
          <w:tcPr/>
          <w:p>
            <w:pPr>
              <w:pStyle w:val="Compact"/>
              <w:jc w:val="left"/>
            </w:pPr>
            <w:r>
              <w:t xml:space="preserve">TAZPOWER open-label extension, PMID 33077895</w:t>
            </w:r>
          </w:p>
        </w:tc>
        <w:tc>
          <w:tcPr/>
          <w:p>
            <w:pPr>
              <w:pStyle w:val="Compact"/>
              <w:jc w:val="left"/>
            </w:pPr>
            <w:r>
              <w:t xml:space="preserve">10 people, all on elamipretide</w:t>
            </w:r>
          </w:p>
        </w:tc>
        <w:tc>
          <w:tcPr/>
          <w:p>
            <w:pPr>
              <w:pStyle w:val="Compact"/>
              <w:jc w:val="left"/>
            </w:pPr>
            <w:r>
              <w:t xml:space="preserve">36 weeks</w:t>
            </w:r>
          </w:p>
        </w:tc>
        <w:tc>
          <w:tcPr/>
          <w:p>
            <w:pPr>
              <w:pStyle w:val="Compact"/>
              <w:jc w:val="left"/>
            </w:pPr>
            <w:r>
              <w:t xml:space="preserve">walking distance +95.9 m, symptom scale −2.1 points</w:t>
            </w:r>
          </w:p>
        </w:tc>
      </w:tr>
      <w:tr>
        <w:tc>
          <w:tcPr/>
          <w:p>
            <w:pPr>
              <w:pStyle w:val="Compact"/>
              <w:jc w:val="left"/>
            </w:pPr>
            <w:r>
              <w:t xml:space="preserve">Extension to 168 weeks (Thompson 2024), PMID 38602181</w:t>
            </w:r>
          </w:p>
        </w:tc>
        <w:tc>
          <w:tcPr/>
          <w:p>
            <w:pPr>
              <w:pStyle w:val="Compact"/>
              <w:jc w:val="left"/>
            </w:pPr>
            <w:r>
              <w:t xml:space="preserve">10 enrolled, 8 to week 168</w:t>
            </w:r>
          </w:p>
        </w:tc>
        <w:tc>
          <w:tcPr/>
          <w:p>
            <w:pPr>
              <w:pStyle w:val="Compact"/>
              <w:jc w:val="left"/>
            </w:pPr>
            <w:r>
              <w:t xml:space="preserve">168 weeks</w:t>
            </w:r>
          </w:p>
        </w:tc>
        <w:tc>
          <w:tcPr/>
          <w:p>
            <w:pPr>
              <w:pStyle w:val="Compact"/>
              <w:jc w:val="left"/>
            </w:pPr>
            <w:r>
              <w:t xml:space="preserve">cumulative walking distance +96.1 m; cardiac volumes improved</w:t>
            </w:r>
          </w:p>
        </w:tc>
      </w:tr>
      <w:tr>
        <w:tc>
          <w:tcPr/>
          <w:p>
            <w:pPr>
              <w:pStyle w:val="Compact"/>
              <w:jc w:val="left"/>
            </w:pPr>
            <w:r>
              <w:t xml:space="preserve">Comparison with natural history (Hornby 2022), PMID 36056411</w:t>
            </w:r>
          </w:p>
        </w:tc>
        <w:tc>
          <w:tcPr/>
          <w:p>
            <w:pPr>
              <w:pStyle w:val="Compact"/>
              <w:jc w:val="left"/>
            </w:pPr>
            <w:r>
              <w:t xml:space="preserve">8 treated vs. 19 untreated people from a disease registry</w:t>
            </w:r>
          </w:p>
        </w:tc>
        <w:tc>
          <w:tcPr/>
          <w:p>
            <w:pPr>
              <w:pStyle w:val="Compact"/>
              <w:jc w:val="left"/>
            </w:pPr>
            <w:r>
              <w:t xml:space="preserve">64–76 weeks</w:t>
            </w:r>
          </w:p>
        </w:tc>
        <w:tc>
          <w:tcPr/>
          <w:p>
            <w:pPr>
              <w:pStyle w:val="Compact"/>
              <w:jc w:val="left"/>
            </w:pPr>
            <w:r>
              <w:t xml:space="preserve">difference in walk test 79.7 and 91.0 m in favor of elamipretide</w:t>
            </w:r>
          </w:p>
        </w:tc>
      </w:tr>
    </w:tbl>
    <w:p>
      <w:pPr>
        <w:pStyle w:val="BodyText"/>
      </w:pPr>
      <w:r>
        <w:t xml:space="preserve">The story of the approval exemplifies how decisions are made in extremely rare diseases:</w:t>
      </w:r>
    </w:p>
    <w:p>
      <w:pPr>
        <w:pStyle w:val="BodyText"/>
      </w:pPr>
      <w:r>
        <w:rPr>
          <w:bCs/>
          <w:b/>
        </w:rPr>
        <w:t xml:space="preserve">The controlled part failed.</w:t>
      </w:r>
      <w:r>
        <w:t xml:space="preserve"> </w:t>
      </w:r>
      <w:r>
        <w:t xml:space="preserve">In TAZPOWER</w:t>
      </w:r>
      <w:r>
        <w:rPr>
          <w:rStyle w:val="FootnoteReference"/>
        </w:rPr>
        <w:footnoteReference w:id="1869"/>
      </w:r>
      <w:r>
        <w:t xml:space="preserve">, twelve people with Barth syndrome received daily subcutaneous elamipretide or placebo for twelve weeks and then the other in each case. In this blinded part, no significant difference was achieved in either the 6-minute walk test or the symptom scale</w:t>
      </w:r>
      <w:r>
        <w:rPr>
          <w:rStyle w:val="FootnoteReference"/>
        </w:rPr>
        <w:footnoteReference w:id="1870"/>
      </w:r>
      <w:r>
        <w:t xml:space="preserve">.</w:t>
      </w:r>
    </w:p>
    <w:p>
      <w:pPr>
        <w:pStyle w:val="BodyText"/>
      </w:pPr>
      <w:r>
        <w:rPr>
          <w:bCs/>
          <w:b/>
        </w:rPr>
        <w:t xml:space="preserve">The open-label extension was positive.</w:t>
      </w:r>
      <w:r>
        <w:t xml:space="preserve"> </w:t>
      </w:r>
      <w:r>
        <w:t xml:space="preserve">Ten people continued treatment open-label. After 36 weeks, they walked on average 95.9 m farther than at baseline, and knee extensor strength and individual cardiac parameters also improved</w:t>
      </w:r>
      <w:r>
        <w:rPr>
          <w:rStyle w:val="FootnoteReference"/>
        </w:rPr>
        <w:footnoteReference w:id="1871"/>
      </w:r>
      <w:r>
        <w:t xml:space="preserve">. The improvement persisted to week 168; eight people reached that time point</w:t>
      </w:r>
      <w:r>
        <w:rPr>
          <w:rStyle w:val="FootnoteReference"/>
        </w:rPr>
        <w:footnoteReference w:id="1872"/>
      </w:r>
      <w:r>
        <w:t xml:space="preserve">. Without a control group, however, it is impossible to separate what share is due to the drug and what to familiarization with the test, motivation or chance.</w:t>
      </w:r>
    </w:p>
    <w:p>
      <w:pPr>
        <w:pStyle w:val="BodyText"/>
      </w:pPr>
      <w:r>
        <w:rPr>
          <w:bCs/>
          <w:b/>
        </w:rPr>
        <w:t xml:space="preserve">Comparison with a registry control.</w:t>
      </w:r>
      <w:r>
        <w:t xml:space="preserve"> </w:t>
      </w:r>
      <w:r>
        <w:t xml:space="preserve">To clarify this, a further study compared eight treated people with 19 untreated people from a natural history study. The advantage in the walk test after 64 weeks was 79.7 m</w:t>
      </w:r>
      <w:r>
        <w:rPr>
          <w:rStyle w:val="FootnoteReference"/>
        </w:rPr>
        <w:footnoteReference w:id="1873"/>
      </w:r>
      <w:r>
        <w:t xml:space="preserve">. Such</w:t>
      </w:r>
      <w:r>
        <w:t xml:space="preserve"> </w:t>
      </w:r>
      <w:r>
        <w:t xml:space="preserve">“</w:t>
      </w:r>
      <w:r>
        <w:t xml:space="preserve">historical controls</w:t>
      </w:r>
      <w:r>
        <w:t xml:space="preserve">”</w:t>
      </w:r>
      <w:r>
        <w:t xml:space="preserve"> </w:t>
      </w:r>
      <w:r>
        <w:t xml:space="preserve">are often the only option in rare diseases but are considered much weaker than randomization.</w:t>
      </w:r>
    </w:p>
    <w:p>
      <w:pPr>
        <w:pStyle w:val="BodyText"/>
      </w:pPr>
      <w:r>
        <w:rPr>
          <w:bCs/>
          <w:b/>
        </w:rPr>
        <w:t xml:space="preserve">The FDA decision in 2025.</w:t>
      </w:r>
      <w:r>
        <w:t xml:space="preserve"> </w:t>
      </w:r>
      <w:r>
        <w:t xml:space="preserve">The US drug agency initially rejected the application in May 2025 (Complete Response Letter). In September 2025, it then granted</w:t>
      </w:r>
      <w:r>
        <w:t xml:space="preserve"> </w:t>
      </w:r>
      <w:r>
        <w:rPr>
          <w:bCs/>
          <w:b/>
        </w:rPr>
        <w:t xml:space="preserve">accelerated approval</w:t>
      </w:r>
      <w:r>
        <w:t xml:space="preserve"> </w:t>
      </w:r>
      <w:r>
        <w:t xml:space="preserve">for elamipretide (Forzinity) to improve muscle strength in Barth syndrome for patients weighing at least 30 kg – as the first disease-specific treatment for this condition</w:t>
      </w:r>
      <w:r>
        <w:rPr>
          <w:rStyle w:val="FootnoteReference"/>
        </w:rPr>
        <w:footnoteReference w:id="1874"/>
      </w:r>
      <w:r>
        <w:t xml:space="preserve">. The basis was the improvement in knee extensor strength, which the agency regards as a surrogate measure that makes a clinical benefit</w:t>
      </w:r>
      <w:r>
        <w:t xml:space="preserve"> </w:t>
      </w:r>
      <w:r>
        <w:t xml:space="preserve">“</w:t>
      </w:r>
      <w:r>
        <w:t xml:space="preserve">reasonably likely.</w:t>
      </w:r>
      <w:r>
        <w:t xml:space="preserve">”</w:t>
      </w:r>
      <w:r>
        <w:t xml:space="preserve"> </w:t>
      </w:r>
      <w:r>
        <w:t xml:space="preserve">Accelerated approval obligates the manufacturer to conduct a confirmatory trial; if the benefit is not shown there, the approval can be withdrawn. A corresponding trial with 48 planned participants has been recruiting since July 2026</w:t>
      </w:r>
      <w:r>
        <w:rPr>
          <w:rStyle w:val="FootnoteReference"/>
        </w:rPr>
        <w:footnoteReference w:id="1875"/>
      </w:r>
      <w:r>
        <w:t xml:space="preserve">.</w:t>
      </w:r>
    </w:p>
    <w:bookmarkEnd w:id="1876"/>
    <w:bookmarkStart w:id="1881" w:name="primary-mitochondrial-myopathy-mmpower-3"/>
    <w:p>
      <w:pPr>
        <w:pStyle w:val="Heading4"/>
      </w:pPr>
      <w:r>
        <w:t xml:space="preserve">Primary mitochondrial myopathy: MMPOWER-3</w:t>
      </w:r>
    </w:p>
    <w:p>
      <w:pPr>
        <w:pStyle w:val="FirstParagraph"/>
      </w:pPr>
      <w:r>
        <w:t xml:space="preserve">Mitochondrial myopathies are hereditary diseases in which energy production in the muscles is impaired; those affected suffer from muscle weakness and severe fatigability.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MMPOWER (Karaa 2018), PMID 29500292</w:t>
            </w:r>
          </w:p>
        </w:tc>
        <w:tc>
          <w:tcPr/>
          <w:p>
            <w:pPr>
              <w:pStyle w:val="Compact"/>
              <w:jc w:val="left"/>
            </w:pPr>
            <w:r>
              <w:t xml:space="preserve">36 people, infusion at increasing doses vs. placebo</w:t>
            </w:r>
          </w:p>
        </w:tc>
        <w:tc>
          <w:tcPr/>
          <w:p>
            <w:pPr>
              <w:pStyle w:val="Compact"/>
              <w:jc w:val="left"/>
            </w:pPr>
            <w:r>
              <w:t xml:space="preserve">5 days</w:t>
            </w:r>
          </w:p>
        </w:tc>
        <w:tc>
          <w:tcPr/>
          <w:p>
            <w:pPr>
              <w:pStyle w:val="Compact"/>
              <w:jc w:val="left"/>
            </w:pPr>
            <w:r>
              <w:t xml:space="preserve">highest dose +64.5 m in walk test vs. +20.4 m (p = 0.053)</w:t>
            </w:r>
          </w:p>
        </w:tc>
      </w:tr>
      <w:tr>
        <w:tc>
          <w:tcPr/>
          <w:p>
            <w:pPr>
              <w:pStyle w:val="Compact"/>
              <w:jc w:val="left"/>
            </w:pPr>
            <w:r>
              <w:t xml:space="preserve">MMPOWER-2 (Karaa 2020), PMID 32096613</w:t>
            </w:r>
          </w:p>
        </w:tc>
        <w:tc>
          <w:tcPr/>
          <w:p>
            <w:pPr>
              <w:pStyle w:val="Compact"/>
              <w:jc w:val="left"/>
            </w:pPr>
            <w:r>
              <w:t xml:space="preserve">30 people, crossover vs. placebo</w:t>
            </w:r>
          </w:p>
        </w:tc>
        <w:tc>
          <w:tcPr/>
          <w:p>
            <w:pPr>
              <w:pStyle w:val="Compact"/>
              <w:jc w:val="left"/>
            </w:pPr>
            <w:r>
              <w:t xml:space="preserve">4 weeks each</w:t>
            </w:r>
          </w:p>
        </w:tc>
        <w:tc>
          <w:tcPr/>
          <w:p>
            <w:pPr>
              <w:pStyle w:val="Compact"/>
              <w:jc w:val="left"/>
            </w:pPr>
            <w:r>
              <w:t xml:space="preserve">walk test +19.8 m (not significant); less fatigue</w:t>
            </w:r>
          </w:p>
        </w:tc>
      </w:tr>
      <w:tr>
        <w:tc>
          <w:tcPr/>
          <w:p>
            <w:pPr>
              <w:pStyle w:val="Compact"/>
              <w:jc w:val="left"/>
            </w:pPr>
            <w:r>
              <w:t xml:space="preserve">MMPOWER-3 (Karaa 2023), PMID 37268435</w:t>
            </w:r>
          </w:p>
        </w:tc>
        <w:tc>
          <w:tcPr/>
          <w:p>
            <w:pPr>
              <w:pStyle w:val="Compact"/>
              <w:jc w:val="left"/>
            </w:pPr>
            <w:r>
              <w:t xml:space="preserve">218 people, phase 3 vs. placebo</w:t>
            </w:r>
          </w:p>
        </w:tc>
        <w:tc>
          <w:tcPr/>
          <w:p>
            <w:pPr>
              <w:pStyle w:val="Compact"/>
              <w:jc w:val="left"/>
            </w:pPr>
            <w:r>
              <w:t xml:space="preserve">24 weeks</w:t>
            </w:r>
          </w:p>
        </w:tc>
        <w:tc>
          <w:tcPr/>
          <w:p>
            <w:pPr>
              <w:pStyle w:val="Compact"/>
              <w:jc w:val="left"/>
            </w:pPr>
            <w:r>
              <w:t xml:space="preserve">both primary endpoints missed; walk test difference −3.2 m</w:t>
            </w:r>
          </w:p>
        </w:tc>
      </w:tr>
    </w:tbl>
    <w:p>
      <w:pPr>
        <w:pStyle w:val="BodyText"/>
      </w:pPr>
      <w:r>
        <w:t xml:space="preserve">After encouraging small studies,</w:t>
      </w:r>
      <w:r>
        <w:t xml:space="preserve"> </w:t>
      </w:r>
      <w:r>
        <w:rPr>
          <w:bCs/>
          <w:b/>
        </w:rPr>
        <w:t xml:space="preserve">MMPOWER-3</w:t>
      </w:r>
      <w:r>
        <w:rPr>
          <w:rStyle w:val="FootnoteReference"/>
        </w:rPr>
        <w:footnoteReference w:id="1877"/>
      </w:r>
      <w:r>
        <w:t xml:space="preserve"> </w:t>
      </w:r>
      <w:r>
        <w:t xml:space="preserve">was meant to prove efficacy. 218 adults with genetically confirmed mitochondrial myopathy received elamipretide or placebo for 24 weeks. The trial missed both primary endpoints: in the 6-minute walk test the difference was −3.2 m (95% CI −18.7 to 12.3), and there was likewise no difference on the fatigue scale. Tolerability was good</w:t>
      </w:r>
      <w:r>
        <w:rPr>
          <w:rStyle w:val="FootnoteReference"/>
        </w:rPr>
        <w:footnoteReference w:id="1878"/>
      </w:r>
      <w:r>
        <w:t xml:space="preserve">. The authors classify this as evidence of the highest class that elamipretide does not improve walking distance and fatigue in this group.</w:t>
      </w:r>
    </w:p>
    <w:p>
      <w:pPr>
        <w:pStyle w:val="BodyText"/>
      </w:pPr>
      <w:r>
        <w:t xml:space="preserve">A post hoc analysis found indications of a benefit in a subgroup: people with defects in nuclear genes required for replication of mitochondrial DNA (such as</w:t>
      </w:r>
      <w:r>
        <w:t xml:space="preserve"> </w:t>
      </w:r>
      <w:r>
        <w:rPr>
          <w:iCs/>
          <w:i/>
        </w:rPr>
        <w:t xml:space="preserve">POLG</w:t>
      </w:r>
      <w:r>
        <w:t xml:space="preserve"> </w:t>
      </w:r>
      <w:r>
        <w:t xml:space="preserve">and</w:t>
      </w:r>
      <w:r>
        <w:t xml:space="preserve"> </w:t>
      </w:r>
      <w:r>
        <w:rPr>
          <w:iCs/>
          <w:i/>
        </w:rPr>
        <w:t xml:space="preserve">TWNK</w:t>
      </w:r>
      <w:r>
        <w:t xml:space="preserve">) walked 25.2 m farther on elamipretide compared with 2.0 m on placebo (p = 0.06)</w:t>
      </w:r>
      <w:r>
        <w:rPr>
          <w:rStyle w:val="FootnoteReference"/>
        </w:rPr>
        <w:footnoteReference w:id="1879"/>
      </w:r>
      <w:r>
        <w:t xml:space="preserve">. Post hoc subgroup analyses generate hypotheses, not evidence. On this basis, the phase 3 trial NuPOWER</w:t>
      </w:r>
      <w:r>
        <w:rPr>
          <w:rStyle w:val="FootnoteReference"/>
        </w:rPr>
        <w:footnoteReference w:id="1880"/>
      </w:r>
      <w:r>
        <w:t xml:space="preserve"> </w:t>
      </w:r>
      <w:r>
        <w:t xml:space="preserve">with 102 participants was conducted; according to the registry, it was completed in December 2024, and results had not been published at the time of our research.</w:t>
      </w:r>
    </w:p>
    <w:bookmarkEnd w:id="1881"/>
    <w:bookmarkStart w:id="1886" w:name="heart-kidney-eye-and-aging"/>
    <w:p>
      <w:pPr>
        <w:pStyle w:val="Heading4"/>
      </w:pPr>
      <w:r>
        <w:t xml:space="preserve">Heart, kidney, eye and aging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EMBRACE STEMI (Gibson 2016), PMID 26586786</w:t>
            </w:r>
          </w:p>
        </w:tc>
        <w:tc>
          <w:tcPr/>
          <w:p>
            <w:pPr>
              <w:pStyle w:val="Compact"/>
              <w:jc w:val="left"/>
            </w:pPr>
            <w:r>
              <w:t xml:space="preserve">people with first anterior myocardial infarction, infusion during catheter treatment, double-blind</w:t>
            </w:r>
          </w:p>
        </w:tc>
        <w:tc>
          <w:tcPr/>
          <w:p>
            <w:pPr>
              <w:pStyle w:val="Compact"/>
              <w:jc w:val="left"/>
            </w:pPr>
            <w:r>
              <w:t xml:space="preserve">72 hours</w:t>
            </w:r>
          </w:p>
        </w:tc>
        <w:tc>
          <w:tcPr/>
          <w:p>
            <w:pPr>
              <w:pStyle w:val="Compact"/>
              <w:jc w:val="left"/>
            </w:pPr>
            <w:r>
              <w:t xml:space="preserve">infarct size not reduced</w:t>
            </w:r>
          </w:p>
        </w:tc>
      </w:tr>
      <w:tr>
        <w:tc>
          <w:tcPr/>
          <w:p>
            <w:pPr>
              <w:pStyle w:val="Compact"/>
              <w:jc w:val="left"/>
            </w:pPr>
            <w:r>
              <w:t xml:space="preserve">PROGRESS-HF (Butler 2020), PMID 32068002</w:t>
            </w:r>
          </w:p>
        </w:tc>
        <w:tc>
          <w:tcPr/>
          <w:p>
            <w:pPr>
              <w:pStyle w:val="Compact"/>
              <w:jc w:val="left"/>
            </w:pPr>
            <w:r>
              <w:t xml:space="preserve">71 people with heart failure (HFrEF), vs. placebo</w:t>
            </w:r>
          </w:p>
        </w:tc>
        <w:tc>
          <w:tcPr/>
          <w:p>
            <w:pPr>
              <w:pStyle w:val="Compact"/>
              <w:jc w:val="left"/>
            </w:pPr>
            <w:r>
              <w:t xml:space="preserve">4 weeks</w:t>
            </w:r>
          </w:p>
        </w:tc>
        <w:tc>
          <w:tcPr/>
          <w:p>
            <w:pPr>
              <w:pStyle w:val="Compact"/>
              <w:jc w:val="left"/>
            </w:pPr>
            <w:r>
              <w:t xml:space="preserve">no improvement in cardiac volumes</w:t>
            </w:r>
          </w:p>
        </w:tc>
      </w:tr>
      <w:tr>
        <w:tc>
          <w:tcPr/>
          <w:p>
            <w:pPr>
              <w:pStyle w:val="Compact"/>
              <w:jc w:val="left"/>
            </w:pPr>
            <w:r>
              <w:t xml:space="preserve">Daubert 2017, PMID 29217757</w:t>
            </w:r>
          </w:p>
        </w:tc>
        <w:tc>
          <w:tcPr/>
          <w:p>
            <w:pPr>
              <w:pStyle w:val="Compact"/>
              <w:jc w:val="left"/>
            </w:pPr>
            <w:r>
              <w:t xml:space="preserve">36 people with heart failure, single infusion</w:t>
            </w:r>
          </w:p>
        </w:tc>
        <w:tc>
          <w:tcPr/>
          <w:p>
            <w:pPr>
              <w:pStyle w:val="Compact"/>
              <w:jc w:val="left"/>
            </w:pPr>
            <w:r>
              <w:t xml:space="preserve">24 hours</w:t>
            </w:r>
          </w:p>
        </w:tc>
        <w:tc>
          <w:tcPr/>
          <w:p>
            <w:pPr>
              <w:pStyle w:val="Compact"/>
              <w:jc w:val="left"/>
            </w:pPr>
            <w:r>
              <w:t xml:space="preserve">briefly smaller cardiac volumes at the highest dose</w:t>
            </w:r>
          </w:p>
        </w:tc>
      </w:tr>
      <w:tr>
        <w:tc>
          <w:tcPr/>
          <w:p>
            <w:pPr>
              <w:pStyle w:val="Compact"/>
              <w:jc w:val="left"/>
            </w:pPr>
            <w:r>
              <w:t xml:space="preserve">Saad 2017, PMID 28916603</w:t>
            </w:r>
          </w:p>
        </w:tc>
        <w:tc>
          <w:tcPr/>
          <w:p>
            <w:pPr>
              <w:pStyle w:val="Compact"/>
              <w:jc w:val="left"/>
            </w:pPr>
            <w:r>
              <w:t xml:space="preserve">14 people with renal artery stenosis undergoing stenting</w:t>
            </w:r>
          </w:p>
        </w:tc>
        <w:tc>
          <w:tcPr/>
          <w:p>
            <w:pPr>
              <w:pStyle w:val="Compact"/>
              <w:jc w:val="left"/>
            </w:pPr>
            <w:r>
              <w:t xml:space="preserve">3 months</w:t>
            </w:r>
          </w:p>
        </w:tc>
        <w:tc>
          <w:tcPr/>
          <w:p>
            <w:pPr>
              <w:pStyle w:val="Compact"/>
              <w:jc w:val="left"/>
            </w:pPr>
            <w:r>
              <w:t xml:space="preserve">less oxygen deprivation, better renal blood flow (pilot study)</w:t>
            </w:r>
          </w:p>
        </w:tc>
      </w:tr>
      <w:tr>
        <w:tc>
          <w:tcPr/>
          <w:p>
            <w:pPr>
              <w:pStyle w:val="Compact"/>
              <w:jc w:val="left"/>
            </w:pPr>
            <w:r>
              <w:t xml:space="preserve">ReCLAIM-2 (Ehlers 2025), PMID 39605874</w:t>
            </w:r>
          </w:p>
        </w:tc>
        <w:tc>
          <w:tcPr/>
          <w:p>
            <w:pPr>
              <w:pStyle w:val="Compact"/>
              <w:jc w:val="left"/>
            </w:pPr>
            <w:r>
              <w:t xml:space="preserve">176 people with dry macular degeneration, vs. placebo</w:t>
            </w:r>
          </w:p>
        </w:tc>
        <w:tc>
          <w:tcPr/>
          <w:p>
            <w:pPr>
              <w:pStyle w:val="Compact"/>
              <w:jc w:val="left"/>
            </w:pPr>
            <w:r>
              <w:t xml:space="preserve">48 weeks</w:t>
            </w:r>
          </w:p>
        </w:tc>
        <w:tc>
          <w:tcPr/>
          <w:p>
            <w:pPr>
              <w:pStyle w:val="Compact"/>
              <w:jc w:val="left"/>
            </w:pPr>
            <w:r>
              <w:t xml:space="preserve">primary endpoints missed; slower loss of photoreceptor structures (secondary endpoint)</w:t>
            </w:r>
          </w:p>
        </w:tc>
      </w:tr>
      <w:tr>
        <w:tc>
          <w:tcPr/>
          <w:p>
            <w:pPr>
              <w:pStyle w:val="Compact"/>
              <w:jc w:val="left"/>
            </w:pPr>
            <w:r>
              <w:t xml:space="preserve">Roshanravan 2021, PMID 34264994</w:t>
            </w:r>
          </w:p>
        </w:tc>
        <w:tc>
          <w:tcPr/>
          <w:p>
            <w:pPr>
              <w:pStyle w:val="Compact"/>
              <w:jc w:val="left"/>
            </w:pPr>
            <w:r>
              <w:t xml:space="preserve">39 healthy older people, single infusion vs. placebo</w:t>
            </w:r>
          </w:p>
        </w:tc>
        <w:tc>
          <w:tcPr/>
          <w:p>
            <w:pPr>
              <w:pStyle w:val="Compact"/>
              <w:jc w:val="left"/>
            </w:pPr>
            <w:r>
              <w:t xml:space="preserve">7 days</w:t>
            </w:r>
          </w:p>
        </w:tc>
        <w:tc>
          <w:tcPr/>
          <w:p>
            <w:pPr>
              <w:pStyle w:val="Compact"/>
              <w:jc w:val="left"/>
            </w:pPr>
            <w:r>
              <w:t xml:space="preserve">briefly higher energy capacity in a hand muscle, but no better fatigue resistance</w:t>
            </w:r>
          </w:p>
        </w:tc>
      </w:tr>
    </w:tbl>
    <w:p>
      <w:pPr>
        <w:pStyle w:val="BodyText"/>
      </w:pPr>
      <w:r>
        <w:t xml:space="preserve">The pattern is striking: in</w:t>
      </w:r>
      <w:r>
        <w:t xml:space="preserve"> </w:t>
      </w:r>
      <w:r>
        <w:rPr>
          <w:bCs/>
          <w:b/>
        </w:rPr>
        <w:t xml:space="preserve">heart attack</w:t>
      </w:r>
      <w:r>
        <w:t xml:space="preserve"> </w:t>
      </w:r>
      <w:r>
        <w:t xml:space="preserve">and</w:t>
      </w:r>
      <w:r>
        <w:t xml:space="preserve"> </w:t>
      </w:r>
      <w:r>
        <w:rPr>
          <w:bCs/>
          <w:b/>
        </w:rPr>
        <w:t xml:space="preserve">heart failure</w:t>
      </w:r>
      <w:r>
        <w:t xml:space="preserve">, the larger controlled trials showed no benefit</w:t>
      </w:r>
      <w:r>
        <w:rPr>
          <w:rStyle w:val="FootnoteReference"/>
        </w:rPr>
        <w:footnoteReference w:id="1882"/>
      </w:r>
      <w:r>
        <w:t xml:space="preserve">. In</w:t>
      </w:r>
      <w:r>
        <w:t xml:space="preserve"> </w:t>
      </w:r>
      <w:r>
        <w:rPr>
          <w:bCs/>
          <w:b/>
        </w:rPr>
        <w:t xml:space="preserve">dry macular degeneration</w:t>
      </w:r>
      <w:r>
        <w:t xml:space="preserve">, a common cause of vision loss in old age, ReCLAIM-2 missed both primary endpoints (low-luminance visual acuity and growth of the damaged retinal area); a prespecified secondary endpoint – loss of the photoreceptor layer – progressed more slowly on elamipretide</w:t>
      </w:r>
      <w:r>
        <w:rPr>
          <w:rStyle w:val="FootnoteReference"/>
        </w:rPr>
        <w:footnoteReference w:id="1883"/>
      </w:r>
      <w:r>
        <w:t xml:space="preserve">. This measure now serves as the primary endpoint of the ongoing phase 3 trial ReNEW</w:t>
      </w:r>
      <w:r>
        <w:rPr>
          <w:rStyle w:val="FootnoteReference"/>
        </w:rPr>
        <w:footnoteReference w:id="1884"/>
      </w:r>
      <w:r>
        <w:t xml:space="preserve">.</w:t>
      </w:r>
    </w:p>
    <w:p>
      <w:pPr>
        <w:pStyle w:val="BodyText"/>
      </w:pPr>
      <w:r>
        <w:t xml:space="preserve">Of interest to the longevity scene is the study in older people: a single infusion increased the energy capacity of a hand muscle immediately afterward; after seven days the effect had disappeared, and muscle endurance did not improve</w:t>
      </w:r>
      <w:r>
        <w:rPr>
          <w:rStyle w:val="FootnoteReference"/>
        </w:rPr>
        <w:footnoteReference w:id="1885"/>
      </w:r>
      <w:r>
        <w:t xml:space="preserve">. No</w:t>
      </w:r>
      <w:r>
        <w:t xml:space="preserve"> </w:t>
      </w:r>
      <w:r>
        <w:t xml:space="preserve">“</w:t>
      </w:r>
      <w:r>
        <w:t xml:space="preserve">anti-aging</w:t>
      </w:r>
      <w:r>
        <w:t xml:space="preserve">”</w:t>
      </w:r>
      <w:r>
        <w:t xml:space="preserve"> </w:t>
      </w:r>
      <w:r>
        <w:t xml:space="preserve">benefit can be derived from this.</w:t>
      </w:r>
    </w:p>
    <w:bookmarkEnd w:id="1886"/>
    <w:bookmarkEnd w:id="1887"/>
    <w:bookmarkStart w:id="1891" w:name="animal-and-laboratory-studies-43"/>
    <w:p>
      <w:pPr>
        <w:pStyle w:val="Heading3"/>
      </w:pPr>
      <w:r>
        <w:t xml:space="preserve">Animal and laboratory studies</w:t>
      </w:r>
    </w:p>
    <w:p>
      <w:pPr>
        <w:pStyle w:val="FirstParagraph"/>
      </w:pPr>
      <w:r>
        <w:t xml:space="preserve">In animal models, favorable effects have been described in heart failure, kidney damage, muscle weakness, and eye and nerve diseases</w:t>
      </w:r>
      <w:r>
        <w:rPr>
          <w:rStyle w:val="FootnoteReference"/>
        </w:rPr>
        <w:footnoteReference w:id="1888"/>
      </w:r>
      <w:r>
        <w:t xml:space="preserve">. In dogs with advanced heart failure, long-term treatment improved pumping function and mitochondrial function</w:t>
      </w:r>
      <w:r>
        <w:rPr>
          <w:rStyle w:val="FootnoteReference"/>
        </w:rPr>
        <w:footnoteReference w:id="1889"/>
      </w:r>
      <w:r>
        <w:t xml:space="preserve">. In a rat model of heart failure with preserved ejection fraction, elamipretide improved the energy metabolism of the heart muscle but not cardiac function</w:t>
      </w:r>
      <w:r>
        <w:rPr>
          <w:rStyle w:val="FootnoteReference"/>
        </w:rPr>
        <w:footnoteReference w:id="1890"/>
      </w:r>
      <w:r>
        <w:t xml:space="preserve">. This discrepancy between better energy metabolism and a lack of clinical benefit is mirrored in the human studies.</w:t>
      </w:r>
    </w:p>
    <w:bookmarkEnd w:id="1891"/>
    <w:bookmarkStart w:id="1896" w:name="risks-and-side-effects-43"/>
    <w:p>
      <w:pPr>
        <w:pStyle w:val="Heading3"/>
      </w:pPr>
      <w:r>
        <w:t xml:space="preserve">Risks and side effects</w:t>
      </w:r>
    </w:p>
    <w:p>
      <w:pPr>
        <w:pStyle w:val="FirstParagraph"/>
      </w:pPr>
      <w:r>
        <w:rPr>
          <w:bCs/>
          <w:b/>
        </w:rPr>
        <w:t xml:space="preserve">Established:</w:t>
      </w:r>
    </w:p>
    <w:p>
      <w:pPr>
        <w:numPr>
          <w:ilvl w:val="0"/>
          <w:numId w:val="1237"/>
        </w:numPr>
        <w:pStyle w:val="Compact"/>
      </w:pPr>
      <w:r>
        <w:t xml:space="preserve">The most common side effects are</w:t>
      </w:r>
      <w:r>
        <w:t xml:space="preserve"> </w:t>
      </w:r>
      <w:r>
        <w:rPr>
          <w:bCs/>
          <w:b/>
        </w:rPr>
        <w:t xml:space="preserve">injection site reactions</w:t>
      </w:r>
      <w:r>
        <w:t xml:space="preserve"> </w:t>
      </w:r>
      <w:r>
        <w:t xml:space="preserve">(itching, pain, bruising, redness). In MMPOWER-2, they occurred in 80% of those treated, mostly mild</w:t>
      </w:r>
      <w:r>
        <w:rPr>
          <w:rStyle w:val="FootnoteReference"/>
        </w:rPr>
        <w:footnoteReference w:id="1892"/>
      </w:r>
      <w:r>
        <w:t xml:space="preserve">. In ReCLAIM-2, 86% on elamipretide and 71% on placebo reported some adverse event</w:t>
      </w:r>
      <w:r>
        <w:rPr>
          <w:rStyle w:val="FootnoteReference"/>
        </w:rPr>
        <w:footnoteReference w:id="1893"/>
      </w:r>
      <w:r>
        <w:t xml:space="preserve">.</w:t>
      </w:r>
    </w:p>
    <w:p>
      <w:pPr>
        <w:numPr>
          <w:ilvl w:val="0"/>
          <w:numId w:val="1237"/>
        </w:numPr>
        <w:pStyle w:val="Compact"/>
      </w:pPr>
      <w:r>
        <w:t xml:space="preserve">Serious side effects were not more frequent in the trials; in MMPOWER-3, events were predominantly mild to moderate</w:t>
      </w:r>
      <w:r>
        <w:rPr>
          <w:rStyle w:val="FootnoteReference"/>
        </w:rPr>
        <w:footnoteReference w:id="1894"/>
      </w:r>
      <w:r>
        <w:t xml:space="preserve">.</w:t>
      </w:r>
    </w:p>
    <w:p>
      <w:pPr>
        <w:numPr>
          <w:ilvl w:val="0"/>
          <w:numId w:val="1237"/>
        </w:numPr>
        <w:pStyle w:val="Compact"/>
      </w:pPr>
      <w:r>
        <w:t xml:space="preserve">Long-term data exist only for a few people with Barth syndrome over a little more than three years</w:t>
      </w:r>
      <w:r>
        <w:rPr>
          <w:rStyle w:val="FootnoteReference"/>
        </w:rPr>
        <w:footnoteReference w:id="1895"/>
      </w:r>
      <w:r>
        <w:t xml:space="preserve">.</w:t>
      </w:r>
    </w:p>
    <w:p>
      <w:pPr>
        <w:pStyle w:val="FirstParagraph"/>
      </w:pPr>
      <w:r>
        <w:rPr>
          <w:bCs/>
          <w:b/>
        </w:rPr>
        <w:t xml:space="preserve">Theoretical:</w:t>
      </w:r>
      <w:r>
        <w:t xml:space="preserve"> </w:t>
      </w:r>
      <w:r>
        <w:t xml:space="preserve">An agent that continuously intervenes in the mitochondria of all body cells could have unknown effects with years of use in healthy people; there are no data on this.</w:t>
      </w:r>
    </w:p>
    <w:p>
      <w:pPr>
        <w:pStyle w:val="BodyText"/>
      </w:pPr>
      <w:r>
        <w:rPr>
          <w:bCs/>
          <w:b/>
        </w:rPr>
        <w:t xml:space="preserve">Gray market:</w:t>
      </w:r>
      <w:r>
        <w:t xml:space="preserve"> </w:t>
      </w:r>
      <w:r>
        <w:t xml:space="preserve">“</w:t>
      </w:r>
      <w:r>
        <w:t xml:space="preserve">SS-31</w:t>
      </w:r>
      <w:r>
        <w:t xml:space="preserve">”</w:t>
      </w:r>
      <w:r>
        <w:t xml:space="preserve"> </w:t>
      </w:r>
      <w:r>
        <w:t xml:space="preserve">is sold online as powder for injection for</w:t>
      </w:r>
      <w:r>
        <w:t xml:space="preserve"> </w:t>
      </w:r>
      <w:r>
        <w:t xml:space="preserve">“</w:t>
      </w:r>
      <w:r>
        <w:t xml:space="preserve">mitochondrial rejuvenation.</w:t>
      </w:r>
      <w:r>
        <w:t xml:space="preserve">”</w:t>
      </w:r>
      <w:r>
        <w:t xml:space="preserve"> </w:t>
      </w:r>
      <w:r>
        <w:t xml:space="preserve">These products are not the approved medicine; content and purity are unverified. No benefit has been demonstrated for healthy people.</w:t>
      </w:r>
    </w:p>
    <w:bookmarkEnd w:id="1896"/>
    <w:bookmarkStart w:id="1898" w:name="legal-status-43"/>
    <w:p>
      <w:pPr>
        <w:pStyle w:val="Heading3"/>
      </w:pPr>
      <w:r>
        <w:t xml:space="preserve">Legal status</w:t>
      </w:r>
    </w:p>
    <w:p>
      <w:pPr>
        <w:numPr>
          <w:ilvl w:val="0"/>
          <w:numId w:val="1238"/>
        </w:numPr>
        <w:pStyle w:val="Compact"/>
      </w:pPr>
      <w:r>
        <w:rPr>
          <w:bCs/>
          <w:b/>
        </w:rPr>
        <w:t xml:space="preserve">EU / Austria / Germany:</w:t>
      </w:r>
      <w:r>
        <w:t xml:space="preserve"> </w:t>
      </w:r>
      <w:r>
        <w:t xml:space="preserve">not approved. Elamipretide is a medicine; use is possible only within studies or compassionate use programs.</w:t>
      </w:r>
    </w:p>
    <w:p>
      <w:pPr>
        <w:numPr>
          <w:ilvl w:val="0"/>
          <w:numId w:val="1238"/>
        </w:numPr>
        <w:pStyle w:val="Compact"/>
      </w:pPr>
      <w:r>
        <w:rPr>
          <w:bCs/>
          <w:b/>
        </w:rPr>
        <w:t xml:space="preserve">USA:</w:t>
      </w:r>
      <w:r>
        <w:t xml:space="preserve"> </w:t>
      </w:r>
      <w:r>
        <w:t xml:space="preserve">granted accelerated approval (Forzinity, September 2025) only for Barth syndrome in patients weighing at least 30 kg; refer to the prescribing information and medical supervision. For other diseases, there is an expanded access program</w:t>
      </w:r>
      <w:r>
        <w:rPr>
          <w:rStyle w:val="FootnoteReference"/>
        </w:rPr>
        <w:footnoteReference w:id="1897"/>
      </w:r>
      <w:r>
        <w:t xml:space="preserve">.</w:t>
      </w:r>
    </w:p>
    <w:p>
      <w:pPr>
        <w:numPr>
          <w:ilvl w:val="0"/>
          <w:numId w:val="1238"/>
        </w:numPr>
        <w:pStyle w:val="Compact"/>
      </w:pPr>
      <w:r>
        <w:rPr>
          <w:bCs/>
          <w:b/>
        </w:rPr>
        <w:t xml:space="preserve">Sport:</w:t>
      </w:r>
      <w:r>
        <w:t xml:space="preserve"> </w:t>
      </w:r>
      <w:r>
        <w:t xml:space="preserve">not listed by name on the WADA list (as of 2026, please check for updates).</w:t>
      </w:r>
    </w:p>
    <w:bookmarkEnd w:id="1898"/>
    <w:bookmarkStart w:id="1903" w:name="ongoing-studies-and-outlook-43"/>
    <w:p>
      <w:pPr>
        <w:pStyle w:val="Heading3"/>
      </w:pPr>
      <w:r>
        <w:t xml:space="preserve">Ongoing studies and outlook</w:t>
      </w:r>
    </w:p>
    <w:p>
      <w:pPr>
        <w:pStyle w:val="FirstParagraph"/>
      </w:pPr>
      <w:r>
        <w:rPr>
          <w:bCs/>
          <w:b/>
        </w:rPr>
        <w:t xml:space="preserve">Established (registered studies, as of October 2026):</w:t>
      </w:r>
    </w:p>
    <w:p>
      <w:pPr>
        <w:numPr>
          <w:ilvl w:val="0"/>
          <w:numId w:val="1239"/>
        </w:numPr>
        <w:pStyle w:val="Compact"/>
      </w:pPr>
      <w:r>
        <w:rPr>
          <w:bCs/>
          <w:b/>
        </w:rPr>
        <w:t xml:space="preserve">ReNEW</w:t>
      </w:r>
      <w:r>
        <w:rPr>
          <w:rStyle w:val="FootnoteReference"/>
        </w:rPr>
        <w:footnoteReference w:id="1899"/>
      </w:r>
      <w:r>
        <w:t xml:space="preserve">: phase 3 in dry macular degeneration, 313 participants, recruitment completed, planned completion 2027.</w:t>
      </w:r>
    </w:p>
    <w:p>
      <w:pPr>
        <w:numPr>
          <w:ilvl w:val="0"/>
          <w:numId w:val="1239"/>
        </w:numPr>
        <w:pStyle w:val="Compact"/>
      </w:pPr>
      <w:r>
        <w:rPr>
          <w:bCs/>
          <w:b/>
        </w:rPr>
        <w:t xml:space="preserve">4TAZPower</w:t>
      </w:r>
      <w:r>
        <w:rPr>
          <w:rStyle w:val="FootnoteReference"/>
        </w:rPr>
        <w:footnoteReference w:id="1900"/>
      </w:r>
      <w:r>
        <w:t xml:space="preserve">: confirmatory trial in Barth syndrome with 48 planned participants, recruiting.</w:t>
      </w:r>
    </w:p>
    <w:p>
      <w:pPr>
        <w:numPr>
          <w:ilvl w:val="0"/>
          <w:numId w:val="1239"/>
        </w:numPr>
        <w:pStyle w:val="Compact"/>
      </w:pPr>
      <w:r>
        <w:rPr>
          <w:bCs/>
          <w:b/>
        </w:rPr>
        <w:t xml:space="preserve">NuPOWER</w:t>
      </w:r>
      <w:r>
        <w:rPr>
          <w:rStyle w:val="FootnoteReference"/>
        </w:rPr>
        <w:footnoteReference w:id="1901"/>
      </w:r>
      <w:r>
        <w:t xml:space="preserve">: phase 3 in mitochondrial disease due to nuclear DNA mutations, 102 participants, completed; results pending.</w:t>
      </w:r>
    </w:p>
    <w:p>
      <w:pPr>
        <w:numPr>
          <w:ilvl w:val="0"/>
          <w:numId w:val="1239"/>
        </w:numPr>
        <w:pStyle w:val="Compact"/>
      </w:pPr>
      <w:r>
        <w:t xml:space="preserve">A small phase 2 trial in healthy older people is examining physical function</w:t>
      </w:r>
      <w:r>
        <w:rPr>
          <w:rStyle w:val="FootnoteReference"/>
        </w:rPr>
        <w:footnoteReference w:id="1902"/>
      </w:r>
      <w:r>
        <w:t xml:space="preserve">.</w:t>
      </w:r>
    </w:p>
    <w:p>
      <w:pPr>
        <w:pStyle w:val="FirstParagraph"/>
      </w:pPr>
      <w:r>
        <w:rPr>
          <w:bCs/>
          <w:b/>
        </w:rPr>
        <w:t xml:space="preserve">Assessment:</w:t>
      </w:r>
      <w:r>
        <w:t xml:space="preserve"> </w:t>
      </w:r>
      <w:r>
        <w:t xml:space="preserve">Whether elamipretide finds a place beyond Barth syndrome will be decided by ReNEW and NuPOWER. The experience from MMPOWER-3, EMBRACE and PROGRESS-HF counsels caution: a convincing mechanism does not guarantee clinical benefit.</w:t>
      </w:r>
    </w:p>
    <w:bookmarkEnd w:id="1903"/>
    <w:bookmarkStart w:id="1904" w:name="conclusion-43"/>
    <w:p>
      <w:pPr>
        <w:pStyle w:val="Heading3"/>
      </w:pPr>
      <w:r>
        <w:t xml:space="preserve">Conclusion</w:t>
      </w:r>
    </w:p>
    <w:p>
      <w:pPr>
        <w:pStyle w:val="FirstParagraph"/>
      </w:pPr>
      <w:r>
        <w:t xml:space="preserve">Elamipretide (SS-31) is a tetrapeptide that binds to cardiolipin in the mitochondria and, as the first mitochondrial drug, received accelerated approval in the USA in 2025 for the very rare Barth syndrome – based on a study of twelve people whose controlled part missed its primary endpoints, and on open-label long-term data. In larger randomized trials in mitochondrial myopathy, heart attack, heart failure and macular degeneration, the primary endpoints were not met. The drug is well tolerated; injection site reactions in particular are common. For healthy people or as an</w:t>
      </w:r>
      <w:r>
        <w:t xml:space="preserve"> </w:t>
      </w:r>
      <w:r>
        <w:t xml:space="preserve">“</w:t>
      </w:r>
      <w:r>
        <w:t xml:space="preserve">anti-aging</w:t>
      </w:r>
      <w:r>
        <w:t xml:space="preserve">”</w:t>
      </w:r>
      <w:r>
        <w:t xml:space="preserve"> </w:t>
      </w:r>
      <w:r>
        <w:t xml:space="preserve">agent, there is no demonstrated benefit.</w:t>
      </w:r>
    </w:p>
    <w:bookmarkEnd w:id="1904"/>
    <w:bookmarkEnd w:id="1905"/>
    <w:bookmarkStart w:id="1924" w:name="foxo4-dri"/>
    <w:p>
      <w:pPr>
        <w:pStyle w:val="Heading2"/>
      </w:pPr>
      <w:r>
        <w:t xml:space="preserve">FOXO4-DRI</w:t>
      </w:r>
    </w:p>
    <w:bookmarkStart w:id="1906" w:name="profile-44"/>
    <w:p>
      <w:pPr>
        <w:pStyle w:val="Heading3"/>
      </w:pPr>
      <w:r>
        <w:t xml:space="preserve">Profile</w:t>
      </w:r>
    </w:p>
    <w:p>
      <w:pPr>
        <w:numPr>
          <w:ilvl w:val="0"/>
          <w:numId w:val="1240"/>
        </w:numPr>
        <w:pStyle w:val="Compact"/>
      </w:pPr>
      <w:r>
        <w:rPr>
          <w:bCs/>
          <w:b/>
        </w:rPr>
        <w:t xml:space="preserve">Type and structure:</w:t>
      </w:r>
      <w:r>
        <w:t xml:space="preserve"> </w:t>
      </w:r>
      <w:r>
        <w:t xml:space="preserve">comparatively long synthetic peptide derived from a segment of the protein FOXO4.</w:t>
      </w:r>
      <w:r>
        <w:t xml:space="preserve"> </w:t>
      </w:r>
      <w:r>
        <w:t xml:space="preserve">“</w:t>
      </w:r>
      <w:r>
        <w:t xml:space="preserve">DRI</w:t>
      </w:r>
      <w:r>
        <w:t xml:space="preserve">”</w:t>
      </w:r>
      <w:r>
        <w:t xml:space="preserve"> </w:t>
      </w:r>
      <w:r>
        <w:t xml:space="preserve">stands for</w:t>
      </w:r>
      <w:r>
        <w:t xml:space="preserve"> </w:t>
      </w:r>
      <w:r>
        <w:rPr>
          <w:iCs/>
          <w:i/>
        </w:rPr>
        <w:t xml:space="preserve">D-retro-inverso</w:t>
      </w:r>
      <w:r>
        <w:t xml:space="preserve">: the peptide is built from mirror-image D-amino acids in reverse order. As a result, it is hardly broken down by the body’s own enzymes. An attached, positively charged segment (derived from a viral protein) is intended to smuggle it into cells.</w:t>
      </w:r>
    </w:p>
    <w:p>
      <w:pPr>
        <w:numPr>
          <w:ilvl w:val="0"/>
          <w:numId w:val="1240"/>
        </w:numPr>
        <w:pStyle w:val="Compact"/>
      </w:pPr>
      <w:r>
        <w:rPr>
          <w:bCs/>
          <w:b/>
        </w:rPr>
        <w:t xml:space="preserve">Origin:</w:t>
      </w:r>
      <w:r>
        <w:t xml:space="preserve"> </w:t>
      </w:r>
      <w:r>
        <w:t xml:space="preserve">introduced in 2017 by a Dutch research group led by Peter de Keizer (Erasmus MC Rotterdam).</w:t>
      </w:r>
    </w:p>
    <w:p>
      <w:pPr>
        <w:numPr>
          <w:ilvl w:val="0"/>
          <w:numId w:val="1240"/>
        </w:numPr>
        <w:pStyle w:val="Compact"/>
      </w:pPr>
      <w:r>
        <w:rPr>
          <w:bCs/>
          <w:b/>
        </w:rPr>
        <w:t xml:space="preserve">Mechanism of action:</w:t>
      </w:r>
      <w:r>
        <w:t xml:space="preserve"> </w:t>
      </w:r>
      <w:r>
        <w:rPr>
          <w:bCs/>
          <w:b/>
        </w:rPr>
        <w:t xml:space="preserve">senolytic</w:t>
      </w:r>
      <w:r>
        <w:t xml:space="preserve"> </w:t>
      </w:r>
      <w:r>
        <w:t xml:space="preserve">– a substance intended to drive aged, so-called senescent cells specifically into programmed cell death by disrupting the binding between FOXO4 and the protective protein p53.</w:t>
      </w:r>
    </w:p>
    <w:p>
      <w:pPr>
        <w:numPr>
          <w:ilvl w:val="0"/>
          <w:numId w:val="1240"/>
        </w:numPr>
        <w:pStyle w:val="Compact"/>
      </w:pPr>
      <w:r>
        <w:rPr>
          <w:bCs/>
          <w:b/>
        </w:rPr>
        <w:t xml:space="preserve">EU approval:</w:t>
      </w:r>
      <w:r>
        <w:t xml:space="preserve"> </w:t>
      </w:r>
      <w:r>
        <w:t xml:space="preserve">no.</w:t>
      </w:r>
    </w:p>
    <w:p>
      <w:pPr>
        <w:numPr>
          <w:ilvl w:val="0"/>
          <w:numId w:val="1240"/>
        </w:numPr>
        <w:pStyle w:val="Compact"/>
      </w:pPr>
      <w:r>
        <w:rPr>
          <w:bCs/>
          <w:b/>
        </w:rPr>
        <w:t xml:space="preserve">US approval:</w:t>
      </w:r>
      <w:r>
        <w:t xml:space="preserve"> </w:t>
      </w:r>
      <w:r>
        <w:t xml:space="preserve">no.</w:t>
      </w:r>
    </w:p>
    <w:p>
      <w:pPr>
        <w:numPr>
          <w:ilvl w:val="0"/>
          <w:numId w:val="1240"/>
        </w:numPr>
        <w:pStyle w:val="Compact"/>
      </w:pPr>
      <w:r>
        <w:rPr>
          <w:bCs/>
          <w:b/>
        </w:rPr>
        <w:t xml:space="preserve">WADA:</w:t>
      </w:r>
      <w:r>
        <w:t xml:space="preserve"> </w:t>
      </w:r>
      <w:r>
        <w:t xml:space="preserve">not listed by name; as a substance not approved anywhere, FOXO4-DRI falls in our assessment under the catch-all category S0.</w:t>
      </w:r>
    </w:p>
    <w:p>
      <w:pPr>
        <w:numPr>
          <w:ilvl w:val="0"/>
          <w:numId w:val="1240"/>
        </w:numPr>
        <w:pStyle w:val="Compact"/>
      </w:pPr>
      <w:r>
        <w:rPr>
          <w:bCs/>
          <w:b/>
        </w:rPr>
        <w:t xml:space="preserve">Evidence level:</w:t>
      </w:r>
      <w:r>
        <w:t xml:space="preserve"> </w:t>
      </w:r>
      <w:r>
        <w:rPr>
          <w:bCs/>
          <w:b/>
        </w:rPr>
        <w:t xml:space="preserve">D</w:t>
      </w:r>
      <w:r>
        <w:t xml:space="preserve"> </w:t>
      </w:r>
      <w:r>
        <w:t xml:space="preserve">– exclusively animal and laboratory studies.</w:t>
      </w:r>
    </w:p>
    <w:bookmarkEnd w:id="1906"/>
    <w:bookmarkStart w:id="1912" w:name="how-it-is-supposed-to-work-44"/>
    <w:p>
      <w:pPr>
        <w:pStyle w:val="Heading3"/>
      </w:pPr>
      <w:r>
        <w:t xml:space="preserve">How it is supposed to work</w:t>
      </w:r>
    </w:p>
    <w:p>
      <w:pPr>
        <w:pStyle w:val="FirstParagraph"/>
      </w:pPr>
      <w:r>
        <w:rPr>
          <w:bCs/>
          <w:b/>
        </w:rPr>
        <w:t xml:space="preserve">Senescent cells</w:t>
      </w:r>
      <w:r>
        <w:t xml:space="preserve"> </w:t>
      </w:r>
      <w:r>
        <w:t xml:space="preserve">are cells that, after damage – for example from radiation, chemotherapy, oxidative stress or simply many divisions – no longer divide but also do not die. They remain in the tissue and release a mixture of inflammatory messengers and tissue-degrading enzymes known as SASP (</w:t>
      </w:r>
      <w:r>
        <w:rPr>
          <w:iCs/>
          <w:i/>
        </w:rPr>
        <w:t xml:space="preserve">senescence-associated secretory phenotype</w:t>
      </w:r>
      <w:r>
        <w:t xml:space="preserve">). With age, they increase in many organs. In mice in which such cells were specifically removed genetically, various signs of aging were delayed. This gave rise to the idea of</w:t>
      </w:r>
      <w:r>
        <w:t xml:space="preserve"> </w:t>
      </w:r>
      <w:r>
        <w:rPr>
          <w:bCs/>
          <w:b/>
        </w:rPr>
        <w:t xml:space="preserve">senolytics</w:t>
      </w:r>
      <w:r>
        <w:t xml:space="preserve">: drugs that eliminate senescent cells.</w:t>
      </w:r>
    </w:p>
    <w:p>
      <w:pPr>
        <w:pStyle w:val="BodyText"/>
      </w:pPr>
      <w:r>
        <w:t xml:space="preserve">Senescent cells survive in part because they suppress self-destruction programs. The Rotterdam group found that the protein FOXO4 plays a key role in this: it holds the protein p53, which would otherwise trigger cell death, in the cell nucleus. The peptide FOXO4-DRI disrupts this binding; p53 is displaced from the nucleus, and the senescent cell dies. Healthy, normally dividing cells are said to be largely spared</w:t>
      </w:r>
      <w:r>
        <w:rPr>
          <w:rStyle w:val="FootnoteReference"/>
        </w:rPr>
        <w:footnoteReference w:id="1907"/>
      </w:r>
      <w:r>
        <w:t xml:space="preserve">. Structural studies from 2025 confirmed that FOXO4-DRI binds to a disordered segment of p53 – with the cell-penetrating segment of the peptide also involved in the binding</w:t>
      </w:r>
      <w:r>
        <w:rPr>
          <w:rStyle w:val="FootnoteReference"/>
        </w:rPr>
        <w:footnoteReference w:id="1908"/>
      </w:r>
      <w:r>
        <w:t xml:space="preserve">.</w:t>
      </w:r>
    </w:p>
    <w:bookmarkStart w:id="1911" w:name="senolytics-in-humans-the-context"/>
    <w:p>
      <w:pPr>
        <w:pStyle w:val="Heading4"/>
      </w:pPr>
      <w:r>
        <w:t xml:space="preserve">Senolytics in humans: the context</w:t>
      </w:r>
    </w:p>
    <w:p>
      <w:pPr>
        <w:pStyle w:val="FirstParagraph"/>
      </w:pPr>
      <w:r>
        <w:t xml:space="preserve">FOXO4-DRI itself has never been tested in humans. For context, it helps to look at other senolytics that have already been studied clinically – above all the combination of the cancer drug dasatinib and the plant compound quercetin (D+Q for short):</w:t>
      </w:r>
    </w:p>
    <w:p>
      <w:pPr>
        <w:numPr>
          <w:ilvl w:val="0"/>
          <w:numId w:val="1241"/>
        </w:numPr>
        <w:pStyle w:val="Compact"/>
      </w:pPr>
      <w:r>
        <w:t xml:space="preserve">In a first open-label pilot study with 14 people with idiopathic pulmonary fibrosis, walking distance and gait speed improved, but lung function did not; one serious adverse event occurred</w:t>
      </w:r>
      <w:r>
        <w:rPr>
          <w:rStyle w:val="FootnoteReference"/>
        </w:rPr>
        <w:footnoteReference w:id="1909"/>
      </w:r>
      <w:r>
        <w:t xml:space="preserve">.</w:t>
      </w:r>
    </w:p>
    <w:p>
      <w:pPr>
        <w:numPr>
          <w:ilvl w:val="0"/>
          <w:numId w:val="1241"/>
        </w:numPr>
        <w:pStyle w:val="Compact"/>
      </w:pPr>
      <w:r>
        <w:t xml:space="preserve">In a randomized phase 2 trial with 60 postmenopausal women, D+Q did not reduce the bone resorption marker (primary endpoint missed); only in a subgroup with many senescent cells, examined post hoc, were favorable effects seen</w:t>
      </w:r>
      <w:r>
        <w:rPr>
          <w:rStyle w:val="FootnoteReference"/>
        </w:rPr>
        <w:footnoteReference w:id="1910"/>
      </w:r>
      <w:r>
        <w:t xml:space="preserve">.</w:t>
      </w:r>
    </w:p>
    <w:p>
      <w:pPr>
        <w:pStyle w:val="FirstParagraph"/>
      </w:pPr>
      <w:r>
        <w:t xml:space="preserve">Clinical senolytics research is thus still in its infancy, and the first controlled results are modest. That is the background against which FOXO4-DRI is sold on the internet as a</w:t>
      </w:r>
      <w:r>
        <w:t xml:space="preserve"> </w:t>
      </w:r>
      <w:r>
        <w:t xml:space="preserve">“</w:t>
      </w:r>
      <w:r>
        <w:t xml:space="preserve">rejuvenation peptide.</w:t>
      </w:r>
      <w:r>
        <w:t xml:space="preserve">”</w:t>
      </w:r>
    </w:p>
    <w:bookmarkEnd w:id="1911"/>
    <w:bookmarkEnd w:id="1912"/>
    <w:bookmarkStart w:id="1914" w:name="human-studies-44"/>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w:t>
      </w:r>
      <w:r>
        <w:t xml:space="preserve"> </w:t>
      </w:r>
      <w:r>
        <w:rPr>
          <w:bCs/>
          <w:b/>
        </w:rPr>
        <w:t xml:space="preserve">no</w:t>
      </w:r>
      <w:r>
        <w:t xml:space="preserve"> </w:t>
      </w:r>
      <w:r>
        <w:t xml:space="preserve">human study with FOXO4-DRI; in total, PubMed lists around 20 papers with the term. No study is registered on ClinicalTrials.gov. No case reports on use in humans or analyses of gray-market products were found either.</w:t>
      </w:r>
    </w:p>
    <w:p>
      <w:pPr>
        <w:pStyle w:val="BodyText"/>
      </w:pPr>
      <w:r>
        <w:t xml:space="preserve">The closest to humans is a laboratory study with human cartilage cells: in cells that had been expanded in the laboratory for cartilage transplantation, FOXO4-DRI removed more than half of the heavily expanded (and therefore more often senescent) cells but did not improve the ability to form new cartilage</w:t>
      </w:r>
      <w:r>
        <w:rPr>
          <w:rStyle w:val="FootnoteReference"/>
        </w:rPr>
        <w:footnoteReference w:id="1913"/>
      </w:r>
      <w:r>
        <w:t xml:space="preserve">.</w:t>
      </w:r>
    </w:p>
    <w:bookmarkEnd w:id="1914"/>
    <w:bookmarkStart w:id="1917" w:name="animal-and-laboratory-studies-44"/>
    <w:p>
      <w:pPr>
        <w:pStyle w:val="Heading3"/>
      </w:pPr>
      <w:r>
        <w:t xml:space="preserve">Animal and laboratory studies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Model</w:t>
            </w:r>
          </w:p>
        </w:tc>
        <w:tc>
          <w:tcPr/>
          <w:p>
            <w:pPr>
              <w:pStyle w:val="Compact"/>
              <w:jc w:val="left"/>
            </w:pPr>
            <w:r>
              <w:t xml:space="preserve">Result</w:t>
            </w:r>
          </w:p>
        </w:tc>
      </w:tr>
      <w:tr>
        <w:tc>
          <w:tcPr/>
          <w:p>
            <w:pPr>
              <w:pStyle w:val="Compact"/>
              <w:jc w:val="left"/>
            </w:pPr>
            <w:r>
              <w:t xml:space="preserve">Baar 2017, PMID 28340339</w:t>
            </w:r>
          </w:p>
        </w:tc>
        <w:tc>
          <w:tcPr/>
          <w:p>
            <w:pPr>
              <w:pStyle w:val="Compact"/>
              <w:jc w:val="left"/>
            </w:pPr>
            <w:r>
              <w:t xml:space="preserve">rapidly aging and naturally aged mice; chemotherapy damage</w:t>
            </w:r>
          </w:p>
        </w:tc>
        <w:tc>
          <w:tcPr/>
          <w:p>
            <w:pPr>
              <w:pStyle w:val="Compact"/>
              <w:jc w:val="left"/>
            </w:pPr>
            <w:r>
              <w:t xml:space="preserve">better fitness, denser fur, better kidney function; protection against doxorubicin damage</w:t>
            </w:r>
          </w:p>
        </w:tc>
      </w:tr>
      <w:tr>
        <w:tc>
          <w:tcPr/>
          <w:p>
            <w:pPr>
              <w:pStyle w:val="Compact"/>
              <w:jc w:val="left"/>
            </w:pPr>
            <w:r>
              <w:t xml:space="preserve">Zhang 2020, PMID 31959736</w:t>
            </w:r>
          </w:p>
        </w:tc>
        <w:tc>
          <w:tcPr/>
          <w:p>
            <w:pPr>
              <w:pStyle w:val="Compact"/>
              <w:jc w:val="left"/>
            </w:pPr>
            <w:r>
              <w:t xml:space="preserve">naturally aged mice</w:t>
            </w:r>
          </w:p>
        </w:tc>
        <w:tc>
          <w:tcPr/>
          <w:p>
            <w:pPr>
              <w:pStyle w:val="Compact"/>
              <w:jc w:val="left"/>
            </w:pPr>
            <w:r>
              <w:t xml:space="preserve">testosterone production in the testes improved</w:t>
            </w:r>
          </w:p>
        </w:tc>
      </w:tr>
      <w:tr>
        <w:tc>
          <w:tcPr/>
          <w:p>
            <w:pPr>
              <w:pStyle w:val="Compact"/>
              <w:jc w:val="left"/>
            </w:pPr>
            <w:r>
              <w:t xml:space="preserve">Han 2022, PMID 35510614</w:t>
            </w:r>
          </w:p>
        </w:tc>
        <w:tc>
          <w:tcPr/>
          <w:p>
            <w:pPr>
              <w:pStyle w:val="Compact"/>
              <w:jc w:val="left"/>
            </w:pPr>
            <w:r>
              <w:t xml:space="preserve">pulmonary fibrosis in mice</w:t>
            </w:r>
          </w:p>
        </w:tc>
        <w:tc>
          <w:tcPr/>
          <w:p>
            <w:pPr>
              <w:pStyle w:val="Compact"/>
              <w:jc w:val="left"/>
            </w:pPr>
            <w:r>
              <w:t xml:space="preserve">less scarring</w:t>
            </w:r>
          </w:p>
        </w:tc>
      </w:tr>
      <w:tr>
        <w:tc>
          <w:tcPr/>
          <w:p>
            <w:pPr>
              <w:pStyle w:val="Compact"/>
              <w:jc w:val="left"/>
            </w:pPr>
            <w:r>
              <w:t xml:space="preserve">Kong 2025, PMID 39994346</w:t>
            </w:r>
          </w:p>
        </w:tc>
        <w:tc>
          <w:tcPr/>
          <w:p>
            <w:pPr>
              <w:pStyle w:val="Compact"/>
              <w:jc w:val="left"/>
            </w:pPr>
            <w:r>
              <w:t xml:space="preserve">keloid tissue (excessive scars) in the laboratory</w:t>
            </w:r>
          </w:p>
        </w:tc>
        <w:tc>
          <w:tcPr/>
          <w:p>
            <w:pPr>
              <w:pStyle w:val="Compact"/>
              <w:jc w:val="left"/>
            </w:pPr>
            <w:r>
              <w:t xml:space="preserve">more cell death of senescent connective tissue cells</w:t>
            </w:r>
          </w:p>
        </w:tc>
      </w:tr>
      <w:tr>
        <w:tc>
          <w:tcPr/>
          <w:p>
            <w:pPr>
              <w:pStyle w:val="Compact"/>
              <w:jc w:val="left"/>
            </w:pPr>
            <w:r>
              <w:t xml:space="preserve">Born 2023, PMID 36515093</w:t>
            </w:r>
          </w:p>
        </w:tc>
        <w:tc>
          <w:tcPr/>
          <w:p>
            <w:pPr>
              <w:pStyle w:val="Compact"/>
              <w:jc w:val="left"/>
            </w:pPr>
            <w:r>
              <w:t xml:space="preserve">pulmonary hypertension models in mice and rats</w:t>
            </w:r>
          </w:p>
        </w:tc>
        <w:tc>
          <w:tcPr/>
          <w:p>
            <w:pPr>
              <w:pStyle w:val="Compact"/>
              <w:jc w:val="left"/>
            </w:pPr>
            <w:r>
              <w:t xml:space="preserve">removal of senescent cells, including with FOXO4-DRI,</w:t>
            </w:r>
            <w:r>
              <w:t xml:space="preserve"> </w:t>
            </w:r>
            <w:r>
              <w:rPr>
                <w:bCs/>
                <w:b/>
              </w:rPr>
              <w:t xml:space="preserve">worsened</w:t>
            </w:r>
            <w:r>
              <w:t xml:space="preserve"> </w:t>
            </w:r>
            <w:r>
              <w:t xml:space="preserve">the pulmonary circulation</w:t>
            </w:r>
          </w:p>
        </w:tc>
      </w:tr>
    </w:tbl>
    <w:p>
      <w:pPr>
        <w:pStyle w:val="BodyText"/>
      </w:pPr>
      <w:r>
        <w:t xml:space="preserve">The first description attracted great attention: in rapidly aging mice and in naturally aged animals, physical fitness, coat appearance and kidney function improved</w:t>
      </w:r>
      <w:r>
        <w:rPr>
          <w:rStyle w:val="FootnoteReference"/>
        </w:rPr>
        <w:footnoteReference w:id="1915"/>
      </w:r>
      <w:r>
        <w:t xml:space="preserve">. Later papers by other groups, mainly from China, described effects on the testes, lungs and skin.</w:t>
      </w:r>
    </w:p>
    <w:p>
      <w:pPr>
        <w:pStyle w:val="BodyText"/>
      </w:pPr>
      <w:r>
        <w:t xml:space="preserve">An important contrary finding comes from cardiovascular research: in models of pulmonary hypertension, eliminating senescent cells – both genetically and with the senolytics ABT263 or FOXO4-DRI – worsened the pressure in the pulmonary circulation and led to the loss of endothelial cells in the lung. The authors conclude that senolytics could harm the pulmonary vessels</w:t>
      </w:r>
      <w:r>
        <w:rPr>
          <w:rStyle w:val="FootnoteReference"/>
        </w:rPr>
        <w:footnoteReference w:id="1916"/>
      </w:r>
      <w:r>
        <w:t xml:space="preserve">. This shows that senescent cells are not just</w:t>
      </w:r>
      <w:r>
        <w:t xml:space="preserve"> </w:t>
      </w:r>
      <w:r>
        <w:t xml:space="preserve">“</w:t>
      </w:r>
      <w:r>
        <w:t xml:space="preserve">legacy waste</w:t>
      </w:r>
      <w:r>
        <w:t xml:space="preserve">”</w:t>
      </w:r>
      <w:r>
        <w:t xml:space="preserve"> </w:t>
      </w:r>
      <w:r>
        <w:t xml:space="preserve">but can also have stabilizing functions in some tissues.</w:t>
      </w:r>
    </w:p>
    <w:bookmarkEnd w:id="1917"/>
    <w:bookmarkStart w:id="1920" w:name="risks-and-side-effects-44"/>
    <w:p>
      <w:pPr>
        <w:pStyle w:val="Heading3"/>
      </w:pPr>
      <w:r>
        <w:t xml:space="preserve">Risks and side effects</w:t>
      </w:r>
    </w:p>
    <w:p>
      <w:pPr>
        <w:pStyle w:val="FirstParagraph"/>
      </w:pPr>
      <w:r>
        <w:rPr>
          <w:bCs/>
          <w:b/>
        </w:rPr>
        <w:t xml:space="preserve">Established:</w:t>
      </w:r>
      <w:r>
        <w:t xml:space="preserve"> </w:t>
      </w:r>
      <w:r>
        <w:t xml:space="preserve">No data in humans.</w:t>
      </w:r>
    </w:p>
    <w:p>
      <w:pPr>
        <w:pStyle w:val="BodyText"/>
      </w:pPr>
      <w:r>
        <w:rPr>
          <w:bCs/>
          <w:b/>
        </w:rPr>
        <w:t xml:space="preserve">Theoretical – and partly supported by animal data:</w:t>
      </w:r>
    </w:p>
    <w:p>
      <w:pPr>
        <w:numPr>
          <w:ilvl w:val="0"/>
          <w:numId w:val="1242"/>
        </w:numPr>
        <w:pStyle w:val="Compact"/>
      </w:pPr>
      <w:r>
        <w:rPr>
          <w:bCs/>
          <w:b/>
        </w:rPr>
        <w:t xml:space="preserve">Vessels and lungs:</w:t>
      </w:r>
      <w:r>
        <w:t xml:space="preserve"> </w:t>
      </w:r>
      <w:r>
        <w:t xml:space="preserve">In the animal model, FOXO4-DRI worsened existing pulmonary hypertension</w:t>
      </w:r>
      <w:r>
        <w:rPr>
          <w:rStyle w:val="FootnoteReference"/>
        </w:rPr>
        <w:footnoteReference w:id="1918"/>
      </w:r>
      <w:r>
        <w:t xml:space="preserve">.</w:t>
      </w:r>
    </w:p>
    <w:p>
      <w:pPr>
        <w:numPr>
          <w:ilvl w:val="0"/>
          <w:numId w:val="1242"/>
        </w:numPr>
        <w:pStyle w:val="Compact"/>
      </w:pPr>
      <w:r>
        <w:rPr>
          <w:bCs/>
          <w:b/>
        </w:rPr>
        <w:t xml:space="preserve">p53 and cancer:</w:t>
      </w:r>
      <w:r>
        <w:t xml:space="preserve"> </w:t>
      </w:r>
      <w:r>
        <w:t xml:space="preserve">p53 is one of the body’s most important tumor suppressors. FOXO4-DRI specifically changes where p53 resides in the cell. What long-term consequences this has for cancer defense has not been studied. Conversely, the developers also see the principle as an approach for cancer therapy</w:t>
      </w:r>
      <w:r>
        <w:rPr>
          <w:rStyle w:val="FootnoteReference"/>
        </w:rPr>
        <w:footnoteReference w:id="1919"/>
      </w:r>
      <w:r>
        <w:t xml:space="preserve">.</w:t>
      </w:r>
    </w:p>
    <w:p>
      <w:pPr>
        <w:numPr>
          <w:ilvl w:val="0"/>
          <w:numId w:val="1242"/>
        </w:numPr>
        <w:pStyle w:val="Compact"/>
      </w:pPr>
      <w:r>
        <w:rPr>
          <w:bCs/>
          <w:b/>
        </w:rPr>
        <w:t xml:space="preserve">Wound healing and tissue repair:</w:t>
      </w:r>
      <w:r>
        <w:t xml:space="preserve"> </w:t>
      </w:r>
      <w:r>
        <w:t xml:space="preserve">Senescent cells also participate in wound healing and tissue remodeling; their elimination can disrupt these processes.</w:t>
      </w:r>
    </w:p>
    <w:p>
      <w:pPr>
        <w:numPr>
          <w:ilvl w:val="0"/>
          <w:numId w:val="1242"/>
        </w:numPr>
        <w:pStyle w:val="Compact"/>
      </w:pPr>
      <w:r>
        <w:rPr>
          <w:bCs/>
          <w:b/>
        </w:rPr>
        <w:t xml:space="preserve">Immune reactions:</w:t>
      </w:r>
      <w:r>
        <w:t xml:space="preserve"> </w:t>
      </w:r>
      <w:r>
        <w:t xml:space="preserve">The peptide contains a segment from a viral protein and is relatively large; immune reactions with repeated administration are conceivable but have not been studied.</w:t>
      </w:r>
    </w:p>
    <w:p>
      <w:pPr>
        <w:pStyle w:val="FirstParagraph"/>
      </w:pPr>
      <w:r>
        <w:rPr>
          <w:bCs/>
          <w:b/>
        </w:rPr>
        <w:t xml:space="preserve">Gray market:</w:t>
      </w:r>
      <w:r>
        <w:t xml:space="preserve"> </w:t>
      </w:r>
      <w:r>
        <w:t xml:space="preserve">FOXO4-DRI is offered online as a</w:t>
      </w:r>
      <w:r>
        <w:t xml:space="preserve"> </w:t>
      </w:r>
      <w:r>
        <w:t xml:space="preserve">“</w:t>
      </w:r>
      <w:r>
        <w:t xml:space="preserve">senolytic</w:t>
      </w:r>
      <w:r>
        <w:t xml:space="preserve">”</w:t>
      </w:r>
      <w:r>
        <w:t xml:space="preserve"> </w:t>
      </w:r>
      <w:r>
        <w:t xml:space="preserve">for injection, often at high prices. Manufacturing a long peptide from D-amino acids is demanding; whether products sold actually have the correct sequence and purity is unverified.</w:t>
      </w:r>
    </w:p>
    <w:bookmarkEnd w:id="1920"/>
    <w:bookmarkStart w:id="1921" w:name="legal-status-44"/>
    <w:p>
      <w:pPr>
        <w:pStyle w:val="Heading3"/>
      </w:pPr>
      <w:r>
        <w:t xml:space="preserve">Legal status</w:t>
      </w:r>
    </w:p>
    <w:p>
      <w:pPr>
        <w:numPr>
          <w:ilvl w:val="0"/>
          <w:numId w:val="1243"/>
        </w:numPr>
        <w:pStyle w:val="Compact"/>
      </w:pPr>
      <w:r>
        <w:rPr>
          <w:bCs/>
          <w:b/>
        </w:rPr>
        <w:t xml:space="preserve">EU / Austria / Germany:</w:t>
      </w:r>
      <w:r>
        <w:t xml:space="preserve"> </w:t>
      </w:r>
      <w:r>
        <w:t xml:space="preserve">not approved; as a substance with a pharmacological effect, FOXO4-DRI is considered a medicine, and selling it for use in humans is not permitted.</w:t>
      </w:r>
    </w:p>
    <w:p>
      <w:pPr>
        <w:numPr>
          <w:ilvl w:val="0"/>
          <w:numId w:val="1243"/>
        </w:numPr>
        <w:pStyle w:val="Compact"/>
      </w:pPr>
      <w:r>
        <w:rPr>
          <w:bCs/>
          <w:b/>
        </w:rPr>
        <w:t xml:space="preserve">USA:</w:t>
      </w:r>
      <w:r>
        <w:t xml:space="preserve"> </w:t>
      </w:r>
      <w:r>
        <w:t xml:space="preserve">not approved.</w:t>
      </w:r>
    </w:p>
    <w:p>
      <w:pPr>
        <w:numPr>
          <w:ilvl w:val="0"/>
          <w:numId w:val="1243"/>
        </w:numPr>
        <w:pStyle w:val="Compact"/>
      </w:pPr>
      <w:r>
        <w:rPr>
          <w:bCs/>
          <w:b/>
        </w:rPr>
        <w:t xml:space="preserve">Sport:</w:t>
      </w:r>
      <w:r>
        <w:t xml:space="preserve"> </w:t>
      </w:r>
      <w:r>
        <w:t xml:space="preserve">in our assessment WADA category S0 (as of 2026, please check for updates).</w:t>
      </w:r>
    </w:p>
    <w:bookmarkEnd w:id="1921"/>
    <w:bookmarkStart w:id="1922" w:name="ongoing-studies-and-outlook-44"/>
    <w:p>
      <w:pPr>
        <w:pStyle w:val="Heading3"/>
      </w:pPr>
      <w:r>
        <w:t xml:space="preserve">Ongoing studies and outlook</w:t>
      </w:r>
    </w:p>
    <w:p>
      <w:pPr>
        <w:pStyle w:val="FirstParagraph"/>
      </w:pPr>
      <w:r>
        <w:rPr>
          <w:bCs/>
          <w:b/>
        </w:rPr>
        <w:t xml:space="preserve">Established:</w:t>
      </w:r>
      <w:r>
        <w:t xml:space="preserve"> </w:t>
      </w:r>
      <w:r>
        <w:t xml:space="preserve">No registered clinical trial with FOXO4-DRI (search October 2026). The developer group is working on further developments of the principle; clinical trials with senolytics are running mainly with other agents.</w:t>
      </w:r>
    </w:p>
    <w:p>
      <w:pPr>
        <w:pStyle w:val="BodyText"/>
      </w:pPr>
      <w:r>
        <w:rPr>
          <w:bCs/>
          <w:b/>
        </w:rPr>
        <w:t xml:space="preserve">Assessment:</w:t>
      </w:r>
      <w:r>
        <w:t xml:space="preserve"> </w:t>
      </w:r>
      <w:r>
        <w:t xml:space="preserve">Senolytics research is one of the most exciting fields of aging research, but the first controlled studies in humans were sobering. For FOXO4-DRI, systematic toxicity studies and a first cautious study in humans would first be needed – ideally in a clearly defined disease, not as general</w:t>
      </w:r>
      <w:r>
        <w:t xml:space="preserve"> </w:t>
      </w:r>
      <w:r>
        <w:t xml:space="preserve">“</w:t>
      </w:r>
      <w:r>
        <w:t xml:space="preserve">anti-aging.</w:t>
      </w:r>
      <w:r>
        <w:t xml:space="preserve">”</w:t>
      </w:r>
    </w:p>
    <w:bookmarkEnd w:id="1922"/>
    <w:bookmarkStart w:id="1923" w:name="conclusion-44"/>
    <w:p>
      <w:pPr>
        <w:pStyle w:val="Heading3"/>
      </w:pPr>
      <w:r>
        <w:t xml:space="preserve">Conclusion</w:t>
      </w:r>
    </w:p>
    <w:p>
      <w:pPr>
        <w:pStyle w:val="FirstParagraph"/>
      </w:pPr>
      <w:r>
        <w:t xml:space="preserve">FOXO4-DRI is an artificial peptide that specifically eliminated senescent cells in cell cultures and in mice and improved fitness, fur and kidney function in aged animals. It has never been studied in humans. In animal models of pulmonary hypertension, removing senescent cells with FOXO4-DRI worsened the course of the disease, and the intervention in the cancer-protective protein p53 raises open questions. The data are not sufficient to assess benefit or safety in humans.</w:t>
      </w:r>
    </w:p>
    <w:bookmarkEnd w:id="1923"/>
    <w:bookmarkEnd w:id="1924"/>
    <w:bookmarkStart w:id="1956" w:name="glutathione"/>
    <w:p>
      <w:pPr>
        <w:pStyle w:val="Heading2"/>
      </w:pPr>
      <w:r>
        <w:t xml:space="preserve">Glutathione</w:t>
      </w:r>
    </w:p>
    <w:bookmarkStart w:id="1925" w:name="profile-45"/>
    <w:p>
      <w:pPr>
        <w:pStyle w:val="Heading3"/>
      </w:pPr>
      <w:r>
        <w:t xml:space="preserve">Profile</w:t>
      </w:r>
    </w:p>
    <w:p>
      <w:pPr>
        <w:numPr>
          <w:ilvl w:val="0"/>
          <w:numId w:val="1244"/>
        </w:numPr>
        <w:pStyle w:val="Compact"/>
      </w:pPr>
      <w:r>
        <w:rPr>
          <w:bCs/>
          <w:b/>
        </w:rPr>
        <w:t xml:space="preserve">Type and structure:</w:t>
      </w:r>
      <w:r>
        <w:t xml:space="preserve"> </w:t>
      </w:r>
      <w:r>
        <w:t xml:space="preserve">tripeptide of three amino acids – glutamic acid, cysteine and glycine (γ-glutamyl-cysteinyl-glycine, abbreviated GSH). The reduced form (GSH) is the active one; in the defense against oxidation, two molecules are joined to form oxidized glutathione (GSSG).</w:t>
      </w:r>
    </w:p>
    <w:p>
      <w:pPr>
        <w:numPr>
          <w:ilvl w:val="0"/>
          <w:numId w:val="1244"/>
        </w:numPr>
        <w:pStyle w:val="Compact"/>
      </w:pPr>
      <w:r>
        <w:rPr>
          <w:bCs/>
          <w:b/>
        </w:rPr>
        <w:t xml:space="preserve">Origin:</w:t>
      </w:r>
      <w:r>
        <w:t xml:space="preserve"> </w:t>
      </w:r>
      <w:r>
        <w:t xml:space="preserve">produced by virtually all body cells themselves, in particularly large amounts in the liver. As a preparation, it is usually produced by fermentation with yeasts.</w:t>
      </w:r>
    </w:p>
    <w:p>
      <w:pPr>
        <w:numPr>
          <w:ilvl w:val="0"/>
          <w:numId w:val="1244"/>
        </w:numPr>
        <w:pStyle w:val="Compact"/>
      </w:pPr>
      <w:r>
        <w:rPr>
          <w:bCs/>
          <w:b/>
        </w:rPr>
        <w:t xml:space="preserve">Mechanism of action:</w:t>
      </w:r>
      <w:r>
        <w:t xml:space="preserve"> </w:t>
      </w:r>
      <w:r>
        <w:t xml:space="preserve">the most important endogenous antioxidant in cells; involved in the detoxification of medications and pollutants (for example in the breakdown of acetaminophen) and in the regulation of immune cells. In the skin, it shifts pigment production from dark to lighter melanin.</w:t>
      </w:r>
    </w:p>
    <w:p>
      <w:pPr>
        <w:numPr>
          <w:ilvl w:val="0"/>
          <w:numId w:val="1244"/>
        </w:numPr>
        <w:pStyle w:val="Compact"/>
      </w:pPr>
      <w:r>
        <w:rPr>
          <w:bCs/>
          <w:b/>
        </w:rPr>
        <w:t xml:space="preserve">EU approval:</w:t>
      </w:r>
      <w:r>
        <w:t xml:space="preserve"> </w:t>
      </w:r>
      <w:r>
        <w:t xml:space="preserve">widely marketed as a dietary supplement; as an injectable medicine only in individual countries for narrowly defined indications, not for skin lightening.</w:t>
      </w:r>
    </w:p>
    <w:p>
      <w:pPr>
        <w:numPr>
          <w:ilvl w:val="0"/>
          <w:numId w:val="1244"/>
        </w:numPr>
        <w:pStyle w:val="Compact"/>
      </w:pPr>
      <w:r>
        <w:rPr>
          <w:bCs/>
          <w:b/>
        </w:rPr>
        <w:t xml:space="preserve">US approval:</w:t>
      </w:r>
      <w:r>
        <w:t xml:space="preserve"> </w:t>
      </w:r>
      <w:r>
        <w:t xml:space="preserve">no FDA-approved glutathione medicine; available as a dietary supplement and as a pharmacy compounded preparation.</w:t>
      </w:r>
    </w:p>
    <w:p>
      <w:pPr>
        <w:numPr>
          <w:ilvl w:val="0"/>
          <w:numId w:val="1244"/>
        </w:numPr>
        <w:pStyle w:val="Compact"/>
      </w:pPr>
      <w:r>
        <w:rPr>
          <w:bCs/>
          <w:b/>
        </w:rPr>
        <w:t xml:space="preserve">WADA:</w:t>
      </w:r>
      <w:r>
        <w:t xml:space="preserve"> </w:t>
      </w:r>
      <w:r>
        <w:t xml:space="preserve">glutathione itself is not prohibited. However, infusions or injections of more than 100 mL within twelve hours are covered as a prohibited method (M2), except in the context of hospital treatment or clinical investigation.</w:t>
      </w:r>
    </w:p>
    <w:p>
      <w:pPr>
        <w:numPr>
          <w:ilvl w:val="0"/>
          <w:numId w:val="1244"/>
        </w:numPr>
        <w:pStyle w:val="Compact"/>
      </w:pPr>
      <w:r>
        <w:rPr>
          <w:bCs/>
          <w:b/>
        </w:rPr>
        <w:t xml:space="preserve">Evidence level:</w:t>
      </w:r>
      <w:r>
        <w:t xml:space="preserve"> </w:t>
      </w:r>
      <w:r>
        <w:rPr>
          <w:bCs/>
          <w:b/>
        </w:rPr>
        <w:t xml:space="preserve">B</w:t>
      </w:r>
      <w:r>
        <w:t xml:space="preserve"> </w:t>
      </w:r>
      <w:r>
        <w:t xml:space="preserve">– numerous randomized, mostly small studies with varying results; no approval based on large outcome trials.</w:t>
      </w:r>
    </w:p>
    <w:bookmarkEnd w:id="1925"/>
    <w:bookmarkStart w:id="1926" w:name="how-it-is-supposed-to-work-45"/>
    <w:p>
      <w:pPr>
        <w:pStyle w:val="Heading3"/>
      </w:pPr>
      <w:r>
        <w:t xml:space="preserve">How it is supposed to work</w:t>
      </w:r>
    </w:p>
    <w:p>
      <w:pPr>
        <w:pStyle w:val="FirstParagraph"/>
      </w:pPr>
      <w:r>
        <w:t xml:space="preserve">Glutathione is an entirely ordinary component of every cell. It scavenges reactive oxygen species, helps enzymes with detoxification and keeps other antioxidants such as vitamins C and E in their active form. In many diseases – such as diabetes, liver disease, HIV, Parkinson’s – and with increasing age, glutathione levels in blood or tissue are lower. This gave rise to the obvious idea of supplying glutathione from outside.</w:t>
      </w:r>
    </w:p>
    <w:p>
      <w:pPr>
        <w:pStyle w:val="BodyText"/>
      </w:pPr>
      <w:r>
        <w:t xml:space="preserve">This is more difficult than it sounds, for three reasons:</w:t>
      </w:r>
    </w:p>
    <w:p>
      <w:pPr>
        <w:numPr>
          <w:ilvl w:val="0"/>
          <w:numId w:val="1245"/>
        </w:numPr>
        <w:pStyle w:val="Compact"/>
      </w:pPr>
      <w:r>
        <w:rPr>
          <w:bCs/>
          <w:b/>
        </w:rPr>
        <w:t xml:space="preserve">Digestion:</w:t>
      </w:r>
      <w:r>
        <w:t xml:space="preserve"> </w:t>
      </w:r>
      <w:r>
        <w:t xml:space="preserve">As a peptide, glutathione is partially broken down in the gut; for a long time, it was therefore considered barely effective when swallowed.</w:t>
      </w:r>
    </w:p>
    <w:p>
      <w:pPr>
        <w:numPr>
          <w:ilvl w:val="0"/>
          <w:numId w:val="1245"/>
        </w:numPr>
        <w:pStyle w:val="Compact"/>
      </w:pPr>
      <w:r>
        <w:rPr>
          <w:bCs/>
          <w:b/>
        </w:rPr>
        <w:t xml:space="preserve">Uptake into cells:</w:t>
      </w:r>
      <w:r>
        <w:t xml:space="preserve"> </w:t>
      </w:r>
      <w:r>
        <w:t xml:space="preserve">Glutathione is mainly produced</w:t>
      </w:r>
      <w:r>
        <w:t xml:space="preserve"> </w:t>
      </w:r>
      <w:r>
        <w:rPr>
          <w:iCs/>
          <w:i/>
        </w:rPr>
        <w:t xml:space="preserve">inside</w:t>
      </w:r>
      <w:r>
        <w:t xml:space="preserve"> </w:t>
      </w:r>
      <w:r>
        <w:t xml:space="preserve">cells; it enters them from the blood only to a limited extent.</w:t>
      </w:r>
    </w:p>
    <w:p>
      <w:pPr>
        <w:numPr>
          <w:ilvl w:val="0"/>
          <w:numId w:val="1245"/>
        </w:numPr>
        <w:pStyle w:val="Compact"/>
      </w:pPr>
      <w:r>
        <w:rPr>
          <w:bCs/>
          <w:b/>
        </w:rPr>
        <w:t xml:space="preserve">Short residence time:</w:t>
      </w:r>
      <w:r>
        <w:t xml:space="preserve"> </w:t>
      </w:r>
      <w:r>
        <w:t xml:space="preserve">Infused glutathione is rapidly broken down in the blood.</w:t>
      </w:r>
    </w:p>
    <w:p>
      <w:pPr>
        <w:pStyle w:val="FirstParagraph"/>
      </w:pPr>
      <w:r>
        <w:t xml:space="preserve">Various dosage forms are therefore offered: capsules and tablets,</w:t>
      </w:r>
      <w:r>
        <w:t xml:space="preserve"> </w:t>
      </w:r>
      <w:r>
        <w:rPr>
          <w:bCs/>
          <w:b/>
        </w:rPr>
        <w:t xml:space="preserve">liposomal</w:t>
      </w:r>
      <w:r>
        <w:t xml:space="preserve"> </w:t>
      </w:r>
      <w:r>
        <w:t xml:space="preserve">glutathione (packaged in lipid vesicles), lozenges and films for the oral mucosa, nasal spray, creams – and</w:t>
      </w:r>
      <w:r>
        <w:t xml:space="preserve"> </w:t>
      </w:r>
      <w:r>
        <w:rPr>
          <w:bCs/>
          <w:b/>
        </w:rPr>
        <w:t xml:space="preserve">infusions</w:t>
      </w:r>
      <w:r>
        <w:t xml:space="preserve"> </w:t>
      </w:r>
      <w:r>
        <w:t xml:space="preserve">into a vein. There are also precursors such as N-acetylcysteine (NAC) or glycine plus NAC, which the body uses for its own production; they are not the subject of this chapter.</w:t>
      </w:r>
    </w:p>
    <w:p>
      <w:pPr>
        <w:pStyle w:val="BodyText"/>
      </w:pPr>
      <w:r>
        <w:t xml:space="preserve">For skin lightening, a further mechanism is assumed: in laboratory experiments, glutathione inhibits the enzyme tyrosinase and redirects pigment production from dark eumelanin to lighter pheomelanin.</w:t>
      </w:r>
    </w:p>
    <w:bookmarkEnd w:id="1926"/>
    <w:bookmarkStart w:id="1946" w:name="human-studies-45"/>
    <w:p>
      <w:pPr>
        <w:pStyle w:val="Heading3"/>
      </w:pPr>
      <w:r>
        <w:t xml:space="preserve">Human studies</w:t>
      </w:r>
    </w:p>
    <w:p>
      <w:pPr>
        <w:pStyle w:val="FirstParagraph"/>
      </w:pPr>
      <w:r>
        <w:rPr>
          <w:bCs/>
          <w:b/>
        </w:rPr>
        <w:t xml:space="preserve">Scope of the evidence:</w:t>
      </w:r>
      <w:r>
        <w:t xml:space="preserve"> </w:t>
      </w:r>
      <w:r>
        <w:t xml:space="preserve">The automated PubMed search (October 2026) yielded 161 publications classified as human studies, plus 15 reviews and meta-analyses. On ClinicalTrials.gov, 273 studies were registered. Both figures considerably overstate the direct evidence: many hits only measure glutathione as a laboratory value (for example with selenium, vitamins, exercise or NAC) or concern the enzyme glutathione S-transferase. Studies in which glutathione itself was administered are a minority – but still several dozen.</w:t>
      </w:r>
    </w:p>
    <w:bookmarkStart w:id="1930" w:name="X0942f073bde3f7a1ddab6f04a685eef94fd851e"/>
    <w:p>
      <w:pPr>
        <w:pStyle w:val="Heading4"/>
      </w:pPr>
      <w:r>
        <w:t xml:space="preserve">Does swallowed glutathione even get there?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Allen 2011, PMID 21875351</w:t>
            </w:r>
          </w:p>
        </w:tc>
        <w:tc>
          <w:tcPr/>
          <w:p>
            <w:pPr>
              <w:pStyle w:val="Compact"/>
              <w:jc w:val="left"/>
            </w:pPr>
            <w:r>
              <w:t xml:space="preserve">40 healthy people, capsules vs. placebo, double-blind</w:t>
            </w:r>
          </w:p>
        </w:tc>
        <w:tc>
          <w:tcPr/>
          <w:p>
            <w:pPr>
              <w:pStyle w:val="Compact"/>
              <w:jc w:val="left"/>
            </w:pPr>
            <w:r>
              <w:t xml:space="preserve">4 weeks</w:t>
            </w:r>
          </w:p>
        </w:tc>
        <w:tc>
          <w:tcPr/>
          <w:p>
            <w:pPr>
              <w:pStyle w:val="Compact"/>
              <w:jc w:val="left"/>
            </w:pPr>
            <w:r>
              <w:t xml:space="preserve">no change in glutathione levels or oxidation markers</w:t>
            </w:r>
          </w:p>
        </w:tc>
      </w:tr>
      <w:tr>
        <w:tc>
          <w:tcPr/>
          <w:p>
            <w:pPr>
              <w:pStyle w:val="Compact"/>
              <w:jc w:val="left"/>
            </w:pPr>
            <w:r>
              <w:t xml:space="preserve">Richie 2015, PMID 24791752</w:t>
            </w:r>
          </w:p>
        </w:tc>
        <w:tc>
          <w:tcPr/>
          <w:p>
            <w:pPr>
              <w:pStyle w:val="Compact"/>
              <w:jc w:val="left"/>
            </w:pPr>
            <w:r>
              <w:t xml:space="preserve">54 healthy people, two doses vs. placebo, double-blind</w:t>
            </w:r>
          </w:p>
        </w:tc>
        <w:tc>
          <w:tcPr/>
          <w:p>
            <w:pPr>
              <w:pStyle w:val="Compact"/>
              <w:jc w:val="left"/>
            </w:pPr>
            <w:r>
              <w:t xml:space="preserve">6 months</w:t>
            </w:r>
          </w:p>
        </w:tc>
        <w:tc>
          <w:tcPr/>
          <w:p>
            <w:pPr>
              <w:pStyle w:val="Compact"/>
              <w:jc w:val="left"/>
            </w:pPr>
            <w:r>
              <w:t xml:space="preserve">levels in blood cells and plasma 30–35% higher (high dose); back to baseline after stopping</w:t>
            </w:r>
          </w:p>
        </w:tc>
      </w:tr>
      <w:tr>
        <w:tc>
          <w:tcPr/>
          <w:p>
            <w:pPr>
              <w:pStyle w:val="Compact"/>
              <w:jc w:val="left"/>
            </w:pPr>
            <w:r>
              <w:t xml:space="preserve">Sinha 2018, PMID 28853742</w:t>
            </w:r>
          </w:p>
        </w:tc>
        <w:tc>
          <w:tcPr/>
          <w:p>
            <w:pPr>
              <w:pStyle w:val="Compact"/>
              <w:jc w:val="left"/>
            </w:pPr>
            <w:r>
              <w:t xml:space="preserve">12 healthy people, liposomal glutathione, no placebo</w:t>
            </w:r>
          </w:p>
        </w:tc>
        <w:tc>
          <w:tcPr/>
          <w:p>
            <w:pPr>
              <w:pStyle w:val="Compact"/>
              <w:jc w:val="left"/>
            </w:pPr>
            <w:r>
              <w:t xml:space="preserve">4 weeks</w:t>
            </w:r>
          </w:p>
        </w:tc>
        <w:tc>
          <w:tcPr/>
          <w:p>
            <w:pPr>
              <w:pStyle w:val="Compact"/>
              <w:jc w:val="left"/>
            </w:pPr>
            <w:r>
              <w:t xml:space="preserve">levels in whole blood up to 40% higher, in immune cells up to 100%</w:t>
            </w:r>
          </w:p>
        </w:tc>
      </w:tr>
      <w:tr>
        <w:tc>
          <w:tcPr/>
          <w:p>
            <w:pPr>
              <w:pStyle w:val="Compact"/>
              <w:jc w:val="left"/>
            </w:pPr>
            <w:r>
              <w:t xml:space="preserve">Schmitt 2015, PMID 26262996</w:t>
            </w:r>
          </w:p>
        </w:tc>
        <w:tc>
          <w:tcPr/>
          <w:p>
            <w:pPr>
              <w:pStyle w:val="Compact"/>
              <w:jc w:val="left"/>
            </w:pPr>
            <w:r>
              <w:t xml:space="preserve">20 people with metabolic syndrome, crossover: capsule, sublingual form, NAC</w:t>
            </w:r>
          </w:p>
        </w:tc>
        <w:tc>
          <w:tcPr/>
          <w:p>
            <w:pPr>
              <w:pStyle w:val="Compact"/>
              <w:jc w:val="left"/>
            </w:pPr>
            <w:r>
              <w:t xml:space="preserve">3 weeks each</w:t>
            </w:r>
          </w:p>
        </w:tc>
        <w:tc>
          <w:tcPr/>
          <w:p>
            <w:pPr>
              <w:pStyle w:val="Compact"/>
              <w:jc w:val="left"/>
            </w:pPr>
            <w:r>
              <w:t xml:space="preserve">sublingual form raised plasma levels more than capsules</w:t>
            </w:r>
          </w:p>
        </w:tc>
      </w:tr>
      <w:tr>
        <w:tc>
          <w:tcPr/>
          <w:p>
            <w:pPr>
              <w:pStyle w:val="Compact"/>
              <w:jc w:val="left"/>
            </w:pPr>
            <w:r>
              <w:t xml:space="preserve">Jung 2026, PMID 42392376</w:t>
            </w:r>
          </w:p>
        </w:tc>
        <w:tc>
          <w:tcPr/>
          <w:p>
            <w:pPr>
              <w:pStyle w:val="Compact"/>
              <w:jc w:val="left"/>
            </w:pPr>
            <w:r>
              <w:t xml:space="preserve">healthy people, orally dissolving film vs. tablet</w:t>
            </w:r>
          </w:p>
        </w:tc>
        <w:tc>
          <w:tcPr/>
          <w:p>
            <w:pPr>
              <w:pStyle w:val="Compact"/>
              <w:jc w:val="left"/>
            </w:pPr>
            <w:r>
              <w:t xml:space="preserve">single dose and 4 weeks</w:t>
            </w:r>
          </w:p>
        </w:tc>
        <w:tc>
          <w:tcPr/>
          <w:p>
            <w:pPr>
              <w:pStyle w:val="Compact"/>
              <w:jc w:val="left"/>
            </w:pPr>
            <w:r>
              <w:t xml:space="preserve">both forms raised blood levels; no change in oxidation markers</w:t>
            </w:r>
          </w:p>
        </w:tc>
      </w:tr>
    </w:tbl>
    <w:p>
      <w:pPr>
        <w:pStyle w:val="BodyText"/>
      </w:pPr>
      <w:r>
        <w:t xml:space="preserve">The question was long disputed. A short study with 40 healthy people found no change whatsoever after four weeks</w:t>
      </w:r>
      <w:r>
        <w:rPr>
          <w:rStyle w:val="FootnoteReference"/>
        </w:rPr>
        <w:footnoteReference w:id="1927"/>
      </w:r>
      <w:r>
        <w:t xml:space="preserve">. A longer, likewise double-blind study with 54 healthy people, by contrast, found dose-dependently higher glutathione levels in blood, blood cells and oral mucosa after six months; one month after stopping, the values were back to baseline</w:t>
      </w:r>
      <w:r>
        <w:rPr>
          <w:rStyle w:val="FootnoteReference"/>
        </w:rPr>
        <w:footnoteReference w:id="1928"/>
      </w:r>
      <w:r>
        <w:t xml:space="preserve">. A small pilot study without a placebo group reported increases with liposomal glutathione after just one to two weeks</w:t>
      </w:r>
      <w:r>
        <w:rPr>
          <w:rStyle w:val="FootnoteReference"/>
        </w:rPr>
        <w:footnoteReference w:id="1929"/>
      </w:r>
      <w:r>
        <w:t xml:space="preserve">.</w:t>
      </w:r>
    </w:p>
    <w:p>
      <w:pPr>
        <w:pStyle w:val="BodyText"/>
      </w:pPr>
      <w:r>
        <w:t xml:space="preserve">In summary: swallowed glutathione can measurably increase blood levels, presumably depending on dose, duration and dosage form. Whether higher blood levels also lead to a health benefit is another question.</w:t>
      </w:r>
    </w:p>
    <w:bookmarkEnd w:id="1930"/>
    <w:bookmarkStart w:id="1938" w:name="disease-related-studies"/>
    <w:p>
      <w:pPr>
        <w:pStyle w:val="Heading4"/>
      </w:pPr>
      <w:r>
        <w:t xml:space="preserve">Disease-related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Leal 2014, PMID 24619793</w:t>
            </w:r>
          </w:p>
        </w:tc>
        <w:tc>
          <w:tcPr/>
          <w:p>
            <w:pPr>
              <w:pStyle w:val="Compact"/>
              <w:jc w:val="left"/>
            </w:pPr>
            <w:r>
              <w:t xml:space="preserve">185 cancer patients on paclitaxel/carboplatin, infusion vs. placebo, phase 3</w:t>
            </w:r>
          </w:p>
        </w:tc>
        <w:tc>
          <w:tcPr/>
          <w:p>
            <w:pPr>
              <w:pStyle w:val="Compact"/>
              <w:jc w:val="left"/>
            </w:pPr>
            <w:r>
              <w:t xml:space="preserve">duration of chemotherapy</w:t>
            </w:r>
          </w:p>
        </w:tc>
        <w:tc>
          <w:tcPr/>
          <w:p>
            <w:pPr>
              <w:pStyle w:val="Compact"/>
              <w:jc w:val="left"/>
            </w:pPr>
            <w:r>
              <w:rPr>
                <w:bCs/>
                <w:b/>
              </w:rPr>
              <w:t xml:space="preserve">no</w:t>
            </w:r>
            <w:r>
              <w:t xml:space="preserve"> </w:t>
            </w:r>
            <w:r>
              <w:t xml:space="preserve">reduction in chemotherapy-induced nerve damage</w:t>
            </w:r>
          </w:p>
        </w:tc>
      </w:tr>
      <w:tr>
        <w:tc>
          <w:tcPr/>
          <w:p>
            <w:pPr>
              <w:pStyle w:val="Compact"/>
              <w:jc w:val="left"/>
            </w:pPr>
            <w:r>
              <w:t xml:space="preserve">Hauser 2009, PMID 19230029</w:t>
            </w:r>
          </w:p>
        </w:tc>
        <w:tc>
          <w:tcPr/>
          <w:p>
            <w:pPr>
              <w:pStyle w:val="Compact"/>
              <w:jc w:val="left"/>
            </w:pPr>
            <w:r>
              <w:t xml:space="preserve">21 people with Parkinson’s, infusion vs. placebo</w:t>
            </w:r>
          </w:p>
        </w:tc>
        <w:tc>
          <w:tcPr/>
          <w:p>
            <w:pPr>
              <w:pStyle w:val="Compact"/>
              <w:jc w:val="left"/>
            </w:pPr>
            <w:r>
              <w:t xml:space="preserve">4 weeks</w:t>
            </w:r>
          </w:p>
        </w:tc>
        <w:tc>
          <w:tcPr/>
          <w:p>
            <w:pPr>
              <w:pStyle w:val="Compact"/>
              <w:jc w:val="left"/>
            </w:pPr>
            <w:r>
              <w:t xml:space="preserve">no significant difference on the Parkinson’s scale</w:t>
            </w:r>
          </w:p>
        </w:tc>
      </w:tr>
      <w:tr>
        <w:tc>
          <w:tcPr/>
          <w:p>
            <w:pPr>
              <w:pStyle w:val="Compact"/>
              <w:jc w:val="left"/>
            </w:pPr>
            <w:r>
              <w:t xml:space="preserve">Mischley 2017, PMID 28436395</w:t>
            </w:r>
          </w:p>
        </w:tc>
        <w:tc>
          <w:tcPr/>
          <w:p>
            <w:pPr>
              <w:pStyle w:val="Compact"/>
              <w:jc w:val="left"/>
            </w:pPr>
            <w:r>
              <w:t xml:space="preserve">45 people with Parkinson’s, nasal spray at two doses vs. placebo</w:t>
            </w:r>
          </w:p>
        </w:tc>
        <w:tc>
          <w:tcPr/>
          <w:p>
            <w:pPr>
              <w:pStyle w:val="Compact"/>
              <w:jc w:val="left"/>
            </w:pPr>
            <w:r>
              <w:t xml:space="preserve">3 months</w:t>
            </w:r>
          </w:p>
        </w:tc>
        <w:tc>
          <w:tcPr/>
          <w:p>
            <w:pPr>
              <w:pStyle w:val="Compact"/>
              <w:jc w:val="left"/>
            </w:pPr>
            <w:r>
              <w:t xml:space="preserve">all groups improved, glutathione not better than placebo</w:t>
            </w:r>
          </w:p>
        </w:tc>
      </w:tr>
      <w:tr>
        <w:tc>
          <w:tcPr/>
          <w:p>
            <w:pPr>
              <w:pStyle w:val="Compact"/>
              <w:jc w:val="left"/>
            </w:pPr>
            <w:r>
              <w:t xml:space="preserve">Bozic 2020, PMID 32960827</w:t>
            </w:r>
          </w:p>
        </w:tc>
        <w:tc>
          <w:tcPr/>
          <w:p>
            <w:pPr>
              <w:pStyle w:val="Compact"/>
              <w:jc w:val="left"/>
            </w:pPr>
            <w:r>
              <w:t xml:space="preserve">58 children with cystic fibrosis, capsules vs. placebo</w:t>
            </w:r>
          </w:p>
        </w:tc>
        <w:tc>
          <w:tcPr/>
          <w:p>
            <w:pPr>
              <w:pStyle w:val="Compact"/>
              <w:jc w:val="left"/>
            </w:pPr>
            <w:r>
              <w:t xml:space="preserve">24 weeks</w:t>
            </w:r>
          </w:p>
        </w:tc>
        <w:tc>
          <w:tcPr/>
          <w:p>
            <w:pPr>
              <w:pStyle w:val="Compact"/>
              <w:jc w:val="left"/>
            </w:pPr>
            <w:r>
              <w:t xml:space="preserve">no effect on growth and inflammatory markers</w:t>
            </w:r>
          </w:p>
        </w:tc>
      </w:tr>
      <w:tr>
        <w:tc>
          <w:tcPr/>
          <w:p>
            <w:pPr>
              <w:pStyle w:val="Compact"/>
              <w:jc w:val="left"/>
            </w:pPr>
            <w:r>
              <w:t xml:space="preserve">Søndergård 2021, PMID 33740389</w:t>
            </w:r>
          </w:p>
        </w:tc>
        <w:tc>
          <w:tcPr/>
          <w:p>
            <w:pPr>
              <w:pStyle w:val="Compact"/>
              <w:jc w:val="left"/>
            </w:pPr>
            <w:r>
              <w:t xml:space="preserve">20 overweight men with and without type 2 diabetes, vs. placebo</w:t>
            </w:r>
          </w:p>
        </w:tc>
        <w:tc>
          <w:tcPr/>
          <w:p>
            <w:pPr>
              <w:pStyle w:val="Compact"/>
              <w:jc w:val="left"/>
            </w:pPr>
            <w:r>
              <w:t xml:space="preserve">3 weeks</w:t>
            </w:r>
          </w:p>
        </w:tc>
        <w:tc>
          <w:tcPr/>
          <w:p>
            <w:pPr>
              <w:pStyle w:val="Compact"/>
              <w:jc w:val="left"/>
            </w:pPr>
            <w:r>
              <w:t xml:space="preserve">insulin sensitivity improved; oxidation markers unchanged</w:t>
            </w:r>
          </w:p>
        </w:tc>
      </w:tr>
      <w:tr>
        <w:tc>
          <w:tcPr/>
          <w:p>
            <w:pPr>
              <w:pStyle w:val="Compact"/>
              <w:jc w:val="left"/>
            </w:pPr>
            <w:r>
              <w:t xml:space="preserve">Honda 2017, PMID 28789631</w:t>
            </w:r>
          </w:p>
        </w:tc>
        <w:tc>
          <w:tcPr/>
          <w:p>
            <w:pPr>
              <w:pStyle w:val="Compact"/>
              <w:jc w:val="left"/>
            </w:pPr>
            <w:r>
              <w:t xml:space="preserve">34 people with fatty liver, open-label, no control group</w:t>
            </w:r>
          </w:p>
        </w:tc>
        <w:tc>
          <w:tcPr/>
          <w:p>
            <w:pPr>
              <w:pStyle w:val="Compact"/>
              <w:jc w:val="left"/>
            </w:pPr>
            <w:r>
              <w:t xml:space="preserve">4 months</w:t>
            </w:r>
          </w:p>
        </w:tc>
        <w:tc>
          <w:tcPr/>
          <w:p>
            <w:pPr>
              <w:pStyle w:val="Compact"/>
              <w:jc w:val="left"/>
            </w:pPr>
            <w:r>
              <w:t xml:space="preserve">liver enzyme ALT decreased</w:t>
            </w:r>
          </w:p>
        </w:tc>
      </w:tr>
      <w:tr>
        <w:tc>
          <w:tcPr/>
          <w:p>
            <w:pPr>
              <w:pStyle w:val="Compact"/>
              <w:jc w:val="left"/>
            </w:pPr>
            <w:r>
              <w:t xml:space="preserve">Arrivi 2023, PMID 36083043</w:t>
            </w:r>
          </w:p>
        </w:tc>
        <w:tc>
          <w:tcPr/>
          <w:p>
            <w:pPr>
              <w:pStyle w:val="Compact"/>
              <w:jc w:val="left"/>
            </w:pPr>
            <w:r>
              <w:t xml:space="preserve">100 people with heart attack, infusion vs. placebo (secondary analysis)</w:t>
            </w:r>
          </w:p>
        </w:tc>
        <w:tc>
          <w:tcPr/>
          <w:p>
            <w:pPr>
              <w:pStyle w:val="Compact"/>
              <w:jc w:val="left"/>
            </w:pPr>
            <w:r>
              <w:t xml:space="preserve">hospital stay</w:t>
            </w:r>
          </w:p>
        </w:tc>
        <w:tc>
          <w:tcPr/>
          <w:p>
            <w:pPr>
              <w:pStyle w:val="Compact"/>
              <w:jc w:val="left"/>
            </w:pPr>
            <w:r>
              <w:t xml:space="preserve">hospital stay 8.6 instead of 10.8 days</w:t>
            </w:r>
          </w:p>
        </w:tc>
      </w:tr>
    </w:tbl>
    <w:p>
      <w:pPr>
        <w:pStyle w:val="BodyText"/>
      </w:pPr>
      <w:r>
        <w:t xml:space="preserve">The picture is sobering: the largest and methodologically strongest study – a phase 3 trial with 185 cancer patients – found no protection against chemotherapy-induced nerve damage; on some secondary endpoints, placebo even performed better</w:t>
      </w:r>
      <w:r>
        <w:rPr>
          <w:rStyle w:val="FootnoteReference"/>
        </w:rPr>
        <w:footnoteReference w:id="1931"/>
      </w:r>
      <w:r>
        <w:t xml:space="preserve">. In Parkinson’s, glutathione was better than placebo neither as an infusion</w:t>
      </w:r>
      <w:r>
        <w:rPr>
          <w:rStyle w:val="FootnoteReference"/>
        </w:rPr>
        <w:footnoteReference w:id="1932"/>
      </w:r>
      <w:r>
        <w:t xml:space="preserve"> </w:t>
      </w:r>
      <w:r>
        <w:t xml:space="preserve">nor as a nasal spray; in the nasal spray study, one person on the higher dose developed a heart muscle disease</w:t>
      </w:r>
      <w:r>
        <w:rPr>
          <w:rStyle w:val="FootnoteReference"/>
        </w:rPr>
        <w:footnoteReference w:id="1933"/>
      </w:r>
      <w:r>
        <w:t xml:space="preserve">. In children with cystic fibrosis, growth was unaffected</w:t>
      </w:r>
      <w:r>
        <w:rPr>
          <w:rStyle w:val="FootnoteReference"/>
        </w:rPr>
        <w:footnoteReference w:id="1934"/>
      </w:r>
      <w:r>
        <w:t xml:space="preserve">.</w:t>
      </w:r>
    </w:p>
    <w:p>
      <w:pPr>
        <w:pStyle w:val="BodyText"/>
      </w:pPr>
      <w:r>
        <w:t xml:space="preserve">Positive signals come from small studies: in 20 overweight men, insulin sensitivity improved after three weeks</w:t>
      </w:r>
      <w:r>
        <w:rPr>
          <w:rStyle w:val="FootnoteReference"/>
        </w:rPr>
        <w:footnoteReference w:id="1935"/>
      </w:r>
      <w:r>
        <w:t xml:space="preserve">; in fatty liver, liver values decreased in an uncontrolled study</w:t>
      </w:r>
      <w:r>
        <w:rPr>
          <w:rStyle w:val="FootnoteReference"/>
        </w:rPr>
        <w:footnoteReference w:id="1936"/>
      </w:r>
      <w:r>
        <w:t xml:space="preserve">; after heart attack, the length of hospital stay was shorter in a secondary analysis</w:t>
      </w:r>
      <w:r>
        <w:rPr>
          <w:rStyle w:val="FootnoteReference"/>
        </w:rPr>
        <w:footnoteReference w:id="1937"/>
      </w:r>
      <w:r>
        <w:t xml:space="preserve">. None of these findings has yet been confirmed in a larger study.</w:t>
      </w:r>
    </w:p>
    <w:bookmarkEnd w:id="1938"/>
    <w:bookmarkStart w:id="1945" w:name="skin-lightening-oral-topical-intravenous"/>
    <w:p>
      <w:pPr>
        <w:pStyle w:val="Heading4"/>
      </w:pPr>
      <w:r>
        <w:t xml:space="preserve">Skin lightening: oral, topical, intravenous</w:t>
      </w:r>
    </w:p>
    <w:p>
      <w:pPr>
        <w:pStyle w:val="FirstParagraph"/>
      </w:pPr>
      <w:r>
        <w:t xml:space="preserve">In parts of Asia, Africa and increasingly also in Europe, glutathione is marketed mainly as a</w:t>
      </w:r>
      <w:r>
        <w:t xml:space="preserve"> </w:t>
      </w:r>
      <w:r>
        <w:t xml:space="preserve">“</w:t>
      </w:r>
      <w:r>
        <w:t xml:space="preserve">skin lightener</w:t>
      </w:r>
      <w:r>
        <w:t xml:space="preserve">”</w:t>
      </w:r>
      <w:r>
        <w:t xml:space="preserve"> </w:t>
      </w:r>
      <w:r>
        <w:t xml:space="preserve">– in capsules, creams and in the form of infusions in beauty clinics.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Arjinpathana 2012, PMID 20524875</w:t>
            </w:r>
          </w:p>
        </w:tc>
        <w:tc>
          <w:tcPr/>
          <w:p>
            <w:pPr>
              <w:pStyle w:val="Compact"/>
              <w:jc w:val="left"/>
            </w:pPr>
            <w:r>
              <w:t xml:space="preserve">60 medical students in Thailand, capsules vs. placebo</w:t>
            </w:r>
          </w:p>
        </w:tc>
        <w:tc>
          <w:tcPr/>
          <w:p>
            <w:pPr>
              <w:pStyle w:val="Compact"/>
              <w:jc w:val="left"/>
            </w:pPr>
            <w:r>
              <w:t xml:space="preserve">4 weeks</w:t>
            </w:r>
          </w:p>
        </w:tc>
        <w:tc>
          <w:tcPr/>
          <w:p>
            <w:pPr>
              <w:pStyle w:val="Compact"/>
              <w:jc w:val="left"/>
            </w:pPr>
            <w:r>
              <w:t xml:space="preserve">melanin index lowered more at 2 of 6 measurement sites</w:t>
            </w:r>
          </w:p>
        </w:tc>
      </w:tr>
      <w:tr>
        <w:tc>
          <w:tcPr/>
          <w:p>
            <w:pPr>
              <w:pStyle w:val="Compact"/>
              <w:jc w:val="left"/>
            </w:pPr>
            <w:r>
              <w:t xml:space="preserve">Weschawalit 2017, PMID 28490897</w:t>
            </w:r>
          </w:p>
        </w:tc>
        <w:tc>
          <w:tcPr/>
          <w:p>
            <w:pPr>
              <w:pStyle w:val="Compact"/>
              <w:jc w:val="left"/>
            </w:pPr>
            <w:r>
              <w:t xml:space="preserve">healthy women, reduced or oxidized glutathione vs. placebo</w:t>
            </w:r>
          </w:p>
        </w:tc>
        <w:tc>
          <w:tcPr/>
          <w:p>
            <w:pPr>
              <w:pStyle w:val="Compact"/>
              <w:jc w:val="left"/>
            </w:pPr>
            <w:r>
              <w:t xml:space="preserve">12 weeks</w:t>
            </w:r>
          </w:p>
        </w:tc>
        <w:tc>
          <w:tcPr/>
          <w:p>
            <w:pPr>
              <w:pStyle w:val="Compact"/>
              <w:jc w:val="left"/>
            </w:pPr>
            <w:r>
              <w:t xml:space="preserve">melanin index tended to be lower; in some cases fewer wrinkles</w:t>
            </w:r>
          </w:p>
        </w:tc>
      </w:tr>
      <w:tr>
        <w:tc>
          <w:tcPr/>
          <w:p>
            <w:pPr>
              <w:pStyle w:val="Compact"/>
              <w:jc w:val="left"/>
            </w:pPr>
            <w:r>
              <w:t xml:space="preserve">Handog 2016, PMID 26148180</w:t>
            </w:r>
          </w:p>
        </w:tc>
        <w:tc>
          <w:tcPr/>
          <w:p>
            <w:pPr>
              <w:pStyle w:val="Compact"/>
              <w:jc w:val="left"/>
            </w:pPr>
            <w:r>
              <w:t xml:space="preserve">30 women in the Philippines, lozenge, no control group</w:t>
            </w:r>
          </w:p>
        </w:tc>
        <w:tc>
          <w:tcPr/>
          <w:p>
            <w:pPr>
              <w:pStyle w:val="Compact"/>
              <w:jc w:val="left"/>
            </w:pPr>
            <w:r>
              <w:t xml:space="preserve">8 weeks</w:t>
            </w:r>
          </w:p>
        </w:tc>
        <w:tc>
          <w:tcPr/>
          <w:p>
            <w:pPr>
              <w:pStyle w:val="Compact"/>
              <w:jc w:val="left"/>
            </w:pPr>
            <w:r>
              <w:t xml:space="preserve">melanin index decreased</w:t>
            </w:r>
          </w:p>
        </w:tc>
      </w:tr>
      <w:tr>
        <w:tc>
          <w:tcPr/>
          <w:p>
            <w:pPr>
              <w:pStyle w:val="Compact"/>
              <w:jc w:val="left"/>
            </w:pPr>
            <w:r>
              <w:t xml:space="preserve">Wahab 2021, PMID 33871071</w:t>
            </w:r>
          </w:p>
        </w:tc>
        <w:tc>
          <w:tcPr/>
          <w:p>
            <w:pPr>
              <w:pStyle w:val="Compact"/>
              <w:jc w:val="left"/>
            </w:pPr>
            <w:r>
              <w:t xml:space="preserve">46 people, combination of cream and capsule vs. placebo</w:t>
            </w:r>
          </w:p>
        </w:tc>
        <w:tc>
          <w:tcPr/>
          <w:p>
            <w:pPr>
              <w:pStyle w:val="Compact"/>
              <w:jc w:val="left"/>
            </w:pPr>
            <w:r>
              <w:t xml:space="preserve">8 weeks</w:t>
            </w:r>
          </w:p>
        </w:tc>
        <w:tc>
          <w:tcPr/>
          <w:p>
            <w:pPr>
              <w:pStyle w:val="Compact"/>
              <w:jc w:val="left"/>
            </w:pPr>
            <w:r>
              <w:t xml:space="preserve">combination possibly more effective than single use</w:t>
            </w:r>
          </w:p>
        </w:tc>
      </w:tr>
    </w:tbl>
    <w:p>
      <w:pPr>
        <w:pStyle w:val="BodyText"/>
      </w:pPr>
      <w:r>
        <w:rPr>
          <w:bCs/>
          <w:b/>
        </w:rPr>
        <w:t xml:space="preserve">Oral and topical:</w:t>
      </w:r>
      <w:r>
        <w:t xml:space="preserve"> </w:t>
      </w:r>
      <w:r>
        <w:t xml:space="preserve">Several small randomized studies show slight lightening, especially at sun-exposed sites. In the first study, the effect was statistically significant at only two of six measurement sites</w:t>
      </w:r>
      <w:r>
        <w:rPr>
          <w:rStyle w:val="FootnoteReference"/>
        </w:rPr>
        <w:footnoteReference w:id="1939"/>
      </w:r>
      <w:r>
        <w:t xml:space="preserve">. A 2019 systematic review concluded that, because of study quality and contradictory findings, the evidence was</w:t>
      </w:r>
      <w:r>
        <w:t xml:space="preserve"> </w:t>
      </w:r>
      <w:r>
        <w:t xml:space="preserve">“</w:t>
      </w:r>
      <w:r>
        <w:t xml:space="preserve">not yet conclusive</w:t>
      </w:r>
      <w:r>
        <w:t xml:space="preserve">”</w:t>
      </w:r>
      <w:r>
        <w:rPr>
          <w:rStyle w:val="FootnoteReference"/>
        </w:rPr>
        <w:footnoteReference w:id="1940"/>
      </w:r>
      <w:r>
        <w:t xml:space="preserve">. A more recent review rates creams and capsules as moderately effective, with effects that do not persist after stopping</w:t>
      </w:r>
      <w:r>
        <w:rPr>
          <w:rStyle w:val="FootnoteReference"/>
        </w:rPr>
        <w:footnoteReference w:id="1941"/>
      </w:r>
      <w:r>
        <w:t xml:space="preserve">.</w:t>
      </w:r>
    </w:p>
    <w:p>
      <w:pPr>
        <w:pStyle w:val="BodyText"/>
      </w:pPr>
      <w:r>
        <w:rPr>
          <w:bCs/>
          <w:b/>
        </w:rPr>
        <w:t xml:space="preserve">Intravenous:</w:t>
      </w:r>
      <w:r>
        <w:t xml:space="preserve"> </w:t>
      </w:r>
      <w:r>
        <w:t xml:space="preserve">According to the same review, there is only one placebo-controlled study of infusions for skin lightening, and it found no significant difference (37.5% versus 18.7%, p = 0.054). The authors consider intravenous glutathione for skin lightening</w:t>
      </w:r>
      <w:r>
        <w:t xml:space="preserve"> </w:t>
      </w:r>
      <w:r>
        <w:rPr>
          <w:bCs/>
          <w:b/>
        </w:rPr>
        <w:t xml:space="preserve">contraindicated</w:t>
      </w:r>
      <w:r>
        <w:t xml:space="preserve">, that is, not justifiable, because of lack of efficacy and side effects</w:t>
      </w:r>
      <w:r>
        <w:rPr>
          <w:rStyle w:val="FootnoteReference"/>
        </w:rPr>
        <w:footnoteReference w:id="1942"/>
      </w:r>
      <w:r>
        <w:t xml:space="preserve">. A South African review found not a single study on the safety of repeated infusions for any use</w:t>
      </w:r>
      <w:r>
        <w:rPr>
          <w:rStyle w:val="FootnoteReference"/>
        </w:rPr>
        <w:footnoteReference w:id="1943"/>
      </w:r>
      <w:r>
        <w:t xml:space="preserve">. In the British Medical Journal, the practice was criticized as</w:t>
      </w:r>
      <w:r>
        <w:t xml:space="preserve"> </w:t>
      </w:r>
      <w:r>
        <w:t xml:space="preserve">“</w:t>
      </w:r>
      <w:r>
        <w:t xml:space="preserve">unethical bleaching</w:t>
      </w:r>
      <w:r>
        <w:t xml:space="preserve">”</w:t>
      </w:r>
      <w:r>
        <w:rPr>
          <w:rStyle w:val="FootnoteReference"/>
        </w:rPr>
        <w:footnoteReference w:id="1944"/>
      </w:r>
      <w:r>
        <w:t xml:space="preserve">.</w:t>
      </w:r>
    </w:p>
    <w:bookmarkEnd w:id="1945"/>
    <w:bookmarkEnd w:id="1946"/>
    <w:bookmarkStart w:id="1947" w:name="animal-and-laboratory-studies-45"/>
    <w:p>
      <w:pPr>
        <w:pStyle w:val="Heading3"/>
      </w:pPr>
      <w:r>
        <w:t xml:space="preserve">Animal and laboratory studies</w:t>
      </w:r>
    </w:p>
    <w:p>
      <w:pPr>
        <w:pStyle w:val="FirstParagraph"/>
      </w:pPr>
      <w:r>
        <w:t xml:space="preserve">Laboratory research on glutathione is enormously extensive and touches almost every area of cell biology. Relevant for this book is above all that in cell and animal experiments, glutathione or its precursors were able to protect against oxidative damage, drug toxicity and inflammatory reactions – effects that are found only partially and mostly weakly in the clinical studies in humans.</w:t>
      </w:r>
    </w:p>
    <w:bookmarkEnd w:id="1947"/>
    <w:bookmarkStart w:id="1951" w:name="risks-and-side-effects-45"/>
    <w:p>
      <w:pPr>
        <w:pStyle w:val="Heading3"/>
      </w:pPr>
      <w:r>
        <w:t xml:space="preserve">Risks and side effects</w:t>
      </w:r>
    </w:p>
    <w:p>
      <w:pPr>
        <w:pStyle w:val="FirstParagraph"/>
      </w:pPr>
      <w:r>
        <w:rPr>
          <w:bCs/>
          <w:b/>
        </w:rPr>
        <w:t xml:space="preserve">Oral intake:</w:t>
      </w:r>
      <w:r>
        <w:t xml:space="preserve"> </w:t>
      </w:r>
      <w:r>
        <w:t xml:space="preserve">well tolerated in the studies; occasional gastrointestinal complaints are reported. Long-term data covering more than six months are largely lacking.</w:t>
      </w:r>
    </w:p>
    <w:p>
      <w:pPr>
        <w:pStyle w:val="BodyText"/>
      </w:pPr>
      <w:r>
        <w:rPr>
          <w:bCs/>
          <w:b/>
        </w:rPr>
        <w:t xml:space="preserve">Nasal spray:</w:t>
      </w:r>
      <w:r>
        <w:t xml:space="preserve"> </w:t>
      </w:r>
      <w:r>
        <w:t xml:space="preserve">In a Parkinson’s study, one person on the higher dose developed a heart muscle disease; a connection has not been established</w:t>
      </w:r>
      <w:r>
        <w:rPr>
          <w:rStyle w:val="FootnoteReference"/>
        </w:rPr>
        <w:footnoteReference w:id="1948"/>
      </w:r>
      <w:r>
        <w:t xml:space="preserve">.</w:t>
      </w:r>
    </w:p>
    <w:p>
      <w:pPr>
        <w:pStyle w:val="BodyText"/>
      </w:pPr>
      <w:r>
        <w:rPr>
          <w:bCs/>
          <w:b/>
        </w:rPr>
        <w:t xml:space="preserve">Infusions – the real risks:</w:t>
      </w:r>
    </w:p>
    <w:p>
      <w:pPr>
        <w:numPr>
          <w:ilvl w:val="0"/>
          <w:numId w:val="1246"/>
        </w:numPr>
        <w:pStyle w:val="Compact"/>
      </w:pPr>
      <w:r>
        <w:rPr>
          <w:bCs/>
          <w:b/>
        </w:rPr>
        <w:t xml:space="preserve">Contaminated compounded preparations:</w:t>
      </w:r>
      <w:r>
        <w:t xml:space="preserve"> </w:t>
      </w:r>
      <w:r>
        <w:t xml:space="preserve">In 2019, the US Food and Drug Administration (FDA) warned pharmacies against using glutathione from a particular wholesaler for infusions after patients developed nausea, vomiting and shortness of breath following infusions and elevated endotoxin levels (bacterial components that can cause fever and shock) were measured. In August 2026, the FDA again urged pharmacies not to use dietary-supplement-grade glutathione for injections; infusions from a particular batch had led to fever, chills, shock-like conditions and hospital admissions.</w:t>
      </w:r>
    </w:p>
    <w:p>
      <w:pPr>
        <w:numPr>
          <w:ilvl w:val="0"/>
          <w:numId w:val="1246"/>
        </w:numPr>
        <w:pStyle w:val="Compact"/>
      </w:pPr>
      <w:r>
        <w:rPr>
          <w:bCs/>
          <w:b/>
        </w:rPr>
        <w:t xml:space="preserve">Regulatory warnings on skin lightening:</w:t>
      </w:r>
      <w:r>
        <w:t xml:space="preserve"> </w:t>
      </w:r>
      <w:r>
        <w:t xml:space="preserve">The Philippine drug regulatory authority warned against glutathione injections for skin lightening in 2011 and 2019; it cited side effects ranging from skin rashes to the life-threatening skin reactions Stevens-Johnson syndrome and toxic epidermal necrolysis, as well as risks from improper injections such as sepsis and transmission of infections. The US FDA also warned consumers that no injectable products for skin lightening are approved and that such products may contain unknown, harmful ingredients.</w:t>
      </w:r>
    </w:p>
    <w:p>
      <w:pPr>
        <w:numPr>
          <w:ilvl w:val="0"/>
          <w:numId w:val="1246"/>
        </w:numPr>
        <w:pStyle w:val="Compact"/>
      </w:pPr>
      <w:r>
        <w:rPr>
          <w:bCs/>
          <w:b/>
        </w:rPr>
        <w:t xml:space="preserve">Skin cancer (theoretical):</w:t>
      </w:r>
      <w:r>
        <w:t xml:space="preserve"> </w:t>
      </w:r>
      <w:r>
        <w:t xml:space="preserve">The shift from dark to light melanin could reduce the skin’s natural sun protection</w:t>
      </w:r>
      <w:r>
        <w:rPr>
          <w:rStyle w:val="FootnoteReference"/>
        </w:rPr>
        <w:footnoteReference w:id="1949"/>
      </w:r>
      <w:r>
        <w:t xml:space="preserve">.</w:t>
      </w:r>
    </w:p>
    <w:p>
      <w:pPr>
        <w:pStyle w:val="FirstParagraph"/>
      </w:pPr>
      <w:r>
        <w:rPr>
          <w:bCs/>
          <w:b/>
        </w:rPr>
        <w:t xml:space="preserve">Interactions:</w:t>
      </w:r>
      <w:r>
        <w:t xml:space="preserve"> </w:t>
      </w:r>
      <w:r>
        <w:t xml:space="preserve">In a cancer study, glutathione was given before chemotherapy; the time to disease progression there did not differ from placebo</w:t>
      </w:r>
      <w:r>
        <w:rPr>
          <w:rStyle w:val="FootnoteReference"/>
        </w:rPr>
        <w:footnoteReference w:id="1950"/>
      </w:r>
      <w:r>
        <w:t xml:space="preserve">. In general, it is debated whether antioxidants could weaken the effect of some cancer therapies. Anyone undergoing cancer treatment should take glutathione only after consulting their treatment team.</w:t>
      </w:r>
    </w:p>
    <w:bookmarkEnd w:id="1951"/>
    <w:bookmarkStart w:id="1952" w:name="legal-status-45"/>
    <w:p>
      <w:pPr>
        <w:pStyle w:val="Heading3"/>
      </w:pPr>
      <w:r>
        <w:t xml:space="preserve">Legal status</w:t>
      </w:r>
    </w:p>
    <w:p>
      <w:pPr>
        <w:numPr>
          <w:ilvl w:val="0"/>
          <w:numId w:val="1247"/>
        </w:numPr>
        <w:pStyle w:val="Compact"/>
      </w:pPr>
      <w:r>
        <w:rPr>
          <w:bCs/>
          <w:b/>
        </w:rPr>
        <w:t xml:space="preserve">EU / Austria / Germany:</w:t>
      </w:r>
      <w:r>
        <w:t xml:space="preserve"> </w:t>
      </w:r>
      <w:r>
        <w:t xml:space="preserve">Glutathione is sold as a dietary supplement in capsules and powders; health claims in advertising are not permitted without authorized health claims. Infusions and injections are medicines; preparations for skin lightening by infusion are not approved. In individual countries (to our knowledge, for example, Italy) there are approved glutathione injections for specific medical uses; please refer to the respective prescribing information for details.</w:t>
      </w:r>
    </w:p>
    <w:p>
      <w:pPr>
        <w:numPr>
          <w:ilvl w:val="0"/>
          <w:numId w:val="1247"/>
        </w:numPr>
        <w:pStyle w:val="Compact"/>
      </w:pPr>
      <w:r>
        <w:rPr>
          <w:bCs/>
          <w:b/>
        </w:rPr>
        <w:t xml:space="preserve">USA:</w:t>
      </w:r>
      <w:r>
        <w:t xml:space="preserve"> </w:t>
      </w:r>
      <w:r>
        <w:t xml:space="preserve">no approved glutathione medicine; dietary supplements are permitted, and infusions are produced as pharmacy compounded preparations and are subject to FDA requirements for sterile preparations.</w:t>
      </w:r>
    </w:p>
    <w:p>
      <w:pPr>
        <w:numPr>
          <w:ilvl w:val="0"/>
          <w:numId w:val="1247"/>
        </w:numPr>
        <w:pStyle w:val="Compact"/>
      </w:pPr>
      <w:r>
        <w:rPr>
          <w:bCs/>
          <w:b/>
        </w:rPr>
        <w:t xml:space="preserve">Sport:</w:t>
      </w:r>
      <w:r>
        <w:t xml:space="preserve"> </w:t>
      </w:r>
      <w:r>
        <w:t xml:space="preserve">glutathione is not prohibited; infusions of more than 100 mL in twelve hours outside of hospital treatment fall under WADA method M2 (as of 2026, please check for updates).</w:t>
      </w:r>
    </w:p>
    <w:bookmarkEnd w:id="1952"/>
    <w:bookmarkStart w:id="1954" w:name="ongoing-studies-and-outlook-45"/>
    <w:p>
      <w:pPr>
        <w:pStyle w:val="Heading3"/>
      </w:pPr>
      <w:r>
        <w:t xml:space="preserve">Ongoing studies and outlook</w:t>
      </w:r>
    </w:p>
    <w:p>
      <w:pPr>
        <w:pStyle w:val="FirstParagraph"/>
      </w:pPr>
      <w:r>
        <w:rPr>
          <w:bCs/>
          <w:b/>
        </w:rPr>
        <w:t xml:space="preserve">Established (registered studies, as of October 2026):</w:t>
      </w:r>
    </w:p>
    <w:p>
      <w:pPr>
        <w:numPr>
          <w:ilvl w:val="0"/>
          <w:numId w:val="1248"/>
        </w:numPr>
        <w:pStyle w:val="Compact"/>
      </w:pPr>
      <w:r>
        <w:t xml:space="preserve">A phase 1 trial in China is testing glutathione in addition to immunotherapy and chemotherapy in advanced lung cancer (NCT06896422, 80 planned participants).</w:t>
      </w:r>
    </w:p>
    <w:p>
      <w:pPr>
        <w:numPr>
          <w:ilvl w:val="0"/>
          <w:numId w:val="1248"/>
        </w:numPr>
        <w:pStyle w:val="Compact"/>
      </w:pPr>
      <w:r>
        <w:t xml:space="preserve">A study on glutathione-assisted microneedling in melasma (pigment patches) is registered</w:t>
      </w:r>
      <w:r>
        <w:rPr>
          <w:rStyle w:val="FootnoteReference"/>
        </w:rPr>
        <w:footnoteReference w:id="1953"/>
      </w:r>
      <w:r>
        <w:t xml:space="preserve">.</w:t>
      </w:r>
    </w:p>
    <w:p>
      <w:pPr>
        <w:numPr>
          <w:ilvl w:val="0"/>
          <w:numId w:val="1248"/>
        </w:numPr>
        <w:pStyle w:val="Compact"/>
      </w:pPr>
      <w:r>
        <w:t xml:space="preserve">Several small studies are examining new dosage forms (liposomal, micellar) and recovery from exercise, frequently funded by manufacturers.</w:t>
      </w:r>
    </w:p>
    <w:p>
      <w:pPr>
        <w:pStyle w:val="FirstParagraph"/>
      </w:pPr>
      <w:r>
        <w:rPr>
          <w:bCs/>
          <w:b/>
        </w:rPr>
        <w:t xml:space="preserve">Assessment:</w:t>
      </w:r>
      <w:r>
        <w:t xml:space="preserve"> </w:t>
      </w:r>
      <w:r>
        <w:t xml:space="preserve">The most important open question is no longer whether glutathione is absorbed, but whether higher levels have any clinical benefit. The large studies to date tend to argue against it. For infusions for skin lightening or as a</w:t>
      </w:r>
      <w:r>
        <w:t xml:space="preserve"> </w:t>
      </w:r>
      <w:r>
        <w:t xml:space="preserve">“</w:t>
      </w:r>
      <w:r>
        <w:t xml:space="preserve">wellness</w:t>
      </w:r>
      <w:r>
        <w:t xml:space="preserve">”</w:t>
      </w:r>
      <w:r>
        <w:t xml:space="preserve"> </w:t>
      </w:r>
      <w:r>
        <w:t xml:space="preserve">drip, the risks outweigh an unproven benefit.</w:t>
      </w:r>
    </w:p>
    <w:bookmarkEnd w:id="1954"/>
    <w:bookmarkStart w:id="1955" w:name="conclusion-45"/>
    <w:p>
      <w:pPr>
        <w:pStyle w:val="Heading3"/>
      </w:pPr>
      <w:r>
        <w:t xml:space="preserve">Conclusion</w:t>
      </w:r>
    </w:p>
    <w:p>
      <w:pPr>
        <w:pStyle w:val="FirstParagraph"/>
      </w:pPr>
      <w:r>
        <w:t xml:space="preserve">Glutathione is the body’s most important protective peptide against oxidation; taken as a capsule, it can measurably raise blood levels with longer-term intake. Clinically, however, the larger studies showed no benefit – neither against chemotherapy-induced nerve damage nor in Parkinson’s or cystic fibrosis; positive indications come from small studies. Capsules and creams lightened the skin slightly and temporarily in small studies. Infusions for skin lightening have not been shown to be effective, are not approved and have been the subject of explicit warnings by several authorities because of serious side effects and contaminated preparations.</w:t>
      </w:r>
    </w:p>
    <w:bookmarkEnd w:id="1955"/>
    <w:bookmarkEnd w:id="1956"/>
    <w:bookmarkEnd w:id="1957"/>
    <w:bookmarkStart w:id="2313" w:name="X6657775943b203518a75c83f03260d5bde8de81"/>
    <w:p>
      <w:pPr>
        <w:pStyle w:val="Heading1"/>
      </w:pPr>
      <w:r>
        <w:t xml:space="preserve">Part II · E – Hormones, Sexuality and Pigmentation</w:t>
      </w:r>
    </w:p>
    <w:p>
      <w:pPr>
        <w:pStyle w:val="FirstParagraph"/>
      </w:pPr>
      <w:r>
        <w:t xml:space="preserve">The six peptides in this group act on very different things: skin color, sexual desire, fertility and social behavior. What they have in common is that they mimic the body’s own signaling pathways in the brain and the hormone glands, which are closely intertwined. Three of them belong to a single family, the melanocortin system; three others control the reproductive hormone axis or are connected to it.</w:t>
      </w:r>
    </w:p>
    <w:bookmarkStart w:id="1960" w:name="the-melanocortin-system"/>
    <w:p>
      <w:pPr>
        <w:pStyle w:val="Heading3"/>
      </w:pPr>
      <w:r>
        <w:t xml:space="preserve">The Melanocortin System</w:t>
      </w:r>
    </w:p>
    <w:p>
      <w:pPr>
        <w:pStyle w:val="FirstParagraph"/>
      </w:pPr>
      <w:r>
        <w:t xml:space="preserve">It all starts with a large precursor protein called proopiomelanocortin (POMC). Enzymes cut several smaller peptides out of it, including the stress hormone ACTH and the melanocyte-stimulating hormones (MSH), above all alpha-MSH. Together, these messengers are called melanocortins. They act through five receptors, MC1R to MC5R, located in different tissues:</w:t>
      </w:r>
    </w:p>
    <w:p>
      <w:pPr>
        <w:numPr>
          <w:ilvl w:val="0"/>
          <w:numId w:val="1249"/>
        </w:numPr>
        <w:pStyle w:val="Compact"/>
      </w:pPr>
      <w:r>
        <w:rPr>
          <w:bCs/>
          <w:b/>
        </w:rPr>
        <w:t xml:space="preserve">MC1R</w:t>
      </w:r>
      <w:r>
        <w:t xml:space="preserve"> </w:t>
      </w:r>
      <w:r>
        <w:t xml:space="preserve">on the pigment cells of the skin controls whether they produce dark, protective eumelanin. People with red hair and fair skin often carry less effective variants of this receptor.</w:t>
      </w:r>
    </w:p>
    <w:p>
      <w:pPr>
        <w:numPr>
          <w:ilvl w:val="0"/>
          <w:numId w:val="1249"/>
        </w:numPr>
        <w:pStyle w:val="Compact"/>
      </w:pPr>
      <w:r>
        <w:rPr>
          <w:bCs/>
          <w:b/>
        </w:rPr>
        <w:t xml:space="preserve">MC2R</w:t>
      </w:r>
      <w:r>
        <w:t xml:space="preserve"> </w:t>
      </w:r>
      <w:r>
        <w:t xml:space="preserve">in the adrenal gland is the receptor for ACTH and regulates cortisol production.</w:t>
      </w:r>
    </w:p>
    <w:p>
      <w:pPr>
        <w:numPr>
          <w:ilvl w:val="0"/>
          <w:numId w:val="1249"/>
        </w:numPr>
        <w:pStyle w:val="Compact"/>
      </w:pPr>
      <w:r>
        <w:rPr>
          <w:bCs/>
          <w:b/>
        </w:rPr>
        <w:t xml:space="preserve">MC3R and MC4R</w:t>
      </w:r>
      <w:r>
        <w:t xml:space="preserve"> </w:t>
      </w:r>
      <w:r>
        <w:t xml:space="preserve">in the brain influence appetite, energy expenditure and – as was discovered by chance – sexual arousal. Defects in MC4R are the most common genetic cause of severe obesity.</w:t>
      </w:r>
    </w:p>
    <w:p>
      <w:pPr>
        <w:numPr>
          <w:ilvl w:val="0"/>
          <w:numId w:val="1249"/>
        </w:numPr>
        <w:pStyle w:val="Compact"/>
      </w:pPr>
      <w:r>
        <w:rPr>
          <w:bCs/>
          <w:b/>
        </w:rPr>
        <w:t xml:space="preserve">MC5R</w:t>
      </w:r>
      <w:r>
        <w:t xml:space="preserve"> </w:t>
      </w:r>
      <w:r>
        <w:t xml:space="preserve">acts on sebaceous and other glands, among other things.</w:t>
      </w:r>
    </w:p>
    <w:p>
      <w:pPr>
        <w:pStyle w:val="FirstParagraph"/>
      </w:pPr>
      <w:r>
        <w:t xml:space="preserve">The story of the three melanocortin peptides in this part begins at the University of Arizona. There, in the 1980s and 1990s, researchers developed two stabilized variants of alpha-MSH to produce a tan without sun: the linear melanotan I and the ring-shaped melanotan II</w:t>
      </w:r>
      <w:r>
        <w:rPr>
          <w:rStyle w:val="FootnoteReference"/>
        </w:rPr>
        <w:footnoteReference w:id="1958"/>
      </w:r>
      <w:r>
        <w:t xml:space="preserve">. In trials with melanotan II, men reported spontaneous erections – the discovery that melanocortins in the brain influence sexual function</w:t>
      </w:r>
      <w:r>
        <w:rPr>
          <w:rStyle w:val="FootnoteReference"/>
        </w:rPr>
        <w:footnoteReference w:id="1959"/>
      </w:r>
      <w:r>
        <w:t xml:space="preserve">.</w:t>
      </w:r>
    </w:p>
    <w:p>
      <w:pPr>
        <w:pStyle w:val="BodyText"/>
      </w:pPr>
      <w:r>
        <w:t xml:space="preserve">Three paths emerged from these beginnings:</w:t>
      </w:r>
    </w:p>
    <w:p>
      <w:pPr>
        <w:numPr>
          <w:ilvl w:val="0"/>
          <w:numId w:val="1250"/>
        </w:numPr>
        <w:pStyle w:val="Compact"/>
      </w:pPr>
      <w:r>
        <w:rPr>
          <w:bCs/>
          <w:b/>
        </w:rPr>
        <w:t xml:space="preserve">Melanotan I</w:t>
      </w:r>
      <w:r>
        <w:t xml:space="preserve"> </w:t>
      </w:r>
      <w:r>
        <w:t xml:space="preserve">was developed further under the name</w:t>
      </w:r>
      <w:r>
        <w:t xml:space="preserve"> </w:t>
      </w:r>
      <w:r>
        <w:rPr>
          <w:bCs/>
          <w:b/>
        </w:rPr>
        <w:t xml:space="preserve">afamelanotide</w:t>
      </w:r>
      <w:r>
        <w:t xml:space="preserve"> </w:t>
      </w:r>
      <w:r>
        <w:t xml:space="preserve">into an implant for a rare, painful sensitivity to light and is approved in the EU and the USA.</w:t>
      </w:r>
    </w:p>
    <w:p>
      <w:pPr>
        <w:numPr>
          <w:ilvl w:val="0"/>
          <w:numId w:val="1250"/>
        </w:numPr>
        <w:pStyle w:val="Compact"/>
      </w:pPr>
      <w:r>
        <w:rPr>
          <w:bCs/>
          <w:b/>
        </w:rPr>
        <w:t xml:space="preserve">Melanotan II</w:t>
      </w:r>
      <w:r>
        <w:t xml:space="preserve"> </w:t>
      </w:r>
      <w:r>
        <w:t xml:space="preserve">was never approved but is widespread on the gray market as a</w:t>
      </w:r>
      <w:r>
        <w:t xml:space="preserve"> </w:t>
      </w:r>
      <w:r>
        <w:t xml:space="preserve">“</w:t>
      </w:r>
      <w:r>
        <w:t xml:space="preserve">tanning injection.</w:t>
      </w:r>
      <w:r>
        <w:t xml:space="preserve">”</w:t>
      </w:r>
    </w:p>
    <w:p>
      <w:pPr>
        <w:numPr>
          <w:ilvl w:val="0"/>
          <w:numId w:val="1250"/>
        </w:numPr>
        <w:pStyle w:val="Compact"/>
      </w:pPr>
      <w:r>
        <w:rPr>
          <w:bCs/>
          <w:b/>
        </w:rPr>
        <w:t xml:space="preserve">Bremelanotide</w:t>
      </w:r>
      <w:r>
        <w:t xml:space="preserve">, a variant of melanotan II, is approved in the USA for low sexual desire in women.</w:t>
      </w:r>
    </w:p>
    <w:p>
      <w:pPr>
        <w:pStyle w:val="FirstParagraph"/>
      </w:pPr>
      <w:r>
        <w:t xml:space="preserve">A fourth melanocortin drug, setmelanotide, specifically targets MC4R and is used in rare genetic forms of obesity; it is covered in Part II · A. The more selectively a drug addresses one receptor, the more targeted its effect. Melanotan II addresses almost all of them and therefore combines tanning, nausea, loss of appetite and erections in a single molecule.</w:t>
      </w:r>
    </w:p>
    <w:bookmarkEnd w:id="1960"/>
    <w:bookmarkStart w:id="1961" w:name="the-reproductive-hormone-axis"/>
    <w:p>
      <w:pPr>
        <w:pStyle w:val="Heading3"/>
      </w:pPr>
      <w:r>
        <w:t xml:space="preserve">The Reproductive Hormone Axis</w:t>
      </w:r>
    </w:p>
    <w:p>
      <w:pPr>
        <w:pStyle w:val="FirstParagraph"/>
      </w:pPr>
      <w:r>
        <w:t xml:space="preserve">The other three peptides in this part act on the axis that controls puberty, the menstrual cycle and fertility.</w:t>
      </w:r>
      <w:r>
        <w:t xml:space="preserve"> </w:t>
      </w:r>
      <w:r>
        <w:rPr>
          <w:bCs/>
          <w:b/>
        </w:rPr>
        <w:t xml:space="preserve">Kisspeptin</w:t>
      </w:r>
      <w:r>
        <w:t xml:space="preserve"> </w:t>
      </w:r>
      <w:r>
        <w:t xml:space="preserve">switches on the GnRH nerve cells in the hypothalamus.</w:t>
      </w:r>
      <w:r>
        <w:t xml:space="preserve"> </w:t>
      </w:r>
      <w:r>
        <w:rPr>
          <w:bCs/>
          <w:b/>
        </w:rPr>
        <w:t xml:space="preserve">Gonadorelin</w:t>
      </w:r>
      <w:r>
        <w:t xml:space="preserve"> </w:t>
      </w:r>
      <w:r>
        <w:t xml:space="preserve">is the synthetic form of GnRH itself, which, released in pulses, stimulates the pituitary gland to secrete LH and FSH. Both illustrate a shared principle: given in the right rhythm, they activate the axis; as a continuous stimulus, they suppress it. Finally,</w:t>
      </w:r>
      <w:r>
        <w:t xml:space="preserve"> </w:t>
      </w:r>
      <w:r>
        <w:rPr>
          <w:bCs/>
          <w:b/>
        </w:rPr>
        <w:t xml:space="preserve">oxytocin</w:t>
      </w:r>
      <w:r>
        <w:t xml:space="preserve"> </w:t>
      </w:r>
      <w:r>
        <w:t xml:space="preserve">comes from the same brain regions, controls childbirth and breastfeeding, and has been studied for two decades as a nasal spray for social behavior – with sobering results.</w:t>
      </w:r>
    </w:p>
    <w:bookmarkEnd w:id="1961"/>
    <w:bookmarkStart w:id="1962" w:name="overview-3"/>
    <w:p>
      <w:pPr>
        <w:pStyle w:val="Heading3"/>
      </w:pPr>
      <w:r>
        <w:t xml:space="preserve">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USA (Vyleesi), not EU</w:t>
            </w:r>
          </w:p>
        </w:tc>
        <w:tc>
          <w:tcPr/>
          <w:p>
            <w:pPr>
              <w:pStyle w:val="Compact"/>
              <w:jc w:val="left"/>
            </w:pPr>
            <w:r>
              <w:t xml:space="preserve">Desire in women with HSDD; small effect, much nausea</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none</w:t>
            </w:r>
          </w:p>
        </w:tc>
        <w:tc>
          <w:tcPr/>
          <w:p>
            <w:pPr>
              <w:pStyle w:val="Compact"/>
              <w:jc w:val="left"/>
            </w:pPr>
            <w:r>
              <w:t xml:space="preserve">Gray-market tanning; case reports on moles and priapism</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EU and USA (Scenesse)</w:t>
            </w:r>
          </w:p>
        </w:tc>
        <w:tc>
          <w:tcPr/>
          <w:p>
            <w:pPr>
              <w:pStyle w:val="Compact"/>
              <w:jc w:val="left"/>
            </w:pPr>
            <w:r>
              <w:t xml:space="preserve">Light protection in EPP; vitiligo under investigation</w:t>
            </w:r>
          </w:p>
        </w:tc>
      </w:tr>
      <w:tr>
        <w:tc>
          <w:tcPr/>
          <w:p>
            <w:pPr>
              <w:pStyle w:val="Compact"/>
              <w:jc w:val="left"/>
            </w:pPr>
            <w:r>
              <w:t xml:space="preserve">Kisspeptin</w:t>
            </w:r>
          </w:p>
        </w:tc>
        <w:tc>
          <w:tcPr/>
          <w:p>
            <w:pPr>
              <w:pStyle w:val="Compact"/>
              <w:jc w:val="left"/>
            </w:pPr>
            <w:r>
              <w:t xml:space="preserve">B</w:t>
            </w:r>
          </w:p>
        </w:tc>
        <w:tc>
          <w:tcPr/>
          <w:p>
            <w:pPr>
              <w:pStyle w:val="Compact"/>
              <w:jc w:val="left"/>
            </w:pPr>
            <w:r>
              <w:t xml:space="preserve">none</w:t>
            </w:r>
          </w:p>
        </w:tc>
        <w:tc>
          <w:tcPr/>
          <w:p>
            <w:pPr>
              <w:pStyle w:val="Compact"/>
              <w:jc w:val="left"/>
            </w:pPr>
            <w:r>
              <w:t xml:space="preserve">Egg maturation in IVF, hormone tests; research</w:t>
            </w:r>
          </w:p>
        </w:tc>
      </w:tr>
      <w:tr>
        <w:tc>
          <w:tcPr/>
          <w:p>
            <w:pPr>
              <w:pStyle w:val="Compact"/>
              <w:jc w:val="left"/>
            </w:pPr>
            <w:r>
              <w:t xml:space="preserve">Oxytocin (nasal spray)</w:t>
            </w:r>
          </w:p>
        </w:tc>
        <w:tc>
          <w:tcPr/>
          <w:p>
            <w:pPr>
              <w:pStyle w:val="Compact"/>
              <w:jc w:val="left"/>
            </w:pPr>
            <w:r>
              <w:t xml:space="preserve">B</w:t>
            </w:r>
          </w:p>
        </w:tc>
        <w:tc>
          <w:tcPr/>
          <w:p>
            <w:pPr>
              <w:pStyle w:val="Compact"/>
              <w:jc w:val="left"/>
            </w:pPr>
            <w:r>
              <w:t xml:space="preserve">only as infusion (obstetrics)</w:t>
            </w:r>
          </w:p>
        </w:tc>
        <w:tc>
          <w:tcPr/>
          <w:p>
            <w:pPr>
              <w:pStyle w:val="Compact"/>
              <w:jc w:val="left"/>
            </w:pPr>
            <w:r>
              <w:t xml:space="preserve">Autism and trust: large studies negative</w:t>
            </w:r>
          </w:p>
        </w:tc>
      </w:tr>
      <w:tr>
        <w:tc>
          <w:tcPr/>
          <w:p>
            <w:pPr>
              <w:pStyle w:val="Compact"/>
              <w:jc w:val="left"/>
            </w:pPr>
            <w:r>
              <w:t xml:space="preserve">Gonadorelin</w:t>
            </w:r>
          </w:p>
        </w:tc>
        <w:tc>
          <w:tcPr/>
          <w:p>
            <w:pPr>
              <w:pStyle w:val="Compact"/>
              <w:jc w:val="left"/>
            </w:pPr>
            <w:r>
              <w:t xml:space="preserve">B</w:t>
            </w:r>
          </w:p>
        </w:tc>
        <w:tc>
          <w:tcPr/>
          <w:p>
            <w:pPr>
              <w:pStyle w:val="Compact"/>
              <w:jc w:val="left"/>
            </w:pPr>
            <w:r>
              <w:t xml:space="preserve">national (EU), no longer in the USA</w:t>
            </w:r>
          </w:p>
        </w:tc>
        <w:tc>
          <w:tcPr/>
          <w:p>
            <w:pPr>
              <w:pStyle w:val="Compact"/>
              <w:jc w:val="left"/>
            </w:pPr>
            <w:r>
              <w:t xml:space="preserve">GnRH test and pump for infertility; banned in sport</w:t>
            </w:r>
          </w:p>
        </w:tc>
      </w:tr>
    </w:tbl>
    <w:p>
      <w:pPr>
        <w:pStyle w:val="BodyText"/>
      </w:pPr>
      <w:r>
        <w:t xml:space="preserve">The approval information reflects the status as of 2026 and should be checked for updates.</w:t>
      </w:r>
    </w:p>
    <w:bookmarkEnd w:id="1962"/>
    <w:bookmarkStart w:id="1963" w:name="reading-guide-4"/>
    <w:p>
      <w:pPr>
        <w:pStyle w:val="Heading3"/>
      </w:pPr>
      <w:r>
        <w:t xml:space="preserve">Reading Guide</w:t>
      </w:r>
    </w:p>
    <w:p>
      <w:pPr>
        <w:pStyle w:val="FirstParagraph"/>
      </w:pPr>
      <w:r>
        <w:t xml:space="preserve">If you are interested in tanning agents, read the chapters on melanotan II and afamelanotide together: they show how differently the same basic idea can turn out – once as a tested medicine in a specialized clinic, once as an untested powder from the internet. On the topic of sexuality, it is worth comparing bremelanotide, kisspeptin and oxytocin; all three show how strong placebo effects are in this field. Together, kisspeptin and gonadorelin explain the hormone axis of fertility. General information on gray-market products can be found in Part I, and a comparison of risks in Part IV.</w:t>
      </w:r>
    </w:p>
    <w:bookmarkEnd w:id="1963"/>
    <w:bookmarkStart w:id="2020" w:name="bremelanotide-pt-141"/>
    <w:p>
      <w:pPr>
        <w:pStyle w:val="Heading2"/>
      </w:pPr>
      <w:r>
        <w:t xml:space="preserve">Bremelanotide (PT-141)</w:t>
      </w:r>
    </w:p>
    <w:bookmarkStart w:id="1966" w:name="profile-46"/>
    <w:p>
      <w:pPr>
        <w:pStyle w:val="Heading3"/>
      </w:pPr>
      <w:r>
        <w:t xml:space="preserve">Profile</w:t>
      </w:r>
    </w:p>
    <w:p>
      <w:pPr>
        <w:numPr>
          <w:ilvl w:val="0"/>
          <w:numId w:val="1251"/>
        </w:numPr>
        <w:pStyle w:val="Compact"/>
      </w:pPr>
      <w:r>
        <w:rPr>
          <w:bCs/>
          <w:b/>
        </w:rPr>
        <w:t xml:space="preserve">Type/structure:</w:t>
      </w:r>
      <w:r>
        <w:t xml:space="preserve"> </w:t>
      </w:r>
      <w:r>
        <w:t xml:space="preserve">ring-shaped (cyclic) peptide of seven amino acids, produced synthetically. It is derived from the body’s own hormone alpha-MSH (alpha-melanocyte-stimulating hormone) and is a close relative of melanotan II (chapter 2E02). In the literature it is also called PT-141.</w:t>
      </w:r>
    </w:p>
    <w:p>
      <w:pPr>
        <w:numPr>
          <w:ilvl w:val="0"/>
          <w:numId w:val="1251"/>
        </w:numPr>
        <w:pStyle w:val="Compact"/>
      </w:pPr>
      <w:r>
        <w:rPr>
          <w:bCs/>
          <w:b/>
        </w:rPr>
        <w:t xml:space="preserve">Origin:</w:t>
      </w:r>
      <w:r>
        <w:t xml:space="preserve"> </w:t>
      </w:r>
      <w:r>
        <w:t xml:space="preserve">emerged from the development of melanotan II at the University of Arizona; developed further by the company Palatin Technologies</w:t>
      </w:r>
      <w:r>
        <w:rPr>
          <w:rStyle w:val="FootnoteReference"/>
        </w:rPr>
        <w:footnoteReference w:id="1964"/>
      </w:r>
      <w:r>
        <w:t xml:space="preserve">.</w:t>
      </w:r>
    </w:p>
    <w:p>
      <w:pPr>
        <w:numPr>
          <w:ilvl w:val="0"/>
          <w:numId w:val="1251"/>
        </w:numPr>
        <w:pStyle w:val="Compact"/>
      </w:pPr>
      <w:r>
        <w:rPr>
          <w:bCs/>
          <w:b/>
        </w:rPr>
        <w:t xml:space="preserve">Mechanism of action:</w:t>
      </w:r>
      <w:r>
        <w:t xml:space="preserve"> </w:t>
      </w:r>
      <w:r>
        <w:t xml:space="preserve">agonist at melanocortin receptors, above all MC4R in the brain. It does not act on the blood vessels of the genitals like sildenafil, but on brain regions involved in sexual desire.</w:t>
      </w:r>
    </w:p>
    <w:p>
      <w:pPr>
        <w:numPr>
          <w:ilvl w:val="0"/>
          <w:numId w:val="1251"/>
        </w:numPr>
        <w:pStyle w:val="Compact"/>
      </w:pPr>
      <w:r>
        <w:rPr>
          <w:bCs/>
          <w:b/>
        </w:rPr>
        <w:t xml:space="preserve">Dosage form:</w:t>
      </w:r>
      <w:r>
        <w:t xml:space="preserve"> </w:t>
      </w:r>
      <w:r>
        <w:t xml:space="preserve">prefilled syringe (autoinjector) for use under the skin as needed, about 45 minutes before sexual activity. Early studies used a nasal spray.</w:t>
      </w:r>
    </w:p>
    <w:p>
      <w:pPr>
        <w:numPr>
          <w:ilvl w:val="0"/>
          <w:numId w:val="1251"/>
        </w:numPr>
        <w:pStyle w:val="Compact"/>
      </w:pPr>
      <w:r>
        <w:rPr>
          <w:bCs/>
          <w:b/>
        </w:rPr>
        <w:t xml:space="preserve">Approval EU:</w:t>
      </w:r>
      <w:r>
        <w:t xml:space="preserve"> </w:t>
      </w:r>
      <w:r>
        <w:t xml:space="preserve">no.</w:t>
      </w:r>
    </w:p>
    <w:p>
      <w:pPr>
        <w:numPr>
          <w:ilvl w:val="0"/>
          <w:numId w:val="1251"/>
        </w:numPr>
        <w:pStyle w:val="Compact"/>
      </w:pPr>
      <w:r>
        <w:rPr>
          <w:bCs/>
          <w:b/>
        </w:rPr>
        <w:t xml:space="preserve">Approval USA:</w:t>
      </w:r>
      <w:r>
        <w:t xml:space="preserve"> </w:t>
      </w:r>
      <w:r>
        <w:t xml:space="preserve">yes, since 2019 as Vyleesi for premenopausal women with acquired, generalized disorder of sexual desire (hypoactive sexual desire disorder, HSDD)</w:t>
      </w:r>
      <w:r>
        <w:rPr>
          <w:rStyle w:val="FootnoteReference"/>
        </w:rPr>
        <w:footnoteReference w:id="1965"/>
      </w:r>
      <w:r>
        <w:t xml:space="preserve">. Use only on medical prescription and in accordance with the prescribing information.</w:t>
      </w:r>
    </w:p>
    <w:p>
      <w:pPr>
        <w:numPr>
          <w:ilvl w:val="0"/>
          <w:numId w:val="1251"/>
        </w:numPr>
        <w:pStyle w:val="Compact"/>
      </w:pPr>
      <w:r>
        <w:rPr>
          <w:bCs/>
          <w:b/>
        </w:rPr>
        <w:t xml:space="preserve">WADA:</w:t>
      </w:r>
      <w:r>
        <w:t xml:space="preserve"> </w:t>
      </w:r>
      <w:r>
        <w:t xml:space="preserve">not listed by name.</w:t>
      </w:r>
    </w:p>
    <w:p>
      <w:pPr>
        <w:numPr>
          <w:ilvl w:val="0"/>
          <w:numId w:val="1251"/>
        </w:numPr>
        <w:pStyle w:val="Compact"/>
      </w:pPr>
      <w:r>
        <w:rPr>
          <w:bCs/>
          <w:b/>
        </w:rPr>
        <w:t xml:space="preserve">Evidence level:</w:t>
      </w:r>
      <w:r>
        <w:t xml:space="preserve"> </w:t>
      </w:r>
      <w:r>
        <w:rPr>
          <w:bCs/>
          <w:b/>
        </w:rPr>
        <w:t xml:space="preserve">A</w:t>
      </w:r>
      <w:r>
        <w:t xml:space="preserve"> </w:t>
      </w:r>
      <w:r>
        <w:t xml:space="preserve">– two large randomized phase 3 trials with a combined total of more than 1,200 participants, approval in the USA. However, the clinical benefit is small and disputed (see below).</w:t>
      </w:r>
    </w:p>
    <w:bookmarkEnd w:id="1966"/>
    <w:bookmarkStart w:id="1971" w:name="how-it-is-supposed-to-work-46"/>
    <w:p>
      <w:pPr>
        <w:pStyle w:val="Heading3"/>
      </w:pPr>
      <w:r>
        <w:t xml:space="preserve">How it is supposed to work</w:t>
      </w:r>
    </w:p>
    <w:p>
      <w:pPr>
        <w:pStyle w:val="FirstParagraph"/>
      </w:pPr>
      <w:r>
        <w:t xml:space="preserve">The melanocortin system is a network of messengers and five receptors (MC1R to MC5R), described in more detail in the introduction to this part. For bremelanotide, the MC4R receptor is the most important. It is located, among other places, in the hypothalamus, a control center in the diencephalon, where it influences appetite, energy expenditure and – as was discovered by chance – sexual arousal.</w:t>
      </w:r>
    </w:p>
    <w:p>
      <w:pPr>
        <w:pStyle w:val="BodyText"/>
      </w:pPr>
      <w:r>
        <w:t xml:space="preserve">The discovery was a by-product of tanning research: men who received melanotan II for skin tanning in the 1990s reported spontaneous erections</w:t>
      </w:r>
      <w:r>
        <w:rPr>
          <w:rStyle w:val="FootnoteReference"/>
        </w:rPr>
        <w:footnoteReference w:id="1967"/>
      </w:r>
      <w:r>
        <w:t xml:space="preserve">. Bremelanotide is a slightly modified form of this molecule. It activates several melanocortin receptors, but at the doses used, MC4R is the most important</w:t>
      </w:r>
      <w:r>
        <w:rPr>
          <w:rStyle w:val="FootnoteReference"/>
        </w:rPr>
        <w:footnoteReference w:id="1968"/>
      </w:r>
      <w:r>
        <w:t xml:space="preserve">. It is not entirely free of effects on the skin, however – which explains the pigment spots observed.</w:t>
      </w:r>
    </w:p>
    <w:p>
      <w:pPr>
        <w:pStyle w:val="BodyText"/>
      </w:pPr>
      <w:r>
        <w:t xml:space="preserve">Exactly how activation of MC4R influences sexual desire is only partly understood. Animal experiments suggest that bremelanotide stimulates the release of the messenger dopamine, which promotes sexual desire, in a specific region of the hypothalamus (the medial preoptic area)</w:t>
      </w:r>
      <w:r>
        <w:rPr>
          <w:rStyle w:val="FootnoteReference"/>
        </w:rPr>
        <w:footnoteReference w:id="1969"/>
      </w:r>
      <w:r>
        <w:t xml:space="preserve">. A British study using functional magnetic resonance imaging (fMRI) in 31 women with HSDD found altered activity under an MC4R agonist in brain regions that process erotic stimuli</w:t>
      </w:r>
      <w:r>
        <w:rPr>
          <w:rStyle w:val="FootnoteReference"/>
        </w:rPr>
        <w:footnoteReference w:id="1970"/>
      </w:r>
      <w:r>
        <w:t xml:space="preserve">. The authors interpret this as reduced self-monitoring and increased receptiveness to erotic stimuli – an interpretation, not a proven explanation.</w:t>
      </w:r>
    </w:p>
    <w:p>
      <w:pPr>
        <w:pStyle w:val="BodyText"/>
      </w:pPr>
      <w:r>
        <w:t xml:space="preserve">Important for understanding: the approval does not target</w:t>
      </w:r>
      <w:r>
        <w:t xml:space="preserve"> </w:t>
      </w:r>
      <w:r>
        <w:t xml:space="preserve">“</w:t>
      </w:r>
      <w:r>
        <w:t xml:space="preserve">more desire</w:t>
      </w:r>
      <w:r>
        <w:t xml:space="preserve">”</w:t>
      </w:r>
      <w:r>
        <w:t xml:space="preserve"> </w:t>
      </w:r>
      <w:r>
        <w:t xml:space="preserve">in healthy people, but a defined diagnosis. HSDD means persistently low sexual desire that causes distress and is not explained by another illness, medications or relationship problems.</w:t>
      </w:r>
    </w:p>
    <w:bookmarkEnd w:id="1971"/>
    <w:bookmarkStart w:id="1997" w:name="human-studies-46"/>
    <w:p>
      <w:pPr>
        <w:pStyle w:val="Heading3"/>
      </w:pPr>
      <w:r>
        <w:t xml:space="preserve">Human studies</w:t>
      </w:r>
    </w:p>
    <w:p>
      <w:pPr>
        <w:pStyle w:val="FirstParagraph"/>
      </w:pPr>
      <w:r>
        <w:rPr>
          <w:bCs/>
          <w:b/>
        </w:rPr>
        <w:t xml:space="preserve">Size of the evidence base (search October 2026):</w:t>
      </w:r>
      <w:r>
        <w:t xml:space="preserve"> </w:t>
      </w:r>
      <w:r>
        <w:t xml:space="preserve">The automated search for this book found</w:t>
      </w:r>
      <w:r>
        <w:t xml:space="preserve"> </w:t>
      </w:r>
      <w:r>
        <w:rPr>
          <w:bCs/>
          <w:b/>
        </w:rPr>
        <w:t xml:space="preserve">16</w:t>
      </w:r>
      <w:r>
        <w:t xml:space="preserve"> </w:t>
      </w:r>
      <w:r>
        <w:t xml:space="preserve">human studies in PubMed (</w:t>
      </w:r>
      <w:r>
        <w:rPr>
          <w:rStyle w:val="VerbatimChar"/>
        </w:rPr>
        <w:t xml:space="preserve">humanstudien_alle</w:t>
      </w:r>
      <w:r>
        <w:t xml:space="preserve">) and</w:t>
      </w:r>
      <w:r>
        <w:t xml:space="preserve"> </w:t>
      </w:r>
      <w:r>
        <w:rPr>
          <w:bCs/>
          <w:b/>
        </w:rPr>
        <w:t xml:space="preserve">10</w:t>
      </w:r>
      <w:r>
        <w:t xml:space="preserve"> </w:t>
      </w:r>
      <w:r>
        <w:t xml:space="preserve">entries on ClinicalTrials.gov. In addition, there are several reviews and meta-analyses. The assessment rests mainly on the two RECONNECT approval trials, their extension and the safety analysis of the entire development program.</w:t>
      </w:r>
    </w:p>
    <w:bookmarkStart w:id="1977" w:name="early-studies-in-men"/>
    <w:p>
      <w:pPr>
        <w:pStyle w:val="Heading4"/>
      </w:pPr>
      <w:r>
        <w:t xml:space="preserve">Early Studies in Men</w:t>
      </w:r>
    </w:p>
    <w:p>
      <w:pPr>
        <w:pStyle w:val="FirstParagraph"/>
      </w:pPr>
      <w:r>
        <w:t xml:space="preserve">Bremelanotide was first developed as a treatment for erectile dysfunction. In phase 1 studies with nasal spray</w:t>
      </w:r>
      <w:r>
        <w:rPr>
          <w:rStyle w:val="FootnoteReference"/>
        </w:rPr>
        <w:footnoteReference w:id="1972"/>
      </w:r>
      <w:r>
        <w:t xml:space="preserve"> </w:t>
      </w:r>
      <w:r>
        <w:t xml:space="preserve">and injection</w:t>
      </w:r>
      <w:r>
        <w:rPr>
          <w:rStyle w:val="FootnoteReference"/>
        </w:rPr>
        <w:footnoteReference w:id="1973"/>
      </w:r>
      <w:r>
        <w:t xml:space="preserve">, it triggered measurable erections in healthy men and in men with erectile dysfunction, including those who responded inadequately to Viagra. In a small study with 19 patients, a low dose of bremelanotide enhanced the effect of a low dose of sildenafil</w:t>
      </w:r>
      <w:r>
        <w:rPr>
          <w:rStyle w:val="FootnoteReference"/>
        </w:rPr>
        <w:footnoteReference w:id="1974"/>
      </w:r>
      <w:r>
        <w:t xml:space="preserve">.</w:t>
      </w:r>
    </w:p>
    <w:p>
      <w:pPr>
        <w:pStyle w:val="BodyText"/>
      </w:pPr>
      <w:r>
        <w:t xml:space="preserve">A study of 342 men in whom sildenafil had not worked reported a positive result in 33.5% with bremelanotide nasal spray compared with 8.5% with placebo</w:t>
      </w:r>
      <w:r>
        <w:rPr>
          <w:rStyle w:val="FootnoteReference"/>
        </w:rPr>
        <w:footnoteReference w:id="1975"/>
      </w:r>
      <w:r>
        <w:t xml:space="preserve">. This paper should be read with caution: a second bremelanotide study by the same first author in women was retracted by the journal because its methods and results could not be verified</w:t>
      </w:r>
      <w:r>
        <w:rPr>
          <w:rStyle w:val="FootnoteReference"/>
        </w:rPr>
        <w:footnoteReference w:id="1976"/>
      </w:r>
      <w:r>
        <w:t xml:space="preserve">; other papers by the author were also retracted.</w:t>
      </w:r>
    </w:p>
    <w:p>
      <w:pPr>
        <w:pStyle w:val="BodyText"/>
      </w:pPr>
      <w:r>
        <w:t xml:space="preserve">Development of the nasal spray was discontinued after increases in blood pressure were noticed in studies. The company switched to the injection and to women as the target group.</w:t>
      </w:r>
    </w:p>
    <w:bookmarkEnd w:id="1977"/>
    <w:bookmarkStart w:id="1981" w:name="dose-finding-in-women"/>
    <w:p>
      <w:pPr>
        <w:pStyle w:val="Heading4"/>
      </w:pPr>
      <w:r>
        <w:t xml:space="preserve">Dose Finding in Women</w:t>
      </w:r>
    </w:p>
    <w:p>
      <w:pPr>
        <w:pStyle w:val="FirstParagraph"/>
      </w:pPr>
      <w:r>
        <w:t xml:space="preserve">A first small laboratory study with 18 women with arousal disorder showed moderate to high desire more often after a single dose than after placebo, but no measurable change in vaginal blood flow while watching erotic films</w:t>
      </w:r>
      <w:r>
        <w:rPr>
          <w:rStyle w:val="FootnoteReference"/>
        </w:rPr>
        <w:footnoteReference w:id="1978"/>
      </w:r>
      <w:r>
        <w:t xml:space="preserve">.</w:t>
      </w:r>
    </w:p>
    <w:p>
      <w:pPr>
        <w:pStyle w:val="BodyText"/>
      </w:pPr>
      <w:r>
        <w:t xml:space="preserve">The decisive phase 2b trial</w:t>
      </w:r>
      <w:r>
        <w:rPr>
          <w:rStyle w:val="FootnoteReference"/>
        </w:rPr>
        <w:footnoteReference w:id="1979"/>
      </w:r>
      <w:r>
        <w:t xml:space="preserve"> </w:t>
      </w:r>
      <w:r>
        <w:t xml:space="preserve">tested three doses against placebo over twelve weeks in premenopausal women. A total of 327 participants were analyzed. For the two higher doses combined, the number of</w:t>
      </w:r>
      <w:r>
        <w:t xml:space="preserve"> </w:t>
      </w:r>
      <w:r>
        <w:t xml:space="preserve">“</w:t>
      </w:r>
      <w:r>
        <w:t xml:space="preserve">satisfying sexual events</w:t>
      </w:r>
      <w:r>
        <w:t xml:space="preserve">”</w:t>
      </w:r>
      <w:r>
        <w:t xml:space="preserve"> </w:t>
      </w:r>
      <w:r>
        <w:t xml:space="preserve">rose by 0.7 per month compared with 0.2 under placebo. On the FSFI questionnaire (Female Sexual Function Index, a score for sexual function), the increase was 3.6 versus 1.9 points. A subsequent analysis defined the change above which an effect is considered clinically meaningful; these thresholds were then adopted for the phase 3 trials</w:t>
      </w:r>
      <w:r>
        <w:rPr>
          <w:rStyle w:val="FootnoteReference"/>
        </w:rPr>
        <w:footnoteReference w:id="1980"/>
      </w:r>
      <w:r>
        <w:t xml:space="preserve">.</w:t>
      </w:r>
    </w:p>
    <w:bookmarkEnd w:id="1981"/>
    <w:bookmarkStart w:id="1985" w:name="the-reconnect-approval-trials"/>
    <w:p>
      <w:pPr>
        <w:pStyle w:val="Heading4"/>
      </w:pPr>
      <w:r>
        <w:t xml:space="preserve">The RECONNECT Approval Trials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RECONNECT 301 and 302 (Kingsberg 2019), PMID 31599840</w:t>
            </w:r>
          </w:p>
        </w:tc>
        <w:tc>
          <w:tcPr/>
          <w:p>
            <w:pPr>
              <w:pStyle w:val="Compact"/>
              <w:jc w:val="left"/>
            </w:pPr>
            <w:r>
              <w:t xml:space="preserve">1,267 premenopausal women with HSDD, two RCTs vs. placebo, use as needed</w:t>
            </w:r>
          </w:p>
        </w:tc>
        <w:tc>
          <w:tcPr/>
          <w:p>
            <w:pPr>
              <w:pStyle w:val="Compact"/>
              <w:jc w:val="left"/>
            </w:pPr>
            <w:r>
              <w:t xml:space="preserve">24 weeks</w:t>
            </w:r>
          </w:p>
        </w:tc>
        <w:tc>
          <w:tcPr/>
          <w:p>
            <w:pPr>
              <w:pStyle w:val="Compact"/>
              <w:jc w:val="left"/>
            </w:pPr>
            <w:r>
              <w:t xml:space="preserve">Desire (FSFI desire) +0.35 points more than placebo; distress reduced by 0.33 points more</w:t>
            </w:r>
          </w:p>
        </w:tc>
      </w:tr>
      <w:tr>
        <w:tc>
          <w:tcPr/>
          <w:p>
            <w:pPr>
              <w:pStyle w:val="Compact"/>
              <w:jc w:val="left"/>
            </w:pPr>
            <w:r>
              <w:t xml:space="preserve">Open-label extension (Simon 2019), PMID 31599847</w:t>
            </w:r>
          </w:p>
        </w:tc>
        <w:tc>
          <w:tcPr/>
          <w:p>
            <w:pPr>
              <w:pStyle w:val="Compact"/>
              <w:jc w:val="left"/>
            </w:pPr>
            <w:r>
              <w:t xml:space="preserve">684 women from both trials, all on bremelanotide</w:t>
            </w:r>
          </w:p>
        </w:tc>
        <w:tc>
          <w:tcPr/>
          <w:p>
            <w:pPr>
              <w:pStyle w:val="Compact"/>
              <w:jc w:val="left"/>
            </w:pPr>
            <w:r>
              <w:t xml:space="preserve">52 weeks</w:t>
            </w:r>
          </w:p>
        </w:tc>
        <w:tc>
          <w:tcPr/>
          <w:p>
            <w:pPr>
              <w:pStyle w:val="Compact"/>
              <w:jc w:val="left"/>
            </w:pPr>
            <w:r>
              <w:t xml:space="preserve">272 completed the extension; no new safety signals</w:t>
            </w:r>
          </w:p>
        </w:tc>
      </w:tr>
      <w:tr>
        <w:tc>
          <w:tcPr/>
          <w:p>
            <w:pPr>
              <w:pStyle w:val="Compact"/>
              <w:jc w:val="left"/>
            </w:pPr>
            <w:r>
              <w:t xml:space="preserve">Subgroup analysis (Simon 2022), PMID 35230162</w:t>
            </w:r>
          </w:p>
        </w:tc>
        <w:tc>
          <w:tcPr/>
          <w:p>
            <w:pPr>
              <w:pStyle w:val="Compact"/>
              <w:jc w:val="left"/>
            </w:pPr>
            <w:r>
              <w:t xml:space="preserve">1,202 women from both trials</w:t>
            </w:r>
          </w:p>
        </w:tc>
        <w:tc>
          <w:tcPr/>
          <w:p>
            <w:pPr>
              <w:pStyle w:val="Compact"/>
              <w:jc w:val="left"/>
            </w:pPr>
            <w:r>
              <w:t xml:space="preserve">24 weeks</w:t>
            </w:r>
          </w:p>
        </w:tc>
        <w:tc>
          <w:tcPr/>
          <w:p>
            <w:pPr>
              <w:pStyle w:val="Compact"/>
              <w:jc w:val="left"/>
            </w:pPr>
            <w:r>
              <w:t xml:space="preserve">Effect similar in almost all age, weight and hormone subgroups</w:t>
            </w:r>
          </w:p>
        </w:tc>
      </w:tr>
      <w:tr>
        <w:tc>
          <w:tcPr/>
          <w:p>
            <w:pPr>
              <w:pStyle w:val="Compact"/>
              <w:jc w:val="left"/>
            </w:pPr>
            <w:r>
              <w:t xml:space="preserve">Safety analysis (Clayton 2022), PMID 35147466</w:t>
            </w:r>
          </w:p>
        </w:tc>
        <w:tc>
          <w:tcPr/>
          <w:p>
            <w:pPr>
              <w:pStyle w:val="Compact"/>
              <w:jc w:val="left"/>
            </w:pPr>
            <w:r>
              <w:t xml:space="preserve">around 3,500 people in 43 studies</w:t>
            </w:r>
          </w:p>
        </w:tc>
        <w:tc>
          <w:tcPr/>
          <w:p>
            <w:pPr>
              <w:pStyle w:val="Compact"/>
              <w:jc w:val="left"/>
            </w:pPr>
            <w:r>
              <w:t xml:space="preserve">up to 18 months</w:t>
            </w:r>
          </w:p>
        </w:tc>
        <w:tc>
          <w:tcPr/>
          <w:p>
            <w:pPr>
              <w:pStyle w:val="Compact"/>
              <w:jc w:val="left"/>
            </w:pPr>
            <w:r>
              <w:t xml:space="preserve">Nausea 40.0% vs. 1.3%, flushing 20.3% vs. 1.3%</w:t>
            </w:r>
          </w:p>
        </w:tc>
      </w:tr>
    </w:tbl>
    <w:p>
      <w:pPr>
        <w:pStyle w:val="BodyText"/>
      </w:pPr>
      <w:r>
        <w:t xml:space="preserve">The two identical trials 301 and 302</w:t>
      </w:r>
      <w:r>
        <w:rPr>
          <w:rStyle w:val="FootnoteReference"/>
        </w:rPr>
        <w:footnoteReference w:id="1982"/>
      </w:r>
      <w:r>
        <w:t xml:space="preserve"> </w:t>
      </w:r>
      <w:r>
        <w:t xml:space="preserve">ran in 2015 and 2016, mostly in the USA. The participants injected themselves as needed before sexual activity with 1.75 mg bremelanotide or placebo using an autoinjector. Two primary endpoints were measured: sexual desire (desire domain of the FSFI, scale from 1.2 to 6) and distress due to low desire (a single item of the FSDS-DAO questionnaire, scale 0 to 4).</w:t>
      </w:r>
    </w:p>
    <w:p>
      <w:pPr>
        <w:pStyle w:val="BodyText"/>
      </w:pPr>
      <w:r>
        <w:t xml:space="preserve">Both trials met their primary endpoints. In the pooled analysis, desire rose by 0.35 points more than under placebo, and distress fell by 0.33 points more</w:t>
      </w:r>
      <w:r>
        <w:rPr>
          <w:rStyle w:val="FootnoteReference"/>
        </w:rPr>
        <w:footnoteReference w:id="1983"/>
      </w:r>
      <w:r>
        <w:t xml:space="preserve">. These figures are statistically clear but small: on a scale up to 6, a third of a point is a modest difference. Scores also improved markedly under placebo – a pattern well known in sexual medicine.</w:t>
      </w:r>
    </w:p>
    <w:p>
      <w:pPr>
        <w:pStyle w:val="BodyText"/>
      </w:pPr>
      <w:r>
        <w:t xml:space="preserve">In exit interviews with 242 participants who did not yet know what they had received, women on bremelanotide more often described physical arousal and more desire; those on placebo tended to mention better communication in the relationship</w:t>
      </w:r>
      <w:r>
        <w:rPr>
          <w:rStyle w:val="FootnoteReference"/>
        </w:rPr>
        <w:footnoteReference w:id="1984"/>
      </w:r>
      <w:r>
        <w:t xml:space="preserve">.</w:t>
      </w:r>
    </w:p>
    <w:bookmarkEnd w:id="1985"/>
    <w:bookmarkStart w:id="1988" w:name="criticism-of-the-approval-trials"/>
    <w:p>
      <w:pPr>
        <w:pStyle w:val="Heading4"/>
      </w:pPr>
      <w:r>
        <w:t xml:space="preserve">Criticism of the Approval Trials</w:t>
      </w:r>
    </w:p>
    <w:p>
      <w:pPr>
        <w:pStyle w:val="FirstParagraph"/>
      </w:pPr>
      <w:r>
        <w:t xml:space="preserve">An independent reanalysis based on the documents submitted to the US Food and Drug Administration (FDA) reached a different overall verdict</w:t>
      </w:r>
      <w:r>
        <w:rPr>
          <w:rStyle w:val="FootnoteReference"/>
        </w:rPr>
        <w:footnoteReference w:id="1986"/>
      </w:r>
      <w:r>
        <w:t xml:space="preserve">. The author confirms the small effects but criticizes that around 73% of the outcomes specified in the study protocol were not published. Two findings were missing from the main publication:</w:t>
      </w:r>
    </w:p>
    <w:p>
      <w:pPr>
        <w:numPr>
          <w:ilvl w:val="0"/>
          <w:numId w:val="1252"/>
        </w:numPr>
        <w:pStyle w:val="Compact"/>
      </w:pPr>
      <w:r>
        <w:t xml:space="preserve">Discontinuations due to side effects were considerably more frequent under bremelanotide (odds ratio 11.98). Mathematically, about one in six treated women discontinued because of side effects who would not have done so under placebo.</w:t>
      </w:r>
    </w:p>
    <w:p>
      <w:pPr>
        <w:numPr>
          <w:ilvl w:val="0"/>
          <w:numId w:val="1252"/>
        </w:numPr>
        <w:pStyle w:val="Compact"/>
      </w:pPr>
      <w:r>
        <w:t xml:space="preserve">Those who completed the trial and then moved on to the open-label extension more often came from the placebo group. The manufacturer’s safety analysis also gives these figures: 70% of the bremelanotide group versus 87% of the placebo group transitioned to the extension</w:t>
      </w:r>
      <w:r>
        <w:rPr>
          <w:rStyle w:val="FootnoteReference"/>
        </w:rPr>
        <w:footnoteReference w:id="1987"/>
      </w:r>
      <w:r>
        <w:t xml:space="preserve">.</w:t>
      </w:r>
    </w:p>
    <w:p>
      <w:pPr>
        <w:pStyle w:val="FirstParagraph"/>
      </w:pPr>
      <w:r>
        <w:t xml:space="preserve">Spielmans concludes that the drug is not useful for most women. This is a pointed individual opinion, but it is based on data that the manufacturer’s side has also published.</w:t>
      </w:r>
    </w:p>
    <w:bookmarkEnd w:id="1988"/>
    <w:bookmarkStart w:id="1992" w:name="meta-analyses-1"/>
    <w:p>
      <w:pPr>
        <w:pStyle w:val="Heading4"/>
      </w:pPr>
      <w:r>
        <w:t xml:space="preserve">Meta-Analyses</w:t>
      </w:r>
    </w:p>
    <w:p>
      <w:pPr>
        <w:pStyle w:val="FirstParagraph"/>
      </w:pPr>
      <w:r>
        <w:t xml:space="preserve">A meta-analysis of medications for female sexual dysfunction (including bremelanotide, flibanserin and intranasal oxytocin) found that around 67.7% of the improvement in the treatment groups also occurred under placebo</w:t>
      </w:r>
      <w:r>
        <w:rPr>
          <w:rStyle w:val="FootnoteReference"/>
        </w:rPr>
        <w:footnoteReference w:id="1989"/>
      </w:r>
      <w:r>
        <w:t xml:space="preserve">. A more recent meta-analysis confirms small improvements in desire and arousal and a reduction in distress for bremelanotide, without comparison with psychotherapy</w:t>
      </w:r>
      <w:r>
        <w:rPr>
          <w:rStyle w:val="FootnoteReference"/>
        </w:rPr>
        <w:footnoteReference w:id="1990"/>
      </w:r>
      <w:r>
        <w:t xml:space="preserve">. A review of the studies completed on ClinicalTrials.gov criticizes inconsistent outcome measures and incomplete reporting</w:t>
      </w:r>
      <w:r>
        <w:rPr>
          <w:rStyle w:val="FootnoteReference"/>
        </w:rPr>
        <w:footnoteReference w:id="1991"/>
      </w:r>
      <w:r>
        <w:t xml:space="preserve">.</w:t>
      </w:r>
    </w:p>
    <w:bookmarkEnd w:id="1992"/>
    <w:bookmarkStart w:id="1996" w:name="other-questions"/>
    <w:p>
      <w:pPr>
        <w:pStyle w:val="Heading4"/>
      </w:pPr>
      <w:r>
        <w:t xml:space="preserve">Other Questions</w:t>
      </w:r>
    </w:p>
    <w:p>
      <w:pPr>
        <w:numPr>
          <w:ilvl w:val="0"/>
          <w:numId w:val="1253"/>
        </w:numPr>
        <w:pStyle w:val="Compact"/>
      </w:pPr>
      <w:r>
        <w:rPr>
          <w:bCs/>
          <w:b/>
        </w:rPr>
        <w:t xml:space="preserve">Alcohol:</w:t>
      </w:r>
      <w:r>
        <w:t xml:space="preserve"> </w:t>
      </w:r>
      <w:r>
        <w:t xml:space="preserve">In a phase 1 study with 24 healthy people, no meaningful interactions occurred with simultaneous alcohol consumption</w:t>
      </w:r>
      <w:r>
        <w:rPr>
          <w:rStyle w:val="FootnoteReference"/>
        </w:rPr>
        <w:footnoteReference w:id="1993"/>
      </w:r>
      <w:r>
        <w:t xml:space="preserve">.</w:t>
      </w:r>
    </w:p>
    <w:p>
      <w:pPr>
        <w:numPr>
          <w:ilvl w:val="0"/>
          <w:numId w:val="1253"/>
        </w:numPr>
        <w:pStyle w:val="Compact"/>
      </w:pPr>
      <w:r>
        <w:rPr>
          <w:bCs/>
          <w:b/>
        </w:rPr>
        <w:t xml:space="preserve">Weight:</w:t>
      </w:r>
      <w:r>
        <w:t xml:space="preserve"> </w:t>
      </w:r>
      <w:r>
        <w:t xml:space="preserve">Because MC4R also controls appetite, bremelanotide was tested in women with obesity. In two small phase 1 studies, calorie intake fell by about 400 kcal per day; after 16 days, weight was 1.3 kg below that of the placebo group</w:t>
      </w:r>
      <w:r>
        <w:rPr>
          <w:rStyle w:val="FootnoteReference"/>
        </w:rPr>
        <w:footnoteReference w:id="1994"/>
      </w:r>
      <w:r>
        <w:t xml:space="preserve">. These are short-term data that say nothing about long-term treatment.</w:t>
      </w:r>
    </w:p>
    <w:p>
      <w:pPr>
        <w:numPr>
          <w:ilvl w:val="0"/>
          <w:numId w:val="1253"/>
        </w:numPr>
        <w:pStyle w:val="Compact"/>
      </w:pPr>
      <w:r>
        <w:rPr>
          <w:bCs/>
          <w:b/>
        </w:rPr>
        <w:t xml:space="preserve">Brain:</w:t>
      </w:r>
      <w:r>
        <w:t xml:space="preserve"> </w:t>
      </w:r>
      <w:r>
        <w:t xml:space="preserve">The fMRI study already mentioned</w:t>
      </w:r>
      <w:r>
        <w:rPr>
          <w:rStyle w:val="FootnoteReference"/>
        </w:rPr>
        <w:footnoteReference w:id="1995"/>
      </w:r>
      <w:r>
        <w:t xml:space="preserve"> </w:t>
      </w:r>
      <w:r>
        <w:t xml:space="preserve">is one of the few studies not led by the manufacturer.</w:t>
      </w:r>
    </w:p>
    <w:bookmarkEnd w:id="1996"/>
    <w:bookmarkEnd w:id="1997"/>
    <w:bookmarkStart w:id="2001" w:name="animal-and-laboratory-studies-46"/>
    <w:p>
      <w:pPr>
        <w:pStyle w:val="Heading3"/>
      </w:pPr>
      <w:r>
        <w:t xml:space="preserve">Animal and laboratory studies</w:t>
      </w:r>
    </w:p>
    <w:p>
      <w:pPr>
        <w:pStyle w:val="FirstParagraph"/>
      </w:pPr>
      <w:r>
        <w:t xml:space="preserve">Animal research on bremelanotide comes mostly from rats. A review summarizes it as follows: bremelanotide activates MC4R on nerve cells in the hypothalamus, which then release more dopamine; in female rats, behavior with which females signal sexual interest increased</w:t>
      </w:r>
      <w:r>
        <w:rPr>
          <w:rStyle w:val="FootnoteReference"/>
        </w:rPr>
        <w:footnoteReference w:id="1998"/>
      </w:r>
      <w:r>
        <w:t xml:space="preserve">. The review comes from researchers with ties to the development of the drug.</w:t>
      </w:r>
    </w:p>
    <w:p>
      <w:pPr>
        <w:pStyle w:val="BodyText"/>
      </w:pPr>
      <w:r>
        <w:t xml:space="preserve">An independent study in female hamsters came to a sobering result: bremelanotide neither changed the receptors in the reward system nor increased the</w:t>
      </w:r>
      <w:r>
        <w:t xml:space="preserve"> </w:t>
      </w:r>
      <w:r>
        <w:t xml:space="preserve">“</w:t>
      </w:r>
      <w:r>
        <w:t xml:space="preserve">reward value</w:t>
      </w:r>
      <w:r>
        <w:t xml:space="preserve">”</w:t>
      </w:r>
      <w:r>
        <w:t xml:space="preserve"> </w:t>
      </w:r>
      <w:r>
        <w:t xml:space="preserve">of sexual encounters in a behavioral test</w:t>
      </w:r>
      <w:r>
        <w:rPr>
          <w:rStyle w:val="FootnoteReference"/>
        </w:rPr>
        <w:footnoteReference w:id="1999"/>
      </w:r>
      <w:r>
        <w:t xml:space="preserve">. The authors conclude that the drug does not act via the classic reward circuit. Exactly how it works therefore remains open.</w:t>
      </w:r>
    </w:p>
    <w:p>
      <w:pPr>
        <w:pStyle w:val="BodyText"/>
      </w:pPr>
      <w:r>
        <w:t xml:space="preserve">In cell cultures, bremelanotide inhibited the growth of glioblastoma cells, a type of brain tumor</w:t>
      </w:r>
      <w:r>
        <w:rPr>
          <w:rStyle w:val="FootnoteReference"/>
        </w:rPr>
        <w:footnoteReference w:id="2000"/>
      </w:r>
      <w:r>
        <w:t xml:space="preserve">. This is a purely laboratory finding with no clinical significance.</w:t>
      </w:r>
    </w:p>
    <w:bookmarkEnd w:id="2001"/>
    <w:bookmarkStart w:id="2012" w:name="risks-and-side-effects-46"/>
    <w:p>
      <w:pPr>
        <w:pStyle w:val="Heading3"/>
      </w:pPr>
      <w:r>
        <w:t xml:space="preserve">Risks and side effects</w:t>
      </w:r>
    </w:p>
    <w:bookmarkStart w:id="2007" w:name="established"/>
    <w:p>
      <w:pPr>
        <w:pStyle w:val="Heading4"/>
      </w:pPr>
      <w:r>
        <w:t xml:space="preserve">Established</w:t>
      </w:r>
    </w:p>
    <w:p>
      <w:pPr>
        <w:numPr>
          <w:ilvl w:val="0"/>
          <w:numId w:val="1254"/>
        </w:numPr>
        <w:pStyle w:val="Compact"/>
      </w:pPr>
      <w:r>
        <w:rPr>
          <w:bCs/>
          <w:b/>
        </w:rPr>
        <w:t xml:space="preserve">Nausea:</w:t>
      </w:r>
      <w:r>
        <w:t xml:space="preserve"> </w:t>
      </w:r>
      <w:r>
        <w:t xml:space="preserve">the most common side effect. In the phase 3 trials it affected 40.0% compared with 1.3% under placebo and was the most common reason for discontinuation</w:t>
      </w:r>
      <w:r>
        <w:rPr>
          <w:rStyle w:val="FootnoteReference"/>
        </w:rPr>
        <w:footnoteReference w:id="2002"/>
      </w:r>
      <w:r>
        <w:t xml:space="preserve">. A dedicated study with 228 healthy women tested whether the anti-nausea drug ondansetron helps preventively</w:t>
      </w:r>
      <w:r>
        <w:rPr>
          <w:rStyle w:val="FootnoteReference"/>
        </w:rPr>
        <w:footnoteReference w:id="2003"/>
      </w:r>
      <w:r>
        <w:t xml:space="preserve">.</w:t>
      </w:r>
    </w:p>
    <w:p>
      <w:pPr>
        <w:numPr>
          <w:ilvl w:val="0"/>
          <w:numId w:val="1254"/>
        </w:numPr>
        <w:pStyle w:val="Compact"/>
      </w:pPr>
      <w:r>
        <w:rPr>
          <w:bCs/>
          <w:b/>
        </w:rPr>
        <w:t xml:space="preserve">Flushing</w:t>
      </w:r>
      <w:r>
        <w:t xml:space="preserve"> </w:t>
      </w:r>
      <w:r>
        <w:t xml:space="preserve">in 20.3%,</w:t>
      </w:r>
      <w:r>
        <w:t xml:space="preserve"> </w:t>
      </w:r>
      <w:r>
        <w:rPr>
          <w:bCs/>
          <w:b/>
        </w:rPr>
        <w:t xml:space="preserve">headache</w:t>
      </w:r>
      <w:r>
        <w:t xml:space="preserve"> </w:t>
      </w:r>
      <w:r>
        <w:t xml:space="preserve">in 11.3%,</w:t>
      </w:r>
      <w:r>
        <w:t xml:space="preserve"> </w:t>
      </w:r>
      <w:r>
        <w:rPr>
          <w:bCs/>
          <w:b/>
        </w:rPr>
        <w:t xml:space="preserve">injection site reactions</w:t>
      </w:r>
      <w:r>
        <w:t xml:space="preserve"> </w:t>
      </w:r>
      <w:r>
        <w:t xml:space="preserve">in 5.4% (compared with 1.3%, 1.9% and 0.5% under placebo).</w:t>
      </w:r>
    </w:p>
    <w:p>
      <w:pPr>
        <w:numPr>
          <w:ilvl w:val="0"/>
          <w:numId w:val="1254"/>
        </w:numPr>
        <w:pStyle w:val="Compact"/>
      </w:pPr>
      <w:r>
        <w:rPr>
          <w:bCs/>
          <w:b/>
        </w:rPr>
        <w:t xml:space="preserve">Blood pressure:</w:t>
      </w:r>
      <w:r>
        <w:t xml:space="preserve"> </w:t>
      </w:r>
      <w:r>
        <w:t xml:space="preserve">In a study with 24-hour monitoring in 397 women, systolic blood pressure rose temporarily by 2.4 to 3.2 mmHg after the dose; the peaks usually lasted less than 15 minutes. At the same time, heart rate fell by around 4.6 beats per minute</w:t>
      </w:r>
      <w:r>
        <w:rPr>
          <w:rStyle w:val="FootnoteReference"/>
        </w:rPr>
        <w:footnoteReference w:id="2004"/>
      </w:r>
      <w:r>
        <w:t xml:space="preserve">. The prescribing information therefore advises against use in uncontrolled high blood pressure or known cardiovascular disease.</w:t>
      </w:r>
    </w:p>
    <w:p>
      <w:pPr>
        <w:numPr>
          <w:ilvl w:val="0"/>
          <w:numId w:val="1254"/>
        </w:numPr>
        <w:pStyle w:val="Compact"/>
      </w:pPr>
      <w:r>
        <w:rPr>
          <w:bCs/>
          <w:b/>
        </w:rPr>
        <w:t xml:space="preserve">Pigment spots:</w:t>
      </w:r>
      <w:r>
        <w:t xml:space="preserve"> </w:t>
      </w:r>
      <w:r>
        <w:t xml:space="preserve">rare when used in accordance with the prescribing information. However, when bremelanotide was given on up to 16 consecutive days, more than a third of participants developed localized dark spots</w:t>
      </w:r>
      <w:r>
        <w:rPr>
          <w:rStyle w:val="FootnoteReference"/>
        </w:rPr>
        <w:footnoteReference w:id="2005"/>
      </w:r>
      <w:r>
        <w:t xml:space="preserve"> </w:t>
      </w:r>
      <w:r>
        <w:t xml:space="preserve">– an indication of residual activity at the pigment receptor.</w:t>
      </w:r>
    </w:p>
    <w:p>
      <w:pPr>
        <w:numPr>
          <w:ilvl w:val="0"/>
          <w:numId w:val="1254"/>
        </w:numPr>
        <w:pStyle w:val="Compact"/>
      </w:pPr>
      <w:r>
        <w:rPr>
          <w:bCs/>
          <w:b/>
        </w:rPr>
        <w:t xml:space="preserve">Interactions:</w:t>
      </w:r>
      <w:r>
        <w:t xml:space="preserve"> </w:t>
      </w:r>
      <w:r>
        <w:t xml:space="preserve">Bremelanotide briefly slows gastric emptying and in studies lowered the blood levels of indomethacin and naltrexone</w:t>
      </w:r>
      <w:r>
        <w:rPr>
          <w:rStyle w:val="FootnoteReference"/>
        </w:rPr>
        <w:footnoteReference w:id="2006"/>
      </w:r>
      <w:r>
        <w:t xml:space="preserve">.</w:t>
      </w:r>
    </w:p>
    <w:bookmarkEnd w:id="2007"/>
    <w:bookmarkStart w:id="2009" w:name="open-questions"/>
    <w:p>
      <w:pPr>
        <w:pStyle w:val="Heading4"/>
      </w:pPr>
      <w:r>
        <w:t xml:space="preserve">Open Questions</w:t>
      </w:r>
    </w:p>
    <w:p>
      <w:pPr>
        <w:pStyle w:val="FirstParagraph"/>
      </w:pPr>
      <w:r>
        <w:t xml:space="preserve">There are insufficient data for pregnancy. A small study is currently measuring transfer into breast milk</w:t>
      </w:r>
      <w:r>
        <w:rPr>
          <w:rStyle w:val="FootnoteReference"/>
        </w:rPr>
        <w:footnoteReference w:id="2008"/>
      </w:r>
      <w:r>
        <w:t xml:space="preserve">. Long-term data beyond 18 months are lacking.</w:t>
      </w:r>
    </w:p>
    <w:bookmarkEnd w:id="2009"/>
    <w:bookmarkStart w:id="2011" w:name="gray-market-1"/>
    <w:p>
      <w:pPr>
        <w:pStyle w:val="Heading4"/>
      </w:pPr>
      <w:r>
        <w:t xml:space="preserve">Gray Market</w:t>
      </w:r>
    </w:p>
    <w:p>
      <w:pPr>
        <w:pStyle w:val="FirstParagraph"/>
      </w:pPr>
      <w:r>
        <w:t xml:space="preserve">Under the name</w:t>
      </w:r>
      <w:r>
        <w:t xml:space="preserve"> </w:t>
      </w:r>
      <w:r>
        <w:t xml:space="preserve">“</w:t>
      </w:r>
      <w:r>
        <w:t xml:space="preserve">PT-141,</w:t>
      </w:r>
      <w:r>
        <w:t xml:space="preserve">”</w:t>
      </w:r>
      <w:r>
        <w:t xml:space="preserve"> </w:t>
      </w:r>
      <w:r>
        <w:t xml:space="preserve">bremelanotide is offered on the internet as a powder for self-injection, often alongside melanotan II. Forensic laboratories identified both substances in samples seized by police from the bodybuilding scene</w:t>
      </w:r>
      <w:r>
        <w:rPr>
          <w:rStyle w:val="FootnoteReference"/>
        </w:rPr>
        <w:footnoteReference w:id="2010"/>
      </w:r>
      <w:r>
        <w:t xml:space="preserve">. Such products carry the same risks as other gray-market peptides (Part I, chapter</w:t>
      </w:r>
      <w:r>
        <w:t xml:space="preserve"> </w:t>
      </w:r>
      <w:r>
        <w:t xml:space="preserve">“</w:t>
      </w:r>
      <w:r>
        <w:t xml:space="preserve">The Gray Market</w:t>
      </w:r>
      <w:r>
        <w:t xml:space="preserve">”</w:t>
      </w:r>
      <w:r>
        <w:t xml:space="preserve">): unknown purity, wrong amounts, contamination, non-sterile manufacturing. The bremelanotide nasal spray is known to have had a stronger effect on blood pressure; gray-market sprays have not been tested.</w:t>
      </w:r>
    </w:p>
    <w:bookmarkEnd w:id="2011"/>
    <w:bookmarkEnd w:id="2012"/>
    <w:bookmarkStart w:id="2014" w:name="legal-status-46"/>
    <w:p>
      <w:pPr>
        <w:pStyle w:val="Heading3"/>
      </w:pPr>
      <w:r>
        <w:t xml:space="preserve">Legal status</w:t>
      </w:r>
    </w:p>
    <w:p>
      <w:pPr>
        <w:pStyle w:val="FirstParagraph"/>
      </w:pPr>
      <w:r>
        <w:rPr>
          <w:iCs/>
          <w:i/>
        </w:rPr>
        <w:t xml:space="preserve">As of 2026, please check for updates.</w:t>
      </w:r>
    </w:p>
    <w:p>
      <w:pPr>
        <w:numPr>
          <w:ilvl w:val="0"/>
          <w:numId w:val="1255"/>
        </w:numPr>
        <w:pStyle w:val="Compact"/>
      </w:pPr>
      <w:r>
        <w:rPr>
          <w:bCs/>
          <w:b/>
        </w:rPr>
        <w:t xml:space="preserve">EU:</w:t>
      </w:r>
      <w:r>
        <w:t xml:space="preserve"> </w:t>
      </w:r>
      <w:r>
        <w:t xml:space="preserve">no approval, and no ongoing approval procedure is known. Sale for human use is not permitted in the EU.</w:t>
      </w:r>
    </w:p>
    <w:p>
      <w:pPr>
        <w:numPr>
          <w:ilvl w:val="0"/>
          <w:numId w:val="1255"/>
        </w:numPr>
        <w:pStyle w:val="Compact"/>
      </w:pPr>
      <w:r>
        <w:rPr>
          <w:bCs/>
          <w:b/>
        </w:rPr>
        <w:t xml:space="preserve">Germany and Austria:</w:t>
      </w:r>
      <w:r>
        <w:t xml:space="preserve"> </w:t>
      </w:r>
      <w:r>
        <w:t xml:space="preserve">no approval. Individual import of a medicine approved in the USA on medical prescription is legally possible within narrow limits; gray-market products do not fall under this.</w:t>
      </w:r>
    </w:p>
    <w:p>
      <w:pPr>
        <w:numPr>
          <w:ilvl w:val="0"/>
          <w:numId w:val="1255"/>
        </w:numPr>
        <w:pStyle w:val="Compact"/>
      </w:pPr>
      <w:r>
        <w:rPr>
          <w:bCs/>
          <w:b/>
        </w:rPr>
        <w:t xml:space="preserve">USA:</w:t>
      </w:r>
      <w:r>
        <w:t xml:space="preserve"> </w:t>
      </w:r>
      <w:r>
        <w:t xml:space="preserve">approved since June 2019 (Vyleesi) for premenopausal women with acquired, generalized HSDD. Not approved for men, for postmenopausal women or for increasing desire in healthy people. The marketing rights have changed hands several times; according to registry entries, the company Cosette Pharmaceuticals is now responsible.</w:t>
      </w:r>
    </w:p>
    <w:p>
      <w:pPr>
        <w:numPr>
          <w:ilvl w:val="0"/>
          <w:numId w:val="1255"/>
        </w:numPr>
        <w:pStyle w:val="Compact"/>
      </w:pPr>
      <w:r>
        <w:rPr>
          <w:bCs/>
          <w:b/>
        </w:rPr>
        <w:t xml:space="preserve">Other countries:</w:t>
      </w:r>
      <w:r>
        <w:t xml:space="preserve"> </w:t>
      </w:r>
      <w:r>
        <w:t xml:space="preserve">In South Korea, a bridging study with 193 women was conducted for approval there</w:t>
      </w:r>
      <w:r>
        <w:rPr>
          <w:rStyle w:val="FootnoteReference"/>
        </w:rPr>
        <w:footnoteReference w:id="2013"/>
      </w:r>
      <w:r>
        <w:t xml:space="preserve">.</w:t>
      </w:r>
    </w:p>
    <w:p>
      <w:pPr>
        <w:numPr>
          <w:ilvl w:val="0"/>
          <w:numId w:val="1255"/>
        </w:numPr>
        <w:pStyle w:val="Compact"/>
      </w:pPr>
      <w:r>
        <w:rPr>
          <w:bCs/>
          <w:b/>
        </w:rPr>
        <w:t xml:space="preserve">WADA:</w:t>
      </w:r>
      <w:r>
        <w:t xml:space="preserve"> </w:t>
      </w:r>
      <w:r>
        <w:t xml:space="preserve">not listed by name. Please check the current Prohibited List.</w:t>
      </w:r>
    </w:p>
    <w:bookmarkEnd w:id="2014"/>
    <w:bookmarkStart w:id="2018" w:name="ongoing-studies-and-outlook-46"/>
    <w:p>
      <w:pPr>
        <w:pStyle w:val="Heading3"/>
      </w:pPr>
      <w:r>
        <w:t xml:space="preserve">Ongoing studies and outlook</w:t>
      </w:r>
    </w:p>
    <w:p>
      <w:pPr>
        <w:pStyle w:val="FirstParagraph"/>
      </w:pPr>
      <w:r>
        <w:rPr>
          <w:bCs/>
          <w:b/>
        </w:rPr>
        <w:t xml:space="preserve">Established (registered studies):</w:t>
      </w:r>
    </w:p>
    <w:p>
      <w:pPr>
        <w:numPr>
          <w:ilvl w:val="0"/>
          <w:numId w:val="1256"/>
        </w:numPr>
        <w:pStyle w:val="Compact"/>
      </w:pPr>
      <w:r>
        <w:t xml:space="preserve">A phase 2 trial with 108 people is testing bremelanotide in addition to tirzepatide in obesity</w:t>
      </w:r>
      <w:r>
        <w:rPr>
          <w:rStyle w:val="FootnoteReference"/>
        </w:rPr>
        <w:footnoteReference w:id="2015"/>
      </w:r>
      <w:r>
        <w:t xml:space="preserve">. The background is the appetite-suppressing effect via MC4R. Published, peer-reviewed results were not available in PubMed at the time of going to press.</w:t>
      </w:r>
    </w:p>
    <w:p>
      <w:pPr>
        <w:numPr>
          <w:ilvl w:val="0"/>
          <w:numId w:val="1256"/>
        </w:numPr>
        <w:pStyle w:val="Compact"/>
      </w:pPr>
      <w:r>
        <w:t xml:space="preserve">A small open-label phase 2 trial with 16 people with diabetic kidney disease has been completed</w:t>
      </w:r>
      <w:r>
        <w:rPr>
          <w:rStyle w:val="FootnoteReference"/>
        </w:rPr>
        <w:footnoteReference w:id="2016"/>
      </w:r>
      <w:r>
        <w:t xml:space="preserve">, likewise without a published result in PubMed.</w:t>
      </w:r>
    </w:p>
    <w:p>
      <w:pPr>
        <w:numPr>
          <w:ilvl w:val="0"/>
          <w:numId w:val="1256"/>
        </w:numPr>
        <w:pStyle w:val="Compact"/>
      </w:pPr>
      <w:r>
        <w:t xml:space="preserve">The breastfeeding study</w:t>
      </w:r>
      <w:r>
        <w:rPr>
          <w:rStyle w:val="FootnoteReference"/>
        </w:rPr>
        <w:footnoteReference w:id="2017"/>
      </w:r>
      <w:r>
        <w:t xml:space="preserve"> </w:t>
      </w:r>
      <w:r>
        <w:t xml:space="preserve">with 10 women was completed in 2025.</w:t>
      </w:r>
    </w:p>
    <w:p>
      <w:pPr>
        <w:pStyle w:val="FirstParagraph"/>
      </w:pPr>
      <w:r>
        <w:rPr>
          <w:bCs/>
          <w:b/>
        </w:rPr>
        <w:t xml:space="preserve">Author’s assessment:</w:t>
      </w:r>
      <w:r>
        <w:t xml:space="preserve"> </w:t>
      </w:r>
      <w:r>
        <w:t xml:space="preserve">As things stand, there is a lack of commercial interest in approval in Europe; no application is known. More interesting is the role of MC4R in obesity research, where an MC4R agonist, setmelanotide (chapter in Part II · A), is already approved for rare genetic forms. Whether bremelanotide finds a niche here will be decided by the study results still pending.</w:t>
      </w:r>
    </w:p>
    <w:bookmarkEnd w:id="2018"/>
    <w:bookmarkStart w:id="2019" w:name="conclusion-46"/>
    <w:p>
      <w:pPr>
        <w:pStyle w:val="Heading3"/>
      </w:pPr>
      <w:r>
        <w:t xml:space="preserve">Conclusion</w:t>
      </w:r>
    </w:p>
    <w:p>
      <w:pPr>
        <w:pStyle w:val="FirstParagraph"/>
      </w:pPr>
      <w:r>
        <w:t xml:space="preserve">Bremelanotide is the only approved medicine that targets sexual desire via the melanocortin system in the brain – but only in the USA and only for a narrowly defined group of women. In two large phase 3 trials, desire and distress improved in a statistically clear way, but to a small extent and with a high placebo effect. Nausea affects almost half of users and frequently leads to discontinuation; brief increases in blood pressure call for caution in people with cardiovascular risks. Gray-market products under the name</w:t>
      </w:r>
      <w:r>
        <w:t xml:space="preserve"> </w:t>
      </w:r>
      <w:r>
        <w:t xml:space="preserve">“</w:t>
      </w:r>
      <w:r>
        <w:t xml:space="preserve">PT-141</w:t>
      </w:r>
      <w:r>
        <w:t xml:space="preserve">”</w:t>
      </w:r>
      <w:r>
        <w:t xml:space="preserve"> </w:t>
      </w:r>
      <w:r>
        <w:t xml:space="preserve">are untested, and for men or people without a diagnosis, any evidence sufficient for approval is lacking.</w:t>
      </w:r>
    </w:p>
    <w:bookmarkEnd w:id="2019"/>
    <w:bookmarkEnd w:id="2020"/>
    <w:bookmarkStart w:id="2075" w:name="melanotan-ii"/>
    <w:p>
      <w:pPr>
        <w:pStyle w:val="Heading2"/>
      </w:pPr>
      <w:r>
        <w:t xml:space="preserve">Melanotan II</w:t>
      </w:r>
    </w:p>
    <w:bookmarkStart w:id="2023" w:name="profile-47"/>
    <w:p>
      <w:pPr>
        <w:pStyle w:val="Heading3"/>
      </w:pPr>
      <w:r>
        <w:t xml:space="preserve">Profile</w:t>
      </w:r>
    </w:p>
    <w:p>
      <w:pPr>
        <w:numPr>
          <w:ilvl w:val="0"/>
          <w:numId w:val="1257"/>
        </w:numPr>
        <w:pStyle w:val="Compact"/>
      </w:pPr>
      <w:r>
        <w:rPr>
          <w:bCs/>
          <w:b/>
        </w:rPr>
        <w:t xml:space="preserve">Type/structure:</w:t>
      </w:r>
      <w:r>
        <w:t xml:space="preserve"> </w:t>
      </w:r>
      <w:r>
        <w:t xml:space="preserve">ring-shaped (cyclic) peptide of seven amino acids, a shortened and chemically stabilized variant of the body’s own hormone alpha-MSH. The ring structure protects against rapid breakdown and makes the molecule considerably more potent than its natural model</w:t>
      </w:r>
      <w:r>
        <w:rPr>
          <w:rStyle w:val="FootnoteReference"/>
        </w:rPr>
        <w:footnoteReference w:id="2021"/>
      </w:r>
      <w:r>
        <w:t xml:space="preserve">.</w:t>
      </w:r>
    </w:p>
    <w:p>
      <w:pPr>
        <w:numPr>
          <w:ilvl w:val="0"/>
          <w:numId w:val="1257"/>
        </w:numPr>
        <w:pStyle w:val="Compact"/>
      </w:pPr>
      <w:r>
        <w:rPr>
          <w:bCs/>
          <w:b/>
        </w:rPr>
        <w:t xml:space="preserve">Origin:</w:t>
      </w:r>
      <w:r>
        <w:t xml:space="preserve"> </w:t>
      </w:r>
      <w:r>
        <w:t xml:space="preserve">developed in the late 1980s and early 1990s at the University of Arizona in Tucson, originally with the aim of producing a tan without sun and thus preventing skin cancer</w:t>
      </w:r>
      <w:r>
        <w:rPr>
          <w:rStyle w:val="FootnoteReference"/>
        </w:rPr>
        <w:footnoteReference w:id="2022"/>
      </w:r>
      <w:r>
        <w:t xml:space="preserve">.</w:t>
      </w:r>
    </w:p>
    <w:p>
      <w:pPr>
        <w:numPr>
          <w:ilvl w:val="0"/>
          <w:numId w:val="1257"/>
        </w:numPr>
        <w:pStyle w:val="Compact"/>
      </w:pPr>
      <w:r>
        <w:rPr>
          <w:bCs/>
          <w:b/>
        </w:rPr>
        <w:t xml:space="preserve">Mechanism of action:</w:t>
      </w:r>
      <w:r>
        <w:t xml:space="preserve"> </w:t>
      </w:r>
      <w:r>
        <w:t xml:space="preserve">non-selective agonist at melanocortin receptors: MC1R (pigment production in the skin), MC3R and MC4R (appetite, sexual function) and others.</w:t>
      </w:r>
    </w:p>
    <w:p>
      <w:pPr>
        <w:numPr>
          <w:ilvl w:val="0"/>
          <w:numId w:val="1257"/>
        </w:numPr>
        <w:pStyle w:val="Compact"/>
      </w:pPr>
      <w:r>
        <w:rPr>
          <w:bCs/>
          <w:b/>
        </w:rPr>
        <w:t xml:space="preserve">Approval EU:</w:t>
      </w:r>
      <w:r>
        <w:t xml:space="preserve"> </w:t>
      </w:r>
      <w:r>
        <w:t xml:space="preserve">no.</w:t>
      </w:r>
    </w:p>
    <w:p>
      <w:pPr>
        <w:numPr>
          <w:ilvl w:val="0"/>
          <w:numId w:val="1257"/>
        </w:numPr>
        <w:pStyle w:val="Compact"/>
      </w:pPr>
      <w:r>
        <w:rPr>
          <w:bCs/>
          <w:b/>
        </w:rPr>
        <w:t xml:space="preserve">Approval USA:</w:t>
      </w:r>
      <w:r>
        <w:t xml:space="preserve"> </w:t>
      </w:r>
      <w:r>
        <w:t xml:space="preserve">no.</w:t>
      </w:r>
    </w:p>
    <w:p>
      <w:pPr>
        <w:numPr>
          <w:ilvl w:val="0"/>
          <w:numId w:val="1257"/>
        </w:numPr>
        <w:pStyle w:val="Compact"/>
      </w:pPr>
      <w:r>
        <w:rPr>
          <w:bCs/>
          <w:b/>
        </w:rPr>
        <w:t xml:space="preserve">WADA:</w:t>
      </w:r>
      <w:r>
        <w:t xml:space="preserve"> </w:t>
      </w:r>
      <w:r>
        <w:t xml:space="preserve">not named explicitly; as a substance not approved anywhere, it falls under group S0 (non-approved substances) and is therefore prohibited at all times.</w:t>
      </w:r>
    </w:p>
    <w:p>
      <w:pPr>
        <w:numPr>
          <w:ilvl w:val="0"/>
          <w:numId w:val="1257"/>
        </w:numPr>
        <w:pStyle w:val="Compact"/>
      </w:pPr>
      <w:r>
        <w:rPr>
          <w:bCs/>
          <w:b/>
        </w:rPr>
        <w:t xml:space="preserve">Evidence level:</w:t>
      </w:r>
      <w:r>
        <w:t xml:space="preserve"> </w:t>
      </w:r>
      <w:r>
        <w:rPr>
          <w:bCs/>
          <w:b/>
        </w:rPr>
        <w:t xml:space="preserve">C</w:t>
      </w:r>
      <w:r>
        <w:t xml:space="preserve"> </w:t>
      </w:r>
      <w:r>
        <w:t xml:space="preserve">– only very small pilot studies from the 1990s with a total of around two dozen participants, supplemented by numerous case reports of side effects from uncontrolled self-administration.</w:t>
      </w:r>
    </w:p>
    <w:bookmarkEnd w:id="2023"/>
    <w:bookmarkStart w:id="2025" w:name="how-it-is-supposed-to-work-47"/>
    <w:p>
      <w:pPr>
        <w:pStyle w:val="Heading3"/>
      </w:pPr>
      <w:r>
        <w:t xml:space="preserve">How it is supposed to work</w:t>
      </w:r>
    </w:p>
    <w:p>
      <w:pPr>
        <w:pStyle w:val="FirstParagraph"/>
      </w:pPr>
      <w:r>
        <w:t xml:space="preserve">The skin tans when pigment cells (melanocytes) produce more melanin. The signal for this comes, among other things, from the hormone alpha-MSH, which binds to the MC1R receptor on the pigment cells. After sunbathing, alpha-MSH production in the skin increases, and the pigment cells switch to the dark, protective eumelanin.</w:t>
      </w:r>
    </w:p>
    <w:p>
      <w:pPr>
        <w:pStyle w:val="BodyText"/>
      </w:pPr>
      <w:r>
        <w:t xml:space="preserve">Melanotan II mimics this signal – without UV radiation first having to damage the skin. That was the original idea: a</w:t>
      </w:r>
      <w:r>
        <w:t xml:space="preserve"> </w:t>
      </w:r>
      <w:r>
        <w:t xml:space="preserve">“</w:t>
      </w:r>
      <w:r>
        <w:t xml:space="preserve">tan from a syringe</w:t>
      </w:r>
      <w:r>
        <w:t xml:space="preserve">”</w:t>
      </w:r>
      <w:r>
        <w:t xml:space="preserve"> </w:t>
      </w:r>
      <w:r>
        <w:t xml:space="preserve">that protects against sunburn. The problem: melanotan II binds not only to MC1R but also to the MC3R and MC4R receptors in the brain. These control appetite, energy expenditure and sexual arousal. This is where the typical accompanying effects come from: nausea, yawning and stretching, reduced appetite and spontaneous erections.</w:t>
      </w:r>
    </w:p>
    <w:p>
      <w:pPr>
        <w:pStyle w:val="BodyText"/>
      </w:pPr>
      <w:r>
        <w:t xml:space="preserve">Research into this</w:t>
      </w:r>
      <w:r>
        <w:t xml:space="preserve"> </w:t>
      </w:r>
      <w:r>
        <w:t xml:space="preserve">“</w:t>
      </w:r>
      <w:r>
        <w:t xml:space="preserve">side effect</w:t>
      </w:r>
      <w:r>
        <w:t xml:space="preserve">”</w:t>
      </w:r>
      <w:r>
        <w:t xml:space="preserve"> </w:t>
      </w:r>
      <w:r>
        <w:t xml:space="preserve">gave rise to two other drugs which, unlike melanotan II, were developed further clinically:</w:t>
      </w:r>
    </w:p>
    <w:p>
      <w:pPr>
        <w:numPr>
          <w:ilvl w:val="0"/>
          <w:numId w:val="1258"/>
        </w:numPr>
        <w:pStyle w:val="Compact"/>
      </w:pPr>
      <w:r>
        <w:rPr>
          <w:bCs/>
          <w:b/>
        </w:rPr>
        <w:t xml:space="preserve">Afamelanotide</w:t>
      </w:r>
      <w:r>
        <w:t xml:space="preserve">, formerly called melanotan I, is a linear, longer molecule that acts preferentially on the skin and is approved as an implant for a rare light-related disease (chapter 2E03).</w:t>
      </w:r>
    </w:p>
    <w:p>
      <w:pPr>
        <w:numPr>
          <w:ilvl w:val="0"/>
          <w:numId w:val="1258"/>
        </w:numPr>
        <w:pStyle w:val="Compact"/>
      </w:pPr>
      <w:r>
        <w:rPr>
          <w:bCs/>
          <w:b/>
        </w:rPr>
        <w:t xml:space="preserve">Bremelanotide</w:t>
      </w:r>
      <w:r>
        <w:t xml:space="preserve"> </w:t>
      </w:r>
      <w:r>
        <w:t xml:space="preserve">(PT-141) is a slightly modified form of melanotan II that is approved in the USA for the treatment of low sexual desire in women (chapter 2E01).</w:t>
      </w:r>
    </w:p>
    <w:p>
      <w:pPr>
        <w:pStyle w:val="FirstParagraph"/>
      </w:pPr>
      <w:r>
        <w:t xml:space="preserve">On the internet, these names are often mixed up.</w:t>
      </w:r>
      <w:r>
        <w:t xml:space="preserve"> </w:t>
      </w:r>
      <w:r>
        <w:t xml:space="preserve">“</w:t>
      </w:r>
      <w:r>
        <w:t xml:space="preserve">Melanotan</w:t>
      </w:r>
      <w:r>
        <w:t xml:space="preserve">”</w:t>
      </w:r>
      <w:r>
        <w:t xml:space="preserve"> </w:t>
      </w:r>
      <w:r>
        <w:t xml:space="preserve">without further specification can refer to one or the other depending on the seller – or to something else entirely</w:t>
      </w:r>
      <w:r>
        <w:rPr>
          <w:rStyle w:val="FootnoteReference"/>
        </w:rPr>
        <w:footnoteReference w:id="2024"/>
      </w:r>
      <w:r>
        <w:t xml:space="preserve">.</w:t>
      </w:r>
    </w:p>
    <w:bookmarkEnd w:id="2025"/>
    <w:bookmarkStart w:id="2039" w:name="human-studies-47"/>
    <w:p>
      <w:pPr>
        <w:pStyle w:val="Heading3"/>
      </w:pPr>
      <w:r>
        <w:t xml:space="preserve">Human studies</w:t>
      </w:r>
    </w:p>
    <w:p>
      <w:pPr>
        <w:pStyle w:val="FirstParagraph"/>
      </w:pPr>
      <w:r>
        <w:rPr>
          <w:bCs/>
          <w:b/>
        </w:rPr>
        <w:t xml:space="preserve">Size of the evidence base (search October 2026):</w:t>
      </w:r>
      <w:r>
        <w:t xml:space="preserve"> </w:t>
      </w:r>
      <w:r>
        <w:t xml:space="preserve">The automated search for this book found</w:t>
      </w:r>
      <w:r>
        <w:t xml:space="preserve"> </w:t>
      </w:r>
      <w:r>
        <w:rPr>
          <w:bCs/>
          <w:b/>
        </w:rPr>
        <w:t xml:space="preserve">8</w:t>
      </w:r>
      <w:r>
        <w:t xml:space="preserve"> </w:t>
      </w:r>
      <w:r>
        <w:t xml:space="preserve">human studies in PubMed (</w:t>
      </w:r>
      <w:r>
        <w:rPr>
          <w:rStyle w:val="VerbatimChar"/>
        </w:rPr>
        <w:t xml:space="preserve">humanstudien_alle</w:t>
      </w:r>
      <w:r>
        <w:t xml:space="preserve">) and a single entry on ClinicalTrials.gov, which on inspection proved untrustworthy (see Outlook) – so there are</w:t>
      </w:r>
      <w:r>
        <w:t xml:space="preserve"> </w:t>
      </w:r>
      <w:r>
        <w:rPr>
          <w:bCs/>
          <w:b/>
        </w:rPr>
        <w:t xml:space="preserve">0</w:t>
      </w:r>
      <w:r>
        <w:t xml:space="preserve"> </w:t>
      </w:r>
      <w:r>
        <w:t xml:space="preserve">reliable registered studies. The PubMed figure is also misleading: four of the eight studies examined melanotan I, i.e. the later afamelanotide, not melanotan II. For melanotan II itself, there are only three small original studies and one summary by the same research group. The literature on side effects is far more extensive: case reports, case series, analyses of internet forums and laboratory analyses of gray-market products.</w:t>
      </w:r>
    </w:p>
    <w:bookmarkStart w:id="2029" w:name="the-clinical-studies-of-the-1990s"/>
    <w:p>
      <w:pPr>
        <w:pStyle w:val="Heading4"/>
      </w:pPr>
      <w:r>
        <w:t xml:space="preserve">The Clinical Studies of the 1990s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Dorr 1996, PMID 8637402</w:t>
            </w:r>
          </w:p>
        </w:tc>
        <w:tc>
          <w:tcPr/>
          <w:p>
            <w:pPr>
              <w:pStyle w:val="Compact"/>
              <w:jc w:val="left"/>
            </w:pPr>
            <w:r>
              <w:t xml:space="preserve">3 healthy men, single-blind, alternating active drug and saline</w:t>
            </w:r>
          </w:p>
        </w:tc>
        <w:tc>
          <w:tcPr/>
          <w:p>
            <w:pPr>
              <w:pStyle w:val="Compact"/>
              <w:jc w:val="left"/>
            </w:pPr>
            <w:r>
              <w:t xml:space="preserve">2 weeks</w:t>
            </w:r>
          </w:p>
        </w:tc>
        <w:tc>
          <w:tcPr/>
          <w:p>
            <w:pPr>
              <w:pStyle w:val="Compact"/>
              <w:jc w:val="left"/>
            </w:pPr>
            <w:r>
              <w:t xml:space="preserve">Tanning of face, upper body and buttocks in 2 of 3; spontaneous erections; nausea, fatigue</w:t>
            </w:r>
          </w:p>
        </w:tc>
      </w:tr>
      <w:tr>
        <w:tc>
          <w:tcPr/>
          <w:p>
            <w:pPr>
              <w:pStyle w:val="Compact"/>
              <w:jc w:val="left"/>
            </w:pPr>
            <w:r>
              <w:t xml:space="preserve">Wessells 1998, PMID 9679884</w:t>
            </w:r>
          </w:p>
        </w:tc>
        <w:tc>
          <w:tcPr/>
          <w:p>
            <w:pPr>
              <w:pStyle w:val="Compact"/>
              <w:jc w:val="left"/>
            </w:pPr>
            <w:r>
              <w:t xml:space="preserve">10 men with psychogenic erectile dysfunction, double-blind crossover study vs. placebo</w:t>
            </w:r>
          </w:p>
        </w:tc>
        <w:tc>
          <w:tcPr/>
          <w:p>
            <w:pPr>
              <w:pStyle w:val="Compact"/>
              <w:jc w:val="left"/>
            </w:pPr>
            <w:r>
              <w:t xml:space="preserve">Single doses</w:t>
            </w:r>
          </w:p>
        </w:tc>
        <w:tc>
          <w:tcPr/>
          <w:p>
            <w:pPr>
              <w:pStyle w:val="Compact"/>
              <w:jc w:val="left"/>
            </w:pPr>
            <w:r>
              <w:t xml:space="preserve">Erections in 8 of 10; duration of high rigidity 38.0 vs. 3.0 minutes</w:t>
            </w:r>
          </w:p>
        </w:tc>
      </w:tr>
      <w:tr>
        <w:tc>
          <w:tcPr/>
          <w:p>
            <w:pPr>
              <w:pStyle w:val="Compact"/>
              <w:jc w:val="left"/>
            </w:pPr>
            <w:r>
              <w:t xml:space="preserve">Wessells 2000, PMID 11018622</w:t>
            </w:r>
          </w:p>
        </w:tc>
        <w:tc>
          <w:tcPr/>
          <w:p>
            <w:pPr>
              <w:pStyle w:val="Compact"/>
              <w:jc w:val="left"/>
            </w:pPr>
            <w:r>
              <w:t xml:space="preserve">10 men with organic erectile dysfunction, double-blind crossover study</w:t>
            </w:r>
          </w:p>
        </w:tc>
        <w:tc>
          <w:tcPr/>
          <w:p>
            <w:pPr>
              <w:pStyle w:val="Compact"/>
              <w:jc w:val="left"/>
            </w:pPr>
            <w:r>
              <w:t xml:space="preserve">Single doses</w:t>
            </w:r>
          </w:p>
        </w:tc>
        <w:tc>
          <w:tcPr/>
          <w:p>
            <w:pPr>
              <w:pStyle w:val="Compact"/>
              <w:jc w:val="left"/>
            </w:pPr>
            <w:r>
              <w:t xml:space="preserve">Erections after 12 of 19 injections vs. 1 of 21 placebo doses; 4 of 19 injections with severe nausea</w:t>
            </w:r>
          </w:p>
        </w:tc>
      </w:tr>
      <w:tr>
        <w:tc>
          <w:tcPr/>
          <w:p>
            <w:pPr>
              <w:pStyle w:val="Compact"/>
              <w:jc w:val="left"/>
            </w:pPr>
            <w:r>
              <w:t xml:space="preserve">Wessells 2000 (summary), PMID 11035391</w:t>
            </w:r>
          </w:p>
        </w:tc>
        <w:tc>
          <w:tcPr/>
          <w:p>
            <w:pPr>
              <w:pStyle w:val="Compact"/>
              <w:jc w:val="left"/>
            </w:pPr>
            <w:r>
              <w:t xml:space="preserve">both studies combined, 20 men</w:t>
            </w:r>
          </w:p>
        </w:tc>
        <w:tc>
          <w:tcPr/>
          <w:p>
            <w:pPr>
              <w:pStyle w:val="Compact"/>
              <w:jc w:val="left"/>
            </w:pPr>
            <w:r>
              <w:t xml:space="preserve">Single doses</w:t>
            </w:r>
          </w:p>
        </w:tc>
        <w:tc>
          <w:tcPr/>
          <w:p>
            <w:pPr>
              <w:pStyle w:val="Compact"/>
              <w:jc w:val="left"/>
            </w:pPr>
            <w:r>
              <w:t xml:space="preserve">Erections without sexual stimulation in 17 of 20; increased desire after 68% vs. 19% of doses</w:t>
            </w:r>
          </w:p>
        </w:tc>
      </w:tr>
    </w:tbl>
    <w:p>
      <w:pPr>
        <w:pStyle w:val="BodyText"/>
      </w:pPr>
      <w:r>
        <w:t xml:space="preserve">The first study in humans</w:t>
      </w:r>
      <w:r>
        <w:rPr>
          <w:rStyle w:val="FootnoteReference"/>
        </w:rPr>
        <w:footnoteReference w:id="2026"/>
      </w:r>
      <w:r>
        <w:t xml:space="preserve"> </w:t>
      </w:r>
      <w:r>
        <w:t xml:space="preserve">was a pilot study with only three men. Even here, all the effects later described by users on the internet appeared: two of the three men tanned visibly, mild nausea occurred at most dose levels, and one experienced more pronounced fatigue. A</w:t>
      </w:r>
      <w:r>
        <w:t xml:space="preserve"> </w:t>
      </w:r>
      <w:r>
        <w:t xml:space="preserve">“</w:t>
      </w:r>
      <w:r>
        <w:t xml:space="preserve">stretching and yawning complex</w:t>
      </w:r>
      <w:r>
        <w:t xml:space="preserve">”</w:t>
      </w:r>
      <w:r>
        <w:t xml:space="preserve"> </w:t>
      </w:r>
      <w:r>
        <w:t xml:space="preserve">was accompanied by spontaneous erections that recurred repeatedly for one to five hours depending on the dose.</w:t>
      </w:r>
    </w:p>
    <w:p>
      <w:pPr>
        <w:pStyle w:val="BodyText"/>
      </w:pPr>
      <w:r>
        <w:t xml:space="preserve">The research group led by urologist Hunter Wessells then pursued the erectile effect. In two small crossover studies (each participant received active drug and placebo in random order), melanotan II triggered erections in the majority of men with erectile dysfunction, even without sexual stimulation</w:t>
      </w:r>
      <w:r>
        <w:rPr>
          <w:rStyle w:val="FootnoteReference"/>
        </w:rPr>
        <w:footnoteReference w:id="2027"/>
      </w:r>
      <w:r>
        <w:t xml:space="preserve">. In the summary of both studies, the men reported increased desire after 68% of melanotan doses and after 19% of placebo doses. Severe nausea occurred in 12.9%</w:t>
      </w:r>
      <w:r>
        <w:rPr>
          <w:rStyle w:val="FootnoteReference"/>
        </w:rPr>
        <w:footnoteReference w:id="2028"/>
      </w:r>
      <w:r>
        <w:t xml:space="preserve">.</w:t>
      </w:r>
    </w:p>
    <w:p>
      <w:pPr>
        <w:pStyle w:val="BodyText"/>
      </w:pPr>
      <w:r>
        <w:t xml:space="preserve">After that, clinical research on melanotan II ended. Development switched to bremelanotide, which was tested as a nasal spray and later as an injection. There is not a single controlled study of melanotan II for skin tanning in healthy people.</w:t>
      </w:r>
    </w:p>
    <w:bookmarkEnd w:id="2029"/>
    <w:bookmarkStart w:id="2032" w:name="the-studies-on-melanotan-i"/>
    <w:p>
      <w:pPr>
        <w:pStyle w:val="Heading4"/>
      </w:pPr>
      <w:r>
        <w:t xml:space="preserve">The Studies on Melanotan I</w:t>
      </w:r>
    </w:p>
    <w:p>
      <w:pPr>
        <w:pStyle w:val="FirstParagraph"/>
      </w:pPr>
      <w:r>
        <w:t xml:space="preserve">For context: the remaining studies from the database search concern melanotan I. In them, volunteers produced more eumelanin after injections, almost twice as much as before in the skin of the forearm</w:t>
      </w:r>
      <w:r>
        <w:rPr>
          <w:rStyle w:val="FootnoteReference"/>
        </w:rPr>
        <w:footnoteReference w:id="2030"/>
      </w:r>
      <w:r>
        <w:t xml:space="preserve">. In combination with sunlight, the tan was intensified and prolonged</w:t>
      </w:r>
      <w:r>
        <w:rPr>
          <w:rStyle w:val="FootnoteReference"/>
        </w:rPr>
        <w:footnoteReference w:id="2031"/>
      </w:r>
      <w:r>
        <w:t xml:space="preserve">. These results belong to the history of afamelanotide and cannot be transferred to melanotan II, which acts more strongly in the brain.</w:t>
      </w:r>
    </w:p>
    <w:bookmarkEnd w:id="2032"/>
    <w:bookmarkStart w:id="2038" w:name="who-uses-melanotan-ii"/>
    <w:p>
      <w:pPr>
        <w:pStyle w:val="Heading4"/>
      </w:pPr>
      <w:r>
        <w:t xml:space="preserve">Who Uses Melanotan II</w:t>
      </w:r>
    </w:p>
    <w:p>
      <w:pPr>
        <w:pStyle w:val="FirstParagraph"/>
      </w:pPr>
      <w:r>
        <w:t xml:space="preserve">Because melanotan II was never approved, almost all knowledge about its current use comes from observations outside of studies. As early as 2009, British experts described the spread of melanotan I and II in the general population in the British Medical Journal</w:t>
      </w:r>
      <w:r>
        <w:rPr>
          <w:rStyle w:val="FootnoteReference"/>
        </w:rPr>
        <w:footnoteReference w:id="2033"/>
      </w:r>
      <w:r>
        <w:t xml:space="preserve">. A systematic review counted melanotan among the commonly injected agents for body and performance enhancement, alongside anabolic steroids and growth hormone</w:t>
      </w:r>
      <w:r>
        <w:rPr>
          <w:rStyle w:val="FootnoteReference"/>
        </w:rPr>
        <w:footnoteReference w:id="2034"/>
      </w:r>
      <w:r>
        <w:t xml:space="preserve">.</w:t>
      </w:r>
    </w:p>
    <w:p>
      <w:pPr>
        <w:pStyle w:val="BodyText"/>
      </w:pPr>
      <w:r>
        <w:t xml:space="preserve">An analysis of British and Irish internet forums from 2016 and 2017 evaluated 623 posts by 205 people</w:t>
      </w:r>
      <w:r>
        <w:rPr>
          <w:rStyle w:val="FootnoteReference"/>
        </w:rPr>
        <w:footnoteReference w:id="2035"/>
      </w:r>
      <w:r>
        <w:t xml:space="preserve">. The main motives users cited were a tanned complexion before vacations and before bodybuilding competitions. The forums showed misinformation, self-devised dosing schemes, combination with tanning beds and other risky practices. An online survey of users describes how easy the substance was to obtain</w:t>
      </w:r>
      <w:r>
        <w:rPr>
          <w:rStyle w:val="FootnoteReference"/>
        </w:rPr>
        <w:footnoteReference w:id="2036"/>
      </w:r>
      <w:r>
        <w:t xml:space="preserve">.</w:t>
      </w:r>
    </w:p>
    <w:p>
      <w:pPr>
        <w:pStyle w:val="BodyText"/>
      </w:pPr>
      <w:r>
        <w:t xml:space="preserve">In recent years, advertising has increasingly shifted to social media such as TikTok, where melanotan is promoted as the</w:t>
      </w:r>
      <w:r>
        <w:t xml:space="preserve"> </w:t>
      </w:r>
      <w:r>
        <w:t xml:space="preserve">“</w:t>
      </w:r>
      <w:r>
        <w:t xml:space="preserve">Barbie drug.</w:t>
      </w:r>
      <w:r>
        <w:t xml:space="preserve">”</w:t>
      </w:r>
      <w:r>
        <w:t xml:space="preserve"> </w:t>
      </w:r>
      <w:r>
        <w:t xml:space="preserve">Several dermatology journals have analyzed such content and warn against trivializing it</w:t>
      </w:r>
      <w:r>
        <w:rPr>
          <w:rStyle w:val="FootnoteReference"/>
        </w:rPr>
        <w:footnoteReference w:id="2037"/>
      </w:r>
      <w:r>
        <w:t xml:space="preserve">.</w:t>
      </w:r>
    </w:p>
    <w:bookmarkEnd w:id="2038"/>
    <w:bookmarkEnd w:id="2039"/>
    <w:bookmarkStart w:id="2043" w:name="animal-and-laboratory-studies-47"/>
    <w:p>
      <w:pPr>
        <w:pStyle w:val="Heading3"/>
      </w:pPr>
      <w:r>
        <w:t xml:space="preserve">Animal and laboratory studies</w:t>
      </w:r>
    </w:p>
    <w:p>
      <w:pPr>
        <w:pStyle w:val="FirstParagraph"/>
      </w:pPr>
      <w:r>
        <w:t xml:space="preserve">In basic research, melanotan II is a standard tool for activating melanocortin receptors. Accordingly, there are numerous animal experiments, but they mostly answer questions in neuroscience and do not concern safety in humans:</w:t>
      </w:r>
    </w:p>
    <w:p>
      <w:pPr>
        <w:numPr>
          <w:ilvl w:val="0"/>
          <w:numId w:val="1259"/>
        </w:numPr>
        <w:pStyle w:val="Compact"/>
      </w:pPr>
      <w:r>
        <w:rPr>
          <w:bCs/>
          <w:b/>
        </w:rPr>
        <w:t xml:space="preserve">Weight and fat:</w:t>
      </w:r>
      <w:r>
        <w:t xml:space="preserve"> </w:t>
      </w:r>
      <w:r>
        <w:t xml:space="preserve">In overweight mice and rats on a high-fat diet, melanotan II reduced weight and fat mass, mainly through lower food intake</w:t>
      </w:r>
      <w:r>
        <w:rPr>
          <w:rStyle w:val="FootnoteReference"/>
        </w:rPr>
        <w:footnoteReference w:id="2040"/>
      </w:r>
      <w:r>
        <w:t xml:space="preserve">.</w:t>
      </w:r>
    </w:p>
    <w:p>
      <w:pPr>
        <w:numPr>
          <w:ilvl w:val="0"/>
          <w:numId w:val="1259"/>
        </w:numPr>
        <w:pStyle w:val="Compact"/>
      </w:pPr>
      <w:r>
        <w:rPr>
          <w:bCs/>
          <w:b/>
        </w:rPr>
        <w:t xml:space="preserve">Body temperature:</w:t>
      </w:r>
      <w:r>
        <w:t xml:space="preserve"> </w:t>
      </w:r>
      <w:r>
        <w:t xml:space="preserve">In mice, it triggered a temporary severe drop in body temperature, mediated by mast cells and histamine</w:t>
      </w:r>
      <w:r>
        <w:rPr>
          <w:rStyle w:val="FootnoteReference"/>
        </w:rPr>
        <w:footnoteReference w:id="2041"/>
      </w:r>
      <w:r>
        <w:t xml:space="preserve">.</w:t>
      </w:r>
    </w:p>
    <w:p>
      <w:pPr>
        <w:numPr>
          <w:ilvl w:val="0"/>
          <w:numId w:val="1259"/>
        </w:numPr>
        <w:pStyle w:val="Compact"/>
      </w:pPr>
      <w:r>
        <w:rPr>
          <w:bCs/>
          <w:b/>
        </w:rPr>
        <w:t xml:space="preserve">Social behavior:</w:t>
      </w:r>
      <w:r>
        <w:t xml:space="preserve"> </w:t>
      </w:r>
      <w:r>
        <w:t xml:space="preserve">In a mouse model of autism, one week of administration improved measures of social behavior</w:t>
      </w:r>
      <w:r>
        <w:rPr>
          <w:rStyle w:val="FootnoteReference"/>
        </w:rPr>
        <w:footnoteReference w:id="2042"/>
      </w:r>
      <w:r>
        <w:t xml:space="preserve">. The suspected pathway involves activation of the oxytocin system (chapter 2E05).</w:t>
      </w:r>
    </w:p>
    <w:p>
      <w:pPr>
        <w:pStyle w:val="FirstParagraph"/>
      </w:pPr>
      <w:r>
        <w:t xml:space="preserve">None of these results has been confirmed in humans.</w:t>
      </w:r>
    </w:p>
    <w:bookmarkEnd w:id="2043"/>
    <w:bookmarkStart w:id="2069" w:name="risks-and-side-effects-47"/>
    <w:p>
      <w:pPr>
        <w:pStyle w:val="Heading3"/>
      </w:pPr>
      <w:r>
        <w:t xml:space="preserve">Risks and side effects</w:t>
      </w:r>
    </w:p>
    <w:p>
      <w:pPr>
        <w:pStyle w:val="FirstParagraph"/>
      </w:pPr>
      <w:r>
        <w:t xml:space="preserve">The risks of melanotan II can be sorted into three groups: the expected effects via the melanocortin receptors, the skin changes with the open question of skin cancer, and severe individual cases.</w:t>
      </w:r>
    </w:p>
    <w:bookmarkStart w:id="2048" w:name="expected-effects"/>
    <w:p>
      <w:pPr>
        <w:pStyle w:val="Heading4"/>
      </w:pPr>
      <w:r>
        <w:t xml:space="preserve">Expected Effects</w:t>
      </w:r>
    </w:p>
    <w:p>
      <w:pPr>
        <w:pStyle w:val="FirstParagraph"/>
      </w:pPr>
      <w:r>
        <w:t xml:space="preserve">Nausea, facial flushing, yawning and stretching, loss of appetite, fatigue and spontaneous erections already occurred in the studies</w:t>
      </w:r>
      <w:r>
        <w:rPr>
          <w:rStyle w:val="FootnoteReference"/>
        </w:rPr>
        <w:footnoteReference w:id="2044"/>
      </w:r>
      <w:r>
        <w:t xml:space="preserve">. Pigmentation affects not only the skin: case reports describe transverse dark bands in the fingernails</w:t>
      </w:r>
      <w:r>
        <w:rPr>
          <w:rStyle w:val="FootnoteReference"/>
        </w:rPr>
        <w:footnoteReference w:id="2045"/>
      </w:r>
      <w:r>
        <w:t xml:space="preserve"> </w:t>
      </w:r>
      <w:r>
        <w:t xml:space="preserve">and pigment changes in the oral mucosa</w:t>
      </w:r>
      <w:r>
        <w:rPr>
          <w:rStyle w:val="FootnoteReference"/>
        </w:rPr>
        <w:footnoteReference w:id="2046"/>
      </w:r>
      <w:r>
        <w:t xml:space="preserve">. Paradoxically, light, depigmented spots have also been described</w:t>
      </w:r>
      <w:r>
        <w:rPr>
          <w:rStyle w:val="FootnoteReference"/>
        </w:rPr>
        <w:footnoteReference w:id="2047"/>
      </w:r>
      <w:r>
        <w:t xml:space="preserve">.</w:t>
      </w:r>
    </w:p>
    <w:bookmarkEnd w:id="2048"/>
    <w:bookmarkStart w:id="2056" w:name="moles-and-melanoma"/>
    <w:p>
      <w:pPr>
        <w:pStyle w:val="Heading4"/>
      </w:pPr>
      <w:r>
        <w:t xml:space="preserve">Moles and Melanoma</w:t>
      </w:r>
    </w:p>
    <w:p>
      <w:pPr>
        <w:pStyle w:val="FirstParagraph"/>
      </w:pPr>
      <w:r>
        <w:t xml:space="preserve">This is the concern that occupies dermatologists the most. Melanotan II stimulates all pigment cells, including those in existing moles (nevi). Several case reports describe:</w:t>
      </w:r>
    </w:p>
    <w:p>
      <w:pPr>
        <w:numPr>
          <w:ilvl w:val="0"/>
          <w:numId w:val="1260"/>
        </w:numPr>
        <w:pStyle w:val="Compact"/>
      </w:pPr>
      <w:r>
        <w:rPr>
          <w:bCs/>
          <w:b/>
        </w:rPr>
        <w:t xml:space="preserve">new moles appearing in large numbers</w:t>
      </w:r>
      <w:r>
        <w:t xml:space="preserve"> </w:t>
      </w:r>
      <w:r>
        <w:t xml:space="preserve">(eruptive nevi) after melanotan injections</w:t>
      </w:r>
      <w:r>
        <w:rPr>
          <w:rStyle w:val="FootnoteReference"/>
        </w:rPr>
        <w:footnoteReference w:id="2049"/>
      </w:r>
      <w:r>
        <w:t xml:space="preserve">, some with a conspicuous, atypical appearance</w:t>
      </w:r>
      <w:r>
        <w:rPr>
          <w:rStyle w:val="FootnoteReference"/>
        </w:rPr>
        <w:footnoteReference w:id="2050"/>
      </w:r>
      <w:r>
        <w:t xml:space="preserve">;</w:t>
      </w:r>
    </w:p>
    <w:p>
      <w:pPr>
        <w:numPr>
          <w:ilvl w:val="0"/>
          <w:numId w:val="1260"/>
        </w:numPr>
        <w:pStyle w:val="Compact"/>
      </w:pPr>
      <w:r>
        <w:rPr>
          <w:bCs/>
          <w:b/>
        </w:rPr>
        <w:t xml:space="preserve">existing moles darkening and changing</w:t>
      </w:r>
      <w:r>
        <w:t xml:space="preserve">;</w:t>
      </w:r>
    </w:p>
    <w:p>
      <w:pPr>
        <w:numPr>
          <w:ilvl w:val="0"/>
          <w:numId w:val="1260"/>
        </w:numPr>
        <w:pStyle w:val="Compact"/>
      </w:pPr>
      <w:r>
        <w:rPr>
          <w:bCs/>
          <w:b/>
        </w:rPr>
        <w:t xml:space="preserve">melanomas</w:t>
      </w:r>
      <w:r>
        <w:t xml:space="preserve">, i.e. black skin cancer, during or shortly after use</w:t>
      </w:r>
      <w:r>
        <w:rPr>
          <w:rStyle w:val="FootnoteReference"/>
        </w:rPr>
        <w:footnoteReference w:id="2051"/>
      </w:r>
      <w:r>
        <w:t xml:space="preserve">. A 20-year-old woman with fair skin developed a melanoma on her buttocks three months after three to four weeks of self-treatment combined with tanning-bed sessions</w:t>
      </w:r>
      <w:r>
        <w:rPr>
          <w:rStyle w:val="FootnoteReference"/>
        </w:rPr>
        <w:footnoteReference w:id="2052"/>
      </w:r>
      <w:r>
        <w:t xml:space="preserve">. A case published in 2025 describes a melanoma of the oral mucosa in a 22-year-old who had used melanotan II nasal spray</w:t>
      </w:r>
      <w:r>
        <w:rPr>
          <w:rStyle w:val="FootnoteReference"/>
        </w:rPr>
        <w:footnoteReference w:id="2053"/>
      </w:r>
      <w:r>
        <w:t xml:space="preserve">.</w:t>
      </w:r>
    </w:p>
    <w:p>
      <w:pPr>
        <w:pStyle w:val="FirstParagraph"/>
      </w:pPr>
      <w:r>
        <w:t xml:space="preserve">A review of all published cases of suddenly appearing moles (179 people) found melanotan among the triggers, alongside immunosuppression and chemotherapy; 16% of cases had at least one dysplastic, i.e. conspicuously altered, mole</w:t>
      </w:r>
      <w:r>
        <w:rPr>
          <w:rStyle w:val="FootnoteReference"/>
        </w:rPr>
        <w:footnoteReference w:id="2054"/>
      </w:r>
      <w:r>
        <w:t xml:space="preserve">.</w:t>
      </w:r>
    </w:p>
    <w:p>
      <w:pPr>
        <w:pStyle w:val="BodyText"/>
      </w:pPr>
      <w:r>
        <w:rPr>
          <w:bCs/>
          <w:b/>
        </w:rPr>
        <w:t xml:space="preserve">What these data mean:</w:t>
      </w:r>
      <w:r>
        <w:t xml:space="preserve"> </w:t>
      </w:r>
      <w:r>
        <w:t xml:space="preserve">Case reports do not prove a causal relationship. Many of those affected were simultaneously using tanning beds or sunbathing intensively, which independently increases the risk of melanoma. A review concludes that a link has not been conclusively demonstrated, but that the accumulation of cases is reason for caution</w:t>
      </w:r>
      <w:r>
        <w:rPr>
          <w:rStyle w:val="FootnoteReference"/>
        </w:rPr>
        <w:footnoteReference w:id="2055"/>
      </w:r>
      <w:r>
        <w:t xml:space="preserve">. Because melanotan II has never been studied systematically, no one can say how high a possible risk is. For comparison: for the related, approved afamelanotide, a study using dermoscopy found only temporary changes in moles with no indication of malignant transformation (chapter 2E03) – but these data do not apply to melanotan II.</w:t>
      </w:r>
    </w:p>
    <w:bookmarkEnd w:id="2056"/>
    <w:bookmarkStart w:id="2064" w:name="severe-individual-cases"/>
    <w:p>
      <w:pPr>
        <w:pStyle w:val="Heading4"/>
      </w:pPr>
      <w:r>
        <w:t xml:space="preserve">Severe Individual Cases</w:t>
      </w:r>
    </w:p>
    <w:p>
      <w:pPr>
        <w:numPr>
          <w:ilvl w:val="0"/>
          <w:numId w:val="1261"/>
        </w:numPr>
        <w:pStyle w:val="Compact"/>
      </w:pPr>
      <w:r>
        <w:rPr>
          <w:bCs/>
          <w:b/>
        </w:rPr>
        <w:t xml:space="preserve">Priapism:</w:t>
      </w:r>
      <w:r>
        <w:t xml:space="preserve"> </w:t>
      </w:r>
      <w:r>
        <w:t xml:space="preserve">a painful prolonged erection, a urological emergency. Several case reports describe it after melanotan injections</w:t>
      </w:r>
      <w:r>
        <w:rPr>
          <w:rStyle w:val="FootnoteReference"/>
        </w:rPr>
        <w:footnoteReference w:id="2057"/>
      </w:r>
      <w:r>
        <w:t xml:space="preserve">. In one case, surgical decompression was necessary</w:t>
      </w:r>
      <w:r>
        <w:rPr>
          <w:rStyle w:val="FootnoteReference"/>
        </w:rPr>
        <w:footnoteReference w:id="2058"/>
      </w:r>
      <w:r>
        <w:t xml:space="preserve">; in another, erectile function had still not been restored four weeks later</w:t>
      </w:r>
      <w:r>
        <w:rPr>
          <w:rStyle w:val="FootnoteReference"/>
        </w:rPr>
        <w:footnoteReference w:id="2059"/>
      </w:r>
      <w:r>
        <w:t xml:space="preserve">.</w:t>
      </w:r>
    </w:p>
    <w:p>
      <w:pPr>
        <w:numPr>
          <w:ilvl w:val="0"/>
          <w:numId w:val="1261"/>
        </w:numPr>
        <w:pStyle w:val="Compact"/>
      </w:pPr>
      <w:r>
        <w:rPr>
          <w:bCs/>
          <w:b/>
        </w:rPr>
        <w:t xml:space="preserve">Muscle breakdown and kidney damage:</w:t>
      </w:r>
      <w:r>
        <w:t xml:space="preserve"> </w:t>
      </w:r>
      <w:r>
        <w:t xml:space="preserve">A 39-year-old man, by his own account, injected six times the recommended starting amount. He developed a racing heart, agitation and severe muscle breakdown (rhabdomyolysis) with a rise in the muscle enzyme CK to 17,773 IU/L and temporary kidney damage; the substance was confirmed in the laboratory as melanotan II</w:t>
      </w:r>
      <w:r>
        <w:rPr>
          <w:rStyle w:val="FootnoteReference"/>
        </w:rPr>
        <w:footnoteReference w:id="2060"/>
      </w:r>
      <w:r>
        <w:t xml:space="preserve">.</w:t>
      </w:r>
    </w:p>
    <w:p>
      <w:pPr>
        <w:numPr>
          <w:ilvl w:val="0"/>
          <w:numId w:val="1261"/>
        </w:numPr>
        <w:pStyle w:val="Compact"/>
      </w:pPr>
      <w:r>
        <w:rPr>
          <w:bCs/>
          <w:b/>
        </w:rPr>
        <w:t xml:space="preserve">Renal infarction:</w:t>
      </w:r>
      <w:r>
        <w:t xml:space="preserve"> </w:t>
      </w:r>
      <w:r>
        <w:t xml:space="preserve">a case report with literature review suspects melanotan II as the cause of an occlusion of renal vessels</w:t>
      </w:r>
      <w:r>
        <w:rPr>
          <w:rStyle w:val="FootnoteReference"/>
        </w:rPr>
        <w:footnoteReference w:id="2061"/>
      </w:r>
      <w:r>
        <w:t xml:space="preserve">.</w:t>
      </w:r>
    </w:p>
    <w:p>
      <w:pPr>
        <w:numPr>
          <w:ilvl w:val="0"/>
          <w:numId w:val="1261"/>
        </w:numPr>
        <w:pStyle w:val="Compact"/>
      </w:pPr>
      <w:r>
        <w:rPr>
          <w:bCs/>
          <w:b/>
        </w:rPr>
        <w:t xml:space="preserve">Brain swelling:</w:t>
      </w:r>
      <w:r>
        <w:t xml:space="preserve"> </w:t>
      </w:r>
      <w:r>
        <w:t xml:space="preserve">A case report describes posterior reversible encephalopathy syndrome (PRES), a swelling in the back of the brain, in connection with melanotan</w:t>
      </w:r>
      <w:r>
        <w:rPr>
          <w:rStyle w:val="FootnoteReference"/>
        </w:rPr>
        <w:footnoteReference w:id="2062"/>
      </w:r>
      <w:r>
        <w:t xml:space="preserve">.</w:t>
      </w:r>
    </w:p>
    <w:p>
      <w:pPr>
        <w:numPr>
          <w:ilvl w:val="0"/>
          <w:numId w:val="1261"/>
        </w:numPr>
        <w:pStyle w:val="Compact"/>
      </w:pPr>
      <w:r>
        <w:rPr>
          <w:bCs/>
          <w:b/>
        </w:rPr>
        <w:t xml:space="preserve">Skin inflammation:</w:t>
      </w:r>
      <w:r>
        <w:t xml:space="preserve"> </w:t>
      </w:r>
      <w:r>
        <w:t xml:space="preserve">Pyoderma gangrenosum, a severe ulcerative skin disease, has also been described</w:t>
      </w:r>
      <w:r>
        <w:rPr>
          <w:rStyle w:val="FootnoteReference"/>
        </w:rPr>
        <w:footnoteReference w:id="2063"/>
      </w:r>
      <w:r>
        <w:t xml:space="preserve">.</w:t>
      </w:r>
    </w:p>
    <w:bookmarkEnd w:id="2064"/>
    <w:bookmarkStart w:id="2068" w:name="gray-market-risks-1"/>
    <w:p>
      <w:pPr>
        <w:pStyle w:val="Heading4"/>
      </w:pPr>
      <w:r>
        <w:t xml:space="preserve">Gray-Market Risks</w:t>
      </w:r>
    </w:p>
    <w:p>
      <w:pPr>
        <w:pStyle w:val="FirstParagraph"/>
      </w:pPr>
      <w:r>
        <w:t xml:space="preserve">A laboratory bought vials of melanotan II from three online shops. All promised 10 mg per vial; in fact, they contained between 4.32 and 8.84 mg. Products from two shops contained 4.1 to 5.9% unknown impurities</w:t>
      </w:r>
      <w:r>
        <w:rPr>
          <w:rStyle w:val="FootnoteReference"/>
        </w:rPr>
        <w:footnoteReference w:id="2065"/>
      </w:r>
      <w:r>
        <w:t xml:space="preserve">. A forensic laboratory determined a purity of 30% in a seized sample</w:t>
      </w:r>
      <w:r>
        <w:rPr>
          <w:rStyle w:val="FootnoteReference"/>
        </w:rPr>
        <w:footnoteReference w:id="2066"/>
      </w:r>
      <w:r>
        <w:t xml:space="preserve">. In addition, there are the risks of non-sterile preparation and shared needles, which experts explicitly point out</w:t>
      </w:r>
      <w:r>
        <w:rPr>
          <w:rStyle w:val="FootnoteReference"/>
        </w:rPr>
        <w:footnoteReference w:id="2067"/>
      </w:r>
      <w:r>
        <w:t xml:space="preserve">. More on purity and counterfeits on the gray market can be found in Part I and Part IV.</w:t>
      </w:r>
    </w:p>
    <w:bookmarkEnd w:id="2068"/>
    <w:bookmarkEnd w:id="2069"/>
    <w:bookmarkStart w:id="2072" w:name="legal-status-47"/>
    <w:p>
      <w:pPr>
        <w:pStyle w:val="Heading3"/>
      </w:pPr>
      <w:r>
        <w:t xml:space="preserve">Legal status</w:t>
      </w:r>
    </w:p>
    <w:p>
      <w:pPr>
        <w:pStyle w:val="FirstParagraph"/>
      </w:pPr>
      <w:r>
        <w:rPr>
          <w:iCs/>
          <w:i/>
        </w:rPr>
        <w:t xml:space="preserve">As of 2026, please check for updates.</w:t>
      </w:r>
    </w:p>
    <w:p>
      <w:pPr>
        <w:numPr>
          <w:ilvl w:val="0"/>
          <w:numId w:val="1262"/>
        </w:numPr>
        <w:pStyle w:val="Compact"/>
      </w:pPr>
      <w:r>
        <w:rPr>
          <w:bCs/>
          <w:b/>
        </w:rPr>
        <w:t xml:space="preserve">EU:</w:t>
      </w:r>
      <w:r>
        <w:t xml:space="preserve"> </w:t>
      </w:r>
      <w:r>
        <w:t xml:space="preserve">Melanotan II is not approved in any member state. Because it is offered for use in humans with effects on bodily functions, it is legally considered a medicinal product; manufacture, import and sale without approval are prohibited. The label</w:t>
      </w:r>
      <w:r>
        <w:t xml:space="preserve"> </w:t>
      </w:r>
      <w:r>
        <w:t xml:space="preserve">“</w:t>
      </w:r>
      <w:r>
        <w:t xml:space="preserve">for research purposes only</w:t>
      </w:r>
      <w:r>
        <w:t xml:space="preserve">”</w:t>
      </w:r>
      <w:r>
        <w:t xml:space="preserve"> </w:t>
      </w:r>
      <w:r>
        <w:t xml:space="preserve">does not change this.</w:t>
      </w:r>
    </w:p>
    <w:p>
      <w:pPr>
        <w:numPr>
          <w:ilvl w:val="0"/>
          <w:numId w:val="1262"/>
        </w:numPr>
        <w:pStyle w:val="Compact"/>
      </w:pPr>
      <w:r>
        <w:rPr>
          <w:bCs/>
          <w:b/>
        </w:rPr>
        <w:t xml:space="preserve">Germany and Austria:</w:t>
      </w:r>
      <w:r>
        <w:t xml:space="preserve"> </w:t>
      </w:r>
      <w:r>
        <w:t xml:space="preserve">not approved. Supplying it for use in humans violates the respective Medicinal Products Act. Authorities and customs seize shipments.</w:t>
      </w:r>
    </w:p>
    <w:p>
      <w:pPr>
        <w:numPr>
          <w:ilvl w:val="0"/>
          <w:numId w:val="1262"/>
        </w:numPr>
        <w:pStyle w:val="Compact"/>
      </w:pPr>
      <w:r>
        <w:rPr>
          <w:bCs/>
          <w:b/>
        </w:rPr>
        <w:t xml:space="preserve">Official warnings:</w:t>
      </w:r>
      <w:r>
        <w:t xml:space="preserve"> </w:t>
      </w:r>
      <w:r>
        <w:t xml:space="preserve">Several national medicines and health authorities have warned against melanotan I and II</w:t>
      </w:r>
      <w:r>
        <w:rPr>
          <w:rStyle w:val="FootnoteReference"/>
        </w:rPr>
        <w:footnoteReference w:id="2070"/>
      </w:r>
      <w:r>
        <w:t xml:space="preserve">. To the author’s knowledge, the authorities in the United Kingdom and Ireland were among the first from 2008 onward, followed later by other European countries and Australia. In the United Kingdom, sale is explicitly illegal</w:t>
      </w:r>
      <w:r>
        <w:rPr>
          <w:rStyle w:val="FootnoteReference"/>
        </w:rPr>
        <w:footnoteReference w:id="2071"/>
      </w:r>
      <w:r>
        <w:t xml:space="preserve">.</w:t>
      </w:r>
    </w:p>
    <w:p>
      <w:pPr>
        <w:numPr>
          <w:ilvl w:val="0"/>
          <w:numId w:val="1262"/>
        </w:numPr>
        <w:pStyle w:val="Compact"/>
      </w:pPr>
      <w:r>
        <w:rPr>
          <w:bCs/>
          <w:b/>
        </w:rPr>
        <w:t xml:space="preserve">USA:</w:t>
      </w:r>
      <w:r>
        <w:t xml:space="preserve"> </w:t>
      </w:r>
      <w:r>
        <w:t xml:space="preserve">no FDA approval; distribution as a drug for use in humans is not permitted.</w:t>
      </w:r>
    </w:p>
    <w:p>
      <w:pPr>
        <w:numPr>
          <w:ilvl w:val="0"/>
          <w:numId w:val="1262"/>
        </w:numPr>
        <w:pStyle w:val="Compact"/>
      </w:pPr>
      <w:r>
        <w:rPr>
          <w:bCs/>
          <w:b/>
        </w:rPr>
        <w:t xml:space="preserve">WADA:</w:t>
      </w:r>
      <w:r>
        <w:t xml:space="preserve"> </w:t>
      </w:r>
      <w:r>
        <w:t xml:space="preserve">prohibited as a non-approved substance (S0).</w:t>
      </w:r>
    </w:p>
    <w:bookmarkEnd w:id="2072"/>
    <w:bookmarkStart w:id="2073" w:name="ongoing-studies-and-outlook-47"/>
    <w:p>
      <w:pPr>
        <w:pStyle w:val="Heading3"/>
      </w:pPr>
      <w:r>
        <w:t xml:space="preserve">Ongoing studies and outlook</w:t>
      </w:r>
    </w:p>
    <w:p>
      <w:pPr>
        <w:pStyle w:val="FirstParagraph"/>
      </w:pPr>
      <w:r>
        <w:rPr>
          <w:bCs/>
          <w:b/>
        </w:rPr>
        <w:t xml:space="preserve">Established (registered studies):</w:t>
      </w:r>
      <w:r>
        <w:t xml:space="preserve"> </w:t>
      </w:r>
      <w:r>
        <w:t xml:space="preserve">none. ClinicalTrials.gov did contain an entry on melanotan II in vitiligo; however, the sponsor of this entry has also registered entries that describe themselves as fictitious. The entry is therefore not counted here as a genuine study. Incidentally, this shows that a registry entry is not proof that a study is actually taking place.</w:t>
      </w:r>
    </w:p>
    <w:p>
      <w:pPr>
        <w:pStyle w:val="BodyText"/>
      </w:pPr>
      <w:r>
        <w:rPr>
          <w:bCs/>
          <w:b/>
        </w:rPr>
        <w:t xml:space="preserve">Author’s assessment:</w:t>
      </w:r>
      <w:r>
        <w:t xml:space="preserve"> </w:t>
      </w:r>
      <w:r>
        <w:t xml:space="preserve">There is no realistic path to approval as a tanning agent for healthy people: the benefit is cosmetic, the side effects via the brain are pronounced, and the question of moles and melanoma would have to be clarified in large, long studies. Medically meaningful applications of melanocortin agonists are being pursued with more selective molecules – afamelanotide for the skin, bremelanotide and setmelanotide for the brain. Popularity on social media is likely to further increase the number of case reports.</w:t>
      </w:r>
    </w:p>
    <w:bookmarkEnd w:id="2073"/>
    <w:bookmarkStart w:id="2074" w:name="conclusion-47"/>
    <w:p>
      <w:pPr>
        <w:pStyle w:val="Heading3"/>
      </w:pPr>
      <w:r>
        <w:t xml:space="preserve">Conclusion</w:t>
      </w:r>
    </w:p>
    <w:p>
      <w:pPr>
        <w:pStyle w:val="FirstParagraph"/>
      </w:pPr>
      <w:r>
        <w:t xml:space="preserve">Melanotan II is a research peptide from the 1990s that was tested in only around two dozen people in small studies and never received approval. It tans the skin but, via receptors in the brain, regularly triggers nausea and spontaneous erections. Case reports describe new and changed moles, melanomas, priapism and muscle breakdown; a causal link to skin cancer has not been proven, but has not been ruled out either. In laboratory analyses, gray-market products contained less active substance than stated and unknown impurities. The data are not sufficient to call melanotan II safe.</w:t>
      </w:r>
    </w:p>
    <w:bookmarkEnd w:id="2074"/>
    <w:bookmarkEnd w:id="2075"/>
    <w:bookmarkStart w:id="2135" w:name="afamelanotide"/>
    <w:p>
      <w:pPr>
        <w:pStyle w:val="Heading2"/>
      </w:pPr>
      <w:r>
        <w:t xml:space="preserve">Afamelanotide</w:t>
      </w:r>
    </w:p>
    <w:bookmarkStart w:id="2078" w:name="profile-48"/>
    <w:p>
      <w:pPr>
        <w:pStyle w:val="Heading3"/>
      </w:pPr>
      <w:r>
        <w:t xml:space="preserve">Profile</w:t>
      </w:r>
    </w:p>
    <w:p>
      <w:pPr>
        <w:numPr>
          <w:ilvl w:val="0"/>
          <w:numId w:val="1263"/>
        </w:numPr>
        <w:pStyle w:val="Compact"/>
      </w:pPr>
      <w:r>
        <w:rPr>
          <w:bCs/>
          <w:b/>
        </w:rPr>
        <w:t xml:space="preserve">Type/structure:</w:t>
      </w:r>
      <w:r>
        <w:t xml:space="preserve"> </w:t>
      </w:r>
      <w:r>
        <w:t xml:space="preserve">linear peptide of 13 amino acids. It corresponds to the body’s own hormone alpha-MSH with two building blocks exchanged (norleucine at position 4, the mirror-image D-form of phenylalanine at position 7). These changes make it more stable and more potent. Former names: melanotan I, MT-I, NDP-MSH, CUV1647.</w:t>
      </w:r>
    </w:p>
    <w:p>
      <w:pPr>
        <w:numPr>
          <w:ilvl w:val="0"/>
          <w:numId w:val="1263"/>
        </w:numPr>
        <w:pStyle w:val="Compact"/>
      </w:pPr>
      <w:r>
        <w:rPr>
          <w:bCs/>
          <w:b/>
        </w:rPr>
        <w:t xml:space="preserve">Origin:</w:t>
      </w:r>
      <w:r>
        <w:t xml:space="preserve"> </w:t>
      </w:r>
      <w:r>
        <w:t xml:space="preserve">developed at the University of Arizona together with melanotan II</w:t>
      </w:r>
      <w:r>
        <w:rPr>
          <w:rStyle w:val="FootnoteReference"/>
        </w:rPr>
        <w:footnoteReference w:id="2076"/>
      </w:r>
      <w:r>
        <w:t xml:space="preserve">; later developed into a medicine by the Australian company Clinuvel.</w:t>
      </w:r>
    </w:p>
    <w:p>
      <w:pPr>
        <w:numPr>
          <w:ilvl w:val="0"/>
          <w:numId w:val="1263"/>
        </w:numPr>
        <w:pStyle w:val="Compact"/>
      </w:pPr>
      <w:r>
        <w:rPr>
          <w:bCs/>
          <w:b/>
        </w:rPr>
        <w:t xml:space="preserve">Mechanism of action:</w:t>
      </w:r>
      <w:r>
        <w:t xml:space="preserve"> </w:t>
      </w:r>
      <w:r>
        <w:t xml:space="preserve">agonist at the melanocortin 1 receptor (MC1R) of the pigment cells. It stimulates production of the dark, light-protective pigment eumelanin – without prior UV radiation.</w:t>
      </w:r>
    </w:p>
    <w:p>
      <w:pPr>
        <w:numPr>
          <w:ilvl w:val="0"/>
          <w:numId w:val="1263"/>
        </w:numPr>
        <w:pStyle w:val="Compact"/>
      </w:pPr>
      <w:r>
        <w:rPr>
          <w:bCs/>
          <w:b/>
        </w:rPr>
        <w:t xml:space="preserve">Dosage form:</w:t>
      </w:r>
      <w:r>
        <w:t xml:space="preserve"> </w:t>
      </w:r>
      <w:r>
        <w:t xml:space="preserve">small, self-dissolving implant (16 mg) inserted under the skin that releases the active substance over weeks. It is inserted in specialized centers.</w:t>
      </w:r>
    </w:p>
    <w:p>
      <w:pPr>
        <w:numPr>
          <w:ilvl w:val="0"/>
          <w:numId w:val="1263"/>
        </w:numPr>
        <w:pStyle w:val="Compact"/>
      </w:pPr>
      <w:r>
        <w:rPr>
          <w:bCs/>
          <w:b/>
        </w:rPr>
        <w:t xml:space="preserve">Approval EU:</w:t>
      </w:r>
      <w:r>
        <w:t xml:space="preserve"> </w:t>
      </w:r>
      <w:r>
        <w:t xml:space="preserve">yes, since 2014 (Scenesse) for the prevention of phototoxicity in adults with erythropoietic protoporphyria (EPP). The approval was subject to conditions, including a post-authorization safety study and a patient registry</w:t>
      </w:r>
      <w:r>
        <w:rPr>
          <w:rStyle w:val="FootnoteReference"/>
        </w:rPr>
        <w:footnoteReference w:id="2077"/>
      </w:r>
      <w:r>
        <w:t xml:space="preserve">.</w:t>
      </w:r>
    </w:p>
    <w:p>
      <w:pPr>
        <w:numPr>
          <w:ilvl w:val="0"/>
          <w:numId w:val="1263"/>
        </w:numPr>
        <w:pStyle w:val="Compact"/>
      </w:pPr>
      <w:r>
        <w:rPr>
          <w:bCs/>
          <w:b/>
        </w:rPr>
        <w:t xml:space="preserve">Approval USA:</w:t>
      </w:r>
      <w:r>
        <w:t xml:space="preserve"> </w:t>
      </w:r>
      <w:r>
        <w:t xml:space="preserve">yes, since 2019 for adults with EPP.</w:t>
      </w:r>
    </w:p>
    <w:p>
      <w:pPr>
        <w:numPr>
          <w:ilvl w:val="0"/>
          <w:numId w:val="1263"/>
        </w:numPr>
        <w:pStyle w:val="Compact"/>
      </w:pPr>
      <w:r>
        <w:rPr>
          <w:bCs/>
          <w:b/>
        </w:rPr>
        <w:t xml:space="preserve">WADA:</w:t>
      </w:r>
      <w:r>
        <w:t xml:space="preserve"> </w:t>
      </w:r>
      <w:r>
        <w:t xml:space="preserve">not listed.</w:t>
      </w:r>
    </w:p>
    <w:p>
      <w:pPr>
        <w:numPr>
          <w:ilvl w:val="0"/>
          <w:numId w:val="1263"/>
        </w:numPr>
        <w:pStyle w:val="Compact"/>
      </w:pPr>
      <w:r>
        <w:rPr>
          <w:bCs/>
          <w:b/>
        </w:rPr>
        <w:t xml:space="preserve">Evidence level:</w:t>
      </w:r>
      <w:r>
        <w:t xml:space="preserve"> </w:t>
      </w:r>
      <w:r>
        <w:rPr>
          <w:bCs/>
          <w:b/>
        </w:rPr>
        <w:t xml:space="preserve">A</w:t>
      </w:r>
      <w:r>
        <w:t xml:space="preserve"> </w:t>
      </w:r>
      <w:r>
        <w:t xml:space="preserve">– approval in the EU and USA based on two randomized, placebo-controlled trials, supplemented by several long-term cohorts. Because the disease is rare, the studies are smaller than for common diseases.</w:t>
      </w:r>
    </w:p>
    <w:bookmarkEnd w:id="2078"/>
    <w:bookmarkStart w:id="2081" w:name="how-it-is-supposed-to-work-48"/>
    <w:p>
      <w:pPr>
        <w:pStyle w:val="Heading3"/>
      </w:pPr>
      <w:r>
        <w:t xml:space="preserve">How it is supposed to work</w:t>
      </w:r>
    </w:p>
    <w:p>
      <w:pPr>
        <w:pStyle w:val="FirstParagraph"/>
      </w:pPr>
      <w:r>
        <w:t xml:space="preserve">Erythropoietic protoporphyria (EPP) is a rare hereditary disease. In Europe, at least one in 140,000 people is affected</w:t>
      </w:r>
      <w:r>
        <w:rPr>
          <w:rStyle w:val="FootnoteReference"/>
        </w:rPr>
        <w:footnoteReference w:id="2079"/>
      </w:r>
      <w:r>
        <w:t xml:space="preserve">. Because of an enzyme defect in the production of the red blood pigment, a precursor, protoporphyrin IX, accumulates in the blood and skin. This substance is activated by visible light and then damages tissue and small blood vessels of the skin.</w:t>
      </w:r>
    </w:p>
    <w:p>
      <w:pPr>
        <w:pStyle w:val="BodyText"/>
      </w:pPr>
      <w:r>
        <w:t xml:space="preserve">The result is burning pain, often lasting for days, after just a few minutes in sunlight – frequently without visible skin changes. Those affected avoid daylight from childhood on. Conventional sunscreen hardly helps, because it is mainly visible light and not UV radiation that triggers the reaction. Some of those affected also develop liver damage because the excess protoporphyrin is excreted via the bile</w:t>
      </w:r>
      <w:r>
        <w:rPr>
          <w:rStyle w:val="FootnoteReference"/>
        </w:rPr>
        <w:footnoteReference w:id="2080"/>
      </w:r>
      <w:r>
        <w:t xml:space="preserve">.</w:t>
      </w:r>
    </w:p>
    <w:p>
      <w:pPr>
        <w:pStyle w:val="BodyText"/>
      </w:pPr>
      <w:r>
        <w:t xml:space="preserve">Afamelanotide does not address the cause but the skin: it tans the skin, and the additional eumelanin absorbs part of the light before it reaches the protoporphyrin. Laboratory experiments also suggest anti-inflammatory and antioxidant effects. How much of this plays a role in humans is unclear.</w:t>
      </w:r>
    </w:p>
    <w:p>
      <w:pPr>
        <w:pStyle w:val="BodyText"/>
      </w:pPr>
      <w:r>
        <w:t xml:space="preserve">Unlike melanotan II (chapter 2E02), afamelanotide acts mainly on the pigment receptor MC1R and only slightly on the receptors in the brain. That is why nausea and sexual side effects are much less common.</w:t>
      </w:r>
    </w:p>
    <w:bookmarkEnd w:id="2081"/>
    <w:bookmarkStart w:id="2109" w:name="human-studies-48"/>
    <w:p>
      <w:pPr>
        <w:pStyle w:val="Heading3"/>
      </w:pPr>
      <w:r>
        <w:t xml:space="preserve">Human studies</w:t>
      </w:r>
    </w:p>
    <w:p>
      <w:pPr>
        <w:pStyle w:val="FirstParagraph"/>
      </w:pPr>
      <w:r>
        <w:rPr>
          <w:bCs/>
          <w:b/>
        </w:rPr>
        <w:t xml:space="preserve">Size of the evidence base (search October 2026):</w:t>
      </w:r>
      <w:r>
        <w:t xml:space="preserve"> </w:t>
      </w:r>
      <w:r>
        <w:t xml:space="preserve">The automated search for this book found</w:t>
      </w:r>
      <w:r>
        <w:t xml:space="preserve"> </w:t>
      </w:r>
      <w:r>
        <w:rPr>
          <w:bCs/>
          <w:b/>
        </w:rPr>
        <w:t xml:space="preserve">10</w:t>
      </w:r>
      <w:r>
        <w:t xml:space="preserve"> </w:t>
      </w:r>
      <w:r>
        <w:t xml:space="preserve">human studies in PubMed (</w:t>
      </w:r>
      <w:r>
        <w:rPr>
          <w:rStyle w:val="VerbatimChar"/>
        </w:rPr>
        <w:t xml:space="preserve">humanstudien_alle</w:t>
      </w:r>
      <w:r>
        <w:t xml:space="preserve">) and</w:t>
      </w:r>
      <w:r>
        <w:t xml:space="preserve"> </w:t>
      </w:r>
      <w:r>
        <w:rPr>
          <w:bCs/>
          <w:b/>
        </w:rPr>
        <w:t xml:space="preserve">23</w:t>
      </w:r>
      <w:r>
        <w:t xml:space="preserve"> </w:t>
      </w:r>
      <w:r>
        <w:t xml:space="preserve">entries on ClinicalTrials.gov. However, the search only covers the name</w:t>
      </w:r>
      <w:r>
        <w:t xml:space="preserve"> </w:t>
      </w:r>
      <w:r>
        <w:t xml:space="preserve">“</w:t>
      </w:r>
      <w:r>
        <w:t xml:space="preserve">afamelanotide</w:t>
      </w:r>
      <w:r>
        <w:t xml:space="preserve">”</w:t>
      </w:r>
      <w:r>
        <w:t xml:space="preserve">; older studies under the names melanotan I or NDP-MSH as well as several cohort studies are not included and are discussed here in addition.</w:t>
      </w:r>
    </w:p>
    <w:bookmarkStart w:id="2085" w:name="background-melanotan-i-in-healthy-people"/>
    <w:p>
      <w:pPr>
        <w:pStyle w:val="Heading4"/>
      </w:pPr>
      <w:r>
        <w:t xml:space="preserve">Background: Melanotan I in Healthy People</w:t>
      </w:r>
    </w:p>
    <w:p>
      <w:pPr>
        <w:pStyle w:val="FirstParagraph"/>
      </w:pPr>
      <w:r>
        <w:t xml:space="preserve">In the 1990s and early 2000s, healthy volunteers in Arizona received daily injections. Their skin darkened on the face, neck and forearms; the eumelanin content of the forearm skin rose by an average of 98%</w:t>
      </w:r>
      <w:r>
        <w:rPr>
          <w:rStyle w:val="FootnoteReference"/>
        </w:rPr>
        <w:footnoteReference w:id="2082"/>
      </w:r>
      <w:r>
        <w:t xml:space="preserve">. Combined with sunlight, the skin tanned more intensely and for longer, and participants without the active substance needed 50% more sun exposure for the same tan</w:t>
      </w:r>
      <w:r>
        <w:rPr>
          <w:rStyle w:val="FootnoteReference"/>
        </w:rPr>
        <w:footnoteReference w:id="2083"/>
      </w:r>
      <w:r>
        <w:t xml:space="preserve">. In a study of 77 fair-skinned people, the effect was even stronger in carriers of certain MC1R gene variants – that is, in people with particularly sun-sensitive skin</w:t>
      </w:r>
      <w:r>
        <w:rPr>
          <w:rStyle w:val="FootnoteReference"/>
        </w:rPr>
        <w:footnoteReference w:id="2084"/>
      </w:r>
      <w:r>
        <w:t xml:space="preserve">. The plan to turn this into skin cancer protection for the general population was not pursued.</w:t>
      </w:r>
    </w:p>
    <w:bookmarkEnd w:id="2085"/>
    <w:bookmarkStart w:id="2089" w:name="the-approval-trials-in-epp"/>
    <w:p>
      <w:pPr>
        <w:pStyle w:val="Heading4"/>
      </w:pPr>
      <w:r>
        <w:t xml:space="preserve">The Approval Trials in EPP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Harms 2009, PMID 19656325</w:t>
            </w:r>
          </w:p>
        </w:tc>
        <w:tc>
          <w:tcPr/>
          <w:p>
            <w:pPr>
              <w:pStyle w:val="Compact"/>
              <w:jc w:val="left"/>
            </w:pPr>
            <w:r>
              <w:t xml:space="preserve">5 people with EPP, open-label pilot study</w:t>
            </w:r>
          </w:p>
        </w:tc>
        <w:tc>
          <w:tcPr/>
          <w:p>
            <w:pPr>
              <w:pStyle w:val="Compact"/>
              <w:jc w:val="left"/>
            </w:pPr>
            <w:r>
              <w:t xml:space="preserve">120 days</w:t>
            </w:r>
          </w:p>
        </w:tc>
        <w:tc>
          <w:tcPr/>
          <w:p>
            <w:pPr>
              <w:pStyle w:val="Compact"/>
              <w:jc w:val="left"/>
            </w:pPr>
            <w:r>
              <w:t xml:space="preserve">Tolerance to light markedly increased</w:t>
            </w:r>
          </w:p>
        </w:tc>
      </w:tr>
      <w:tr>
        <w:tc>
          <w:tcPr/>
          <w:p>
            <w:pPr>
              <w:pStyle w:val="Compact"/>
              <w:jc w:val="left"/>
            </w:pPr>
            <w:r>
              <w:t xml:space="preserve">EU trial (Langendonk 2015), PMID 26132941</w:t>
            </w:r>
          </w:p>
        </w:tc>
        <w:tc>
          <w:tcPr/>
          <w:p>
            <w:pPr>
              <w:pStyle w:val="Compact"/>
              <w:jc w:val="left"/>
            </w:pPr>
            <w:r>
              <w:t xml:space="preserve">74 people, RCT vs. placebo implant</w:t>
            </w:r>
          </w:p>
        </w:tc>
        <w:tc>
          <w:tcPr/>
          <w:p>
            <w:pPr>
              <w:pStyle w:val="Compact"/>
              <w:jc w:val="left"/>
            </w:pPr>
            <w:r>
              <w:t xml:space="preserve">9 months</w:t>
            </w:r>
          </w:p>
        </w:tc>
        <w:tc>
          <w:tcPr/>
          <w:p>
            <w:pPr>
              <w:pStyle w:val="Compact"/>
              <w:jc w:val="left"/>
            </w:pPr>
            <w:r>
              <w:t xml:space="preserve">Pain-free time in direct sunlight median 6.0 vs. 0.8 hours; 77 vs. 146 phototoxic reactions</w:t>
            </w:r>
          </w:p>
        </w:tc>
      </w:tr>
      <w:tr>
        <w:tc>
          <w:tcPr/>
          <w:p>
            <w:pPr>
              <w:pStyle w:val="Compact"/>
              <w:jc w:val="left"/>
            </w:pPr>
            <w:r>
              <w:t xml:space="preserve">US trial (Langendonk 2015), PMID 26132941</w:t>
            </w:r>
          </w:p>
        </w:tc>
        <w:tc>
          <w:tcPr/>
          <w:p>
            <w:pPr>
              <w:pStyle w:val="Compact"/>
              <w:jc w:val="left"/>
            </w:pPr>
            <w:r>
              <w:t xml:space="preserve">94 people, RCT vs. placebo implant</w:t>
            </w:r>
          </w:p>
        </w:tc>
        <w:tc>
          <w:tcPr/>
          <w:p>
            <w:pPr>
              <w:pStyle w:val="Compact"/>
              <w:jc w:val="left"/>
            </w:pPr>
            <w:r>
              <w:t xml:space="preserve">6 months</w:t>
            </w:r>
          </w:p>
        </w:tc>
        <w:tc>
          <w:tcPr/>
          <w:p>
            <w:pPr>
              <w:pStyle w:val="Compact"/>
              <w:jc w:val="left"/>
            </w:pPr>
            <w:r>
              <w:t xml:space="preserve">Pain-free time in direct sunlight median 69.4 vs. 40.8 hours</w:t>
            </w:r>
          </w:p>
        </w:tc>
      </w:tr>
      <w:tr>
        <w:tc>
          <w:tcPr/>
          <w:p>
            <w:pPr>
              <w:pStyle w:val="Compact"/>
              <w:jc w:val="left"/>
            </w:pPr>
            <w:r>
              <w:t xml:space="preserve">Systematic review (Heerfordt 2023), PMID 36525819</w:t>
            </w:r>
          </w:p>
        </w:tc>
        <w:tc>
          <w:tcPr/>
          <w:p>
            <w:pPr>
              <w:pStyle w:val="Compact"/>
              <w:jc w:val="left"/>
            </w:pPr>
            <w:r>
              <w:t xml:space="preserve">40 studies on 18 treatments for EPP</w:t>
            </w:r>
          </w:p>
        </w:tc>
        <w:tc>
          <w:tcPr/>
          <w:p>
            <w:pPr>
              <w:pStyle w:val="Compact"/>
              <w:jc w:val="left"/>
            </w:pPr>
            <w:r>
              <w:t xml:space="preserve">–</w:t>
            </w:r>
          </w:p>
        </w:tc>
        <w:tc>
          <w:tcPr/>
          <w:p>
            <w:pPr>
              <w:pStyle w:val="Compact"/>
              <w:jc w:val="left"/>
            </w:pPr>
            <w:r>
              <w:t xml:space="preserve">moderate positive effect for afamelanotide and mineral sunscreen; no effect for beta-carotene, among others</w:t>
            </w:r>
          </w:p>
        </w:tc>
      </w:tr>
    </w:tbl>
    <w:p>
      <w:pPr>
        <w:pStyle w:val="BodyText"/>
      </w:pPr>
      <w:r>
        <w:t xml:space="preserve">In the first pilot study, five patients received two implants 60 days apart. Afterward, they tolerated considerably more light in a standardized light test, and the melanin density of the skin increased</w:t>
      </w:r>
      <w:r>
        <w:rPr>
          <w:rStyle w:val="FootnoteReference"/>
        </w:rPr>
        <w:footnoteReference w:id="2086"/>
      </w:r>
      <w:r>
        <w:t xml:space="preserve">.</w:t>
      </w:r>
    </w:p>
    <w:p>
      <w:pPr>
        <w:pStyle w:val="BodyText"/>
      </w:pPr>
      <w:r>
        <w:t xml:space="preserve">The approval is based on two double-blind trials published together in the New England Journal of Medicine</w:t>
      </w:r>
      <w:r>
        <w:rPr>
          <w:rStyle w:val="FootnoteReference"/>
        </w:rPr>
        <w:footnoteReference w:id="2087"/>
      </w:r>
      <w:r>
        <w:t xml:space="preserve">. Every 60 days, participants received an implant with afamelanotide or a sham implant. The primary endpoint was the number of hours in direct sunlight without pain, which participants recorded in a diary.</w:t>
      </w:r>
    </w:p>
    <w:p>
      <w:pPr>
        <w:pStyle w:val="BodyText"/>
      </w:pPr>
      <w:r>
        <w:t xml:space="preserve">Both trials showed an advantage for afamelanotide, and quality of life improved in both. The absolute figures, however, are sobering: in the European trial, participants spent a median of six hours pain-free in direct sunlight over nine months, compared with just under one hour under placebo. That the values are so low is also due to the disease itself: people who have experienced pain for years continue to avoid the sun even if they tolerate it better. Such diary measurements also depend heavily on weather and season, which makes the trials difficult to compare</w:t>
      </w:r>
      <w:r>
        <w:rPr>
          <w:rStyle w:val="FootnoteReference"/>
        </w:rPr>
        <w:footnoteReference w:id="2088"/>
      </w:r>
      <w:r>
        <w:t xml:space="preserve">.</w:t>
      </w:r>
    </w:p>
    <w:bookmarkEnd w:id="2089"/>
    <w:bookmarkStart w:id="2093" w:name="long-term-data-from-practice"/>
    <w:p>
      <w:pPr>
        <w:pStyle w:val="Heading4"/>
      </w:pPr>
      <w:r>
        <w:t xml:space="preserve">Long-Term Data from Practice</w:t>
      </w:r>
    </w:p>
    <w:p>
      <w:pPr>
        <w:pStyle w:val="FirstParagraph"/>
      </w:pPr>
      <w:r>
        <w:t xml:space="preserve">Because the approval trials were short and small, observations from routine care are especially important.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Biolcati 2015, PMID 25494545</w:t>
            </w:r>
          </w:p>
        </w:tc>
        <w:tc>
          <w:tcPr/>
          <w:p>
            <w:pPr>
              <w:pStyle w:val="Compact"/>
              <w:jc w:val="left"/>
            </w:pPr>
            <w:r>
              <w:t xml:space="preserve">115 people in Rome and Zurich, 1,023 implants, observational study</w:t>
            </w:r>
          </w:p>
        </w:tc>
        <w:tc>
          <w:tcPr/>
          <w:p>
            <w:pPr>
              <w:pStyle w:val="Compact"/>
              <w:jc w:val="left"/>
            </w:pPr>
            <w:r>
              <w:t xml:space="preserve">up to 8 years</w:t>
            </w:r>
          </w:p>
        </w:tc>
        <w:tc>
          <w:tcPr/>
          <w:p>
            <w:pPr>
              <w:pStyle w:val="Compact"/>
              <w:jc w:val="left"/>
            </w:pPr>
            <w:r>
              <w:t xml:space="preserve">Quality of life from 31% to 74% of the maximum score</w:t>
            </w:r>
          </w:p>
        </w:tc>
      </w:tr>
      <w:tr>
        <w:tc>
          <w:tcPr/>
          <w:p>
            <w:pPr>
              <w:pStyle w:val="Compact"/>
              <w:jc w:val="left"/>
            </w:pPr>
            <w:r>
              <w:t xml:space="preserve">Wensink 2020, PMID 32186677</w:t>
            </w:r>
          </w:p>
        </w:tc>
        <w:tc>
          <w:tcPr/>
          <w:p>
            <w:pPr>
              <w:pStyle w:val="Compact"/>
              <w:jc w:val="left"/>
            </w:pPr>
            <w:r>
              <w:t xml:space="preserve">117 people in Rotterdam, prospective cohort</w:t>
            </w:r>
          </w:p>
        </w:tc>
        <w:tc>
          <w:tcPr/>
          <w:p>
            <w:pPr>
              <w:pStyle w:val="Compact"/>
              <w:jc w:val="left"/>
            </w:pPr>
            <w:r>
              <w:t xml:space="preserve">median 2 years</w:t>
            </w:r>
          </w:p>
        </w:tc>
        <w:tc>
          <w:tcPr/>
          <w:p>
            <w:pPr>
              <w:pStyle w:val="Compact"/>
              <w:jc w:val="left"/>
            </w:pPr>
            <w:r>
              <w:t xml:space="preserve">6.1 hours more outdoors per week; 98% continued</w:t>
            </w:r>
          </w:p>
        </w:tc>
      </w:tr>
      <w:tr>
        <w:tc>
          <w:tcPr/>
          <w:p>
            <w:pPr>
              <w:pStyle w:val="Compact"/>
              <w:jc w:val="left"/>
            </w:pPr>
            <w:r>
              <w:t xml:space="preserve">Homey 2025, PMID 40082741</w:t>
            </w:r>
          </w:p>
        </w:tc>
        <w:tc>
          <w:tcPr/>
          <w:p>
            <w:pPr>
              <w:pStyle w:val="Compact"/>
              <w:jc w:val="left"/>
            </w:pPr>
            <w:r>
              <w:t xml:space="preserve">200 people in Germany, post-authorization safety study</w:t>
            </w:r>
          </w:p>
        </w:tc>
        <w:tc>
          <w:tcPr/>
          <w:p>
            <w:pPr>
              <w:pStyle w:val="Compact"/>
              <w:jc w:val="left"/>
            </w:pPr>
            <w:r>
              <w:t xml:space="preserve">ongoing</w:t>
            </w:r>
          </w:p>
        </w:tc>
        <w:tc>
          <w:tcPr/>
          <w:p>
            <w:pPr>
              <w:pStyle w:val="Compact"/>
              <w:jc w:val="left"/>
            </w:pPr>
            <w:r>
              <w:t xml:space="preserve">Quality of life significantly better; 91.0% continued</w:t>
            </w:r>
          </w:p>
        </w:tc>
      </w:tr>
      <w:tr>
        <w:tc>
          <w:tcPr/>
          <w:p>
            <w:pPr>
              <w:pStyle w:val="Compact"/>
              <w:jc w:val="left"/>
            </w:pPr>
            <w:r>
              <w:t xml:space="preserve">Seidl-Philipp 2026, PMID 41793078</w:t>
            </w:r>
          </w:p>
        </w:tc>
        <w:tc>
          <w:tcPr/>
          <w:p>
            <w:pPr>
              <w:pStyle w:val="Compact"/>
              <w:jc w:val="left"/>
            </w:pPr>
            <w:r>
              <w:t xml:space="preserve">20 people in Austria</w:t>
            </w:r>
          </w:p>
        </w:tc>
        <w:tc>
          <w:tcPr/>
          <w:p>
            <w:pPr>
              <w:pStyle w:val="Compact"/>
              <w:jc w:val="left"/>
            </w:pPr>
            <w:r>
              <w:t xml:space="preserve">2023</w:t>
            </w:r>
          </w:p>
        </w:tc>
        <w:tc>
          <w:tcPr/>
          <w:p>
            <w:pPr>
              <w:pStyle w:val="Compact"/>
              <w:jc w:val="left"/>
            </w:pPr>
            <w:r>
              <w:t xml:space="preserve">Light tolerance median 15 to 250 minutes; phototoxic reactions in 88% vs. 33%</w:t>
            </w:r>
          </w:p>
        </w:tc>
      </w:tr>
    </w:tbl>
    <w:p>
      <w:pPr>
        <w:pStyle w:val="BodyText"/>
      </w:pPr>
      <w:r>
        <w:t xml:space="preserve">The Italian-Swiss observational study included treatments since 2006. Only three people stated that the effect did not meet their expectations; 23% interrupted treatment for other reasons, such as pregnancy or cost</w:t>
      </w:r>
      <w:r>
        <w:rPr>
          <w:rStyle w:val="FootnoteReference"/>
        </w:rPr>
        <w:footnoteReference w:id="2090"/>
      </w:r>
      <w:r>
        <w:t xml:space="preserve">. In the Dutch cohort, phototoxic reactions became less painful, but their number and duration did not change significantly</w:t>
      </w:r>
      <w:r>
        <w:rPr>
          <w:rStyle w:val="FootnoteReference"/>
        </w:rPr>
        <w:footnoteReference w:id="2091"/>
      </w:r>
      <w:r>
        <w:t xml:space="preserve">. The Austrian analysis of all 20 people treated in 2023 shows particularly marked improvements in quality of life</w:t>
      </w:r>
      <w:r>
        <w:rPr>
          <w:rStyle w:val="FootnoteReference"/>
        </w:rPr>
        <w:footnoteReference w:id="2092"/>
      </w:r>
      <w:r>
        <w:t xml:space="preserve">.</w:t>
      </w:r>
    </w:p>
    <w:p>
      <w:pPr>
        <w:pStyle w:val="BodyText"/>
      </w:pPr>
      <w:r>
        <w:t xml:space="preserve">These cohorts have no control group. People who respond well are more likely to stay in treatment, and expectations of an expensive medicine influence self-reports. Nevertheless, the consistently high continuation rates for a treatment that requires a doctor’s visit every two months are a remarkable signal.</w:t>
      </w:r>
    </w:p>
    <w:bookmarkEnd w:id="2093"/>
    <w:bookmarkStart w:id="2097" w:name="further-observations-in-epp"/>
    <w:p>
      <w:pPr>
        <w:pStyle w:val="Heading4"/>
      </w:pPr>
      <w:r>
        <w:t xml:space="preserve">Further Observations in EPP</w:t>
      </w:r>
    </w:p>
    <w:p>
      <w:pPr>
        <w:numPr>
          <w:ilvl w:val="0"/>
          <w:numId w:val="1264"/>
        </w:numPr>
        <w:pStyle w:val="Compact"/>
      </w:pPr>
      <w:r>
        <w:rPr>
          <w:bCs/>
          <w:b/>
        </w:rPr>
        <w:t xml:space="preserve">Liver:</w:t>
      </w:r>
      <w:r>
        <w:t xml:space="preserve"> </w:t>
      </w:r>
      <w:r>
        <w:t xml:space="preserve">In a Swiss analysis of 70 treated patients with almost 3,000 liver values, the liver enzyme ALT and bilirubin fell the more implants had been inserted in the previous year</w:t>
      </w:r>
      <w:r>
        <w:rPr>
          <w:rStyle w:val="FootnoteReference"/>
        </w:rPr>
        <w:footnoteReference w:id="2094"/>
      </w:r>
      <w:r>
        <w:t xml:space="preserve">. This is an association from observational data, not proof of liver protection.</w:t>
      </w:r>
    </w:p>
    <w:p>
      <w:pPr>
        <w:numPr>
          <w:ilvl w:val="0"/>
          <w:numId w:val="1264"/>
        </w:numPr>
        <w:pStyle w:val="Compact"/>
      </w:pPr>
      <w:r>
        <w:rPr>
          <w:bCs/>
          <w:b/>
        </w:rPr>
        <w:t xml:space="preserve">Vitamin D:</w:t>
      </w:r>
      <w:r>
        <w:t xml:space="preserve"> </w:t>
      </w:r>
      <w:r>
        <w:t xml:space="preserve">Afamelanotide did not change vitamin D levels. In a study of 230 people, deficiency persisted in 71.8%; only supplementation with vitamin D3 raised levels</w:t>
      </w:r>
      <w:r>
        <w:rPr>
          <w:rStyle w:val="FootnoteReference"/>
        </w:rPr>
        <w:footnoteReference w:id="2095"/>
      </w:r>
      <w:r>
        <w:t xml:space="preserve">.</w:t>
      </w:r>
    </w:p>
    <w:p>
      <w:pPr>
        <w:numPr>
          <w:ilvl w:val="0"/>
          <w:numId w:val="1264"/>
        </w:numPr>
        <w:pStyle w:val="Compact"/>
      </w:pPr>
      <w:r>
        <w:rPr>
          <w:bCs/>
          <w:b/>
        </w:rPr>
        <w:t xml:space="preserve">Antibodies:</w:t>
      </w:r>
      <w:r>
        <w:t xml:space="preserve"> </w:t>
      </w:r>
      <w:r>
        <w:t xml:space="preserve">In 23 of 26 people, no antibodies against the active substance developed over up to six years; three already had measurable antibodies before treatment, which did not change</w:t>
      </w:r>
      <w:r>
        <w:rPr>
          <w:rStyle w:val="FootnoteReference"/>
        </w:rPr>
        <w:footnoteReference w:id="2096"/>
      </w:r>
      <w:r>
        <w:t xml:space="preserve">.</w:t>
      </w:r>
    </w:p>
    <w:bookmarkEnd w:id="2097"/>
    <w:bookmarkStart w:id="2102" w:name="vitiligo"/>
    <w:p>
      <w:pPr>
        <w:pStyle w:val="Heading4"/>
      </w:pPr>
      <w:r>
        <w:t xml:space="preserve">Vitiligo</w:t>
      </w:r>
    </w:p>
    <w:p>
      <w:pPr>
        <w:pStyle w:val="FirstParagraph"/>
      </w:pPr>
      <w:r>
        <w:t xml:space="preserve">In vitiligo, the immune system destroys pigment cells, resulting in white patches. Standard treatment is light therapy with narrowband UVB. Afamelanotide is intended to provide additional stimulation to the remaining pigment cells.</w:t>
      </w:r>
    </w:p>
    <w:p>
      <w:pPr>
        <w:pStyle w:val="BodyText"/>
      </w:pPr>
      <w:r>
        <w:t xml:space="preserve">A case series with four people</w:t>
      </w:r>
      <w:r>
        <w:rPr>
          <w:rStyle w:val="FootnoteReference"/>
        </w:rPr>
        <w:footnoteReference w:id="2098"/>
      </w:r>
      <w:r>
        <w:t xml:space="preserve"> </w:t>
      </w:r>
      <w:r>
        <w:t xml:space="preserve">was followed by a randomized trial with 55 participants</w:t>
      </w:r>
      <w:r>
        <w:rPr>
          <w:rStyle w:val="FootnoteReference"/>
        </w:rPr>
        <w:footnoteReference w:id="2099"/>
      </w:r>
      <w:r>
        <w:t xml:space="preserve">. The combination of light therapy and monthly implants led to new pigmentation faster than light therapy alone. After 168 days, 48.64% of the area was repigmented in the combination arm, compared with 33.26% under light therapy alone. The advantage was seen mainly in darker skin types (IV to VI). One drawback that experts point out: healthy skin also darkens, so the contrast with the white patches may initially increase</w:t>
      </w:r>
      <w:r>
        <w:rPr>
          <w:rStyle w:val="FootnoteReference"/>
        </w:rPr>
        <w:footnoteReference w:id="2100"/>
      </w:r>
      <w:r>
        <w:t xml:space="preserve">. A study in Asian patients has also been published</w:t>
      </w:r>
      <w:r>
        <w:rPr>
          <w:rStyle w:val="FootnoteReference"/>
        </w:rPr>
        <w:footnoteReference w:id="2101"/>
      </w:r>
      <w:r>
        <w:t xml:space="preserve">.</w:t>
      </w:r>
    </w:p>
    <w:bookmarkEnd w:id="2102"/>
    <w:bookmarkStart w:id="2108" w:name="other-uses-in-pilot-studies"/>
    <w:p>
      <w:pPr>
        <w:pStyle w:val="Heading4"/>
      </w:pPr>
      <w:r>
        <w:t xml:space="preserve">Other Uses in Pilot Studies</w:t>
      </w:r>
    </w:p>
    <w:p>
      <w:pPr>
        <w:pStyle w:val="FirstParagraph"/>
      </w:pPr>
      <w:r>
        <w:t xml:space="preserve">The following results come from very small, mostly open-label studies and should be understood as hypotheses:</w:t>
      </w:r>
    </w:p>
    <w:p>
      <w:pPr>
        <w:numPr>
          <w:ilvl w:val="0"/>
          <w:numId w:val="1265"/>
        </w:numPr>
        <w:pStyle w:val="Compact"/>
      </w:pPr>
      <w:r>
        <w:rPr>
          <w:bCs/>
          <w:b/>
        </w:rPr>
        <w:t xml:space="preserve">Solar urticaria</w:t>
      </w:r>
      <w:r>
        <w:t xml:space="preserve"> </w:t>
      </w:r>
      <w:r>
        <w:t xml:space="preserve">(hives caused by light): less wheal formation in 5 people after one implant</w:t>
      </w:r>
      <w:r>
        <w:rPr>
          <w:rStyle w:val="FootnoteReference"/>
        </w:rPr>
        <w:footnoteReference w:id="2103"/>
      </w:r>
      <w:r>
        <w:t xml:space="preserve">.</w:t>
      </w:r>
    </w:p>
    <w:p>
      <w:pPr>
        <w:numPr>
          <w:ilvl w:val="0"/>
          <w:numId w:val="1265"/>
        </w:numPr>
        <w:pStyle w:val="Compact"/>
      </w:pPr>
      <w:r>
        <w:rPr>
          <w:bCs/>
          <w:b/>
        </w:rPr>
        <w:t xml:space="preserve">Acne:</w:t>
      </w:r>
      <w:r>
        <w:t xml:space="preserve"> </w:t>
      </w:r>
      <w:r>
        <w:t xml:space="preserve">fewer inflammatory lesions in 3 people</w:t>
      </w:r>
      <w:r>
        <w:rPr>
          <w:rStyle w:val="FootnoteReference"/>
        </w:rPr>
        <w:footnoteReference w:id="2104"/>
      </w:r>
      <w:r>
        <w:t xml:space="preserve">.</w:t>
      </w:r>
    </w:p>
    <w:p>
      <w:pPr>
        <w:numPr>
          <w:ilvl w:val="0"/>
          <w:numId w:val="1265"/>
        </w:numPr>
        <w:pStyle w:val="Compact"/>
      </w:pPr>
      <w:r>
        <w:rPr>
          <w:bCs/>
          <w:b/>
        </w:rPr>
        <w:t xml:space="preserve">Hailey-Hailey disease</w:t>
      </w:r>
      <w:r>
        <w:t xml:space="preserve"> </w:t>
      </w:r>
      <w:r>
        <w:t xml:space="preserve">(hereditary blistering disease): healing of skin lesions in 2 people</w:t>
      </w:r>
      <w:r>
        <w:rPr>
          <w:rStyle w:val="FootnoteReference"/>
        </w:rPr>
        <w:footnoteReference w:id="2105"/>
      </w:r>
      <w:r>
        <w:t xml:space="preserve">.</w:t>
      </w:r>
    </w:p>
    <w:p>
      <w:pPr>
        <w:numPr>
          <w:ilvl w:val="0"/>
          <w:numId w:val="1265"/>
        </w:numPr>
        <w:pStyle w:val="Compact"/>
      </w:pPr>
      <w:r>
        <w:rPr>
          <w:bCs/>
          <w:b/>
        </w:rPr>
        <w:t xml:space="preserve">Stroke:</w:t>
      </w:r>
      <w:r>
        <w:t xml:space="preserve"> </w:t>
      </w:r>
      <w:r>
        <w:t xml:space="preserve">In an open-label feasibility study with 6 people, administration was feasible; one person died of a recurrent stroke, which the researchers did not attribute to the drug</w:t>
      </w:r>
      <w:r>
        <w:rPr>
          <w:rStyle w:val="FootnoteReference"/>
        </w:rPr>
        <w:footnoteReference w:id="2106"/>
      </w:r>
      <w:r>
        <w:t xml:space="preserve">.</w:t>
      </w:r>
    </w:p>
    <w:p>
      <w:pPr>
        <w:numPr>
          <w:ilvl w:val="0"/>
          <w:numId w:val="1265"/>
        </w:numPr>
        <w:pStyle w:val="Compact"/>
      </w:pPr>
      <w:r>
        <w:rPr>
          <w:bCs/>
          <w:b/>
        </w:rPr>
        <w:t xml:space="preserve">Healthy skin:</w:t>
      </w:r>
      <w:r>
        <w:t xml:space="preserve"> </w:t>
      </w:r>
      <w:r>
        <w:t xml:space="preserve">In 9 healthy volunteers, skin redness after UV irradiation was lower six days after the implant</w:t>
      </w:r>
      <w:r>
        <w:rPr>
          <w:rStyle w:val="FootnoteReference"/>
        </w:rPr>
        <w:footnoteReference w:id="2107"/>
      </w:r>
      <w:r>
        <w:t xml:space="preserve">.</w:t>
      </w:r>
    </w:p>
    <w:bookmarkEnd w:id="2108"/>
    <w:bookmarkEnd w:id="2109"/>
    <w:bookmarkStart w:id="2112" w:name="animal-and-laboratory-studies-48"/>
    <w:p>
      <w:pPr>
        <w:pStyle w:val="Heading3"/>
      </w:pPr>
      <w:r>
        <w:t xml:space="preserve">Animal and laboratory studies</w:t>
      </w:r>
    </w:p>
    <w:p>
      <w:pPr>
        <w:pStyle w:val="FirstParagraph"/>
      </w:pPr>
      <w:r>
        <w:t xml:space="preserve">In cell cultures, afamelanotide has antioxidant effects. In skin cells from people with Hailey-Hailey disease, it activated the protective factor Nrf2 and partially restored disturbed cell division</w:t>
      </w:r>
      <w:r>
        <w:rPr>
          <w:rStyle w:val="FootnoteReference"/>
        </w:rPr>
        <w:footnoteReference w:id="2110"/>
      </w:r>
      <w:r>
        <w:t xml:space="preserve">. Studies on the stability and degradation products of the active substance concern pharmaceutical quality</w:t>
      </w:r>
      <w:r>
        <w:rPr>
          <w:rStyle w:val="FootnoteReference"/>
        </w:rPr>
        <w:footnoteReference w:id="2111"/>
      </w:r>
      <w:r>
        <w:t xml:space="preserve">. Today, animal data play a minor role in the assessment in humans because the clinical data are more meaningful.</w:t>
      </w:r>
    </w:p>
    <w:bookmarkEnd w:id="2112"/>
    <w:bookmarkStart w:id="2123" w:name="risks-and-side-effects-48"/>
    <w:p>
      <w:pPr>
        <w:pStyle w:val="Heading3"/>
      </w:pPr>
      <w:r>
        <w:t xml:space="preserve">Risks and side effects</w:t>
      </w:r>
    </w:p>
    <w:bookmarkStart w:id="2117" w:name="established-1"/>
    <w:p>
      <w:pPr>
        <w:pStyle w:val="Heading4"/>
      </w:pPr>
      <w:r>
        <w:t xml:space="preserve">Established</w:t>
      </w:r>
    </w:p>
    <w:p>
      <w:pPr>
        <w:numPr>
          <w:ilvl w:val="0"/>
          <w:numId w:val="1266"/>
        </w:numPr>
        <w:pStyle w:val="Compact"/>
      </w:pPr>
      <w:r>
        <w:rPr>
          <w:bCs/>
          <w:b/>
        </w:rPr>
        <w:t xml:space="preserve">Common, mostly mild side effects:</w:t>
      </w:r>
      <w:r>
        <w:t xml:space="preserve"> </w:t>
      </w:r>
      <w:r>
        <w:t xml:space="preserve">nausea, headache, fatigue and reactions at the implant site</w:t>
      </w:r>
      <w:r>
        <w:rPr>
          <w:rStyle w:val="FootnoteReference"/>
        </w:rPr>
        <w:footnoteReference w:id="2113"/>
      </w:r>
      <w:r>
        <w:t xml:space="preserve">. Serious adverse events in the approval trials were not attributed to the active substance.</w:t>
      </w:r>
    </w:p>
    <w:p>
      <w:pPr>
        <w:numPr>
          <w:ilvl w:val="0"/>
          <w:numId w:val="1266"/>
        </w:numPr>
        <w:pStyle w:val="Compact"/>
      </w:pPr>
      <w:r>
        <w:rPr>
          <w:bCs/>
          <w:b/>
        </w:rPr>
        <w:t xml:space="preserve">Darker skin and moles:</w:t>
      </w:r>
      <w:r>
        <w:t xml:space="preserve"> </w:t>
      </w:r>
      <w:r>
        <w:t xml:space="preserve">The tanning is the intended effect. Moles and freckles also darken. In a study of 15 people with 103 moles, dermoscopy showed temporary changes that had regressed after one year; no new moles or signs of malignancy occurred</w:t>
      </w:r>
      <w:r>
        <w:rPr>
          <w:rStyle w:val="FootnoteReference"/>
        </w:rPr>
        <w:footnoteReference w:id="2114"/>
      </w:r>
      <w:r>
        <w:t xml:space="preserve">. The prescribing information calls for regular skin examinations.</w:t>
      </w:r>
    </w:p>
    <w:p>
      <w:pPr>
        <w:numPr>
          <w:ilvl w:val="0"/>
          <w:numId w:val="1266"/>
        </w:numPr>
        <w:pStyle w:val="Compact"/>
      </w:pPr>
      <w:r>
        <w:rPr>
          <w:bCs/>
          <w:b/>
        </w:rPr>
        <w:t xml:space="preserve">Pigment changes in the oral mucosa</w:t>
      </w:r>
      <w:r>
        <w:t xml:space="preserve"> </w:t>
      </w:r>
      <w:r>
        <w:t xml:space="preserve">have been described (de Baat 2020, PMID 32459219; however, the review mixes findings on the approved implant with those on gray-market melanotan), as has a case of apparent depigmentation with concurrent atopic dermatitis</w:t>
      </w:r>
      <w:r>
        <w:rPr>
          <w:rStyle w:val="FootnoteReference"/>
        </w:rPr>
        <w:footnoteReference w:id="2115"/>
      </w:r>
      <w:r>
        <w:t xml:space="preserve">.</w:t>
      </w:r>
    </w:p>
    <w:p>
      <w:pPr>
        <w:numPr>
          <w:ilvl w:val="0"/>
          <w:numId w:val="1266"/>
        </w:numPr>
        <w:pStyle w:val="Compact"/>
      </w:pPr>
      <w:r>
        <w:rPr>
          <w:bCs/>
          <w:b/>
        </w:rPr>
        <w:t xml:space="preserve">No effect on vitamin D:</w:t>
      </w:r>
      <w:r>
        <w:t xml:space="preserve"> </w:t>
      </w:r>
      <w:r>
        <w:t xml:space="preserve">see above</w:t>
      </w:r>
      <w:r>
        <w:rPr>
          <w:rStyle w:val="FootnoteReference"/>
        </w:rPr>
        <w:footnoteReference w:id="2116"/>
      </w:r>
      <w:r>
        <w:t xml:space="preserve">.</w:t>
      </w:r>
    </w:p>
    <w:bookmarkEnd w:id="2117"/>
    <w:bookmarkStart w:id="2120" w:name="open-questions-1"/>
    <w:p>
      <w:pPr>
        <w:pStyle w:val="Heading4"/>
      </w:pPr>
      <w:r>
        <w:t xml:space="preserve">Open Questions</w:t>
      </w:r>
    </w:p>
    <w:p>
      <w:pPr>
        <w:pStyle w:val="FirstParagraph"/>
      </w:pPr>
      <w:r>
        <w:t xml:space="preserve">Data on pregnancy are largely lacking; in practice, treatment is paused. Afamelanotide is not approved for children and adolescents</w:t>
      </w:r>
      <w:r>
        <w:rPr>
          <w:rStyle w:val="FootnoteReference"/>
        </w:rPr>
        <w:footnoteReference w:id="2118"/>
      </w:r>
      <w:r>
        <w:t xml:space="preserve">, even though EPP usually begins in early childhood. Individual off-label treatments of children have been published as case reports</w:t>
      </w:r>
      <w:r>
        <w:rPr>
          <w:rStyle w:val="FootnoteReference"/>
        </w:rPr>
        <w:footnoteReference w:id="2119"/>
      </w:r>
      <w:r>
        <w:t xml:space="preserve">. Whether decades of stimulation of the pigment cells affect the risk of skin cancer cannot be conclusively determined with the observation periods available so far.</w:t>
      </w:r>
    </w:p>
    <w:bookmarkEnd w:id="2120"/>
    <w:bookmarkStart w:id="2122" w:name="distinction-from-the-gray-market"/>
    <w:p>
      <w:pPr>
        <w:pStyle w:val="Heading4"/>
      </w:pPr>
      <w:r>
        <w:t xml:space="preserve">Distinction from the Gray Market</w:t>
      </w:r>
    </w:p>
    <w:p>
      <w:pPr>
        <w:pStyle w:val="FirstParagraph"/>
      </w:pPr>
      <w:r>
        <w:t xml:space="preserve">“</w:t>
      </w:r>
      <w:r>
        <w:t xml:space="preserve">Melanotan I</w:t>
      </w:r>
      <w:r>
        <w:t xml:space="preserve">”</w:t>
      </w:r>
      <w:r>
        <w:t xml:space="preserve"> </w:t>
      </w:r>
      <w:r>
        <w:t xml:space="preserve">is offered on the internet as a tanning agent. Such products share only the name of the active substance with the approved implant: they are sold as powder for self-injection, purity and content are untested, and there is no medical monitoring of the skin. The safety data from EPP treatment cannot be transferred to them</w:t>
      </w:r>
      <w:r>
        <w:rPr>
          <w:rStyle w:val="FootnoteReference"/>
        </w:rPr>
        <w:footnoteReference w:id="2121"/>
      </w:r>
      <w:r>
        <w:t xml:space="preserve">.</w:t>
      </w:r>
    </w:p>
    <w:bookmarkEnd w:id="2122"/>
    <w:bookmarkEnd w:id="2123"/>
    <w:bookmarkStart w:id="2127" w:name="legal-status-48"/>
    <w:p>
      <w:pPr>
        <w:pStyle w:val="Heading3"/>
      </w:pPr>
      <w:r>
        <w:t xml:space="preserve">Legal status</w:t>
      </w:r>
    </w:p>
    <w:p>
      <w:pPr>
        <w:pStyle w:val="FirstParagraph"/>
      </w:pPr>
      <w:r>
        <w:rPr>
          <w:iCs/>
          <w:i/>
        </w:rPr>
        <w:t xml:space="preserve">As of 2026, please check for updates.</w:t>
      </w:r>
    </w:p>
    <w:p>
      <w:pPr>
        <w:numPr>
          <w:ilvl w:val="0"/>
          <w:numId w:val="1267"/>
        </w:numPr>
        <w:pStyle w:val="Compact"/>
      </w:pPr>
      <w:r>
        <w:rPr>
          <w:bCs/>
          <w:b/>
        </w:rPr>
        <w:t xml:space="preserve">EU:</w:t>
      </w:r>
      <w:r>
        <w:t xml:space="preserve"> </w:t>
      </w:r>
      <w:r>
        <w:t xml:space="preserve">centrally approved since 2014 as an orphan medicine (Scenesse) for adults with EPP. Treatment is provided in specialized centers; a safety study and a European registry are part of the conditions</w:t>
      </w:r>
      <w:r>
        <w:rPr>
          <w:rStyle w:val="FootnoteReference"/>
        </w:rPr>
        <w:footnoteReference w:id="2124"/>
      </w:r>
      <w:r>
        <w:t xml:space="preserve">.</w:t>
      </w:r>
    </w:p>
    <w:p>
      <w:pPr>
        <w:numPr>
          <w:ilvl w:val="0"/>
          <w:numId w:val="1267"/>
        </w:numPr>
        <w:pStyle w:val="Compact"/>
      </w:pPr>
      <w:r>
        <w:rPr>
          <w:bCs/>
          <w:b/>
        </w:rPr>
        <w:t xml:space="preserve">Germany and Austria:</w:t>
      </w:r>
      <w:r>
        <w:t xml:space="preserve"> </w:t>
      </w:r>
      <w:r>
        <w:t xml:space="preserve">available through specialized porphyria and dermatology clinics; reimbursement must be clarified on a case-by-case basis. Published treatment cohorts exist from both countries</w:t>
      </w:r>
      <w:r>
        <w:rPr>
          <w:rStyle w:val="FootnoteReference"/>
        </w:rPr>
        <w:footnoteReference w:id="2125"/>
      </w:r>
      <w:r>
        <w:t xml:space="preserve">.</w:t>
      </w:r>
    </w:p>
    <w:p>
      <w:pPr>
        <w:numPr>
          <w:ilvl w:val="0"/>
          <w:numId w:val="1267"/>
        </w:numPr>
        <w:pStyle w:val="Compact"/>
      </w:pPr>
      <w:r>
        <w:rPr>
          <w:bCs/>
          <w:b/>
        </w:rPr>
        <w:t xml:space="preserve">USA:</w:t>
      </w:r>
      <w:r>
        <w:t xml:space="preserve"> </w:t>
      </w:r>
      <w:r>
        <w:t xml:space="preserve">approved since 2019 for adults with EPP and phototoxic reactions.</w:t>
      </w:r>
    </w:p>
    <w:p>
      <w:pPr>
        <w:numPr>
          <w:ilvl w:val="0"/>
          <w:numId w:val="1267"/>
        </w:numPr>
        <w:pStyle w:val="Compact"/>
      </w:pPr>
      <w:r>
        <w:rPr>
          <w:bCs/>
          <w:b/>
        </w:rPr>
        <w:t xml:space="preserve">Cost:</w:t>
      </w:r>
      <w:r>
        <w:t xml:space="preserve"> </w:t>
      </w:r>
      <w:r>
        <w:t xml:space="preserve">Afamelanotide is one of the expensive medicines for rare diseases. In England, the assessment body NICE declined funding – so far the only therapy in its program for very rare diseases to be rejected. Patient representatives criticize the calculation used</w:t>
      </w:r>
      <w:r>
        <w:rPr>
          <w:rStyle w:val="FootnoteReference"/>
        </w:rPr>
        <w:footnoteReference w:id="2126"/>
      </w:r>
      <w:r>
        <w:t xml:space="preserve">.</w:t>
      </w:r>
    </w:p>
    <w:p>
      <w:pPr>
        <w:numPr>
          <w:ilvl w:val="0"/>
          <w:numId w:val="1267"/>
        </w:numPr>
        <w:pStyle w:val="Compact"/>
      </w:pPr>
      <w:r>
        <w:rPr>
          <w:bCs/>
          <w:b/>
        </w:rPr>
        <w:t xml:space="preserve">WADA:</w:t>
      </w:r>
      <w:r>
        <w:t xml:space="preserve"> </w:t>
      </w:r>
      <w:r>
        <w:t xml:space="preserve">not listed.</w:t>
      </w:r>
    </w:p>
    <w:bookmarkEnd w:id="2127"/>
    <w:bookmarkStart w:id="2133" w:name="ongoing-studies-and-outlook-48"/>
    <w:p>
      <w:pPr>
        <w:pStyle w:val="Heading3"/>
      </w:pPr>
      <w:r>
        <w:t xml:space="preserve">Ongoing studies and outlook</w:t>
      </w:r>
    </w:p>
    <w:p>
      <w:pPr>
        <w:pStyle w:val="FirstParagraph"/>
      </w:pPr>
      <w:r>
        <w:rPr>
          <w:bCs/>
          <w:b/>
        </w:rPr>
        <w:t xml:space="preserve">Established (registered studies):</w:t>
      </w:r>
    </w:p>
    <w:p>
      <w:pPr>
        <w:numPr>
          <w:ilvl w:val="0"/>
          <w:numId w:val="1268"/>
        </w:numPr>
        <w:pStyle w:val="Compact"/>
      </w:pPr>
      <w:r>
        <w:rPr>
          <w:bCs/>
          <w:b/>
        </w:rPr>
        <w:t xml:space="preserve">Vitiligo, phase 3:</w:t>
      </w:r>
      <w:r>
        <w:t xml:space="preserve"> </w:t>
      </w:r>
      <w:r>
        <w:t xml:space="preserve">A trial with 200 people compares afamelanotide plus narrowband UVB with light therapy alone</w:t>
      </w:r>
      <w:r>
        <w:rPr>
          <w:rStyle w:val="FootnoteReference"/>
        </w:rPr>
        <w:footnoteReference w:id="2128"/>
      </w:r>
      <w:r>
        <w:t xml:space="preserve">. The planned end was June 2026; peer-reviewed results had not been published in PubMed at the time of going to press. A small study on facial vitiligo</w:t>
      </w:r>
      <w:r>
        <w:rPr>
          <w:rStyle w:val="FootnoteReference"/>
        </w:rPr>
        <w:footnoteReference w:id="2129"/>
      </w:r>
      <w:r>
        <w:t xml:space="preserve"> </w:t>
      </w:r>
      <w:r>
        <w:t xml:space="preserve">is registered.</w:t>
      </w:r>
    </w:p>
    <w:p>
      <w:pPr>
        <w:numPr>
          <w:ilvl w:val="0"/>
          <w:numId w:val="1268"/>
        </w:numPr>
        <w:pStyle w:val="Compact"/>
      </w:pPr>
      <w:r>
        <w:rPr>
          <w:bCs/>
          <w:b/>
        </w:rPr>
        <w:t xml:space="preserve">Other rare light-related diseases:</w:t>
      </w:r>
      <w:r>
        <w:t xml:space="preserve"> </w:t>
      </w:r>
      <w:r>
        <w:t xml:space="preserve">small phase 2 trials in variegate porphyria (NCT05854784, completed) and in xeroderma pigmentosum, a hereditary disease with impaired repair of UV damage</w:t>
      </w:r>
      <w:r>
        <w:rPr>
          <w:rStyle w:val="FootnoteReference"/>
        </w:rPr>
        <w:footnoteReference w:id="2130"/>
      </w:r>
      <w:r>
        <w:t xml:space="preserve">.</w:t>
      </w:r>
    </w:p>
    <w:p>
      <w:pPr>
        <w:numPr>
          <w:ilvl w:val="0"/>
          <w:numId w:val="1268"/>
        </w:numPr>
        <w:pStyle w:val="Compact"/>
      </w:pPr>
      <w:r>
        <w:rPr>
          <w:bCs/>
          <w:b/>
        </w:rPr>
        <w:t xml:space="preserve">Pharmacology:</w:t>
      </w:r>
      <w:r>
        <w:t xml:space="preserve"> </w:t>
      </w:r>
      <w:r>
        <w:t xml:space="preserve">A pharmacokinetic study in EPP with 28 people has been completed</w:t>
      </w:r>
      <w:r>
        <w:rPr>
          <w:rStyle w:val="FootnoteReference"/>
        </w:rPr>
        <w:footnoteReference w:id="2131"/>
      </w:r>
      <w:r>
        <w:t xml:space="preserve">.</w:t>
      </w:r>
    </w:p>
    <w:p>
      <w:pPr>
        <w:pStyle w:val="FirstParagraph"/>
      </w:pPr>
      <w:r>
        <w:rPr>
          <w:bCs/>
          <w:b/>
        </w:rPr>
        <w:t xml:space="preserve">New competition:</w:t>
      </w:r>
      <w:r>
        <w:t xml:space="preserve"> </w:t>
      </w:r>
      <w:r>
        <w:t xml:space="preserve">Two tablets are being developed for EPP: dersimelagon, a non-peptide MC1R agonist, and bitopertin, which acts on the production of the red blood pigment. Both showed effects versus placebo in studies; comparisons with afamelanotide are still lacking</w:t>
      </w:r>
      <w:r>
        <w:rPr>
          <w:rStyle w:val="FootnoteReference"/>
        </w:rPr>
        <w:footnoteReference w:id="2132"/>
      </w:r>
      <w:r>
        <w:t xml:space="preserve">.</w:t>
      </w:r>
    </w:p>
    <w:p>
      <w:pPr>
        <w:pStyle w:val="BodyText"/>
      </w:pPr>
      <w:r>
        <w:rPr>
          <w:bCs/>
          <w:b/>
        </w:rPr>
        <w:t xml:space="preserve">Author’s assessment:</w:t>
      </w:r>
      <w:r>
        <w:t xml:space="preserve"> </w:t>
      </w:r>
      <w:r>
        <w:t xml:space="preserve">Afamelanotide will remain the reference for EPP for the time being. Whether it plays a role in vitiligo depends on the result of the phase 3 trial; the combination with light therapy is laborious, and JAK inhibitor creams now offer other options. Approval for adolescents would be particularly important for EPP, because the disease begins in childhood.</w:t>
      </w:r>
    </w:p>
    <w:bookmarkEnd w:id="2133"/>
    <w:bookmarkStart w:id="2134" w:name="conclusion-48"/>
    <w:p>
      <w:pPr>
        <w:pStyle w:val="Heading3"/>
      </w:pPr>
      <w:r>
        <w:t xml:space="preserve">Conclusion</w:t>
      </w:r>
    </w:p>
    <w:p>
      <w:pPr>
        <w:pStyle w:val="FirstParagraph"/>
      </w:pPr>
      <w:r>
        <w:t xml:space="preserve">Afamelanotide is the best-studied peptide that stimulates skin tanning via the melanocortin system, and the only one approved in the EU. In adults with erythropoietic protoporphyria, it extended pain-free time in sunlight and improved quality of life in two randomized trials; long-term cohorts from several countries show high continuation rates with predominantly mild side effects. In vitiligo, it accelerated repigmentation under light therapy in a randomized trial; the phase 3 results are pending. The controlled implant in a specialized clinic has practically nothing in common with gray-market</w:t>
      </w:r>
      <w:r>
        <w:t xml:space="preserve"> </w:t>
      </w:r>
      <w:r>
        <w:t xml:space="preserve">“</w:t>
      </w:r>
      <w:r>
        <w:t xml:space="preserve">melanotan I</w:t>
      </w:r>
      <w:r>
        <w:t xml:space="preserve">”</w:t>
      </w:r>
      <w:r>
        <w:t xml:space="preserve"> </w:t>
      </w:r>
      <w:r>
        <w:t xml:space="preserve">for cosmetic tanning.</w:t>
      </w:r>
    </w:p>
    <w:bookmarkEnd w:id="2134"/>
    <w:bookmarkEnd w:id="2135"/>
    <w:bookmarkStart w:id="2194" w:name="kisspeptin"/>
    <w:p>
      <w:pPr>
        <w:pStyle w:val="Heading2"/>
      </w:pPr>
      <w:r>
        <w:t xml:space="preserve">Kisspeptin</w:t>
      </w:r>
    </w:p>
    <w:bookmarkStart w:id="2138" w:name="profile-49"/>
    <w:p>
      <w:pPr>
        <w:pStyle w:val="Heading3"/>
      </w:pPr>
      <w:r>
        <w:t xml:space="preserve">Profile</w:t>
      </w:r>
    </w:p>
    <w:p>
      <w:pPr>
        <w:numPr>
          <w:ilvl w:val="0"/>
          <w:numId w:val="1269"/>
        </w:numPr>
        <w:pStyle w:val="Compact"/>
      </w:pPr>
      <w:r>
        <w:rPr>
          <w:bCs/>
          <w:b/>
        </w:rPr>
        <w:t xml:space="preserve">Type/structure:</w:t>
      </w:r>
      <w:r>
        <w:t xml:space="preserve"> </w:t>
      </w:r>
      <w:r>
        <w:t xml:space="preserve">a family of the body’s own peptides. The KISS1 gene encodes a precursor protein from which pieces of different lengths are produced: kisspeptin-54 (54 amino acids, the predominant form in the blood), kisspeptin-14, -13 and -10. The shortest form, kisspeptin-10, already contains the fully active part. Studies use the natural forms as well as synthetic, more stable variants (such as MVT-602 and TAK-448).</w:t>
      </w:r>
    </w:p>
    <w:p>
      <w:pPr>
        <w:numPr>
          <w:ilvl w:val="0"/>
          <w:numId w:val="1269"/>
        </w:numPr>
        <w:pStyle w:val="Compact"/>
      </w:pPr>
      <w:r>
        <w:rPr>
          <w:bCs/>
          <w:b/>
        </w:rPr>
        <w:t xml:space="preserve">Origin:</w:t>
      </w:r>
      <w:r>
        <w:t xml:space="preserve"> </w:t>
      </w:r>
      <w:r>
        <w:t xml:space="preserve">first discovered in 1996 as a gene that suppresses metastasis of melanoma cells</w:t>
      </w:r>
      <w:r>
        <w:rPr>
          <w:rStyle w:val="FootnoteReference"/>
        </w:rPr>
        <w:footnoteReference w:id="2136"/>
      </w:r>
      <w:r>
        <w:t xml:space="preserve">. The name goes back to the town of Hershey in Pennsylvania, home of the</w:t>
      </w:r>
      <w:r>
        <w:t xml:space="preserve"> </w:t>
      </w:r>
      <w:r>
        <w:t xml:space="preserve">“</w:t>
      </w:r>
      <w:r>
        <w:t xml:space="preserve">Kisses</w:t>
      </w:r>
      <w:r>
        <w:t xml:space="preserve">”</w:t>
      </w:r>
      <w:r>
        <w:t xml:space="preserve"> </w:t>
      </w:r>
      <w:r>
        <w:t xml:space="preserve">chocolate. In 2001, the peptide was identified as the messenger of a previously</w:t>
      </w:r>
      <w:r>
        <w:t xml:space="preserve"> </w:t>
      </w:r>
      <w:r>
        <w:t xml:space="preserve">“</w:t>
      </w:r>
      <w:r>
        <w:t xml:space="preserve">orphan</w:t>
      </w:r>
      <w:r>
        <w:t xml:space="preserve">”</w:t>
      </w:r>
      <w:r>
        <w:t xml:space="preserve"> </w:t>
      </w:r>
      <w:r>
        <w:t xml:space="preserve">receptor and initially named metastin</w:t>
      </w:r>
      <w:r>
        <w:rPr>
          <w:rStyle w:val="FootnoteReference"/>
        </w:rPr>
        <w:footnoteReference w:id="2137"/>
      </w:r>
      <w:r>
        <w:t xml:space="preserve">.</w:t>
      </w:r>
    </w:p>
    <w:p>
      <w:pPr>
        <w:numPr>
          <w:ilvl w:val="0"/>
          <w:numId w:val="1269"/>
        </w:numPr>
        <w:pStyle w:val="Compact"/>
      </w:pPr>
      <w:r>
        <w:rPr>
          <w:bCs/>
          <w:b/>
        </w:rPr>
        <w:t xml:space="preserve">Mechanism of action:</w:t>
      </w:r>
      <w:r>
        <w:t xml:space="preserve"> </w:t>
      </w:r>
      <w:r>
        <w:t xml:space="preserve">agonist at the kisspeptin receptor (KISS1R, formerly GPR54) on the GnRH nerve cells in the hypothalamus. Kisspeptin is the most important known trigger for the release of GnRH and thus for the entire reproductive hormone axis.</w:t>
      </w:r>
    </w:p>
    <w:p>
      <w:pPr>
        <w:numPr>
          <w:ilvl w:val="0"/>
          <w:numId w:val="1269"/>
        </w:numPr>
        <w:pStyle w:val="Compact"/>
      </w:pPr>
      <w:r>
        <w:rPr>
          <w:bCs/>
          <w:b/>
        </w:rPr>
        <w:t xml:space="preserve">Approval EU:</w:t>
      </w:r>
      <w:r>
        <w:t xml:space="preserve"> </w:t>
      </w:r>
      <w:r>
        <w:t xml:space="preserve">no.</w:t>
      </w:r>
    </w:p>
    <w:p>
      <w:pPr>
        <w:numPr>
          <w:ilvl w:val="0"/>
          <w:numId w:val="1269"/>
        </w:numPr>
        <w:pStyle w:val="Compact"/>
      </w:pPr>
      <w:r>
        <w:rPr>
          <w:bCs/>
          <w:b/>
        </w:rPr>
        <w:t xml:space="preserve">Approval USA:</w:t>
      </w:r>
      <w:r>
        <w:t xml:space="preserve"> </w:t>
      </w:r>
      <w:r>
        <w:t xml:space="preserve">no.</w:t>
      </w:r>
    </w:p>
    <w:p>
      <w:pPr>
        <w:numPr>
          <w:ilvl w:val="0"/>
          <w:numId w:val="1269"/>
        </w:numPr>
        <w:pStyle w:val="Compact"/>
      </w:pPr>
      <w:r>
        <w:rPr>
          <w:bCs/>
          <w:b/>
        </w:rPr>
        <w:t xml:space="preserve">WADA:</w:t>
      </w:r>
      <w:r>
        <w:t xml:space="preserve"> </w:t>
      </w:r>
      <w:r>
        <w:t xml:space="preserve">not named explicitly. As a non-approved substance, kisspeptin falls under S0; in men, group S2 also covers luteinizing hormone releasing factors.</w:t>
      </w:r>
    </w:p>
    <w:p>
      <w:pPr>
        <w:numPr>
          <w:ilvl w:val="0"/>
          <w:numId w:val="1269"/>
        </w:numPr>
        <w:pStyle w:val="Compact"/>
      </w:pPr>
      <w:r>
        <w:rPr>
          <w:bCs/>
          <w:b/>
        </w:rPr>
        <w:t xml:space="preserve">Evidence level:</w:t>
      </w:r>
      <w:r>
        <w:t xml:space="preserve"> </w:t>
      </w:r>
      <w:r>
        <w:rPr>
          <w:bCs/>
          <w:b/>
        </w:rPr>
        <w:t xml:space="preserve">B</w:t>
      </w:r>
      <w:r>
        <w:t xml:space="preserve"> </w:t>
      </w:r>
      <w:r>
        <w:t xml:space="preserve">– numerous small, partly randomized studies and several randomized phase 2 trials, mainly from London and Boston. No phase 3 trial, no approval.</w:t>
      </w:r>
    </w:p>
    <w:bookmarkEnd w:id="2138"/>
    <w:bookmarkStart w:id="2140" w:name="how-it-is-supposed-to-work-49"/>
    <w:p>
      <w:pPr>
        <w:pStyle w:val="Heading3"/>
      </w:pPr>
      <w:r>
        <w:t xml:space="preserve">How it is supposed to work</w:t>
      </w:r>
    </w:p>
    <w:p>
      <w:pPr>
        <w:pStyle w:val="FirstParagraph"/>
      </w:pPr>
      <w:r>
        <w:t xml:space="preserve">Human reproduction is controlled by a chain of hormones. At the top is the hormone GnRH (gonadotropin-releasing hormone) from the hypothalamus, which is released in pulses. It causes the pituitary gland to release the hormones LH (luteinizing hormone) and FSH (follicle-stimulating hormone). These in turn control the ovaries and testes: egg maturation and ovulation, sperm production, estrogen and testosterone production. The chapter on gonadorelin (2E06) describes this axis in more detail.</w:t>
      </w:r>
    </w:p>
    <w:p>
      <w:pPr>
        <w:pStyle w:val="BodyText"/>
      </w:pPr>
      <w:r>
        <w:t xml:space="preserve">Kisspeptin sits one level above GnRH. Specialized nerve cells in the hypothalamus release it and thereby</w:t>
      </w:r>
      <w:r>
        <w:t xml:space="preserve"> </w:t>
      </w:r>
      <w:r>
        <w:t xml:space="preserve">“</w:t>
      </w:r>
      <w:r>
        <w:t xml:space="preserve">switch on</w:t>
      </w:r>
      <w:r>
        <w:t xml:space="preserve">”</w:t>
      </w:r>
      <w:r>
        <w:t xml:space="preserve"> </w:t>
      </w:r>
      <w:r>
        <w:t xml:space="preserve">the GnRH cells. How central this function is became clear in 2003: people with a defective kisspeptin receptor do not go through puberty and remain infertile</w:t>
      </w:r>
      <w:r>
        <w:rPr>
          <w:rStyle w:val="FootnoteReference"/>
        </w:rPr>
        <w:footnoteReference w:id="2139"/>
      </w:r>
      <w:r>
        <w:t xml:space="preserve">.</w:t>
      </w:r>
    </w:p>
    <w:p>
      <w:pPr>
        <w:pStyle w:val="BodyText"/>
      </w:pPr>
      <w:r>
        <w:t xml:space="preserve">Kisspeptin is of medical interest for two reasons:</w:t>
      </w:r>
    </w:p>
    <w:p>
      <w:pPr>
        <w:numPr>
          <w:ilvl w:val="0"/>
          <w:numId w:val="1270"/>
        </w:numPr>
        <w:pStyle w:val="Compact"/>
      </w:pPr>
      <w:r>
        <w:rPr>
          <w:bCs/>
          <w:b/>
        </w:rPr>
        <w:t xml:space="preserve">It acts</w:t>
      </w:r>
      <w:r>
        <w:rPr>
          <w:bCs/>
          <w:b/>
        </w:rPr>
        <w:t xml:space="preserve"> </w:t>
      </w:r>
      <w:r>
        <w:rPr>
          <w:bCs/>
          <w:b/>
        </w:rPr>
        <w:t xml:space="preserve">“</w:t>
      </w:r>
      <w:r>
        <w:rPr>
          <w:bCs/>
          <w:b/>
        </w:rPr>
        <w:t xml:space="preserve">from the top.</w:t>
      </w:r>
      <w:r>
        <w:rPr>
          <w:bCs/>
          <w:b/>
        </w:rPr>
        <w:t xml:space="preserve">”</w:t>
      </w:r>
      <w:r>
        <w:t xml:space="preserve"> </w:t>
      </w:r>
      <w:r>
        <w:t xml:space="preserve">Unlike medications that directly replace LH or FSH, kisspeptin stimulates the body’s own GnRH release. The subsequent hormone release remains subject to the natural feedback mechanisms. This makes overstimulation of the ovaries less likely.</w:t>
      </w:r>
    </w:p>
    <w:p>
      <w:pPr>
        <w:numPr>
          <w:ilvl w:val="0"/>
          <w:numId w:val="1270"/>
        </w:numPr>
        <w:pStyle w:val="Compact"/>
      </w:pPr>
      <w:r>
        <w:rPr>
          <w:bCs/>
          <w:b/>
        </w:rPr>
        <w:t xml:space="preserve">Briefly it stimulates, continuously it suppresses.</w:t>
      </w:r>
      <w:r>
        <w:t xml:space="preserve"> </w:t>
      </w:r>
      <w:r>
        <w:t xml:space="preserve">With uninterrupted administration, the receptors become accustomed to the signal (tachyphylaxis), and the hormone axis shuts down. That is a problem if you want to promote fertility – and an opportunity if you want to lower hormones, for example in prostate cancer.</w:t>
      </w:r>
    </w:p>
    <w:p>
      <w:pPr>
        <w:pStyle w:val="FirstParagraph"/>
      </w:pPr>
      <w:r>
        <w:t xml:space="preserve">Kisspeptin receptors are also found in brain regions that process emotions and sexual stimuli. This gave rise to the idea that kisspeptin could influence sexual desire.</w:t>
      </w:r>
    </w:p>
    <w:bookmarkEnd w:id="2140"/>
    <w:bookmarkStart w:id="2175" w:name="human-studies-49"/>
    <w:p>
      <w:pPr>
        <w:pStyle w:val="Heading3"/>
      </w:pPr>
      <w:r>
        <w:t xml:space="preserve">Human studies</w:t>
      </w:r>
    </w:p>
    <w:p>
      <w:pPr>
        <w:pStyle w:val="FirstParagraph"/>
      </w:pPr>
      <w:r>
        <w:rPr>
          <w:bCs/>
          <w:b/>
        </w:rPr>
        <w:t xml:space="preserve">Size of the evidence base (search October 2026):</w:t>
      </w:r>
      <w:r>
        <w:t xml:space="preserve"> </w:t>
      </w:r>
      <w:r>
        <w:t xml:space="preserve">The automated search for this book found</w:t>
      </w:r>
      <w:r>
        <w:t xml:space="preserve"> </w:t>
      </w:r>
      <w:r>
        <w:rPr>
          <w:bCs/>
          <w:b/>
        </w:rPr>
        <w:t xml:space="preserve">37</w:t>
      </w:r>
      <w:r>
        <w:t xml:space="preserve"> </w:t>
      </w:r>
      <w:r>
        <w:t xml:space="preserve">human studies in PubMed (</w:t>
      </w:r>
      <w:r>
        <w:rPr>
          <w:rStyle w:val="VerbatimChar"/>
        </w:rPr>
        <w:t xml:space="preserve">humanstudien_alle</w:t>
      </w:r>
      <w:r>
        <w:t xml:space="preserve">) and</w:t>
      </w:r>
      <w:r>
        <w:t xml:space="preserve"> </w:t>
      </w:r>
      <w:r>
        <w:rPr>
          <w:bCs/>
          <w:b/>
        </w:rPr>
        <w:t xml:space="preserve">36</w:t>
      </w:r>
      <w:r>
        <w:t xml:space="preserve"> </w:t>
      </w:r>
      <w:r>
        <w:t xml:space="preserve">entries on ClinicalTrials.gov. Not all of them administer kisspeptin as a drug: some studies only measure kisspeptin levels in the blood, for example during pregnancy. The administration of kisspeptin in humans has been driven by a few research groups, mainly at Imperial College London and Massachusetts General Hospital in Boston. Most studies have fewer than 50 participants.</w:t>
      </w:r>
    </w:p>
    <w:bookmarkStart w:id="2145" w:name="first-doses-and-fundamentals"/>
    <w:p>
      <w:pPr>
        <w:pStyle w:val="Heading4"/>
      </w:pPr>
      <w:r>
        <w:t xml:space="preserve">First Doses and Fundamentals</w:t>
      </w:r>
    </w:p>
    <w:p>
      <w:pPr>
        <w:pStyle w:val="FirstParagraph"/>
      </w:pPr>
      <w:r>
        <w:t xml:space="preserve">The first study in humans in 2005 involved six healthy men. A 90-minute infusion of kisspeptin-54 significantly increased LH, FSH and testosterone compared with saline</w:t>
      </w:r>
      <w:r>
        <w:rPr>
          <w:rStyle w:val="FootnoteReference"/>
        </w:rPr>
        <w:footnoteReference w:id="2141"/>
      </w:r>
      <w:r>
        <w:t xml:space="preserve">. The half-life in the blood was just under 28 minutes. In women, the effect depends strongly on the phase of the cycle and is strongest shortly before ovulation</w:t>
      </w:r>
      <w:r>
        <w:rPr>
          <w:rStyle w:val="FootnoteReference"/>
        </w:rPr>
        <w:footnoteReference w:id="2142"/>
      </w:r>
      <w:r>
        <w:t xml:space="preserve">.</w:t>
      </w:r>
    </w:p>
    <w:p>
      <w:pPr>
        <w:pStyle w:val="BodyText"/>
      </w:pPr>
      <w:r>
        <w:t xml:space="preserve">In healthy men, kisspeptin-10 rapidly triggered a dose-dependent rise in LH and, with continuous infusion, increased the frequency of LH pulses</w:t>
      </w:r>
      <w:r>
        <w:rPr>
          <w:rStyle w:val="FootnoteReference"/>
        </w:rPr>
        <w:footnoteReference w:id="2143"/>
      </w:r>
      <w:r>
        <w:t xml:space="preserve">. Children with delayed puberty responded very differently: some had a clear response, others none</w:t>
      </w:r>
      <w:r>
        <w:rPr>
          <w:rStyle w:val="FootnoteReference"/>
        </w:rPr>
        <w:footnoteReference w:id="2144"/>
      </w:r>
      <w:r>
        <w:t xml:space="preserve">. In the future, this could help distinguish merely delayed puberty from a permanent hormone deficiency.</w:t>
      </w:r>
    </w:p>
    <w:bookmarkEnd w:id="2145"/>
    <w:bookmarkStart w:id="2152" w:name="fertility-treatment-egg-maturation"/>
    <w:p>
      <w:pPr>
        <w:pStyle w:val="Heading4"/>
      </w:pPr>
      <w:r>
        <w:t xml:space="preserve">Fertility Treatment: Egg Maturation</w:t>
      </w:r>
    </w:p>
    <w:p>
      <w:pPr>
        <w:pStyle w:val="FirstParagraph"/>
      </w:pPr>
      <w:r>
        <w:t xml:space="preserve">The most advanced application to date is triggering egg maturation in in vitro fertilization (IVF). Normally, the hormone hCG is injected for this. hCG acts for a long time and in susceptible women can trigger ovarian hyperstimulation syndrome (OHSS) – a fluid shift that can be life-threatening in extreme cases. Kisspeptin instead triggers a shorter LH surge from the body itself.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Jayasena 2014, PMID 25036713</w:t>
            </w:r>
          </w:p>
        </w:tc>
        <w:tc>
          <w:tcPr/>
          <w:p>
            <w:pPr>
              <w:pStyle w:val="Compact"/>
              <w:jc w:val="left"/>
            </w:pPr>
            <w:r>
              <w:t xml:space="preserve">53 women undergoing IVF, dose study without control group</w:t>
            </w:r>
          </w:p>
        </w:tc>
        <w:tc>
          <w:tcPr/>
          <w:p>
            <w:pPr>
              <w:pStyle w:val="Compact"/>
              <w:jc w:val="left"/>
            </w:pPr>
            <w:r>
              <w:t xml:space="preserve">one cycle</w:t>
            </w:r>
          </w:p>
        </w:tc>
        <w:tc>
          <w:tcPr/>
          <w:p>
            <w:pPr>
              <w:pStyle w:val="Compact"/>
              <w:jc w:val="left"/>
            </w:pPr>
            <w:r>
              <w:t xml:space="preserve">Egg maturation at all doses; clinical pregnancy 23%</w:t>
            </w:r>
          </w:p>
        </w:tc>
      </w:tr>
      <w:tr>
        <w:tc>
          <w:tcPr/>
          <w:p>
            <w:pPr>
              <w:pStyle w:val="Compact"/>
              <w:jc w:val="left"/>
            </w:pPr>
            <w:r>
              <w:t xml:space="preserve">Abbara 2015, PMID 26192876</w:t>
            </w:r>
          </w:p>
        </w:tc>
        <w:tc>
          <w:tcPr/>
          <w:p>
            <w:pPr>
              <w:pStyle w:val="Compact"/>
              <w:jc w:val="left"/>
            </w:pPr>
            <w:r>
              <w:t xml:space="preserve">60 women at high risk of OHSS, randomized dose study</w:t>
            </w:r>
          </w:p>
        </w:tc>
        <w:tc>
          <w:tcPr/>
          <w:p>
            <w:pPr>
              <w:pStyle w:val="Compact"/>
              <w:jc w:val="left"/>
            </w:pPr>
            <w:r>
              <w:t xml:space="preserve">one cycle</w:t>
            </w:r>
          </w:p>
        </w:tc>
        <w:tc>
          <w:tcPr/>
          <w:p>
            <w:pPr>
              <w:pStyle w:val="Compact"/>
              <w:jc w:val="left"/>
            </w:pPr>
            <w:r>
              <w:t xml:space="preserve">Egg maturation in 95%; live birth 45% per transfer; no moderate or severe OHSS</w:t>
            </w:r>
          </w:p>
        </w:tc>
      </w:tr>
      <w:tr>
        <w:tc>
          <w:tcPr/>
          <w:p>
            <w:pPr>
              <w:pStyle w:val="Compact"/>
              <w:jc w:val="left"/>
            </w:pPr>
            <w:r>
              <w:t xml:space="preserve">Abbara 2017, PMID 28854728</w:t>
            </w:r>
          </w:p>
        </w:tc>
        <w:tc>
          <w:tcPr/>
          <w:p>
            <w:pPr>
              <w:pStyle w:val="Compact"/>
              <w:jc w:val="left"/>
            </w:pPr>
            <w:r>
              <w:t xml:space="preserve">62 women at high risk of OHSS, RCT: second dose vs. saline</w:t>
            </w:r>
          </w:p>
        </w:tc>
        <w:tc>
          <w:tcPr/>
          <w:p>
            <w:pPr>
              <w:pStyle w:val="Compact"/>
              <w:jc w:val="left"/>
            </w:pPr>
            <w:r>
              <w:t xml:space="preserve">one cycle</w:t>
            </w:r>
          </w:p>
        </w:tc>
        <w:tc>
          <w:tcPr/>
          <w:p>
            <w:pPr>
              <w:pStyle w:val="Compact"/>
              <w:jc w:val="left"/>
            </w:pPr>
            <w:r>
              <w:t xml:space="preserve">Adequate egg yield in 71% vs. 45%</w:t>
            </w:r>
          </w:p>
        </w:tc>
      </w:tr>
      <w:tr>
        <w:tc>
          <w:tcPr/>
          <w:p>
            <w:pPr>
              <w:pStyle w:val="Compact"/>
              <w:jc w:val="left"/>
            </w:pPr>
            <w:r>
              <w:t xml:space="preserve">Abbara 2024, PMID 37925096</w:t>
            </w:r>
          </w:p>
        </w:tc>
        <w:tc>
          <w:tcPr/>
          <w:p>
            <w:pPr>
              <w:pStyle w:val="Compact"/>
              <w:jc w:val="left"/>
            </w:pPr>
            <w:r>
              <w:t xml:space="preserve">24 and 75 healthy women, two RCTs with the analog MVT-602</w:t>
            </w:r>
          </w:p>
        </w:tc>
        <w:tc>
          <w:tcPr/>
          <w:p>
            <w:pPr>
              <w:pStyle w:val="Compact"/>
              <w:jc w:val="left"/>
            </w:pPr>
            <w:r>
              <w:t xml:space="preserve">single dose</w:t>
            </w:r>
          </w:p>
        </w:tc>
        <w:tc>
          <w:tcPr/>
          <w:p>
            <w:pPr>
              <w:pStyle w:val="Compact"/>
              <w:jc w:val="left"/>
            </w:pPr>
            <w:r>
              <w:t xml:space="preserve">LH rise similar to the natural mid-cycle; ovulation within 5 days in up to 100%</w:t>
            </w:r>
          </w:p>
        </w:tc>
      </w:tr>
    </w:tbl>
    <w:p>
      <w:pPr>
        <w:pStyle w:val="BodyText"/>
      </w:pPr>
      <w:r>
        <w:t xml:space="preserve">In the first study</w:t>
      </w:r>
      <w:r>
        <w:rPr>
          <w:rStyle w:val="FootnoteReference"/>
        </w:rPr>
        <w:footnoteReference w:id="2146"/>
      </w:r>
      <w:r>
        <w:t xml:space="preserve">, 53 women received a single kisspeptin injection. Eggs matured at all doses tested; embryos were transferred in 49 women, and twelve became clinically pregnant. This was the first demonstration that pregnancy is possible after kisspeptin-triggered egg maturation.</w:t>
      </w:r>
    </w:p>
    <w:p>
      <w:pPr>
        <w:pStyle w:val="BodyText"/>
      </w:pPr>
      <w:r>
        <w:t xml:space="preserve">The follow-up study focused on women at high risk of overstimulation</w:t>
      </w:r>
      <w:r>
        <w:rPr>
          <w:rStyle w:val="FootnoteReference"/>
        </w:rPr>
        <w:footnoteReference w:id="2147"/>
      </w:r>
      <w:r>
        <w:t xml:space="preserve">. None of the 60 women developed moderate or severe OHSS; the live birth rate per embryo transfer was 45%. A second kisspeptin dose ten hours after the first improved the yield of mature eggs</w:t>
      </w:r>
      <w:r>
        <w:rPr>
          <w:rStyle w:val="FootnoteReference"/>
        </w:rPr>
        <w:footnoteReference w:id="2148"/>
      </w:r>
      <w:r>
        <w:t xml:space="preserve">.</w:t>
      </w:r>
    </w:p>
    <w:p>
      <w:pPr>
        <w:pStyle w:val="BodyText"/>
      </w:pPr>
      <w:r>
        <w:rPr>
          <w:bCs/>
          <w:b/>
        </w:rPr>
        <w:t xml:space="preserve">Context:</w:t>
      </w:r>
      <w:r>
        <w:t xml:space="preserve"> </w:t>
      </w:r>
      <w:r>
        <w:t xml:space="preserve">These studies show that the principle works. However, they were not designed to compare kisspeptin directly with established alternatives – in addition to hCG, triggering with a GnRH agonist is already available for high-risk patients. The authors themselves call for such comparative studies</w:t>
      </w:r>
      <w:r>
        <w:rPr>
          <w:rStyle w:val="FootnoteReference"/>
        </w:rPr>
        <w:footnoteReference w:id="2149"/>
      </w:r>
      <w:r>
        <w:t xml:space="preserve">.</w:t>
      </w:r>
    </w:p>
    <w:p>
      <w:pPr>
        <w:pStyle w:val="BodyText"/>
      </w:pPr>
      <w:r>
        <w:t xml:space="preserve">The synthetic analog MVT-602 acts considerably longer than natural kisspeptin: in healthy women, the LH peak came after around 21 instead of 5 hours, and the total amount of LH released was about four times as large</w:t>
      </w:r>
      <w:r>
        <w:rPr>
          <w:rStyle w:val="FootnoteReference"/>
        </w:rPr>
        <w:footnoteReference w:id="2150"/>
      </w:r>
      <w:r>
        <w:t xml:space="preserve">. In two randomized studies with a total of 99 women, MVT-602 was well tolerated and, in the second study, triggered ovulation within five days in 75 to 100% of women depending on the dose – but also in 60% under placebo, because the participants were healthy</w:t>
      </w:r>
      <w:r>
        <w:rPr>
          <w:rStyle w:val="FootnoteReference"/>
        </w:rPr>
        <w:footnoteReference w:id="2151"/>
      </w:r>
      <w:r>
        <w:t xml:space="preserve">.</w:t>
      </w:r>
    </w:p>
    <w:bookmarkEnd w:id="2152"/>
    <w:bookmarkStart w:id="2158" w:name="absent-menstruation-and-pcos"/>
    <w:p>
      <w:pPr>
        <w:pStyle w:val="Heading4"/>
      </w:pPr>
      <w:r>
        <w:t xml:space="preserve">Absent Menstruation and PCOS</w:t>
      </w:r>
    </w:p>
    <w:p>
      <w:pPr>
        <w:pStyle w:val="FirstParagraph"/>
      </w:pPr>
      <w:r>
        <w:t xml:space="preserve">In hypothalamic amenorrhea, menstruation stops because the brain – often due to underweight, intense exercise or stress – releases too little GnRH. A single kisspeptin injection strongly increased LH and FSH in affected women. With twice-daily administration over two weeks, however, the effect had almost disappeared</w:t>
      </w:r>
      <w:r>
        <w:rPr>
          <w:rStyle w:val="FootnoteReference"/>
        </w:rPr>
        <w:footnoteReference w:id="2153"/>
      </w:r>
      <w:r>
        <w:t xml:space="preserve">. Twice-weekly doses led to only partial desensitization</w:t>
      </w:r>
      <w:r>
        <w:rPr>
          <w:rStyle w:val="FootnoteReference"/>
        </w:rPr>
        <w:footnoteReference w:id="2154"/>
      </w:r>
      <w:r>
        <w:t xml:space="preserve">, and a continuous infusion temporarily tripled the number of LH pulses</w:t>
      </w:r>
      <w:r>
        <w:rPr>
          <w:rStyle w:val="FootnoteReference"/>
        </w:rPr>
        <w:footnoteReference w:id="2155"/>
      </w:r>
      <w:r>
        <w:t xml:space="preserve">. In people with a genetic defect in the neurokinin B system, a kisspeptin infusion restored pulsatile hormone release</w:t>
      </w:r>
      <w:r>
        <w:rPr>
          <w:rStyle w:val="FootnoteReference"/>
        </w:rPr>
        <w:footnoteReference w:id="2156"/>
      </w:r>
      <w:r>
        <w:t xml:space="preserve">.</w:t>
      </w:r>
    </w:p>
    <w:p>
      <w:pPr>
        <w:pStyle w:val="BodyText"/>
      </w:pPr>
      <w:r>
        <w:t xml:space="preserve">In polycystic ovary syndrome (PCOS), the situation is more complicated. In a pilot study with 12 women, kisspeptin increased the LH level only slightly; two women ovulated, while nothing happened in most</w:t>
      </w:r>
      <w:r>
        <w:rPr>
          <w:rStyle w:val="FootnoteReference"/>
        </w:rPr>
        <w:footnoteReference w:id="2157"/>
      </w:r>
      <w:r>
        <w:t xml:space="preserve">.</w:t>
      </w:r>
    </w:p>
    <w:bookmarkEnd w:id="2158"/>
    <w:bookmarkStart w:id="2161" w:name="men-testosterone-and-diabetes"/>
    <w:p>
      <w:pPr>
        <w:pStyle w:val="Heading4"/>
      </w:pPr>
      <w:r>
        <w:t xml:space="preserve">Men: Testosterone and Diabetes</w:t>
      </w:r>
    </w:p>
    <w:p>
      <w:pPr>
        <w:pStyle w:val="FirstParagraph"/>
      </w:pPr>
      <w:r>
        <w:t xml:space="preserve">In five men with type 2 diabetes and low testosterone, a kisspeptin-10 infusion increased LH, LH pulse frequency and testosterone</w:t>
      </w:r>
      <w:r>
        <w:rPr>
          <w:rStyle w:val="FootnoteReference"/>
        </w:rPr>
        <w:footnoteReference w:id="2159"/>
      </w:r>
      <w:r>
        <w:t xml:space="preserve">. A new study with 15 healthy men showed that daily eight-hour infusions under the skin maintained hormone release for twelve days, while a continuous infusion had no further effect on LH and FSH after five days</w:t>
      </w:r>
      <w:r>
        <w:rPr>
          <w:rStyle w:val="FootnoteReference"/>
        </w:rPr>
        <w:footnoteReference w:id="2160"/>
      </w:r>
      <w:r>
        <w:t xml:space="preserve">. This is an important step toward a possible long-term treatment.</w:t>
      </w:r>
    </w:p>
    <w:bookmarkEnd w:id="2161"/>
    <w:bookmarkStart w:id="2165" w:name="sexual-desire-and-the-brain"/>
    <w:p>
      <w:pPr>
        <w:pStyle w:val="Heading4"/>
      </w:pPr>
      <w:r>
        <w:t xml:space="preserve">Sexual Desire and the Brain</w:t>
      </w:r>
    </w:p>
    <w:p>
      <w:pPr>
        <w:pStyle w:val="FirstParagraph"/>
      </w:pPr>
      <w:r>
        <w:t xml:space="preserve">The London group used functional magnetic resonance imaging (fMRI) to study how kisspeptin changes the processing of erotic images.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Comninos 2017, PMID 28112678</w:t>
            </w:r>
          </w:p>
        </w:tc>
        <w:tc>
          <w:tcPr/>
          <w:p>
            <w:pPr>
              <w:pStyle w:val="Compact"/>
              <w:jc w:val="left"/>
            </w:pPr>
            <w:r>
              <w:t xml:space="preserve">29 healthy young men, crossover study vs. placebo</w:t>
            </w:r>
          </w:p>
        </w:tc>
        <w:tc>
          <w:tcPr/>
          <w:p>
            <w:pPr>
              <w:pStyle w:val="Compact"/>
              <w:jc w:val="left"/>
            </w:pPr>
            <w:r>
              <w:t xml:space="preserve">single infusion</w:t>
            </w:r>
          </w:p>
        </w:tc>
        <w:tc>
          <w:tcPr/>
          <w:p>
            <w:pPr>
              <w:pStyle w:val="Compact"/>
              <w:jc w:val="left"/>
            </w:pPr>
            <w:r>
              <w:t xml:space="preserve">More activity in limbic brain regions in response to sexual stimuli; less negative mood</w:t>
            </w:r>
          </w:p>
        </w:tc>
      </w:tr>
      <w:tr>
        <w:tc>
          <w:tcPr/>
          <w:p>
            <w:pPr>
              <w:pStyle w:val="Compact"/>
              <w:jc w:val="left"/>
            </w:pPr>
            <w:r>
              <w:t xml:space="preserve">Thurston 2022, PMID 36287566</w:t>
            </w:r>
          </w:p>
        </w:tc>
        <w:tc>
          <w:tcPr/>
          <w:p>
            <w:pPr>
              <w:pStyle w:val="Compact"/>
              <w:jc w:val="left"/>
            </w:pPr>
            <w:r>
              <w:t xml:space="preserve">32 women with HSDD, double-blind crossover study</w:t>
            </w:r>
          </w:p>
        </w:tc>
        <w:tc>
          <w:tcPr/>
          <w:p>
            <w:pPr>
              <w:pStyle w:val="Compact"/>
              <w:jc w:val="left"/>
            </w:pPr>
            <w:r>
              <w:t xml:space="preserve">75 minutes</w:t>
            </w:r>
          </w:p>
        </w:tc>
        <w:tc>
          <w:tcPr/>
          <w:p>
            <w:pPr>
              <w:pStyle w:val="Compact"/>
              <w:jc w:val="left"/>
            </w:pPr>
            <w:r>
              <w:t xml:space="preserve">Altered activity in brain regions for sexual stimuli and attraction; no side effects</w:t>
            </w:r>
          </w:p>
        </w:tc>
      </w:tr>
      <w:tr>
        <w:tc>
          <w:tcPr/>
          <w:p>
            <w:pPr>
              <w:pStyle w:val="Compact"/>
              <w:jc w:val="left"/>
            </w:pPr>
            <w:r>
              <w:t xml:space="preserve">Mills 2023, PMID 36735255</w:t>
            </w:r>
          </w:p>
        </w:tc>
        <w:tc>
          <w:tcPr/>
          <w:p>
            <w:pPr>
              <w:pStyle w:val="Compact"/>
              <w:jc w:val="left"/>
            </w:pPr>
            <w:r>
              <w:t xml:space="preserve">32 men with HSDD, double-blind crossover study</w:t>
            </w:r>
          </w:p>
        </w:tc>
        <w:tc>
          <w:tcPr/>
          <w:p>
            <w:pPr>
              <w:pStyle w:val="Compact"/>
              <w:jc w:val="left"/>
            </w:pPr>
            <w:r>
              <w:t xml:space="preserve">75 minutes</w:t>
            </w:r>
          </w:p>
        </w:tc>
        <w:tc>
          <w:tcPr/>
          <w:p>
            <w:pPr>
              <w:pStyle w:val="Compact"/>
              <w:jc w:val="left"/>
            </w:pPr>
            <w:r>
              <w:t xml:space="preserve">Altered brain activity; penile tumescence during erotic videos up to 56% greater than under placebo</w:t>
            </w:r>
          </w:p>
        </w:tc>
      </w:tr>
    </w:tbl>
    <w:p>
      <w:pPr>
        <w:pStyle w:val="BodyText"/>
      </w:pPr>
      <w:r>
        <w:t xml:space="preserve">HSDD (hypoactive sexual desire disorder) means persistently low sexual desire with distress. In men with HSDD, a single kisspeptin infusion enhanced not only the activity of sexual brain regions but also measurable physical arousal and some reports of desire, such as</w:t>
      </w:r>
      <w:r>
        <w:t xml:space="preserve"> </w:t>
      </w:r>
      <w:r>
        <w:t xml:space="preserve">“</w:t>
      </w:r>
      <w:r>
        <w:t xml:space="preserve">looking forward to sex</w:t>
      </w:r>
      <w:r>
        <w:t xml:space="preserve">”</w:t>
      </w:r>
      <w:r>
        <w:rPr>
          <w:rStyle w:val="FootnoteReference"/>
        </w:rPr>
        <w:footnoteReference w:id="2162"/>
      </w:r>
      <w:r>
        <w:t xml:space="preserve">. In women with HSDD, the changes in brain activity correlated with distress and sexual aversion</w:t>
      </w:r>
      <w:r>
        <w:rPr>
          <w:rStyle w:val="FootnoteReference"/>
        </w:rPr>
        <w:footnoteReference w:id="2163"/>
      </w:r>
      <w:r>
        <w:t xml:space="preserve">.</w:t>
      </w:r>
    </w:p>
    <w:p>
      <w:pPr>
        <w:pStyle w:val="BodyText"/>
      </w:pPr>
      <w:r>
        <w:rPr>
          <w:bCs/>
          <w:b/>
        </w:rPr>
        <w:t xml:space="preserve">Context:</w:t>
      </w:r>
      <w:r>
        <w:t xml:space="preserve"> </w:t>
      </w:r>
      <w:r>
        <w:t xml:space="preserve">These studies test a single infusion in the laboratory, with brain activity as the primary endpoint. They say nothing about whether kisspeptin improves sexual experience in everyday life over weeks. Administration as an infusion is unsuitable for everyday treatment. A study with 95 people found no effect on anxiety, cortisol, blood pressure or heart rate</w:t>
      </w:r>
      <w:r>
        <w:rPr>
          <w:rStyle w:val="FootnoteReference"/>
        </w:rPr>
        <w:footnoteReference w:id="2164"/>
      </w:r>
      <w:r>
        <w:t xml:space="preserve"> </w:t>
      </w:r>
      <w:r>
        <w:t xml:space="preserve">– reassurance regarding tolerability, not proof of efficacy.</w:t>
      </w:r>
    </w:p>
    <w:bookmarkEnd w:id="2165"/>
    <w:bookmarkStart w:id="2167" w:name="nasal-spray"/>
    <w:p>
      <w:pPr>
        <w:pStyle w:val="Heading4"/>
      </w:pPr>
      <w:r>
        <w:t xml:space="preserve">Nasal Spray</w:t>
      </w:r>
    </w:p>
    <w:p>
      <w:pPr>
        <w:pStyle w:val="FirstParagraph"/>
      </w:pPr>
      <w:r>
        <w:t xml:space="preserve">A nasal spray with kisspeptin-54 increased LH in healthy men and women and in women with hypothalamic amenorrhea, without side effects</w:t>
      </w:r>
      <w:r>
        <w:rPr>
          <w:rStyle w:val="FootnoteReference"/>
        </w:rPr>
        <w:footnoteReference w:id="2166"/>
      </w:r>
      <w:r>
        <w:t xml:space="preserve">. This points to a possible route to treatment without a needle. In mice, kisspeptin was detected in the olfactory mucosa, suggesting a pathway via the olfactory system.</w:t>
      </w:r>
    </w:p>
    <w:bookmarkEnd w:id="2167"/>
    <w:bookmarkStart w:id="2171" w:name="other-findings"/>
    <w:p>
      <w:pPr>
        <w:pStyle w:val="Heading4"/>
      </w:pPr>
      <w:r>
        <w:t xml:space="preserve">Other Findings</w:t>
      </w:r>
    </w:p>
    <w:p>
      <w:pPr>
        <w:numPr>
          <w:ilvl w:val="0"/>
          <w:numId w:val="1271"/>
        </w:numPr>
        <w:pStyle w:val="Compact"/>
      </w:pPr>
      <w:r>
        <w:rPr>
          <w:bCs/>
          <w:b/>
        </w:rPr>
        <w:t xml:space="preserve">Bone:</w:t>
      </w:r>
      <w:r>
        <w:t xml:space="preserve"> </w:t>
      </w:r>
      <w:r>
        <w:t xml:space="preserve">In 26 healthy men, the bone formation marker osteocalcin rose by up to 20.3% after kisspeptin administration</w:t>
      </w:r>
      <w:r>
        <w:rPr>
          <w:rStyle w:val="FootnoteReference"/>
        </w:rPr>
        <w:footnoteReference w:id="2168"/>
      </w:r>
      <w:r>
        <w:t xml:space="preserve">.</w:t>
      </w:r>
    </w:p>
    <w:p>
      <w:pPr>
        <w:numPr>
          <w:ilvl w:val="0"/>
          <w:numId w:val="1271"/>
        </w:numPr>
        <w:pStyle w:val="Compact"/>
      </w:pPr>
      <w:r>
        <w:rPr>
          <w:bCs/>
          <w:b/>
        </w:rPr>
        <w:t xml:space="preserve">Metabolism:</w:t>
      </w:r>
      <w:r>
        <w:t xml:space="preserve"> </w:t>
      </w:r>
      <w:r>
        <w:t xml:space="preserve">In 15 healthy men, kisspeptin increased insulin secretion after a glucose load without changing appetite or food intake</w:t>
      </w:r>
      <w:r>
        <w:rPr>
          <w:rStyle w:val="FootnoteReference"/>
        </w:rPr>
        <w:footnoteReference w:id="2169"/>
      </w:r>
      <w:r>
        <w:t xml:space="preserve">.</w:t>
      </w:r>
    </w:p>
    <w:p>
      <w:pPr>
        <w:numPr>
          <w:ilvl w:val="0"/>
          <w:numId w:val="1271"/>
        </w:numPr>
        <w:pStyle w:val="Compact"/>
      </w:pPr>
      <w:r>
        <w:rPr>
          <w:bCs/>
          <w:b/>
        </w:rPr>
        <w:t xml:space="preserve">Oxytocin:</w:t>
      </w:r>
      <w:r>
        <w:t xml:space="preserve"> </w:t>
      </w:r>
      <w:r>
        <w:t xml:space="preserve">After a kisspeptin injection, the oxytocin level in the blood rose, more in men than in women</w:t>
      </w:r>
      <w:r>
        <w:rPr>
          <w:rStyle w:val="FootnoteReference"/>
        </w:rPr>
        <w:footnoteReference w:id="2170"/>
      </w:r>
      <w:r>
        <w:t xml:space="preserve">. This is being investigated as a possible test for oxytocin deficiency (chapter 2E05).</w:t>
      </w:r>
    </w:p>
    <w:bookmarkEnd w:id="2171"/>
    <w:bookmarkStart w:id="2174" w:name="the-opposite-lowering-hormones"/>
    <w:p>
      <w:pPr>
        <w:pStyle w:val="Heading4"/>
      </w:pPr>
      <w:r>
        <w:t xml:space="preserve">The Opposite: Lowering Hormones</w:t>
      </w:r>
    </w:p>
    <w:p>
      <w:pPr>
        <w:pStyle w:val="FirstParagraph"/>
      </w:pPr>
      <w:r>
        <w:t xml:space="preserve">With continuous administration, the synthetic analog TAK-448 became a hormone blocker. In healthy men over 50, testosterone fell to castration levels after one week of continuous infusion; in men with prostate cancer, a depot injection lowered testosterone and the tumor marker PSA</w:t>
      </w:r>
      <w:r>
        <w:rPr>
          <w:rStyle w:val="FootnoteReference"/>
        </w:rPr>
        <w:footnoteReference w:id="2172"/>
      </w:r>
      <w:r>
        <w:t xml:space="preserve">. Two further phase 2 trials by the manufacturer were terminated early</w:t>
      </w:r>
      <w:r>
        <w:rPr>
          <w:rStyle w:val="FootnoteReference"/>
        </w:rPr>
        <w:footnoteReference w:id="2173"/>
      </w:r>
      <w:r>
        <w:t xml:space="preserve">.</w:t>
      </w:r>
    </w:p>
    <w:bookmarkEnd w:id="2174"/>
    <w:bookmarkEnd w:id="2175"/>
    <w:bookmarkStart w:id="2180" w:name="animal-and-laboratory-studies-49"/>
    <w:p>
      <w:pPr>
        <w:pStyle w:val="Heading3"/>
      </w:pPr>
      <w:r>
        <w:t xml:space="preserve">Animal and laboratory studies</w:t>
      </w:r>
    </w:p>
    <w:p>
      <w:pPr>
        <w:pStyle w:val="FirstParagraph"/>
      </w:pPr>
      <w:r>
        <w:t xml:space="preserve">The role of kisspeptin in puberty and reproduction was first shown in mice with a knocked-out receptor gene; the animals remain sexually immature</w:t>
      </w:r>
      <w:r>
        <w:rPr>
          <w:rStyle w:val="FootnoteReference"/>
        </w:rPr>
        <w:footnoteReference w:id="2176"/>
      </w:r>
      <w:r>
        <w:t xml:space="preserve">. Originally, the peptide was described as a brake on metastasis: in cell culture and in mice, it inhibited the spread of melanoma cells</w:t>
      </w:r>
      <w:r>
        <w:rPr>
          <w:rStyle w:val="FootnoteReference"/>
        </w:rPr>
        <w:footnoteReference w:id="2177"/>
      </w:r>
      <w:r>
        <w:t xml:space="preserve">. Whether this can be used therapeutically is open.</w:t>
      </w:r>
    </w:p>
    <w:p>
      <w:pPr>
        <w:pStyle w:val="BodyText"/>
      </w:pPr>
      <w:r>
        <w:t xml:space="preserve">In rat models of PCOS, kisspeptin restored ovulation in some animals but not in others</w:t>
      </w:r>
      <w:r>
        <w:rPr>
          <w:rStyle w:val="FootnoteReference"/>
        </w:rPr>
        <w:footnoteReference w:id="2178"/>
      </w:r>
      <w:r>
        <w:t xml:space="preserve">. Basic research on kisspeptin and neurokinin B is summarized in a review</w:t>
      </w:r>
      <w:r>
        <w:rPr>
          <w:rStyle w:val="FootnoteReference"/>
        </w:rPr>
        <w:footnoteReference w:id="2179"/>
      </w:r>
      <w:r>
        <w:t xml:space="preserve">.</w:t>
      </w:r>
    </w:p>
    <w:bookmarkEnd w:id="2180"/>
    <w:bookmarkStart w:id="2188" w:name="risks-and-side-effects-49"/>
    <w:p>
      <w:pPr>
        <w:pStyle w:val="Heading3"/>
      </w:pPr>
      <w:r>
        <w:t xml:space="preserve">Risks and side effects</w:t>
      </w:r>
    </w:p>
    <w:bookmarkStart w:id="2185" w:name="established-2"/>
    <w:p>
      <w:pPr>
        <w:pStyle w:val="Heading4"/>
      </w:pPr>
      <w:r>
        <w:t xml:space="preserve">Established</w:t>
      </w:r>
    </w:p>
    <w:p>
      <w:pPr>
        <w:pStyle w:val="FirstParagraph"/>
      </w:pPr>
      <w:r>
        <w:t xml:space="preserve">In all published studies, kisspeptin was well tolerated. Several studies explicitly report no side effects</w:t>
      </w:r>
      <w:r>
        <w:rPr>
          <w:rStyle w:val="FootnoteReference"/>
        </w:rPr>
        <w:footnoteReference w:id="2181"/>
      </w:r>
      <w:r>
        <w:t xml:space="preserve">. Kisspeptin changed neither growth hormone nor prolactin nor the thyroid-stimulating TSH</w:t>
      </w:r>
      <w:r>
        <w:rPr>
          <w:rStyle w:val="FootnoteReference"/>
        </w:rPr>
        <w:footnoteReference w:id="2182"/>
      </w:r>
      <w:r>
        <w:t xml:space="preserve"> </w:t>
      </w:r>
      <w:r>
        <w:t xml:space="preserve">and had no influence on anxiety, blood pressure or heart rate</w:t>
      </w:r>
      <w:r>
        <w:rPr>
          <w:rStyle w:val="FootnoteReference"/>
        </w:rPr>
        <w:footnoteReference w:id="2183"/>
      </w:r>
      <w:r>
        <w:t xml:space="preserve">. With the analog TAK-448, mild to moderate side effects occurred in 26% of those treated</w:t>
      </w:r>
      <w:r>
        <w:rPr>
          <w:rStyle w:val="FootnoteReference"/>
        </w:rPr>
        <w:footnoteReference w:id="2184"/>
      </w:r>
      <w:r>
        <w:t xml:space="preserve">.</w:t>
      </w:r>
    </w:p>
    <w:bookmarkEnd w:id="2185"/>
    <w:bookmarkStart w:id="2186" w:name="theoretical-and-open-questions"/>
    <w:p>
      <w:pPr>
        <w:pStyle w:val="Heading4"/>
      </w:pPr>
      <w:r>
        <w:t xml:space="preserve">Theoretical and Open Questions</w:t>
      </w:r>
    </w:p>
    <w:p>
      <w:pPr>
        <w:numPr>
          <w:ilvl w:val="0"/>
          <w:numId w:val="1272"/>
        </w:numPr>
        <w:pStyle w:val="Compact"/>
      </w:pPr>
      <w:r>
        <w:rPr>
          <w:bCs/>
          <w:b/>
        </w:rPr>
        <w:t xml:space="preserve">Desensitization and hormone drop:</w:t>
      </w:r>
      <w:r>
        <w:t xml:space="preserve"> </w:t>
      </w:r>
      <w:r>
        <w:t xml:space="preserve">With continuous administration, the opposite of the desired effect can occur, as the studies on TAK-448 show. Anyone who uses kisspeptin without medical supervision therefore risks suppressing their own hormone axis.</w:t>
      </w:r>
    </w:p>
    <w:p>
      <w:pPr>
        <w:numPr>
          <w:ilvl w:val="0"/>
          <w:numId w:val="1272"/>
        </w:numPr>
        <w:pStyle w:val="Compact"/>
      </w:pPr>
      <w:r>
        <w:rPr>
          <w:bCs/>
          <w:b/>
        </w:rPr>
        <w:t xml:space="preserve">Long-term data</w:t>
      </w:r>
      <w:r>
        <w:t xml:space="preserve"> </w:t>
      </w:r>
      <w:r>
        <w:t xml:space="preserve">are lacking. The longest studies ran for eight weeks.</w:t>
      </w:r>
    </w:p>
    <w:p>
      <w:pPr>
        <w:numPr>
          <w:ilvl w:val="0"/>
          <w:numId w:val="1272"/>
        </w:numPr>
        <w:pStyle w:val="Compact"/>
      </w:pPr>
      <w:r>
        <w:rPr>
          <w:bCs/>
          <w:b/>
        </w:rPr>
        <w:t xml:space="preserve">Pregnancy:</w:t>
      </w:r>
      <w:r>
        <w:t xml:space="preserve"> </w:t>
      </w:r>
      <w:r>
        <w:t xml:space="preserve">Children have been born after use in IVF; systematic data on the health of these children have not been published.</w:t>
      </w:r>
    </w:p>
    <w:bookmarkEnd w:id="2186"/>
    <w:bookmarkStart w:id="2187" w:name="gray-market-2"/>
    <w:p>
      <w:pPr>
        <w:pStyle w:val="Heading4"/>
      </w:pPr>
      <w:r>
        <w:t xml:space="preserve">Gray Market</w:t>
      </w:r>
    </w:p>
    <w:p>
      <w:pPr>
        <w:pStyle w:val="FirstParagraph"/>
      </w:pPr>
      <w:r>
        <w:t xml:space="preserve">Kisspeptin-10 is offered on the internet as a</w:t>
      </w:r>
      <w:r>
        <w:t xml:space="preserve"> </w:t>
      </w:r>
      <w:r>
        <w:t xml:space="preserve">“</w:t>
      </w:r>
      <w:r>
        <w:t xml:space="preserve">research peptide</w:t>
      </w:r>
      <w:r>
        <w:t xml:space="preserve">”</w:t>
      </w:r>
      <w:r>
        <w:t xml:space="preserve"> </w:t>
      </w:r>
      <w:r>
        <w:t xml:space="preserve">and promoted in forums for boosting testosterone or libido. There are no studies on such products. Because of the short half-life and desensitization with frequent administration, a lasting effect with self-administration is not established; purity and content are untested (see Part I and Part IV).</w:t>
      </w:r>
    </w:p>
    <w:bookmarkEnd w:id="2187"/>
    <w:bookmarkEnd w:id="2188"/>
    <w:bookmarkStart w:id="2189" w:name="legal-status-49"/>
    <w:p>
      <w:pPr>
        <w:pStyle w:val="Heading3"/>
      </w:pPr>
      <w:r>
        <w:t xml:space="preserve">Legal status</w:t>
      </w:r>
    </w:p>
    <w:p>
      <w:pPr>
        <w:pStyle w:val="FirstParagraph"/>
      </w:pPr>
      <w:r>
        <w:rPr>
          <w:iCs/>
          <w:i/>
        </w:rPr>
        <w:t xml:space="preserve">As of 2026, please check for updates.</w:t>
      </w:r>
    </w:p>
    <w:p>
      <w:pPr>
        <w:numPr>
          <w:ilvl w:val="0"/>
          <w:numId w:val="1273"/>
        </w:numPr>
        <w:pStyle w:val="Compact"/>
      </w:pPr>
      <w:r>
        <w:rPr>
          <w:bCs/>
          <w:b/>
        </w:rPr>
        <w:t xml:space="preserve">EU, Germany, Austria:</w:t>
      </w:r>
      <w:r>
        <w:t xml:space="preserve"> </w:t>
      </w:r>
      <w:r>
        <w:t xml:space="preserve">no approval. Kisspeptin may only be used in humans within approved clinical trials. Sale for human use is not permitted.</w:t>
      </w:r>
    </w:p>
    <w:p>
      <w:pPr>
        <w:numPr>
          <w:ilvl w:val="0"/>
          <w:numId w:val="1273"/>
        </w:numPr>
        <w:pStyle w:val="Compact"/>
      </w:pPr>
      <w:r>
        <w:rPr>
          <w:bCs/>
          <w:b/>
        </w:rPr>
        <w:t xml:space="preserve">USA:</w:t>
      </w:r>
      <w:r>
        <w:t xml:space="preserve"> </w:t>
      </w:r>
      <w:r>
        <w:t xml:space="preserve">no approval; use only in studies authorized by the FDA.</w:t>
      </w:r>
    </w:p>
    <w:p>
      <w:pPr>
        <w:numPr>
          <w:ilvl w:val="0"/>
          <w:numId w:val="1273"/>
        </w:numPr>
        <w:pStyle w:val="Compact"/>
      </w:pPr>
      <w:r>
        <w:rPr>
          <w:bCs/>
          <w:b/>
        </w:rPr>
        <w:t xml:space="preserve">WADA:</w:t>
      </w:r>
      <w:r>
        <w:t xml:space="preserve"> </w:t>
      </w:r>
      <w:r>
        <w:t xml:space="preserve">In men, LH releasing factors are prohibited under S2, and non-approved substances in general under S0. Kisspeptin is not named explicitly, but in the author’s assessment falls under these groups.</w:t>
      </w:r>
    </w:p>
    <w:bookmarkEnd w:id="2189"/>
    <w:bookmarkStart w:id="2192" w:name="ongoing-studies-and-outlook-49"/>
    <w:p>
      <w:pPr>
        <w:pStyle w:val="Heading3"/>
      </w:pPr>
      <w:r>
        <w:t xml:space="preserve">Ongoing studies and outlook</w:t>
      </w:r>
    </w:p>
    <w:p>
      <w:pPr>
        <w:pStyle w:val="FirstParagraph"/>
      </w:pPr>
      <w:r>
        <w:rPr>
          <w:bCs/>
          <w:b/>
        </w:rPr>
        <w:t xml:space="preserve">Established (registered studies):</w:t>
      </w:r>
    </w:p>
    <w:p>
      <w:pPr>
        <w:numPr>
          <w:ilvl w:val="0"/>
          <w:numId w:val="1274"/>
        </w:numPr>
        <w:pStyle w:val="Compact"/>
      </w:pPr>
      <w:r>
        <w:rPr>
          <w:bCs/>
          <w:b/>
        </w:rPr>
        <w:t xml:space="preserve">Massachusetts General Hospital, Boston:</w:t>
      </w:r>
      <w:r>
        <w:t xml:space="preserve"> </w:t>
      </w:r>
      <w:r>
        <w:t xml:space="preserve">several phase 1 and phase 2 trials with repeated kisspeptin administration under the skin in congenital hormone deficiency (idiopathic hypogonadotropic hypogonadism, NCT05896293, 36 people, until 2028) and in hypothalamic amenorrhea (NCT07224438, 20 people, until 2030). Another study uses kisspeptin as a test of GnRH nerve cell function</w:t>
      </w:r>
      <w:r>
        <w:rPr>
          <w:rStyle w:val="FootnoteReference"/>
        </w:rPr>
        <w:footnoteReference w:id="2190"/>
      </w:r>
      <w:r>
        <w:t xml:space="preserve">.</w:t>
      </w:r>
    </w:p>
    <w:p>
      <w:pPr>
        <w:numPr>
          <w:ilvl w:val="0"/>
          <w:numId w:val="1274"/>
        </w:numPr>
        <w:pStyle w:val="Compact"/>
      </w:pPr>
      <w:r>
        <w:rPr>
          <w:bCs/>
          <w:b/>
        </w:rPr>
        <w:t xml:space="preserve">Imperial College London:</w:t>
      </w:r>
      <w:r>
        <w:t xml:space="preserve"> </w:t>
      </w:r>
      <w:r>
        <w:t xml:space="preserve">a study running since 2014 on hormone release with prolonged kisspeptin administration (NCT02081924, 76 people).</w:t>
      </w:r>
    </w:p>
    <w:p>
      <w:pPr>
        <w:numPr>
          <w:ilvl w:val="0"/>
          <w:numId w:val="1274"/>
        </w:numPr>
        <w:pStyle w:val="Compact"/>
      </w:pPr>
      <w:r>
        <w:t xml:space="preserve">A phase 2 trial with pulsatile kisspeptin administration in hypogonadism has been completed</w:t>
      </w:r>
      <w:r>
        <w:rPr>
          <w:rStyle w:val="FootnoteReference"/>
        </w:rPr>
        <w:footnoteReference w:id="2191"/>
      </w:r>
      <w:r>
        <w:t xml:space="preserve">; results had not been published in PubMed at the time of going to press.</w:t>
      </w:r>
    </w:p>
    <w:p>
      <w:pPr>
        <w:pStyle w:val="FirstParagraph"/>
      </w:pPr>
      <w:r>
        <w:rPr>
          <w:bCs/>
          <w:b/>
        </w:rPr>
        <w:t xml:space="preserve">Author’s assessment:</w:t>
      </w:r>
      <w:r>
        <w:t xml:space="preserve"> </w:t>
      </w:r>
      <w:r>
        <w:t xml:space="preserve">In terms of its fundamentals, kisspeptin is one of the most scientifically solid peptides in this book – its role in puberty is genetically proven. Clinical development is slow, however, because it is mainly carried by universities. Approval for egg maturation in women at risk of OHSS or as a diagnostic test for puberty disorders seems most realistic, but this would require larger comparative studies. For the treatment of low sexual desire, there is so far no evidence of any benefit in everyday life.</w:t>
      </w:r>
    </w:p>
    <w:bookmarkEnd w:id="2192"/>
    <w:bookmarkStart w:id="2193" w:name="conclusion-49"/>
    <w:p>
      <w:pPr>
        <w:pStyle w:val="Heading3"/>
      </w:pPr>
      <w:r>
        <w:t xml:space="preserve">Conclusion</w:t>
      </w:r>
    </w:p>
    <w:p>
      <w:pPr>
        <w:pStyle w:val="FirstParagraph"/>
      </w:pPr>
      <w:r>
        <w:t xml:space="preserve">Kisspeptin is the body’s master switch for the reproductive hormones, as people with a receptor defect impressively demonstrate. In small studies, it reliably triggered LH release and enabled egg maturation without severe OHSS in women at high risk of overstimulation. Laboratory studies with brain imaging suggest effects on the processing of sexual stimuli but are no proof of benefit in everyday life. The greatest practical obstacle is desensitization with frequent administration, which can go as far as suppression of the hormone axis. Kisspeptin is not approved anywhere; outside of studies, there is no tested use.</w:t>
      </w:r>
    </w:p>
    <w:bookmarkEnd w:id="2193"/>
    <w:bookmarkEnd w:id="2194"/>
    <w:bookmarkStart w:id="2274" w:name="oxytocin-nasal-spray"/>
    <w:p>
      <w:pPr>
        <w:pStyle w:val="Heading2"/>
      </w:pPr>
      <w:r>
        <w:t xml:space="preserve">Oxytocin (Nasal Spray)</w:t>
      </w:r>
    </w:p>
    <w:bookmarkStart w:id="2195" w:name="profile-50"/>
    <w:p>
      <w:pPr>
        <w:pStyle w:val="Heading3"/>
      </w:pPr>
      <w:r>
        <w:t xml:space="preserve">Profile</w:t>
      </w:r>
    </w:p>
    <w:p>
      <w:pPr>
        <w:numPr>
          <w:ilvl w:val="0"/>
          <w:numId w:val="1275"/>
        </w:numPr>
        <w:pStyle w:val="Compact"/>
      </w:pPr>
      <w:r>
        <w:rPr>
          <w:bCs/>
          <w:b/>
        </w:rPr>
        <w:t xml:space="preserve">Type/structure:</w:t>
      </w:r>
      <w:r>
        <w:t xml:space="preserve"> </w:t>
      </w:r>
      <w:r>
        <w:t xml:space="preserve">the body’s own peptide hormone of nine amino acids. Two sulfur bridges close six of them into a ring. Oxytocin is closely related to the hormone vasopressin (antidiuretic hormone), which differs in only two building blocks.</w:t>
      </w:r>
    </w:p>
    <w:p>
      <w:pPr>
        <w:numPr>
          <w:ilvl w:val="0"/>
          <w:numId w:val="1275"/>
        </w:numPr>
        <w:pStyle w:val="Compact"/>
      </w:pPr>
      <w:r>
        <w:rPr>
          <w:bCs/>
          <w:b/>
        </w:rPr>
        <w:t xml:space="preserve">Origin:</w:t>
      </w:r>
      <w:r>
        <w:t xml:space="preserve"> </w:t>
      </w:r>
      <w:r>
        <w:t xml:space="preserve">produced in nerve cells of the hypothalamus and released into the blood by the posterior pituitary gland; also a messenger within the brain. In 1953, oxytocin was the first peptide hormone to be synthesized in the laboratory; Vincent du Vigneaud received the 1955 Nobel Prize in Chemistry for this.</w:t>
      </w:r>
    </w:p>
    <w:p>
      <w:pPr>
        <w:numPr>
          <w:ilvl w:val="0"/>
          <w:numId w:val="1275"/>
        </w:numPr>
        <w:pStyle w:val="Compact"/>
      </w:pPr>
      <w:r>
        <w:rPr>
          <w:bCs/>
          <w:b/>
        </w:rPr>
        <w:t xml:space="preserve">Mechanism of action:</w:t>
      </w:r>
      <w:r>
        <w:t xml:space="preserve"> </w:t>
      </w:r>
      <w:r>
        <w:t xml:space="preserve">agonist at the oxytocin receptor. In the body, it triggers labor contractions and the milk let-down reflex; in the brain, it is involved in bonding, social behavior and stress regulation.</w:t>
      </w:r>
    </w:p>
    <w:p>
      <w:pPr>
        <w:numPr>
          <w:ilvl w:val="0"/>
          <w:numId w:val="1275"/>
        </w:numPr>
        <w:pStyle w:val="Compact"/>
      </w:pPr>
      <w:r>
        <w:rPr>
          <w:bCs/>
          <w:b/>
        </w:rPr>
        <w:t xml:space="preserve">Approval EU and USA (injection/infusion):</w:t>
      </w:r>
      <w:r>
        <w:t xml:space="preserve"> </w:t>
      </w:r>
      <w:r>
        <w:t xml:space="preserve">yes, for decades in obstetrics, for inducing and augmenting labor and for preventing heavy bleeding after childbirth.</w:t>
      </w:r>
    </w:p>
    <w:p>
      <w:pPr>
        <w:numPr>
          <w:ilvl w:val="0"/>
          <w:numId w:val="1275"/>
        </w:numPr>
        <w:pStyle w:val="Compact"/>
      </w:pPr>
      <w:r>
        <w:rPr>
          <w:bCs/>
          <w:b/>
        </w:rPr>
        <w:t xml:space="preserve">Approval as a nasal spray:</w:t>
      </w:r>
      <w:r>
        <w:t xml:space="preserve"> </w:t>
      </w:r>
      <w:r>
        <w:t xml:space="preserve">An oxytocin nasal spray was formerly approved in several European countries to promote milk flow during breastfeeding, but is no longer on the market in many places. Oxytocin is not approved anywhere for psychological, social or sexual uses.</w:t>
      </w:r>
    </w:p>
    <w:p>
      <w:pPr>
        <w:numPr>
          <w:ilvl w:val="0"/>
          <w:numId w:val="1275"/>
        </w:numPr>
        <w:pStyle w:val="Compact"/>
      </w:pPr>
      <w:r>
        <w:rPr>
          <w:bCs/>
          <w:b/>
        </w:rPr>
        <w:t xml:space="preserve">WADA:</w:t>
      </w:r>
      <w:r>
        <w:t xml:space="preserve"> </w:t>
      </w:r>
      <w:r>
        <w:t xml:space="preserve">not listed.</w:t>
      </w:r>
    </w:p>
    <w:p>
      <w:pPr>
        <w:numPr>
          <w:ilvl w:val="0"/>
          <w:numId w:val="1275"/>
        </w:numPr>
        <w:pStyle w:val="Compact"/>
      </w:pPr>
      <w:r>
        <w:rPr>
          <w:bCs/>
          <w:b/>
        </w:rPr>
        <w:t xml:space="preserve">Evidence level:</w:t>
      </w:r>
      <w:r>
        <w:t xml:space="preserve"> </w:t>
      </w:r>
      <w:r>
        <w:rPr>
          <w:bCs/>
          <w:b/>
        </w:rPr>
        <w:t xml:space="preserve">B</w:t>
      </w:r>
      <w:r>
        <w:t xml:space="preserve"> </w:t>
      </w:r>
      <w:r>
        <w:t xml:space="preserve">for use as a nasal spray – hundreds of randomized studies, but mostly small and with single doses; the few large treatment trials were negative. For obstetrics (infusion, injection), level A applies; it is not the focus of this chapter.</w:t>
      </w:r>
    </w:p>
    <w:bookmarkEnd w:id="2195"/>
    <w:bookmarkStart w:id="2207" w:name="how-it-is-supposed-to-work-50"/>
    <w:p>
      <w:pPr>
        <w:pStyle w:val="Heading3"/>
      </w:pPr>
      <w:r>
        <w:t xml:space="preserve">How it is supposed to work</w:t>
      </w:r>
    </w:p>
    <w:bookmarkStart w:id="2196" w:name="from-labor-hormone-to-cuddle-hormone"/>
    <w:p>
      <w:pPr>
        <w:pStyle w:val="Heading4"/>
      </w:pPr>
      <w:r>
        <w:t xml:space="preserve">From Labor Hormone to</w:t>
      </w:r>
      <w:r>
        <w:t xml:space="preserve"> </w:t>
      </w:r>
      <w:r>
        <w:t xml:space="preserve">“</w:t>
      </w:r>
      <w:r>
        <w:t xml:space="preserve">Cuddle Hormone</w:t>
      </w:r>
      <w:r>
        <w:t xml:space="preserve">”</w:t>
      </w:r>
    </w:p>
    <w:p>
      <w:pPr>
        <w:pStyle w:val="FirstParagraph"/>
      </w:pPr>
      <w:r>
        <w:t xml:space="preserve">Oxytocin takes its name from the Greek expression for</w:t>
      </w:r>
      <w:r>
        <w:t xml:space="preserve"> </w:t>
      </w:r>
      <w:r>
        <w:t xml:space="preserve">“</w:t>
      </w:r>
      <w:r>
        <w:t xml:space="preserve">quick birth.</w:t>
      </w:r>
      <w:r>
        <w:t xml:space="preserve">”</w:t>
      </w:r>
      <w:r>
        <w:t xml:space="preserve"> </w:t>
      </w:r>
      <w:r>
        <w:t xml:space="preserve">Its classic tasks are physical: it makes the uterus contract and squeezes milk out of the glands of the breast. Since the 1990s, a second role has come into focus. In prairie voles, which form lifelong pairs, pair bonding depends on the oxytocin system in the brain (animal experiments). In sheep and rodents, it controls mothers’ caregiving behavior toward their offspring.</w:t>
      </w:r>
    </w:p>
    <w:p>
      <w:pPr>
        <w:pStyle w:val="BodyText"/>
      </w:pPr>
      <w:r>
        <w:t xml:space="preserve">From 2005 onward, these animal findings gave rise to a wave of human studies that administered oxytocin as a nasal spray and measured social behavior. The media coined labels such as</w:t>
      </w:r>
      <w:r>
        <w:t xml:space="preserve"> </w:t>
      </w:r>
      <w:r>
        <w:t xml:space="preserve">“</w:t>
      </w:r>
      <w:r>
        <w:t xml:space="preserve">cuddle hormone,</w:t>
      </w:r>
      <w:r>
        <w:t xml:space="preserve">”</w:t>
      </w:r>
      <w:r>
        <w:t xml:space="preserve"> </w:t>
      </w:r>
      <w:r>
        <w:t xml:space="preserve">“</w:t>
      </w:r>
      <w:r>
        <w:t xml:space="preserve">trust hormone</w:t>
      </w:r>
      <w:r>
        <w:t xml:space="preserve">”</w:t>
      </w:r>
      <w:r>
        <w:t xml:space="preserve"> </w:t>
      </w:r>
      <w:r>
        <w:t xml:space="preserve">or</w:t>
      </w:r>
      <w:r>
        <w:t xml:space="preserve"> </w:t>
      </w:r>
      <w:r>
        <w:t xml:space="preserve">“</w:t>
      </w:r>
      <w:r>
        <w:t xml:space="preserve">love hormone.</w:t>
      </w:r>
      <w:r>
        <w:t xml:space="preserve">”</w:t>
      </w:r>
      <w:r>
        <w:t xml:space="preserve"> </w:t>
      </w:r>
      <w:r>
        <w:t xml:space="preserve">As this chapter shows, the evidence today is far more sobering than these catchwords.</w:t>
      </w:r>
    </w:p>
    <w:bookmarkEnd w:id="2196"/>
    <w:bookmarkStart w:id="2204" w:name="the-problem-with-the-nose"/>
    <w:p>
      <w:pPr>
        <w:pStyle w:val="Heading4"/>
      </w:pPr>
      <w:r>
        <w:t xml:space="preserve">The Problem with the Nose</w:t>
      </w:r>
    </w:p>
    <w:p>
      <w:pPr>
        <w:pStyle w:val="FirstParagraph"/>
      </w:pPr>
      <w:r>
        <w:t xml:space="preserve">As a peptide, oxytocin is too large and too water-soluble to cross the blood-brain barrier in significant amounts. The nasal spray is supposed to find a route directly into the brain via the olfactory and trigeminal nerves in the nasal mucosa. Whether this works, and to what extent, is one of the central open questions in the field:</w:t>
      </w:r>
    </w:p>
    <w:p>
      <w:pPr>
        <w:numPr>
          <w:ilvl w:val="0"/>
          <w:numId w:val="1276"/>
        </w:numPr>
        <w:pStyle w:val="Compact"/>
      </w:pPr>
      <w:r>
        <w:rPr>
          <w:bCs/>
          <w:b/>
        </w:rPr>
        <w:t xml:space="preserve">Skeptical view:</w:t>
      </w:r>
      <w:r>
        <w:t xml:space="preserve"> </w:t>
      </w:r>
      <w:r>
        <w:t xml:space="preserve">Only a tiny fraction of the sprayed amount reaches the cerebrospinal fluid, while the level in the blood rises far above natural values. Many observed effects could therefore stem from effects in the body, for example on the heart or gut, which then indirectly influence the brain</w:t>
      </w:r>
      <w:r>
        <w:rPr>
          <w:rStyle w:val="FootnoteReference"/>
        </w:rPr>
        <w:footnoteReference w:id="2197"/>
      </w:r>
      <w:r>
        <w:t xml:space="preserve">.</w:t>
      </w:r>
    </w:p>
    <w:p>
      <w:pPr>
        <w:numPr>
          <w:ilvl w:val="0"/>
          <w:numId w:val="1276"/>
        </w:numPr>
        <w:pStyle w:val="Compact"/>
      </w:pPr>
      <w:r>
        <w:rPr>
          <w:bCs/>
          <w:b/>
        </w:rPr>
        <w:t xml:space="preserve">Findings in monkeys:</w:t>
      </w:r>
      <w:r>
        <w:t xml:space="preserve"> </w:t>
      </w:r>
      <w:r>
        <w:t xml:space="preserve">In rhesus monkeys, labeled oxytocin reached the cerebrospinal fluid after both nasal and intravenous administration; the nose was not superior</w:t>
      </w:r>
      <w:r>
        <w:rPr>
          <w:rStyle w:val="FootnoteReference"/>
        </w:rPr>
        <w:footnoteReference w:id="2198"/>
      </w:r>
      <w:r>
        <w:t xml:space="preserve">. In a second study, labeled oxytocin was found after nasal – but not intravenous – administration in brain regions along the olfactory and trigeminal pathways</w:t>
      </w:r>
      <w:r>
        <w:rPr>
          <w:rStyle w:val="FootnoteReference"/>
        </w:rPr>
        <w:footnoteReference w:id="2199"/>
      </w:r>
      <w:r>
        <w:t xml:space="preserve">.</w:t>
      </w:r>
    </w:p>
    <w:p>
      <w:pPr>
        <w:numPr>
          <w:ilvl w:val="0"/>
          <w:numId w:val="1276"/>
        </w:numPr>
        <w:pStyle w:val="Compact"/>
      </w:pPr>
      <w:r>
        <w:rPr>
          <w:bCs/>
          <w:b/>
        </w:rPr>
        <w:t xml:space="preserve">Findings in humans:</w:t>
      </w:r>
      <w:r>
        <w:t xml:space="preserve"> </w:t>
      </w:r>
      <w:r>
        <w:t xml:space="preserve">One study compared nasal spray, nebulizer and infusion. The decrease in blood flow in the amygdala could be fully explained by the rise in the blood; at the same time, there were indications of direct effects via the nose in other regions</w:t>
      </w:r>
      <w:r>
        <w:rPr>
          <w:rStyle w:val="FootnoteReference"/>
        </w:rPr>
        <w:footnoteReference w:id="2200"/>
      </w:r>
      <w:r>
        <w:t xml:space="preserve">.</w:t>
      </w:r>
    </w:p>
    <w:p>
      <w:pPr>
        <w:numPr>
          <w:ilvl w:val="0"/>
          <w:numId w:val="1276"/>
        </w:numPr>
        <w:pStyle w:val="Compact"/>
      </w:pPr>
      <w:r>
        <w:rPr>
          <w:bCs/>
          <w:b/>
        </w:rPr>
        <w:t xml:space="preserve">Measurement problems:</w:t>
      </w:r>
      <w:r>
        <w:t xml:space="preserve"> </w:t>
      </w:r>
      <w:r>
        <w:t xml:space="preserve">Oxytocin levels in the blood do not reflect levels in the brain under resting conditions</w:t>
      </w:r>
      <w:r>
        <w:rPr>
          <w:rStyle w:val="FootnoteReference"/>
        </w:rPr>
        <w:footnoteReference w:id="2201"/>
      </w:r>
      <w:r>
        <w:t xml:space="preserve">. Many older studies also used measurement methods now considered unreliable</w:t>
      </w:r>
      <w:r>
        <w:rPr>
          <w:rStyle w:val="FootnoteReference"/>
        </w:rPr>
        <w:footnoteReference w:id="2202"/>
      </w:r>
      <w:r>
        <w:t xml:space="preserve">.</w:t>
      </w:r>
    </w:p>
    <w:p>
      <w:pPr>
        <w:pStyle w:val="FirstParagraph"/>
      </w:pPr>
      <w:r>
        <w:t xml:space="preserve">Experts who view the field positively overall now consider a direct route from the nose to the brain to be established, but emphasize that dose, spray technique and the sex of the participants strongly influence the results</w:t>
      </w:r>
      <w:r>
        <w:rPr>
          <w:rStyle w:val="FootnoteReference"/>
        </w:rPr>
        <w:footnoteReference w:id="2203"/>
      </w:r>
      <w:r>
        <w:t xml:space="preserve">. For readers, this means: whether an oxytocin nasal spray reaches the brain depends on many details, and even experts disagree about the magnitude.</w:t>
      </w:r>
    </w:p>
    <w:bookmarkEnd w:id="2204"/>
    <w:bookmarkStart w:id="2206" w:name="Xee5480d3a1b17b9c054982829e136d26bfee44c"/>
    <w:p>
      <w:pPr>
        <w:pStyle w:val="Heading4"/>
      </w:pPr>
      <w:r>
        <w:t xml:space="preserve">Briefly in Context: Oxytocin in Obstetrics</w:t>
      </w:r>
    </w:p>
    <w:p>
      <w:pPr>
        <w:pStyle w:val="FirstParagraph"/>
      </w:pPr>
      <w:r>
        <w:t xml:space="preserve">As an infusion or injection, oxytocin is one of the most important medicines in the world; the World Health Organization includes it on its List of Essential Medicines. It is used to induce or strengthen labor contractions and to prevent heavy bleeding after childbirth. A Cochrane review of 24 studies concluded that prophylactic oxytocin roughly halves the risk of blood loss of 500 ml or more (relative risk 0.51), although the quality of the individual studies was partly low</w:t>
      </w:r>
      <w:r>
        <w:rPr>
          <w:rStyle w:val="FootnoteReference"/>
        </w:rPr>
        <w:footnoteReference w:id="2205"/>
      </w:r>
      <w:r>
        <w:t xml:space="preserve">. This use belongs exclusively in the hands of midwives and physicians; dosage and monitoring are governed by the prescribing information. It plays no role in assessing the nasal spray for psychological questions.</w:t>
      </w:r>
    </w:p>
    <w:bookmarkEnd w:id="2206"/>
    <w:bookmarkEnd w:id="2207"/>
    <w:bookmarkStart w:id="2252" w:name="human-studies-50"/>
    <w:p>
      <w:pPr>
        <w:pStyle w:val="Heading3"/>
      </w:pPr>
      <w:r>
        <w:t xml:space="preserve">Human studies</w:t>
      </w:r>
    </w:p>
    <w:p>
      <w:pPr>
        <w:pStyle w:val="FirstParagraph"/>
      </w:pPr>
      <w:r>
        <w:rPr>
          <w:bCs/>
          <w:b/>
        </w:rPr>
        <w:t xml:space="preserve">Size of the evidence base (search October 2026):</w:t>
      </w:r>
      <w:r>
        <w:t xml:space="preserve"> </w:t>
      </w:r>
      <w:r>
        <w:t xml:space="preserve">The automated search for this book (term</w:t>
      </w:r>
      <w:r>
        <w:t xml:space="preserve"> </w:t>
      </w:r>
      <w:r>
        <w:t xml:space="preserve">“</w:t>
      </w:r>
      <w:r>
        <w:t xml:space="preserve">intranasal oxytocin</w:t>
      </w:r>
      <w:r>
        <w:t xml:space="preserve">”</w:t>
      </w:r>
      <w:r>
        <w:t xml:space="preserve"> </w:t>
      </w:r>
      <w:r>
        <w:t xml:space="preserve">in title or abstract) found</w:t>
      </w:r>
      <w:r>
        <w:t xml:space="preserve"> </w:t>
      </w:r>
      <w:r>
        <w:rPr>
          <w:bCs/>
          <w:b/>
        </w:rPr>
        <w:t xml:space="preserve">349</w:t>
      </w:r>
      <w:r>
        <w:t xml:space="preserve"> </w:t>
      </w:r>
      <w:r>
        <w:t xml:space="preserve">human studies in PubMed (</w:t>
      </w:r>
      <w:r>
        <w:rPr>
          <w:rStyle w:val="VerbatimChar"/>
        </w:rPr>
        <w:t xml:space="preserve">humanstudien_alle</w:t>
      </w:r>
      <w:r>
        <w:t xml:space="preserve">) and</w:t>
      </w:r>
      <w:r>
        <w:t xml:space="preserve"> </w:t>
      </w:r>
      <w:r>
        <w:rPr>
          <w:bCs/>
          <w:b/>
        </w:rPr>
        <w:t xml:space="preserve">263</w:t>
      </w:r>
      <w:r>
        <w:t xml:space="preserve"> </w:t>
      </w:r>
      <w:r>
        <w:t xml:space="preserve">entries on ClinicalTrials.gov, of which around 20 are still recruiting. In addition, there are at least 15 meta-analyses and systematic reviews. This makes oxytocin the most frequently studied peptide in humans in this part of the book. However, the vast majority of studies gave only a single dose to mostly 20 to 60 young, healthy men and measured short-term changes in laboratory tests or in the brain scanner.</w:t>
      </w:r>
    </w:p>
    <w:p>
      <w:pPr>
        <w:pStyle w:val="BodyText"/>
      </w:pPr>
      <w:r>
        <w:t xml:space="preserve">This chapter sorts the studies into four groups: basic studies in healthy people followed by the replication crisis, autism as the most important treatment field, other psychiatric disorders, and finally metabolism, pain and sexuality.</w:t>
      </w:r>
    </w:p>
    <w:bookmarkStart w:id="2211" w:name="X1871000522ec9e025ccea3d517db2832727bfa8"/>
    <w:p>
      <w:pPr>
        <w:pStyle w:val="Heading4"/>
      </w:pPr>
      <w:r>
        <w:t xml:space="preserve">Social Behavior in Healthy People: Trust, Stress, Emotions</w:t>
      </w:r>
    </w:p>
    <w:p>
      <w:pPr>
        <w:pStyle w:val="FirstParagraph"/>
      </w:pPr>
      <w:r>
        <w:rPr>
          <w:bCs/>
          <w:b/>
        </w:rPr>
        <w:t xml:space="preserve">Trust.</w:t>
      </w:r>
      <w:r>
        <w:t xml:space="preserve"> </w:t>
      </w:r>
      <w:r>
        <w:t xml:space="preserve">The study that founded the field appeared in Nature in 2005: men who had sniffed oxytocin entrusted more money to a stranger in an economic game</w:t>
      </w:r>
      <w:r>
        <w:rPr>
          <w:rStyle w:val="FootnoteReference"/>
        </w:rPr>
        <w:footnoteReference w:id="2208"/>
      </w:r>
      <w:r>
        <w:t xml:space="preserve">. In this</w:t>
      </w:r>
      <w:r>
        <w:t xml:space="preserve"> </w:t>
      </w:r>
      <w:r>
        <w:t xml:space="preserve">“</w:t>
      </w:r>
      <w:r>
        <w:t xml:space="preserve">trust game,</w:t>
      </w:r>
      <w:r>
        <w:t xml:space="preserve">”</w:t>
      </w:r>
      <w:r>
        <w:t xml:space="preserve"> </w:t>
      </w:r>
      <w:r>
        <w:t xml:space="preserve">an investor decides how much money to hand over to a trustee; the amount is multiplied, and the trustee decides how much to return. Oxytocin did not increase willingness to take risks in general, but specifically the willingness to take social risks.</w:t>
      </w:r>
    </w:p>
    <w:p>
      <w:pPr>
        <w:pStyle w:val="BodyText"/>
      </w:pPr>
      <w:r>
        <w:rPr>
          <w:bCs/>
          <w:b/>
        </w:rPr>
        <w:t xml:space="preserve">Stress.</w:t>
      </w:r>
      <w:r>
        <w:t xml:space="preserve"> </w:t>
      </w:r>
      <w:r>
        <w:t xml:space="preserve">In a study with 37 healthy men, oxytocin dampened anxiety during a standardized stress test (public speaking and mental arithmetic in front of an audience). The lowest levels of the stress hormone cortisol were found in men who received oxytocin and were additionally supported by their best friend</w:t>
      </w:r>
      <w:r>
        <w:rPr>
          <w:rStyle w:val="FootnoteReference"/>
        </w:rPr>
        <w:footnoteReference w:id="2209"/>
      </w:r>
      <w:r>
        <w:t xml:space="preserve">.</w:t>
      </w:r>
    </w:p>
    <w:p>
      <w:pPr>
        <w:pStyle w:val="BodyText"/>
      </w:pPr>
      <w:r>
        <w:rPr>
          <w:bCs/>
          <w:b/>
        </w:rPr>
        <w:t xml:space="preserve">Recognizing emotions.</w:t>
      </w:r>
      <w:r>
        <w:t xml:space="preserve"> </w:t>
      </w:r>
      <w:r>
        <w:t xml:space="preserve">A meta-analysis of 33 studies found that a single dose slightly improved the recognition of basic emotions, especially fear, in healthy people. In people with mental illness, by contrast, there was no effect</w:t>
      </w:r>
      <w:r>
        <w:rPr>
          <w:rStyle w:val="FootnoteReference"/>
        </w:rPr>
        <w:footnoteReference w:id="2210"/>
      </w:r>
      <w:r>
        <w:t xml:space="preserve">.</w:t>
      </w:r>
    </w:p>
    <w:p>
      <w:pPr>
        <w:pStyle w:val="BodyText"/>
      </w:pPr>
      <w:r>
        <w:t xml:space="preserve">Hundreds of other studies reported effects on gaze behavior, empathy, memory for faces, group affiliation, lying, generosity, jealousy and much more. Many of these findings occurred only in subgroups, for example only in men, only in anxious people or only with certain gene variants of the oxytocin receptor.</w:t>
      </w:r>
    </w:p>
    <w:bookmarkEnd w:id="2211"/>
    <w:bookmarkStart w:id="2217" w:name="the-replication-crisis"/>
    <w:p>
      <w:pPr>
        <w:pStyle w:val="Heading4"/>
      </w:pPr>
      <w:r>
        <w:t xml:space="preserve">The Replication Crisis</w:t>
      </w:r>
    </w:p>
    <w:p>
      <w:pPr>
        <w:pStyle w:val="FirstParagraph"/>
      </w:pPr>
      <w:r>
        <w:t xml:space="preserve">From around 2015, doubts grew. The term replication crisis describes the problem that many published findings in psychology and medicine are not confirmed when other researchers repeat them. Oxytocin became a prime example.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Type</w:t>
            </w:r>
          </w:p>
        </w:tc>
        <w:tc>
          <w:tcPr/>
          <w:p>
            <w:pPr>
              <w:pStyle w:val="Compact"/>
              <w:jc w:val="left"/>
            </w:pPr>
            <w:r>
              <w:t xml:space="preserve">Key message</w:t>
            </w:r>
          </w:p>
        </w:tc>
      </w:tr>
      <w:tr>
        <w:tc>
          <w:tcPr/>
          <w:p>
            <w:pPr>
              <w:pStyle w:val="Compact"/>
              <w:jc w:val="left"/>
            </w:pPr>
            <w:r>
              <w:t xml:space="preserve">Kosfeld 2005, PMID 15931222</w:t>
            </w:r>
          </w:p>
        </w:tc>
        <w:tc>
          <w:tcPr/>
          <w:p>
            <w:pPr>
              <w:pStyle w:val="Compact"/>
              <w:jc w:val="left"/>
            </w:pPr>
            <w:r>
              <w:t xml:space="preserve">original study, trust game</w:t>
            </w:r>
          </w:p>
        </w:tc>
        <w:tc>
          <w:tcPr/>
          <w:p>
            <w:pPr>
              <w:pStyle w:val="Compact"/>
              <w:jc w:val="left"/>
            </w:pPr>
            <w:r>
              <w:t xml:space="preserve">Oxytocin increases trust</w:t>
            </w:r>
          </w:p>
        </w:tc>
      </w:tr>
      <w:tr>
        <w:tc>
          <w:tcPr/>
          <w:p>
            <w:pPr>
              <w:pStyle w:val="Compact"/>
              <w:jc w:val="left"/>
            </w:pPr>
            <w:r>
              <w:t xml:space="preserve">Nave 2015, PMID 26581735</w:t>
            </w:r>
          </w:p>
        </w:tc>
        <w:tc>
          <w:tcPr/>
          <w:p>
            <w:pPr>
              <w:pStyle w:val="Compact"/>
              <w:jc w:val="left"/>
            </w:pPr>
            <w:r>
              <w:t xml:space="preserve">critical review</w:t>
            </w:r>
          </w:p>
        </w:tc>
        <w:tc>
          <w:tcPr/>
          <w:p>
            <w:pPr>
              <w:pStyle w:val="Compact"/>
              <w:jc w:val="left"/>
            </w:pPr>
            <w:r>
              <w:t xml:space="preserve">The trust effect could not be reliably replicated</w:t>
            </w:r>
          </w:p>
        </w:tc>
      </w:tr>
      <w:tr>
        <w:tc>
          <w:tcPr/>
          <w:p>
            <w:pPr>
              <w:pStyle w:val="Compact"/>
              <w:jc w:val="left"/>
            </w:pPr>
            <w:r>
              <w:t xml:space="preserve">Lane 2015, PMID 26368396</w:t>
            </w:r>
          </w:p>
        </w:tc>
        <w:tc>
          <w:tcPr/>
          <w:p>
            <w:pPr>
              <w:pStyle w:val="Compact"/>
              <w:jc w:val="left"/>
            </w:pPr>
            <w:r>
              <w:t xml:space="preserve">two replication studies (95 and 61 people)</w:t>
            </w:r>
          </w:p>
        </w:tc>
        <w:tc>
          <w:tcPr/>
          <w:p>
            <w:pPr>
              <w:pStyle w:val="Compact"/>
              <w:jc w:val="left"/>
            </w:pPr>
            <w:r>
              <w:t xml:space="preserve">Large effect in a different trust test not confirmed</w:t>
            </w:r>
          </w:p>
        </w:tc>
      </w:tr>
      <w:tr>
        <w:tc>
          <w:tcPr/>
          <w:p>
            <w:pPr>
              <w:pStyle w:val="Compact"/>
              <w:jc w:val="left"/>
            </w:pPr>
            <w:r>
              <w:t xml:space="preserve">Walum 2016, PMID 26210057</w:t>
            </w:r>
          </w:p>
        </w:tc>
        <w:tc>
          <w:tcPr/>
          <w:p>
            <w:pPr>
              <w:pStyle w:val="Compact"/>
              <w:jc w:val="left"/>
            </w:pPr>
            <w:r>
              <w:t xml:space="preserve">statistical analysis of the field</w:t>
            </w:r>
          </w:p>
        </w:tc>
        <w:tc>
          <w:tcPr/>
          <w:p>
            <w:pPr>
              <w:pStyle w:val="Compact"/>
              <w:jc w:val="left"/>
            </w:pPr>
            <w:r>
              <w:t xml:space="preserve">Studies mostly too small; most published findings probably not real effects</w:t>
            </w:r>
          </w:p>
        </w:tc>
      </w:tr>
      <w:tr>
        <w:tc>
          <w:tcPr/>
          <w:p>
            <w:pPr>
              <w:pStyle w:val="Compact"/>
              <w:jc w:val="left"/>
            </w:pPr>
            <w:r>
              <w:t xml:space="preserve">Mierop 2020, PMID 32633663</w:t>
            </w:r>
          </w:p>
        </w:tc>
        <w:tc>
          <w:tcPr/>
          <w:p>
            <w:pPr>
              <w:pStyle w:val="Compact"/>
              <w:jc w:val="left"/>
            </w:pPr>
            <w:r>
              <w:t xml:space="preserve">systematic review</w:t>
            </w:r>
          </w:p>
        </w:tc>
        <w:tc>
          <w:tcPr/>
          <w:p>
            <w:pPr>
              <w:pStyle w:val="Compact"/>
              <w:jc w:val="left"/>
            </w:pPr>
            <w:r>
              <w:t xml:space="preserve">Replication attempts for interactions mostly unsuccessful; statistical power critically low</w:t>
            </w:r>
          </w:p>
        </w:tc>
      </w:tr>
      <w:tr>
        <w:tc>
          <w:tcPr/>
          <w:p>
            <w:pPr>
              <w:pStyle w:val="Compact"/>
              <w:jc w:val="left"/>
            </w:pPr>
            <w:r>
              <w:t xml:space="preserve">Declerck 2020, PMID 32514040</w:t>
            </w:r>
          </w:p>
        </w:tc>
        <w:tc>
          <w:tcPr/>
          <w:p>
            <w:pPr>
              <w:pStyle w:val="Compact"/>
              <w:jc w:val="left"/>
            </w:pPr>
            <w:r>
              <w:t xml:space="preserve">preregistered replication study</w:t>
            </w:r>
          </w:p>
        </w:tc>
        <w:tc>
          <w:tcPr/>
          <w:p>
            <w:pPr>
              <w:pStyle w:val="Compact"/>
              <w:jc w:val="left"/>
            </w:pPr>
            <w:r>
              <w:t xml:space="preserve">No effect on trust in the original condition</w:t>
            </w:r>
          </w:p>
        </w:tc>
      </w:tr>
      <w:tr>
        <w:tc>
          <w:tcPr/>
          <w:p>
            <w:pPr>
              <w:pStyle w:val="Compact"/>
              <w:jc w:val="left"/>
            </w:pPr>
            <w:r>
              <w:t xml:space="preserve">Vogt 2026, PMID 42561025</w:t>
            </w:r>
          </w:p>
        </w:tc>
        <w:tc>
          <w:tcPr/>
          <w:p>
            <w:pPr>
              <w:pStyle w:val="Compact"/>
              <w:jc w:val="left"/>
            </w:pPr>
            <w:r>
              <w:t xml:space="preserve">preregistered study, 359 men with low baseline trust</w:t>
            </w:r>
          </w:p>
        </w:tc>
        <w:tc>
          <w:tcPr/>
          <w:p>
            <w:pPr>
              <w:pStyle w:val="Compact"/>
              <w:jc w:val="left"/>
            </w:pPr>
            <w:r>
              <w:t xml:space="preserve">Trust increased by around 15%</w:t>
            </w:r>
          </w:p>
        </w:tc>
      </w:tr>
    </w:tbl>
    <w:p>
      <w:pPr>
        <w:pStyle w:val="BodyText"/>
      </w:pPr>
      <w:r>
        <w:t xml:space="preserve">A 2015 review concluded that the totality of the data does not show that human trust is reliably associated with or caused by oxytocin</w:t>
      </w:r>
      <w:r>
        <w:rPr>
          <w:rStyle w:val="FootnoteReference"/>
        </w:rPr>
        <w:footnoteReference w:id="2212"/>
      </w:r>
      <w:r>
        <w:t xml:space="preserve">. A statistical analysis of all nasal spray studies went further: the studies were generally too small to find realistic effects, and in all likelihood most published findings did not represent real effects</w:t>
      </w:r>
      <w:r>
        <w:rPr>
          <w:rStyle w:val="FootnoteReference"/>
        </w:rPr>
        <w:footnoteReference w:id="2213"/>
      </w:r>
      <w:r>
        <w:t xml:space="preserve">.</w:t>
      </w:r>
    </w:p>
    <w:p>
      <w:pPr>
        <w:pStyle w:val="BodyText"/>
      </w:pPr>
      <w:r>
        <w:t xml:space="preserve">The most important test was a large, preregistered replication of the trust study with a statistical power of over 95%. In the condition corresponding to the original study, oxytocin showed no effect. A post hoc analysis suggested an effect only in people with low baseline trust</w:t>
      </w:r>
      <w:r>
        <w:rPr>
          <w:rStyle w:val="FootnoteReference"/>
        </w:rPr>
        <w:footnoteReference w:id="2214"/>
      </w:r>
      <w:r>
        <w:t xml:space="preserve">. Precisely this hypothesis was tested in 2026 by another preregistered study with 359 men with low baseline trust, which found an increase in trust of about 15%</w:t>
      </w:r>
      <w:r>
        <w:rPr>
          <w:rStyle w:val="FootnoteReference"/>
        </w:rPr>
        <w:footnoteReference w:id="2215"/>
      </w:r>
      <w:r>
        <w:t xml:space="preserve">.</w:t>
      </w:r>
    </w:p>
    <w:p>
      <w:pPr>
        <w:pStyle w:val="BodyText"/>
      </w:pPr>
      <w:r>
        <w:rPr>
          <w:bCs/>
          <w:b/>
        </w:rPr>
        <w:t xml:space="preserve">What this means:</w:t>
      </w:r>
      <w:r>
        <w:t xml:space="preserve"> </w:t>
      </w:r>
      <w:r>
        <w:t xml:space="preserve">The original, broad effect</w:t>
      </w:r>
      <w:r>
        <w:t xml:space="preserve"> </w:t>
      </w:r>
      <w:r>
        <w:t xml:space="preserve">“</w:t>
      </w:r>
      <w:r>
        <w:t xml:space="preserve">oxytocin makes people more trusting</w:t>
      </w:r>
      <w:r>
        <w:t xml:space="preserve">”</w:t>
      </w:r>
      <w:r>
        <w:t xml:space="preserve"> </w:t>
      </w:r>
      <w:r>
        <w:t xml:space="preserve">has not been confirmed. There may be a smaller effect in a particular subgroup and under particular conditions. That is scientifically interesting but far from any practical benefit. These experiences have changed the field: studies today are more often preregistered, are larger and also report negative results. An online platform presented in 2026 is intended to evaluate the evidence on an ongoing basis</w:t>
      </w:r>
      <w:r>
        <w:rPr>
          <w:rStyle w:val="FootnoteReference"/>
        </w:rPr>
        <w:footnoteReference w:id="2216"/>
      </w:r>
      <w:r>
        <w:t xml:space="preserve">.</w:t>
      </w:r>
    </w:p>
    <w:bookmarkEnd w:id="2217"/>
    <w:bookmarkStart w:id="2230" w:name="autism"/>
    <w:p>
      <w:pPr>
        <w:pStyle w:val="Heading4"/>
      </w:pPr>
      <w:r>
        <w:t xml:space="preserve">Autism</w:t>
      </w:r>
    </w:p>
    <w:p>
      <w:pPr>
        <w:pStyle w:val="FirstParagraph"/>
      </w:pPr>
      <w:r>
        <w:t xml:space="preserve">Autism spectrum disorders are characterized by difficulties in social communication and by restricted, repetitive behaviors. There are no medications that change these core features. Oxytocin was therefore long considered a great hope, and in some countries it was already being prescribed to children with autism outside of studies</w:t>
      </w:r>
      <w:r>
        <w:rPr>
          <w:rStyle w:val="FootnoteReference"/>
        </w:rPr>
        <w:footnoteReference w:id="2218"/>
      </w:r>
      <w:r>
        <w:t xml:space="preserve">.</w:t>
      </w:r>
    </w:p>
    <w:p>
      <w:pPr>
        <w:pStyle w:val="BodyText"/>
      </w:pPr>
      <w:r>
        <w:rPr>
          <w:bCs/>
          <w:b/>
        </w:rPr>
        <w:t xml:space="preserve">Early studies.</w:t>
      </w:r>
      <w:r>
        <w:t xml:space="preserve"> </w:t>
      </w:r>
      <w:r>
        <w:t xml:space="preserve">A 2014 systematic review found seven randomized studies with a combined total of 101 people with autism, almost all male. The studies were small (median 15 participants) and had a moderate to high risk of bias. Almost all reported at least one positive result, mostly in gaze behavior or emotion recognition</w:t>
      </w:r>
      <w:r>
        <w:rPr>
          <w:rStyle w:val="FootnoteReference"/>
        </w:rPr>
        <w:footnoteReference w:id="2219"/>
      </w:r>
      <w:r>
        <w:t xml:space="preserve">.</w:t>
      </w:r>
    </w:p>
    <w:p>
      <w:pPr>
        <w:pStyle w:val="BodyText"/>
      </w:pPr>
      <w:r>
        <w:rPr>
          <w:bCs/>
          <w:b/>
        </w:rPr>
        <w:t xml:space="preserve">Treatment studies over weeks.</w:t>
      </w:r>
      <w:r>
        <w:t xml:space="preserve"> </w:t>
      </w:r>
      <w:r>
        <w:t xml:space="preserve">These were followed by studies in which children and adults received oxytocin over several weeks: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Anagnostou 2012, PMID 23216716</w:t>
            </w:r>
          </w:p>
        </w:tc>
        <w:tc>
          <w:tcPr/>
          <w:p>
            <w:pPr>
              <w:pStyle w:val="Compact"/>
              <w:jc w:val="left"/>
            </w:pPr>
            <w:r>
              <w:t xml:space="preserve">19 adults, RCT</w:t>
            </w:r>
          </w:p>
        </w:tc>
        <w:tc>
          <w:tcPr/>
          <w:p>
            <w:pPr>
              <w:pStyle w:val="Compact"/>
              <w:jc w:val="left"/>
            </w:pPr>
            <w:r>
              <w:t xml:space="preserve">6 weeks</w:t>
            </w:r>
          </w:p>
        </w:tc>
        <w:tc>
          <w:tcPr/>
          <w:p>
            <w:pPr>
              <w:pStyle w:val="Compact"/>
              <w:jc w:val="left"/>
            </w:pPr>
            <w:r>
              <w:t xml:space="preserve">Primary endpoints not met; improvement in secondary endpoints</w:t>
            </w:r>
          </w:p>
        </w:tc>
      </w:tr>
      <w:tr>
        <w:tc>
          <w:tcPr/>
          <w:p>
            <w:pPr>
              <w:pStyle w:val="Compact"/>
              <w:jc w:val="left"/>
            </w:pPr>
            <w:r>
              <w:t xml:space="preserve">Guastella 2015, PMID 25087908</w:t>
            </w:r>
          </w:p>
        </w:tc>
        <w:tc>
          <w:tcPr/>
          <w:p>
            <w:pPr>
              <w:pStyle w:val="Compact"/>
              <w:jc w:val="left"/>
            </w:pPr>
            <w:r>
              <w:t xml:space="preserve">50 male adolescents (12–18 years), RCT</w:t>
            </w:r>
          </w:p>
        </w:tc>
        <w:tc>
          <w:tcPr/>
          <w:p>
            <w:pPr>
              <w:pStyle w:val="Compact"/>
              <w:jc w:val="left"/>
            </w:pPr>
            <w:r>
              <w:t xml:space="preserve">8 weeks</w:t>
            </w:r>
          </w:p>
        </w:tc>
        <w:tc>
          <w:tcPr/>
          <w:p>
            <w:pPr>
              <w:pStyle w:val="Compact"/>
              <w:jc w:val="left"/>
            </w:pPr>
            <w:r>
              <w:t xml:space="preserve">No benefit on primary or secondary endpoints</w:t>
            </w:r>
          </w:p>
        </w:tc>
      </w:tr>
      <w:tr>
        <w:tc>
          <w:tcPr/>
          <w:p>
            <w:pPr>
              <w:pStyle w:val="Compact"/>
              <w:jc w:val="left"/>
            </w:pPr>
            <w:r>
              <w:t xml:space="preserve">Yatawara 2016, PMID 26503762</w:t>
            </w:r>
          </w:p>
        </w:tc>
        <w:tc>
          <w:tcPr/>
          <w:p>
            <w:pPr>
              <w:pStyle w:val="Compact"/>
              <w:jc w:val="left"/>
            </w:pPr>
            <w:r>
              <w:t xml:space="preserve">31 young children, crossover study vs. placebo</w:t>
            </w:r>
          </w:p>
        </w:tc>
        <w:tc>
          <w:tcPr/>
          <w:p>
            <w:pPr>
              <w:pStyle w:val="Compact"/>
              <w:jc w:val="left"/>
            </w:pPr>
            <w:r>
              <w:t xml:space="preserve">5 weeks each</w:t>
            </w:r>
          </w:p>
        </w:tc>
        <w:tc>
          <w:tcPr/>
          <w:p>
            <w:pPr>
              <w:pStyle w:val="Compact"/>
              <w:jc w:val="left"/>
            </w:pPr>
            <w:r>
              <w:t xml:space="preserve">Social responsiveness improved according to parents</w:t>
            </w:r>
          </w:p>
        </w:tc>
      </w:tr>
      <w:tr>
        <w:tc>
          <w:tcPr/>
          <w:p>
            <w:pPr>
              <w:pStyle w:val="Compact"/>
              <w:jc w:val="left"/>
            </w:pPr>
            <w:r>
              <w:t xml:space="preserve">Parker 2017, PMID 28696286</w:t>
            </w:r>
          </w:p>
        </w:tc>
        <w:tc>
          <w:tcPr/>
          <w:p>
            <w:pPr>
              <w:pStyle w:val="Compact"/>
              <w:jc w:val="left"/>
            </w:pPr>
            <w:r>
              <w:t xml:space="preserve">32 children (6–12 years), RCT</w:t>
            </w:r>
          </w:p>
        </w:tc>
        <w:tc>
          <w:tcPr/>
          <w:p>
            <w:pPr>
              <w:pStyle w:val="Compact"/>
              <w:jc w:val="left"/>
            </w:pPr>
            <w:r>
              <w:t xml:space="preserve">4 weeks</w:t>
            </w:r>
          </w:p>
        </w:tc>
        <w:tc>
          <w:tcPr/>
          <w:p>
            <w:pPr>
              <w:pStyle w:val="Compact"/>
              <w:jc w:val="left"/>
            </w:pPr>
            <w:r>
              <w:t xml:space="preserve">Social abilities improved when baseline blood levels were taken into account; low baseline level predicted response</w:t>
            </w:r>
          </w:p>
        </w:tc>
      </w:tr>
      <w:tr>
        <w:tc>
          <w:tcPr/>
          <w:p>
            <w:pPr>
              <w:pStyle w:val="Compact"/>
              <w:jc w:val="left"/>
            </w:pPr>
            <w:r>
              <w:t xml:space="preserve">SOARS-B (Sikich 2021), PMID 34644471</w:t>
            </w:r>
          </w:p>
        </w:tc>
        <w:tc>
          <w:tcPr/>
          <w:p>
            <w:pPr>
              <w:pStyle w:val="Compact"/>
              <w:jc w:val="left"/>
            </w:pPr>
            <w:r>
              <w:t xml:space="preserve">290 children and adolescents (3–17 years), RCT</w:t>
            </w:r>
          </w:p>
        </w:tc>
        <w:tc>
          <w:tcPr/>
          <w:p>
            <w:pPr>
              <w:pStyle w:val="Compact"/>
              <w:jc w:val="left"/>
            </w:pPr>
            <w:r>
              <w:t xml:space="preserve">24 weeks</w:t>
            </w:r>
          </w:p>
        </w:tc>
        <w:tc>
          <w:tcPr/>
          <w:p>
            <w:pPr>
              <w:pStyle w:val="Compact"/>
              <w:jc w:val="left"/>
            </w:pPr>
            <w:r>
              <w:t xml:space="preserve">No difference: −3.7 vs. −3.5 points in social withdrawal</w:t>
            </w:r>
          </w:p>
        </w:tc>
      </w:tr>
      <w:tr>
        <w:tc>
          <w:tcPr/>
          <w:p>
            <w:pPr>
              <w:pStyle w:val="Compact"/>
              <w:jc w:val="left"/>
            </w:pPr>
            <w:r>
              <w:t xml:space="preserve">Guastella 2023, PMID 36302965</w:t>
            </w:r>
          </w:p>
        </w:tc>
        <w:tc>
          <w:tcPr/>
          <w:p>
            <w:pPr>
              <w:pStyle w:val="Compact"/>
              <w:jc w:val="left"/>
            </w:pPr>
            <w:r>
              <w:t xml:space="preserve">87 children (3–12 years), RCT after placebo lead-in</w:t>
            </w:r>
          </w:p>
        </w:tc>
        <w:tc>
          <w:tcPr/>
          <w:p>
            <w:pPr>
              <w:pStyle w:val="Compact"/>
              <w:jc w:val="left"/>
            </w:pPr>
            <w:r>
              <w:t xml:space="preserve">12 weeks</w:t>
            </w:r>
          </w:p>
        </w:tc>
        <w:tc>
          <w:tcPr/>
          <w:p>
            <w:pPr>
              <w:pStyle w:val="Compact"/>
              <w:jc w:val="left"/>
            </w:pPr>
            <w:r>
              <w:t xml:space="preserve">No effect overall; indication of an effect in 3- to 5-year-olds</w:t>
            </w:r>
          </w:p>
        </w:tc>
      </w:tr>
    </w:tbl>
    <w:p>
      <w:pPr>
        <w:pStyle w:val="BodyText"/>
      </w:pPr>
      <w:r>
        <w:rPr>
          <w:bCs/>
          <w:b/>
        </w:rPr>
        <w:t xml:space="preserve">The SOARS-B trial.</w:t>
      </w:r>
      <w:r>
        <w:t xml:space="preserve"> </w:t>
      </w:r>
      <w:r>
        <w:t xml:space="preserve">By far the largest and most meaningful study is SOARS-B (Study of Oxytocin in Autism to Improve Reciprocal Social Behaviors), funded by the US health authorities and published in the New England Journal of Medicine in 2021</w:t>
      </w:r>
      <w:r>
        <w:rPr>
          <w:rStyle w:val="FootnoteReference"/>
        </w:rPr>
        <w:footnoteReference w:id="2220"/>
      </w:r>
      <w:r>
        <w:t xml:space="preserve">. 290 children and adolescents between 3 and 17 years of age received oxytocin or a placebo nasal spray daily for 24 weeks. The primary endpoint was a scale for social withdrawal (ABC-mSW, 0 to 39 points).</w:t>
      </w:r>
    </w:p>
    <w:p>
      <w:pPr>
        <w:pStyle w:val="BodyText"/>
      </w:pPr>
      <w:r>
        <w:t xml:space="preserve">The result was clearly negative: the score fell by 3.7 points under oxytocin and by 3.5 points under placebo. The difference of 0.2 points was neither statistically nor clinically significant. The secondary endpoints – two further measures of social function and an intelligence test – also did not differ. Side effects were equally frequent in both groups.</w:t>
      </w:r>
    </w:p>
    <w:p>
      <w:pPr>
        <w:pStyle w:val="BodyText"/>
      </w:pPr>
      <w:r>
        <w:rPr>
          <w:bCs/>
          <w:b/>
        </w:rPr>
        <w:t xml:space="preserve">The Australian study in young children.</w:t>
      </w:r>
      <w:r>
        <w:t xml:space="preserve"> </w:t>
      </w:r>
      <w:r>
        <w:t xml:space="preserve">The group led by Adam Guastella had previously found a positive result in young children</w:t>
      </w:r>
      <w:r>
        <w:rPr>
          <w:rStyle w:val="FootnoteReference"/>
        </w:rPr>
        <w:footnoteReference w:id="2221"/>
      </w:r>
      <w:r>
        <w:t xml:space="preserve">. A larger follow-up study with 87 children added a three-week placebo lead-in phase to filter out the strong placebo effect. Overall, oxytocin showed no effect on social responsiveness. Only in the subgroup of 3- to 5-year-olds was there a hint of improvement according to parent ratings; clinician ratings and all other measures showed no benefit</w:t>
      </w:r>
      <w:r>
        <w:rPr>
          <w:rStyle w:val="FootnoteReference"/>
        </w:rPr>
        <w:footnoteReference w:id="2222"/>
      </w:r>
      <w:r>
        <w:t xml:space="preserve">. Notably, in the 2015 adolescent study, parents who believed their child was receiving oxytocin reported greater improvements – regardless of what the child actually received</w:t>
      </w:r>
      <w:r>
        <w:rPr>
          <w:rStyle w:val="FootnoteReference"/>
        </w:rPr>
        <w:footnoteReference w:id="2223"/>
      </w:r>
      <w:r>
        <w:t xml:space="preserve">.</w:t>
      </w:r>
    </w:p>
    <w:p>
      <w:pPr>
        <w:pStyle w:val="BodyText"/>
      </w:pPr>
      <w:r>
        <w:rPr>
          <w:bCs/>
          <w:b/>
        </w:rPr>
        <w:t xml:space="preserve">Biological effects without clinical benefit.</w:t>
      </w:r>
      <w:r>
        <w:t xml:space="preserve"> </w:t>
      </w:r>
      <w:r>
        <w:t xml:space="preserve">A study with 79 children found higher oxytocin levels in saliva and changes in the epigenetic marking of the receptor gene after four weeks of oxytocin</w:t>
      </w:r>
      <w:r>
        <w:rPr>
          <w:rStyle w:val="FootnoteReference"/>
        </w:rPr>
        <w:footnoteReference w:id="2224"/>
      </w:r>
      <w:r>
        <w:t xml:space="preserve">. In the brain scanner, by contrast, the same group showed no significant treatment effects on face processing</w:t>
      </w:r>
      <w:r>
        <w:rPr>
          <w:rStyle w:val="FootnoteReference"/>
        </w:rPr>
        <w:footnoteReference w:id="2225"/>
      </w:r>
      <w:r>
        <w:t xml:space="preserve">. Such biological signals are scientifically interesting but do not demonstrate improvement in everyday life.</w:t>
      </w:r>
    </w:p>
    <w:p>
      <w:pPr>
        <w:pStyle w:val="BodyText"/>
      </w:pPr>
      <w:r>
        <w:rPr>
          <w:bCs/>
          <w:b/>
        </w:rPr>
        <w:t xml:space="preserve">Meta-analyses.</w:t>
      </w:r>
      <w:r>
        <w:t xml:space="preserve"> </w:t>
      </w:r>
      <w:r>
        <w:t xml:space="preserve">The summaries reach different conclusions depending on which studies they include:</w:t>
      </w:r>
    </w:p>
    <w:p>
      <w:pPr>
        <w:numPr>
          <w:ilvl w:val="0"/>
          <w:numId w:val="1277"/>
        </w:numPr>
        <w:pStyle w:val="Compact"/>
      </w:pPr>
      <w:r>
        <w:t xml:space="preserve">A meta-analysis of 17 randomized studies with 466 people with developmental disorders found no effect on emotion recognition and a small effect on understanding the thoughts of others</w:t>
      </w:r>
      <w:r>
        <w:rPr>
          <w:rStyle w:val="FootnoteReference"/>
        </w:rPr>
        <w:footnoteReference w:id="2226"/>
      </w:r>
      <w:r>
        <w:t xml:space="preserve">.</w:t>
      </w:r>
    </w:p>
    <w:p>
      <w:pPr>
        <w:numPr>
          <w:ilvl w:val="0"/>
          <w:numId w:val="1277"/>
        </w:numPr>
        <w:pStyle w:val="Compact"/>
      </w:pPr>
      <w:r>
        <w:t xml:space="preserve">A meta-analysis of 28 studies with 726 people with autism, including uncontrolled ones, reached a more positive verdict on social function</w:t>
      </w:r>
      <w:r>
        <w:rPr>
          <w:rStyle w:val="FootnoteReference"/>
        </w:rPr>
        <w:footnoteReference w:id="2227"/>
      </w:r>
      <w:r>
        <w:t xml:space="preserve">. The inclusion of uncontrolled studies makes this result susceptible to bias.</w:t>
      </w:r>
    </w:p>
    <w:p>
      <w:pPr>
        <w:numPr>
          <w:ilvl w:val="0"/>
          <w:numId w:val="1277"/>
        </w:numPr>
        <w:pStyle w:val="Compact"/>
      </w:pPr>
      <w:r>
        <w:t xml:space="preserve">The largest meta-analysis to date across all mental disorders (42 double-blind studies, 1,922 people) found no significant effect overall. After excluding two outliers, the effect size was close to zero</w:t>
      </w:r>
      <w:r>
        <w:rPr>
          <w:rStyle w:val="FootnoteReference"/>
        </w:rPr>
        <w:footnoteReference w:id="2228"/>
      </w:r>
      <w:r>
        <w:t xml:space="preserve">.</w:t>
      </w:r>
    </w:p>
    <w:p>
      <w:pPr>
        <w:pStyle w:val="FirstParagraph"/>
      </w:pPr>
      <w:r>
        <w:rPr>
          <w:bCs/>
          <w:b/>
        </w:rPr>
        <w:t xml:space="preserve">Interim conclusion on autism:</w:t>
      </w:r>
      <w:r>
        <w:t xml:space="preserve"> </w:t>
      </w:r>
      <w:r>
        <w:t xml:space="preserve">After the large SOARS-B trial and the Australian follow-up study, there is no robust evidence that oxytocin nasal spray improves the social behavior of children and adolescents with autism in everyday life. Researchers are discussing whether certain subgroups – very young children, children with low oxytocin levels – might benefit, and propose a personalized approach</w:t>
      </w:r>
      <w:r>
        <w:rPr>
          <w:rStyle w:val="FootnoteReference"/>
        </w:rPr>
        <w:footnoteReference w:id="2229"/>
      </w:r>
      <w:r>
        <w:t xml:space="preserve">. Until this is confirmed in dedicated studies, it remains a hypothesis.</w:t>
      </w:r>
    </w:p>
    <w:bookmarkEnd w:id="2230"/>
    <w:bookmarkStart w:id="2238" w:name="other-mental-disorders"/>
    <w:p>
      <w:pPr>
        <w:pStyle w:val="Heading4"/>
      </w:pPr>
      <w:r>
        <w:t xml:space="preserve">Other Mental Disorders</w:t>
      </w:r>
    </w:p>
    <w:p>
      <w:pPr>
        <w:pStyle w:val="FirstParagraph"/>
      </w:pPr>
      <w:r>
        <w:rPr>
          <w:bCs/>
          <w:b/>
        </w:rPr>
        <w:t xml:space="preserve">Schizophrenia.</w:t>
      </w:r>
      <w:r>
        <w:t xml:space="preserve"> </w:t>
      </w:r>
      <w:r>
        <w:t xml:space="preserve">In a twelve-week study with 68 people, oxytocin did not improve social cognition</w:t>
      </w:r>
      <w:r>
        <w:rPr>
          <w:rStyle w:val="FootnoteReference"/>
        </w:rPr>
        <w:footnoteReference w:id="2231"/>
      </w:r>
      <w:r>
        <w:t xml:space="preserve">. A meta-analysis of nine studies found no consistent effect on so-called negative symptoms such as lack of drive and social withdrawal</w:t>
      </w:r>
      <w:r>
        <w:rPr>
          <w:rStyle w:val="FootnoteReference"/>
        </w:rPr>
        <w:footnoteReference w:id="2232"/>
      </w:r>
      <w:r>
        <w:t xml:space="preserve">. The large 2026 meta-analysis saw a small, just significant effect in this group (effect size 0.12) and found that studies with more women tended to show larger effects</w:t>
      </w:r>
      <w:r>
        <w:rPr>
          <w:rStyle w:val="FootnoteReference"/>
        </w:rPr>
        <w:footnoteReference w:id="2233"/>
      </w:r>
      <w:r>
        <w:t xml:space="preserve">.</w:t>
      </w:r>
    </w:p>
    <w:p>
      <w:pPr>
        <w:pStyle w:val="BodyText"/>
      </w:pPr>
      <w:r>
        <w:rPr>
          <w:bCs/>
          <w:b/>
        </w:rPr>
        <w:t xml:space="preserve">Alcohol.</w:t>
      </w:r>
      <w:r>
        <w:t xml:space="preserve"> </w:t>
      </w:r>
      <w:r>
        <w:t xml:space="preserve">In a Norwegian study with 40 people undergoing alcohol withdrawal, oxytocin did not significantly reduce the need for sedatives</w:t>
      </w:r>
      <w:r>
        <w:rPr>
          <w:rStyle w:val="FootnoteReference"/>
        </w:rPr>
        <w:footnoteReference w:id="2234"/>
      </w:r>
      <w:r>
        <w:t xml:space="preserve">. A meta-analysis of six randomized studies on alcohol dependence found no effect; a Bayesian analysis even moderately favored the absence of an effect</w:t>
      </w:r>
      <w:r>
        <w:rPr>
          <w:rStyle w:val="FootnoteReference"/>
        </w:rPr>
        <w:footnoteReference w:id="2235"/>
      </w:r>
      <w:r>
        <w:t xml:space="preserve">.</w:t>
      </w:r>
    </w:p>
    <w:p>
      <w:pPr>
        <w:pStyle w:val="BodyText"/>
      </w:pPr>
      <w:r>
        <w:rPr>
          <w:bCs/>
          <w:b/>
        </w:rPr>
        <w:t xml:space="preserve">Combination with psychotherapy.</w:t>
      </w:r>
      <w:r>
        <w:t xml:space="preserve"> </w:t>
      </w:r>
      <w:r>
        <w:t xml:space="preserve">A newer idea is to give oxytocin not on its own but as an enhancer of psychotherapy. A review of 13 studies with 518 participants found indications of fewer depressive symptoms and a better therapeutic relationship, but no effect on psychiatric symptoms overall or on social functioning; only four studies could be pooled</w:t>
      </w:r>
      <w:r>
        <w:rPr>
          <w:rStyle w:val="FootnoteReference"/>
        </w:rPr>
        <w:footnoteReference w:id="2236"/>
      </w:r>
      <w:r>
        <w:t xml:space="preserve">.</w:t>
      </w:r>
    </w:p>
    <w:p>
      <w:pPr>
        <w:pStyle w:val="BodyText"/>
      </w:pPr>
      <w:r>
        <w:rPr>
          <w:bCs/>
          <w:b/>
        </w:rPr>
        <w:t xml:space="preserve">After childbirth.</w:t>
      </w:r>
      <w:r>
        <w:t xml:space="preserve"> </w:t>
      </w:r>
      <w:r>
        <w:t xml:space="preserve">In 45 mothers with (partly subthreshold) postpartum depression, a single dose increased positive mood and positive engagement with the child, but not sensitivity in interacting with the child</w:t>
      </w:r>
      <w:r>
        <w:rPr>
          <w:rStyle w:val="FootnoteReference"/>
        </w:rPr>
        <w:footnoteReference w:id="2237"/>
      </w:r>
      <w:r>
        <w:t xml:space="preserve">.</w:t>
      </w:r>
    </w:p>
    <w:bookmarkEnd w:id="2238"/>
    <w:bookmarkStart w:id="2245" w:name="metabolism-weight-and-pain"/>
    <w:p>
      <w:pPr>
        <w:pStyle w:val="Heading4"/>
      </w:pPr>
      <w:r>
        <w:t xml:space="preserve">Metabolism, Weight and Pain</w:t>
      </w:r>
    </w:p>
    <w:p>
      <w:pPr>
        <w:pStyle w:val="FirstParagraph"/>
      </w:pPr>
      <w:r>
        <w:rPr>
          <w:bCs/>
          <w:b/>
        </w:rPr>
        <w:t xml:space="preserve">Obesity.</w:t>
      </w:r>
      <w:r>
        <w:t xml:space="preserve"> </w:t>
      </w:r>
      <w:r>
        <w:t xml:space="preserve">Because oxytocin reduces food intake and increases energy expenditure in animals, it was tested as a weight-loss drug. A meta-analysis found that a single dose reduced the amount eaten at a test meal in people without mental illness</w:t>
      </w:r>
      <w:r>
        <w:rPr>
          <w:rStyle w:val="FootnoteReference"/>
        </w:rPr>
        <w:footnoteReference w:id="2239"/>
      </w:r>
      <w:r>
        <w:t xml:space="preserve">. The decisive test was a study with 61 adults with obesity who sprayed oxytocin or placebo four times a day for eight weeks. Weight did not change: +0.20 kg under oxytocin, +0.26 kg under placebo. Body fat, liver fat and energy expenditure also remained unchanged; only at a test meal did participants eat less</w:t>
      </w:r>
      <w:r>
        <w:rPr>
          <w:rStyle w:val="FootnoteReference"/>
        </w:rPr>
        <w:footnoteReference w:id="2240"/>
      </w:r>
      <w:r>
        <w:t xml:space="preserve">. A small pilot study in 21 older people with overweight and muscle loss found a gain in muscle mass of 2.25 kg</w:t>
      </w:r>
      <w:r>
        <w:rPr>
          <w:rStyle w:val="FootnoteReference"/>
        </w:rPr>
        <w:footnoteReference w:id="2241"/>
      </w:r>
      <w:r>
        <w:t xml:space="preserve">; this needs to be confirmed in larger studies.</w:t>
      </w:r>
    </w:p>
    <w:p>
      <w:pPr>
        <w:pStyle w:val="BodyText"/>
      </w:pPr>
      <w:r>
        <w:rPr>
          <w:bCs/>
          <w:b/>
        </w:rPr>
        <w:t xml:space="preserve">Prader-Willi syndrome.</w:t>
      </w:r>
      <w:r>
        <w:t xml:space="preserve"> </w:t>
      </w:r>
      <w:r>
        <w:t xml:space="preserve">In this rare genetic disorder with insatiable hunger and reduced oxytocin in the hypothalamus, expectations were particularly high. A meta-analysis found no effect on food cravings or weight</w:t>
      </w:r>
      <w:r>
        <w:rPr>
          <w:rStyle w:val="FootnoteReference"/>
        </w:rPr>
        <w:footnoteReference w:id="2242"/>
      </w:r>
      <w:r>
        <w:t xml:space="preserve">. In a study with 23 children, food cravings and repetitive behavior even tended to improve more under placebo</w:t>
      </w:r>
      <w:r>
        <w:rPr>
          <w:rStyle w:val="FootnoteReference"/>
        </w:rPr>
        <w:footnoteReference w:id="2243"/>
      </w:r>
      <w:r>
        <w:t xml:space="preserve">.</w:t>
      </w:r>
    </w:p>
    <w:p>
      <w:pPr>
        <w:pStyle w:val="BodyText"/>
      </w:pPr>
      <w:r>
        <w:rPr>
          <w:bCs/>
          <w:b/>
        </w:rPr>
        <w:t xml:space="preserve">Pain.</w:t>
      </w:r>
      <w:r>
        <w:t xml:space="preserve"> </w:t>
      </w:r>
      <w:r>
        <w:t xml:space="preserve">A meta-analysis of 15 studies found no significant effect on pain intensity or pain unpleasantness</w:t>
      </w:r>
      <w:r>
        <w:rPr>
          <w:rStyle w:val="FootnoteReference"/>
        </w:rPr>
        <w:footnoteReference w:id="2244"/>
      </w:r>
      <w:r>
        <w:t xml:space="preserve">.</w:t>
      </w:r>
    </w:p>
    <w:bookmarkEnd w:id="2245"/>
    <w:bookmarkStart w:id="2248" w:name="sexuality"/>
    <w:p>
      <w:pPr>
        <w:pStyle w:val="Heading4"/>
      </w:pPr>
      <w:r>
        <w:t xml:space="preserve">Sexuality</w:t>
      </w:r>
    </w:p>
    <w:p>
      <w:pPr>
        <w:pStyle w:val="FirstParagraph"/>
      </w:pPr>
      <w:r>
        <w:t xml:space="preserve">Oxytocin is released during orgasm and is promoted on the internet as a means to a more intense love life. In a laboratory study with ten men, a nasal spray markedly increased the oxytocin level in the blood but did not change desire, arousal, orgasm or the refractory period according to the questionnaires</w:t>
      </w:r>
      <w:r>
        <w:rPr>
          <w:rStyle w:val="FootnoteReference"/>
        </w:rPr>
        <w:footnoteReference w:id="2246"/>
      </w:r>
      <w:r>
        <w:t xml:space="preserve">. A meta-analysis of medications for female sexual dysfunction, which also included oxytocin studies, found that around two-thirds of the improvement also occurred under placebo</w:t>
      </w:r>
      <w:r>
        <w:rPr>
          <w:rStyle w:val="FootnoteReference"/>
        </w:rPr>
        <w:footnoteReference w:id="2247"/>
      </w:r>
      <w:r>
        <w:t xml:space="preserve">. There is no robust evidence of an effect on sexuality.</w:t>
      </w:r>
    </w:p>
    <w:bookmarkEnd w:id="2248"/>
    <w:bookmarkStart w:id="2251" w:name="oxytocin-deficiency-as-a-disease"/>
    <w:p>
      <w:pPr>
        <w:pStyle w:val="Heading4"/>
      </w:pPr>
      <w:r>
        <w:t xml:space="preserve">Oxytocin Deficiency as a Disease</w:t>
      </w:r>
    </w:p>
    <w:p>
      <w:pPr>
        <w:pStyle w:val="FirstParagraph"/>
      </w:pPr>
      <w:r>
        <w:t xml:space="preserve">A new and medically plausible field is genuine oxytocin deficiency. People whose hypothalamus or pituitary gland has been damaged, for example by a tumor or surgery, often have vasopressin deficiency (formerly central diabetes insipidus). A Swiss study used the drug MDMA, which strongly releases oxytocin in healthy people, as a provocation test. In 15 healthy people, oxytocin rose sharply; in 15 patients, it barely rose; the area under the curve was 82% larger in healthy people, and the patients hardly felt the typical social and anxiolytic effects</w:t>
      </w:r>
      <w:r>
        <w:rPr>
          <w:rStyle w:val="FootnoteReference"/>
        </w:rPr>
        <w:footnoteReference w:id="2249"/>
      </w:r>
      <w:r>
        <w:t xml:space="preserve">. This suggests that many of these people also have an oxytocin deficiency. Whether replacement via nasal spray relieves their psychological symptoms is being tested in an ongoing study</w:t>
      </w:r>
      <w:r>
        <w:rPr>
          <w:rStyle w:val="FootnoteReference"/>
        </w:rPr>
        <w:footnoteReference w:id="2250"/>
      </w:r>
      <w:r>
        <w:t xml:space="preserve">. Kisspeptin is also being investigated as a possible test for oxytocin deficiency (Galbiati 2025, PMID 39965102; chapter 2E04).</w:t>
      </w:r>
    </w:p>
    <w:bookmarkEnd w:id="2251"/>
    <w:bookmarkEnd w:id="2252"/>
    <w:bookmarkStart w:id="2255" w:name="animal-and-laboratory-studies-50"/>
    <w:p>
      <w:pPr>
        <w:pStyle w:val="Heading3"/>
      </w:pPr>
      <w:r>
        <w:t xml:space="preserve">Animal and laboratory studies</w:t>
      </w:r>
    </w:p>
    <w:p>
      <w:pPr>
        <w:pStyle w:val="FirstParagraph"/>
      </w:pPr>
      <w:r>
        <w:t xml:space="preserve">The enthusiasm for oxytocin rests on convincing animal findings: in prairie voles, the oxytocin system is necessary for pair bonding, and in rodents and sheep for maternal behavior. In mice in an autism model, an agent that stimulates the oxytocin system improved measures of social behavior</w:t>
      </w:r>
      <w:r>
        <w:rPr>
          <w:rStyle w:val="FootnoteReference"/>
        </w:rPr>
        <w:footnoteReference w:id="2253"/>
      </w:r>
      <w:r>
        <w:t xml:space="preserve">. In rhesus monkeys, labeled oxytocin reached certain brain regions via the nose</w:t>
      </w:r>
      <w:r>
        <w:rPr>
          <w:rStyle w:val="FootnoteReference"/>
        </w:rPr>
        <w:footnoteReference w:id="2254"/>
      </w:r>
      <w:r>
        <w:t xml:space="preserve">.</w:t>
      </w:r>
    </w:p>
    <w:p>
      <w:pPr>
        <w:pStyle w:val="BodyText"/>
      </w:pPr>
      <w:r>
        <w:t xml:space="preserve">However, these findings can only be transferred to a limited extent: the distribution of oxytocin receptors in the brain differs greatly between species, even between closely related vole species. Many animal experiments administered oxytocin directly into the brain, which is not possible in humans.</w:t>
      </w:r>
    </w:p>
    <w:bookmarkEnd w:id="2255"/>
    <w:bookmarkStart w:id="2265" w:name="risks-and-side-effects-50"/>
    <w:p>
      <w:pPr>
        <w:pStyle w:val="Heading3"/>
      </w:pPr>
      <w:r>
        <w:t xml:space="preserve">Risks and side effects</w:t>
      </w:r>
    </w:p>
    <w:bookmarkStart w:id="2260" w:name="established-nasal-spray-in-studies"/>
    <w:p>
      <w:pPr>
        <w:pStyle w:val="Heading4"/>
      </w:pPr>
      <w:r>
        <w:t xml:space="preserve">Established: Nasal Spray in Studies</w:t>
      </w:r>
    </w:p>
    <w:p>
      <w:pPr>
        <w:pStyle w:val="FirstParagraph"/>
      </w:pPr>
      <w:r>
        <w:t xml:space="preserve">In controlled studies, oxytocin nasal spray is considered well tolerated. A systematic review of 38 randomized studies with 1,529 participants found no side effects with short-term use that occurred more frequently than under placebo. Participants were also unable to tell whether they had received oxytocin or placebo</w:t>
      </w:r>
      <w:r>
        <w:rPr>
          <w:rStyle w:val="FootnoteReference"/>
        </w:rPr>
        <w:footnoteReference w:id="2256"/>
      </w:r>
      <w:r>
        <w:t xml:space="preserve">. In SOARS-B, side effects over 24 weeks were equally frequent in both groups</w:t>
      </w:r>
      <w:r>
        <w:rPr>
          <w:rStyle w:val="FootnoteReference"/>
        </w:rPr>
        <w:footnoteReference w:id="2257"/>
      </w:r>
      <w:r>
        <w:t xml:space="preserve">. In 95 older men, no changes in blood pressure, urine or blood values occurred over four weeks</w:t>
      </w:r>
      <w:r>
        <w:rPr>
          <w:rStyle w:val="FootnoteReference"/>
        </w:rPr>
        <w:footnoteReference w:id="2258"/>
      </w:r>
      <w:r>
        <w:t xml:space="preserve">. In pediatric studies, thirst, increased urination and constipation were reported</w:t>
      </w:r>
      <w:r>
        <w:rPr>
          <w:rStyle w:val="FootnoteReference"/>
        </w:rPr>
        <w:footnoteReference w:id="2259"/>
      </w:r>
      <w:r>
        <w:t xml:space="preserve">.</w:t>
      </w:r>
    </w:p>
    <w:bookmarkEnd w:id="2260"/>
    <w:bookmarkStart w:id="2263" w:name="possible-and-worth-noting"/>
    <w:p>
      <w:pPr>
        <w:pStyle w:val="Heading4"/>
      </w:pPr>
      <w:r>
        <w:t xml:space="preserve">Possible and Worth Noting</w:t>
      </w:r>
    </w:p>
    <w:p>
      <w:pPr>
        <w:numPr>
          <w:ilvl w:val="0"/>
          <w:numId w:val="1278"/>
        </w:numPr>
        <w:pStyle w:val="Compact"/>
      </w:pPr>
      <w:r>
        <w:rPr>
          <w:bCs/>
          <w:b/>
        </w:rPr>
        <w:t xml:space="preserve">Fluid balance:</w:t>
      </w:r>
      <w:r>
        <w:t xml:space="preserve"> </w:t>
      </w:r>
      <w:r>
        <w:t xml:space="preserve">Oxytocin resembles vasopressin and in high doses can cause the body to retain water. In obstetrics, water intoxication with sodium deficiency is a known, rare complication of high-dose infusions. With the nasal spray, one case of increased intracranial pressure with a simultaneously very high fluid intake has been described</w:t>
      </w:r>
      <w:r>
        <w:rPr>
          <w:rStyle w:val="FootnoteReference"/>
        </w:rPr>
        <w:footnoteReference w:id="2261"/>
      </w:r>
      <w:r>
        <w:t xml:space="preserve">.</w:t>
      </w:r>
    </w:p>
    <w:p>
      <w:pPr>
        <w:numPr>
          <w:ilvl w:val="0"/>
          <w:numId w:val="1278"/>
        </w:numPr>
        <w:pStyle w:val="Compact"/>
      </w:pPr>
      <w:r>
        <w:rPr>
          <w:bCs/>
          <w:b/>
        </w:rPr>
        <w:t xml:space="preserve">Circulation:</w:t>
      </w:r>
      <w:r>
        <w:t xml:space="preserve"> </w:t>
      </w:r>
      <w:r>
        <w:t xml:space="preserve">In twelve healthy men, a nasal spray increased the activity of the nerves that constrict blood vessels and slightly raised diastolic blood pressure</w:t>
      </w:r>
      <w:r>
        <w:rPr>
          <w:rStyle w:val="FootnoteReference"/>
        </w:rPr>
        <w:footnoteReference w:id="2262"/>
      </w:r>
      <w:r>
        <w:t xml:space="preserve">.</w:t>
      </w:r>
    </w:p>
    <w:p>
      <w:pPr>
        <w:numPr>
          <w:ilvl w:val="0"/>
          <w:numId w:val="1278"/>
        </w:numPr>
        <w:pStyle w:val="Compact"/>
      </w:pPr>
      <w:r>
        <w:rPr>
          <w:bCs/>
          <w:b/>
        </w:rPr>
        <w:t xml:space="preserve">Pregnancy:</w:t>
      </w:r>
      <w:r>
        <w:t xml:space="preserve"> </w:t>
      </w:r>
      <w:r>
        <w:t xml:space="preserve">Because oxytocin triggers labor contractions, use during pregnancy outside medical supervision is dangerous.</w:t>
      </w:r>
    </w:p>
    <w:p>
      <w:pPr>
        <w:numPr>
          <w:ilvl w:val="0"/>
          <w:numId w:val="1278"/>
        </w:numPr>
        <w:pStyle w:val="Compact"/>
      </w:pPr>
      <w:r>
        <w:rPr>
          <w:bCs/>
          <w:b/>
        </w:rPr>
        <w:t xml:space="preserve">Long-term use:</w:t>
      </w:r>
      <w:r>
        <w:t xml:space="preserve"> </w:t>
      </w:r>
      <w:r>
        <w:t xml:space="preserve">Data covering more than six months are lacking, especially in children.</w:t>
      </w:r>
    </w:p>
    <w:p>
      <w:pPr>
        <w:numPr>
          <w:ilvl w:val="0"/>
          <w:numId w:val="1278"/>
        </w:numPr>
        <w:pStyle w:val="Compact"/>
      </w:pPr>
      <w:r>
        <w:rPr>
          <w:bCs/>
          <w:b/>
        </w:rPr>
        <w:t xml:space="preserve">Social effects:</w:t>
      </w:r>
      <w:r>
        <w:t xml:space="preserve"> </w:t>
      </w:r>
      <w:r>
        <w:t xml:space="preserve">Individual laboratory studies reported that under certain conditions oxytocin can also increase envy, distrust of strangers or favoritism toward one’s own group. These findings are just as uncertain as the positive ones.</w:t>
      </w:r>
    </w:p>
    <w:bookmarkEnd w:id="2263"/>
    <w:bookmarkStart w:id="2264" w:name="gray-market-3"/>
    <w:p>
      <w:pPr>
        <w:pStyle w:val="Heading4"/>
      </w:pPr>
      <w:r>
        <w:t xml:space="preserve">Gray Market</w:t>
      </w:r>
    </w:p>
    <w:p>
      <w:pPr>
        <w:pStyle w:val="FirstParagraph"/>
      </w:pPr>
      <w:r>
        <w:t xml:space="preserve">Oxytocin nasal sprays are sold on the internet as</w:t>
      </w:r>
      <w:r>
        <w:t xml:space="preserve"> </w:t>
      </w:r>
      <w:r>
        <w:t xml:space="preserve">“</w:t>
      </w:r>
      <w:r>
        <w:t xml:space="preserve">love</w:t>
      </w:r>
      <w:r>
        <w:t xml:space="preserve">”</w:t>
      </w:r>
      <w:r>
        <w:t xml:space="preserve"> </w:t>
      </w:r>
      <w:r>
        <w:t xml:space="preserve">or</w:t>
      </w:r>
      <w:r>
        <w:t xml:space="preserve"> </w:t>
      </w:r>
      <w:r>
        <w:t xml:space="preserve">“</w:t>
      </w:r>
      <w:r>
        <w:t xml:space="preserve">trust</w:t>
      </w:r>
      <w:r>
        <w:t xml:space="preserve">”</w:t>
      </w:r>
      <w:r>
        <w:t xml:space="preserve"> </w:t>
      </w:r>
      <w:r>
        <w:t xml:space="preserve">sprays. The content and strength of such products have not been independently tested. There is no evidence of efficacy for any of these products.</w:t>
      </w:r>
    </w:p>
    <w:bookmarkEnd w:id="2264"/>
    <w:bookmarkEnd w:id="2265"/>
    <w:bookmarkStart w:id="2266" w:name="legal-status-50"/>
    <w:p>
      <w:pPr>
        <w:pStyle w:val="Heading3"/>
      </w:pPr>
      <w:r>
        <w:t xml:space="preserve">Legal status</w:t>
      </w:r>
    </w:p>
    <w:p>
      <w:pPr>
        <w:pStyle w:val="FirstParagraph"/>
      </w:pPr>
      <w:r>
        <w:rPr>
          <w:iCs/>
          <w:i/>
        </w:rPr>
        <w:t xml:space="preserve">As of 2026, please check for updates.</w:t>
      </w:r>
    </w:p>
    <w:p>
      <w:pPr>
        <w:numPr>
          <w:ilvl w:val="0"/>
          <w:numId w:val="1279"/>
        </w:numPr>
        <w:pStyle w:val="Compact"/>
      </w:pPr>
      <w:r>
        <w:rPr>
          <w:bCs/>
          <w:b/>
        </w:rPr>
        <w:t xml:space="preserve">EU, Germany, Austria:</w:t>
      </w:r>
      <w:r>
        <w:t xml:space="preserve"> </w:t>
      </w:r>
      <w:r>
        <w:t xml:space="preserve">Oxytocin for infusion and injection is approved as a prescription medicine for obstetrics. There is no approved nasal spray for psychological or social uses; formerly approved sprays for promoting milk flow are no longer available in many places. A prescription for the treatment of autism or other conditions would be an individual off-label treatment attempt with corresponding obligations regarding informed consent and liability.</w:t>
      </w:r>
    </w:p>
    <w:p>
      <w:pPr>
        <w:numPr>
          <w:ilvl w:val="0"/>
          <w:numId w:val="1279"/>
        </w:numPr>
        <w:pStyle w:val="Compact"/>
      </w:pPr>
      <w:r>
        <w:rPr>
          <w:bCs/>
          <w:b/>
        </w:rPr>
        <w:t xml:space="preserve">USA:</w:t>
      </w:r>
      <w:r>
        <w:t xml:space="preserve"> </w:t>
      </w:r>
      <w:r>
        <w:t xml:space="preserve">Oxytocin injection (Pitocin and generics) approved for obstetrics; no approved nasal spray. Compounding pharmacies prepare nasal sprays on medical prescription; their quality is not tested in the same way as that of finished medicines.</w:t>
      </w:r>
    </w:p>
    <w:p>
      <w:pPr>
        <w:numPr>
          <w:ilvl w:val="0"/>
          <w:numId w:val="1279"/>
        </w:numPr>
        <w:pStyle w:val="Compact"/>
      </w:pPr>
      <w:r>
        <w:rPr>
          <w:bCs/>
          <w:b/>
        </w:rPr>
        <w:t xml:space="preserve">WADA:</w:t>
      </w:r>
      <w:r>
        <w:t xml:space="preserve"> </w:t>
      </w:r>
      <w:r>
        <w:t xml:space="preserve">not listed.</w:t>
      </w:r>
    </w:p>
    <w:bookmarkEnd w:id="2266"/>
    <w:bookmarkStart w:id="2272" w:name="ongoing-studies-and-outlook-50"/>
    <w:p>
      <w:pPr>
        <w:pStyle w:val="Heading3"/>
      </w:pPr>
      <w:r>
        <w:t xml:space="preserve">Ongoing studies and outlook</w:t>
      </w:r>
    </w:p>
    <w:p>
      <w:pPr>
        <w:pStyle w:val="FirstParagraph"/>
      </w:pPr>
      <w:r>
        <w:rPr>
          <w:bCs/>
          <w:b/>
        </w:rPr>
        <w:t xml:space="preserve">Established (registered studies):</w:t>
      </w:r>
      <w:r>
        <w:t xml:space="preserve"> </w:t>
      </w:r>
      <w:r>
        <w:t xml:space="preserve">Among the ongoing studies are some larger ones that could answer individual open questions:</w:t>
      </w:r>
    </w:p>
    <w:p>
      <w:pPr>
        <w:numPr>
          <w:ilvl w:val="0"/>
          <w:numId w:val="1280"/>
        </w:numPr>
        <w:pStyle w:val="Compact"/>
      </w:pPr>
      <w:r>
        <w:rPr>
          <w:bCs/>
          <w:b/>
        </w:rPr>
        <w:t xml:space="preserve">Chronic pain:</w:t>
      </w:r>
      <w:r>
        <w:t xml:space="preserve"> </w:t>
      </w:r>
      <w:r>
        <w:t xml:space="preserve">A Canadian phase 2/3 trial with 336 participants</w:t>
      </w:r>
      <w:r>
        <w:rPr>
          <w:rStyle w:val="FootnoteReference"/>
        </w:rPr>
        <w:footnoteReference w:id="2267"/>
      </w:r>
      <w:r>
        <w:t xml:space="preserve"> </w:t>
      </w:r>
      <w:r>
        <w:t xml:space="preserve">has been completed; results are pending.</w:t>
      </w:r>
    </w:p>
    <w:p>
      <w:pPr>
        <w:numPr>
          <w:ilvl w:val="0"/>
          <w:numId w:val="1280"/>
        </w:numPr>
        <w:pStyle w:val="Compact"/>
      </w:pPr>
      <w:r>
        <w:rPr>
          <w:bCs/>
          <w:b/>
        </w:rPr>
        <w:t xml:space="preserve">Psychotherapy plus oxytocin:</w:t>
      </w:r>
      <w:r>
        <w:t xml:space="preserve"> </w:t>
      </w:r>
      <w:r>
        <w:t xml:space="preserve">A study by the US Department of Veterans Affairs with 240 people is testing oxytocin as an adjunct to couples therapy in post-traumatic stress disorder (NCT06194851, until 2028). In Germany, studies are testing oxytocin as an adjunct to psychosocial treatment in schizophrenia (NCT06881810 with 98 people; NCT07265180 at the Charité with 120 people and a dose comparison).</w:t>
      </w:r>
    </w:p>
    <w:p>
      <w:pPr>
        <w:numPr>
          <w:ilvl w:val="0"/>
          <w:numId w:val="1280"/>
        </w:numPr>
        <w:pStyle w:val="Compact"/>
      </w:pPr>
      <w:r>
        <w:rPr>
          <w:bCs/>
          <w:b/>
        </w:rPr>
        <w:t xml:space="preserve">Oxytocin deficiency:</w:t>
      </w:r>
      <w:r>
        <w:t xml:space="preserve"> </w:t>
      </w:r>
      <w:r>
        <w:t xml:space="preserve">A Swiss study with 112 people is testing oxytocin replacement in vasopressin deficiency</w:t>
      </w:r>
      <w:r>
        <w:rPr>
          <w:rStyle w:val="FootnoteReference"/>
        </w:rPr>
        <w:footnoteReference w:id="2268"/>
      </w:r>
      <w:r>
        <w:t xml:space="preserve">.</w:t>
      </w:r>
    </w:p>
    <w:p>
      <w:pPr>
        <w:numPr>
          <w:ilvl w:val="0"/>
          <w:numId w:val="1280"/>
        </w:numPr>
        <w:pStyle w:val="Compact"/>
      </w:pPr>
      <w:r>
        <w:rPr>
          <w:bCs/>
          <w:b/>
        </w:rPr>
        <w:t xml:space="preserve">Autism and bone:</w:t>
      </w:r>
      <w:r>
        <w:t xml:space="preserve"> </w:t>
      </w:r>
      <w:r>
        <w:t xml:space="preserve">A study with 96 children is investigating effects on bone health</w:t>
      </w:r>
      <w:r>
        <w:rPr>
          <w:rStyle w:val="FootnoteReference"/>
        </w:rPr>
        <w:footnoteReference w:id="2269"/>
      </w:r>
      <w:r>
        <w:t xml:space="preserve">.</w:t>
      </w:r>
    </w:p>
    <w:p>
      <w:pPr>
        <w:numPr>
          <w:ilvl w:val="0"/>
          <w:numId w:val="1280"/>
        </w:numPr>
        <w:pStyle w:val="Compact"/>
      </w:pPr>
      <w:r>
        <w:rPr>
          <w:bCs/>
          <w:b/>
        </w:rPr>
        <w:t xml:space="preserve">Eating disorders:</w:t>
      </w:r>
      <w:r>
        <w:t xml:space="preserve"> </w:t>
      </w:r>
      <w:r>
        <w:t xml:space="preserve">a phase 2 trial in binge eating</w:t>
      </w:r>
      <w:r>
        <w:rPr>
          <w:rStyle w:val="FootnoteReference"/>
        </w:rPr>
        <w:footnoteReference w:id="2270"/>
      </w:r>
      <w:r>
        <w:t xml:space="preserve">.</w:t>
      </w:r>
    </w:p>
    <w:p>
      <w:pPr>
        <w:numPr>
          <w:ilvl w:val="0"/>
          <w:numId w:val="1280"/>
        </w:numPr>
        <w:pStyle w:val="Compact"/>
      </w:pPr>
      <w:r>
        <w:rPr>
          <w:bCs/>
          <w:b/>
        </w:rPr>
        <w:t xml:space="preserve">Industry development:</w:t>
      </w:r>
      <w:r>
        <w:t xml:space="preserve"> </w:t>
      </w:r>
      <w:r>
        <w:t xml:space="preserve">One company has tested a high-dose oxytocin nasal spray (TNX-1900) in chronic migraine (NCT05679908, 88 people, completed) and is planning a study on pain treatment after pituitary surgery</w:t>
      </w:r>
      <w:r>
        <w:rPr>
          <w:rStyle w:val="FootnoteReference"/>
        </w:rPr>
        <w:footnoteReference w:id="2271"/>
      </w:r>
      <w:r>
        <w:t xml:space="preserve">.</w:t>
      </w:r>
    </w:p>
    <w:p>
      <w:pPr>
        <w:pStyle w:val="FirstParagraph"/>
      </w:pPr>
      <w:r>
        <w:rPr>
          <w:bCs/>
          <w:b/>
        </w:rPr>
        <w:t xml:space="preserve">Author’s assessment:</w:t>
      </w:r>
      <w:r>
        <w:t xml:space="preserve"> </w:t>
      </w:r>
      <w:r>
        <w:t xml:space="preserve">The story of oxytocin nasal spray is a lesson in the limits of small studies. After two decades of research, there is not a single application in which a benefit has been confirmed in large, well-conducted studies. The most promising directions today are more narrowly defined: oxytocin as an adjunct to psychotherapy rather than as a medication on its own, as replacement in proven deficiency, and targeted at subgroups defined in advance. Approval for autism or social anxiety appears unlikely in the coming years.</w:t>
      </w:r>
    </w:p>
    <w:bookmarkEnd w:id="2272"/>
    <w:bookmarkStart w:id="2273" w:name="conclusion-50"/>
    <w:p>
      <w:pPr>
        <w:pStyle w:val="Heading3"/>
      </w:pPr>
      <w:r>
        <w:t xml:space="preserve">Conclusion</w:t>
      </w:r>
    </w:p>
    <w:p>
      <w:pPr>
        <w:pStyle w:val="FirstParagraph"/>
      </w:pPr>
      <w:r>
        <w:t xml:space="preserve">As an infusion, oxytocin is an indispensable medicine in obstetrics; as a nasal spray, by contrast, it is a research tool without proven therapeutic benefit. The famous finding that oxytocin increases trust did not withstand replication studies; at most, a small effect is suggested in people with low baseline trust. The largest autism study, SOARS-B with 290 children and adolescents, found no difference from placebo after 24 weeks, and results were also negative in obesity, alcohol dependence, Prader-Willi syndrome and pain. In studies, the spray was well tolerated. Anyone buying a</w:t>
      </w:r>
      <w:r>
        <w:t xml:space="preserve"> </w:t>
      </w:r>
      <w:r>
        <w:t xml:space="preserve">“</w:t>
      </w:r>
      <w:r>
        <w:t xml:space="preserve">love</w:t>
      </w:r>
      <w:r>
        <w:t xml:space="preserve">”</w:t>
      </w:r>
      <w:r>
        <w:t xml:space="preserve"> </w:t>
      </w:r>
      <w:r>
        <w:t xml:space="preserve">or</w:t>
      </w:r>
      <w:r>
        <w:t xml:space="preserve"> </w:t>
      </w:r>
      <w:r>
        <w:t xml:space="preserve">“</w:t>
      </w:r>
      <w:r>
        <w:t xml:space="preserve">trust</w:t>
      </w:r>
      <w:r>
        <w:t xml:space="preserve">”</w:t>
      </w:r>
      <w:r>
        <w:t xml:space="preserve"> </w:t>
      </w:r>
      <w:r>
        <w:t xml:space="preserve">spray today is purchasing a promise that research does not keep.</w:t>
      </w:r>
    </w:p>
    <w:bookmarkEnd w:id="2273"/>
    <w:bookmarkEnd w:id="2274"/>
    <w:bookmarkStart w:id="2312" w:name="gonadorelin"/>
    <w:p>
      <w:pPr>
        <w:pStyle w:val="Heading2"/>
      </w:pPr>
      <w:r>
        <w:t xml:space="preserve">Gonadorelin</w:t>
      </w:r>
    </w:p>
    <w:bookmarkStart w:id="2275" w:name="profile-51"/>
    <w:p>
      <w:pPr>
        <w:pStyle w:val="Heading3"/>
      </w:pPr>
      <w:r>
        <w:t xml:space="preserve">Profile</w:t>
      </w:r>
    </w:p>
    <w:p>
      <w:pPr>
        <w:numPr>
          <w:ilvl w:val="0"/>
          <w:numId w:val="1281"/>
        </w:numPr>
        <w:pStyle w:val="Compact"/>
      </w:pPr>
      <w:r>
        <w:rPr>
          <w:bCs/>
          <w:b/>
        </w:rPr>
        <w:t xml:space="preserve">Type/structure:</w:t>
      </w:r>
      <w:r>
        <w:t xml:space="preserve"> </w:t>
      </w:r>
      <w:r>
        <w:t xml:space="preserve">peptide of ten amino acids, produced synthetically and identical in sequence to the human hormone GnRH (gonadotropin-releasing hormone, also called LHRH or gonadoliberin).</w:t>
      </w:r>
    </w:p>
    <w:p>
      <w:pPr>
        <w:numPr>
          <w:ilvl w:val="0"/>
          <w:numId w:val="1281"/>
        </w:numPr>
        <w:pStyle w:val="Compact"/>
      </w:pPr>
      <w:r>
        <w:rPr>
          <w:bCs/>
          <w:b/>
        </w:rPr>
        <w:t xml:space="preserve">Origin:</w:t>
      </w:r>
      <w:r>
        <w:t xml:space="preserve"> </w:t>
      </w:r>
      <w:r>
        <w:t xml:space="preserve">GnRH was isolated and decoded from pig and sheep brains in the early 1970s; the researchers involved, Andrew Schally and Roger Guillemin, received the Nobel Prize for this in 1977. Gonadorelin is the international nonproprietary name of the synthetic hormone.</w:t>
      </w:r>
    </w:p>
    <w:p>
      <w:pPr>
        <w:numPr>
          <w:ilvl w:val="0"/>
          <w:numId w:val="1281"/>
        </w:numPr>
        <w:pStyle w:val="Compact"/>
      </w:pPr>
      <w:r>
        <w:rPr>
          <w:bCs/>
          <w:b/>
        </w:rPr>
        <w:t xml:space="preserve">Mechanism of action:</w:t>
      </w:r>
      <w:r>
        <w:t xml:space="preserve"> </w:t>
      </w:r>
      <w:r>
        <w:t xml:space="preserve">agonist at the GnRH receptor of the pituitary gland. Given in pulses, it stimulates the release of LH and FSH; given continuously, it suppresses it.</w:t>
      </w:r>
    </w:p>
    <w:p>
      <w:pPr>
        <w:numPr>
          <w:ilvl w:val="0"/>
          <w:numId w:val="1281"/>
        </w:numPr>
        <w:pStyle w:val="Compact"/>
      </w:pPr>
      <w:r>
        <w:rPr>
          <w:bCs/>
          <w:b/>
        </w:rPr>
        <w:t xml:space="preserve">Dosage forms:</w:t>
      </w:r>
      <w:r>
        <w:t xml:space="preserve"> </w:t>
      </w:r>
      <w:r>
        <w:t xml:space="preserve">injection into a vein for function tests; portable pump that delivers a small amount under the skin or into a vein every 60 to 120 minutes (pulsatile therapy); in some countries, a nasal spray for infants with undescended testes.</w:t>
      </w:r>
    </w:p>
    <w:p>
      <w:pPr>
        <w:numPr>
          <w:ilvl w:val="0"/>
          <w:numId w:val="1281"/>
        </w:numPr>
        <w:pStyle w:val="Compact"/>
      </w:pPr>
      <w:r>
        <w:rPr>
          <w:bCs/>
          <w:b/>
        </w:rPr>
        <w:t xml:space="preserve">Approval EU:</w:t>
      </w:r>
      <w:r>
        <w:t xml:space="preserve"> </w:t>
      </w:r>
      <w:r>
        <w:t xml:space="preserve">nationally approved in individual member states, for example as a diagnostic agent and for pump therapy; products and availability differ from country to country.</w:t>
      </w:r>
    </w:p>
    <w:p>
      <w:pPr>
        <w:numPr>
          <w:ilvl w:val="0"/>
          <w:numId w:val="1281"/>
        </w:numPr>
        <w:pStyle w:val="Compact"/>
      </w:pPr>
      <w:r>
        <w:rPr>
          <w:bCs/>
          <w:b/>
        </w:rPr>
        <w:t xml:space="preserve">Approval USA:</w:t>
      </w:r>
      <w:r>
        <w:t xml:space="preserve"> </w:t>
      </w:r>
      <w:r>
        <w:t xml:space="preserve">Former products (Factrel for diagnostics, Lutrepulse for the pump) are no longer on the market. To the author’s knowledge, there is currently no marketed, approved human medicine (please check for updates).</w:t>
      </w:r>
    </w:p>
    <w:p>
      <w:pPr>
        <w:numPr>
          <w:ilvl w:val="0"/>
          <w:numId w:val="1281"/>
        </w:numPr>
        <w:pStyle w:val="Compact"/>
      </w:pPr>
      <w:r>
        <w:rPr>
          <w:bCs/>
          <w:b/>
        </w:rPr>
        <w:t xml:space="preserve">WADA:</w:t>
      </w:r>
      <w:r>
        <w:t xml:space="preserve"> </w:t>
      </w:r>
      <w:r>
        <w:t xml:space="preserve">prohibited for men (group S2, where gonadorelin is named explicitly), in and out of competition.</w:t>
      </w:r>
    </w:p>
    <w:p>
      <w:pPr>
        <w:numPr>
          <w:ilvl w:val="0"/>
          <w:numId w:val="1281"/>
        </w:numPr>
        <w:pStyle w:val="Compact"/>
      </w:pPr>
      <w:r>
        <w:rPr>
          <w:bCs/>
          <w:b/>
        </w:rPr>
        <w:t xml:space="preserve">Evidence level:</w:t>
      </w:r>
      <w:r>
        <w:t xml:space="preserve"> </w:t>
      </w:r>
      <w:r>
        <w:rPr>
          <w:bCs/>
          <w:b/>
        </w:rPr>
        <w:t xml:space="preserve">B</w:t>
      </w:r>
      <w:r>
        <w:t xml:space="preserve"> </w:t>
      </w:r>
      <w:r>
        <w:t xml:space="preserve">– approved medicine with decades of use; however, the efficacy data come mainly from large case series, cohorts and a few small randomized studies.</w:t>
      </w:r>
    </w:p>
    <w:bookmarkEnd w:id="2275"/>
    <w:bookmarkStart w:id="2276" w:name="how-it-is-supposed-to-work-51"/>
    <w:p>
      <w:pPr>
        <w:pStyle w:val="Heading3"/>
      </w:pPr>
      <w:r>
        <w:t xml:space="preserve">How it is supposed to work</w:t>
      </w:r>
    </w:p>
    <w:p>
      <w:pPr>
        <w:pStyle w:val="FirstParagraph"/>
      </w:pPr>
      <w:r>
        <w:t xml:space="preserve">The reproductive hormone axis begins in the hypothalamus. There, specialized nerve cells release GnRH – not evenly, but in pulses roughly every one to two hours. Each pulse causes the pituitary gland (hypophysis) to release the hormones LH and FSH. These act on the ovaries and testes: they control egg maturation and ovulation, sperm production and the production of estrogen and testosterone. The messenger kisspeptin (chapter 2E04) sits one level higher still and switches on the GnRH nerve cells.</w:t>
      </w:r>
    </w:p>
    <w:p>
      <w:pPr>
        <w:pStyle w:val="BodyText"/>
      </w:pPr>
      <w:r>
        <w:t xml:space="preserve">The pulse rhythm is decisive. This becomes clear from an apparent contradiction:</w:t>
      </w:r>
    </w:p>
    <w:p>
      <w:pPr>
        <w:numPr>
          <w:ilvl w:val="0"/>
          <w:numId w:val="1282"/>
        </w:numPr>
        <w:pStyle w:val="Compact"/>
      </w:pPr>
      <w:r>
        <w:rPr>
          <w:bCs/>
          <w:b/>
        </w:rPr>
        <w:t xml:space="preserve">Pulsatile administration</w:t>
      </w:r>
      <w:r>
        <w:t xml:space="preserve"> </w:t>
      </w:r>
      <w:r>
        <w:t xml:space="preserve">– a small amount every 60 to 120 minutes – mimics the natural rhythm and</w:t>
      </w:r>
      <w:r>
        <w:t xml:space="preserve"> </w:t>
      </w:r>
      <w:r>
        <w:rPr>
          <w:bCs/>
          <w:b/>
        </w:rPr>
        <w:t xml:space="preserve">activates</w:t>
      </w:r>
      <w:r>
        <w:t xml:space="preserve"> </w:t>
      </w:r>
      <w:r>
        <w:t xml:space="preserve">the axis. Pump therapy for people whose hypothalamus produces too little GnRH is based on this.</w:t>
      </w:r>
    </w:p>
    <w:p>
      <w:pPr>
        <w:numPr>
          <w:ilvl w:val="0"/>
          <w:numId w:val="1282"/>
        </w:numPr>
        <w:pStyle w:val="Compact"/>
      </w:pPr>
      <w:r>
        <w:rPr>
          <w:bCs/>
          <w:b/>
        </w:rPr>
        <w:t xml:space="preserve">Continuous stimulation</w:t>
      </w:r>
      <w:r>
        <w:t xml:space="preserve">, after a brief rise, causes the receptors of the pituitary gland to switch off. The hormone axis is</w:t>
      </w:r>
      <w:r>
        <w:t xml:space="preserve"> </w:t>
      </w:r>
      <w:r>
        <w:rPr>
          <w:bCs/>
          <w:b/>
        </w:rPr>
        <w:t xml:space="preserve">suppressed</w:t>
      </w:r>
      <w:r>
        <w:t xml:space="preserve">, down to testosterone levels like those after castration.</w:t>
      </w:r>
    </w:p>
    <w:p>
      <w:pPr>
        <w:pStyle w:val="FirstParagraph"/>
      </w:pPr>
      <w:r>
        <w:t xml:space="preserve">The GnRH analogs such as leuprorelin, triptorelin or goserelin are based on the second principle. They are chemically modified, act much longer than gonadorelin and are used as depot injections for prostate cancer, endometriosis, fibroids or precocious puberty. They are not the subject of this chapter, but they considerably distort the data (see below).</w:t>
      </w:r>
    </w:p>
    <w:p>
      <w:pPr>
        <w:pStyle w:val="BodyText"/>
      </w:pPr>
      <w:r>
        <w:t xml:space="preserve">Gonadorelin itself is unsuitable for continuous blockade: it is broken down in the blood within a few minutes.</w:t>
      </w:r>
    </w:p>
    <w:bookmarkEnd w:id="2276"/>
    <w:bookmarkStart w:id="2296" w:name="human-studies-51"/>
    <w:p>
      <w:pPr>
        <w:pStyle w:val="Heading3"/>
      </w:pPr>
      <w:r>
        <w:t xml:space="preserve">Human studies</w:t>
      </w:r>
    </w:p>
    <w:p>
      <w:pPr>
        <w:pStyle w:val="FirstParagraph"/>
      </w:pPr>
      <w:r>
        <w:rPr>
          <w:bCs/>
          <w:b/>
        </w:rPr>
        <w:t xml:space="preserve">Size of the evidence base (search October 2026) – and why the numbers are misleading:</w:t>
      </w:r>
      <w:r>
        <w:t xml:space="preserve"> </w:t>
      </w:r>
      <w:r>
        <w:t xml:space="preserve">The automated search for this book found</w:t>
      </w:r>
      <w:r>
        <w:t xml:space="preserve"> </w:t>
      </w:r>
      <w:r>
        <w:rPr>
          <w:bCs/>
          <w:b/>
        </w:rPr>
        <w:t xml:space="preserve">9</w:t>
      </w:r>
      <w:r>
        <w:t xml:space="preserve"> </w:t>
      </w:r>
      <w:r>
        <w:t xml:space="preserve">human studies in PubMed (</w:t>
      </w:r>
      <w:r>
        <w:rPr>
          <w:rStyle w:val="VerbatimChar"/>
        </w:rPr>
        <w:t xml:space="preserve">humanstudien_alle</w:t>
      </w:r>
      <w:r>
        <w:t xml:space="preserve">) and, on ClinicalTrials.gov, the maximum number of</w:t>
      </w:r>
      <w:r>
        <w:t xml:space="preserve"> </w:t>
      </w:r>
      <w:r>
        <w:rPr>
          <w:bCs/>
          <w:b/>
        </w:rPr>
        <w:t xml:space="preserve">1,000</w:t>
      </w:r>
      <w:r>
        <w:t xml:space="preserve"> </w:t>
      </w:r>
      <w:r>
        <w:t xml:space="preserve">registry entries at which the query stops. Both figures are useless for assessing gonadorelin, and in opposite directions:</w:t>
      </w:r>
    </w:p>
    <w:p>
      <w:pPr>
        <w:numPr>
          <w:ilvl w:val="0"/>
          <w:numId w:val="1283"/>
        </w:numPr>
        <w:pStyle w:val="Compact"/>
      </w:pPr>
      <w:r>
        <w:rPr>
          <w:bCs/>
          <w:b/>
        </w:rPr>
        <w:t xml:space="preserve">The registry figure is greatly overestimated.</w:t>
      </w:r>
      <w:r>
        <w:t xml:space="preserve"> </w:t>
      </w:r>
      <w:r>
        <w:t xml:space="preserve">ClinicalTrials.gov maps the search term</w:t>
      </w:r>
      <w:r>
        <w:t xml:space="preserve"> </w:t>
      </w:r>
      <w:r>
        <w:t xml:space="preserve">“</w:t>
      </w:r>
      <w:r>
        <w:t xml:space="preserve">gonadorelin</w:t>
      </w:r>
      <w:r>
        <w:t xml:space="preserve">”</w:t>
      </w:r>
      <w:r>
        <w:t xml:space="preserve"> </w:t>
      </w:r>
      <w:r>
        <w:t xml:space="preserve">to the umbrella term</w:t>
      </w:r>
      <w:r>
        <w:t xml:space="preserve"> </w:t>
      </w:r>
      <w:r>
        <w:t xml:space="preserve">“</w:t>
      </w:r>
      <w:r>
        <w:t xml:space="preserve">Gonadotropin-Releasing Hormone.</w:t>
      </w:r>
      <w:r>
        <w:t xml:space="preserve">”</w:t>
      </w:r>
      <w:r>
        <w:t xml:space="preserve"> </w:t>
      </w:r>
      <w:r>
        <w:t xml:space="preserve">As a result, all studies with GnRH analogs and antagonists appear. In the titles of the 1,000 hits, the word</w:t>
      </w:r>
      <w:r>
        <w:t xml:space="preserve"> </w:t>
      </w:r>
      <w:r>
        <w:t xml:space="preserve">“</w:t>
      </w:r>
      <w:r>
        <w:t xml:space="preserve">prostate</w:t>
      </w:r>
      <w:r>
        <w:t xml:space="preserve">”</w:t>
      </w:r>
      <w:r>
        <w:t xml:space="preserve"> </w:t>
      </w:r>
      <w:r>
        <w:t xml:space="preserve">appears 340 times,</w:t>
      </w:r>
      <w:r>
        <w:t xml:space="preserve"> </w:t>
      </w:r>
      <w:r>
        <w:t xml:space="preserve">“</w:t>
      </w:r>
      <w:r>
        <w:t xml:space="preserve">androgen deprivation</w:t>
      </w:r>
      <w:r>
        <w:t xml:space="preserve">”</w:t>
      </w:r>
      <w:r>
        <w:t xml:space="preserve"> </w:t>
      </w:r>
      <w:r>
        <w:t xml:space="preserve">57 times, and leuprorelin, goserelin and triptorelin together well over a hundred times. A review of the titles found only around ten entries that actually study native GnRH or gonadorelin – for example as a pump, patch or function test.</w:t>
      </w:r>
    </w:p>
    <w:p>
      <w:pPr>
        <w:numPr>
          <w:ilvl w:val="0"/>
          <w:numId w:val="1283"/>
        </w:numPr>
        <w:pStyle w:val="Compact"/>
      </w:pPr>
      <w:r>
        <w:rPr>
          <w:bCs/>
          <w:b/>
        </w:rPr>
        <w:t xml:space="preserve">The PubMed figure is underestimated.</w:t>
      </w:r>
      <w:r>
        <w:t xml:space="preserve"> </w:t>
      </w:r>
      <w:r>
        <w:t xml:space="preserve">Most studies on the body-identical hormone use the terms</w:t>
      </w:r>
      <w:r>
        <w:t xml:space="preserve"> </w:t>
      </w:r>
      <w:r>
        <w:t xml:space="preserve">“</w:t>
      </w:r>
      <w:r>
        <w:t xml:space="preserve">GnRH</w:t>
      </w:r>
      <w:r>
        <w:t xml:space="preserve">”</w:t>
      </w:r>
      <w:r>
        <w:t xml:space="preserve"> </w:t>
      </w:r>
      <w:r>
        <w:t xml:space="preserve">or</w:t>
      </w:r>
      <w:r>
        <w:t xml:space="preserve"> </w:t>
      </w:r>
      <w:r>
        <w:t xml:space="preserve">“</w:t>
      </w:r>
      <w:r>
        <w:t xml:space="preserve">LHRH</w:t>
      </w:r>
      <w:r>
        <w:t xml:space="preserve">”</w:t>
      </w:r>
      <w:r>
        <w:t xml:space="preserve"> </w:t>
      </w:r>
      <w:r>
        <w:t xml:space="preserve">rather than the drug name. Conversely, several of the nine hits do not concern gonadorelin as a treatment at all: one paper studied a GnRH analog in prostate cancer</w:t>
      </w:r>
      <w:r>
        <w:rPr>
          <w:rStyle w:val="FootnoteReference"/>
        </w:rPr>
        <w:footnoteReference w:id="2277"/>
      </w:r>
      <w:r>
        <w:t xml:space="preserve">, others used gonadorelin only as a test substance, for example to examine the effect of a cholesterol-lowering drug or of UV light on the hormone axis</w:t>
      </w:r>
      <w:r>
        <w:rPr>
          <w:rStyle w:val="FootnoteReference"/>
        </w:rPr>
        <w:footnoteReference w:id="2278"/>
      </w:r>
      <w:r>
        <w:t xml:space="preserve">.</w:t>
      </w:r>
    </w:p>
    <w:p>
      <w:pPr>
        <w:pStyle w:val="FirstParagraph"/>
      </w:pPr>
      <w:r>
        <w:t xml:space="preserve">This chapter therefore relies on a supplementary, targeted search for studies on pulsatile GnRH therapy and the GnRH test.</w:t>
      </w:r>
    </w:p>
    <w:bookmarkStart w:id="2282" w:name="diagnostics-the-gnrh-test"/>
    <w:p>
      <w:pPr>
        <w:pStyle w:val="Heading4"/>
      </w:pPr>
      <w:r>
        <w:t xml:space="preserve">Diagnostics: the GnRH Test</w:t>
      </w:r>
    </w:p>
    <w:p>
      <w:pPr>
        <w:pStyle w:val="FirstParagraph"/>
      </w:pPr>
      <w:r>
        <w:t xml:space="preserve">In the GnRH test (also LHRH test), gonadorelin is injected into a vein; then, over one to two hours, the rise in LH and FSH is measured. The test helps above all in children with early puberty: a marked rise in LH suggests that the hormone axis in the brain is already active (central precocious puberty).</w:t>
      </w:r>
    </w:p>
    <w:p>
      <w:pPr>
        <w:pStyle w:val="BodyText"/>
      </w:pPr>
      <w:r>
        <w:t xml:space="preserve">In an analysis of 584 tests (314 of them for diagnosis), a single blood sample 40 minutes after the injection was sufficient for diagnosis: at an LH threshold of 5 IU/L, sensitivity was 98% and specificity 100%</w:t>
      </w:r>
      <w:r>
        <w:rPr>
          <w:rStyle w:val="FootnoteReference"/>
        </w:rPr>
        <w:footnoteReference w:id="2279"/>
      </w:r>
      <w:r>
        <w:t xml:space="preserve">. A review points to limitations, for example in very early stages of puberty and in overweight children, and to inconsistent cutoff values between studies</w:t>
      </w:r>
      <w:r>
        <w:rPr>
          <w:rStyle w:val="FootnoteReference"/>
        </w:rPr>
        <w:footnoteReference w:id="2280"/>
      </w:r>
      <w:r>
        <w:t xml:space="preserve">.</w:t>
      </w:r>
    </w:p>
    <w:p>
      <w:pPr>
        <w:pStyle w:val="BodyText"/>
      </w:pPr>
      <w:r>
        <w:t xml:space="preserve">Because native GnRH is expensive and unavailable in many places, a short-acting analog is increasingly used as a substitute. In a study with 341 girls, a test with triptorelin was similarly accurate to the gonadorelin test</w:t>
      </w:r>
      <w:r>
        <w:rPr>
          <w:rStyle w:val="FootnoteReference"/>
        </w:rPr>
        <w:footnoteReference w:id="2281"/>
      </w:r>
      <w:r>
        <w:t xml:space="preserve">.</w:t>
      </w:r>
    </w:p>
    <w:bookmarkEnd w:id="2282"/>
    <w:bookmarkStart w:id="2288" w:name="infertility-the-gnrh-pump-in-women"/>
    <w:p>
      <w:pPr>
        <w:pStyle w:val="Heading4"/>
      </w:pPr>
      <w:r>
        <w:t xml:space="preserve">Infertility: the GnRH Pump in Women</w:t>
      </w:r>
    </w:p>
    <w:p>
      <w:pPr>
        <w:pStyle w:val="FirstParagraph"/>
      </w:pPr>
      <w:r>
        <w:t xml:space="preserve">In hypothalamic amenorrhea, menstruation stops because the brain produces too little GnRH – often after severe weight loss, intense exercise or stress, less often for congenital reasons. A small, portable pump can replace the missing rhythm.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Santoro 1990, PMID 2122733</w:t>
            </w:r>
          </w:p>
        </w:tc>
        <w:tc>
          <w:tcPr/>
          <w:p>
            <w:pPr>
              <w:pStyle w:val="Compact"/>
              <w:jc w:val="left"/>
            </w:pPr>
            <w:r>
              <w:t xml:space="preserve">109 women with hypothalamic amenorrhea, multicenter study with intravenous pump</w:t>
            </w:r>
          </w:p>
        </w:tc>
        <w:tc>
          <w:tcPr/>
          <w:p>
            <w:pPr>
              <w:pStyle w:val="Compact"/>
              <w:jc w:val="left"/>
            </w:pPr>
            <w:r>
              <w:t xml:space="preserve">several cycles</w:t>
            </w:r>
          </w:p>
        </w:tc>
        <w:tc>
          <w:tcPr/>
          <w:p>
            <w:pPr>
              <w:pStyle w:val="Compact"/>
              <w:jc w:val="left"/>
            </w:pPr>
            <w:r>
              <w:t xml:space="preserve">Ovulation in 91% and 96%; multiples 12%</w:t>
            </w:r>
          </w:p>
        </w:tc>
      </w:tr>
      <w:tr>
        <w:tc>
          <w:tcPr/>
          <w:p>
            <w:pPr>
              <w:pStyle w:val="Compact"/>
              <w:jc w:val="left"/>
            </w:pPr>
            <w:r>
              <w:t xml:space="preserve">Filicori 1994, PMID 7962297</w:t>
            </w:r>
          </w:p>
        </w:tc>
        <w:tc>
          <w:tcPr/>
          <w:p>
            <w:pPr>
              <w:pStyle w:val="Compact"/>
              <w:jc w:val="left"/>
            </w:pPr>
            <w:r>
              <w:t xml:space="preserve">292 women, 600 cycles, various causes</w:t>
            </w:r>
          </w:p>
        </w:tc>
        <w:tc>
          <w:tcPr/>
          <w:p>
            <w:pPr>
              <w:pStyle w:val="Compact"/>
              <w:jc w:val="left"/>
            </w:pPr>
            <w:r>
              <w:t xml:space="preserve">1984–1993</w:t>
            </w:r>
          </w:p>
        </w:tc>
        <w:tc>
          <w:tcPr/>
          <w:p>
            <w:pPr>
              <w:pStyle w:val="Compact"/>
              <w:jc w:val="left"/>
            </w:pPr>
            <w:r>
              <w:t xml:space="preserve">Ovulation in 75% of cycles; pregnancy 18% per cycle; multiples 3.8%; miscarriages 30%</w:t>
            </w:r>
          </w:p>
        </w:tc>
      </w:tr>
      <w:tr>
        <w:tc>
          <w:tcPr/>
          <w:p>
            <w:pPr>
              <w:pStyle w:val="Compact"/>
              <w:jc w:val="left"/>
            </w:pPr>
            <w:r>
              <w:t xml:space="preserve">Christin-Maitre 2007, PMID 17293247</w:t>
            </w:r>
          </w:p>
        </w:tc>
        <w:tc>
          <w:tcPr/>
          <w:p>
            <w:pPr>
              <w:pStyle w:val="Compact"/>
              <w:jc w:val="left"/>
            </w:pPr>
            <w:r>
              <w:t xml:space="preserve">248 women, 829 cycles, 24 French centers, retrospective</w:t>
            </w:r>
          </w:p>
        </w:tc>
        <w:tc>
          <w:tcPr/>
          <w:p>
            <w:pPr>
              <w:pStyle w:val="Compact"/>
              <w:jc w:val="left"/>
            </w:pPr>
            <w:r>
              <w:t xml:space="preserve">3 years</w:t>
            </w:r>
          </w:p>
        </w:tc>
        <w:tc>
          <w:tcPr/>
          <w:p>
            <w:pPr>
              <w:pStyle w:val="Compact"/>
              <w:jc w:val="left"/>
            </w:pPr>
            <w:r>
              <w:t xml:space="preserve">Pregnancy 25% per cycle; multiples 8.8%; no severe hyperstimulation</w:t>
            </w:r>
          </w:p>
        </w:tc>
      </w:tr>
      <w:tr>
        <w:tc>
          <w:tcPr/>
          <w:p>
            <w:pPr>
              <w:pStyle w:val="Compact"/>
              <w:jc w:val="left"/>
            </w:pPr>
            <w:r>
              <w:t xml:space="preserve">Dubourdieu 2013, PMID 23298894</w:t>
            </w:r>
          </w:p>
        </w:tc>
        <w:tc>
          <w:tcPr/>
          <w:p>
            <w:pPr>
              <w:pStyle w:val="Compact"/>
              <w:jc w:val="left"/>
            </w:pPr>
            <w:r>
              <w:t xml:space="preserve">30 women with amenorrhea and PCOS, RCT: pump vs. gonadotropins</w:t>
            </w:r>
          </w:p>
        </w:tc>
        <w:tc>
          <w:tcPr/>
          <w:p>
            <w:pPr>
              <w:pStyle w:val="Compact"/>
              <w:jc w:val="left"/>
            </w:pPr>
            <w:r>
              <w:t xml:space="preserve">one cycle</w:t>
            </w:r>
          </w:p>
        </w:tc>
        <w:tc>
          <w:tcPr/>
          <w:p>
            <w:pPr>
              <w:pStyle w:val="Compact"/>
              <w:jc w:val="left"/>
            </w:pPr>
            <w:r>
              <w:t xml:space="preserve">Clinical pregnancy 46% vs. 0%</w:t>
            </w:r>
          </w:p>
        </w:tc>
      </w:tr>
      <w:tr>
        <w:tc>
          <w:tcPr/>
          <w:p>
            <w:pPr>
              <w:pStyle w:val="Compact"/>
              <w:jc w:val="left"/>
            </w:pPr>
            <w:r>
              <w:t xml:space="preserve">Quaas 2022, PMID 36378460</w:t>
            </w:r>
          </w:p>
        </w:tc>
        <w:tc>
          <w:tcPr/>
          <w:p>
            <w:pPr>
              <w:pStyle w:val="Compact"/>
              <w:jc w:val="left"/>
            </w:pPr>
            <w:r>
              <w:t xml:space="preserve">66 women, 212 cycles, Swiss center, retrospective</w:t>
            </w:r>
          </w:p>
        </w:tc>
        <w:tc>
          <w:tcPr/>
          <w:p>
            <w:pPr>
              <w:pStyle w:val="Compact"/>
              <w:jc w:val="left"/>
            </w:pPr>
            <w:r>
              <w:t xml:space="preserve">1996–2020</w:t>
            </w:r>
          </w:p>
        </w:tc>
        <w:tc>
          <w:tcPr/>
          <w:p>
            <w:pPr>
              <w:pStyle w:val="Compact"/>
              <w:jc w:val="left"/>
            </w:pPr>
            <w:r>
              <w:t xml:space="preserve">Live birth per treatment 65.9%; one follicle in 75% of cycles; one twin pregnancy</w:t>
            </w:r>
          </w:p>
        </w:tc>
      </w:tr>
    </w:tbl>
    <w:p>
      <w:pPr>
        <w:pStyle w:val="BodyText"/>
      </w:pPr>
      <w:r>
        <w:t xml:space="preserve">The figures show a consistent picture: in women whose problem actually lies in the hypothalamus, the pump leads to ovulation in the vast majority of cycles, often with only one maturing egg. Because the pituitary gland retains its own feedback, hyperstimulation and multiple pregnancies are less common than with directly injected gonadotropins</w:t>
      </w:r>
      <w:r>
        <w:rPr>
          <w:rStyle w:val="FootnoteReference"/>
        </w:rPr>
        <w:footnoteReference w:id="2283"/>
      </w:r>
      <w:r>
        <w:t xml:space="preserve">. In women with polycystic ovary syndrome or overweight, the pump works less well, and miscarriages were frequent in the largest single series</w:t>
      </w:r>
      <w:r>
        <w:rPr>
          <w:rStyle w:val="FootnoteReference"/>
        </w:rPr>
        <w:footnoteReference w:id="2284"/>
      </w:r>
      <w:r>
        <w:t xml:space="preserve">.</w:t>
      </w:r>
    </w:p>
    <w:p>
      <w:pPr>
        <w:pStyle w:val="BodyText"/>
      </w:pPr>
      <w:r>
        <w:t xml:space="preserve">The drawbacks are practical: the pump must be worn for weeks. With intravenous administration, complications at the access site occurred in 7% on average</w:t>
      </w:r>
      <w:r>
        <w:rPr>
          <w:rStyle w:val="FootnoteReference"/>
        </w:rPr>
        <w:footnoteReference w:id="2285"/>
      </w:r>
      <w:r>
        <w:t xml:space="preserve">. Today, the pump usually delivers under the skin; local allergic reactions occurred in 1.7% of cycles in the French study</w:t>
      </w:r>
      <w:r>
        <w:rPr>
          <w:rStyle w:val="FootnoteReference"/>
        </w:rPr>
        <w:footnoteReference w:id="2286"/>
      </w:r>
      <w:r>
        <w:t xml:space="preserve">.</w:t>
      </w:r>
    </w:p>
    <w:p>
      <w:pPr>
        <w:pStyle w:val="BodyText"/>
      </w:pPr>
      <w:r>
        <w:t xml:space="preserve">The data are old and mostly not randomized. Large comparative studies with modern gonadotropin protocols are lacking. Nevertheless, experts regard the pump as a particularly physiological and safe method for hypothalamic amenorrhea with a desire to conceive</w:t>
      </w:r>
      <w:r>
        <w:rPr>
          <w:rStyle w:val="FootnoteReference"/>
        </w:rPr>
        <w:footnoteReference w:id="2287"/>
      </w:r>
      <w:r>
        <w:t xml:space="preserve"> </w:t>
      </w:r>
      <w:r>
        <w:t xml:space="preserve">– provided it is available.</w:t>
      </w:r>
    </w:p>
    <w:bookmarkEnd w:id="2288"/>
    <w:bookmarkStart w:id="2292" w:name="men-with-hormone-deficiency"/>
    <w:p>
      <w:pPr>
        <w:pStyle w:val="Heading4"/>
      </w:pPr>
      <w:r>
        <w:t xml:space="preserve">Men with Hormone Deficiency</w:t>
      </w:r>
    </w:p>
    <w:p>
      <w:pPr>
        <w:pStyle w:val="FirstParagraph"/>
      </w:pPr>
      <w:r>
        <w:t xml:space="preserve">Men with congenital GnRH deficiency – for example in Kallmann syndrome, in which the sense of smell is also absent – can also be treated with the pump to stimulate testicular growth and sperm production.</w:t>
      </w:r>
    </w:p>
    <w:p>
      <w:pPr>
        <w:pStyle w:val="BodyText"/>
      </w:pPr>
      <w:r>
        <w:t xml:space="preserve">In an analysis of 26 men at a German university center, sperm appeared in the ejaculate in 30 of 33 treatment cycles; in 15 of 18 cases with a desire to conceive, the partner became pregnant. The pump and injected gonadotropins were equally effective</w:t>
      </w:r>
      <w:r>
        <w:rPr>
          <w:rStyle w:val="FootnoteReference"/>
        </w:rPr>
        <w:footnoteReference w:id="2289"/>
      </w:r>
      <w:r>
        <w:t xml:space="preserve">. In Chinese boys of pubertal age, the testes grew more under the pump than under hCG injections</w:t>
      </w:r>
      <w:r>
        <w:rPr>
          <w:rStyle w:val="FootnoteReference"/>
        </w:rPr>
        <w:footnoteReference w:id="2290"/>
      </w:r>
      <w:r>
        <w:t xml:space="preserve">. A small randomized study found indications that pretreatment with FSH before the pump might improve sperm production: all seven pretreated men later had sperm, compared with four of six without pretreatment</w:t>
      </w:r>
      <w:r>
        <w:rPr>
          <w:rStyle w:val="FootnoteReference"/>
        </w:rPr>
        <w:footnoteReference w:id="2291"/>
      </w:r>
      <w:r>
        <w:t xml:space="preserve">.</w:t>
      </w:r>
    </w:p>
    <w:bookmarkEnd w:id="2292"/>
    <w:bookmarkStart w:id="2295" w:name="infants-with-undescended-testes"/>
    <w:p>
      <w:pPr>
        <w:pStyle w:val="Heading4"/>
      </w:pPr>
      <w:r>
        <w:t xml:space="preserve">Infants with Undescended Testes</w:t>
      </w:r>
    </w:p>
    <w:p>
      <w:pPr>
        <w:pStyle w:val="FirstParagraph"/>
      </w:pPr>
      <w:r>
        <w:t xml:space="preserve">In some European countries, a gonadorelin nasal spray is given before or after surgery for undescended testes to promote maturation of the germ cells. A randomized study with 62 infants reported more favorable ultrasound findings after combined treatment</w:t>
      </w:r>
      <w:r>
        <w:rPr>
          <w:rStyle w:val="FootnoteReference"/>
        </w:rPr>
        <w:footnoteReference w:id="2293"/>
      </w:r>
      <w:r>
        <w:t xml:space="preserve">. Another randomized study with 36 boys, by contrast, found no difference in penile size, testicular volume or hormone levels at the time of surgery; the treatment did, however, prove safe</w:t>
      </w:r>
      <w:r>
        <w:rPr>
          <w:rStyle w:val="FootnoteReference"/>
        </w:rPr>
        <w:footnoteReference w:id="2294"/>
      </w:r>
      <w:r>
        <w:t xml:space="preserve">. The benefit is disputed; early surgery is the priority.</w:t>
      </w:r>
    </w:p>
    <w:bookmarkEnd w:id="2295"/>
    <w:bookmarkEnd w:id="2296"/>
    <w:bookmarkStart w:id="2297" w:name="animal-and-laboratory-studies-51"/>
    <w:p>
      <w:pPr>
        <w:pStyle w:val="Heading3"/>
      </w:pPr>
      <w:r>
        <w:t xml:space="preserve">Animal and laboratory studies</w:t>
      </w:r>
    </w:p>
    <w:p>
      <w:pPr>
        <w:pStyle w:val="FirstParagraph"/>
      </w:pPr>
      <w:r>
        <w:t xml:space="preserve">Gonadorelin is one of the best-understood hormones of all; its fundamentals come from animal experiments in the 1970s. Today, animal research plays hardly any role in the assessment in humans. In veterinary medicine, gonadorelin is widely used, above all in cattle to control ovulation. These products are approved for animals and not for humans.</w:t>
      </w:r>
    </w:p>
    <w:bookmarkEnd w:id="2297"/>
    <w:bookmarkStart w:id="2301" w:name="risks-and-side-effects-51"/>
    <w:p>
      <w:pPr>
        <w:pStyle w:val="Heading3"/>
      </w:pPr>
      <w:r>
        <w:t xml:space="preserve">Risks and side effects</w:t>
      </w:r>
    </w:p>
    <w:bookmarkStart w:id="2299" w:name="established-3"/>
    <w:p>
      <w:pPr>
        <w:pStyle w:val="Heading4"/>
      </w:pPr>
      <w:r>
        <w:t xml:space="preserve">Established</w:t>
      </w:r>
    </w:p>
    <w:p>
      <w:pPr>
        <w:pStyle w:val="FirstParagraph"/>
      </w:pPr>
      <w:r>
        <w:t xml:space="preserve">Gonadorelin is considered well tolerated. In the studies on pump therapy, problems with the access site (inflammation, vein irritation with intravenous administration) and local skin reactions were the main issues</w:t>
      </w:r>
      <w:r>
        <w:rPr>
          <w:rStyle w:val="FootnoteReference"/>
        </w:rPr>
        <w:footnoteReference w:id="2298"/>
      </w:r>
      <w:r>
        <w:t xml:space="preserve">. Multiple pregnancies occur, although less frequently than with gonadotropins; severe hyperstimulation is the exception. During the test, temporary headache, nausea or flushing may occur. Allergic reactions have rarely been described. Details are given in the prescribing information; use belongs in medical hands.</w:t>
      </w:r>
    </w:p>
    <w:bookmarkEnd w:id="2299"/>
    <w:bookmarkStart w:id="2300" w:name="with-incorrect-use"/>
    <w:p>
      <w:pPr>
        <w:pStyle w:val="Heading4"/>
      </w:pPr>
      <w:r>
        <w:t xml:space="preserve">With Incorrect Use</w:t>
      </w:r>
    </w:p>
    <w:p>
      <w:pPr>
        <w:pStyle w:val="FirstParagraph"/>
      </w:pPr>
      <w:r>
        <w:t xml:space="preserve">If gonadorelin is not given in the right rhythm but too frequently or continuously, it can suppress rather than stimulate the body’s own hormone axis. This is not a theoretical risk but the mechanism of action of the GnRH analogs.</w:t>
      </w:r>
    </w:p>
    <w:bookmarkEnd w:id="2300"/>
    <w:bookmarkEnd w:id="2301"/>
    <w:bookmarkStart w:id="2305" w:name="context-gonadorelin-in-bodybuilding"/>
    <w:p>
      <w:pPr>
        <w:pStyle w:val="Heading3"/>
      </w:pPr>
      <w:r>
        <w:t xml:space="preserve">Context: Gonadorelin in Bodybuilding</w:t>
      </w:r>
    </w:p>
    <w:p>
      <w:pPr>
        <w:pStyle w:val="FirstParagraph"/>
      </w:pPr>
      <w:r>
        <w:t xml:space="preserve">In internet forums and by some providers of</w:t>
      </w:r>
      <w:r>
        <w:t xml:space="preserve"> </w:t>
      </w:r>
      <w:r>
        <w:t xml:space="preserve">“</w:t>
      </w:r>
      <w:r>
        <w:t xml:space="preserve">hormone optimization,</w:t>
      </w:r>
      <w:r>
        <w:t xml:space="preserve">”</w:t>
      </w:r>
      <w:r>
        <w:t xml:space="preserve"> </w:t>
      </w:r>
      <w:r>
        <w:t xml:space="preserve">gonadorelin is promoted as part of so-called post-cycle therapy (PCT). This refers to the phase after a course of anabolic steroids: the artificially supplied hormones have suppressed the body’s own testosterone production, and gonadorelin is supposed to</w:t>
      </w:r>
      <w:r>
        <w:t xml:space="preserve"> </w:t>
      </w:r>
      <w:r>
        <w:t xml:space="preserve">“</w:t>
      </w:r>
      <w:r>
        <w:t xml:space="preserve">restart</w:t>
      </w:r>
      <w:r>
        <w:t xml:space="preserve">”</w:t>
      </w:r>
      <w:r>
        <w:t xml:space="preserve"> </w:t>
      </w:r>
      <w:r>
        <w:t xml:space="preserve">the hormone axis. In the USA, it is reportedly also offered as a substitute for hCG.</w:t>
      </w:r>
    </w:p>
    <w:p>
      <w:pPr>
        <w:pStyle w:val="BodyText"/>
      </w:pPr>
      <w:r>
        <w:t xml:space="preserve">What is known about this:</w:t>
      </w:r>
    </w:p>
    <w:p>
      <w:pPr>
        <w:numPr>
          <w:ilvl w:val="0"/>
          <w:numId w:val="1284"/>
        </w:numPr>
        <w:pStyle w:val="Compact"/>
      </w:pPr>
      <w:r>
        <w:rPr>
          <w:bCs/>
          <w:b/>
        </w:rPr>
        <w:t xml:space="preserve">There are no studies</w:t>
      </w:r>
      <w:r>
        <w:t xml:space="preserve"> </w:t>
      </w:r>
      <w:r>
        <w:t xml:space="preserve">on gonadorelin in this situation. The evidence on PCT as a whole is thin; almost only antiestrogens, hCG and aromatase inhibitors have been studied, and even for these the data are mostly observational. From a scientific point of view, PCT is mostly not recommended</w:t>
      </w:r>
      <w:r>
        <w:rPr>
          <w:rStyle w:val="FootnoteReference"/>
        </w:rPr>
        <w:footnoteReference w:id="2302"/>
      </w:r>
      <w:r>
        <w:t xml:space="preserve">.</w:t>
      </w:r>
    </w:p>
    <w:p>
      <w:pPr>
        <w:numPr>
          <w:ilvl w:val="0"/>
          <w:numId w:val="1284"/>
        </w:numPr>
        <w:pStyle w:val="Compact"/>
      </w:pPr>
      <w:r>
        <w:rPr>
          <w:bCs/>
          <w:b/>
        </w:rPr>
        <w:t xml:space="preserve">Recovery usually happens on its own.</w:t>
      </w:r>
      <w:r>
        <w:t xml:space="preserve"> </w:t>
      </w:r>
      <w:r>
        <w:t xml:space="preserve">In the Dutch HAARLEM study with 100 strength athletes, testosterone had normalized in most of them three months after the end of the steroid course; after one year, it was still below the normal range in 11%, and sperm count was still reduced in 34%</w:t>
      </w:r>
      <w:r>
        <w:rPr>
          <w:rStyle w:val="FootnoteReference"/>
        </w:rPr>
        <w:footnoteReference w:id="2303"/>
      </w:r>
      <w:r>
        <w:t xml:space="preserve">.</w:t>
      </w:r>
    </w:p>
    <w:p>
      <w:pPr>
        <w:numPr>
          <w:ilvl w:val="0"/>
          <w:numId w:val="1284"/>
        </w:numPr>
        <w:pStyle w:val="Compact"/>
      </w:pPr>
      <w:r>
        <w:rPr>
          <w:bCs/>
          <w:b/>
        </w:rPr>
        <w:t xml:space="preserve">The mechanism of action argues against naive use.</w:t>
      </w:r>
      <w:r>
        <w:t xml:space="preserve"> </w:t>
      </w:r>
      <w:r>
        <w:t xml:space="preserve">Single injections produce only brief LH peaks; frequent doses may rather blunt the pituitary gland. Without a pump and laboratory monitoring, no benefit can be expected, and a delay in recovery cannot be ruled out.</w:t>
      </w:r>
    </w:p>
    <w:p>
      <w:pPr>
        <w:numPr>
          <w:ilvl w:val="0"/>
          <w:numId w:val="1284"/>
        </w:numPr>
        <w:pStyle w:val="Compact"/>
      </w:pPr>
      <w:r>
        <w:rPr>
          <w:bCs/>
          <w:b/>
        </w:rPr>
        <w:t xml:space="preserve">Anyone who has symptoms after steroid use</w:t>
      </w:r>
      <w:r>
        <w:t xml:space="preserve">, such as lack of drive, loss of libido or unfulfilled desire to have children, should have this evaluated by a doctor, ideally in an andrology or endocrinology clinic.</w:t>
      </w:r>
    </w:p>
    <w:p>
      <w:pPr>
        <w:pStyle w:val="FirstParagraph"/>
      </w:pPr>
      <w:r>
        <w:t xml:space="preserve">In sport, gonadorelin is prohibited for men. Anti-doping laboratories have developed their own detection methods; a review describes gonadorelin as an example of a peptide that has been misused in competitive sport in recent years</w:t>
      </w:r>
      <w:r>
        <w:rPr>
          <w:rStyle w:val="FootnoteReference"/>
        </w:rPr>
        <w:footnoteReference w:id="2304"/>
      </w:r>
      <w:r>
        <w:t xml:space="preserve">.</w:t>
      </w:r>
    </w:p>
    <w:bookmarkEnd w:id="2305"/>
    <w:bookmarkStart w:id="2306" w:name="legal-status-51"/>
    <w:p>
      <w:pPr>
        <w:pStyle w:val="Heading3"/>
      </w:pPr>
      <w:r>
        <w:t xml:space="preserve">Legal status</w:t>
      </w:r>
    </w:p>
    <w:p>
      <w:pPr>
        <w:pStyle w:val="FirstParagraph"/>
      </w:pPr>
      <w:r>
        <w:rPr>
          <w:iCs/>
          <w:i/>
        </w:rPr>
        <w:t xml:space="preserve">As of 2026, please check for updates.</w:t>
      </w:r>
    </w:p>
    <w:p>
      <w:pPr>
        <w:numPr>
          <w:ilvl w:val="0"/>
          <w:numId w:val="1285"/>
        </w:numPr>
        <w:pStyle w:val="Compact"/>
      </w:pPr>
      <w:r>
        <w:rPr>
          <w:bCs/>
          <w:b/>
        </w:rPr>
        <w:t xml:space="preserve">EU:</w:t>
      </w:r>
      <w:r>
        <w:t xml:space="preserve"> </w:t>
      </w:r>
      <w:r>
        <w:t xml:space="preserve">no central EU approval; national approvals in several member states, among others as a diagnostic agent, for pulsatile pump therapy and as a nasal spray for undescended testes. The products are prescription-only.</w:t>
      </w:r>
    </w:p>
    <w:p>
      <w:pPr>
        <w:numPr>
          <w:ilvl w:val="0"/>
          <w:numId w:val="1285"/>
        </w:numPr>
        <w:pStyle w:val="Compact"/>
      </w:pPr>
      <w:r>
        <w:rPr>
          <w:bCs/>
          <w:b/>
        </w:rPr>
        <w:t xml:space="preserve">Germany:</w:t>
      </w:r>
      <w:r>
        <w:t xml:space="preserve"> </w:t>
      </w:r>
      <w:r>
        <w:t xml:space="preserve">Products for the GnRH test and for pump therapy were or are on the market; current availability fluctuates. Treatment takes place in specialized centers.</w:t>
      </w:r>
    </w:p>
    <w:p>
      <w:pPr>
        <w:numPr>
          <w:ilvl w:val="0"/>
          <w:numId w:val="1285"/>
        </w:numPr>
        <w:pStyle w:val="Compact"/>
      </w:pPr>
      <w:r>
        <w:rPr>
          <w:bCs/>
          <w:b/>
        </w:rPr>
        <w:t xml:space="preserve">Austria:</w:t>
      </w:r>
      <w:r>
        <w:t xml:space="preserve"> </w:t>
      </w:r>
      <w:r>
        <w:t xml:space="preserve">prescription-only; please check the current availability of individual products in the Austrian list of medicinal products (Arzneispezialitätenliste).</w:t>
      </w:r>
    </w:p>
    <w:p>
      <w:pPr>
        <w:numPr>
          <w:ilvl w:val="0"/>
          <w:numId w:val="1285"/>
        </w:numPr>
        <w:pStyle w:val="Compact"/>
      </w:pPr>
      <w:r>
        <w:rPr>
          <w:bCs/>
          <w:b/>
        </w:rPr>
        <w:t xml:space="preserve">USA:</w:t>
      </w:r>
      <w:r>
        <w:t xml:space="preserve"> </w:t>
      </w:r>
      <w:r>
        <w:t xml:space="preserve">The formerly approved human products are off the market. Gonadorelin is reportedly offered by compounding pharmacies; the regulatory assessment of such preparations is in flux. Veterinary medicines containing gonadorelin are not intended for humans.</w:t>
      </w:r>
    </w:p>
    <w:p>
      <w:pPr>
        <w:numPr>
          <w:ilvl w:val="0"/>
          <w:numId w:val="1285"/>
        </w:numPr>
        <w:pStyle w:val="Compact"/>
      </w:pPr>
      <w:r>
        <w:rPr>
          <w:bCs/>
          <w:b/>
        </w:rPr>
        <w:t xml:space="preserve">WADA:</w:t>
      </w:r>
      <w:r>
        <w:t xml:space="preserve"> </w:t>
      </w:r>
      <w:r>
        <w:t xml:space="preserve">S2 – prohibited for men in and out of competition.</w:t>
      </w:r>
    </w:p>
    <w:bookmarkEnd w:id="2306"/>
    <w:bookmarkStart w:id="2310" w:name="ongoing-studies-and-outlook-51"/>
    <w:p>
      <w:pPr>
        <w:pStyle w:val="Heading3"/>
      </w:pPr>
      <w:r>
        <w:t xml:space="preserve">Ongoing studies and outlook</w:t>
      </w:r>
    </w:p>
    <w:p>
      <w:pPr>
        <w:pStyle w:val="FirstParagraph"/>
      </w:pPr>
      <w:r>
        <w:rPr>
          <w:bCs/>
          <w:b/>
        </w:rPr>
        <w:t xml:space="preserve">Established (registered studies):</w:t>
      </w:r>
      <w:r>
        <w:t xml:space="preserve"> </w:t>
      </w:r>
      <w:r>
        <w:t xml:space="preserve">Among the few registry entries that actually concern native GnRH are:</w:t>
      </w:r>
    </w:p>
    <w:p>
      <w:pPr>
        <w:numPr>
          <w:ilvl w:val="0"/>
          <w:numId w:val="1286"/>
        </w:numPr>
        <w:pStyle w:val="Compact"/>
      </w:pPr>
      <w:r>
        <w:t xml:space="preserve">completed studies by the manufacturer Ferring on a skin patch that delivers GnRH in pulses through the skin via a weak electric current (NCT00296465 with 132 and NCT00796289 with 350 participants). To the author’s knowledge, results of these studies have not been published in PubMed, and the patch did not come to market;</w:t>
      </w:r>
    </w:p>
    <w:p>
      <w:pPr>
        <w:numPr>
          <w:ilvl w:val="0"/>
          <w:numId w:val="1286"/>
        </w:numPr>
        <w:pStyle w:val="Compact"/>
      </w:pPr>
      <w:r>
        <w:t xml:space="preserve">a study withdrawn in 2025 on GnRH administration with a modern tubeless insulin pump</w:t>
      </w:r>
      <w:r>
        <w:rPr>
          <w:rStyle w:val="FootnoteReference"/>
        </w:rPr>
        <w:footnoteReference w:id="2307"/>
      </w:r>
      <w:r>
        <w:t xml:space="preserve">;</w:t>
      </w:r>
    </w:p>
    <w:p>
      <w:pPr>
        <w:numPr>
          <w:ilvl w:val="0"/>
          <w:numId w:val="1286"/>
        </w:numPr>
        <w:pStyle w:val="Compact"/>
      </w:pPr>
      <w:r>
        <w:t xml:space="preserve">Chinese studies on the pump in congenital hormone deficiency</w:t>
      </w:r>
      <w:r>
        <w:rPr>
          <w:rStyle w:val="FootnoteReference"/>
        </w:rPr>
        <w:footnoteReference w:id="2308"/>
      </w:r>
      <w:r>
        <w:t xml:space="preserve"> </w:t>
      </w:r>
      <w:r>
        <w:t xml:space="preserve">and in PCOS</w:t>
      </w:r>
      <w:r>
        <w:rPr>
          <w:rStyle w:val="FootnoteReference"/>
        </w:rPr>
        <w:footnoteReference w:id="2309"/>
      </w:r>
      <w:r>
        <w:t xml:space="preserve">, both with unknown status.</w:t>
      </w:r>
    </w:p>
    <w:p>
      <w:pPr>
        <w:pStyle w:val="FirstParagraph"/>
      </w:pPr>
      <w:r>
        <w:rPr>
          <w:bCs/>
          <w:b/>
        </w:rPr>
        <w:t xml:space="preserve">Author’s assessment:</w:t>
      </w:r>
      <w:r>
        <w:t xml:space="preserve"> </w:t>
      </w:r>
      <w:r>
        <w:t xml:space="preserve">Gonadorelin is an old, well-understood drug whose importance in diagnostics is declining because short-acting analogs are cheaper and more readily available. For pump therapy in hypothalamic amenorrhea and congenital hormone deficiency, it remains a physiological option whose future depends less on new research than on whether manufacturers continue to supply these small markets. Modern tubeless pumps could make treatment more convenient. There is no evidence of benefit in the bodybuilding context.</w:t>
      </w:r>
    </w:p>
    <w:bookmarkEnd w:id="2310"/>
    <w:bookmarkStart w:id="2311" w:name="conclusion-51"/>
    <w:p>
      <w:pPr>
        <w:pStyle w:val="Heading3"/>
      </w:pPr>
      <w:r>
        <w:t xml:space="preserve">Conclusion</w:t>
      </w:r>
    </w:p>
    <w:p>
      <w:pPr>
        <w:pStyle w:val="FirstParagraph"/>
      </w:pPr>
      <w:r>
        <w:t xml:space="preserve">Gonadorelin is the synthetic counterpart of the body’s own GnRH and has been used for decades for function tests and pump therapy. Given in the right pulse rhythm, in large case series it led to ovulation in most cycles in women with hypothalamic amenorrhea, with fewer multiples than under gonadotropins, and to sperm production in men with congenital hormone deficiency. The evidence is old and mostly not randomized; registry figures are massively distorted by GnRH analogs. Its use in the bodybuilding scene after steroid courses has not been studied, contradicts the mechanism of action and is prohibited in sport.</w:t>
      </w:r>
    </w:p>
    <w:bookmarkEnd w:id="2311"/>
    <w:bookmarkEnd w:id="2312"/>
    <w:bookmarkEnd w:id="2313"/>
    <w:bookmarkStart w:id="2524" w:name="X04b71dacc7fe64636d98413001c5827877855b7"/>
    <w:p>
      <w:pPr>
        <w:pStyle w:val="Heading1"/>
      </w:pPr>
      <w:r>
        <w:t xml:space="preserve">Part II · F – Collagen, Nutrition and Cosmetics</w:t>
      </w:r>
    </w:p>
    <w:p>
      <w:pPr>
        <w:pStyle w:val="FirstParagraph"/>
      </w:pPr>
      <w:r>
        <w:t xml:space="preserve">Most people encounter the peptides in this group not in a doctor’s office but in the supermarket, the drugstore and in advertising: as a collagen drink, a blood-pressure yogurt, a sports capsule or an</w:t>
      </w:r>
      <w:r>
        <w:t xml:space="preserve"> </w:t>
      </w:r>
      <w:r>
        <w:t xml:space="preserve">“</w:t>
      </w:r>
      <w:r>
        <w:t xml:space="preserve">anti-aging peptide</w:t>
      </w:r>
      <w:r>
        <w:t xml:space="preserve">”</w:t>
      </w:r>
      <w:r>
        <w:t xml:space="preserve"> </w:t>
      </w:r>
      <w:r>
        <w:t xml:space="preserve">in a face cream. They are freely available, considered harmless and advertised with studies. That is precisely why it is worth taking a close look at what these studies show.</w:t>
      </w:r>
    </w:p>
    <w:bookmarkStart w:id="2315" w:name="what-unites-the-group"/>
    <w:p>
      <w:pPr>
        <w:pStyle w:val="Heading3"/>
      </w:pPr>
      <w:r>
        <w:t xml:space="preserve">What Unites the Group</w:t>
      </w:r>
    </w:p>
    <w:p>
      <w:pPr>
        <w:pStyle w:val="FirstParagraph"/>
      </w:pPr>
      <w:r>
        <w:t xml:space="preserve">All six substances are either fragments of proteins that occur in the body or in food (collagen peptides, lactotripeptides from milk, carnosine, GHK-Cu) or are deliberately modeled on them (Matrixyl, Argireline). None of them is approved as a medicine. They are therefore not tested according to the strict standards that apply to medicines, but according to the rules for foods or cosmetics.</w:t>
      </w:r>
    </w:p>
    <w:p>
      <w:pPr>
        <w:pStyle w:val="BodyText"/>
      </w:pPr>
      <w:r>
        <w:t xml:space="preserve">This gives rise to common patterns that recur in all chapters:</w:t>
      </w:r>
    </w:p>
    <w:p>
      <w:pPr>
        <w:numPr>
          <w:ilvl w:val="0"/>
          <w:numId w:val="1287"/>
        </w:numPr>
        <w:pStyle w:val="Compact"/>
      </w:pPr>
      <w:r>
        <w:rPr>
          <w:bCs/>
          <w:b/>
        </w:rPr>
        <w:t xml:space="preserve">Many small studies, few large ones.</w:t>
      </w:r>
      <w:r>
        <w:t xml:space="preserve"> </w:t>
      </w:r>
      <w:r>
        <w:t xml:space="preserve">Typical are 20 to 150 participants over 4 to 24 weeks. Hard endpoints such as bone fractures, heart attacks or joint replacement have never been studied.</w:t>
      </w:r>
    </w:p>
    <w:p>
      <w:pPr>
        <w:numPr>
          <w:ilvl w:val="0"/>
          <w:numId w:val="1287"/>
        </w:numPr>
        <w:pStyle w:val="Compact"/>
      </w:pPr>
      <w:r>
        <w:rPr>
          <w:bCs/>
          <w:b/>
        </w:rPr>
        <w:t xml:space="preserve">Manufacturer funding.</w:t>
      </w:r>
      <w:r>
        <w:t xml:space="preserve"> </w:t>
      </w:r>
      <w:r>
        <w:t xml:space="preserve">A large proportion of the studies were paid for by raw material or product manufacturers. For collagen, a meta-analysis shows that the benefit for the skin disappears when only independently funded studies are considered</w:t>
      </w:r>
      <w:r>
        <w:rPr>
          <w:rStyle w:val="FootnoteReference"/>
        </w:rPr>
        <w:footnoteReference w:id="2314"/>
      </w:r>
      <w:r>
        <w:t xml:space="preserve">.</w:t>
      </w:r>
    </w:p>
    <w:p>
      <w:pPr>
        <w:numPr>
          <w:ilvl w:val="0"/>
          <w:numId w:val="1287"/>
        </w:numPr>
        <w:pStyle w:val="Compact"/>
      </w:pPr>
      <w:r>
        <w:rPr>
          <w:bCs/>
          <w:b/>
        </w:rPr>
        <w:t xml:space="preserve">The problem of the site of action.</w:t>
      </w:r>
      <w:r>
        <w:t xml:space="preserve"> </w:t>
      </w:r>
      <w:r>
        <w:t xml:space="preserve">A peptide has to get to where it is supposed to act. Swallowed peptides are largely digested; peptides in creams penetrate the skin barrier only to a small extent. In every chapter, the central question is therefore whether the mechanism shown in the laboratory comes into play in the body at all.</w:t>
      </w:r>
    </w:p>
    <w:p>
      <w:pPr>
        <w:numPr>
          <w:ilvl w:val="0"/>
          <w:numId w:val="1287"/>
        </w:numPr>
        <w:pStyle w:val="Compact"/>
      </w:pPr>
      <w:r>
        <w:rPr>
          <w:bCs/>
          <w:b/>
        </w:rPr>
        <w:t xml:space="preserve">Combination products.</w:t>
      </w:r>
      <w:r>
        <w:t xml:space="preserve"> </w:t>
      </w:r>
      <w:r>
        <w:t xml:space="preserve">Many products contain several active ingredients. A positive study result can then not be attributed to the individual peptide.</w:t>
      </w:r>
    </w:p>
    <w:bookmarkEnd w:id="2315"/>
    <w:bookmarkStart w:id="2316" w:name="Xd12d06c3738ea82b8ade613dcaafd096a673b8e"/>
    <w:p>
      <w:pPr>
        <w:pStyle w:val="Heading3"/>
      </w:pPr>
      <w:r>
        <w:t xml:space="preserve">Food, Cosmetics, Medicines – Three Legal Worlds</w:t>
      </w:r>
    </w:p>
    <w:p>
      <w:pPr>
        <w:pStyle w:val="FirstParagraph"/>
      </w:pPr>
      <w:r>
        <w:t xml:space="preserve">Whether a substance counts as a food, a cosmetic or a medicine is determined not by its chemistry but by its intended purpose and presentation. Part I explains the legal framework in detail; for this group, three points are important:</w:t>
      </w:r>
    </w:p>
    <w:p>
      <w:pPr>
        <w:numPr>
          <w:ilvl w:val="0"/>
          <w:numId w:val="1288"/>
        </w:numPr>
        <w:pStyle w:val="Compact"/>
      </w:pPr>
      <w:r>
        <w:rPr>
          <w:bCs/>
          <w:b/>
        </w:rPr>
        <w:t xml:space="preserve">Foods and food supplements</w:t>
      </w:r>
      <w:r>
        <w:t xml:space="preserve"> </w:t>
      </w:r>
      <w:r>
        <w:t xml:space="preserve">(collagen peptides, lactotripeptides, carnosine) require no approval and no proof of efficacy in the EU. In return, what they may be advertised with is strictly regulated. Under the Health Claims Regulation (Regulation (EC) No 1924/2006), health claims are only permitted if they have been assessed by the European Food Safety Authority (EFSA) and authorized by the European Commission.</w:t>
      </w:r>
      <w:r>
        <w:t xml:space="preserve"> </w:t>
      </w:r>
      <w:r>
        <w:rPr>
          <w:bCs/>
          <w:b/>
        </w:rPr>
        <w:t xml:space="preserve">For collagen, collagen peptides, lactotripeptides and carnosine, there is not a single authorized health claim.</w:t>
      </w:r>
      <w:r>
        <w:t xml:space="preserve"> </w:t>
      </w:r>
      <w:r>
        <w:t xml:space="preserve">EFSA has issued negative opinions on the claims applied for – for example on joints for collagen or on blood pressure for lactotripeptides. If a collagen package nevertheless advertises skin or bone benefits, the legally permissible claim usually refers to added vitamin C, for which the claim</w:t>
      </w:r>
      <w:r>
        <w:t xml:space="preserve"> </w:t>
      </w:r>
      <w:r>
        <w:t xml:space="preserve">“</w:t>
      </w:r>
      <w:r>
        <w:t xml:space="preserve">contributes to normal collagen formation</w:t>
      </w:r>
      <w:r>
        <w:t xml:space="preserve">”</w:t>
      </w:r>
      <w:r>
        <w:t xml:space="preserve"> </w:t>
      </w:r>
      <w:r>
        <w:t xml:space="preserve">is authorized.</w:t>
      </w:r>
    </w:p>
    <w:p>
      <w:pPr>
        <w:numPr>
          <w:ilvl w:val="0"/>
          <w:numId w:val="1288"/>
        </w:numPr>
        <w:pStyle w:val="Compact"/>
      </w:pPr>
      <w:r>
        <w:rPr>
          <w:bCs/>
          <w:b/>
        </w:rPr>
        <w:t xml:space="preserve">Cosmetics</w:t>
      </w:r>
      <w:r>
        <w:t xml:space="preserve"> </w:t>
      </w:r>
      <w:r>
        <w:t xml:space="preserve">(GHK-Cu, Matrixyl, Argireline) are subject to the EU Cosmetics Regulation (Regulation (EC) No 1223/2009). They may only be applied externally, must be safe and may not claim any medicinal effect. Advertising claims must be substantiated, but there is no official efficacy assessment before sale.</w:t>
      </w:r>
    </w:p>
    <w:p>
      <w:pPr>
        <w:numPr>
          <w:ilvl w:val="0"/>
          <w:numId w:val="1288"/>
        </w:numPr>
        <w:pStyle w:val="Compact"/>
      </w:pPr>
      <w:r>
        <w:rPr>
          <w:bCs/>
          <w:b/>
        </w:rPr>
        <w:t xml:space="preserve">Medicines</w:t>
      </w:r>
      <w:r>
        <w:t xml:space="preserve"> </w:t>
      </w:r>
      <w:r>
        <w:t xml:space="preserve">must demonstrate their efficacy and safety in studies and be approved. If a cosmetic peptide is injected – as happens with GHK-Cu and Argireline on the gray market – it leaves the world of cosmetics: it becomes an unapproved medicine, without any studies or quality controls existing for this use.</w:t>
      </w:r>
    </w:p>
    <w:p>
      <w:pPr>
        <w:pStyle w:val="FirstParagraph"/>
      </w:pPr>
      <w:r>
        <w:t xml:space="preserve">Similar principles apply in the USA; there, however, food supplements may be advertised with general</w:t>
      </w:r>
      <w:r>
        <w:t xml:space="preserve"> </w:t>
      </w:r>
      <w:r>
        <w:t xml:space="preserve">“</w:t>
      </w:r>
      <w:r>
        <w:t xml:space="preserve">structure/function claims,</w:t>
      </w:r>
      <w:r>
        <w:t xml:space="preserve">”</w:t>
      </w:r>
      <w:r>
        <w:t xml:space="preserve"> </w:t>
      </w:r>
      <w:r>
        <w:t xml:space="preserve">provided they carry a notice that the FDA has not evaluated them.</w:t>
      </w:r>
    </w:p>
    <w:bookmarkEnd w:id="2316"/>
    <w:bookmarkStart w:id="2317" w:name="overview-4"/>
    <w:p>
      <w:pPr>
        <w:pStyle w:val="Heading3"/>
      </w:pPr>
      <w:r>
        <w:t xml:space="preserve">Overview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w:t>
            </w:r>
          </w:p>
        </w:tc>
        <w:tc>
          <w:tcPr/>
          <w:p>
            <w:pPr>
              <w:pStyle w:val="Compact"/>
              <w:jc w:val="left"/>
            </w:pPr>
            <w:r>
              <w:t xml:space="preserve">In brief</w:t>
            </w:r>
          </w:p>
        </w:tc>
      </w:tr>
      <w:tr>
        <w:tc>
          <w:tcPr/>
          <w:p>
            <w:pPr>
              <w:pStyle w:val="Compact"/>
              <w:jc w:val="left"/>
            </w:pPr>
            <w:r>
              <w:t xml:space="preserve">Collagen peptides</w:t>
            </w:r>
          </w:p>
        </w:tc>
        <w:tc>
          <w:tcPr/>
          <w:p>
            <w:pPr>
              <w:pStyle w:val="Compact"/>
              <w:jc w:val="left"/>
            </w:pPr>
            <w:r>
              <w:t xml:space="preserve">B</w:t>
            </w:r>
          </w:p>
        </w:tc>
        <w:tc>
          <w:tcPr/>
          <w:p>
            <w:pPr>
              <w:pStyle w:val="Compact"/>
              <w:jc w:val="left"/>
            </w:pPr>
            <w:r>
              <w:t xml:space="preserve">Food, no health claim</w:t>
            </w:r>
          </w:p>
        </w:tc>
        <w:tc>
          <w:tcPr/>
          <w:p>
            <w:pPr>
              <w:pStyle w:val="Compact"/>
              <w:jc w:val="left"/>
            </w:pPr>
            <w:r>
              <w:t xml:space="preserve">Small effects on joint pain; skin benefit not shown in independent studies</w:t>
            </w:r>
          </w:p>
        </w:tc>
      </w:tr>
      <w:tr>
        <w:tc>
          <w:tcPr/>
          <w:p>
            <w:pPr>
              <w:pStyle w:val="Compact"/>
              <w:jc w:val="left"/>
            </w:pPr>
            <w:r>
              <w:t xml:space="preserve">Lactotripeptides (VPP/IPP)</w:t>
            </w:r>
          </w:p>
        </w:tc>
        <w:tc>
          <w:tcPr/>
          <w:p>
            <w:pPr>
              <w:pStyle w:val="Compact"/>
              <w:jc w:val="left"/>
            </w:pPr>
            <w:r>
              <w:t xml:space="preserve">B</w:t>
            </w:r>
          </w:p>
        </w:tc>
        <w:tc>
          <w:tcPr/>
          <w:p>
            <w:pPr>
              <w:pStyle w:val="Compact"/>
              <w:jc w:val="left"/>
            </w:pPr>
            <w:r>
              <w:t xml:space="preserve">Food, blood pressure claim rejected</w:t>
            </w:r>
          </w:p>
        </w:tc>
        <w:tc>
          <w:tcPr/>
          <w:p>
            <w:pPr>
              <w:pStyle w:val="Compact"/>
              <w:jc w:val="left"/>
            </w:pPr>
            <w:r>
              <w:t xml:space="preserve">Blood pressure reduction of about 1–4 mmHg, barely detectable in Europe</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Food supplement, no health claim</w:t>
            </w:r>
          </w:p>
        </w:tc>
        <w:tc>
          <w:tcPr/>
          <w:p>
            <w:pPr>
              <w:pStyle w:val="Compact"/>
              <w:jc w:val="left"/>
            </w:pPr>
            <w:r>
              <w:t xml:space="preserve">Indications for blood sugar; in sport, the precursor beta-alanine is better supported</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 injection not approved</w:t>
            </w:r>
          </w:p>
        </w:tc>
        <w:tc>
          <w:tcPr/>
          <w:p>
            <w:pPr>
              <w:pStyle w:val="Compact"/>
              <w:jc w:val="left"/>
            </w:pPr>
            <w:r>
              <w:t xml:space="preserve">One old wound study; hardly any skin data; injection untested</w:t>
            </w:r>
          </w:p>
        </w:tc>
      </w:tr>
      <w:tr>
        <w:tc>
          <w:tcPr/>
          <w:p>
            <w:pPr>
              <w:pStyle w:val="Compact"/>
              <w:jc w:val="left"/>
            </w:pPr>
            <w:r>
              <w:t xml:space="preserve">Palmitoyl pentapeptide-4 (Matrixyl)</w:t>
            </w:r>
          </w:p>
        </w:tc>
        <w:tc>
          <w:tcPr/>
          <w:p>
            <w:pPr>
              <w:pStyle w:val="Compact"/>
              <w:jc w:val="left"/>
            </w:pPr>
            <w:r>
              <w:t xml:space="preserve">B</w:t>
            </w:r>
          </w:p>
        </w:tc>
        <w:tc>
          <w:tcPr/>
          <w:p>
            <w:pPr>
              <w:pStyle w:val="Compact"/>
              <w:jc w:val="left"/>
            </w:pPr>
            <w:r>
              <w:t xml:space="preserve">Cosmetic</w:t>
            </w:r>
          </w:p>
        </w:tc>
        <w:tc>
          <w:tcPr/>
          <w:p>
            <w:pPr>
              <w:pStyle w:val="Compact"/>
              <w:jc w:val="left"/>
            </w:pPr>
            <w:r>
              <w:t xml:space="preserve">One split-face study from 2005; skin penetration unclear</w:t>
            </w:r>
          </w:p>
        </w:tc>
      </w:tr>
      <w:tr>
        <w:tc>
          <w:tcPr/>
          <w:p>
            <w:pPr>
              <w:pStyle w:val="Compact"/>
              <w:jc w:val="left"/>
            </w:pPr>
            <w:r>
              <w:t xml:space="preserve">Acetyl hexapeptide-8 (Argireline)</w:t>
            </w:r>
          </w:p>
        </w:tc>
        <w:tc>
          <w:tcPr/>
          <w:p>
            <w:pPr>
              <w:pStyle w:val="Compact"/>
              <w:jc w:val="left"/>
            </w:pPr>
            <w:r>
              <w:t xml:space="preserve">B</w:t>
            </w:r>
          </w:p>
        </w:tc>
        <w:tc>
          <w:tcPr/>
          <w:p>
            <w:pPr>
              <w:pStyle w:val="Compact"/>
              <w:jc w:val="left"/>
            </w:pPr>
            <w:r>
              <w:t xml:space="preserve">Cosmetic</w:t>
            </w:r>
          </w:p>
        </w:tc>
        <w:tc>
          <w:tcPr/>
          <w:p>
            <w:pPr>
              <w:pStyle w:val="Compact"/>
              <w:jc w:val="left"/>
            </w:pPr>
            <w:r>
              <w:t xml:space="preserve">“</w:t>
            </w:r>
            <w:r>
              <w:t xml:space="preserve">Botox in a tube</w:t>
            </w:r>
            <w:r>
              <w:t xml:space="preserve">”</w:t>
            </w:r>
            <w:r>
              <w:t xml:space="preserve"> </w:t>
            </w:r>
            <w:r>
              <w:t xml:space="preserve">not demonstrated; barely penetrates the skin</w:t>
            </w:r>
          </w:p>
        </w:tc>
      </w:tr>
    </w:tbl>
    <w:p>
      <w:pPr>
        <w:pStyle w:val="BodyText"/>
      </w:pPr>
      <w:r>
        <w:t xml:space="preserve">In this group, level B explicitly does not mean that an effect is established, only that randomized studies exist.</w:t>
      </w:r>
    </w:p>
    <w:bookmarkEnd w:id="2317"/>
    <w:bookmarkStart w:id="2318" w:name="reading-guide-5"/>
    <w:p>
      <w:pPr>
        <w:pStyle w:val="Heading3"/>
      </w:pPr>
      <w:r>
        <w:t xml:space="preserve">Reading Guide</w:t>
      </w:r>
    </w:p>
    <w:p>
      <w:pPr>
        <w:pStyle w:val="FirstParagraph"/>
      </w:pPr>
      <w:r>
        <w:t xml:space="preserve">The chapter on</w:t>
      </w:r>
      <w:r>
        <w:t xml:space="preserve"> </w:t>
      </w:r>
      <w:r>
        <w:rPr>
          <w:bCs/>
          <w:b/>
        </w:rPr>
        <w:t xml:space="preserve">collagen peptides</w:t>
      </w:r>
      <w:r>
        <w:t xml:space="preserve"> </w:t>
      </w:r>
      <w:r>
        <w:t xml:space="preserve">is the most detailed, because there are the most studies on them and because they illustrate well how meta-analyses, manufacturer funding and the placebo effect interact. If you read only one chapter in this group, choose this one. The chapter on</w:t>
      </w:r>
      <w:r>
        <w:t xml:space="preserve"> </w:t>
      </w:r>
      <w:r>
        <w:rPr>
          <w:bCs/>
          <w:b/>
        </w:rPr>
        <w:t xml:space="preserve">lactotripeptides</w:t>
      </w:r>
      <w:r>
        <w:t xml:space="preserve"> </w:t>
      </w:r>
      <w:r>
        <w:t xml:space="preserve">is a lesson in how a convincing laboratory mechanism can shrink in larger studies. The three</w:t>
      </w:r>
      <w:r>
        <w:t xml:space="preserve"> </w:t>
      </w:r>
      <w:r>
        <w:rPr>
          <w:bCs/>
          <w:b/>
        </w:rPr>
        <w:t xml:space="preserve">cosmetic peptides</w:t>
      </w:r>
      <w:r>
        <w:t xml:space="preserve"> </w:t>
      </w:r>
      <w:r>
        <w:t xml:space="preserve">are shorter; they share the same core question – whether an active ingredient from a cream even reaches the place where it is supposed to act. The risks of gray-market injections are covered in detail in Part IV.</w:t>
      </w:r>
    </w:p>
    <w:bookmarkEnd w:id="2318"/>
    <w:bookmarkStart w:id="2370" w:name="collagen-peptides-collagen-hydrolysate"/>
    <w:p>
      <w:pPr>
        <w:pStyle w:val="Heading2"/>
      </w:pPr>
      <w:r>
        <w:t xml:space="preserve">Collagen Peptides (Collagen Hydrolysate)</w:t>
      </w:r>
    </w:p>
    <w:bookmarkStart w:id="2319" w:name="profile-52"/>
    <w:p>
      <w:pPr>
        <w:pStyle w:val="Heading3"/>
      </w:pPr>
      <w:r>
        <w:t xml:space="preserve">Profile</w:t>
      </w:r>
    </w:p>
    <w:p>
      <w:pPr>
        <w:numPr>
          <w:ilvl w:val="0"/>
          <w:numId w:val="1289"/>
        </w:numPr>
        <w:pStyle w:val="Compact"/>
      </w:pPr>
      <w:r>
        <w:rPr>
          <w:bCs/>
          <w:b/>
        </w:rPr>
        <w:t xml:space="preserve">Type/structure:</w:t>
      </w:r>
      <w:r>
        <w:t xml:space="preserve"> </w:t>
      </w:r>
      <w:r>
        <w:t xml:space="preserve">mixture of peptides of varying length, obtained by enzymatic cleavage (hydrolysis) of collagen or gelatin. Typical products contain fragments with an average molecular mass of about 2,000 to 5,000 daltons. The amino acids glycine, proline and hydroxyproline are characteristic; the essential amino acid tryptophan is absent.</w:t>
      </w:r>
    </w:p>
    <w:p>
      <w:pPr>
        <w:numPr>
          <w:ilvl w:val="0"/>
          <w:numId w:val="1289"/>
        </w:numPr>
        <w:pStyle w:val="Compact"/>
      </w:pPr>
      <w:r>
        <w:rPr>
          <w:bCs/>
          <w:b/>
        </w:rPr>
        <w:t xml:space="preserve">Origin:</w:t>
      </w:r>
      <w:r>
        <w:t xml:space="preserve"> </w:t>
      </w:r>
      <w:r>
        <w:t xml:space="preserve">skin, bones or scales of cattle, pigs, chickens and fish – by-products of meat and fish processing. Many studies use proprietary branded raw materials (e.g. Verisol, Fortigel, Bodybalance, Tendoforte) that come from a small number of manufacturers.</w:t>
      </w:r>
    </w:p>
    <w:p>
      <w:pPr>
        <w:numPr>
          <w:ilvl w:val="0"/>
          <w:numId w:val="1289"/>
        </w:numPr>
        <w:pStyle w:val="Compact"/>
      </w:pPr>
      <w:r>
        <w:rPr>
          <w:bCs/>
          <w:b/>
        </w:rPr>
        <w:t xml:space="preserve">Mechanism of action:</w:t>
      </w:r>
      <w:r>
        <w:t xml:space="preserve"> </w:t>
      </w:r>
      <w:r>
        <w:t xml:space="preserve">supply of building blocks for the body’s own connective tissue; it is also discussed that certain small peptides (above all prolyl-hydroxyproline) act as signaling substances on connective tissue cells.</w:t>
      </w:r>
    </w:p>
    <w:p>
      <w:pPr>
        <w:numPr>
          <w:ilvl w:val="0"/>
          <w:numId w:val="1289"/>
        </w:numPr>
        <w:pStyle w:val="Compact"/>
      </w:pPr>
      <w:r>
        <w:rPr>
          <w:bCs/>
          <w:b/>
        </w:rPr>
        <w:t xml:space="preserve">Distinction:</w:t>
      </w:r>
      <w:r>
        <w:t xml:space="preserve"> </w:t>
      </w:r>
      <w:r>
        <w:rPr>
          <w:iCs/>
          <w:i/>
        </w:rPr>
        <w:t xml:space="preserve">Undenatured</w:t>
      </w:r>
      <w:r>
        <w:t xml:space="preserve"> </w:t>
      </w:r>
      <w:r>
        <w:t xml:space="preserve">type II collagen (e.g. UC-II) is a different product with a different mechanism of action and is discussed separately below.</w:t>
      </w:r>
    </w:p>
    <w:p>
      <w:pPr>
        <w:numPr>
          <w:ilvl w:val="0"/>
          <w:numId w:val="1289"/>
        </w:numPr>
        <w:pStyle w:val="Compact"/>
      </w:pPr>
      <w:r>
        <w:rPr>
          <w:bCs/>
          <w:b/>
        </w:rPr>
        <w:t xml:space="preserve">Approval EU:</w:t>
      </w:r>
      <w:r>
        <w:t xml:space="preserve"> </w:t>
      </w:r>
      <w:r>
        <w:t xml:space="preserve">no approval as a medicine; marketable as a food or food supplement. For collagen itself, there is</w:t>
      </w:r>
      <w:r>
        <w:t xml:space="preserve"> </w:t>
      </w:r>
      <w:r>
        <w:rPr>
          <w:bCs/>
          <w:b/>
        </w:rPr>
        <w:t xml:space="preserve">no</w:t>
      </w:r>
      <w:r>
        <w:t xml:space="preserve"> </w:t>
      </w:r>
      <w:r>
        <w:t xml:space="preserve">authorized health claim.</w:t>
      </w:r>
    </w:p>
    <w:p>
      <w:pPr>
        <w:numPr>
          <w:ilvl w:val="0"/>
          <w:numId w:val="1289"/>
        </w:numPr>
        <w:pStyle w:val="Compact"/>
      </w:pPr>
      <w:r>
        <w:rPr>
          <w:bCs/>
          <w:b/>
        </w:rPr>
        <w:t xml:space="preserve">Approval USA:</w:t>
      </w:r>
      <w:r>
        <w:t xml:space="preserve"> </w:t>
      </w:r>
      <w:r>
        <w:t xml:space="preserve">no approval as a drug; sold as a dietary supplement.</w:t>
      </w:r>
    </w:p>
    <w:p>
      <w:pPr>
        <w:numPr>
          <w:ilvl w:val="0"/>
          <w:numId w:val="1289"/>
        </w:numPr>
        <w:pStyle w:val="Compact"/>
      </w:pPr>
      <w:r>
        <w:rPr>
          <w:bCs/>
          <w:b/>
        </w:rPr>
        <w:t xml:space="preserve">WADA:</w:t>
      </w:r>
      <w:r>
        <w:t xml:space="preserve"> </w:t>
      </w:r>
      <w:r>
        <w:t xml:space="preserve">not listed.</w:t>
      </w:r>
    </w:p>
    <w:p>
      <w:pPr>
        <w:numPr>
          <w:ilvl w:val="0"/>
          <w:numId w:val="1289"/>
        </w:numPr>
        <w:pStyle w:val="Compact"/>
      </w:pPr>
      <w:r>
        <w:rPr>
          <w:bCs/>
          <w:b/>
        </w:rPr>
        <w:t xml:space="preserve">Evidence level:</w:t>
      </w:r>
      <w:r>
        <w:t xml:space="preserve"> </w:t>
      </w:r>
      <w:r>
        <w:rPr>
          <w:bCs/>
          <w:b/>
        </w:rPr>
        <w:t xml:space="preserve">B</w:t>
      </w:r>
      <w:r>
        <w:t xml:space="preserve"> </w:t>
      </w:r>
      <w:r>
        <w:t xml:space="preserve">– numerous randomized, placebo-controlled studies, but mostly small, short and funded by manufacturers.</w:t>
      </w:r>
    </w:p>
    <w:bookmarkEnd w:id="2319"/>
    <w:bookmarkStart w:id="2324" w:name="how-it-is-supposed-to-work-52"/>
    <w:p>
      <w:pPr>
        <w:pStyle w:val="Heading3"/>
      </w:pPr>
      <w:r>
        <w:t xml:space="preserve">How it is supposed to work</w:t>
      </w:r>
    </w:p>
    <w:p>
      <w:pPr>
        <w:pStyle w:val="FirstParagraph"/>
      </w:pPr>
      <w:r>
        <w:t xml:space="preserve">Collagen is the most abundant protein in the human body. It forms the framework of skin, tendons, ligaments, cartilage and bone. Its basic unit is a triple helix of three protein chains in which a pattern repeats constantly: glycine, then any amino acid, then frequently proline or hydroxyproline. With age, collagen production in the skin declines and the collagen network becomes more fragile – visible as wrinkles and decreasing firmness.</w:t>
      </w:r>
    </w:p>
    <w:p>
      <w:pPr>
        <w:pStyle w:val="BodyText"/>
      </w:pPr>
      <w:r>
        <w:t xml:space="preserve">Advertising often suggests a simple logic: if you eat collagen, you build collagen. That is not how digestion works. Proteins are largely broken down in the stomach and small intestine into individual amino acids and very small peptides; the body reassembles its proteins from these according to its own needs. Dietary collagen is therefore not</w:t>
      </w:r>
      <w:r>
        <w:t xml:space="preserve"> </w:t>
      </w:r>
      <w:r>
        <w:t xml:space="preserve">“</w:t>
      </w:r>
      <w:r>
        <w:t xml:space="preserve">incorporated</w:t>
      </w:r>
      <w:r>
        <w:t xml:space="preserve">”</w:t>
      </w:r>
      <w:r>
        <w:t xml:space="preserve"> </w:t>
      </w:r>
      <w:r>
        <w:t xml:space="preserve">into the skin as collagen.</w:t>
      </w:r>
    </w:p>
    <w:p>
      <w:pPr>
        <w:pStyle w:val="BodyText"/>
      </w:pPr>
      <w:r>
        <w:t xml:space="preserve">There are, however, two serious hypotheses as to why collagen peptides might still have an effect:</w:t>
      </w:r>
    </w:p>
    <w:p>
      <w:pPr>
        <w:numPr>
          <w:ilvl w:val="0"/>
          <w:numId w:val="1290"/>
        </w:numPr>
        <w:pStyle w:val="Compact"/>
      </w:pPr>
      <w:r>
        <w:rPr>
          <w:bCs/>
          <w:b/>
        </w:rPr>
        <w:t xml:space="preserve">Signaling peptides.</w:t>
      </w:r>
      <w:r>
        <w:t xml:space="preserve"> </w:t>
      </w:r>
      <w:r>
        <w:t xml:space="preserve">Di- and tripeptides containing hydroxyproline are unusually stable against digestive enzymes. After drinking gelatin hydrolysate, the concentration of peptide-bound hydroxyproline in the blood of volunteers rose markedly, peaking after one to two hours; the main component was the dipeptide prolyl-hydroxyproline</w:t>
      </w:r>
      <w:r>
        <w:rPr>
          <w:rStyle w:val="FootnoteReference"/>
        </w:rPr>
        <w:footnoteReference w:id="2320"/>
      </w:r>
      <w:r>
        <w:t xml:space="preserve">. Similar results were seen for a preparation with a high proportion of tripeptides</w:t>
      </w:r>
      <w:r>
        <w:rPr>
          <w:rStyle w:val="FootnoteReference"/>
        </w:rPr>
        <w:footnoteReference w:id="2321"/>
      </w:r>
      <w:r>
        <w:t xml:space="preserve">. In cell culture and animal experiments, such peptides stimulate connective tissue cells (fibroblasts) to grow and to produce matrix building blocks. Whether the amounts reached in the blood in humans are sufficient to trigger a measurable effect in skin or cartilage has not been reliably demonstrated.</w:t>
      </w:r>
    </w:p>
    <w:p>
      <w:pPr>
        <w:numPr>
          <w:ilvl w:val="0"/>
          <w:numId w:val="1290"/>
        </w:numPr>
        <w:pStyle w:val="Compact"/>
      </w:pPr>
      <w:r>
        <w:rPr>
          <w:bCs/>
          <w:b/>
        </w:rPr>
        <w:t xml:space="preserve">Supply of building material.</w:t>
      </w:r>
      <w:r>
        <w:t xml:space="preserve"> </w:t>
      </w:r>
      <w:r>
        <w:t xml:space="preserve">Collagen peptides supply large amounts of glycine, proline and hydroxyproline. In a small study with eight men, the blood marker for new collagen formation doubled when they had taken 15 g of vitamin C-enriched gelatin one hour before a short bout of jumping exercise</w:t>
      </w:r>
      <w:r>
        <w:rPr>
          <w:rStyle w:val="FootnoteReference"/>
        </w:rPr>
        <w:footnoteReference w:id="2322"/>
      </w:r>
      <w:r>
        <w:t xml:space="preserve">. This supports the idea of timing collagen peptides with exercise, but it is a measurement in the blood, not proof of stronger tendons.</w:t>
      </w:r>
    </w:p>
    <w:p>
      <w:pPr>
        <w:pStyle w:val="FirstParagraph"/>
      </w:pPr>
      <w:r>
        <w:t xml:space="preserve">Important for context: collagen is an incomplete protein source. Because it lacks tryptophan, a gelatin-based peptide mixture is even used deliberately in research to lower the tryptophan level in the blood in the short term</w:t>
      </w:r>
      <w:r>
        <w:rPr>
          <w:rStyle w:val="FootnoteReference"/>
        </w:rPr>
        <w:footnoteReference w:id="2323"/>
      </w:r>
      <w:r>
        <w:t xml:space="preserve">. For muscle building, collagen is therefore inferior to other proteins – more on this below.</w:t>
      </w:r>
    </w:p>
    <w:bookmarkEnd w:id="2324"/>
    <w:bookmarkStart w:id="2352" w:name="human-studies-52"/>
    <w:p>
      <w:pPr>
        <w:pStyle w:val="Heading3"/>
      </w:pPr>
      <w:r>
        <w:t xml:space="preserve">Human studies</w:t>
      </w:r>
    </w:p>
    <w:p>
      <w:pPr>
        <w:pStyle w:val="FirstParagraph"/>
      </w:pPr>
      <w:r>
        <w:t xml:space="preserve">The body of evidence is extensive but inconsistent. The PubMed search evaluated for this book (collagen hydrolysate or collagen peptides in combination with intake or supplementation, search date October 2026) yielded 101 human studies. On ClinicalTrials.gov, the search</w:t>
      </w:r>
      <w:r>
        <w:t xml:space="preserve"> </w:t>
      </w:r>
      <w:r>
        <w:t xml:space="preserve">“</w:t>
      </w:r>
      <w:r>
        <w:t xml:space="preserve">collagen peptides</w:t>
      </w:r>
      <w:r>
        <w:t xml:space="preserve">”</w:t>
      </w:r>
      <w:r>
        <w:t xml:space="preserve"> </w:t>
      </w:r>
      <w:r>
        <w:t xml:space="preserve">found 237 registry entries; a considerable proportion of these, however, concern other topics (such as collagen implants in dentistry or the cancer drug endostatin, a collagen fragment). In addition, there are at least a dozen meta-analyses.</w:t>
      </w:r>
    </w:p>
    <w:p>
      <w:pPr>
        <w:pStyle w:val="BodyText"/>
      </w:pPr>
      <w:r>
        <w:t xml:space="preserve">Three features characterize almost all studies and should be kept in mind when reading:</w:t>
      </w:r>
    </w:p>
    <w:p>
      <w:pPr>
        <w:numPr>
          <w:ilvl w:val="0"/>
          <w:numId w:val="1291"/>
        </w:numPr>
        <w:pStyle w:val="Compact"/>
      </w:pPr>
      <w:r>
        <w:rPr>
          <w:bCs/>
          <w:b/>
        </w:rPr>
        <w:t xml:space="preserve">Small sample sizes and short duration:</w:t>
      </w:r>
      <w:r>
        <w:t xml:space="preserve"> </w:t>
      </w:r>
      <w:r>
        <w:t xml:space="preserve">mostly 40 to 150 participants over 8 to 24 weeks.</w:t>
      </w:r>
    </w:p>
    <w:p>
      <w:pPr>
        <w:numPr>
          <w:ilvl w:val="0"/>
          <w:numId w:val="1291"/>
        </w:numPr>
        <w:pStyle w:val="Compact"/>
      </w:pPr>
      <w:r>
        <w:rPr>
          <w:bCs/>
          <w:b/>
        </w:rPr>
        <w:t xml:space="preserve">Manufacturer funding:</w:t>
      </w:r>
      <w:r>
        <w:t xml:space="preserve"> </w:t>
      </w:r>
      <w:r>
        <w:t xml:space="preserve">A large proportion of the studies were paid for by the raw material or product manufacturers or co-authored by their employees. Proprietary peptide mixtures are frequently tested.</w:t>
      </w:r>
    </w:p>
    <w:p>
      <w:pPr>
        <w:numPr>
          <w:ilvl w:val="0"/>
          <w:numId w:val="1291"/>
        </w:numPr>
        <w:pStyle w:val="Compact"/>
      </w:pPr>
      <w:r>
        <w:rPr>
          <w:bCs/>
          <w:b/>
        </w:rPr>
        <w:t xml:space="preserve">Combination products:</w:t>
      </w:r>
      <w:r>
        <w:t xml:space="preserve"> </w:t>
      </w:r>
      <w:r>
        <w:t xml:space="preserve">Many</w:t>
      </w:r>
      <w:r>
        <w:t xml:space="preserve"> </w:t>
      </w:r>
      <w:r>
        <w:t xml:space="preserve">“</w:t>
      </w:r>
      <w:r>
        <w:t xml:space="preserve">collagen drinks</w:t>
      </w:r>
      <w:r>
        <w:t xml:space="preserve">”</w:t>
      </w:r>
      <w:r>
        <w:t xml:space="preserve"> </w:t>
      </w:r>
      <w:r>
        <w:t xml:space="preserve">additionally contain vitamin C, zinc, biotin, hyaluronic acid or plant extracts. A positive result can then not be attributed to collagen alone.</w:t>
      </w:r>
    </w:p>
    <w:bookmarkStart w:id="2327" w:name="skin-moisture-elasticity-wrinkles"/>
    <w:p>
      <w:pPr>
        <w:pStyle w:val="Heading4"/>
      </w:pPr>
      <w:r>
        <w:t xml:space="preserve">Skin: Moisture, Elasticity, Wrinkles</w:t>
      </w:r>
    </w:p>
    <w:p>
      <w:pPr>
        <w:pStyle w:val="FirstParagraph"/>
      </w:pPr>
      <w:r>
        <w:t xml:space="preserve">The skin studies are the most numerous. Measurements are usually made with devices: corneometer (moisture of the stratum corneum), cutometer (elasticity), skin replicas or 3D cameras (wrinkle depth), ultrasound (density of the dermis).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Proksch 2014a, PMID 23949208</w:t>
            </w:r>
          </w:p>
        </w:tc>
        <w:tc>
          <w:tcPr/>
          <w:p>
            <w:pPr>
              <w:pStyle w:val="Compact"/>
              <w:jc w:val="left"/>
            </w:pPr>
            <w:r>
              <w:t xml:space="preserve">69 women (35–55 yrs), 2.5 g or 5 g vs. placebo</w:t>
            </w:r>
          </w:p>
        </w:tc>
        <w:tc>
          <w:tcPr/>
          <w:p>
            <w:pPr>
              <w:pStyle w:val="Compact"/>
              <w:jc w:val="left"/>
            </w:pPr>
            <w:r>
              <w:t xml:space="preserve">8 weeks</w:t>
            </w:r>
          </w:p>
        </w:tc>
        <w:tc>
          <w:tcPr/>
          <w:p>
            <w:pPr>
              <w:pStyle w:val="Compact"/>
              <w:jc w:val="left"/>
            </w:pPr>
            <w:r>
              <w:t xml:space="preserve">Elasticity significantly better than placebo in both dose groups; moisture not significant</w:t>
            </w:r>
          </w:p>
        </w:tc>
      </w:tr>
      <w:tr>
        <w:tc>
          <w:tcPr/>
          <w:p>
            <w:pPr>
              <w:pStyle w:val="Compact"/>
              <w:jc w:val="left"/>
            </w:pPr>
            <w:r>
              <w:t xml:space="preserve">Proksch 2014b, PMID 24401291</w:t>
            </w:r>
          </w:p>
        </w:tc>
        <w:tc>
          <w:tcPr/>
          <w:p>
            <w:pPr>
              <w:pStyle w:val="Compact"/>
              <w:jc w:val="left"/>
            </w:pPr>
            <w:r>
              <w:t xml:space="preserve">114 women (45–65 yrs), 2.5 g Verisol vs. placebo</w:t>
            </w:r>
          </w:p>
        </w:tc>
        <w:tc>
          <w:tcPr/>
          <w:p>
            <w:pPr>
              <w:pStyle w:val="Compact"/>
              <w:jc w:val="left"/>
            </w:pPr>
            <w:r>
              <w:t xml:space="preserve">8 weeks</w:t>
            </w:r>
          </w:p>
        </w:tc>
        <w:tc>
          <w:tcPr/>
          <w:p>
            <w:pPr>
              <w:pStyle w:val="Compact"/>
              <w:jc w:val="left"/>
            </w:pPr>
            <w:r>
              <w:t xml:space="preserve">Eye wrinkle volume −20% vs. placebo; procollagen I in skin samples +65%</w:t>
            </w:r>
          </w:p>
        </w:tc>
      </w:tr>
      <w:tr>
        <w:tc>
          <w:tcPr/>
          <w:p>
            <w:pPr>
              <w:pStyle w:val="Compact"/>
              <w:jc w:val="left"/>
            </w:pPr>
            <w:r>
              <w:t xml:space="preserve">Kim 2018, PMID 29949889</w:t>
            </w:r>
          </w:p>
        </w:tc>
        <w:tc>
          <w:tcPr/>
          <w:p>
            <w:pPr>
              <w:pStyle w:val="Compact"/>
              <w:jc w:val="left"/>
            </w:pPr>
            <w:r>
              <w:t xml:space="preserve">64 people, 1 g low-molecular-weight peptide vs. placebo</w:t>
            </w:r>
          </w:p>
        </w:tc>
        <w:tc>
          <w:tcPr/>
          <w:p>
            <w:pPr>
              <w:pStyle w:val="Compact"/>
              <w:jc w:val="left"/>
            </w:pPr>
            <w:r>
              <w:t xml:space="preserve">12 weeks</w:t>
            </w:r>
          </w:p>
        </w:tc>
        <w:tc>
          <w:tcPr/>
          <w:p>
            <w:pPr>
              <w:pStyle w:val="Compact"/>
              <w:jc w:val="left"/>
            </w:pPr>
            <w:r>
              <w:t xml:space="preserve">Moisture and three wrinkle parameters better than placebo; elasticity partly</w:t>
            </w:r>
          </w:p>
        </w:tc>
      </w:tr>
      <w:tr>
        <w:tc>
          <w:tcPr/>
          <w:p>
            <w:pPr>
              <w:pStyle w:val="Compact"/>
              <w:jc w:val="left"/>
            </w:pPr>
            <w:r>
              <w:t xml:space="preserve">Bolke 2019, PMID 31627309</w:t>
            </w:r>
          </w:p>
        </w:tc>
        <w:tc>
          <w:tcPr/>
          <w:p>
            <w:pPr>
              <w:pStyle w:val="Compact"/>
              <w:jc w:val="left"/>
            </w:pPr>
            <w:r>
              <w:t xml:space="preserve">72 women aged 35+, drinking ampoule with 2.5 g peptides plus vitamins, zinc, acerola vs. placebo</w:t>
            </w:r>
          </w:p>
        </w:tc>
        <w:tc>
          <w:tcPr/>
          <w:p>
            <w:pPr>
              <w:pStyle w:val="Compact"/>
              <w:jc w:val="left"/>
            </w:pPr>
            <w:r>
              <w:t xml:space="preserve">12 weeks</w:t>
            </w:r>
          </w:p>
        </w:tc>
        <w:tc>
          <w:tcPr/>
          <w:p>
            <w:pPr>
              <w:pStyle w:val="Compact"/>
              <w:jc w:val="left"/>
            </w:pPr>
            <w:r>
              <w:t xml:space="preserve">Moisture, elasticity, roughness and density better than placebo (combination product)</w:t>
            </w:r>
          </w:p>
        </w:tc>
      </w:tr>
      <w:tr>
        <w:tc>
          <w:tcPr/>
          <w:p>
            <w:pPr>
              <w:pStyle w:val="Compact"/>
              <w:jc w:val="left"/>
            </w:pPr>
            <w:r>
              <w:t xml:space="preserve">Kim 2022, PMID 36516059</w:t>
            </w:r>
          </w:p>
        </w:tc>
        <w:tc>
          <w:tcPr/>
          <w:p>
            <w:pPr>
              <w:pStyle w:val="Compact"/>
              <w:jc w:val="left"/>
            </w:pPr>
            <w:r>
              <w:t xml:space="preserve">100 people, low-molecular-weight peptides vs. placebo</w:t>
            </w:r>
          </w:p>
        </w:tc>
        <w:tc>
          <w:tcPr/>
          <w:p>
            <w:pPr>
              <w:pStyle w:val="Compact"/>
              <w:jc w:val="left"/>
            </w:pPr>
            <w:r>
              <w:t xml:space="preserve">12 weeks</w:t>
            </w:r>
          </w:p>
        </w:tc>
        <w:tc>
          <w:tcPr/>
          <w:p>
            <w:pPr>
              <w:pStyle w:val="Compact"/>
              <w:jc w:val="left"/>
            </w:pPr>
            <w:r>
              <w:t xml:space="preserve">Crow’s feet, roughness, elasticity, moisture better than placebo (analysis of 84 people)</w:t>
            </w:r>
          </w:p>
        </w:tc>
      </w:tr>
      <w:tr>
        <w:tc>
          <w:tcPr/>
          <w:p>
            <w:pPr>
              <w:pStyle w:val="Compact"/>
              <w:jc w:val="left"/>
            </w:pPr>
            <w:r>
              <w:t xml:space="preserve">Vleminckx 2024, PMID 39143887</w:t>
            </w:r>
          </w:p>
        </w:tc>
        <w:tc>
          <w:tcPr/>
          <w:p>
            <w:pPr>
              <w:pStyle w:val="Compact"/>
              <w:jc w:val="left"/>
            </w:pPr>
            <w:r>
              <w:t xml:space="preserve">85 East Asian women (43–65 yrs), 5 g vs. maltodextrin</w:t>
            </w:r>
          </w:p>
        </w:tc>
        <w:tc>
          <w:tcPr/>
          <w:p>
            <w:pPr>
              <w:pStyle w:val="Compact"/>
              <w:jc w:val="left"/>
            </w:pPr>
            <w:r>
              <w:t xml:space="preserve">12 weeks</w:t>
            </w:r>
          </w:p>
        </w:tc>
        <w:tc>
          <w:tcPr/>
          <w:p>
            <w:pPr>
              <w:pStyle w:val="Compact"/>
              <w:jc w:val="left"/>
            </w:pPr>
            <w:r>
              <w:t xml:space="preserve">Skin density and moisture better than placebo after 84 days</w:t>
            </w:r>
          </w:p>
        </w:tc>
      </w:tr>
    </w:tbl>
    <w:p>
      <w:pPr>
        <w:pStyle w:val="BodyText"/>
      </w:pPr>
      <w:r>
        <w:t xml:space="preserve">Individual studies also examined cellulite (105 women, six months; improvement mainly in normal-weight women, Schunck 2015, PMID 26561784) and brittle nails. The nail study, however, was open-label and without a control group: 25 participants, nail growth +12%, broken nails −42%</w:t>
      </w:r>
      <w:r>
        <w:rPr>
          <w:rStyle w:val="FootnoteReference"/>
        </w:rPr>
        <w:footnoteReference w:id="2325"/>
      </w:r>
      <w:r>
        <w:t xml:space="preserve">. Without a comparison group, a placebo effect cannot be ruled out here.</w:t>
      </w:r>
    </w:p>
    <w:p>
      <w:pPr>
        <w:pStyle w:val="BodyText"/>
      </w:pPr>
      <w:r>
        <w:t xml:space="preserve">In patients with pressure ulcers (decubitus), a collagen hydrolysate with a high proportion of prolyl-hydroxyproline was tested in addition to standard treatment. In 120 participants, wound healing after 16 weeks was better in this group than under placebo</w:t>
      </w:r>
      <w:r>
        <w:rPr>
          <w:rStyle w:val="FootnoteReference"/>
        </w:rPr>
        <w:footnoteReference w:id="2326"/>
      </w:r>
      <w:r>
        <w:t xml:space="preserve">. A small study from 2026 in moderate atopic dermatitis reported lower use of cortisone cream with 5 g of collagen peptides (0.94 g versus 5.60 g; Proksch 2026, PMID 41758763); the authors themselves call for larger confirmatory studies.</w:t>
      </w:r>
    </w:p>
    <w:bookmarkEnd w:id="2327"/>
    <w:bookmarkStart w:id="2332" w:name="Xa1cc0f432c2f9a13e9ac74dddb1171c578072f4"/>
    <w:p>
      <w:pPr>
        <w:pStyle w:val="Heading4"/>
      </w:pPr>
      <w:r>
        <w:t xml:space="preserve">The Meta-Analyses on Skin – and the Question of Funding</w:t>
      </w:r>
    </w:p>
    <w:p>
      <w:pPr>
        <w:pStyle w:val="FirstParagraph"/>
      </w:pPr>
      <w:r>
        <w:t xml:space="preserve">If the skin studies are pooled, the picture at first glance is clear:</w:t>
      </w:r>
    </w:p>
    <w:p>
      <w:pPr>
        <w:numPr>
          <w:ilvl w:val="0"/>
          <w:numId w:val="1292"/>
        </w:numPr>
        <w:pStyle w:val="Compact"/>
      </w:pPr>
      <w:r>
        <w:t xml:space="preserve">19 studies with 1,125 participants: favorable effect on moisture, elasticity and wrinkles</w:t>
      </w:r>
      <w:r>
        <w:rPr>
          <w:rStyle w:val="FootnoteReference"/>
        </w:rPr>
        <w:footnoteReference w:id="2328"/>
      </w:r>
      <w:r>
        <w:t xml:space="preserve">.</w:t>
      </w:r>
    </w:p>
    <w:p>
      <w:pPr>
        <w:numPr>
          <w:ilvl w:val="0"/>
          <w:numId w:val="1292"/>
        </w:numPr>
        <w:pStyle w:val="Compact"/>
      </w:pPr>
      <w:r>
        <w:t xml:space="preserve">26 studies with 1,721 participants: significant improvement in moisture and elasticity; however, the authors identify several sources of bias and call for large studies</w:t>
      </w:r>
      <w:r>
        <w:rPr>
          <w:rStyle w:val="FootnoteReference"/>
        </w:rPr>
        <w:footnoteReference w:id="2329"/>
      </w:r>
      <w:r>
        <w:t xml:space="preserve">.</w:t>
      </w:r>
    </w:p>
    <w:p>
      <w:pPr>
        <w:numPr>
          <w:ilvl w:val="0"/>
          <w:numId w:val="1292"/>
        </w:numPr>
        <w:pStyle w:val="Compact"/>
      </w:pPr>
      <w:r>
        <w:t xml:space="preserve">10 studies with 646 participants: moisture and elasticity improved, with moderate heterogeneity and a predominantly unclear risk of bias</w:t>
      </w:r>
      <w:r>
        <w:rPr>
          <w:rStyle w:val="FootnoteReference"/>
        </w:rPr>
        <w:footnoteReference w:id="2330"/>
      </w:r>
      <w:r>
        <w:t xml:space="preserve">.</w:t>
      </w:r>
    </w:p>
    <w:p>
      <w:pPr>
        <w:pStyle w:val="FirstParagraph"/>
      </w:pPr>
      <w:r>
        <w:t xml:space="preserve">A 2025 meta-analysis went one step further and separated the studies by funder and quality. Across all 23 studies with 1,474 participants, an advantage was again seen. However, when only the studies</w:t>
      </w:r>
      <w:r>
        <w:t xml:space="preserve"> </w:t>
      </w:r>
      <w:r>
        <w:rPr>
          <w:iCs/>
          <w:i/>
        </w:rPr>
        <w:t xml:space="preserve">without</w:t>
      </w:r>
      <w:r>
        <w:t xml:space="preserve"> </w:t>
      </w:r>
      <w:r>
        <w:t xml:space="preserve">industry funding were considered, the effect on moisture, elasticity and wrinkles disappeared. The methodologically high-quality studies also showed no significant effect in any category; only in the low-quality studies was there an improvement in elasticity. The authors conclude that there is currently no clinical evidence to support the use of collagen supplements for the prevention or treatment of skin aging</w:t>
      </w:r>
      <w:r>
        <w:rPr>
          <w:rStyle w:val="FootnoteReference"/>
        </w:rPr>
        <w:footnoteReference w:id="2331"/>
      </w:r>
      <w:r>
        <w:t xml:space="preserve">.</w:t>
      </w:r>
    </w:p>
    <w:p>
      <w:pPr>
        <w:pStyle w:val="BodyText"/>
      </w:pPr>
      <w:r>
        <w:t xml:space="preserve">This result is not a final verdict – the number of independent studies is small, and a lack of statistical significance does not automatically mean that there is no effect. But it shows how heavily the positive overall balance depends on studies that the suppliers financed themselves. For readers, this means: the claim</w:t>
      </w:r>
      <w:r>
        <w:t xml:space="preserve"> </w:t>
      </w:r>
      <w:r>
        <w:t xml:space="preserve">“</w:t>
      </w:r>
      <w:r>
        <w:t xml:space="preserve">clinically proven</w:t>
      </w:r>
      <w:r>
        <w:t xml:space="preserve">”</w:t>
      </w:r>
      <w:r>
        <w:t xml:space="preserve"> </w:t>
      </w:r>
      <w:r>
        <w:t xml:space="preserve">on a collagen package is usually based on studies by the product’s own raw material supplier.</w:t>
      </w:r>
    </w:p>
    <w:bookmarkEnd w:id="2332"/>
    <w:bookmarkStart w:id="2338" w:name="joints-and-osteoarthritis"/>
    <w:p>
      <w:pPr>
        <w:pStyle w:val="Heading4"/>
      </w:pPr>
      <w:r>
        <w:t xml:space="preserve">Joints and Osteoarthritis</w:t>
      </w:r>
    </w:p>
    <w:p>
      <w:pPr>
        <w:pStyle w:val="FirstParagraph"/>
      </w:pPr>
      <w:r>
        <w:t xml:space="preserve">The second large group of studies concerns joint pain – both in osteoarthritis and in physically active people without a diagnosis.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Clark 2008, PMID 18416885</w:t>
            </w:r>
          </w:p>
        </w:tc>
        <w:tc>
          <w:tcPr/>
          <w:p>
            <w:pPr>
              <w:pStyle w:val="Compact"/>
              <w:jc w:val="left"/>
            </w:pPr>
            <w:r>
              <w:t xml:space="preserve">147 athletes with activity-related joint pain, 10 g vs. placebo</w:t>
            </w:r>
          </w:p>
        </w:tc>
        <w:tc>
          <w:tcPr/>
          <w:p>
            <w:pPr>
              <w:pStyle w:val="Compact"/>
              <w:jc w:val="left"/>
            </w:pPr>
            <w:r>
              <w:t xml:space="preserve">24 weeks</w:t>
            </w:r>
          </w:p>
        </w:tc>
        <w:tc>
          <w:tcPr/>
          <w:p>
            <w:pPr>
              <w:pStyle w:val="Compact"/>
              <w:jc w:val="left"/>
            </w:pPr>
            <w:r>
              <w:t xml:space="preserve">Several pain scores better than placebo; only 97 of 147 evaluable</w:t>
            </w:r>
          </w:p>
        </w:tc>
      </w:tr>
      <w:tr>
        <w:tc>
          <w:tcPr/>
          <w:p>
            <w:pPr>
              <w:pStyle w:val="Compact"/>
              <w:jc w:val="left"/>
            </w:pPr>
            <w:r>
              <w:t xml:space="preserve">Bruyère 2012, PMID 22500661</w:t>
            </w:r>
          </w:p>
        </w:tc>
        <w:tc>
          <w:tcPr/>
          <w:p>
            <w:pPr>
              <w:pStyle w:val="Compact"/>
              <w:jc w:val="left"/>
            </w:pPr>
            <w:r>
              <w:t xml:space="preserve">200 people aged 50+ with joint pain, 1.2 g vs. placebo</w:t>
            </w:r>
          </w:p>
        </w:tc>
        <w:tc>
          <w:tcPr/>
          <w:p>
            <w:pPr>
              <w:pStyle w:val="Compact"/>
              <w:jc w:val="left"/>
            </w:pPr>
            <w:r>
              <w:t xml:space="preserve">6 months</w:t>
            </w:r>
          </w:p>
        </w:tc>
        <w:tc>
          <w:tcPr/>
          <w:p>
            <w:pPr>
              <w:pStyle w:val="Compact"/>
              <w:jc w:val="left"/>
            </w:pPr>
            <w:r>
              <w:t xml:space="preserve">Response rate 51.6% vs. 36.5% after 6 months; no difference after 3 months</w:t>
            </w:r>
          </w:p>
        </w:tc>
      </w:tr>
      <w:tr>
        <w:tc>
          <w:tcPr/>
          <w:p>
            <w:pPr>
              <w:pStyle w:val="Compact"/>
              <w:jc w:val="left"/>
            </w:pPr>
            <w:r>
              <w:t xml:space="preserve">Kumar 2015, PMID 24852756</w:t>
            </w:r>
          </w:p>
        </w:tc>
        <w:tc>
          <w:tcPr/>
          <w:p>
            <w:pPr>
              <w:pStyle w:val="Compact"/>
              <w:jc w:val="left"/>
            </w:pPr>
            <w:r>
              <w:t xml:space="preserve">Knee osteoarthritis, peptides from pig skin or bovine bone vs. placebo</w:t>
            </w:r>
          </w:p>
        </w:tc>
        <w:tc>
          <w:tcPr/>
          <w:p>
            <w:pPr>
              <w:pStyle w:val="Compact"/>
              <w:jc w:val="left"/>
            </w:pPr>
            <w:r>
              <w:t xml:space="preserve">13 weeks</w:t>
            </w:r>
          </w:p>
        </w:tc>
        <w:tc>
          <w:tcPr/>
          <w:p>
            <w:pPr>
              <w:pStyle w:val="Compact"/>
              <w:jc w:val="left"/>
            </w:pPr>
            <w:r>
              <w:t xml:space="preserve">WOMAC, pain and quality-of-life scores better than placebo</w:t>
            </w:r>
          </w:p>
        </w:tc>
      </w:tr>
      <w:tr>
        <w:tc>
          <w:tcPr/>
          <w:p>
            <w:pPr>
              <w:pStyle w:val="Compact"/>
              <w:jc w:val="left"/>
            </w:pPr>
            <w:r>
              <w:t xml:space="preserve">Zdzieblik 2017, PMID 28177710</w:t>
            </w:r>
          </w:p>
        </w:tc>
        <w:tc>
          <w:tcPr/>
          <w:p>
            <w:pPr>
              <w:pStyle w:val="Compact"/>
              <w:jc w:val="left"/>
            </w:pPr>
            <w:r>
              <w:t xml:space="preserve">139 athletes with knee complaints, 5 g vs. placebo</w:t>
            </w:r>
          </w:p>
        </w:tc>
        <w:tc>
          <w:tcPr/>
          <w:p>
            <w:pPr>
              <w:pStyle w:val="Compact"/>
              <w:jc w:val="left"/>
            </w:pPr>
            <w:r>
              <w:t xml:space="preserve">12 weeks</w:t>
            </w:r>
          </w:p>
        </w:tc>
        <w:tc>
          <w:tcPr/>
          <w:p>
            <w:pPr>
              <w:pStyle w:val="Compact"/>
              <w:jc w:val="left"/>
            </w:pPr>
            <w:r>
              <w:t xml:space="preserve">Pain on exertion better than placebo (p = 0.046); pain at rest not</w:t>
            </w:r>
          </w:p>
        </w:tc>
      </w:tr>
      <w:tr>
        <w:tc>
          <w:tcPr/>
          <w:p>
            <w:pPr>
              <w:pStyle w:val="Compact"/>
              <w:jc w:val="left"/>
            </w:pPr>
            <w:r>
              <w:t xml:space="preserve">Bongers 2020, PMID 31990581</w:t>
            </w:r>
          </w:p>
        </w:tc>
        <w:tc>
          <w:tcPr/>
          <w:p>
            <w:pPr>
              <w:pStyle w:val="Compact"/>
              <w:jc w:val="left"/>
            </w:pPr>
            <w:r>
              <w:t xml:space="preserve">167 active people (median 63 yrs) with knee pain, 10 g vs. placebo</w:t>
            </w:r>
          </w:p>
        </w:tc>
        <w:tc>
          <w:tcPr/>
          <w:p>
            <w:pPr>
              <w:pStyle w:val="Compact"/>
              <w:jc w:val="left"/>
            </w:pPr>
            <w:r>
              <w:t xml:space="preserve">12 weeks</w:t>
            </w:r>
          </w:p>
        </w:tc>
        <w:tc>
          <w:tcPr/>
          <w:p>
            <w:pPr>
              <w:pStyle w:val="Compact"/>
              <w:jc w:val="left"/>
            </w:pPr>
            <w:r>
              <w:t xml:space="preserve">No difference: pain fell equally in both groups</w:t>
            </w:r>
          </w:p>
        </w:tc>
      </w:tr>
    </w:tbl>
    <w:p>
      <w:pPr>
        <w:pStyle w:val="BodyText"/>
      </w:pPr>
      <w:r>
        <w:t xml:space="preserve">The Bongers study is remarkable because it is one of the larger ones and reports a clearly negative result: knee pain and knee function improved – but under placebo just as much as under collagen. This illustrates how large the placebo effect is in joint pain.</w:t>
      </w:r>
    </w:p>
    <w:p>
      <w:pPr>
        <w:pStyle w:val="BodyText"/>
      </w:pPr>
      <w:r>
        <w:t xml:space="preserve">The meta-analyses nevertheless mostly reach a favorable result:</w:t>
      </w:r>
    </w:p>
    <w:p>
      <w:pPr>
        <w:numPr>
          <w:ilvl w:val="0"/>
          <w:numId w:val="1293"/>
        </w:numPr>
        <w:pStyle w:val="Compact"/>
      </w:pPr>
      <w:r>
        <w:t xml:space="preserve">A meta-analysis of randomized, placebo-controlled studies found a significant reduction in the total WOMAC score (an osteoarthritis questionnaire) and in the pain score on the visual analog scale; however, the WOMAC subscales for pain and functional limitation did not differ significantly</w:t>
      </w:r>
      <w:r>
        <w:rPr>
          <w:rStyle w:val="FootnoteReference"/>
        </w:rPr>
        <w:footnoteReference w:id="2333"/>
      </w:r>
      <w:r>
        <w:t xml:space="preserve">.</w:t>
      </w:r>
    </w:p>
    <w:p>
      <w:pPr>
        <w:numPr>
          <w:ilvl w:val="0"/>
          <w:numId w:val="1293"/>
        </w:numPr>
        <w:pStyle w:val="Compact"/>
      </w:pPr>
      <w:r>
        <w:t xml:space="preserve">The most comprehensive analysis to date included 35 studies with 3,165 patients with osteoarthritis. Collagen derivatives – hydrolyzed and undenatured collagen are pooled here – had small to moderate effects on pain (standardized mean difference −0.35) and function (−0.31). Side effects and study discontinuations were not more frequent than under control</w:t>
      </w:r>
      <w:r>
        <w:rPr>
          <w:rStyle w:val="FootnoteReference"/>
        </w:rPr>
        <w:footnoteReference w:id="2334"/>
      </w:r>
      <w:r>
        <w:t xml:space="preserve">.</w:t>
      </w:r>
    </w:p>
    <w:p>
      <w:pPr>
        <w:numPr>
          <w:ilvl w:val="0"/>
          <w:numId w:val="1293"/>
        </w:numPr>
        <w:pStyle w:val="Compact"/>
      </w:pPr>
      <w:r>
        <w:t xml:space="preserve">An analysis of only four studies with 507 patients with knee osteoarthritis also found pain relief, but rated all four studies as having a high risk of bias</w:t>
      </w:r>
      <w:r>
        <w:rPr>
          <w:rStyle w:val="FootnoteReference"/>
        </w:rPr>
        <w:footnoteReference w:id="2335"/>
      </w:r>
      <w:r>
        <w:t xml:space="preserve">.</w:t>
      </w:r>
    </w:p>
    <w:p>
      <w:pPr>
        <w:numPr>
          <w:ilvl w:val="0"/>
          <w:numId w:val="1293"/>
        </w:numPr>
        <w:pStyle w:val="Compact"/>
      </w:pPr>
      <w:r>
        <w:t xml:space="preserve">An updated meta-analysis with 11 studies and 870 participants reported improvements in function and pain, but with very high heterogeneity (I² 75% and 88%)</w:t>
      </w:r>
      <w:r>
        <w:rPr>
          <w:rStyle w:val="FootnoteReference"/>
        </w:rPr>
        <w:footnoteReference w:id="2336"/>
      </w:r>
      <w:r>
        <w:t xml:space="preserve">.</w:t>
      </w:r>
    </w:p>
    <w:p>
      <w:pPr>
        <w:pStyle w:val="FirstParagraph"/>
      </w:pPr>
      <w:r>
        <w:t xml:space="preserve">For context: a standardized mean difference of about 0.3 is considered a small effect. It is of a similar magnitude to that of some other food supplements for osteoarthritis and considerably smaller than the effect one would hope for from a pain medication. A large review of food supplements in osteoarthritis found large short-term effects on pain for collagen hydrolysate, but concluded overall that the quality of the evidence is very low and that no supplement showed clinically meaningful long-term effects</w:t>
      </w:r>
      <w:r>
        <w:rPr>
          <w:rStyle w:val="FootnoteReference"/>
        </w:rPr>
        <w:footnoteReference w:id="2337"/>
      </w:r>
      <w:r>
        <w:t xml:space="preserve">.</w:t>
      </w:r>
    </w:p>
    <w:bookmarkEnd w:id="2338"/>
    <w:bookmarkStart w:id="2341" w:name="X3d482f882150735c3688a660db9e7e239788fa7"/>
    <w:p>
      <w:pPr>
        <w:pStyle w:val="Heading4"/>
      </w:pPr>
      <w:r>
        <w:t xml:space="preserve">Distinction: Undenatured Type II Collagen (UC-II)</w:t>
      </w:r>
    </w:p>
    <w:p>
      <w:pPr>
        <w:pStyle w:val="FirstParagraph"/>
      </w:pPr>
      <w:r>
        <w:t xml:space="preserve">Undenatured type II collagen is gently extracted from chicken breast cartilage so that the original structure of the collagen is partly preserved. It is taken in very small amounts – 40 milligrams per day in the studies, i.e. about one hundredth to one two-hundred-fiftieth of the gram amounts of collagen hydrolysate. It is not intended to act as a building material but via so-called oral tolerance: the immune system in the gut is supposed to learn not to treat cartilage collagen as a target for attack. This idea comes from animal models of joint inflammation.</w:t>
      </w:r>
    </w:p>
    <w:p>
      <w:pPr>
        <w:pStyle w:val="BodyText"/>
      </w:pPr>
      <w:r>
        <w:t xml:space="preserve">Historically, the principle was first tested in rheumatoid arthritis. A small study with 60 patients reported a decrease in swollen and tender joints in 1993</w:t>
      </w:r>
      <w:r>
        <w:rPr>
          <w:rStyle w:val="FootnoteReference"/>
        </w:rPr>
        <w:footnoteReference w:id="2339"/>
      </w:r>
      <w:r>
        <w:t xml:space="preserve">. A larger study with 274 participants and four doses subsequently found a significant advantage only at the lowest dose and only according to one of three assessment criteria</w:t>
      </w:r>
      <w:r>
        <w:rPr>
          <w:rStyle w:val="FootnoteReference"/>
        </w:rPr>
        <w:footnoteReference w:id="2340"/>
      </w:r>
      <w:r>
        <w:t xml:space="preserve">. The approach has not become established as a rheumatoid arthritis therapy.</w:t>
      </w:r>
    </w:p>
    <w:p>
      <w:pPr>
        <w:pStyle w:val="BodyText"/>
      </w:pPr>
      <w:r>
        <w:t xml:space="preserve">For osteoarthritis and joint complaints, the available studies are mainly close to the manufacturer: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Lugo 2016, PMID 26822714</w:t>
            </w:r>
          </w:p>
        </w:tc>
        <w:tc>
          <w:tcPr/>
          <w:p>
            <w:pPr>
              <w:pStyle w:val="Compact"/>
              <w:jc w:val="left"/>
            </w:pPr>
            <w:r>
              <w:t xml:space="preserve">191 people with knee osteoarthritis, UC-II vs. glucosamine/chondroitin vs. placebo</w:t>
            </w:r>
          </w:p>
        </w:tc>
        <w:tc>
          <w:tcPr/>
          <w:p>
            <w:pPr>
              <w:pStyle w:val="Compact"/>
              <w:jc w:val="left"/>
            </w:pPr>
            <w:r>
              <w:t xml:space="preserve">180 days</w:t>
            </w:r>
          </w:p>
        </w:tc>
        <w:tc>
          <w:tcPr/>
          <w:p>
            <w:pPr>
              <w:pStyle w:val="Compact"/>
              <w:jc w:val="left"/>
            </w:pPr>
            <w:r>
              <w:t xml:space="preserve">Total WOMAC score better than placebo (p = 0.002) and than glucosamine/chondroitin (p = 0.04)</w:t>
            </w:r>
          </w:p>
        </w:tc>
      </w:tr>
      <w:tr>
        <w:tc>
          <w:tcPr/>
          <w:p>
            <w:pPr>
              <w:pStyle w:val="Compact"/>
              <w:jc w:val="left"/>
            </w:pPr>
            <w:r>
              <w:t xml:space="preserve">Lugo 2013, PMID 24153020</w:t>
            </w:r>
          </w:p>
        </w:tc>
        <w:tc>
          <w:tcPr/>
          <w:p>
            <w:pPr>
              <w:pStyle w:val="Compact"/>
              <w:jc w:val="left"/>
            </w:pPr>
            <w:r>
              <w:t xml:space="preserve">55 healthy people with activity-related knee pain, UC-II vs. placebo</w:t>
            </w:r>
          </w:p>
        </w:tc>
        <w:tc>
          <w:tcPr/>
          <w:p>
            <w:pPr>
              <w:pStyle w:val="Compact"/>
              <w:jc w:val="left"/>
            </w:pPr>
            <w:r>
              <w:t xml:space="preserve">120 days</w:t>
            </w:r>
          </w:p>
        </w:tc>
        <w:tc>
          <w:tcPr/>
          <w:p>
            <w:pPr>
              <w:pStyle w:val="Compact"/>
              <w:jc w:val="left"/>
            </w:pPr>
            <w:r>
              <w:t xml:space="preserve">Knee extension 81.0° vs. 74.0°; longer pain-free exertion</w:t>
            </w:r>
          </w:p>
        </w:tc>
      </w:tr>
      <w:tr>
        <w:tc>
          <w:tcPr/>
          <w:p>
            <w:pPr>
              <w:pStyle w:val="Compact"/>
              <w:jc w:val="left"/>
            </w:pPr>
            <w:r>
              <w:t xml:space="preserve">Yuenyongviwat 2025, PMID 40897777</w:t>
            </w:r>
          </w:p>
        </w:tc>
        <w:tc>
          <w:tcPr/>
          <w:p>
            <w:pPr>
              <w:pStyle w:val="Compact"/>
              <w:jc w:val="left"/>
            </w:pPr>
            <w:r>
              <w:t xml:space="preserve">68 people with knee osteoarthritis, UC-II plus collagen hydrolysate vs. placebo</w:t>
            </w:r>
          </w:p>
        </w:tc>
        <w:tc>
          <w:tcPr/>
          <w:p>
            <w:pPr>
              <w:pStyle w:val="Compact"/>
              <w:jc w:val="left"/>
            </w:pPr>
            <w:r>
              <w:t xml:space="preserve">12 weeks</w:t>
            </w:r>
          </w:p>
        </w:tc>
        <w:tc>
          <w:tcPr/>
          <w:p>
            <w:pPr>
              <w:pStyle w:val="Compact"/>
              <w:jc w:val="left"/>
            </w:pPr>
            <w:r>
              <w:t xml:space="preserve">No difference in pain, function, rescue medication</w:t>
            </w:r>
          </w:p>
        </w:tc>
      </w:tr>
    </w:tbl>
    <w:p>
      <w:pPr>
        <w:pStyle w:val="BodyText"/>
      </w:pPr>
      <w:r>
        <w:t xml:space="preserve">The most recent study comes from an independent research group that explicitly points out that most previous collagen studies were funded by industry. Like Bongers 2020, it found improvements in both groups, but no advantage over placebo (Yuenyongviwat 2025, PMID 40897777, registered as NCT06229951).</w:t>
      </w:r>
    </w:p>
    <w:p>
      <w:pPr>
        <w:pStyle w:val="BodyText"/>
      </w:pPr>
      <w:r>
        <w:t xml:space="preserve">Important for consumers: UC-II and collagen hydrolysate are not interchangeable. If you read studies on one product, you cannot infer anything about the other.</w:t>
      </w:r>
    </w:p>
    <w:bookmarkEnd w:id="2341"/>
    <w:bookmarkStart w:id="2342" w:name="bone"/>
    <w:p>
      <w:pPr>
        <w:pStyle w:val="Heading4"/>
      </w:pPr>
      <w:r>
        <w:t xml:space="preserve">Bone</w:t>
      </w:r>
    </w:p>
    <w:p>
      <w:pPr>
        <w:pStyle w:val="FirstParagraph"/>
      </w:pPr>
      <w:r>
        <w:t xml:space="preserve">For bone, the data are thin but interesting: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König 2018, PMID 29337906</w:t>
            </w:r>
          </w:p>
        </w:tc>
        <w:tc>
          <w:tcPr/>
          <w:p>
            <w:pPr>
              <w:pStyle w:val="Compact"/>
              <w:jc w:val="left"/>
            </w:pPr>
            <w:r>
              <w:t xml:space="preserve">131 postmenopausal women with reduced bone density, 5 g vs. placebo</w:t>
            </w:r>
          </w:p>
        </w:tc>
        <w:tc>
          <w:tcPr/>
          <w:p>
            <w:pPr>
              <w:pStyle w:val="Compact"/>
              <w:jc w:val="left"/>
            </w:pPr>
            <w:r>
              <w:t xml:space="preserve">12 months</w:t>
            </w:r>
          </w:p>
        </w:tc>
        <w:tc>
          <w:tcPr/>
          <w:p>
            <w:pPr>
              <w:pStyle w:val="Compact"/>
              <w:jc w:val="left"/>
            </w:pPr>
            <w:r>
              <w:t xml:space="preserve">T-score spine +0.1 vs. −0.03; femoral neck +0.09 vs. −0.01</w:t>
            </w:r>
          </w:p>
        </w:tc>
      </w:tr>
      <w:tr>
        <w:tc>
          <w:tcPr/>
          <w:p>
            <w:pPr>
              <w:pStyle w:val="Compact"/>
              <w:jc w:val="left"/>
            </w:pPr>
            <w:r>
              <w:t xml:space="preserve">Elam 2015, PMID 25314004</w:t>
            </w:r>
          </w:p>
        </w:tc>
        <w:tc>
          <w:tcPr/>
          <w:p>
            <w:pPr>
              <w:pStyle w:val="Compact"/>
              <w:jc w:val="left"/>
            </w:pPr>
            <w:r>
              <w:t xml:space="preserve">39 women with osteopenia, calcium-collagen chelate plus vitamin D vs. calcium plus vitamin D</w:t>
            </w:r>
          </w:p>
        </w:tc>
        <w:tc>
          <w:tcPr/>
          <w:p>
            <w:pPr>
              <w:pStyle w:val="Compact"/>
              <w:jc w:val="left"/>
            </w:pPr>
            <w:r>
              <w:t xml:space="preserve">12 months</w:t>
            </w:r>
          </w:p>
        </w:tc>
        <w:tc>
          <w:tcPr/>
          <w:p>
            <w:pPr>
              <w:pStyle w:val="Compact"/>
              <w:jc w:val="left"/>
            </w:pPr>
            <w:r>
              <w:t xml:space="preserve">Loss of whole-body bone density −1.33% vs. −3.75% (completers)</w:t>
            </w:r>
          </w:p>
        </w:tc>
      </w:tr>
      <w:tr>
        <w:tc>
          <w:tcPr/>
          <w:p>
            <w:pPr>
              <w:pStyle w:val="Compact"/>
              <w:jc w:val="left"/>
            </w:pPr>
            <w:r>
              <w:t xml:space="preserve">Lampropoulou-Adamidou 2022, PMID 34980546</w:t>
            </w:r>
          </w:p>
        </w:tc>
        <w:tc>
          <w:tcPr/>
          <w:p>
            <w:pPr>
              <w:pStyle w:val="Compact"/>
              <w:jc w:val="left"/>
            </w:pPr>
            <w:r>
              <w:t xml:space="preserve">51 women with osteopenia, 5 g peptides plus calcium/vitamin D vs. calcium/vitamin D</w:t>
            </w:r>
          </w:p>
        </w:tc>
        <w:tc>
          <w:tcPr/>
          <w:p>
            <w:pPr>
              <w:pStyle w:val="Compact"/>
              <w:jc w:val="left"/>
            </w:pPr>
            <w:r>
              <w:t xml:space="preserve">12 months</w:t>
            </w:r>
          </w:p>
        </w:tc>
        <w:tc>
          <w:tcPr/>
          <w:p>
            <w:pPr>
              <w:pStyle w:val="Compact"/>
              <w:jc w:val="left"/>
            </w:pPr>
            <w:r>
              <w:t xml:space="preserve">Higher bone density at the tibia and lumbar spine with collagen</w:t>
            </w:r>
          </w:p>
        </w:tc>
      </w:tr>
    </w:tbl>
    <w:p>
      <w:pPr>
        <w:pStyle w:val="BodyText"/>
      </w:pPr>
      <w:r>
        <w:t xml:space="preserve">The differences are small, the studies short, and no study has examined bone fractures – the endpoint that actually matters. Collagen peptides are no substitute for osteoporosis therapy with proven fracture reduction.</w:t>
      </w:r>
    </w:p>
    <w:bookmarkEnd w:id="2342"/>
    <w:bookmarkStart w:id="2349" w:name="muscles-and-tendons"/>
    <w:p>
      <w:pPr>
        <w:pStyle w:val="Heading4"/>
      </w:pPr>
      <w:r>
        <w:t xml:space="preserve">Muscles and Tendons</w:t>
      </w:r>
    </w:p>
    <w:p>
      <w:pPr>
        <w:pStyle w:val="FirstParagraph"/>
      </w:pPr>
      <w:r>
        <w:t xml:space="preserve">In sport, collagen peptides are promoted for two different goals: muscle building and strengthening tendons and ligaments.</w:t>
      </w:r>
    </w:p>
    <w:p>
      <w:pPr>
        <w:pStyle w:val="BodyText"/>
      </w:pPr>
      <w:r>
        <w:rPr>
          <w:bCs/>
          <w:b/>
        </w:rPr>
        <w:t xml:space="preserve">Muscle building.</w:t>
      </w:r>
      <w:r>
        <w:t xml:space="preserve"> </w:t>
      </w:r>
      <w:r>
        <w:t xml:space="preserve">The most frequently cited study examined 53 older men with sarcopenia (age-related muscle loss) who did twelve weeks of strength training and received 15 g of collagen peptides or placebo (silicon dioxide). Fat-free mass increased by 4.2 kg under collagen and by 2.9 kg under placebo</w:t>
      </w:r>
      <w:r>
        <w:rPr>
          <w:rStyle w:val="FootnoteReference"/>
        </w:rPr>
        <w:footnoteReference w:id="2343"/>
      </w:r>
      <w:r>
        <w:t xml:space="preserve">. The problem: the placebo group received no protein at all. The advantage could therefore simply be due to the additional protein intake.</w:t>
      </w:r>
    </w:p>
    <w:p>
      <w:pPr>
        <w:pStyle w:val="BodyText"/>
      </w:pPr>
      <w:r>
        <w:t xml:space="preserve">Comparisons with high-quality protein answer precisely this question. In 22 older women, whey protein increased muscle protein synthesis both in the short term and over six days, whereas collagen peptides did not</w:t>
      </w:r>
      <w:r>
        <w:rPr>
          <w:rStyle w:val="FootnoteReference"/>
        </w:rPr>
        <w:footnoteReference w:id="2344"/>
      </w:r>
      <w:r>
        <w:t xml:space="preserve">. In young adults, muscle thickness increased more after ten weeks of strength training with whey protein than with collagen, even when the collagen was enriched with leucine to the same content</w:t>
      </w:r>
      <w:r>
        <w:rPr>
          <w:rStyle w:val="FootnoteReference"/>
        </w:rPr>
        <w:footnoteReference w:id="2345"/>
      </w:r>
      <w:r>
        <w:t xml:space="preserve">. A study with 25 young men found no higher synthesis of muscle or connective tissue protein with 2 × 15 g of collagen per day than with placebo</w:t>
      </w:r>
      <w:r>
        <w:rPr>
          <w:rStyle w:val="FootnoteReference"/>
        </w:rPr>
        <w:footnoteReference w:id="2346"/>
      </w:r>
      <w:r>
        <w:t xml:space="preserve">.</w:t>
      </w:r>
    </w:p>
    <w:p>
      <w:pPr>
        <w:pStyle w:val="BodyText"/>
      </w:pPr>
      <w:r>
        <w:rPr>
          <w:bCs/>
          <w:b/>
        </w:rPr>
        <w:t xml:space="preserve">Tendons.</w:t>
      </w:r>
      <w:r>
        <w:t xml:space="preserve"> </w:t>
      </w:r>
      <w:r>
        <w:t xml:space="preserve">Here the results are contradictory: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Jerger 2023, PMID 37424319</w:t>
            </w:r>
          </w:p>
        </w:tc>
        <w:tc>
          <w:tcPr/>
          <w:p>
            <w:pPr>
              <w:pStyle w:val="Compact"/>
              <w:jc w:val="left"/>
            </w:pPr>
            <w:r>
              <w:t xml:space="preserve">50 men, strength training plus 5 g vs. placebo</w:t>
            </w:r>
          </w:p>
        </w:tc>
        <w:tc>
          <w:tcPr/>
          <w:p>
            <w:pPr>
              <w:pStyle w:val="Compact"/>
              <w:jc w:val="left"/>
            </w:pPr>
            <w:r>
              <w:t xml:space="preserve">14 weeks</w:t>
            </w:r>
          </w:p>
        </w:tc>
        <w:tc>
          <w:tcPr/>
          <w:p>
            <w:pPr>
              <w:pStyle w:val="Compact"/>
              <w:jc w:val="left"/>
            </w:pPr>
            <w:r>
              <w:t xml:space="preserve">Cross-sectional area of the patellar tendon increased more; stiffness and strength without group difference</w:t>
            </w:r>
          </w:p>
        </w:tc>
      </w:tr>
      <w:tr>
        <w:tc>
          <w:tcPr/>
          <w:p>
            <w:pPr>
              <w:pStyle w:val="Compact"/>
              <w:jc w:val="left"/>
            </w:pPr>
            <w:r>
              <w:t xml:space="preserve">Balshaw 2023, PMID 37436929</w:t>
            </w:r>
          </w:p>
        </w:tc>
        <w:tc>
          <w:tcPr/>
          <w:p>
            <w:pPr>
              <w:pStyle w:val="Compact"/>
              <w:jc w:val="left"/>
            </w:pPr>
            <w:r>
              <w:t xml:space="preserve">39 young men, strength training plus 15 g vs. placebo</w:t>
            </w:r>
          </w:p>
        </w:tc>
        <w:tc>
          <w:tcPr/>
          <w:p>
            <w:pPr>
              <w:pStyle w:val="Compact"/>
              <w:jc w:val="left"/>
            </w:pPr>
            <w:r>
              <w:t xml:space="preserve">15 weeks</w:t>
            </w:r>
          </w:p>
        </w:tc>
        <w:tc>
          <w:tcPr/>
          <w:p>
            <w:pPr>
              <w:pStyle w:val="Compact"/>
              <w:jc w:val="left"/>
            </w:pPr>
            <w:r>
              <w:t xml:space="preserve">No differences in tendon size or mechanics</w:t>
            </w:r>
          </w:p>
        </w:tc>
      </w:tr>
      <w:tr>
        <w:tc>
          <w:tcPr/>
          <w:p>
            <w:pPr>
              <w:pStyle w:val="Compact"/>
              <w:jc w:val="left"/>
            </w:pPr>
            <w:r>
              <w:t xml:space="preserve">Miyamoto 2025, PMID 40623147</w:t>
            </w:r>
          </w:p>
        </w:tc>
        <w:tc>
          <w:tcPr/>
          <w:p>
            <w:pPr>
              <w:pStyle w:val="Compact"/>
              <w:jc w:val="left"/>
            </w:pPr>
            <w:r>
              <w:t xml:space="preserve">50 untrained men, 10 g vs. placebo</w:t>
            </w:r>
          </w:p>
        </w:tc>
        <w:tc>
          <w:tcPr/>
          <w:p>
            <w:pPr>
              <w:pStyle w:val="Compact"/>
              <w:jc w:val="left"/>
            </w:pPr>
            <w:r>
              <w:t xml:space="preserve">16 weeks</w:t>
            </w:r>
          </w:p>
        </w:tc>
        <w:tc>
          <w:tcPr/>
          <w:p>
            <w:pPr>
              <w:pStyle w:val="Compact"/>
              <w:jc w:val="left"/>
            </w:pPr>
            <w:r>
              <w:t xml:space="preserve">Stiffness of calf muscle and Achilles tendon increased; cross-sectional area unchanged</w:t>
            </w:r>
          </w:p>
        </w:tc>
      </w:tr>
      <w:tr>
        <w:tc>
          <w:tcPr/>
          <w:p>
            <w:pPr>
              <w:pStyle w:val="Compact"/>
              <w:jc w:val="left"/>
            </w:pPr>
            <w:r>
              <w:t xml:space="preserve">Praet 2019, PMID 30609761</w:t>
            </w:r>
          </w:p>
        </w:tc>
        <w:tc>
          <w:tcPr/>
          <w:p>
            <w:pPr>
              <w:pStyle w:val="Compact"/>
              <w:jc w:val="left"/>
            </w:pPr>
            <w:r>
              <w:t xml:space="preserve">20 people with Achilles tendon complaints, crossover with training</w:t>
            </w:r>
          </w:p>
        </w:tc>
        <w:tc>
          <w:tcPr/>
          <w:p>
            <w:pPr>
              <w:pStyle w:val="Compact"/>
              <w:jc w:val="left"/>
            </w:pPr>
            <w:r>
              <w:t xml:space="preserve">6 months</w:t>
            </w:r>
          </w:p>
        </w:tc>
        <w:tc>
          <w:tcPr/>
          <w:p>
            <w:pPr>
              <w:pStyle w:val="Compact"/>
              <w:jc w:val="left"/>
            </w:pPr>
            <w:r>
              <w:t xml:space="preserve">Faster improvement on the symptom questionnaire in the collagen phase (pilot study)</w:t>
            </w:r>
          </w:p>
        </w:tc>
      </w:tr>
      <w:tr>
        <w:tc>
          <w:tcPr/>
          <w:p>
            <w:pPr>
              <w:pStyle w:val="Compact"/>
              <w:jc w:val="left"/>
            </w:pPr>
            <w:r>
              <w:t xml:space="preserve">Dressler 2018, PMID 29769831</w:t>
            </w:r>
          </w:p>
        </w:tc>
        <w:tc>
          <w:tcPr/>
          <w:p>
            <w:pPr>
              <w:pStyle w:val="Compact"/>
              <w:jc w:val="left"/>
            </w:pPr>
            <w:r>
              <w:t xml:space="preserve">50 athletes with chronic ankle instability, 5 g vs. placebo</w:t>
            </w:r>
          </w:p>
        </w:tc>
        <w:tc>
          <w:tcPr/>
          <w:p>
            <w:pPr>
              <w:pStyle w:val="Compact"/>
              <w:jc w:val="left"/>
            </w:pPr>
            <w:r>
              <w:t xml:space="preserve">6 months</w:t>
            </w:r>
          </w:p>
        </w:tc>
        <w:tc>
          <w:tcPr/>
          <w:p>
            <w:pPr>
              <w:pStyle w:val="Compact"/>
              <w:jc w:val="left"/>
            </w:pPr>
            <w:r>
              <w:t xml:space="preserve">Subjective stability better; mechanical stability unchanged</w:t>
            </w:r>
          </w:p>
        </w:tc>
      </w:tr>
    </w:tbl>
    <w:p>
      <w:pPr>
        <w:pStyle w:val="BodyText"/>
      </w:pPr>
      <w:r>
        <w:t xml:space="preserve">A meta-analysis of 19 studies with 768 healthy adults found small advantages in fat-free mass, tendon morphology, muscle architecture and maximal strength with long-term collagen intake combined with training. The certainty of the evidence was rated as moderate for body composition, very low for tendon morphology and low for the other outcomes</w:t>
      </w:r>
      <w:r>
        <w:rPr>
          <w:rStyle w:val="FootnoteReference"/>
        </w:rPr>
        <w:footnoteReference w:id="2347"/>
      </w:r>
      <w:r>
        <w:t xml:space="preserve">. An earlier systematic review concluded that collagen is not equivalent to higher-quality protein sources for muscle protein synthesis</w:t>
      </w:r>
      <w:r>
        <w:rPr>
          <w:rStyle w:val="FootnoteReference"/>
        </w:rPr>
        <w:footnoteReference w:id="2348"/>
      </w:r>
      <w:r>
        <w:t xml:space="preserve">.</w:t>
      </w:r>
    </w:p>
    <w:p>
      <w:pPr>
        <w:pStyle w:val="BodyText"/>
      </w:pPr>
      <w:r>
        <w:rPr>
          <w:bCs/>
          <w:b/>
        </w:rPr>
        <w:t xml:space="preserve">Interim conclusion on sport:</w:t>
      </w:r>
      <w:r>
        <w:t xml:space="preserve"> </w:t>
      </w:r>
      <w:r>
        <w:t xml:space="preserve">For muscle building, there are better and cheaper protein sources. For tendons and ligaments, a benefit is biologically plausible and suggested in some studies, but has not been robustly demonstrated.</w:t>
      </w:r>
    </w:p>
    <w:bookmarkEnd w:id="2349"/>
    <w:bookmarkStart w:id="2351" w:name="other-areas-of-use"/>
    <w:p>
      <w:pPr>
        <w:pStyle w:val="Heading4"/>
      </w:pPr>
      <w:r>
        <w:t xml:space="preserve">Other Areas of Use</w:t>
      </w:r>
    </w:p>
    <w:p>
      <w:pPr>
        <w:pStyle w:val="FirstParagraph"/>
      </w:pPr>
      <w:r>
        <w:t xml:space="preserve">In smaller studies, collagen peptides have been studied for blood pressure and vascular function, sleep, appetite, gum inflammation and digestive complaints, among other things. A meta-analysis of 12 placebo-controlled studies reported a reduction in systolic blood pressure of 5.04 mmHg and in LDL cholesterol of 4.09 mg/dl, but with extremely high heterogeneity among the individual studies (I² 98.9% and 93.4%)</w:t>
      </w:r>
      <w:r>
        <w:rPr>
          <w:rStyle w:val="FootnoteReference"/>
        </w:rPr>
        <w:footnoteReference w:id="2350"/>
      </w:r>
      <w:r>
        <w:t xml:space="preserve">. These areas have been studied too little to allow robust statements.</w:t>
      </w:r>
    </w:p>
    <w:bookmarkEnd w:id="2351"/>
    <w:bookmarkEnd w:id="2352"/>
    <w:bookmarkStart w:id="2356" w:name="animal-and-laboratory-studies-52"/>
    <w:p>
      <w:pPr>
        <w:pStyle w:val="Heading3"/>
      </w:pPr>
      <w:r>
        <w:t xml:space="preserve">Animal and laboratory studies</w:t>
      </w:r>
    </w:p>
    <w:p>
      <w:pPr>
        <w:pStyle w:val="FirstParagraph"/>
      </w:pPr>
      <w:r>
        <w:t xml:space="preserve">In cell cultures, collagen peptides and in particular prolyl-hydroxyproline stimulate skin fibroblasts to grow; in mice and rats, they improved the skin barrier, bone density and cartilage metabolism in experiments. In human skin samples in the laboratory (ex vivo), collagen peptides promoted the formation of collagen and glycosaminoglycans</w:t>
      </w:r>
      <w:r>
        <w:rPr>
          <w:rStyle w:val="FootnoteReference"/>
        </w:rPr>
        <w:footnoteReference w:id="2353"/>
      </w:r>
      <w:r>
        <w:t xml:space="preserve">. A systematic review of eleven mostly experimental studies concluded that collagen hydrolysates at concentrations of 50 to 500 micrograms per milliliter stimulate fibroblasts without being toxic</w:t>
      </w:r>
      <w:r>
        <w:rPr>
          <w:rStyle w:val="FootnoteReference"/>
        </w:rPr>
        <w:footnoteReference w:id="2354"/>
      </w:r>
      <w:r>
        <w:t xml:space="preserve">. In rodent experiments with a high-calorie diet, a meta-analysis described effects on weight and fat mass</w:t>
      </w:r>
      <w:r>
        <w:rPr>
          <w:rStyle w:val="FootnoteReference"/>
        </w:rPr>
        <w:footnoteReference w:id="2355"/>
      </w:r>
      <w:r>
        <w:t xml:space="preserve"> </w:t>
      </w:r>
      <w:r>
        <w:t xml:space="preserve">– a finding that has not been demonstrated in humans.</w:t>
      </w:r>
    </w:p>
    <w:p>
      <w:pPr>
        <w:pStyle w:val="BodyText"/>
      </w:pPr>
      <w:r>
        <w:t xml:space="preserve">These results make the hypotheses plausible. But they do not prove that the peptide concentrations reached in humans after drinking are sufficient at the target tissue.</w:t>
      </w:r>
    </w:p>
    <w:bookmarkEnd w:id="2356"/>
    <w:bookmarkStart w:id="2359" w:name="risks-and-side-effects-52"/>
    <w:p>
      <w:pPr>
        <w:pStyle w:val="Heading3"/>
      </w:pPr>
      <w:r>
        <w:t xml:space="preserve">Risks and side effects</w:t>
      </w:r>
    </w:p>
    <w:p>
      <w:pPr>
        <w:pStyle w:val="FirstParagraph"/>
      </w:pPr>
      <w:r>
        <w:rPr>
          <w:bCs/>
          <w:b/>
        </w:rPr>
        <w:t xml:space="preserve">Established:</w:t>
      </w:r>
      <w:r>
        <w:t xml:space="preserve"> </w:t>
      </w:r>
      <w:r>
        <w:t xml:space="preserve">In the randomized studies, side effects did not occur more frequently than under placebo. The large osteoarthritis meta-analysis found no increased risk of adverse events or study discontinuations</w:t>
      </w:r>
      <w:r>
        <w:rPr>
          <w:rStyle w:val="FootnoteReference"/>
        </w:rPr>
        <w:footnoteReference w:id="2357"/>
      </w:r>
      <w:r>
        <w:t xml:space="preserve">. Occasionally, a feeling of fullness, bloating or an unpleasant taste is reported.</w:t>
      </w:r>
    </w:p>
    <w:p>
      <w:pPr>
        <w:pStyle w:val="BodyText"/>
      </w:pPr>
      <w:r>
        <w:rPr>
          <w:bCs/>
          <w:b/>
        </w:rPr>
        <w:t xml:space="preserve">Worth noting:</w:t>
      </w:r>
    </w:p>
    <w:p>
      <w:pPr>
        <w:numPr>
          <w:ilvl w:val="0"/>
          <w:numId w:val="1294"/>
        </w:numPr>
        <w:pStyle w:val="Compact"/>
      </w:pPr>
      <w:r>
        <w:rPr>
          <w:bCs/>
          <w:b/>
        </w:rPr>
        <w:t xml:space="preserve">Allergies and intolerances:</w:t>
      </w:r>
      <w:r>
        <w:t xml:space="preserve"> </w:t>
      </w:r>
      <w:r>
        <w:t xml:space="preserve">Collagen from fish can be problematic in people with fish allergy; products from cattle or pigs are relevant for people who avoid these animals for religious or ethical reasons. The origin is stated in the ingredients list.</w:t>
      </w:r>
    </w:p>
    <w:p>
      <w:pPr>
        <w:numPr>
          <w:ilvl w:val="0"/>
          <w:numId w:val="1294"/>
        </w:numPr>
        <w:pStyle w:val="Compact"/>
      </w:pPr>
      <w:r>
        <w:rPr>
          <w:bCs/>
          <w:b/>
        </w:rPr>
        <w:t xml:space="preserve">Oxalate and kidney stones:</w:t>
      </w:r>
      <w:r>
        <w:t xml:space="preserve"> </w:t>
      </w:r>
      <w:r>
        <w:t xml:space="preserve">Hydroxyproline is partly broken down to oxalate in the body. In one study, urinary oxalate excretion rose by 43% after 30 g of gelatin per day compared with whey protein; even 5 to 10 g of gelatin led to measurable changes</w:t>
      </w:r>
      <w:r>
        <w:rPr>
          <w:rStyle w:val="FootnoteReference"/>
        </w:rPr>
        <w:footnoteReference w:id="2358"/>
      </w:r>
      <w:r>
        <w:t xml:space="preserve">. The significance for healthy people is unclear. People with calcium oxalate kidney stones or congenital hyperoxaluria should discuss intake with a doctor (a theoretical but biologically grounded risk).</w:t>
      </w:r>
    </w:p>
    <w:p>
      <w:pPr>
        <w:numPr>
          <w:ilvl w:val="0"/>
          <w:numId w:val="1294"/>
        </w:numPr>
        <w:pStyle w:val="Compact"/>
      </w:pPr>
      <w:r>
        <w:rPr>
          <w:bCs/>
          <w:b/>
        </w:rPr>
        <w:t xml:space="preserve">Amount of protein:</w:t>
      </w:r>
      <w:r>
        <w:t xml:space="preserve"> </w:t>
      </w:r>
      <w:r>
        <w:t xml:space="preserve">In kidney diseases with protein restriction, collagen also counts toward daily protein intake.</w:t>
      </w:r>
    </w:p>
    <w:p>
      <w:pPr>
        <w:numPr>
          <w:ilvl w:val="0"/>
          <w:numId w:val="1294"/>
        </w:numPr>
        <w:pStyle w:val="Compact"/>
      </w:pPr>
      <w:r>
        <w:rPr>
          <w:bCs/>
          <w:b/>
        </w:rPr>
        <w:t xml:space="preserve">Product quality:</w:t>
      </w:r>
      <w:r>
        <w:t xml:space="preserve"> </w:t>
      </w:r>
      <w:r>
        <w:t xml:space="preserve">Food supplements are not tested for efficacy before sale. The manufacturer is responsible for purity and freedom from contaminants; food control authorities only carry out spot checks.</w:t>
      </w:r>
    </w:p>
    <w:p>
      <w:pPr>
        <w:numPr>
          <w:ilvl w:val="0"/>
          <w:numId w:val="1294"/>
        </w:numPr>
        <w:pStyle w:val="Compact"/>
      </w:pPr>
      <w:r>
        <w:rPr>
          <w:bCs/>
          <w:b/>
        </w:rPr>
        <w:t xml:space="preserve">False security:</w:t>
      </w:r>
      <w:r>
        <w:t xml:space="preserve"> </w:t>
      </w:r>
      <w:r>
        <w:t xml:space="preserve">The greatest practical risk is that collagen is used instead of effective measures – for example instead of UV protection against skin aging or instead of osteoporosis treatment.</w:t>
      </w:r>
    </w:p>
    <w:bookmarkEnd w:id="2359"/>
    <w:bookmarkStart w:id="2360" w:name="legal-status-52"/>
    <w:p>
      <w:pPr>
        <w:pStyle w:val="Heading3"/>
      </w:pPr>
      <w:r>
        <w:t xml:space="preserve">Legal status</w:t>
      </w:r>
    </w:p>
    <w:p>
      <w:pPr>
        <w:numPr>
          <w:ilvl w:val="0"/>
          <w:numId w:val="1295"/>
        </w:numPr>
        <w:pStyle w:val="Compact"/>
      </w:pPr>
      <w:r>
        <w:rPr>
          <w:bCs/>
          <w:b/>
        </w:rPr>
        <w:t xml:space="preserve">EU / Austria / Germany:</w:t>
      </w:r>
      <w:r>
        <w:t xml:space="preserve"> </w:t>
      </w:r>
      <w:r>
        <w:t xml:space="preserve">Collagen peptides are foods. In Germany, food supplements must be notified to the Federal Office of Consumer Protection and Food Safety (BVL) before they are first sold; in Austria, separate rules apply. Efficacy is not assessed in either country. Under the EU Health Claims Regulation (Regulation (EC) No 1924/2006), health claims are only permitted if they are authorized in the EU list.</w:t>
      </w:r>
      <w:r>
        <w:t xml:space="preserve"> </w:t>
      </w:r>
      <w:r>
        <w:rPr>
          <w:bCs/>
          <w:b/>
        </w:rPr>
        <w:t xml:space="preserve">There is no authorized health claim for collagen or collagen peptides.</w:t>
      </w:r>
      <w:r>
        <w:t xml:space="preserve"> </w:t>
      </w:r>
      <w:r>
        <w:t xml:space="preserve">The European Food Safety Authority (EFSA) has issued negative opinions on claims applied for, for example regarding joint health, because a cause-and-effect relationship had not been demonstrated. That is why many products contain vitamin C: for vitamin C, the claim that it contributes to normal collagen formation for the normal function of skin, cartilage, bones, gums, teeth and blood vessels is authorized. The advertising statement then legally refers to the vitamin, not to the collagen. Beauty claims (</w:t>
      </w:r>
      <w:r>
        <w:t xml:space="preserve">“</w:t>
      </w:r>
      <w:r>
        <w:t xml:space="preserve">for firmer skin</w:t>
      </w:r>
      <w:r>
        <w:t xml:space="preserve">”</w:t>
      </w:r>
      <w:r>
        <w:t xml:space="preserve">) fall into a gray area and are judged differently by the courts.</w:t>
      </w:r>
    </w:p>
    <w:p>
      <w:pPr>
        <w:numPr>
          <w:ilvl w:val="0"/>
          <w:numId w:val="1295"/>
        </w:numPr>
        <w:pStyle w:val="Compact"/>
      </w:pPr>
      <w:r>
        <w:rPr>
          <w:bCs/>
          <w:b/>
        </w:rPr>
        <w:t xml:space="preserve">USA:</w:t>
      </w:r>
      <w:r>
        <w:t xml:space="preserve"> </w:t>
      </w:r>
      <w:r>
        <w:t xml:space="preserve">Collagen peptides are sold as dietary supplements. Manufacturers may make so-called structure/function claims (</w:t>
      </w:r>
      <w:r>
        <w:t xml:space="preserve">“</w:t>
      </w:r>
      <w:r>
        <w:t xml:space="preserve">supports healthy skin</w:t>
      </w:r>
      <w:r>
        <w:t xml:space="preserve">”</w:t>
      </w:r>
      <w:r>
        <w:t xml:space="preserve">), but must carry a notice that the claim has not been evaluated by the FDA. Disease-related promises are not permitted.</w:t>
      </w:r>
    </w:p>
    <w:p>
      <w:pPr>
        <w:numPr>
          <w:ilvl w:val="0"/>
          <w:numId w:val="1295"/>
        </w:numPr>
        <w:pStyle w:val="Compact"/>
      </w:pPr>
      <w:r>
        <w:rPr>
          <w:bCs/>
          <w:b/>
        </w:rPr>
        <w:t xml:space="preserve">Sport:</w:t>
      </w:r>
      <w:r>
        <w:t xml:space="preserve"> </w:t>
      </w:r>
      <w:r>
        <w:t xml:space="preserve">Collagen peptides are not on the WADA Prohibited List. As with all food supplements, there is a residual risk of contamination; elite athletes should look for tested lists (e.g. the Cologne List) (as of 2026, please check for updates).</w:t>
      </w:r>
    </w:p>
    <w:bookmarkEnd w:id="2360"/>
    <w:bookmarkStart w:id="2368" w:name="ongoing-studies-and-outlook-52"/>
    <w:p>
      <w:pPr>
        <w:pStyle w:val="Heading3"/>
      </w:pPr>
      <w:r>
        <w:t xml:space="preserve">Ongoing studies and outlook</w:t>
      </w:r>
    </w:p>
    <w:p>
      <w:pPr>
        <w:pStyle w:val="FirstParagraph"/>
      </w:pPr>
      <w:r>
        <w:rPr>
          <w:bCs/>
          <w:b/>
        </w:rPr>
        <w:t xml:space="preserve">Established (registered studies, as of October 2026):</w:t>
      </w:r>
    </w:p>
    <w:p>
      <w:pPr>
        <w:numPr>
          <w:ilvl w:val="0"/>
          <w:numId w:val="1296"/>
        </w:numPr>
        <w:pStyle w:val="Compact"/>
      </w:pPr>
      <w:r>
        <w:rPr>
          <w:bCs/>
          <w:b/>
        </w:rPr>
        <w:t xml:space="preserve">Knee osteoarthritis:</w:t>
      </w:r>
      <w:r>
        <w:t xml:space="preserve"> </w:t>
      </w:r>
      <w:r>
        <w:t xml:space="preserve">A study by the Istituto Ortopedico Rizzoli compares a collagen hydrolysate formulation with placebo in 204 participants</w:t>
      </w:r>
      <w:r>
        <w:rPr>
          <w:rStyle w:val="FootnoteReference"/>
        </w:rPr>
        <w:footnoteReference w:id="2361"/>
      </w:r>
      <w:r>
        <w:t xml:space="preserve">. A smaller study compares different forms of collagen</w:t>
      </w:r>
      <w:r>
        <w:rPr>
          <w:rStyle w:val="FootnoteReference"/>
        </w:rPr>
        <w:footnoteReference w:id="2362"/>
      </w:r>
      <w:r>
        <w:t xml:space="preserve">.</w:t>
      </w:r>
    </w:p>
    <w:p>
      <w:pPr>
        <w:numPr>
          <w:ilvl w:val="0"/>
          <w:numId w:val="1296"/>
        </w:numPr>
        <w:pStyle w:val="Compact"/>
      </w:pPr>
      <w:r>
        <w:rPr>
          <w:bCs/>
          <w:b/>
        </w:rPr>
        <w:t xml:space="preserve">Knee replacement:</w:t>
      </w:r>
      <w:r>
        <w:t xml:space="preserve"> </w:t>
      </w:r>
      <w:r>
        <w:t xml:space="preserve">Collagen peptides after total knee arthroplasty, endpoints connective tissue remodeling and wound healing</w:t>
      </w:r>
      <w:r>
        <w:rPr>
          <w:rStyle w:val="FootnoteReference"/>
        </w:rPr>
        <w:footnoteReference w:id="2363"/>
      </w:r>
      <w:r>
        <w:t xml:space="preserve">.</w:t>
      </w:r>
    </w:p>
    <w:p>
      <w:pPr>
        <w:numPr>
          <w:ilvl w:val="0"/>
          <w:numId w:val="1296"/>
        </w:numPr>
        <w:pStyle w:val="Compact"/>
      </w:pPr>
      <w:r>
        <w:rPr>
          <w:bCs/>
          <w:b/>
        </w:rPr>
        <w:t xml:space="preserve">Skin:</w:t>
      </w:r>
      <w:r>
        <w:t xml:space="preserve"> </w:t>
      </w:r>
      <w:r>
        <w:t xml:space="preserve">A comparison of oral and topical collagen application alone and combined, with 165 women planned</w:t>
      </w:r>
      <w:r>
        <w:rPr>
          <w:rStyle w:val="FootnoteReference"/>
        </w:rPr>
        <w:footnoteReference w:id="2364"/>
      </w:r>
      <w:r>
        <w:t xml:space="preserve">.</w:t>
      </w:r>
    </w:p>
    <w:p>
      <w:pPr>
        <w:numPr>
          <w:ilvl w:val="0"/>
          <w:numId w:val="1296"/>
        </w:numPr>
        <w:pStyle w:val="Compact"/>
      </w:pPr>
      <w:r>
        <w:rPr>
          <w:bCs/>
          <w:b/>
        </w:rPr>
        <w:t xml:space="preserve">Aging:</w:t>
      </w:r>
      <w:r>
        <w:t xml:space="preserve"> </w:t>
      </w:r>
      <w:r>
        <w:t xml:space="preserve">A study by the University of Vienna is investigating collagen peptides and markers of cellular aging in a planned 125 participants</w:t>
      </w:r>
      <w:r>
        <w:rPr>
          <w:rStyle w:val="FootnoteReference"/>
        </w:rPr>
        <w:footnoteReference w:id="2365"/>
      </w:r>
      <w:r>
        <w:t xml:space="preserve">.</w:t>
      </w:r>
    </w:p>
    <w:p>
      <w:pPr>
        <w:numPr>
          <w:ilvl w:val="0"/>
          <w:numId w:val="1296"/>
        </w:numPr>
        <w:pStyle w:val="Compact"/>
      </w:pPr>
      <w:r>
        <w:rPr>
          <w:bCs/>
          <w:b/>
        </w:rPr>
        <w:t xml:space="preserve">Metabolism:</w:t>
      </w:r>
      <w:r>
        <w:t xml:space="preserve"> </w:t>
      </w:r>
      <w:r>
        <w:t xml:space="preserve">A study at King’s College London is investigating quality of life, appetite and blood sugar control</w:t>
      </w:r>
      <w:r>
        <w:rPr>
          <w:rStyle w:val="FootnoteReference"/>
        </w:rPr>
        <w:footnoteReference w:id="2366"/>
      </w:r>
      <w:r>
        <w:t xml:space="preserve">.</w:t>
      </w:r>
    </w:p>
    <w:p>
      <w:pPr>
        <w:pStyle w:val="FirstParagraph"/>
      </w:pPr>
      <w:r>
        <w:rPr>
          <w:bCs/>
          <w:b/>
        </w:rPr>
        <w:t xml:space="preserve">Assessment:</w:t>
      </w:r>
      <w:r>
        <w:t xml:space="preserve"> </w:t>
      </w:r>
      <w:r>
        <w:t xml:space="preserve">The decisive question for the coming years is not whether there will be further small positive studies – that is to be expected – but whether large, independently funded studies with preregistered endpoints confirm the effects. The meta-analysis by funding source</w:t>
      </w:r>
      <w:r>
        <w:rPr>
          <w:rStyle w:val="FootnoteReference"/>
        </w:rPr>
        <w:footnoteReference w:id="2367"/>
      </w:r>
      <w:r>
        <w:t xml:space="preserve"> </w:t>
      </w:r>
      <w:r>
        <w:t xml:space="preserve">has made the bar for this visible. For joint pain, a small effect is the most likely to be established; for skin and tendons, the situation remains open. Approval as a medicine is not to be expected, since the products are already freely available as foods and no manufacturer would have to bear the effort of an approval program.</w:t>
      </w:r>
    </w:p>
    <w:bookmarkEnd w:id="2368"/>
    <w:bookmarkStart w:id="2369" w:name="conclusion-52"/>
    <w:p>
      <w:pPr>
        <w:pStyle w:val="Heading3"/>
      </w:pPr>
      <w:r>
        <w:t xml:space="preserve">Conclusion</w:t>
      </w:r>
    </w:p>
    <w:p>
      <w:pPr>
        <w:pStyle w:val="FirstParagraph"/>
      </w:pPr>
      <w:r>
        <w:t xml:space="preserve">Collagen peptides are a well-tolerated food product with a large but methodologically weak study base. For joint pain in osteoarthritis, meta-analyses show small effects, but individual larger studies found no difference from placebo. For skin, the benefit measured in manufacturer studies disappears when only independently funded or methodologically high-quality studies are considered. For muscle building, collagen is inferior to other protein sources; undenatured type II collagen is a separate product with its own, likewise limited, data. In the EU, collagen may not be advertised with health claims – advertising messages usually refer to added vitamin C.</w:t>
      </w:r>
    </w:p>
    <w:bookmarkEnd w:id="2369"/>
    <w:bookmarkEnd w:id="2370"/>
    <w:bookmarkStart w:id="2401" w:name="lactotripeptides-vpp-and-ipp"/>
    <w:p>
      <w:pPr>
        <w:pStyle w:val="Heading2"/>
      </w:pPr>
      <w:r>
        <w:t xml:space="preserve">Lactotripeptides (VPP and IPP)</w:t>
      </w:r>
    </w:p>
    <w:bookmarkStart w:id="2371" w:name="profile-53"/>
    <w:p>
      <w:pPr>
        <w:pStyle w:val="Heading3"/>
      </w:pPr>
      <w:r>
        <w:t xml:space="preserve">Profile</w:t>
      </w:r>
    </w:p>
    <w:p>
      <w:pPr>
        <w:numPr>
          <w:ilvl w:val="0"/>
          <w:numId w:val="1297"/>
        </w:numPr>
        <w:pStyle w:val="Compact"/>
      </w:pPr>
      <w:r>
        <w:rPr>
          <w:bCs/>
          <w:b/>
        </w:rPr>
        <w:t xml:space="preserve">Type/structure:</w:t>
      </w:r>
      <w:r>
        <w:t xml:space="preserve"> </w:t>
      </w:r>
      <w:r>
        <w:t xml:space="preserve">two tripeptides of three amino acids each: valine-proline-proline (VPP) and isoleucine-proline-proline (IPP). The double proline at the end makes them comparatively resistant to digestive enzymes.</w:t>
      </w:r>
    </w:p>
    <w:p>
      <w:pPr>
        <w:numPr>
          <w:ilvl w:val="0"/>
          <w:numId w:val="1297"/>
        </w:numPr>
        <w:pStyle w:val="Compact"/>
      </w:pPr>
      <w:r>
        <w:rPr>
          <w:bCs/>
          <w:b/>
        </w:rPr>
        <w:t xml:space="preserve">Origin:</w:t>
      </w:r>
      <w:r>
        <w:t xml:space="preserve"> </w:t>
      </w:r>
      <w:r>
        <w:t xml:space="preserve">fragments of the milk protein casein. They are formed when milk is fermented with certain bacteria (above all</w:t>
      </w:r>
      <w:r>
        <w:t xml:space="preserve"> </w:t>
      </w:r>
      <w:r>
        <w:rPr>
          <w:iCs/>
          <w:i/>
        </w:rPr>
        <w:t xml:space="preserve">Lactobacillus helveticus</w:t>
      </w:r>
      <w:r>
        <w:t xml:space="preserve">), or by enzymatic cleavage of casein with enzymes from the mold</w:t>
      </w:r>
      <w:r>
        <w:t xml:space="preserve"> </w:t>
      </w:r>
      <w:r>
        <w:rPr>
          <w:iCs/>
          <w:i/>
        </w:rPr>
        <w:t xml:space="preserve">Aspergillus oryzae</w:t>
      </w:r>
      <w:r>
        <w:t xml:space="preserve">. Well-known products were a Japanese sour milk drink (Calpis) and a Finnish dairy product (Evolus from Valio).</w:t>
      </w:r>
    </w:p>
    <w:p>
      <w:pPr>
        <w:numPr>
          <w:ilvl w:val="0"/>
          <w:numId w:val="1297"/>
        </w:numPr>
        <w:pStyle w:val="Compact"/>
      </w:pPr>
      <w:r>
        <w:rPr>
          <w:bCs/>
          <w:b/>
        </w:rPr>
        <w:t xml:space="preserve">Mechanism of action:</w:t>
      </w:r>
      <w:r>
        <w:t xml:space="preserve"> </w:t>
      </w:r>
      <w:r>
        <w:t xml:space="preserve">supposed to inhibit angiotensin-converting enzyme (ACE) – the same enzyme that blood pressure-lowering ACE inhibitors such as ramipril or enalapril block, only many times more weakly.</w:t>
      </w:r>
    </w:p>
    <w:p>
      <w:pPr>
        <w:numPr>
          <w:ilvl w:val="0"/>
          <w:numId w:val="1297"/>
        </w:numPr>
        <w:pStyle w:val="Compact"/>
      </w:pPr>
      <w:r>
        <w:rPr>
          <w:bCs/>
          <w:b/>
        </w:rPr>
        <w:t xml:space="preserve">Approval EU:</w:t>
      </w:r>
      <w:r>
        <w:t xml:space="preserve"> </w:t>
      </w:r>
      <w:r>
        <w:t xml:space="preserve">no approval as a medicine; used as a food ingredient or in food supplements. No authorized health claim regarding blood pressure.</w:t>
      </w:r>
    </w:p>
    <w:p>
      <w:pPr>
        <w:numPr>
          <w:ilvl w:val="0"/>
          <w:numId w:val="1297"/>
        </w:numPr>
        <w:pStyle w:val="Compact"/>
      </w:pPr>
      <w:r>
        <w:rPr>
          <w:bCs/>
          <w:b/>
        </w:rPr>
        <w:t xml:space="preserve">Approval USA:</w:t>
      </w:r>
      <w:r>
        <w:t xml:space="preserve"> </w:t>
      </w:r>
      <w:r>
        <w:t xml:space="preserve">no approval as a drug; available as a dietary supplement.</w:t>
      </w:r>
    </w:p>
    <w:p>
      <w:pPr>
        <w:numPr>
          <w:ilvl w:val="0"/>
          <w:numId w:val="1297"/>
        </w:numPr>
        <w:pStyle w:val="Compact"/>
      </w:pPr>
      <w:r>
        <w:rPr>
          <w:bCs/>
          <w:b/>
        </w:rPr>
        <w:t xml:space="preserve">WADA:</w:t>
      </w:r>
      <w:r>
        <w:t xml:space="preserve"> </w:t>
      </w:r>
      <w:r>
        <w:t xml:space="preserve">not listed.</w:t>
      </w:r>
    </w:p>
    <w:p>
      <w:pPr>
        <w:numPr>
          <w:ilvl w:val="0"/>
          <w:numId w:val="1297"/>
        </w:numPr>
        <w:pStyle w:val="Compact"/>
      </w:pPr>
      <w:r>
        <w:rPr>
          <w:bCs/>
          <w:b/>
        </w:rPr>
        <w:t xml:space="preserve">Evidence level:</w:t>
      </w:r>
      <w:r>
        <w:t xml:space="preserve"> </w:t>
      </w:r>
      <w:r>
        <w:rPr>
          <w:bCs/>
          <w:b/>
        </w:rPr>
        <w:t xml:space="preserve">B</w:t>
      </w:r>
      <w:r>
        <w:t xml:space="preserve"> </w:t>
      </w:r>
      <w:r>
        <w:t xml:space="preserve">– around 30 randomized studies with a total of several thousand participants, but each small, with contradictory results and without hard endpoints.</w:t>
      </w:r>
    </w:p>
    <w:bookmarkEnd w:id="2371"/>
    <w:bookmarkStart w:id="2375" w:name="how-it-is-supposed-to-work-53"/>
    <w:p>
      <w:pPr>
        <w:pStyle w:val="Heading3"/>
      </w:pPr>
      <w:r>
        <w:t xml:space="preserve">How it is supposed to work</w:t>
      </w:r>
    </w:p>
    <w:p>
      <w:pPr>
        <w:pStyle w:val="FirstParagraph"/>
      </w:pPr>
      <w:r>
        <w:t xml:space="preserve">Blood pressure is controlled, among other things, by the renin-angiotensin system. A central step is the conversion of inactive angiotensin I into vasoconstricting angiotensin II by the enzyme ACE. The same enzyme also breaks down bradykinin, a substance that dilates blood vessels. If ACE is inhibited, less angiotensin II and more bradykinin are formed – blood pressure falls. ACE inhibitors, one of the most important groups of blood pressure medications, are based on this principle. Of historical interest: the first ACE inhibitor, captopril, was developed from a peptide in snake venom.</w:t>
      </w:r>
    </w:p>
    <w:p>
      <w:pPr>
        <w:pStyle w:val="BodyText"/>
      </w:pPr>
      <w:r>
        <w:t xml:space="preserve">In the 1990s, Japanese researchers isolated two tripeptides from sour milk that inhibit ACE in the test tube. In rats with congenital high blood pressure, a single dose of the sour milk or of the isolated peptides VPP and IPP lowered systolic blood pressure for a few hours; in rats with normal blood pressure, nothing changed</w:t>
      </w:r>
      <w:r>
        <w:rPr>
          <w:rStyle w:val="FootnoteReference"/>
        </w:rPr>
        <w:footnoteReference w:id="2372"/>
      </w:r>
      <w:r>
        <w:t xml:space="preserve">. This gave rise to the idea of a</w:t>
      </w:r>
      <w:r>
        <w:t xml:space="preserve"> </w:t>
      </w:r>
      <w:r>
        <w:t xml:space="preserve">“</w:t>
      </w:r>
      <w:r>
        <w:t xml:space="preserve">blood pressure-lowering food.</w:t>
      </w:r>
      <w:r>
        <w:t xml:space="preserve">”</w:t>
      </w:r>
    </w:p>
    <w:p>
      <w:pPr>
        <w:pStyle w:val="BodyText"/>
      </w:pPr>
      <w:r>
        <w:t xml:space="preserve">For this to work, the peptides must reach the bloodstream intact. A small study showed that IPP is indeed detectable intact in the blood after drinking an enriched yogurt drink – but at concentrations in the picomole-per-liter range</w:t>
      </w:r>
      <w:r>
        <w:rPr>
          <w:rStyle w:val="FootnoteReference"/>
        </w:rPr>
        <w:footnoteReference w:id="2373"/>
      </w:r>
      <w:r>
        <w:t xml:space="preserve">. A Swiss study with twelve healthy men then tested directly whether the peptides inhibit ACE in the body: after seven days of fermented milk, markers of ACE activity and renin remained unchanged, whereas a single tablet of captopril lowered plasma ACE activity by 82%. IPP rose only briefly and slightly in the blood, and VPP was below the detection limit</w:t>
      </w:r>
      <w:r>
        <w:rPr>
          <w:rStyle w:val="FootnoteReference"/>
        </w:rPr>
        <w:footnoteReference w:id="2374"/>
      </w:r>
      <w:r>
        <w:t xml:space="preserve">.</w:t>
      </w:r>
    </w:p>
    <w:p>
      <w:pPr>
        <w:pStyle w:val="BodyText"/>
      </w:pPr>
      <w:r>
        <w:t xml:space="preserve">This means: the mechanism that is plausible in the laboratory could not be demonstrated in humans at the amounts tested. Other pathways are therefore also being discussed, such as improved function of the inner vessel wall via nitric oxide. So far, these come mainly from cell culture and animal experiments.</w:t>
      </w:r>
    </w:p>
    <w:bookmarkEnd w:id="2375"/>
    <w:bookmarkStart w:id="2387" w:name="human-studies-53"/>
    <w:p>
      <w:pPr>
        <w:pStyle w:val="Heading3"/>
      </w:pPr>
      <w:r>
        <w:t xml:space="preserve">Human studies</w:t>
      </w:r>
    </w:p>
    <w:p>
      <w:pPr>
        <w:pStyle w:val="FirstParagraph"/>
      </w:pPr>
      <w:r>
        <w:t xml:space="preserve">The PubMed search evaluated for this book (lactotripeptides or valyl-prolyl-proline, search date October 2026) yielded 21 human studies; on ClinicalTrials.gov, the search</w:t>
      </w:r>
      <w:r>
        <w:t xml:space="preserve"> </w:t>
      </w:r>
      <w:r>
        <w:t xml:space="preserve">“</w:t>
      </w:r>
      <w:r>
        <w:t xml:space="preserve">lactotripeptides</w:t>
      </w:r>
      <w:r>
        <w:t xml:space="preserve">”</w:t>
      </w:r>
      <w:r>
        <w:t xml:space="preserve"> </w:t>
      </w:r>
      <w:r>
        <w:t xml:space="preserve">found no registry entry. Most studies were conducted before registration became mandatory for nutrition studies. The meta-analyses refer to up to 30 randomized studies, including many Japanese studies that are not fully captured in the PubMed search.</w:t>
      </w:r>
    </w:p>
    <w:bookmarkStart w:id="2376" w:name="the-early-positive-studies"/>
    <w:p>
      <w:pPr>
        <w:pStyle w:val="Heading4"/>
      </w:pPr>
      <w:r>
        <w:t xml:space="preserve">The Early Positive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Hata 1996, PMID 8901799</w:t>
            </w:r>
          </w:p>
        </w:tc>
        <w:tc>
          <w:tcPr/>
          <w:p>
            <w:pPr>
              <w:pStyle w:val="Compact"/>
              <w:jc w:val="left"/>
            </w:pPr>
            <w:r>
              <w:t xml:space="preserve">30 older people with high blood pressure (mostly on medication), sour milk vs. acidified milk</w:t>
            </w:r>
          </w:p>
        </w:tc>
        <w:tc>
          <w:tcPr/>
          <w:p>
            <w:pPr>
              <w:pStyle w:val="Compact"/>
              <w:jc w:val="left"/>
            </w:pPr>
            <w:r>
              <w:t xml:space="preserve">8 weeks</w:t>
            </w:r>
          </w:p>
        </w:tc>
        <w:tc>
          <w:tcPr/>
          <w:p>
            <w:pPr>
              <w:pStyle w:val="Compact"/>
              <w:jc w:val="left"/>
            </w:pPr>
            <w:r>
              <w:t xml:space="preserve">Systolic −14.1 mmHg vs. baseline in the sour milk group; placebo unchanged</w:t>
            </w:r>
          </w:p>
        </w:tc>
      </w:tr>
      <w:tr>
        <w:tc>
          <w:tcPr/>
          <w:p>
            <w:pPr>
              <w:pStyle w:val="Compact"/>
              <w:jc w:val="left"/>
            </w:pPr>
            <w:r>
              <w:t xml:space="preserve">Seppo 2003, PMID 12540390</w:t>
            </w:r>
          </w:p>
        </w:tc>
        <w:tc>
          <w:tcPr/>
          <w:p>
            <w:pPr>
              <w:pStyle w:val="Compact"/>
              <w:jc w:val="left"/>
            </w:pPr>
            <w:r>
              <w:t xml:space="preserve">39 people with high blood pressure, fermented milk vs. control</w:t>
            </w:r>
          </w:p>
        </w:tc>
        <w:tc>
          <w:tcPr/>
          <w:p>
            <w:pPr>
              <w:pStyle w:val="Compact"/>
              <w:jc w:val="left"/>
            </w:pPr>
            <w:r>
              <w:t xml:space="preserve">21 weeks</w:t>
            </w:r>
          </w:p>
        </w:tc>
        <w:tc>
          <w:tcPr/>
          <w:p>
            <w:pPr>
              <w:pStyle w:val="Compact"/>
              <w:jc w:val="left"/>
            </w:pPr>
            <w:r>
              <w:t xml:space="preserve">Difference systolic 6.7 mmHg (p = 0.03), diastolic 3.6 mmHg (not significant)</w:t>
            </w:r>
          </w:p>
        </w:tc>
      </w:tr>
      <w:tr>
        <w:tc>
          <w:tcPr/>
          <w:p>
            <w:pPr>
              <w:pStyle w:val="Compact"/>
              <w:jc w:val="left"/>
            </w:pPr>
            <w:r>
              <w:t xml:space="preserve">Tuomilehto 2004, PMID 15175633</w:t>
            </w:r>
          </w:p>
        </w:tc>
        <w:tc>
          <w:tcPr/>
          <w:p>
            <w:pPr>
              <w:pStyle w:val="Compact"/>
              <w:jc w:val="left"/>
            </w:pPr>
            <w:r>
              <w:t xml:space="preserve">60 people with mild high blood pressure, crossover</w:t>
            </w:r>
          </w:p>
        </w:tc>
        <w:tc>
          <w:tcPr/>
          <w:p>
            <w:pPr>
              <w:pStyle w:val="Compact"/>
              <w:jc w:val="left"/>
            </w:pPr>
            <w:r>
              <w:t xml:space="preserve">2 × phases</w:t>
            </w:r>
          </w:p>
        </w:tc>
        <w:tc>
          <w:tcPr/>
          <w:p>
            <w:pPr>
              <w:pStyle w:val="Compact"/>
              <w:jc w:val="left"/>
            </w:pPr>
            <w:r>
              <w:t xml:space="preserve">Overall analysis: systolic difference 2.6 mmHg, not significant</w:t>
            </w:r>
          </w:p>
        </w:tc>
      </w:tr>
      <w:tr>
        <w:tc>
          <w:tcPr/>
          <w:p>
            <w:pPr>
              <w:pStyle w:val="Compact"/>
              <w:jc w:val="left"/>
            </w:pPr>
            <w:r>
              <w:t xml:space="preserve">Jauhiainen 2005, PMID 16364832</w:t>
            </w:r>
          </w:p>
        </w:tc>
        <w:tc>
          <w:tcPr/>
          <w:p>
            <w:pPr>
              <w:pStyle w:val="Compact"/>
              <w:jc w:val="left"/>
            </w:pPr>
            <w:r>
              <w:t xml:space="preserve">94 untreated people with high blood pressure, fermented milk vs. control, 24-hour monitoring</w:t>
            </w:r>
          </w:p>
        </w:tc>
        <w:tc>
          <w:tcPr/>
          <w:p>
            <w:pPr>
              <w:pStyle w:val="Compact"/>
              <w:jc w:val="left"/>
            </w:pPr>
            <w:r>
              <w:t xml:space="preserve">10 weeks</w:t>
            </w:r>
          </w:p>
        </w:tc>
        <w:tc>
          <w:tcPr/>
          <w:p>
            <w:pPr>
              <w:pStyle w:val="Compact"/>
              <w:jc w:val="left"/>
            </w:pPr>
            <w:r>
              <w:t xml:space="preserve">Systolic −4.1 mmHg, diastolic −1.8 mmHg vs. control</w:t>
            </w:r>
          </w:p>
        </w:tc>
      </w:tr>
    </w:tbl>
    <w:p>
      <w:pPr>
        <w:pStyle w:val="BodyText"/>
      </w:pPr>
      <w:r>
        <w:t xml:space="preserve">Hata’s early study was small, most participants were already taking blood pressure medication, and the comparison was mainly with baseline. Jauhiainen’s study is methodologically stronger because it used 24-hour blood pressure monitoring, which is less susceptible to the</w:t>
      </w:r>
      <w:r>
        <w:t xml:space="preserve"> </w:t>
      </w:r>
      <w:r>
        <w:t xml:space="preserve">“</w:t>
      </w:r>
      <w:r>
        <w:t xml:space="preserve">white coat effect</w:t>
      </w:r>
      <w:r>
        <w:t xml:space="preserve">”</w:t>
      </w:r>
      <w:r>
        <w:t xml:space="preserve"> </w:t>
      </w:r>
      <w:r>
        <w:t xml:space="preserve">at the doctor’s office.</w:t>
      </w:r>
    </w:p>
    <w:bookmarkEnd w:id="2376"/>
    <w:bookmarkStart w:id="2378" w:name="Xa10919ad6d5253298dc5818c193cb40596afbad"/>
    <w:p>
      <w:pPr>
        <w:pStyle w:val="Heading4"/>
      </w:pPr>
      <w:r>
        <w:t xml:space="preserve">The Negative Studies from the Netherlands</w:t>
      </w:r>
    </w:p>
    <w:p>
      <w:pPr>
        <w:pStyle w:val="FirstParagraph"/>
      </w:pPr>
      <w:r>
        <w:t xml:space="preserve">From 2008 onward, several larger, carefully conducted studies from European countries appeared that found no effect: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Engberink 2008, PMID 18086944</w:t>
            </w:r>
          </w:p>
        </w:tc>
        <w:tc>
          <w:tcPr/>
          <w:p>
            <w:pPr>
              <w:pStyle w:val="Compact"/>
              <w:jc w:val="left"/>
            </w:pPr>
            <w:r>
              <w:t xml:space="preserve">135 Dutch people with elevated systolic pressure, three production methods of LTP vs. placebo</w:t>
            </w:r>
          </w:p>
        </w:tc>
        <w:tc>
          <w:tcPr/>
          <w:p>
            <w:pPr>
              <w:pStyle w:val="Compact"/>
              <w:jc w:val="left"/>
            </w:pPr>
            <w:r>
              <w:t xml:space="preserve">8 weeks</w:t>
            </w:r>
          </w:p>
        </w:tc>
        <w:tc>
          <w:tcPr/>
          <w:p>
            <w:pPr>
              <w:pStyle w:val="Compact"/>
              <w:jc w:val="left"/>
            </w:pPr>
            <w:r>
              <w:t xml:space="preserve">No difference from placebo in office, home and 24-hour blood pressure, ACE activity or angiotensin II</w:t>
            </w:r>
          </w:p>
        </w:tc>
      </w:tr>
      <w:tr>
        <w:tc>
          <w:tcPr/>
          <w:p>
            <w:pPr>
              <w:pStyle w:val="Compact"/>
              <w:jc w:val="left"/>
            </w:pPr>
            <w:r>
              <w:t xml:space="preserve">van der Zander 2008, PMID 19064533</w:t>
            </w:r>
          </w:p>
        </w:tc>
        <w:tc>
          <w:tcPr/>
          <w:p>
            <w:pPr>
              <w:pStyle w:val="Compact"/>
              <w:jc w:val="left"/>
            </w:pPr>
            <w:r>
              <w:t xml:space="preserve">275 Dutch people with high blood pressure, enzymatically produced LTP in a yogurt drink vs. placebo</w:t>
            </w:r>
          </w:p>
        </w:tc>
        <w:tc>
          <w:tcPr/>
          <w:p>
            <w:pPr>
              <w:pStyle w:val="Compact"/>
              <w:jc w:val="left"/>
            </w:pPr>
            <w:r>
              <w:t xml:space="preserve">8 weeks</w:t>
            </w:r>
          </w:p>
        </w:tc>
        <w:tc>
          <w:tcPr/>
          <w:p>
            <w:pPr>
              <w:pStyle w:val="Compact"/>
              <w:jc w:val="left"/>
            </w:pPr>
            <w:r>
              <w:t xml:space="preserve">No difference systolic (p = 0.66) or diastolic (p = 0.72)</w:t>
            </w:r>
          </w:p>
        </w:tc>
      </w:tr>
      <w:tr>
        <w:tc>
          <w:tcPr/>
          <w:p>
            <w:pPr>
              <w:pStyle w:val="Compact"/>
              <w:jc w:val="left"/>
            </w:pPr>
            <w:r>
              <w:t xml:space="preserve">van Mierlo 2009, PMID 19106238</w:t>
            </w:r>
          </w:p>
        </w:tc>
        <w:tc>
          <w:tcPr/>
          <w:p>
            <w:pPr>
              <w:pStyle w:val="Compact"/>
              <w:jc w:val="left"/>
            </w:pPr>
            <w:r>
              <w:t xml:space="preserve">2 crossover studies with 69 and 93 untreated adults, 24-hour monitoring</w:t>
            </w:r>
          </w:p>
        </w:tc>
        <w:tc>
          <w:tcPr/>
          <w:p>
            <w:pPr>
              <w:pStyle w:val="Compact"/>
              <w:jc w:val="left"/>
            </w:pPr>
            <w:r>
              <w:t xml:space="preserve">4 weeks each</w:t>
            </w:r>
          </w:p>
        </w:tc>
        <w:tc>
          <w:tcPr/>
          <w:p>
            <w:pPr>
              <w:pStyle w:val="Compact"/>
              <w:jc w:val="left"/>
            </w:pPr>
            <w:r>
              <w:t xml:space="preserve">No difference in 24-hour blood pressure</w:t>
            </w:r>
          </w:p>
        </w:tc>
      </w:tr>
      <w:tr>
        <w:tc>
          <w:tcPr/>
          <w:p>
            <w:pPr>
              <w:pStyle w:val="Compact"/>
              <w:jc w:val="left"/>
            </w:pPr>
            <w:r>
              <w:t xml:space="preserve">Usinger 2010, PMID 20147968</w:t>
            </w:r>
          </w:p>
        </w:tc>
        <w:tc>
          <w:tcPr/>
          <w:p>
            <w:pPr>
              <w:pStyle w:val="Compact"/>
              <w:jc w:val="left"/>
            </w:pPr>
            <w:r>
              <w:t xml:space="preserve">94 people with high-normal or borderline blood pressure, 150 or 300 ml fermented milk vs. placebo</w:t>
            </w:r>
          </w:p>
        </w:tc>
        <w:tc>
          <w:tcPr/>
          <w:p>
            <w:pPr>
              <w:pStyle w:val="Compact"/>
              <w:jc w:val="left"/>
            </w:pPr>
            <w:r>
              <w:t xml:space="preserve">8 weeks</w:t>
            </w:r>
          </w:p>
        </w:tc>
        <w:tc>
          <w:tcPr/>
          <w:p>
            <w:pPr>
              <w:pStyle w:val="Compact"/>
              <w:jc w:val="left"/>
            </w:pPr>
            <w:r>
              <w:t xml:space="preserve">No significant difference in 24-hour blood pressure</w:t>
            </w:r>
          </w:p>
        </w:tc>
      </w:tr>
    </w:tbl>
    <w:p>
      <w:pPr>
        <w:pStyle w:val="BodyText"/>
      </w:pPr>
      <w:r>
        <w:t xml:space="preserve">What is remarkable about the Engberink study: it tested lactotripeptides from three sources – from concentrated fermented milk, enzymatically produced and chemically synthesized. None of the three variants lowered blood pressure or measurably inhibited ACE. A review summarized six such studies with 780 participants from the United Kingdom and the Netherlands and concluded that the newer data do not support a role for lactotripeptides in blood pressure regulation</w:t>
      </w:r>
      <w:r>
        <w:rPr>
          <w:rStyle w:val="FootnoteReference"/>
        </w:rPr>
        <w:footnoteReference w:id="2377"/>
      </w:r>
      <w:r>
        <w:t xml:space="preserve">.</w:t>
      </w:r>
    </w:p>
    <w:bookmarkEnd w:id="2378"/>
    <w:bookmarkStart w:id="2384" w:name="later-studies"/>
    <w:p>
      <w:pPr>
        <w:pStyle w:val="Heading4"/>
      </w:pPr>
      <w:r>
        <w:t xml:space="preserve">Later Studies</w:t>
      </w:r>
    </w:p>
    <w:p>
      <w:pPr>
        <w:pStyle w:val="FirstParagraph"/>
      </w:pPr>
      <w:r>
        <w:t xml:space="preserve">Even after 2010, the results remained mixed. In Finland, a dose of 50 mg of lactotripeptides per day lowered 24-hour blood pressure compared with baseline, but not significantly compared with placebo (−2.6 mmHg systolic); 5 mg per day had no effect</w:t>
      </w:r>
      <w:r>
        <w:rPr>
          <w:rStyle w:val="FootnoteReference"/>
        </w:rPr>
        <w:footnoteReference w:id="2379"/>
      </w:r>
      <w:r>
        <w:t xml:space="preserve">. A spread containing IPP, VPP and plant sterols lowered systolic blood pressure measured at home more than placebo (−4.1 versus −0.5 mmHg), but not the office or 24-hour value</w:t>
      </w:r>
      <w:r>
        <w:rPr>
          <w:rStyle w:val="FootnoteReference"/>
        </w:rPr>
        <w:footnoteReference w:id="2380"/>
      </w:r>
      <w:r>
        <w:t xml:space="preserve">. Italian studies reported favorable effects on office blood pressure and arterial stiffness</w:t>
      </w:r>
      <w:r>
        <w:rPr>
          <w:rStyle w:val="FootnoteReference"/>
        </w:rPr>
        <w:footnoteReference w:id="2381"/>
      </w:r>
      <w:r>
        <w:t xml:space="preserve">, one of them without an effect on 24-hour blood pressure. In the USA, in a study with 91 people with stage 1 and 2 high blood pressure, systolic daytime blood pressure fell by 3.6 mmHg, but not under placebo</w:t>
      </w:r>
      <w:r>
        <w:rPr>
          <w:rStyle w:val="FootnoteReference"/>
        </w:rPr>
        <w:footnoteReference w:id="2382"/>
      </w:r>
      <w:r>
        <w:t xml:space="preserve">.</w:t>
      </w:r>
    </w:p>
    <w:p>
      <w:pPr>
        <w:pStyle w:val="BodyText"/>
      </w:pPr>
      <w:r>
        <w:t xml:space="preserve">In addition, there are small studies on vascular function, cerebral blood flow, muscle fatigue and cognitive performance, mostly with 15 to 50 participants</w:t>
      </w:r>
      <w:r>
        <w:rPr>
          <w:rStyle w:val="FootnoteReference"/>
        </w:rPr>
        <w:footnoteReference w:id="2383"/>
      </w:r>
      <w:r>
        <w:t xml:space="preserve">. They should be read as indications, not as evidence.</w:t>
      </w:r>
    </w:p>
    <w:bookmarkEnd w:id="2384"/>
    <w:bookmarkStart w:id="2386" w:name="X0b9f0de3f4c7addf5f2586f5922f15fa8b8b84a"/>
    <w:p>
      <w:pPr>
        <w:pStyle w:val="Heading4"/>
      </w:pPr>
      <w:r>
        <w:t xml:space="preserve">Meta-Analyses: Small Effect, Strong Influence of Origin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Meta-analysis</w:t>
            </w:r>
          </w:p>
        </w:tc>
        <w:tc>
          <w:tcPr/>
          <w:p>
            <w:pPr>
              <w:pStyle w:val="Compact"/>
              <w:jc w:val="left"/>
            </w:pPr>
            <w:r>
              <w:t xml:space="preserve">Scope</w:t>
            </w:r>
          </w:p>
        </w:tc>
        <w:tc>
          <w:tcPr/>
          <w:p>
            <w:pPr>
              <w:pStyle w:val="Compact"/>
              <w:jc w:val="left"/>
            </w:pPr>
            <w:r>
              <w:t xml:space="preserve">Effect on systolic blood pressure</w:t>
            </w:r>
          </w:p>
        </w:tc>
      </w:tr>
      <w:tr>
        <w:tc>
          <w:tcPr/>
          <w:p>
            <w:pPr>
              <w:pStyle w:val="Compact"/>
              <w:jc w:val="left"/>
            </w:pPr>
            <w:r>
              <w:t xml:space="preserve">Cicero 2011, PMID 20811398</w:t>
            </w:r>
          </w:p>
        </w:tc>
        <w:tc>
          <w:tcPr/>
          <w:p>
            <w:pPr>
              <w:pStyle w:val="Compact"/>
              <w:jc w:val="left"/>
            </w:pPr>
            <w:r>
              <w:t xml:space="preserve">18 studies</w:t>
            </w:r>
          </w:p>
        </w:tc>
        <w:tc>
          <w:tcPr/>
          <w:p>
            <w:pPr>
              <w:pStyle w:val="Compact"/>
              <w:jc w:val="left"/>
            </w:pPr>
            <w:r>
              <w:t xml:space="preserve">−3.73 mmHg overall; Asia −6.93 mmHg; Europe −1.17 mmHg (not significant)</w:t>
            </w:r>
          </w:p>
        </w:tc>
      </w:tr>
      <w:tr>
        <w:tc>
          <w:tcPr/>
          <w:p>
            <w:pPr>
              <w:pStyle w:val="Compact"/>
              <w:jc w:val="left"/>
            </w:pPr>
            <w:r>
              <w:t xml:space="preserve">Turpeinen 2013, PMID 23305234</w:t>
            </w:r>
          </w:p>
        </w:tc>
        <w:tc>
          <w:tcPr/>
          <w:p>
            <w:pPr>
              <w:pStyle w:val="Compact"/>
              <w:jc w:val="left"/>
            </w:pPr>
            <w:r>
              <w:t xml:space="preserve">19 studies, approx. 1,500 people</w:t>
            </w:r>
          </w:p>
        </w:tc>
        <w:tc>
          <w:tcPr/>
          <w:p>
            <w:pPr>
              <w:pStyle w:val="Compact"/>
              <w:jc w:val="left"/>
            </w:pPr>
            <w:r>
              <w:t xml:space="preserve">−4.0 mmHg</w:t>
            </w:r>
          </w:p>
        </w:tc>
      </w:tr>
      <w:tr>
        <w:tc>
          <w:tcPr/>
          <w:p>
            <w:pPr>
              <w:pStyle w:val="Compact"/>
              <w:jc w:val="left"/>
            </w:pPr>
            <w:r>
              <w:t xml:space="preserve">Qin 2013, PMID 23566677</w:t>
            </w:r>
          </w:p>
        </w:tc>
        <w:tc>
          <w:tcPr/>
          <w:p>
            <w:pPr>
              <w:pStyle w:val="Compact"/>
              <w:jc w:val="left"/>
            </w:pPr>
            <w:r>
              <w:t xml:space="preserve">28 study arms, 1,919 people</w:t>
            </w:r>
          </w:p>
        </w:tc>
        <w:tc>
          <w:tcPr/>
          <w:p>
            <w:pPr>
              <w:pStyle w:val="Compact"/>
              <w:jc w:val="left"/>
            </w:pPr>
            <w:r>
              <w:t xml:space="preserve">−1.66 mmHg; in 24-hour blood pressure −1.30 mmHg</w:t>
            </w:r>
          </w:p>
        </w:tc>
      </w:tr>
      <w:tr>
        <w:tc>
          <w:tcPr/>
          <w:p>
            <w:pPr>
              <w:pStyle w:val="Compact"/>
              <w:jc w:val="left"/>
            </w:pPr>
            <w:r>
              <w:t xml:space="preserve">Cicero 2013, PMID 23382495</w:t>
            </w:r>
          </w:p>
        </w:tc>
        <w:tc>
          <w:tcPr/>
          <w:p>
            <w:pPr>
              <w:pStyle w:val="Compact"/>
              <w:jc w:val="left"/>
            </w:pPr>
            <w:r>
              <w:t xml:space="preserve">14 European studies, 1,306 people</w:t>
            </w:r>
          </w:p>
        </w:tc>
        <w:tc>
          <w:tcPr/>
          <w:p>
            <w:pPr>
              <w:pStyle w:val="Compact"/>
              <w:jc w:val="left"/>
            </w:pPr>
            <w:r>
              <w:t xml:space="preserve">−1.28 mmHg</w:t>
            </w:r>
          </w:p>
        </w:tc>
      </w:tr>
      <w:tr>
        <w:tc>
          <w:tcPr/>
          <w:p>
            <w:pPr>
              <w:pStyle w:val="Compact"/>
              <w:jc w:val="left"/>
            </w:pPr>
            <w:r>
              <w:t xml:space="preserve">Fekete 2015, PMID 25608938</w:t>
            </w:r>
          </w:p>
        </w:tc>
        <w:tc>
          <w:tcPr/>
          <w:p>
            <w:pPr>
              <w:pStyle w:val="Compact"/>
              <w:jc w:val="left"/>
            </w:pPr>
            <w:r>
              <w:t xml:space="preserve">30 studies</w:t>
            </w:r>
          </w:p>
        </w:tc>
        <w:tc>
          <w:tcPr/>
          <w:p>
            <w:pPr>
              <w:pStyle w:val="Compact"/>
              <w:jc w:val="left"/>
            </w:pPr>
            <w:r>
              <w:t xml:space="preserve">−2.95 mmHg; 24-hour blood pressure not significant</w:t>
            </w:r>
          </w:p>
        </w:tc>
      </w:tr>
      <w:tr>
        <w:tc>
          <w:tcPr/>
          <w:p>
            <w:pPr>
              <w:pStyle w:val="Compact"/>
              <w:jc w:val="left"/>
            </w:pPr>
            <w:r>
              <w:t xml:space="preserve">Chanson-Rolle 2015, PMID 26536628</w:t>
            </w:r>
          </w:p>
        </w:tc>
        <w:tc>
          <w:tcPr/>
          <w:p>
            <w:pPr>
              <w:pStyle w:val="Compact"/>
              <w:jc w:val="left"/>
            </w:pPr>
            <w:r>
              <w:t xml:space="preserve">18 Japanese studies, 1,194 people</w:t>
            </w:r>
          </w:p>
        </w:tc>
        <w:tc>
          <w:tcPr/>
          <w:p>
            <w:pPr>
              <w:pStyle w:val="Compact"/>
              <w:jc w:val="left"/>
            </w:pPr>
            <w:r>
              <w:t xml:space="preserve">−5.63 mmHg</w:t>
            </w:r>
          </w:p>
        </w:tc>
      </w:tr>
    </w:tbl>
    <w:p>
      <w:pPr>
        <w:pStyle w:val="BodyText"/>
      </w:pPr>
      <w:r>
        <w:t xml:space="preserve">Three patterns run through all the analyses:</w:t>
      </w:r>
    </w:p>
    <w:p>
      <w:pPr>
        <w:numPr>
          <w:ilvl w:val="0"/>
          <w:numId w:val="1298"/>
        </w:numPr>
        <w:pStyle w:val="Compact"/>
      </w:pPr>
      <w:r>
        <w:rPr>
          <w:bCs/>
          <w:b/>
        </w:rPr>
        <w:t xml:space="preserve">The effect is small.</w:t>
      </w:r>
      <w:r>
        <w:t xml:space="preserve"> </w:t>
      </w:r>
      <w:r>
        <w:t xml:space="preserve">Pooled, it is mostly between 1 and 4 mmHg systolic – considerably less than approved blood pressure medications achieve.</w:t>
      </w:r>
    </w:p>
    <w:p>
      <w:pPr>
        <w:numPr>
          <w:ilvl w:val="0"/>
          <w:numId w:val="1298"/>
        </w:numPr>
        <w:pStyle w:val="Compact"/>
      </w:pPr>
      <w:r>
        <w:rPr>
          <w:bCs/>
          <w:b/>
        </w:rPr>
        <w:t xml:space="preserve">Asian, especially Japanese, studies show considerably larger effects than European ones.</w:t>
      </w:r>
      <w:r>
        <w:t xml:space="preserve"> </w:t>
      </w:r>
      <w:r>
        <w:t xml:space="preserve">Whether this is due to genetic differences, to diet (such as higher salt intake) or to methodological differences is unclear.</w:t>
      </w:r>
    </w:p>
    <w:p>
      <w:pPr>
        <w:numPr>
          <w:ilvl w:val="0"/>
          <w:numId w:val="1298"/>
        </w:numPr>
        <w:pStyle w:val="Compact"/>
      </w:pPr>
      <w:r>
        <w:rPr>
          <w:bCs/>
          <w:b/>
        </w:rPr>
        <w:t xml:space="preserve">Indications of publication bias.</w:t>
      </w:r>
      <w:r>
        <w:t xml:space="preserve"> </w:t>
      </w:r>
      <w:r>
        <w:t xml:space="preserve">The Fekete meta-analysis found both publication bias and a</w:t>
      </w:r>
      <w:r>
        <w:t xml:space="preserve"> </w:t>
      </w:r>
      <w:r>
        <w:t xml:space="preserve">“</w:t>
      </w:r>
      <w:r>
        <w:t xml:space="preserve">small-study effect</w:t>
      </w:r>
      <w:r>
        <w:t xml:space="preserve">”</w:t>
      </w:r>
      <w:r>
        <w:t xml:space="preserve">: small studies showed larger effects. After correction, the systolic reduction shrank and the diastolic one was no longer significant. In 24-hour blood pressure – the most reliable measurement method – the effect was not significant</w:t>
      </w:r>
      <w:r>
        <w:rPr>
          <w:rStyle w:val="FootnoteReference"/>
        </w:rPr>
        <w:footnoteReference w:id="2385"/>
      </w:r>
      <w:r>
        <w:t xml:space="preserve">.</w:t>
      </w:r>
    </w:p>
    <w:p>
      <w:pPr>
        <w:pStyle w:val="FirstParagraph"/>
      </w:pPr>
      <w:r>
        <w:t xml:space="preserve">There is no study showing that lactotripeptides prevent heart attacks, strokes or deaths. Given the small effect, such a study is not to be expected either.</w:t>
      </w:r>
    </w:p>
    <w:bookmarkEnd w:id="2386"/>
    <w:bookmarkEnd w:id="2387"/>
    <w:bookmarkStart w:id="2394" w:name="animal-and-laboratory-studies-53"/>
    <w:p>
      <w:pPr>
        <w:pStyle w:val="Heading3"/>
      </w:pPr>
      <w:r>
        <w:t xml:space="preserve">Animal and laboratory studies</w:t>
      </w:r>
    </w:p>
    <w:p>
      <w:pPr>
        <w:pStyle w:val="FirstParagraph"/>
      </w:pPr>
      <w:r>
        <w:t xml:space="preserve">In rats with congenital high blood pressure (SHR rats), VPP and IPP lowered blood pressure in a dose-dependent manner; in rats with normal blood pressure, they did not</w:t>
      </w:r>
      <w:r>
        <w:rPr>
          <w:rStyle w:val="FootnoteReference"/>
        </w:rPr>
        <w:footnoteReference w:id="2388"/>
      </w:r>
      <w:r>
        <w:t xml:space="preserve">. In cell cultures, VPP and IPP stimulated the formation of nitric oxide in vascular cells at concentrations above 100 nanomoles per liter, and in isolated rat aortas they triggered vasodilation</w:t>
      </w:r>
      <w:r>
        <w:rPr>
          <w:rStyle w:val="FootnoteReference"/>
        </w:rPr>
        <w:footnoteReference w:id="2389"/>
      </w:r>
      <w:r>
        <w:t xml:space="preserve">. For comparison: in human blood, less than 1 nanomole per liter of IPP was measured after drinking an enriched beverage</w:t>
      </w:r>
      <w:r>
        <w:rPr>
          <w:rStyle w:val="FootnoteReference"/>
        </w:rPr>
        <w:footnoteReference w:id="2390"/>
      </w:r>
      <w:r>
        <w:t xml:space="preserve">. X-ray structure analyses show that both peptides preferentially bind to one of the two active sites of the ACE molecule</w:t>
      </w:r>
      <w:r>
        <w:rPr>
          <w:rStyle w:val="FootnoteReference"/>
        </w:rPr>
        <w:footnoteReference w:id="2391"/>
      </w:r>
      <w:r>
        <w:t xml:space="preserve">. In rats and rabbits, toxicity studies – including investigations of kidney development in the offspring, because ACE inhibitors can harm the unborn child during pregnancy – found no adverse effects at the highest doses tested</w:t>
      </w:r>
      <w:r>
        <w:rPr>
          <w:rStyle w:val="FootnoteReference"/>
        </w:rPr>
        <w:footnoteReference w:id="2392"/>
      </w:r>
      <w:r>
        <w:t xml:space="preserve">. A milk protein hydrolysate containing IPP was not mutagenic in genetic tests; the highest dose tested in the 90-day study in rats was about 141 times the expected maximum intake</w:t>
      </w:r>
      <w:r>
        <w:rPr>
          <w:rStyle w:val="FootnoteReference"/>
        </w:rPr>
        <w:footnoteReference w:id="2393"/>
      </w:r>
      <w:r>
        <w:t xml:space="preserve">.</w:t>
      </w:r>
    </w:p>
    <w:bookmarkEnd w:id="2394"/>
    <w:bookmarkStart w:id="2396" w:name="risks-and-side-effects-53"/>
    <w:p>
      <w:pPr>
        <w:pStyle w:val="Heading3"/>
      </w:pPr>
      <w:r>
        <w:t xml:space="preserve">Risks and side effects</w:t>
      </w:r>
    </w:p>
    <w:p>
      <w:pPr>
        <w:pStyle w:val="FirstParagraph"/>
      </w:pPr>
      <w:r>
        <w:rPr>
          <w:bCs/>
          <w:b/>
        </w:rPr>
        <w:t xml:space="preserve">Established:</w:t>
      </w:r>
      <w:r>
        <w:t xml:space="preserve"> </w:t>
      </w:r>
      <w:r>
        <w:t xml:space="preserve">In the human studies, no more side effects occurred under lactotripeptides than under placebo</w:t>
      </w:r>
      <w:r>
        <w:rPr>
          <w:rStyle w:val="FootnoteReference"/>
        </w:rPr>
        <w:footnoteReference w:id="2395"/>
      </w:r>
      <w:r>
        <w:t xml:space="preserve">. The peptides come from milk protein, which has always been eaten; the amounts in the products are in the milligram range.</w:t>
      </w:r>
    </w:p>
    <w:p>
      <w:pPr>
        <w:pStyle w:val="BodyText"/>
      </w:pPr>
      <w:r>
        <w:rPr>
          <w:bCs/>
          <w:b/>
        </w:rPr>
        <w:t xml:space="preserve">Theoretical or worth noting:</w:t>
      </w:r>
    </w:p>
    <w:p>
      <w:pPr>
        <w:numPr>
          <w:ilvl w:val="0"/>
          <w:numId w:val="1299"/>
        </w:numPr>
        <w:pStyle w:val="Compact"/>
      </w:pPr>
      <w:r>
        <w:rPr>
          <w:bCs/>
          <w:b/>
        </w:rPr>
        <w:t xml:space="preserve">Milk allergy:</w:t>
      </w:r>
      <w:r>
        <w:t xml:space="preserve"> </w:t>
      </w:r>
      <w:r>
        <w:t xml:space="preserve">Milk- or casein-based products are unsuitable for people with cow’s milk protein allergy.</w:t>
      </w:r>
    </w:p>
    <w:p>
      <w:pPr>
        <w:numPr>
          <w:ilvl w:val="0"/>
          <w:numId w:val="1299"/>
        </w:numPr>
        <w:pStyle w:val="Compact"/>
      </w:pPr>
      <w:r>
        <w:rPr>
          <w:bCs/>
          <w:b/>
        </w:rPr>
        <w:t xml:space="preserve">Combination with blood pressure medications:</w:t>
      </w:r>
      <w:r>
        <w:t xml:space="preserve"> </w:t>
      </w:r>
      <w:r>
        <w:t xml:space="preserve">A relevant enhancement is unlikely given the weak effect, but has not been systematically studied.</w:t>
      </w:r>
    </w:p>
    <w:p>
      <w:pPr>
        <w:numPr>
          <w:ilvl w:val="0"/>
          <w:numId w:val="1299"/>
        </w:numPr>
        <w:pStyle w:val="Compact"/>
      </w:pPr>
      <w:r>
        <w:rPr>
          <w:bCs/>
          <w:b/>
        </w:rPr>
        <w:t xml:space="preserve">Pregnancy:</w:t>
      </w:r>
      <w:r>
        <w:t xml:space="preserve"> </w:t>
      </w:r>
      <w:r>
        <w:t xml:space="preserve">ACE inhibitors are contraindicated in pregnancy. For lactotripeptides, no corresponding harm was found in animal experiments; human data are lacking.</w:t>
      </w:r>
    </w:p>
    <w:p>
      <w:pPr>
        <w:numPr>
          <w:ilvl w:val="0"/>
          <w:numId w:val="1299"/>
        </w:numPr>
        <w:pStyle w:val="Compact"/>
      </w:pPr>
      <w:r>
        <w:rPr>
          <w:bCs/>
          <w:b/>
        </w:rPr>
        <w:t xml:space="preserve">The most important risk:</w:t>
      </w:r>
      <w:r>
        <w:t xml:space="preserve"> </w:t>
      </w:r>
      <w:r>
        <w:t xml:space="preserve">Anyone who treats high blood pressure that requires treatment with a milk drink instead of effective measures forgoes protection against heart attack and stroke. Weight reduction, less salt, exercise and – if necessary – medication demonstrably lower blood pressure more.</w:t>
      </w:r>
    </w:p>
    <w:bookmarkEnd w:id="2396"/>
    <w:bookmarkStart w:id="2397" w:name="legal-status-53"/>
    <w:p>
      <w:pPr>
        <w:pStyle w:val="Heading3"/>
      </w:pPr>
      <w:r>
        <w:t xml:space="preserve">Legal status</w:t>
      </w:r>
    </w:p>
    <w:p>
      <w:pPr>
        <w:numPr>
          <w:ilvl w:val="0"/>
          <w:numId w:val="1300"/>
        </w:numPr>
        <w:pStyle w:val="Compact"/>
      </w:pPr>
      <w:r>
        <w:rPr>
          <w:bCs/>
          <w:b/>
        </w:rPr>
        <w:t xml:space="preserve">EU / Austria / Germany:</w:t>
      </w:r>
      <w:r>
        <w:t xml:space="preserve"> </w:t>
      </w:r>
      <w:r>
        <w:t xml:space="preserve">Lactotripeptides are food ingredients. Health claims regarding blood pressure are</w:t>
      </w:r>
      <w:r>
        <w:t xml:space="preserve"> </w:t>
      </w:r>
      <w:r>
        <w:rPr>
          <w:bCs/>
          <w:b/>
        </w:rPr>
        <w:t xml:space="preserve">not authorized</w:t>
      </w:r>
      <w:r>
        <w:t xml:space="preserve"> </w:t>
      </w:r>
      <w:r>
        <w:t xml:space="preserve">under the Health Claims Regulation (Regulation (EC) No 1924/2006). The European Food Safety Authority (EFSA) assessed applications concerning lactotripeptides and the maintenance of normal blood pressure and concluded that a cause-and-effect relationship has not been sufficiently established. Decisive factors included the contradictory European studies. Products may therefore not be advertised in the EU with</w:t>
      </w:r>
      <w:r>
        <w:t xml:space="preserve"> </w:t>
      </w:r>
      <w:r>
        <w:t xml:space="preserve">“</w:t>
      </w:r>
      <w:r>
        <w:t xml:space="preserve">lowers blood pressure</w:t>
      </w:r>
      <w:r>
        <w:t xml:space="preserve">”</w:t>
      </w:r>
      <w:r>
        <w:t xml:space="preserve"> </w:t>
      </w:r>
      <w:r>
        <w:t xml:space="preserve">or</w:t>
      </w:r>
      <w:r>
        <w:t xml:space="preserve"> </w:t>
      </w:r>
      <w:r>
        <w:t xml:space="preserve">“</w:t>
      </w:r>
      <w:r>
        <w:t xml:space="preserve">contributes to normal blood pressure.</w:t>
      </w:r>
      <w:r>
        <w:t xml:space="preserve">”</w:t>
      </w:r>
    </w:p>
    <w:p>
      <w:pPr>
        <w:numPr>
          <w:ilvl w:val="0"/>
          <w:numId w:val="1300"/>
        </w:numPr>
        <w:pStyle w:val="Compact"/>
      </w:pPr>
      <w:r>
        <w:rPr>
          <w:bCs/>
          <w:b/>
        </w:rPr>
        <w:t xml:space="preserve">Japan:</w:t>
      </w:r>
      <w:r>
        <w:t xml:space="preserve"> </w:t>
      </w:r>
      <w:r>
        <w:t xml:space="preserve">There, such beverages were marketed as</w:t>
      </w:r>
      <w:r>
        <w:t xml:space="preserve"> </w:t>
      </w:r>
      <w:r>
        <w:t xml:space="preserve">“</w:t>
      </w:r>
      <w:r>
        <w:t xml:space="preserve">Foods for Specified Health Uses</w:t>
      </w:r>
      <w:r>
        <w:t xml:space="preserve">”</w:t>
      </w:r>
      <w:r>
        <w:t xml:space="preserve"> </w:t>
      </w:r>
      <w:r>
        <w:t xml:space="preserve">(FOSHU) with an officially approved blood pressure claim. This partly explains why a large proportion of the studies come from Japan.</w:t>
      </w:r>
    </w:p>
    <w:p>
      <w:pPr>
        <w:numPr>
          <w:ilvl w:val="0"/>
          <w:numId w:val="1300"/>
        </w:numPr>
        <w:pStyle w:val="Compact"/>
      </w:pPr>
      <w:r>
        <w:rPr>
          <w:bCs/>
          <w:b/>
        </w:rPr>
        <w:t xml:space="preserve">USA:</w:t>
      </w:r>
      <w:r>
        <w:t xml:space="preserve"> </w:t>
      </w:r>
      <w:r>
        <w:t xml:space="preserve">sold as dietary supplements; disease-related claims are not permitted.</w:t>
      </w:r>
    </w:p>
    <w:p>
      <w:pPr>
        <w:numPr>
          <w:ilvl w:val="0"/>
          <w:numId w:val="1300"/>
        </w:numPr>
        <w:pStyle w:val="Compact"/>
      </w:pPr>
      <w:r>
        <w:rPr>
          <w:bCs/>
          <w:b/>
        </w:rPr>
        <w:t xml:space="preserve">Sport:</w:t>
      </w:r>
      <w:r>
        <w:t xml:space="preserve"> </w:t>
      </w:r>
      <w:r>
        <w:t xml:space="preserve">not on the WADA Prohibited List (as of 2026, please check for updates).</w:t>
      </w:r>
    </w:p>
    <w:bookmarkEnd w:id="2397"/>
    <w:bookmarkStart w:id="2399" w:name="ongoing-studies-and-outlook-53"/>
    <w:p>
      <w:pPr>
        <w:pStyle w:val="Heading3"/>
      </w:pPr>
      <w:r>
        <w:t xml:space="preserve">Ongoing studies and outlook</w:t>
      </w:r>
    </w:p>
    <w:p>
      <w:pPr>
        <w:pStyle w:val="FirstParagraph"/>
      </w:pPr>
      <w:r>
        <w:rPr>
          <w:bCs/>
          <w:b/>
        </w:rPr>
        <w:t xml:space="preserve">Established:</w:t>
      </w:r>
      <w:r>
        <w:t xml:space="preserve"> </w:t>
      </w:r>
      <w:r>
        <w:t xml:space="preserve">On ClinicalTrials.gov, no ongoing study is registered under the term</w:t>
      </w:r>
      <w:r>
        <w:t xml:space="preserve"> </w:t>
      </w:r>
      <w:r>
        <w:t xml:space="preserve">“</w:t>
      </w:r>
      <w:r>
        <w:t xml:space="preserve">lactotripeptides.</w:t>
      </w:r>
      <w:r>
        <w:t xml:space="preserve">”</w:t>
      </w:r>
      <w:r>
        <w:t xml:space="preserve"> </w:t>
      </w:r>
      <w:r>
        <w:t xml:space="preserve">Under related terms, there is a completed study on IPP and vascular function in coronary heart disease with 54 participants</w:t>
      </w:r>
      <w:r>
        <w:rPr>
          <w:rStyle w:val="FootnoteReference"/>
        </w:rPr>
        <w:footnoteReference w:id="2398"/>
      </w:r>
      <w:r>
        <w:t xml:space="preserve">. Research on lactotripeptides has declined markedly since about 2015; new work mainly examines in general why people respond differently to food peptides.</w:t>
      </w:r>
    </w:p>
    <w:p>
      <w:pPr>
        <w:pStyle w:val="BodyText"/>
      </w:pPr>
      <w:r>
        <w:rPr>
          <w:bCs/>
          <w:b/>
        </w:rPr>
        <w:t xml:space="preserve">Assessment:</w:t>
      </w:r>
      <w:r>
        <w:t xml:space="preserve"> </w:t>
      </w:r>
      <w:r>
        <w:t xml:space="preserve">Lactotripeptides are a textbook example of how a mechanism that is convincing in the laboratory and early positive studies can shrink in larger, independent investigations. A small effect on blood pressure is possible – especially in Asian study populations – but has not been convincingly demonstrated for Europe. A renaissance is not in sight.</w:t>
      </w:r>
    </w:p>
    <w:bookmarkEnd w:id="2399"/>
    <w:bookmarkStart w:id="2400" w:name="conclusion-53"/>
    <w:p>
      <w:pPr>
        <w:pStyle w:val="Heading3"/>
      </w:pPr>
      <w:r>
        <w:t xml:space="preserve">Conclusion</w:t>
      </w:r>
    </w:p>
    <w:p>
      <w:pPr>
        <w:pStyle w:val="FirstParagraph"/>
      </w:pPr>
      <w:r>
        <w:t xml:space="preserve">Lactotripeptides are two small milk peptides that inhibit the blood pressure-regulating enzyme ACE in the test tube. In early Japanese and Finnish studies they lowered blood pressure, but in several larger Dutch studies they did not, and measurable ACE inhibition could not be demonstrated in humans. Meta-analyses show a reduction in systolic blood pressure of about 1 to 4 mmHg, with indications of publication bias and a considerably smaller effect in Europe. EFSA has rejected a blood pressure claim. They are harmless, but no substitute for blood pressure treatment.</w:t>
      </w:r>
    </w:p>
    <w:bookmarkEnd w:id="2400"/>
    <w:bookmarkEnd w:id="2401"/>
    <w:bookmarkStart w:id="2452" w:name="carnosine"/>
    <w:p>
      <w:pPr>
        <w:pStyle w:val="Heading2"/>
      </w:pPr>
      <w:r>
        <w:t xml:space="preserve">Carnosine</w:t>
      </w:r>
    </w:p>
    <w:bookmarkStart w:id="2402" w:name="profile-54"/>
    <w:p>
      <w:pPr>
        <w:pStyle w:val="Heading3"/>
      </w:pPr>
      <w:r>
        <w:t xml:space="preserve">Profile</w:t>
      </w:r>
    </w:p>
    <w:p>
      <w:pPr>
        <w:numPr>
          <w:ilvl w:val="0"/>
          <w:numId w:val="1301"/>
        </w:numPr>
        <w:pStyle w:val="Compact"/>
      </w:pPr>
      <w:r>
        <w:rPr>
          <w:bCs/>
          <w:b/>
        </w:rPr>
        <w:t xml:space="preserve">Type/structure:</w:t>
      </w:r>
      <w:r>
        <w:t xml:space="preserve"> </w:t>
      </w:r>
      <w:r>
        <w:t xml:space="preserve">dipeptide of the amino acids beta-alanine and histidine (β-alanyl-L-histidine). Related substances are anserine (in poultry and fish) and homocarnosine (in the brain); together they are called histidine-containing dipeptides.</w:t>
      </w:r>
    </w:p>
    <w:p>
      <w:pPr>
        <w:numPr>
          <w:ilvl w:val="0"/>
          <w:numId w:val="1301"/>
        </w:numPr>
        <w:pStyle w:val="Compact"/>
      </w:pPr>
      <w:r>
        <w:rPr>
          <w:bCs/>
          <w:b/>
        </w:rPr>
        <w:t xml:space="preserve">Origin:</w:t>
      </w:r>
      <w:r>
        <w:t xml:space="preserve"> </w:t>
      </w:r>
      <w:r>
        <w:t xml:space="preserve">produced by the body, in high concentration in skeletal muscle, and also in the heart and brain. Carnosine is taken in with food mainly via meat and fish; plant foods contain practically none. For food supplements, it is produced synthetically.</w:t>
      </w:r>
    </w:p>
    <w:p>
      <w:pPr>
        <w:numPr>
          <w:ilvl w:val="0"/>
          <w:numId w:val="1301"/>
        </w:numPr>
        <w:pStyle w:val="Compact"/>
      </w:pPr>
      <w:r>
        <w:rPr>
          <w:bCs/>
          <w:b/>
        </w:rPr>
        <w:t xml:space="preserve">Mechanism of action:</w:t>
      </w:r>
      <w:r>
        <w:t xml:space="preserve"> </w:t>
      </w:r>
      <w:r>
        <w:t xml:space="preserve">buffer against acidification in muscle; in the laboratory, also scavenging of reactive breakdown products of sugars and fats (anti-glycation) and antioxidant activity.</w:t>
      </w:r>
    </w:p>
    <w:p>
      <w:pPr>
        <w:numPr>
          <w:ilvl w:val="0"/>
          <w:numId w:val="1301"/>
        </w:numPr>
        <w:pStyle w:val="Compact"/>
      </w:pPr>
      <w:r>
        <w:rPr>
          <w:bCs/>
          <w:b/>
        </w:rPr>
        <w:t xml:space="preserve">Related substances:</w:t>
      </w:r>
      <w:r>
        <w:t xml:space="preserve"> </w:t>
      </w:r>
      <w:r>
        <w:t xml:space="preserve">beta-alanine (the precursor, a widespread sports supplement); zinc carnosine (polaprezinc, a medicine for stomach ulcers in Japan); N-acetylcarnosine (in eye drops).</w:t>
      </w:r>
    </w:p>
    <w:p>
      <w:pPr>
        <w:numPr>
          <w:ilvl w:val="0"/>
          <w:numId w:val="1301"/>
        </w:numPr>
        <w:pStyle w:val="Compact"/>
      </w:pPr>
      <w:r>
        <w:rPr>
          <w:bCs/>
          <w:b/>
        </w:rPr>
        <w:t xml:space="preserve">Approval EU:</w:t>
      </w:r>
      <w:r>
        <w:t xml:space="preserve"> </w:t>
      </w:r>
      <w:r>
        <w:t xml:space="preserve">no approval as a medicine for carnosine; sold as a food supplement. No authorized health claim.</w:t>
      </w:r>
    </w:p>
    <w:p>
      <w:pPr>
        <w:numPr>
          <w:ilvl w:val="0"/>
          <w:numId w:val="1301"/>
        </w:numPr>
        <w:pStyle w:val="Compact"/>
      </w:pPr>
      <w:r>
        <w:rPr>
          <w:bCs/>
          <w:b/>
        </w:rPr>
        <w:t xml:space="preserve">Approval USA:</w:t>
      </w:r>
      <w:r>
        <w:t xml:space="preserve"> </w:t>
      </w:r>
      <w:r>
        <w:t xml:space="preserve">no approval as a drug; available as a dietary supplement.</w:t>
      </w:r>
    </w:p>
    <w:p>
      <w:pPr>
        <w:numPr>
          <w:ilvl w:val="0"/>
          <w:numId w:val="1301"/>
        </w:numPr>
        <w:pStyle w:val="Compact"/>
      </w:pPr>
      <w:r>
        <w:rPr>
          <w:bCs/>
          <w:b/>
        </w:rPr>
        <w:t xml:space="preserve">WADA:</w:t>
      </w:r>
      <w:r>
        <w:t xml:space="preserve"> </w:t>
      </w:r>
      <w:r>
        <w:t xml:space="preserve">carnosine and beta-alanine are not listed.</w:t>
      </w:r>
    </w:p>
    <w:p>
      <w:pPr>
        <w:numPr>
          <w:ilvl w:val="0"/>
          <w:numId w:val="1301"/>
        </w:numPr>
        <w:pStyle w:val="Compact"/>
      </w:pPr>
      <w:r>
        <w:rPr>
          <w:bCs/>
          <w:b/>
        </w:rPr>
        <w:t xml:space="preserve">Evidence level:</w:t>
      </w:r>
      <w:r>
        <w:t xml:space="preserve"> </w:t>
      </w:r>
      <w:r>
        <w:rPr>
          <w:bCs/>
          <w:b/>
        </w:rPr>
        <w:t xml:space="preserve">B</w:t>
      </w:r>
      <w:r>
        <w:t xml:space="preserve"> </w:t>
      </w:r>
      <w:r>
        <w:t xml:space="preserve">– several small randomized studies, one larger study with just under 300 participants; many results inconsistent.</w:t>
      </w:r>
    </w:p>
    <w:bookmarkEnd w:id="2402"/>
    <w:bookmarkStart w:id="2411" w:name="how-it-is-supposed-to-work-54"/>
    <w:p>
      <w:pPr>
        <w:pStyle w:val="Heading3"/>
      </w:pPr>
      <w:r>
        <w:t xml:space="preserve">How it is supposed to work</w:t>
      </w:r>
    </w:p>
    <w:p>
      <w:pPr>
        <w:pStyle w:val="FirstParagraph"/>
      </w:pPr>
      <w:r>
        <w:t xml:space="preserve">During short, very intense exertion – a 400-meter run or a rowing race – the muscle produces more acid than it can remove. The acidity rises and muscle performance declines. Carnosine is one of the buffers in muscle that neutralize this acid. In 18 elite Belgian rowers, the carnosine content of the calf muscles was closely related to speed over 100 to 6,000 meters</w:t>
      </w:r>
      <w:r>
        <w:rPr>
          <w:rStyle w:val="FootnoteReference"/>
        </w:rPr>
        <w:footnoteReference w:id="2403"/>
      </w:r>
      <w:r>
        <w:t xml:space="preserve">.</w:t>
      </w:r>
    </w:p>
    <w:p>
      <w:pPr>
        <w:pStyle w:val="BodyText"/>
      </w:pPr>
      <w:r>
        <w:t xml:space="preserve">In addition, carnosine has further properties in the laboratory: it scavenges reactive molecules that arise with high blood sugar or during the breakdown of fats and can damage proteins (so-called glycation and lipid peroxidation). From this come the hypotheses that carnosine could be beneficial in diabetes, vascular and kidney damage, brain aging or skin aging.</w:t>
      </w:r>
    </w:p>
    <w:bookmarkStart w:id="2406" w:name="the-absorption-problem-carnosinase"/>
    <w:p>
      <w:pPr>
        <w:pStyle w:val="Heading4"/>
      </w:pPr>
      <w:r>
        <w:t xml:space="preserve">The Absorption Problem: Carnosinase</w:t>
      </w:r>
    </w:p>
    <w:p>
      <w:pPr>
        <w:pStyle w:val="FirstParagraph"/>
      </w:pPr>
      <w:r>
        <w:t xml:space="preserve">Human blood contains a very active enzyme, serum carnosinase (CN1), which rapidly splits carnosine into beta-alanine and histidine. Rodents have practically none of this enzyme in their blood – an important reason why results from animal experiments are only partly transferable. As early as 1991, a study showed that part of the swallowed carnosine is absorbed unchanged from the gut (up to 14% was found in the urine), but was only detectable in the blood if carnosinase was blocked in the sample tube. The amount in the urine varied greatly and was lower the more active the person’s carnosinase was</w:t>
      </w:r>
      <w:r>
        <w:rPr>
          <w:rStyle w:val="FootnoteReference"/>
        </w:rPr>
        <w:footnoteReference w:id="2404"/>
      </w:r>
      <w:r>
        <w:t xml:space="preserve">.</w:t>
      </w:r>
    </w:p>
    <w:p>
      <w:pPr>
        <w:pStyle w:val="BodyText"/>
      </w:pPr>
      <w:r>
        <w:t xml:space="preserve">In the largest study to date, with 2 g of carnosine per day, carnosine levels in red blood cells roughly doubled after 6 and 12 weeks, and in the urine rose about sevenfold</w:t>
      </w:r>
      <w:r>
        <w:rPr>
          <w:rStyle w:val="FootnoteReference"/>
        </w:rPr>
        <w:footnoteReference w:id="2405"/>
      </w:r>
      <w:r>
        <w:t xml:space="preserve">. So carnosine does reach the body – but how much of it gets into muscle, brain or kidney is largely unknown.</w:t>
      </w:r>
    </w:p>
    <w:bookmarkEnd w:id="2406"/>
    <w:bookmarkStart w:id="2410" w:name="X808a9267d7d2132b3e25376cc1cb9fe120aae2f"/>
    <w:p>
      <w:pPr>
        <w:pStyle w:val="Heading4"/>
      </w:pPr>
      <w:r>
        <w:t xml:space="preserve">Beta-Alanine: the Detour via the Precursor</w:t>
      </w:r>
    </w:p>
    <w:p>
      <w:pPr>
        <w:pStyle w:val="FirstParagraph"/>
      </w:pPr>
      <w:r>
        <w:t xml:space="preserve">For muscle, a different route has become established. The body builds carnosine itself in the muscle cell from beta-alanine and histidine; beta-alanine is the limiting building block. Taking beta-alanine markedly increases the carnosine content in muscle. In an early study, four weeks of beta-alanine increased muscle carnosine content by an estimated 42 to 64%; isomolar amounts of carnosine had a similar effect</w:t>
      </w:r>
      <w:r>
        <w:rPr>
          <w:rStyle w:val="FootnoteReference"/>
        </w:rPr>
        <w:footnoteReference w:id="2407"/>
      </w:r>
      <w:r>
        <w:t xml:space="preserve">. After stopping, it took 12 to 16 weeks for the level to return to baseline</w:t>
      </w:r>
      <w:r>
        <w:rPr>
          <w:rStyle w:val="FootnoteReference"/>
        </w:rPr>
        <w:footnoteReference w:id="2408"/>
      </w:r>
      <w:r>
        <w:t xml:space="preserve">. Practically everyone responds to beta-alanine</w:t>
      </w:r>
      <w:r>
        <w:rPr>
          <w:rStyle w:val="FootnoteReference"/>
        </w:rPr>
        <w:footnoteReference w:id="2409"/>
      </w:r>
      <w:r>
        <w:t xml:space="preserve">.</w:t>
      </w:r>
    </w:p>
    <w:p>
      <w:pPr>
        <w:pStyle w:val="BodyText"/>
      </w:pPr>
      <w:r>
        <w:t xml:space="preserve">Beta-alanine is not a peptide but a single amino acid. It is covered only briefly here because it raises muscle carnosine content more reliably than carnosine itself and therefore plays by far the larger role in sport.</w:t>
      </w:r>
    </w:p>
    <w:bookmarkEnd w:id="2410"/>
    <w:bookmarkEnd w:id="2411"/>
    <w:bookmarkStart w:id="2439" w:name="human-studies-54"/>
    <w:p>
      <w:pPr>
        <w:pStyle w:val="Heading3"/>
      </w:pPr>
      <w:r>
        <w:t xml:space="preserve">Human studies</w:t>
      </w:r>
    </w:p>
    <w:p>
      <w:pPr>
        <w:pStyle w:val="FirstParagraph"/>
      </w:pPr>
      <w:r>
        <w:t xml:space="preserve">The PubMed search evaluated for this book (carnosine in the title, combined with supplementation or oral administration, search date October 2026) yielded 57 human studies; ClinicalTrials.gov lists 53 registry entries. Some of these actually concern beta-alanine or zinc carnosine. The studies are spread across many small fields of application.</w:t>
      </w:r>
    </w:p>
    <w:bookmarkStart w:id="2416" w:name="sport-and-physical-performance"/>
    <w:p>
      <w:pPr>
        <w:pStyle w:val="Heading4"/>
      </w:pPr>
      <w:r>
        <w:t xml:space="preserve">Sport and Physical Performance</w:t>
      </w:r>
    </w:p>
    <w:p>
      <w:pPr>
        <w:pStyle w:val="FirstParagraph"/>
      </w:pPr>
      <w:r>
        <w:t xml:space="preserve">In athletes, the evidence for</w:t>
      </w:r>
      <w:r>
        <w:t xml:space="preserve"> </w:t>
      </w:r>
      <w:r>
        <w:rPr>
          <w:bCs/>
          <w:b/>
        </w:rPr>
        <w:t xml:space="preserve">beta-alanine</w:t>
      </w:r>
      <w:r>
        <w:t xml:space="preserve"> </w:t>
      </w:r>
      <w:r>
        <w:t xml:space="preserve">is considerably better than for carnosine. A meta-analysis of 40 double-blind, placebo-controlled studies with 1,461 participants found a small overall effect (effect size 0.18). It was most pronounced for exercise lasting 0.5 to 10 minutes and for tests of exercise capacity to exhaustion, and less so for competitive performance</w:t>
      </w:r>
      <w:r>
        <w:rPr>
          <w:rStyle w:val="FootnoteReference"/>
        </w:rPr>
        <w:footnoteReference w:id="2412"/>
      </w:r>
      <w:r>
        <w:t xml:space="preserve">. An example: in 15 sprinters, beta-alanine increased the carnosine content in calf muscles by 37 to 47% and attenuated fatigue during repeated strength sets, but did not improve 400-meter time</w:t>
      </w:r>
      <w:r>
        <w:rPr>
          <w:rStyle w:val="FootnoteReference"/>
        </w:rPr>
        <w:footnoteReference w:id="2413"/>
      </w:r>
      <w:r>
        <w:t xml:space="preserve">. Even a doubling of muscle carnosine did not improve one-hour time in cyclists</w:t>
      </w:r>
      <w:r>
        <w:rPr>
          <w:rStyle w:val="FootnoteReference"/>
        </w:rPr>
        <w:footnoteReference w:id="2414"/>
      </w:r>
      <w:r>
        <w:t xml:space="preserve"> </w:t>
      </w:r>
      <w:r>
        <w:t xml:space="preserve">– which is logical, since acid buffering plays a smaller role in endurance exercise.</w:t>
      </w:r>
    </w:p>
    <w:p>
      <w:pPr>
        <w:pStyle w:val="BodyText"/>
      </w:pPr>
      <w:r>
        <w:t xml:space="preserve">For</w:t>
      </w:r>
      <w:r>
        <w:t xml:space="preserve"> </w:t>
      </w:r>
      <w:r>
        <w:rPr>
          <w:bCs/>
          <w:b/>
        </w:rPr>
        <w:t xml:space="preserve">carnosine itself</w:t>
      </w:r>
      <w:r>
        <w:t xml:space="preserve">, there are only a few performance studies. In the NEAT study (Nucleophilic Defense Against PM Toxicity, NCT03314987), 299 adults received 2 g of carnosine or placebo for twelve weeks. There were no differences in grip strength, walking speed and most tests; significant improvements were seen only in individual subgroups (certain age and sex groups) in calf raises and the step test</w:t>
      </w:r>
      <w:r>
        <w:rPr>
          <w:rStyle w:val="FootnoteReference"/>
        </w:rPr>
        <w:footnoteReference w:id="2415"/>
      </w:r>
      <w:r>
        <w:t xml:space="preserve">. Such subgroup findings are prone to chance results and need to be confirmed.</w:t>
      </w:r>
    </w:p>
    <w:bookmarkEnd w:id="2416"/>
    <w:bookmarkStart w:id="2420" w:name="diabetes-and-metabolism"/>
    <w:p>
      <w:pPr>
        <w:pStyle w:val="Heading4"/>
      </w:pPr>
      <w:r>
        <w:t xml:space="preserve">Diabetes and Metabolism</w:t>
      </w:r>
    </w:p>
    <w:p>
      <w:pPr>
        <w:pStyle w:val="FirstParagraph"/>
      </w:pPr>
      <w:r>
        <w:t xml:space="preserve">This is the most intensively studied medical field: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de Courten 2016, PMID 27040154</w:t>
            </w:r>
          </w:p>
        </w:tc>
        <w:tc>
          <w:tcPr/>
          <w:p>
            <w:pPr>
              <w:pStyle w:val="Compact"/>
              <w:jc w:val="left"/>
            </w:pPr>
            <w:r>
              <w:t xml:space="preserve">30 adults with overweight without diabetes, 2 g vs. placebo</w:t>
            </w:r>
          </w:p>
        </w:tc>
        <w:tc>
          <w:tcPr/>
          <w:p>
            <w:pPr>
              <w:pStyle w:val="Compact"/>
              <w:jc w:val="left"/>
            </w:pPr>
            <w:r>
              <w:t xml:space="preserve">12 weeks</w:t>
            </w:r>
          </w:p>
        </w:tc>
        <w:tc>
          <w:tcPr/>
          <w:p>
            <w:pPr>
              <w:pStyle w:val="Compact"/>
              <w:jc w:val="left"/>
            </w:pPr>
            <w:r>
              <w:t xml:space="preserve">Rise in fasting insulin and insulin resistance slowed under carnosine (pilot study)</w:t>
            </w:r>
          </w:p>
        </w:tc>
      </w:tr>
      <w:tr>
        <w:tc>
          <w:tcPr/>
          <w:p>
            <w:pPr>
              <w:pStyle w:val="Compact"/>
              <w:jc w:val="left"/>
            </w:pPr>
            <w:r>
              <w:t xml:space="preserve">Houjeghani 2018, PMID 29420997</w:t>
            </w:r>
          </w:p>
        </w:tc>
        <w:tc>
          <w:tcPr/>
          <w:p>
            <w:pPr>
              <w:pStyle w:val="Compact"/>
              <w:jc w:val="left"/>
            </w:pPr>
            <w:r>
              <w:t xml:space="preserve">54 people with type 2 diabetes, 1 g vs. placebo</w:t>
            </w:r>
          </w:p>
        </w:tc>
        <w:tc>
          <w:tcPr/>
          <w:p>
            <w:pPr>
              <w:pStyle w:val="Compact"/>
              <w:jc w:val="left"/>
            </w:pPr>
            <w:r>
              <w:t xml:space="preserve">12 weeks</w:t>
            </w:r>
          </w:p>
        </w:tc>
        <w:tc>
          <w:tcPr/>
          <w:p>
            <w:pPr>
              <w:pStyle w:val="Compact"/>
              <w:jc w:val="left"/>
            </w:pPr>
            <w:r>
              <w:t xml:space="preserve">Fasting glucose −13.1 mg/dl, HbA1c −0.6 percentage points vs. placebo</w:t>
            </w:r>
          </w:p>
        </w:tc>
      </w:tr>
      <w:tr>
        <w:tc>
          <w:tcPr/>
          <w:p>
            <w:pPr>
              <w:pStyle w:val="Compact"/>
              <w:jc w:val="left"/>
            </w:pPr>
            <w:r>
              <w:t xml:space="preserve">Hariharan 2024, PMID 38172006</w:t>
            </w:r>
          </w:p>
        </w:tc>
        <w:tc>
          <w:tcPr/>
          <w:p>
            <w:pPr>
              <w:pStyle w:val="Compact"/>
              <w:jc w:val="left"/>
            </w:pPr>
            <w:r>
              <w:t xml:space="preserve">43 adults with prediabetes or type 2 diabetes, 2 g vs. placebo</w:t>
            </w:r>
          </w:p>
        </w:tc>
        <w:tc>
          <w:tcPr/>
          <w:p>
            <w:pPr>
              <w:pStyle w:val="Compact"/>
              <w:jc w:val="left"/>
            </w:pPr>
            <w:r>
              <w:t xml:space="preserve">14 weeks</w:t>
            </w:r>
          </w:p>
        </w:tc>
        <w:tc>
          <w:tcPr/>
          <w:p>
            <w:pPr>
              <w:pStyle w:val="Compact"/>
              <w:jc w:val="left"/>
            </w:pPr>
            <w:r>
              <w:t xml:space="preserve">Lower blood glucose 90 and 120 minutes after glucose load; insulin unchanged</w:t>
            </w:r>
          </w:p>
        </w:tc>
      </w:tr>
      <w:tr>
        <w:tc>
          <w:tcPr/>
          <w:p>
            <w:pPr>
              <w:pStyle w:val="Compact"/>
              <w:jc w:val="left"/>
            </w:pPr>
            <w:r>
              <w:t xml:space="preserve">Saadati 2023, PMID 38004228</w:t>
            </w:r>
          </w:p>
        </w:tc>
        <w:tc>
          <w:tcPr/>
          <w:p>
            <w:pPr>
              <w:pStyle w:val="Compact"/>
              <w:jc w:val="left"/>
            </w:pPr>
            <w:r>
              <w:t xml:space="preserve">49 adults with prediabetes or well-controlled type 2 diabetes, 2 g vs. placebo</w:t>
            </w:r>
          </w:p>
        </w:tc>
        <w:tc>
          <w:tcPr/>
          <w:p>
            <w:pPr>
              <w:pStyle w:val="Compact"/>
              <w:jc w:val="left"/>
            </w:pPr>
            <w:r>
              <w:t xml:space="preserve">14 weeks</w:t>
            </w:r>
          </w:p>
        </w:tc>
        <w:tc>
          <w:tcPr/>
          <w:p>
            <w:pPr>
              <w:pStyle w:val="Compact"/>
              <w:jc w:val="left"/>
            </w:pPr>
            <w:r>
              <w:t xml:space="preserve">No effect on vascular function, arterial stiffness, blood lipids, blood pressure, liver and kidney values</w:t>
            </w:r>
          </w:p>
        </w:tc>
      </w:tr>
      <w:tr>
        <w:tc>
          <w:tcPr/>
          <w:p>
            <w:pPr>
              <w:pStyle w:val="Compact"/>
              <w:jc w:val="left"/>
            </w:pPr>
            <w:r>
              <w:t xml:space="preserve">Elbarbary 2018, PMID 28744992</w:t>
            </w:r>
          </w:p>
        </w:tc>
        <w:tc>
          <w:tcPr/>
          <w:p>
            <w:pPr>
              <w:pStyle w:val="Compact"/>
              <w:jc w:val="left"/>
            </w:pPr>
            <w:r>
              <w:t xml:space="preserve">90 children and adolescents with type 1 diabetes and kidney damage, 1 g vs. placebo</w:t>
            </w:r>
          </w:p>
        </w:tc>
        <w:tc>
          <w:tcPr/>
          <w:p>
            <w:pPr>
              <w:pStyle w:val="Compact"/>
              <w:jc w:val="left"/>
            </w:pPr>
            <w:r>
              <w:t xml:space="preserve">12 weeks</w:t>
            </w:r>
          </w:p>
        </w:tc>
        <w:tc>
          <w:tcPr/>
          <w:p>
            <w:pPr>
              <w:pStyle w:val="Compact"/>
              <w:jc w:val="left"/>
            </w:pPr>
            <w:r>
              <w:t xml:space="preserve">Urinary albumin, HbA1c and oxidation markers improved</w:t>
            </w:r>
          </w:p>
        </w:tc>
      </w:tr>
    </w:tbl>
    <w:p>
      <w:pPr>
        <w:pStyle w:val="BodyText"/>
      </w:pPr>
      <w:r>
        <w:t xml:space="preserve">Several meta-analyses summarize these studies. An analysis of four studies with 184 participants found a reduction in HbA1c of 0.92 percentage points, but no effect on fasting glucose, insulin resistance or blood lipids</w:t>
      </w:r>
      <w:r>
        <w:rPr>
          <w:rStyle w:val="FootnoteReference"/>
        </w:rPr>
        <w:footnoteReference w:id="2417"/>
      </w:r>
      <w:r>
        <w:t xml:space="preserve">. A Bayesian meta-analysis that considered carnosine and beta-alanine together estimated an HbA1c reduction of 0.91 percentage points in humans – based on only four human studies</w:t>
      </w:r>
      <w:r>
        <w:rPr>
          <w:rStyle w:val="FootnoteReference"/>
        </w:rPr>
        <w:footnoteReference w:id="2418"/>
      </w:r>
      <w:r>
        <w:t xml:space="preserve">. A more recent meta-analysis with eight studies and 377 participants with prediabetes or type 2 diabetes found improvements in fasting glucose and HbA1c, but not in insulin or body weight</w:t>
      </w:r>
      <w:r>
        <w:rPr>
          <w:rStyle w:val="FootnoteReference"/>
        </w:rPr>
        <w:footnoteReference w:id="2419"/>
      </w:r>
      <w:r>
        <w:t xml:space="preserve">.</w:t>
      </w:r>
    </w:p>
    <w:p>
      <w:pPr>
        <w:pStyle w:val="BodyText"/>
      </w:pPr>
      <w:r>
        <w:t xml:space="preserve">The effects look considerable on paper but rest on a very narrow basis: few, small, short studies, often from single centers, with partly contradictory results (compare the similarly designed 14-week studies by Hariharan 2024 and Saadati 2023, one of which found favorable effects on blood glucose, while the other found no effects on blood vessels and metabolic values). Whether carnosine prevents long-term complications of diabetes has never been studied.</w:t>
      </w:r>
    </w:p>
    <w:bookmarkEnd w:id="2420"/>
    <w:bookmarkStart w:id="2422" w:name="inflammation-and-oxidative-stress"/>
    <w:p>
      <w:pPr>
        <w:pStyle w:val="Heading4"/>
      </w:pPr>
      <w:r>
        <w:t xml:space="preserve">Inflammation and Oxidative Stress</w:t>
      </w:r>
    </w:p>
    <w:p>
      <w:pPr>
        <w:pStyle w:val="FirstParagraph"/>
      </w:pPr>
      <w:r>
        <w:t xml:space="preserve">A meta-analysis of nine studies with 350 participants found lower levels of the inflammatory marker CRP and the oxidation marker malondialdehyde under carnosine or histidine-containing dipeptides, but no change in several other markers</w:t>
      </w:r>
      <w:r>
        <w:rPr>
          <w:rStyle w:val="FootnoteReference"/>
        </w:rPr>
        <w:footnoteReference w:id="2421"/>
      </w:r>
      <w:r>
        <w:t xml:space="preserve">. Laboratory values, however, are surrogate parameters – whether they are associated with a health benefit is open.</w:t>
      </w:r>
    </w:p>
    <w:bookmarkEnd w:id="2422"/>
    <w:bookmarkStart w:id="2430" w:name="brain-memory-and-mental-health"/>
    <w:p>
      <w:pPr>
        <w:pStyle w:val="Heading4"/>
      </w:pPr>
      <w:r>
        <w:t xml:space="preserve">Brain, Memory and Mental Health</w:t>
      </w:r>
    </w:p>
    <w:p>
      <w:pPr>
        <w:numPr>
          <w:ilvl w:val="0"/>
          <w:numId w:val="1302"/>
        </w:numPr>
        <w:pStyle w:val="Compact"/>
      </w:pPr>
      <w:r>
        <w:rPr>
          <w:bCs/>
          <w:b/>
        </w:rPr>
        <w:t xml:space="preserve">Older people:</w:t>
      </w:r>
      <w:r>
        <w:t xml:space="preserve"> </w:t>
      </w:r>
      <w:r>
        <w:t xml:space="preserve">In Japanese studies by one research group, older people received a mixture of anserine and carnosine (3:1). In 39 healthy older people, delayed recall of verbal content was better preserved than under placebo</w:t>
      </w:r>
      <w:r>
        <w:rPr>
          <w:rStyle w:val="FootnoteReference"/>
        </w:rPr>
        <w:footnoteReference w:id="2423"/>
      </w:r>
      <w:r>
        <w:t xml:space="preserve">. In 54 people with mild cognitive impairment, a global dementia severity rating was more favorable under the mixture; most other tests did not differ</w:t>
      </w:r>
      <w:r>
        <w:rPr>
          <w:rStyle w:val="FootnoteReference"/>
        </w:rPr>
        <w:footnoteReference w:id="2424"/>
      </w:r>
      <w:r>
        <w:t xml:space="preserve">.</w:t>
      </w:r>
    </w:p>
    <w:p>
      <w:pPr>
        <w:numPr>
          <w:ilvl w:val="0"/>
          <w:numId w:val="1302"/>
        </w:numPr>
        <w:pStyle w:val="Compact"/>
      </w:pPr>
      <w:r>
        <w:rPr>
          <w:bCs/>
          <w:b/>
        </w:rPr>
        <w:t xml:space="preserve">Younger adults:</w:t>
      </w:r>
      <w:r>
        <w:t xml:space="preserve"> </w:t>
      </w:r>
      <w:r>
        <w:t xml:space="preserve">In a post hoc analysis of the NEAT study, speed and efficiency in cognitive tests improved only in the youngest age group (23–35 years)</w:t>
      </w:r>
      <w:r>
        <w:rPr>
          <w:rStyle w:val="FootnoteReference"/>
        </w:rPr>
        <w:footnoteReference w:id="2425"/>
      </w:r>
      <w:r>
        <w:t xml:space="preserve">.</w:t>
      </w:r>
    </w:p>
    <w:p>
      <w:pPr>
        <w:numPr>
          <w:ilvl w:val="0"/>
          <w:numId w:val="1302"/>
        </w:numPr>
        <w:pStyle w:val="Compact"/>
      </w:pPr>
      <w:r>
        <w:rPr>
          <w:bCs/>
          <w:b/>
        </w:rPr>
        <w:t xml:space="preserve">Summary:</w:t>
      </w:r>
      <w:r>
        <w:t xml:space="preserve"> </w:t>
      </w:r>
      <w:r>
        <w:t xml:space="preserve">A 2026 meta-analysis included 13 studies. Most cognitive tests showed no difference from placebo; favorable pooled effects were based in part on three studies by the same research group. The authors rate the strength of evidence as low</w:t>
      </w:r>
      <w:r>
        <w:rPr>
          <w:rStyle w:val="FootnoteReference"/>
        </w:rPr>
        <w:footnoteReference w:id="2426"/>
      </w:r>
      <w:r>
        <w:t xml:space="preserve">. Another meta-analysis found a reduction in depression scores (moderate certainty), but emphasizes small studies with a moderate to high risk of bias</w:t>
      </w:r>
      <w:r>
        <w:rPr>
          <w:rStyle w:val="FootnoteReference"/>
        </w:rPr>
        <w:footnoteReference w:id="2427"/>
      </w:r>
      <w:r>
        <w:t xml:space="preserve">.</w:t>
      </w:r>
    </w:p>
    <w:p>
      <w:pPr>
        <w:numPr>
          <w:ilvl w:val="0"/>
          <w:numId w:val="1302"/>
        </w:numPr>
        <w:pStyle w:val="Compact"/>
      </w:pPr>
      <w:r>
        <w:rPr>
          <w:bCs/>
          <w:b/>
        </w:rPr>
        <w:t xml:space="preserve">Autism:</w:t>
      </w:r>
      <w:r>
        <w:t xml:space="preserve"> </w:t>
      </w:r>
      <w:r>
        <w:t xml:space="preserve">An early study with 31 children reported improvements on a behavior scale</w:t>
      </w:r>
      <w:r>
        <w:rPr>
          <w:rStyle w:val="FootnoteReference"/>
        </w:rPr>
        <w:footnoteReference w:id="2428"/>
      </w:r>
      <w:r>
        <w:t xml:space="preserve">. A later randomized study with 63 evaluable children, by contrast, found no difference on any endpoint</w:t>
      </w:r>
      <w:r>
        <w:rPr>
          <w:rStyle w:val="FootnoteReference"/>
        </w:rPr>
        <w:footnoteReference w:id="2429"/>
      </w:r>
      <w:r>
        <w:t xml:space="preserve">.</w:t>
      </w:r>
    </w:p>
    <w:bookmarkEnd w:id="2430"/>
    <w:bookmarkStart w:id="2435" w:name="other-applications"/>
    <w:p>
      <w:pPr>
        <w:pStyle w:val="Heading4"/>
      </w:pPr>
      <w:r>
        <w:t xml:space="preserve">Other Applications</w:t>
      </w:r>
    </w:p>
    <w:p>
      <w:pPr>
        <w:numPr>
          <w:ilvl w:val="0"/>
          <w:numId w:val="1303"/>
        </w:numPr>
        <w:pStyle w:val="Compact"/>
      </w:pPr>
      <w:r>
        <w:rPr>
          <w:bCs/>
          <w:b/>
        </w:rPr>
        <w:t xml:space="preserve">Chemotherapy-induced nerve damage:</w:t>
      </w:r>
      <w:r>
        <w:t xml:space="preserve"> </w:t>
      </w:r>
      <w:r>
        <w:t xml:space="preserve">In a randomized pilot study with 65 patients with colorectal cancer, grade 2 nerve damage occurred less frequently under oxaliplatin chemotherapy plus carnosine (1 of 30 versus 19 of 31 without carnosine)</w:t>
      </w:r>
      <w:r>
        <w:rPr>
          <w:rStyle w:val="FootnoteReference"/>
        </w:rPr>
        <w:footnoteReference w:id="2431"/>
      </w:r>
      <w:r>
        <w:t xml:space="preserve">. The study was not blinded and had no placebo; confirmation is pending.</w:t>
      </w:r>
    </w:p>
    <w:p>
      <w:pPr>
        <w:numPr>
          <w:ilvl w:val="0"/>
          <w:numId w:val="1303"/>
        </w:numPr>
        <w:pStyle w:val="Compact"/>
      </w:pPr>
      <w:r>
        <w:rPr>
          <w:bCs/>
          <w:b/>
        </w:rPr>
        <w:t xml:space="preserve">Heart failure:</w:t>
      </w:r>
      <w:r>
        <w:t xml:space="preserve"> </w:t>
      </w:r>
      <w:r>
        <w:t xml:space="preserve">In 50 patients with severe heart failure, walking distance, maximal oxygen uptake and quality of life improved under carnosine compared with standard treatment</w:t>
      </w:r>
      <w:r>
        <w:rPr>
          <w:rStyle w:val="FootnoteReference"/>
        </w:rPr>
        <w:footnoteReference w:id="2432"/>
      </w:r>
      <w:r>
        <w:t xml:space="preserve"> </w:t>
      </w:r>
      <w:r>
        <w:t xml:space="preserve">– likewise without placebo.</w:t>
      </w:r>
    </w:p>
    <w:p>
      <w:pPr>
        <w:numPr>
          <w:ilvl w:val="0"/>
          <w:numId w:val="1303"/>
        </w:numPr>
        <w:pStyle w:val="Compact"/>
      </w:pPr>
      <w:r>
        <w:rPr>
          <w:bCs/>
          <w:b/>
        </w:rPr>
        <w:t xml:space="preserve">Gulf War illness:</w:t>
      </w:r>
      <w:r>
        <w:t xml:space="preserve"> </w:t>
      </w:r>
      <w:r>
        <w:t xml:space="preserve">In a small study with 25 veterans, one cognitive test improved; fatigue and pain remained unchanged</w:t>
      </w:r>
      <w:r>
        <w:rPr>
          <w:rStyle w:val="FootnoteReference"/>
        </w:rPr>
        <w:footnoteReference w:id="2433"/>
      </w:r>
      <w:r>
        <w:t xml:space="preserve">.</w:t>
      </w:r>
    </w:p>
    <w:p>
      <w:pPr>
        <w:numPr>
          <w:ilvl w:val="0"/>
          <w:numId w:val="1303"/>
        </w:numPr>
        <w:pStyle w:val="Compact"/>
      </w:pPr>
      <w:r>
        <w:rPr>
          <w:bCs/>
          <w:b/>
        </w:rPr>
        <w:t xml:space="preserve">Skin:</w:t>
      </w:r>
      <w:r>
        <w:t xml:space="preserve"> </w:t>
      </w:r>
      <w:r>
        <w:t xml:space="preserve">A study with a</w:t>
      </w:r>
      <w:r>
        <w:t xml:space="preserve"> </w:t>
      </w:r>
      <w:r>
        <w:t xml:space="preserve">“</w:t>
      </w:r>
      <w:r>
        <w:t xml:space="preserve">non-hydrolyzable</w:t>
      </w:r>
      <w:r>
        <w:t xml:space="preserve">”</w:t>
      </w:r>
      <w:r>
        <w:t xml:space="preserve"> </w:t>
      </w:r>
      <w:r>
        <w:t xml:space="preserve">carnosine preparation reported skin improvements; it comes from the inventor of the patented formulation and mixes laboratory experiments with a clinical trial</w:t>
      </w:r>
      <w:r>
        <w:rPr>
          <w:rStyle w:val="FootnoteReference"/>
        </w:rPr>
        <w:footnoteReference w:id="2434"/>
      </w:r>
      <w:r>
        <w:t xml:space="preserve">.</w:t>
      </w:r>
    </w:p>
    <w:bookmarkEnd w:id="2435"/>
    <w:bookmarkStart w:id="2438" w:name="Xa8819bf73d50a743c8efb96860ccfef6ec103b6"/>
    <w:p>
      <w:pPr>
        <w:pStyle w:val="Heading4"/>
      </w:pPr>
      <w:r>
        <w:t xml:space="preserve">Related Substances: Zinc Carnosine and N-Acetylcarnosine</w:t>
      </w:r>
    </w:p>
    <w:p>
      <w:pPr>
        <w:pStyle w:val="FirstParagraph"/>
      </w:pPr>
      <w:r>
        <w:rPr>
          <w:bCs/>
          <w:b/>
        </w:rPr>
        <w:t xml:space="preserve">Zinc carnosine (polaprezinc)</w:t>
      </w:r>
      <w:r>
        <w:t xml:space="preserve"> </w:t>
      </w:r>
      <w:r>
        <w:t xml:space="preserve">is a compound of zinc and carnosine used in Japan as a medicine for stomach ulcers. In a multicenter study with 224 patients, it was similarly effective after eight weeks as the comparator drug rebamipide (81.5% versus 74.3% healing rate, difference not significant)</w:t>
      </w:r>
      <w:r>
        <w:rPr>
          <w:rStyle w:val="FootnoteReference"/>
        </w:rPr>
        <w:footnoteReference w:id="2436"/>
      </w:r>
      <w:r>
        <w:t xml:space="preserve">. This effect is probably closely tied to the zinc and cannot be transferred to pure carnosine.</w:t>
      </w:r>
    </w:p>
    <w:p>
      <w:pPr>
        <w:pStyle w:val="BodyText"/>
      </w:pPr>
      <w:r>
        <w:rPr>
          <w:bCs/>
          <w:b/>
        </w:rPr>
        <w:t xml:space="preserve">N-acetylcarnosine eye drops</w:t>
      </w:r>
      <w:r>
        <w:t xml:space="preserve"> </w:t>
      </w:r>
      <w:r>
        <w:t xml:space="preserve">are promoted on the internet against cataracts. A Cochrane review found only two possible studies with 114 participants whose methodology could not be traced and concluded that there is no convincing evidence that the drops reverse cataracts or prevent their progression</w:t>
      </w:r>
      <w:r>
        <w:rPr>
          <w:rStyle w:val="FootnoteReference"/>
        </w:rPr>
        <w:footnoteReference w:id="2437"/>
      </w:r>
      <w:r>
        <w:t xml:space="preserve">. The only effective treatment remains surgery.</w:t>
      </w:r>
    </w:p>
    <w:bookmarkEnd w:id="2438"/>
    <w:bookmarkEnd w:id="2439"/>
    <w:bookmarkStart w:id="2442" w:name="animal-and-laboratory-studies-54"/>
    <w:p>
      <w:pPr>
        <w:pStyle w:val="Heading3"/>
      </w:pPr>
      <w:r>
        <w:t xml:space="preserve">Animal and laboratory studies</w:t>
      </w:r>
    </w:p>
    <w:p>
      <w:pPr>
        <w:pStyle w:val="FirstParagraph"/>
      </w:pPr>
      <w:r>
        <w:t xml:space="preserve">In cell cultures and in rodents, carnosine acts as an antioxidant, inhibits protein glycation and binds reactive aldehydes. In mice and rats, it improved blood glucose, diabetic kidney damage, wound healing and vascular function in many experiments. The Matthews 2021 meta-analysis included 16 rodent studies in addition to four human studies and rated the certainty of the animal data as very low</w:t>
      </w:r>
      <w:r>
        <w:rPr>
          <w:rStyle w:val="FootnoteReference"/>
        </w:rPr>
        <w:footnoteReference w:id="2440"/>
      </w:r>
      <w:r>
        <w:t xml:space="preserve">.</w:t>
      </w:r>
    </w:p>
    <w:p>
      <w:pPr>
        <w:pStyle w:val="BodyText"/>
      </w:pPr>
      <w:r>
        <w:t xml:space="preserve">A fundamental transfer problem remains: rodents have practically no carnosinase in their blood. In mice genetically engineered to carry the human enzyme, diabetes and kidney damage were more severe</w:t>
      </w:r>
      <w:r>
        <w:rPr>
          <w:rStyle w:val="FootnoteReference"/>
        </w:rPr>
        <w:footnoteReference w:id="2441"/>
      </w:r>
      <w:r>
        <w:t xml:space="preserve">. This suggests that in humans the enzyme could considerably limit the effect of supplemented carnosine.</w:t>
      </w:r>
    </w:p>
    <w:bookmarkEnd w:id="2442"/>
    <w:bookmarkStart w:id="2445" w:name="risks-and-side-effects-54"/>
    <w:p>
      <w:pPr>
        <w:pStyle w:val="Heading3"/>
      </w:pPr>
      <w:r>
        <w:t xml:space="preserve">Risks and side effects</w:t>
      </w:r>
    </w:p>
    <w:p>
      <w:pPr>
        <w:pStyle w:val="FirstParagraph"/>
      </w:pPr>
      <w:r>
        <w:rPr>
          <w:bCs/>
          <w:b/>
        </w:rPr>
        <w:t xml:space="preserve">Established:</w:t>
      </w:r>
      <w:r>
        <w:t xml:space="preserve"> </w:t>
      </w:r>
      <w:r>
        <w:t xml:space="preserve">In the studies so far – with daily amounts of up to 2 g for up to 14 weeks – no relevant side effects were reported. In the NEAT study with just under 300 participants, there were no changes in kidney, liver or heart function or blood electrolytes</w:t>
      </w:r>
      <w:r>
        <w:rPr>
          <w:rStyle w:val="FootnoteReference"/>
        </w:rPr>
        <w:footnoteReference w:id="2443"/>
      </w:r>
      <w:r>
        <w:t xml:space="preserve">.</w:t>
      </w:r>
    </w:p>
    <w:p>
      <w:pPr>
        <w:pStyle w:val="BodyText"/>
      </w:pPr>
      <w:r>
        <w:rPr>
          <w:bCs/>
          <w:b/>
        </w:rPr>
        <w:t xml:space="preserve">Beta-alanine:</w:t>
      </w:r>
      <w:r>
        <w:t xml:space="preserve"> </w:t>
      </w:r>
      <w:r>
        <w:t xml:space="preserve">The only regularly reported side effect is a harmless but unpleasant tingling of the skin (paresthesia), usually on the face and hands, shortly after intake. A risk assessment based on 101 human studies estimated the odds of this to be about nine times higher under beta-alanine than under placebo (odds ratio 8.9); discontinuation rates did not differ, and a slight rise in one liver value remained within the normal range</w:t>
      </w:r>
      <w:r>
        <w:rPr>
          <w:rStyle w:val="FootnoteReference"/>
        </w:rPr>
        <w:footnoteReference w:id="2444"/>
      </w:r>
      <w:r>
        <w:t xml:space="preserve">.</w:t>
      </w:r>
    </w:p>
    <w:p>
      <w:pPr>
        <w:pStyle w:val="BodyText"/>
      </w:pPr>
      <w:r>
        <w:rPr>
          <w:bCs/>
          <w:b/>
        </w:rPr>
        <w:t xml:space="preserve">Theoretical or unclear:</w:t>
      </w:r>
    </w:p>
    <w:p>
      <w:pPr>
        <w:numPr>
          <w:ilvl w:val="0"/>
          <w:numId w:val="1304"/>
        </w:numPr>
        <w:pStyle w:val="Compact"/>
      </w:pPr>
      <w:r>
        <w:t xml:space="preserve">Long-term data covering more than one year are lacking.</w:t>
      </w:r>
    </w:p>
    <w:p>
      <w:pPr>
        <w:numPr>
          <w:ilvl w:val="0"/>
          <w:numId w:val="1304"/>
        </w:numPr>
        <w:pStyle w:val="Compact"/>
      </w:pPr>
      <w:r>
        <w:t xml:space="preserve">There are no safety data for pregnancy, breastfeeding and children (apart from the small studies mentioned).</w:t>
      </w:r>
    </w:p>
    <w:p>
      <w:pPr>
        <w:numPr>
          <w:ilvl w:val="0"/>
          <w:numId w:val="1304"/>
        </w:numPr>
        <w:pStyle w:val="Compact"/>
      </w:pPr>
      <w:r>
        <w:t xml:space="preserve">With diabetes medications, an enhancement of blood glucose lowering is conceivable but not established; blood glucose monitoring and consultation with a doctor are advisable.</w:t>
      </w:r>
    </w:p>
    <w:p>
      <w:pPr>
        <w:numPr>
          <w:ilvl w:val="0"/>
          <w:numId w:val="1304"/>
        </w:numPr>
        <w:pStyle w:val="Compact"/>
      </w:pPr>
      <w:r>
        <w:t xml:space="preserve">As with all food supplements, quality depends on the manufacturer.</w:t>
      </w:r>
    </w:p>
    <w:bookmarkEnd w:id="2445"/>
    <w:bookmarkStart w:id="2446" w:name="legal-status-54"/>
    <w:p>
      <w:pPr>
        <w:pStyle w:val="Heading3"/>
      </w:pPr>
      <w:r>
        <w:t xml:space="preserve">Legal status</w:t>
      </w:r>
    </w:p>
    <w:p>
      <w:pPr>
        <w:numPr>
          <w:ilvl w:val="0"/>
          <w:numId w:val="1305"/>
        </w:numPr>
        <w:pStyle w:val="Compact"/>
      </w:pPr>
      <w:r>
        <w:rPr>
          <w:bCs/>
          <w:b/>
        </w:rPr>
        <w:t xml:space="preserve">EU / Austria / Germany:</w:t>
      </w:r>
      <w:r>
        <w:t xml:space="preserve"> </w:t>
      </w:r>
      <w:r>
        <w:t xml:space="preserve">Carnosine is sold as a food supplement. There is no authorized health claim for carnosine under the Health Claims Regulation (Regulation (EC) No 1924/2006); advertising claims such as</w:t>
      </w:r>
      <w:r>
        <w:t xml:space="preserve"> </w:t>
      </w:r>
      <w:r>
        <w:t xml:space="preserve">“</w:t>
      </w:r>
      <w:r>
        <w:t xml:space="preserve">anti-aging</w:t>
      </w:r>
      <w:r>
        <w:t xml:space="preserve">”</w:t>
      </w:r>
      <w:r>
        <w:t xml:space="preserve"> </w:t>
      </w:r>
      <w:r>
        <w:t xml:space="preserve">or</w:t>
      </w:r>
      <w:r>
        <w:t xml:space="preserve"> </w:t>
      </w:r>
      <w:r>
        <w:t xml:space="preserve">“</w:t>
      </w:r>
      <w:r>
        <w:t xml:space="preserve">protects cells</w:t>
      </w:r>
      <w:r>
        <w:t xml:space="preserve">”</w:t>
      </w:r>
      <w:r>
        <w:t xml:space="preserve"> </w:t>
      </w:r>
      <w:r>
        <w:t xml:space="preserve">are therefore not permitted. Whether individual preparations are to be classified as novel foods may vary from product to product – please check for updates. Zinc carnosine is not approved as a medicine in the EU; N-acetylcarnosine eye drops have no approval as a medicine for cataracts.</w:t>
      </w:r>
    </w:p>
    <w:p>
      <w:pPr>
        <w:numPr>
          <w:ilvl w:val="0"/>
          <w:numId w:val="1305"/>
        </w:numPr>
        <w:pStyle w:val="Compact"/>
      </w:pPr>
      <w:r>
        <w:rPr>
          <w:bCs/>
          <w:b/>
        </w:rPr>
        <w:t xml:space="preserve">USA:</w:t>
      </w:r>
      <w:r>
        <w:t xml:space="preserve"> </w:t>
      </w:r>
      <w:r>
        <w:t xml:space="preserve">available as a dietary supplement, without approval as a drug.</w:t>
      </w:r>
    </w:p>
    <w:p>
      <w:pPr>
        <w:numPr>
          <w:ilvl w:val="0"/>
          <w:numId w:val="1305"/>
        </w:numPr>
        <w:pStyle w:val="Compact"/>
      </w:pPr>
      <w:r>
        <w:rPr>
          <w:bCs/>
          <w:b/>
        </w:rPr>
        <w:t xml:space="preserve">Japan:</w:t>
      </w:r>
      <w:r>
        <w:t xml:space="preserve"> </w:t>
      </w:r>
      <w:r>
        <w:t xml:space="preserve">Polaprezinc (zinc carnosine) is an approved stomach medicine.</w:t>
      </w:r>
    </w:p>
    <w:p>
      <w:pPr>
        <w:numPr>
          <w:ilvl w:val="0"/>
          <w:numId w:val="1305"/>
        </w:numPr>
        <w:pStyle w:val="Compact"/>
      </w:pPr>
      <w:r>
        <w:rPr>
          <w:bCs/>
          <w:b/>
        </w:rPr>
        <w:t xml:space="preserve">Sport:</w:t>
      </w:r>
      <w:r>
        <w:t xml:space="preserve"> </w:t>
      </w:r>
      <w:r>
        <w:t xml:space="preserve">Neither carnosine nor beta-alanine is on the WADA Prohibited List (as of 2026, please check for updates).</w:t>
      </w:r>
    </w:p>
    <w:bookmarkEnd w:id="2446"/>
    <w:bookmarkStart w:id="2450" w:name="ongoing-studies-and-outlook-54"/>
    <w:p>
      <w:pPr>
        <w:pStyle w:val="Heading3"/>
      </w:pPr>
      <w:r>
        <w:t xml:space="preserve">Ongoing studies and outlook</w:t>
      </w:r>
    </w:p>
    <w:p>
      <w:pPr>
        <w:pStyle w:val="FirstParagraph"/>
      </w:pPr>
      <w:r>
        <w:rPr>
          <w:bCs/>
          <w:b/>
        </w:rPr>
        <w:t xml:space="preserve">Established (registered studies, as of October 2026):</w:t>
      </w:r>
    </w:p>
    <w:p>
      <w:pPr>
        <w:numPr>
          <w:ilvl w:val="0"/>
          <w:numId w:val="1306"/>
        </w:numPr>
        <w:pStyle w:val="Compact"/>
      </w:pPr>
      <w:r>
        <w:rPr>
          <w:bCs/>
          <w:b/>
        </w:rPr>
        <w:t xml:space="preserve">Peripheral artery disease:</w:t>
      </w:r>
      <w:r>
        <w:t xml:space="preserve"> </w:t>
      </w:r>
      <w:r>
        <w:t xml:space="preserve">A phase 1/2 trial with a planned 144 participants is investigating carnosine in circulatory disorders of the legs</w:t>
      </w:r>
      <w:r>
        <w:rPr>
          <w:rStyle w:val="FootnoteReference"/>
        </w:rPr>
        <w:footnoteReference w:id="2447"/>
      </w:r>
      <w:r>
        <w:t xml:space="preserve">; earlier smaller studies on the same topic have been completed or are listed with unknown status.</w:t>
      </w:r>
    </w:p>
    <w:p>
      <w:pPr>
        <w:numPr>
          <w:ilvl w:val="0"/>
          <w:numId w:val="1306"/>
        </w:numPr>
        <w:pStyle w:val="Compact"/>
      </w:pPr>
      <w:r>
        <w:rPr>
          <w:bCs/>
          <w:b/>
        </w:rPr>
        <w:t xml:space="preserve">Gerotherapy:</w:t>
      </w:r>
      <w:r>
        <w:t xml:space="preserve"> </w:t>
      </w:r>
      <w:r>
        <w:t xml:space="preserve">A small phase 3 trial with 30 participants is testing combinations of substances to improve healthy lifespan, including carnosine</w:t>
      </w:r>
      <w:r>
        <w:rPr>
          <w:rStyle w:val="FootnoteReference"/>
        </w:rPr>
        <w:footnoteReference w:id="2448"/>
      </w:r>
      <w:r>
        <w:t xml:space="preserve">.</w:t>
      </w:r>
    </w:p>
    <w:p>
      <w:pPr>
        <w:numPr>
          <w:ilvl w:val="0"/>
          <w:numId w:val="1306"/>
        </w:numPr>
        <w:pStyle w:val="Compact"/>
      </w:pPr>
      <w:r>
        <w:t xml:space="preserve">The NEAT study</w:t>
      </w:r>
      <w:r>
        <w:rPr>
          <w:rStyle w:val="FootnoteReference"/>
        </w:rPr>
        <w:footnoteReference w:id="2449"/>
      </w:r>
      <w:r>
        <w:t xml:space="preserve"> </w:t>
      </w:r>
      <w:r>
        <w:t xml:space="preserve">has been completed; further analyses on blood vessels and air pollution are possible.</w:t>
      </w:r>
    </w:p>
    <w:p>
      <w:pPr>
        <w:pStyle w:val="FirstParagraph"/>
      </w:pPr>
      <w:r>
        <w:rPr>
          <w:bCs/>
          <w:b/>
        </w:rPr>
        <w:t xml:space="preserve">Assessment:</w:t>
      </w:r>
      <w:r>
        <w:t xml:space="preserve"> </w:t>
      </w:r>
      <w:r>
        <w:t xml:space="preserve">Carnosine is biologically interesting, but the human studies are small and inconsistent. For sport, the precursor beta-alanine is the better-supported route. For diabetes and brain aging, larger, longer studies with clinical endpoints would be needed. One research approach is carnosinase-resistant derivatives that are not immediately broken down in the blood – but they are still at the laboratory stage.</w:t>
      </w:r>
    </w:p>
    <w:bookmarkEnd w:id="2450"/>
    <w:bookmarkStart w:id="2451" w:name="conclusion-54"/>
    <w:p>
      <w:pPr>
        <w:pStyle w:val="Heading3"/>
      </w:pPr>
      <w:r>
        <w:t xml:space="preserve">Conclusion</w:t>
      </w:r>
    </w:p>
    <w:p>
      <w:pPr>
        <w:pStyle w:val="FirstParagraph"/>
      </w:pPr>
      <w:r>
        <w:t xml:space="preserve">Carnosine is a dipeptide produced by the body that buffers acid in muscle and in the laboratory protects cells from breakdown products of sugars and fats. In humans, it is rapidly broken down in the blood by the enzyme carnosinase, which is why animal results are only partly transferable. Small studies and meta-analyses suggest a slight improvement in long-term blood glucose in diabetes and effects on inflammatory markers; for performance, memory and skin aging, the data are weak or contradictory. For athletic performance, the precursor beta-alanine has been better studied and is associated with small advantages during short, intense exertion. Carnosine is considered well tolerated in the amounts studied.</w:t>
      </w:r>
    </w:p>
    <w:bookmarkEnd w:id="2451"/>
    <w:bookmarkEnd w:id="2452"/>
    <w:bookmarkStart w:id="2480" w:name="ghk-cu-copper-peptide"/>
    <w:p>
      <w:pPr>
        <w:pStyle w:val="Heading2"/>
      </w:pPr>
      <w:r>
        <w:t xml:space="preserve">GHK-Cu (Copper Peptide)</w:t>
      </w:r>
    </w:p>
    <w:bookmarkStart w:id="2454" w:name="profile-55"/>
    <w:p>
      <w:pPr>
        <w:pStyle w:val="Heading3"/>
      </w:pPr>
      <w:r>
        <w:t xml:space="preserve">Profile</w:t>
      </w:r>
    </w:p>
    <w:p>
      <w:pPr>
        <w:numPr>
          <w:ilvl w:val="0"/>
          <w:numId w:val="1307"/>
        </w:numPr>
        <w:pStyle w:val="Compact"/>
      </w:pPr>
      <w:r>
        <w:rPr>
          <w:bCs/>
          <w:b/>
        </w:rPr>
        <w:t xml:space="preserve">Type/structure:</w:t>
      </w:r>
      <w:r>
        <w:t xml:space="preserve"> </w:t>
      </w:r>
      <w:r>
        <w:t xml:space="preserve">tripeptide of glycine, histidine and lysine (Gly-His-Lys, GHK for short) that tightly binds a copper ion. In cosmetic ingredient lists it is usually called</w:t>
      </w:r>
      <w:r>
        <w:t xml:space="preserve"> </w:t>
      </w:r>
      <w:r>
        <w:rPr>
          <w:iCs/>
          <w:i/>
        </w:rPr>
        <w:t xml:space="preserve">Copper Tripeptide-1</w:t>
      </w:r>
      <w:r>
        <w:t xml:space="preserve">. A related form without copper but with a fatty acid residue is palmitoyl tripeptide-1 (Pal-GHK), a component of</w:t>
      </w:r>
      <w:r>
        <w:t xml:space="preserve"> </w:t>
      </w:r>
      <w:r>
        <w:t xml:space="preserve">“</w:t>
      </w:r>
      <w:r>
        <w:t xml:space="preserve">Matrixyl 3000.</w:t>
      </w:r>
      <w:r>
        <w:t xml:space="preserve">”</w:t>
      </w:r>
    </w:p>
    <w:p>
      <w:pPr>
        <w:numPr>
          <w:ilvl w:val="0"/>
          <w:numId w:val="1307"/>
        </w:numPr>
        <w:pStyle w:val="Compact"/>
      </w:pPr>
      <w:r>
        <w:rPr>
          <w:bCs/>
          <w:b/>
        </w:rPr>
        <w:t xml:space="preserve">Origin:</w:t>
      </w:r>
      <w:r>
        <w:t xml:space="preserve"> </w:t>
      </w:r>
      <w:r>
        <w:t xml:space="preserve">produced by the body. GHK was discovered in human blood plasma in the 1970s</w:t>
      </w:r>
      <w:r>
        <w:rPr>
          <w:rStyle w:val="FootnoteReference"/>
        </w:rPr>
        <w:footnoteReference w:id="2453"/>
      </w:r>
      <w:r>
        <w:t xml:space="preserve"> </w:t>
      </w:r>
      <w:r>
        <w:t xml:space="preserve">and also occurs in saliva and urine. The GHK sequence is part of collagen and could be released during its breakdown. For products, it is produced synthetically.</w:t>
      </w:r>
    </w:p>
    <w:p>
      <w:pPr>
        <w:numPr>
          <w:ilvl w:val="0"/>
          <w:numId w:val="1307"/>
        </w:numPr>
        <w:pStyle w:val="Compact"/>
      </w:pPr>
      <w:r>
        <w:rPr>
          <w:bCs/>
          <w:b/>
        </w:rPr>
        <w:t xml:space="preserve">Mechanism of action:</w:t>
      </w:r>
      <w:r>
        <w:t xml:space="preserve"> </w:t>
      </w:r>
      <w:r>
        <w:t xml:space="preserve">supposed to stimulate wound healing and connective tissue remodeling, among other things by transporting copper into cells and stimulating collagen production.</w:t>
      </w:r>
    </w:p>
    <w:p>
      <w:pPr>
        <w:numPr>
          <w:ilvl w:val="0"/>
          <w:numId w:val="1307"/>
        </w:numPr>
        <w:pStyle w:val="Compact"/>
      </w:pPr>
      <w:r>
        <w:rPr>
          <w:bCs/>
          <w:b/>
        </w:rPr>
        <w:t xml:space="preserve">Use:</w:t>
      </w:r>
      <w:r>
        <w:t xml:space="preserve"> </w:t>
      </w:r>
      <w:r>
        <w:t xml:space="preserve">permitted as an ingredient in cosmetics (creams, serums, hair care). In addition, offered on the gray market as a</w:t>
      </w:r>
      <w:r>
        <w:t xml:space="preserve"> </w:t>
      </w:r>
      <w:r>
        <w:t xml:space="preserve">“</w:t>
      </w:r>
      <w:r>
        <w:t xml:space="preserve">research peptide</w:t>
      </w:r>
      <w:r>
        <w:t xml:space="preserve">”</w:t>
      </w:r>
      <w:r>
        <w:t xml:space="preserve"> </w:t>
      </w:r>
      <w:r>
        <w:t xml:space="preserve">for injection.</w:t>
      </w:r>
    </w:p>
    <w:p>
      <w:pPr>
        <w:numPr>
          <w:ilvl w:val="0"/>
          <w:numId w:val="1307"/>
        </w:numPr>
        <w:pStyle w:val="Compact"/>
      </w:pPr>
      <w:r>
        <w:rPr>
          <w:bCs/>
          <w:b/>
        </w:rPr>
        <w:t xml:space="preserve">Approval EU:</w:t>
      </w:r>
      <w:r>
        <w:t xml:space="preserve"> </w:t>
      </w:r>
      <w:r>
        <w:t xml:space="preserve">no approval as a medicine. Usable as a cosmetic ingredient.</w:t>
      </w:r>
    </w:p>
    <w:p>
      <w:pPr>
        <w:numPr>
          <w:ilvl w:val="0"/>
          <w:numId w:val="1307"/>
        </w:numPr>
        <w:pStyle w:val="Compact"/>
      </w:pPr>
      <w:r>
        <w:rPr>
          <w:bCs/>
          <w:b/>
        </w:rPr>
        <w:t xml:space="preserve">Approval USA:</w:t>
      </w:r>
      <w:r>
        <w:t xml:space="preserve"> </w:t>
      </w:r>
      <w:r>
        <w:t xml:space="preserve">no approval as a drug; sold as a cosmetic ingredient. There are restrictions on the preparation of injectable formulations in pharmacies (see Legal Status).</w:t>
      </w:r>
    </w:p>
    <w:p>
      <w:pPr>
        <w:numPr>
          <w:ilvl w:val="0"/>
          <w:numId w:val="1307"/>
        </w:numPr>
        <w:pStyle w:val="Compact"/>
      </w:pPr>
      <w:r>
        <w:rPr>
          <w:bCs/>
          <w:b/>
        </w:rPr>
        <w:t xml:space="preserve">WADA:</w:t>
      </w:r>
      <w:r>
        <w:t xml:space="preserve"> </w:t>
      </w:r>
      <w:r>
        <w:t xml:space="preserve">not listed by name. When injected as a non-approved substance, category S0 (</w:t>
      </w:r>
      <w:r>
        <w:t xml:space="preserve">“</w:t>
      </w:r>
      <w:r>
        <w:t xml:space="preserve">non-approved substances</w:t>
      </w:r>
      <w:r>
        <w:t xml:space="preserve">”</w:t>
      </w:r>
      <w:r>
        <w:t xml:space="preserve">) may apply.</w:t>
      </w:r>
    </w:p>
    <w:p>
      <w:pPr>
        <w:numPr>
          <w:ilvl w:val="0"/>
          <w:numId w:val="1307"/>
        </w:numPr>
        <w:pStyle w:val="Compact"/>
      </w:pPr>
      <w:r>
        <w:rPr>
          <w:bCs/>
          <w:b/>
        </w:rPr>
        <w:t xml:space="preserve">Evidence level:</w:t>
      </w:r>
      <w:r>
        <w:t xml:space="preserve"> </w:t>
      </w:r>
      <w:r>
        <w:rPr>
          <w:bCs/>
          <w:b/>
        </w:rPr>
        <w:t xml:space="preserve">C</w:t>
      </w:r>
      <w:r>
        <w:t xml:space="preserve"> </w:t>
      </w:r>
      <w:r>
        <w:t xml:space="preserve">– one older randomized wound study and a few very small skin studies; for the uses promoted today (anti-aging cosmetics, injections), no robust controlled human data.</w:t>
      </w:r>
    </w:p>
    <w:bookmarkEnd w:id="2454"/>
    <w:bookmarkStart w:id="2461" w:name="how-it-is-supposed-to-work-55"/>
    <w:p>
      <w:pPr>
        <w:pStyle w:val="Heading3"/>
      </w:pPr>
      <w:r>
        <w:t xml:space="preserve">How it is supposed to work</w:t>
      </w:r>
    </w:p>
    <w:p>
      <w:pPr>
        <w:pStyle w:val="FirstParagraph"/>
      </w:pPr>
      <w:r>
        <w:t xml:space="preserve">GHK binds copper so tightly that it can transport this vital trace element into cells. Copper is needed by several enzymes that are important for connective tissue, such as lysyl oxidase, which cross-links collagen and elastin fibers. An early paper suggested as early as 1980 that GHK exerts its effect on cells by facilitating copper uptake</w:t>
      </w:r>
      <w:r>
        <w:rPr>
          <w:rStyle w:val="FootnoteReference"/>
        </w:rPr>
        <w:footnoteReference w:id="2455"/>
      </w:r>
      <w:r>
        <w:t xml:space="preserve">.</w:t>
      </w:r>
    </w:p>
    <w:p>
      <w:pPr>
        <w:pStyle w:val="BodyText"/>
      </w:pPr>
      <w:r>
        <w:t xml:space="preserve">In cell cultures, GHK-Cu stimulated collagen production by fibroblasts even at extremely low concentrations; the maximum was at about one nanomole per liter</w:t>
      </w:r>
      <w:r>
        <w:rPr>
          <w:rStyle w:val="FootnoteReference"/>
        </w:rPr>
        <w:footnoteReference w:id="2456"/>
      </w:r>
      <w:r>
        <w:t xml:space="preserve">. The discoverer of GHK, Loren Pickart, has described a large number of further effects in several reviews – on wound healing, hair growth, inflammation, nerve growth and even on the activity of thousands of genes</w:t>
      </w:r>
      <w:r>
        <w:rPr>
          <w:rStyle w:val="FootnoteReference"/>
        </w:rPr>
        <w:footnoteReference w:id="2457"/>
      </w:r>
      <w:r>
        <w:t xml:space="preserve">. These claims are based mainly on cell and animal experiments and on gene expression data from databases, not on human studies. In addition, many of these reviews come from the circle of people who have also developed GHK-Cu commercially – a fact that readers should be aware of when evaluating them.</w:t>
      </w:r>
    </w:p>
    <w:bookmarkStart w:id="2460" w:name="does-the-peptide-get-through-the-skin"/>
    <w:p>
      <w:pPr>
        <w:pStyle w:val="Heading4"/>
      </w:pPr>
      <w:r>
        <w:t xml:space="preserve">Does the Peptide Get Through the Skin?</w:t>
      </w:r>
    </w:p>
    <w:p>
      <w:pPr>
        <w:pStyle w:val="FirstParagraph"/>
      </w:pPr>
      <w:r>
        <w:t xml:space="preserve">For cosmetic use, it is decisive whether GHK-Cu overcomes the skin barrier. The stratum corneum of the skin is poorly permeable to water-soluble, charged molecules such as GHK. A 2025 review concludes that GHK could undoubtedly be considered an anti-wrinkle agent in cell experiments, but that there are strikingly few clinical studies; copper binding and fatty acid attachments improve permeability, and microneedles and other aids are being researched</w:t>
      </w:r>
      <w:r>
        <w:rPr>
          <w:rStyle w:val="FootnoteReference"/>
        </w:rPr>
        <w:footnoteReference w:id="2458"/>
      </w:r>
      <w:r>
        <w:t xml:space="preserve">. A study in three volunteers found the related Pal-GHK in all layers of the stratum corneum after application, but only between the cells and in decreasing amounts with depth</w:t>
      </w:r>
      <w:r>
        <w:rPr>
          <w:rStyle w:val="FootnoteReference"/>
        </w:rPr>
        <w:footnoteReference w:id="2459"/>
      </w:r>
      <w:r>
        <w:t xml:space="preserve">. Whether sufficient amounts reach the deeper layers of the skin where collagen is formed has not been clarified.</w:t>
      </w:r>
    </w:p>
    <w:bookmarkEnd w:id="2460"/>
    <w:bookmarkEnd w:id="2461"/>
    <w:bookmarkStart w:id="2465" w:name="human-studies-55"/>
    <w:p>
      <w:pPr>
        <w:pStyle w:val="Heading3"/>
      </w:pPr>
      <w:r>
        <w:t xml:space="preserve">Human studies</w:t>
      </w:r>
    </w:p>
    <w:p>
      <w:pPr>
        <w:pStyle w:val="FirstParagraph"/>
      </w:pPr>
      <w:r>
        <w:t xml:space="preserve">The PubMed search evaluated for this book (GHK-Cu, copper tripeptide or copper peptide GHK in title or abstract, search date October 2026) yielded only</w:t>
      </w:r>
      <w:r>
        <w:t xml:space="preserve"> </w:t>
      </w:r>
      <w:r>
        <w:rPr>
          <w:bCs/>
          <w:b/>
        </w:rPr>
        <w:t xml:space="preserve">one</w:t>
      </w:r>
      <w:r>
        <w:t xml:space="preserve"> </w:t>
      </w:r>
      <w:r>
        <w:t xml:space="preserve">human study. On ClinicalTrials.gov, the search yielded 25 entries, but almost all of them concern other copper compounds (such as radioactive copper-64 for imaging). Only one credible entry actually studies GHK or GHK-Cu; another entry on a GHK-Cu wound gel comes from a sponsor whose registry entries, according to our review, are apparently fictitious sample or test entries, and is therefore not taken into account here. An extended search additionally yielded the older wound study mentioned below as well as individual case reports.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Mulder 1994, PMID 17147644</w:t>
            </w:r>
          </w:p>
        </w:tc>
        <w:tc>
          <w:tcPr/>
          <w:p>
            <w:pPr>
              <w:pStyle w:val="Compact"/>
              <w:jc w:val="left"/>
            </w:pPr>
            <w:r>
              <w:t xml:space="preserve">People with diabetic foot ulcers, multicenter, randomized, blinded assessment, GHK-Cu gel vs. vehicle gel</w:t>
            </w:r>
          </w:p>
        </w:tc>
        <w:tc>
          <w:tcPr/>
          <w:p>
            <w:pPr>
              <w:pStyle w:val="Compact"/>
              <w:jc w:val="left"/>
            </w:pPr>
            <w:r>
              <w:t xml:space="preserve">not stated in abstract</w:t>
            </w:r>
          </w:p>
        </w:tc>
        <w:tc>
          <w:tcPr/>
          <w:p>
            <w:pPr>
              <w:pStyle w:val="Compact"/>
              <w:jc w:val="left"/>
            </w:pPr>
            <w:r>
              <w:t xml:space="preserve">Median wound area reduction 98.5% vs. 60.8%; infections 7% vs. 34%</w:t>
            </w:r>
          </w:p>
        </w:tc>
      </w:tr>
      <w:tr>
        <w:tc>
          <w:tcPr/>
          <w:p>
            <w:pPr>
              <w:pStyle w:val="Compact"/>
              <w:jc w:val="left"/>
            </w:pPr>
            <w:r>
              <w:t xml:space="preserve">Miller 2006, PMID 16847171</w:t>
            </w:r>
          </w:p>
        </w:tc>
        <w:tc>
          <w:tcPr/>
          <w:p>
            <w:pPr>
              <w:pStyle w:val="Compact"/>
              <w:jc w:val="left"/>
            </w:pPr>
            <w:r>
              <w:t xml:space="preserve">Skin care after CO₂ laser treatment, randomized, 13 evaluable</w:t>
            </w:r>
          </w:p>
        </w:tc>
        <w:tc>
          <w:tcPr/>
          <w:p>
            <w:pPr>
              <w:pStyle w:val="Compact"/>
              <w:jc w:val="left"/>
            </w:pPr>
            <w:r>
              <w:t xml:space="preserve">12 weeks</w:t>
            </w:r>
          </w:p>
        </w:tc>
        <w:tc>
          <w:tcPr/>
          <w:p>
            <w:pPr>
              <w:pStyle w:val="Compact"/>
              <w:jc w:val="left"/>
            </w:pPr>
            <w:r>
              <w:t xml:space="preserve">No difference in redness, wrinkles or skin quality by measurement and blinded assessment; higher satisfaction on questionnaire</w:t>
            </w:r>
          </w:p>
        </w:tc>
      </w:tr>
      <w:tr>
        <w:tc>
          <w:tcPr/>
          <w:p>
            <w:pPr>
              <w:pStyle w:val="Compact"/>
              <w:jc w:val="left"/>
            </w:pPr>
            <w:r>
              <w:t xml:space="preserve">Byun 2016, PMID 27064823</w:t>
            </w:r>
          </w:p>
        </w:tc>
        <w:tc>
          <w:tcPr/>
          <w:p>
            <w:pPr>
              <w:pStyle w:val="Compact"/>
              <w:jc w:val="left"/>
            </w:pPr>
            <w:r>
              <w:t xml:space="preserve">1 man, mixture of GHK-Cu, hyaluronic acid, plant extract, tranexamic acid and beta-glucan with spray device</w:t>
            </w:r>
          </w:p>
        </w:tc>
        <w:tc>
          <w:tcPr/>
          <w:p>
            <w:pPr>
              <w:pStyle w:val="Compact"/>
              <w:jc w:val="left"/>
            </w:pPr>
            <w:r>
              <w:t xml:space="preserve">12 weeks</w:t>
            </w:r>
          </w:p>
        </w:tc>
        <w:tc>
          <w:tcPr/>
          <w:p>
            <w:pPr>
              <w:pStyle w:val="Compact"/>
              <w:jc w:val="left"/>
            </w:pPr>
            <w:r>
              <w:t xml:space="preserve">Fewer eye wrinkles; more collagen in skin samples (single case, combination product)</w:t>
            </w:r>
          </w:p>
        </w:tc>
      </w:tr>
    </w:tbl>
    <w:p>
      <w:pPr>
        <w:pStyle w:val="BodyText"/>
      </w:pPr>
      <w:r>
        <w:rPr>
          <w:bCs/>
          <w:b/>
        </w:rPr>
        <w:t xml:space="preserve">The 1994 wound study</w:t>
      </w:r>
      <w:r>
        <w:t xml:space="preserve"> </w:t>
      </w:r>
      <w:r>
        <w:t xml:space="preserve">is the only controlled study that improved a clinically relevant endpoint. However, the product (developed under the name Iamin) did not obtain approval as a medicine. The abstract states neither the number of participants nor the study duration; later confirmatory studies cannot be found in PubMed.</w:t>
      </w:r>
    </w:p>
    <w:p>
      <w:pPr>
        <w:pStyle w:val="BodyText"/>
      </w:pPr>
      <w:r>
        <w:rPr>
          <w:bCs/>
          <w:b/>
        </w:rPr>
        <w:t xml:space="preserve">The 2006 laser study</w:t>
      </w:r>
      <w:r>
        <w:t xml:space="preserve"> </w:t>
      </w:r>
      <w:r>
        <w:t xml:space="preserve">is the only randomized study with a cosmetic question recorded in PubMed. With only 13 evaluable patients, it was too small to reliably detect differences – and objectively it found none.</w:t>
      </w:r>
    </w:p>
    <w:p>
      <w:pPr>
        <w:pStyle w:val="BodyText"/>
      </w:pPr>
      <w:r>
        <w:rPr>
          <w:bCs/>
          <w:b/>
        </w:rPr>
        <w:t xml:space="preserve">Cosmetic studies:</w:t>
      </w:r>
      <w:r>
        <w:t xml:space="preserve"> </w:t>
      </w:r>
      <w:r>
        <w:t xml:space="preserve">Textbooks and advertising materials cite studies according to which GHK-Cu creams improved wrinkles, skin density and elasticity. These have mostly not appeared in journals listed in PubMed or are available only as conference contributions and manufacturer reports, and could not be checked in the original for this book. A 2026 meta-analysis on oral and topically applied peptides against skin aging found that the benefit for wrinkles was mainly driven by</w:t>
      </w:r>
      <w:r>
        <w:t xml:space="preserve"> </w:t>
      </w:r>
      <w:r>
        <w:rPr>
          <w:iCs/>
          <w:i/>
        </w:rPr>
        <w:t xml:space="preserve">orally</w:t>
      </w:r>
      <w:r>
        <w:t xml:space="preserve"> </w:t>
      </w:r>
      <w:r>
        <w:t xml:space="preserve">taken peptides; the abstract does not report results specifically for GHK-Cu</w:t>
      </w:r>
      <w:r>
        <w:rPr>
          <w:rStyle w:val="FootnoteReference"/>
        </w:rPr>
        <w:footnoteReference w:id="2462"/>
      </w:r>
      <w:r>
        <w:t xml:space="preserve">.</w:t>
      </w:r>
    </w:p>
    <w:p>
      <w:pPr>
        <w:pStyle w:val="BodyText"/>
      </w:pPr>
      <w:r>
        <w:rPr>
          <w:bCs/>
          <w:b/>
        </w:rPr>
        <w:t xml:space="preserve">Injections:</w:t>
      </w:r>
      <w:r>
        <w:t xml:space="preserve"> </w:t>
      </w:r>
      <w:r>
        <w:t xml:space="preserve">There is not a single published controlled study of injected GHK-Cu in humans. A review for orthopedics and sports medicine states that there are no clinical data for use in musculoskeletal disorders and that the dose, frequency and duration of treatment are unknown</w:t>
      </w:r>
      <w:r>
        <w:rPr>
          <w:rStyle w:val="FootnoteReference"/>
        </w:rPr>
        <w:footnoteReference w:id="2463"/>
      </w:r>
      <w:r>
        <w:t xml:space="preserve">. Another review of non-approved peptides in sports medicine concludes that robust human safety data are lacking and that there is a potential for harm</w:t>
      </w:r>
      <w:r>
        <w:rPr>
          <w:rStyle w:val="FootnoteReference"/>
        </w:rPr>
        <w:footnoteReference w:id="2464"/>
      </w:r>
      <w:r>
        <w:t xml:space="preserve">.</w:t>
      </w:r>
    </w:p>
    <w:bookmarkEnd w:id="2465"/>
    <w:bookmarkStart w:id="2472" w:name="animal-and-laboratory-studies-55"/>
    <w:p>
      <w:pPr>
        <w:pStyle w:val="Heading3"/>
      </w:pPr>
      <w:r>
        <w:t xml:space="preserve">Animal and laboratory studies</w:t>
      </w:r>
    </w:p>
    <w:p>
      <w:pPr>
        <w:pStyle w:val="FirstParagraph"/>
      </w:pPr>
      <w:r>
        <w:t xml:space="preserve">The preclinical literature is extensive:</w:t>
      </w:r>
    </w:p>
    <w:p>
      <w:pPr>
        <w:numPr>
          <w:ilvl w:val="0"/>
          <w:numId w:val="1308"/>
        </w:numPr>
        <w:pStyle w:val="Compact"/>
      </w:pPr>
      <w:r>
        <w:rPr>
          <w:bCs/>
          <w:b/>
        </w:rPr>
        <w:t xml:space="preserve">Cell culture:</w:t>
      </w:r>
      <w:r>
        <w:t xml:space="preserve"> </w:t>
      </w:r>
      <w:r>
        <w:t xml:space="preserve">increased collagen production in fibroblasts</w:t>
      </w:r>
      <w:r>
        <w:rPr>
          <w:rStyle w:val="FootnoteReference"/>
        </w:rPr>
        <w:footnoteReference w:id="2466"/>
      </w:r>
      <w:r>
        <w:t xml:space="preserve">; influence on enzymes that build up and break down connective tissue.</w:t>
      </w:r>
    </w:p>
    <w:p>
      <w:pPr>
        <w:numPr>
          <w:ilvl w:val="0"/>
          <w:numId w:val="1308"/>
        </w:numPr>
        <w:pStyle w:val="Compact"/>
      </w:pPr>
      <w:r>
        <w:rPr>
          <w:bCs/>
          <w:b/>
        </w:rPr>
        <w:t xml:space="preserve">Wound healing in animals:</w:t>
      </w:r>
      <w:r>
        <w:t xml:space="preserve"> </w:t>
      </w:r>
      <w:r>
        <w:t xml:space="preserve">In rats with poorly perfused wounds, wound area decreased after 13 days by 64.5% under GHK-Cu gel, by 45.6% under the vehicle gel and by 28.2% without treatment</w:t>
      </w:r>
      <w:r>
        <w:rPr>
          <w:rStyle w:val="FootnoteReference"/>
        </w:rPr>
        <w:footnoteReference w:id="2467"/>
      </w:r>
      <w:r>
        <w:t xml:space="preserve">. In mice, liposomes containing GHK-Cu promoted the formation of new blood vessels in scalded skin and shortened healing time</w:t>
      </w:r>
      <w:r>
        <w:rPr>
          <w:rStyle w:val="FootnoteReference"/>
        </w:rPr>
        <w:footnoteReference w:id="2468"/>
      </w:r>
      <w:r>
        <w:t xml:space="preserve">.</w:t>
      </w:r>
    </w:p>
    <w:p>
      <w:pPr>
        <w:numPr>
          <w:ilvl w:val="0"/>
          <w:numId w:val="1308"/>
        </w:numPr>
        <w:pStyle w:val="Compact"/>
      </w:pPr>
      <w:r>
        <w:rPr>
          <w:bCs/>
          <w:b/>
        </w:rPr>
        <w:t xml:space="preserve">Other organs (in animals):</w:t>
      </w:r>
      <w:r>
        <w:t xml:space="preserve"> </w:t>
      </w:r>
      <w:r>
        <w:t xml:space="preserve">In mice, GHK-Cu injected into the abdominal cavity attenuated experimentally induced pulmonary fibrosis</w:t>
      </w:r>
      <w:r>
        <w:rPr>
          <w:rStyle w:val="FootnoteReference"/>
        </w:rPr>
        <w:footnoteReference w:id="2469"/>
      </w:r>
      <w:r>
        <w:t xml:space="preserve">; further mouse studies describe effects on lung damage, intestinal inflammation and muscle weakness after cigarette smoke. In rats, it improved healing after cruciate ligament reconstruction only temporarily</w:t>
      </w:r>
      <w:r>
        <w:rPr>
          <w:rStyle w:val="FootnoteReference"/>
        </w:rPr>
        <w:footnoteReference w:id="2470"/>
      </w:r>
      <w:r>
        <w:t xml:space="preserve">.</w:t>
      </w:r>
    </w:p>
    <w:p>
      <w:pPr>
        <w:numPr>
          <w:ilvl w:val="0"/>
          <w:numId w:val="1308"/>
        </w:numPr>
        <w:pStyle w:val="Compact"/>
      </w:pPr>
      <w:r>
        <w:rPr>
          <w:bCs/>
          <w:b/>
        </w:rPr>
        <w:t xml:space="preserve">Brain (in mice):</w:t>
      </w:r>
      <w:r>
        <w:t xml:space="preserve"> </w:t>
      </w:r>
      <w:r>
        <w:t xml:space="preserve">A not yet peer-reviewed preprint from 2026 described better learning performance in old mice after eight weeks of intranasal administration, and after short intraperitoneal administration only temporarily and only in males</w:t>
      </w:r>
      <w:r>
        <w:rPr>
          <w:rStyle w:val="FootnoteReference"/>
        </w:rPr>
        <w:footnoteReference w:id="2471"/>
      </w:r>
      <w:r>
        <w:t xml:space="preserve">.</w:t>
      </w:r>
    </w:p>
    <w:p>
      <w:pPr>
        <w:pStyle w:val="FirstParagraph"/>
      </w:pPr>
      <w:r>
        <w:t xml:space="preserve">These findings show biological activity but cannot readily be transferred to humans – least of all to cosmetic creams with unclear skin penetration.</w:t>
      </w:r>
    </w:p>
    <w:bookmarkEnd w:id="2472"/>
    <w:bookmarkStart w:id="2475" w:name="risks-and-side-effects-55"/>
    <w:p>
      <w:pPr>
        <w:pStyle w:val="Heading3"/>
      </w:pPr>
      <w:r>
        <w:t xml:space="preserve">Risks and side effects</w:t>
      </w:r>
    </w:p>
    <w:p>
      <w:pPr>
        <w:pStyle w:val="FirstParagraph"/>
      </w:pPr>
      <w:r>
        <w:rPr>
          <w:bCs/>
          <w:b/>
        </w:rPr>
        <w:t xml:space="preserve">Cosmetic use (established or likely):</w:t>
      </w:r>
      <w:r>
        <w:t xml:space="preserve"> </w:t>
      </w:r>
      <w:r>
        <w:t xml:space="preserve">GHK-Cu has been used in cosmetics for decades; no relevant side effects were reported in the few studies. As with any cosmetic ingredient, skin irritation and contact allergies are possible. Copper-containing serums may or may not be chemically compatible with other active ingredients (such as vitamin C or acids) – this is a question of formulation.</w:t>
      </w:r>
    </w:p>
    <w:p>
      <w:pPr>
        <w:pStyle w:val="BodyText"/>
      </w:pPr>
      <w:r>
        <w:rPr>
          <w:bCs/>
          <w:b/>
        </w:rPr>
        <w:t xml:space="preserve">Injection (theoretical, but to be taken seriously):</w:t>
      </w:r>
    </w:p>
    <w:p>
      <w:pPr>
        <w:numPr>
          <w:ilvl w:val="0"/>
          <w:numId w:val="1309"/>
        </w:numPr>
        <w:pStyle w:val="Compact"/>
      </w:pPr>
      <w:r>
        <w:rPr>
          <w:bCs/>
          <w:b/>
        </w:rPr>
        <w:t xml:space="preserve">No safety data:</w:t>
      </w:r>
      <w:r>
        <w:t xml:space="preserve"> </w:t>
      </w:r>
      <w:r>
        <w:t xml:space="preserve">There are no systematic data on tolerability, dosage or long-term consequences in humans.</w:t>
      </w:r>
    </w:p>
    <w:p>
      <w:pPr>
        <w:numPr>
          <w:ilvl w:val="0"/>
          <w:numId w:val="1309"/>
        </w:numPr>
        <w:pStyle w:val="Compact"/>
      </w:pPr>
      <w:r>
        <w:rPr>
          <w:bCs/>
          <w:b/>
        </w:rPr>
        <w:t xml:space="preserve">Inconsistent cellular effects:</w:t>
      </w:r>
      <w:r>
        <w:t xml:space="preserve"> </w:t>
      </w:r>
      <w:r>
        <w:t xml:space="preserve">Even the early laboratory work described that GHK can promote growth but can also be toxic, depending on the cell system</w:t>
      </w:r>
      <w:r>
        <w:rPr>
          <w:rStyle w:val="FootnoteReference"/>
        </w:rPr>
        <w:footnoteReference w:id="2473"/>
      </w:r>
      <w:r>
        <w:t xml:space="preserve">.</w:t>
      </w:r>
    </w:p>
    <w:p>
      <w:pPr>
        <w:numPr>
          <w:ilvl w:val="0"/>
          <w:numId w:val="1309"/>
        </w:numPr>
        <w:pStyle w:val="Compact"/>
      </w:pPr>
      <w:r>
        <w:rPr>
          <w:bCs/>
          <w:b/>
        </w:rPr>
        <w:t xml:space="preserve">Copper burden:</w:t>
      </w:r>
      <w:r>
        <w:t xml:space="preserve"> </w:t>
      </w:r>
      <w:r>
        <w:t xml:space="preserve">Copper is toxic in higher amounts. How much copper remains in the body after repeated injections has not been studied. People with Wilson’s disease, a congenital copper storage disorder, would be particularly at risk.</w:t>
      </w:r>
    </w:p>
    <w:p>
      <w:pPr>
        <w:numPr>
          <w:ilvl w:val="0"/>
          <w:numId w:val="1309"/>
        </w:numPr>
        <w:pStyle w:val="Compact"/>
      </w:pPr>
      <w:r>
        <w:rPr>
          <w:bCs/>
          <w:b/>
        </w:rPr>
        <w:t xml:space="preserve">Growth signals:</w:t>
      </w:r>
      <w:r>
        <w:t xml:space="preserve"> </w:t>
      </w:r>
      <w:r>
        <w:t xml:space="preserve">In animal experiments, GHK-Cu promotes the formation of new blood vessels (angiogenesis). Whether this poses a risk in existing tumors is unknown (theoretical risk).</w:t>
      </w:r>
    </w:p>
    <w:p>
      <w:pPr>
        <w:numPr>
          <w:ilvl w:val="0"/>
          <w:numId w:val="1309"/>
        </w:numPr>
        <w:pStyle w:val="Compact"/>
      </w:pPr>
      <w:r>
        <w:rPr>
          <w:bCs/>
          <w:b/>
        </w:rPr>
        <w:t xml:space="preserve">Gray-market quality:</w:t>
      </w:r>
      <w:r>
        <w:t xml:space="preserve"> </w:t>
      </w:r>
      <w:r>
        <w:t xml:space="preserve">“</w:t>
      </w:r>
      <w:r>
        <w:t xml:space="preserve">Research peptides</w:t>
      </w:r>
      <w:r>
        <w:t xml:space="preserve">”</w:t>
      </w:r>
      <w:r>
        <w:t xml:space="preserve"> </w:t>
      </w:r>
      <w:r>
        <w:t xml:space="preserve">are manufactured without pharmaceutical quality control. Impurities, wrong amounts or bacterial contamination are possible; injections of non-sterile products can lead to abscesses and infections. A review describes these risks for injectable</w:t>
      </w:r>
      <w:r>
        <w:t xml:space="preserve"> </w:t>
      </w:r>
      <w:r>
        <w:t xml:space="preserve">“</w:t>
      </w:r>
      <w:r>
        <w:t xml:space="preserve">biohacking</w:t>
      </w:r>
      <w:r>
        <w:t xml:space="preserve">”</w:t>
      </w:r>
      <w:r>
        <w:t xml:space="preserve"> </w:t>
      </w:r>
      <w:r>
        <w:t xml:space="preserve">peptides in general</w:t>
      </w:r>
      <w:r>
        <w:rPr>
          <w:rStyle w:val="FootnoteReference"/>
        </w:rPr>
        <w:footnoteReference w:id="2474"/>
      </w:r>
      <w:r>
        <w:t xml:space="preserve">. Part IV covers the topic in detail.</w:t>
      </w:r>
    </w:p>
    <w:bookmarkEnd w:id="2475"/>
    <w:bookmarkStart w:id="2476" w:name="legal-status-55"/>
    <w:p>
      <w:pPr>
        <w:pStyle w:val="Heading3"/>
      </w:pPr>
      <w:r>
        <w:t xml:space="preserve">Legal status</w:t>
      </w:r>
    </w:p>
    <w:p>
      <w:pPr>
        <w:numPr>
          <w:ilvl w:val="0"/>
          <w:numId w:val="1310"/>
        </w:numPr>
        <w:pStyle w:val="Compact"/>
      </w:pPr>
      <w:r>
        <w:rPr>
          <w:bCs/>
          <w:b/>
        </w:rPr>
        <w:t xml:space="preserve">EU / Austria / Germany:</w:t>
      </w:r>
      <w:r>
        <w:t xml:space="preserve"> </w:t>
      </w:r>
      <w:r>
        <w:t xml:space="preserve">GHK-Cu (Copper Tripeptide-1) may be used as an ingredient in cosmetics; the EU Cosmetics Regulation (Regulation (EC) No 1223/2009) applies. Cosmetics may only be intended for application to the skin and its appendages and may not claim medicinal effects; advertising claims must be substantiated in accordance with Regulation (EU) No 655/2013. GHK-Cu intended for injection is not a cosmetic but an unapproved medicine. Its sale for human use is not permitted; labels such as</w:t>
      </w:r>
      <w:r>
        <w:t xml:space="preserve"> </w:t>
      </w:r>
      <w:r>
        <w:t xml:space="preserve">“</w:t>
      </w:r>
      <w:r>
        <w:t xml:space="preserve">for research purposes only</w:t>
      </w:r>
      <w:r>
        <w:t xml:space="preserve">”</w:t>
      </w:r>
      <w:r>
        <w:t xml:space="preserve"> </w:t>
      </w:r>
      <w:r>
        <w:t xml:space="preserve">do not change this.</w:t>
      </w:r>
    </w:p>
    <w:p>
      <w:pPr>
        <w:numPr>
          <w:ilvl w:val="0"/>
          <w:numId w:val="1310"/>
        </w:numPr>
        <w:pStyle w:val="Compact"/>
      </w:pPr>
      <w:r>
        <w:rPr>
          <w:bCs/>
          <w:b/>
        </w:rPr>
        <w:t xml:space="preserve">USA:</w:t>
      </w:r>
      <w:r>
        <w:t xml:space="preserve"> </w:t>
      </w:r>
      <w:r>
        <w:t xml:space="preserve">Permitted in cosmetics. To our knowledge, in 2023 the FDA placed GHK-Cu for injection on a list of substances for which it sees significant safety concerns for pharmacy preparation (compounding); the classification of several peptides has since been rediscussed.</w:t>
      </w:r>
    </w:p>
    <w:p>
      <w:pPr>
        <w:numPr>
          <w:ilvl w:val="0"/>
          <w:numId w:val="1310"/>
        </w:numPr>
        <w:pStyle w:val="Compact"/>
      </w:pPr>
      <w:r>
        <w:rPr>
          <w:bCs/>
          <w:b/>
        </w:rPr>
        <w:t xml:space="preserve">Sport:</w:t>
      </w:r>
      <w:r>
        <w:t xml:space="preserve"> </w:t>
      </w:r>
      <w:r>
        <w:t xml:space="preserve">GHK-Cu is not named on the WADA list. Cosmetic creams are considered unproblematic. Injected GHK-Cu as a non-approved substance could fall under category S0; athletes should check with their National Anti-Doping Agency if in doubt (as of 2026, please check for updates).</w:t>
      </w:r>
    </w:p>
    <w:bookmarkEnd w:id="2476"/>
    <w:bookmarkStart w:id="2478" w:name="ongoing-studies-and-outlook-55"/>
    <w:p>
      <w:pPr>
        <w:pStyle w:val="Heading3"/>
      </w:pPr>
      <w:r>
        <w:t xml:space="preserve">Ongoing studies and outlook</w:t>
      </w:r>
    </w:p>
    <w:p>
      <w:pPr>
        <w:pStyle w:val="FirstParagraph"/>
      </w:pPr>
      <w:r>
        <w:rPr>
          <w:bCs/>
          <w:b/>
        </w:rPr>
        <w:t xml:space="preserve">Established (registered studies, as of October 2026):</w:t>
      </w:r>
    </w:p>
    <w:p>
      <w:pPr>
        <w:numPr>
          <w:ilvl w:val="0"/>
          <w:numId w:val="1311"/>
        </w:numPr>
        <w:pStyle w:val="Compact"/>
      </w:pPr>
      <w:r>
        <w:rPr>
          <w:bCs/>
          <w:b/>
        </w:rPr>
        <w:t xml:space="preserve">Patch:</w:t>
      </w:r>
      <w:r>
        <w:t xml:space="preserve"> </w:t>
      </w:r>
      <w:r>
        <w:t xml:space="preserve">A study with a planned 100 healthy people is to investigate whether a patch (X39) changes GHK and GHK-Cu levels in the blood; start planned for 2027</w:t>
      </w:r>
      <w:r>
        <w:rPr>
          <w:rStyle w:val="FootnoteReference"/>
        </w:rPr>
        <w:footnoteReference w:id="2477"/>
      </w:r>
      <w:r>
        <w:t xml:space="preserve">. The sponsor is a company that sells the patch.</w:t>
      </w:r>
    </w:p>
    <w:p>
      <w:pPr>
        <w:pStyle w:val="FirstParagraph"/>
      </w:pPr>
      <w:r>
        <w:rPr>
          <w:bCs/>
          <w:b/>
        </w:rPr>
        <w:t xml:space="preserve">Assessment:</w:t>
      </w:r>
      <w:r>
        <w:t xml:space="preserve"> </w:t>
      </w:r>
      <w:r>
        <w:t xml:space="preserve">A serious, registered study on a medically relevant endpoint – such as wound healing, where the only positive controlled human data come from – is not currently in sight. For cosmetic use, independent, sufficiently large, placebo-controlled studies with a cream without other active ingredients would be needed. For injections, no serious study is in sight; interest is being fueled mainly on social media and on the gray market.</w:t>
      </w:r>
    </w:p>
    <w:bookmarkEnd w:id="2478"/>
    <w:bookmarkStart w:id="2479" w:name="conclusion-55"/>
    <w:p>
      <w:pPr>
        <w:pStyle w:val="Heading3"/>
      </w:pPr>
      <w:r>
        <w:t xml:space="preserve">Conclusion</w:t>
      </w:r>
    </w:p>
    <w:p>
      <w:pPr>
        <w:pStyle w:val="FirstParagraph"/>
      </w:pPr>
      <w:r>
        <w:t xml:space="preserve">GHK-Cu is a copper peptide produced by the body that stimulates collagen production in the laboratory and accelerates wound healing in animal experiments. In humans, there is only one older randomized study on diabetic foot ulcers with a positive result and one tiny cosmetic study without a measurable effect. Whether GHK-Cu from creams reaches the skin in sufficient amounts is unclear; advertising claims are based mainly on laboratory data and manufacturer studies that have not been independently verified. As a cosmetic ingredient, it is legal and considered well tolerated. Injections of gray-market GHK-Cu have been neither studied nor approved and carry avoidable risks.</w:t>
      </w:r>
    </w:p>
    <w:bookmarkEnd w:id="2479"/>
    <w:bookmarkEnd w:id="2480"/>
    <w:bookmarkStart w:id="2499" w:name="palmitoyl-pentapeptide-4-matrixyl"/>
    <w:p>
      <w:pPr>
        <w:pStyle w:val="Heading2"/>
      </w:pPr>
      <w:r>
        <w:t xml:space="preserve">Palmitoyl Pentapeptide-4 (Matrixyl)</w:t>
      </w:r>
    </w:p>
    <w:bookmarkStart w:id="2481" w:name="profile-56"/>
    <w:p>
      <w:pPr>
        <w:pStyle w:val="Heading3"/>
      </w:pPr>
      <w:r>
        <w:t xml:space="preserve">Profile</w:t>
      </w:r>
    </w:p>
    <w:p>
      <w:pPr>
        <w:numPr>
          <w:ilvl w:val="0"/>
          <w:numId w:val="1312"/>
        </w:numPr>
        <w:pStyle w:val="Compact"/>
      </w:pPr>
      <w:r>
        <w:rPr>
          <w:bCs/>
          <w:b/>
        </w:rPr>
        <w:t xml:space="preserve">Type/structure:</w:t>
      </w:r>
      <w:r>
        <w:t xml:space="preserve"> </w:t>
      </w:r>
      <w:r>
        <w:t xml:space="preserve">pentapeptide of lysine, threonine, threonine, lysine and serine (KTTKS) to which palmitic acid (a fatty acid with 16 carbon atoms) is coupled. Short name Pal-KTTKS; formerly listed as palmitoyl pentapeptide-3. Trade name of the raw material: Matrixyl.</w:t>
      </w:r>
    </w:p>
    <w:p>
      <w:pPr>
        <w:numPr>
          <w:ilvl w:val="0"/>
          <w:numId w:val="1312"/>
        </w:numPr>
        <w:pStyle w:val="Compact"/>
      </w:pPr>
      <w:r>
        <w:rPr>
          <w:bCs/>
          <w:b/>
        </w:rPr>
        <w:t xml:space="preserve">Origin:</w:t>
      </w:r>
      <w:r>
        <w:t xml:space="preserve"> </w:t>
      </w:r>
      <w:r>
        <w:t xml:space="preserve">synthetic. The KTTKS sequence comes from the precursor molecule of type I collagen (procollagen). The fatty acid attachment is supposed to improve penetration into the skin.</w:t>
      </w:r>
    </w:p>
    <w:p>
      <w:pPr>
        <w:numPr>
          <w:ilvl w:val="0"/>
          <w:numId w:val="1312"/>
        </w:numPr>
        <w:pStyle w:val="Compact"/>
      </w:pPr>
      <w:r>
        <w:rPr>
          <w:bCs/>
          <w:b/>
        </w:rPr>
        <w:t xml:space="preserve">Mechanism of action:</w:t>
      </w:r>
      <w:r>
        <w:t xml:space="preserve"> </w:t>
      </w:r>
      <w:r>
        <w:t xml:space="preserve">as a</w:t>
      </w:r>
      <w:r>
        <w:t xml:space="preserve"> </w:t>
      </w:r>
      <w:r>
        <w:t xml:space="preserve">“</w:t>
      </w:r>
      <w:r>
        <w:t xml:space="preserve">matrikine</w:t>
      </w:r>
      <w:r>
        <w:t xml:space="preserve">”</w:t>
      </w:r>
      <w:r>
        <w:t xml:space="preserve"> </w:t>
      </w:r>
      <w:r>
        <w:t xml:space="preserve">– a fragment of the connective tissue matrix with a signaling effect – it is supposed to stimulate fibroblasts in the skin to produce collagen and other matrix components.</w:t>
      </w:r>
    </w:p>
    <w:p>
      <w:pPr>
        <w:numPr>
          <w:ilvl w:val="0"/>
          <w:numId w:val="1312"/>
        </w:numPr>
        <w:pStyle w:val="Compact"/>
      </w:pPr>
      <w:r>
        <w:rPr>
          <w:bCs/>
          <w:b/>
        </w:rPr>
        <w:t xml:space="preserve">Distinction:</w:t>
      </w:r>
      <w:r>
        <w:t xml:space="preserve"> </w:t>
      </w:r>
      <w:r>
        <w:t xml:space="preserve">“</w:t>
      </w:r>
      <w:r>
        <w:t xml:space="preserve">Matrixyl 3000</w:t>
      </w:r>
      <w:r>
        <w:t xml:space="preserve">”</w:t>
      </w:r>
      <w:r>
        <w:t xml:space="preserve"> </w:t>
      </w:r>
      <w:r>
        <w:t xml:space="preserve">is a different product, a combination of palmitoyl tripeptide-1 (Pal-GHK, see chapter GHK-Cu) and palmitoyl tetrapeptide-7.</w:t>
      </w:r>
    </w:p>
    <w:p>
      <w:pPr>
        <w:numPr>
          <w:ilvl w:val="0"/>
          <w:numId w:val="1312"/>
        </w:numPr>
        <w:pStyle w:val="Compact"/>
      </w:pPr>
      <w:r>
        <w:rPr>
          <w:bCs/>
          <w:b/>
        </w:rPr>
        <w:t xml:space="preserve">Approval EU:</w:t>
      </w:r>
      <w:r>
        <w:t xml:space="preserve"> </w:t>
      </w:r>
      <w:r>
        <w:t xml:space="preserve">not a medicine; cosmetic ingredient.</w:t>
      </w:r>
    </w:p>
    <w:p>
      <w:pPr>
        <w:numPr>
          <w:ilvl w:val="0"/>
          <w:numId w:val="1312"/>
        </w:numPr>
        <w:pStyle w:val="Compact"/>
      </w:pPr>
      <w:r>
        <w:rPr>
          <w:bCs/>
          <w:b/>
        </w:rPr>
        <w:t xml:space="preserve">Approval USA:</w:t>
      </w:r>
      <w:r>
        <w:t xml:space="preserve"> </w:t>
      </w:r>
      <w:r>
        <w:t xml:space="preserve">not a drug; cosmetic ingredient.</w:t>
      </w:r>
    </w:p>
    <w:p>
      <w:pPr>
        <w:numPr>
          <w:ilvl w:val="0"/>
          <w:numId w:val="1312"/>
        </w:numPr>
        <w:pStyle w:val="Compact"/>
      </w:pPr>
      <w:r>
        <w:rPr>
          <w:bCs/>
          <w:b/>
        </w:rPr>
        <w:t xml:space="preserve">WADA:</w:t>
      </w:r>
      <w:r>
        <w:t xml:space="preserve"> </w:t>
      </w:r>
      <w:r>
        <w:t xml:space="preserve">not listed; as a cosmetic ingredient irrelevant under sports law.</w:t>
      </w:r>
    </w:p>
    <w:p>
      <w:pPr>
        <w:numPr>
          <w:ilvl w:val="0"/>
          <w:numId w:val="1312"/>
        </w:numPr>
        <w:pStyle w:val="Compact"/>
      </w:pPr>
      <w:r>
        <w:rPr>
          <w:bCs/>
          <w:b/>
        </w:rPr>
        <w:t xml:space="preserve">Evidence level:</w:t>
      </w:r>
      <w:r>
        <w:t xml:space="preserve"> </w:t>
      </w:r>
      <w:r>
        <w:rPr>
          <w:bCs/>
          <w:b/>
        </w:rPr>
        <w:t xml:space="preserve">B</w:t>
      </w:r>
      <w:r>
        <w:t xml:space="preserve"> </w:t>
      </w:r>
      <w:r>
        <w:t xml:space="preserve">(weak) – one larger randomized split-face study from 2005 and one very small randomized study; no independent confirmatory studies.</w:t>
      </w:r>
    </w:p>
    <w:bookmarkEnd w:id="2481"/>
    <w:bookmarkStart w:id="2485" w:name="how-it-is-supposed-to-work-56"/>
    <w:p>
      <w:pPr>
        <w:pStyle w:val="Heading3"/>
      </w:pPr>
      <w:r>
        <w:t xml:space="preserve">How it is supposed to work</w:t>
      </w:r>
    </w:p>
    <w:p>
      <w:pPr>
        <w:pStyle w:val="FirstParagraph"/>
      </w:pPr>
      <w:r>
        <w:t xml:space="preserve">When connective tissue is injured, enzymes break down collagen and other matrix components into fragments. Some of these fragments act as signals: they indicate to the connective tissue cells that repair is needed. Such signaling fragments are called matrikines.</w:t>
      </w:r>
    </w:p>
    <w:p>
      <w:pPr>
        <w:pStyle w:val="BodyText"/>
      </w:pPr>
      <w:r>
        <w:t xml:space="preserve">In 1993, a research group described that the pentapeptide KTTKS – a small piece from the end of type I procollagen – strongly increases the production of type I and type III collagen and fibronectin in fibroblast cultures. KTTKS was the smallest sequence that still triggered this effect</w:t>
      </w:r>
      <w:r>
        <w:rPr>
          <w:rStyle w:val="FootnoteReference"/>
        </w:rPr>
        <w:footnoteReference w:id="2482"/>
      </w:r>
      <w:r>
        <w:t xml:space="preserve">. The cosmetics industry took up the idea: a peptide that signals to the skin that</w:t>
      </w:r>
      <w:r>
        <w:t xml:space="preserve"> </w:t>
      </w:r>
      <w:r>
        <w:t xml:space="preserve">“</w:t>
      </w:r>
      <w:r>
        <w:t xml:space="preserve">repair is needed</w:t>
      </w:r>
      <w:r>
        <w:t xml:space="preserve">”</w:t>
      </w:r>
      <w:r>
        <w:t xml:space="preserve"> </w:t>
      </w:r>
      <w:r>
        <w:t xml:space="preserve">could boost collagen production, which declines with age.</w:t>
      </w:r>
    </w:p>
    <w:p>
      <w:pPr>
        <w:pStyle w:val="BodyText"/>
      </w:pPr>
      <w:r>
        <w:t xml:space="preserve">However, pure KTTKS barely penetrates the skin. Attaching a fatty acid (palmitoylation) makes the molecule more fat-soluble. In cell culture, Pal-KTTKS stimulated collagen production by skin and corneal fibroblasts in a concentration-dependent manner; the effect occurred close to the concentration at which the molecules assemble into ribbon-like nanostructures</w:t>
      </w:r>
      <w:r>
        <w:rPr>
          <w:rStyle w:val="FootnoteReference"/>
        </w:rPr>
        <w:footnoteReference w:id="2483"/>
      </w:r>
      <w:r>
        <w:t xml:space="preserve">.</w:t>
      </w:r>
    </w:p>
    <w:p>
      <w:pPr>
        <w:pStyle w:val="BodyText"/>
      </w:pPr>
      <w:r>
        <w:t xml:space="preserve">It remains open how much Pal-KTTKS from a cream actually reaches the dermis, where the fibroblasts are located. For the related Pal-GHK, a study in volunteers showed that after application it spreads only between the cells of the stratum corneum and decreases with depth</w:t>
      </w:r>
      <w:r>
        <w:rPr>
          <w:rStyle w:val="FootnoteReference"/>
        </w:rPr>
        <w:footnoteReference w:id="2484"/>
      </w:r>
      <w:r>
        <w:t xml:space="preserve">. For Pal-KTTKS itself, comparable measurements in humans are lacking in the literature evaluated.</w:t>
      </w:r>
    </w:p>
    <w:bookmarkEnd w:id="2485"/>
    <w:bookmarkStart w:id="2488" w:name="human-studies-56"/>
    <w:p>
      <w:pPr>
        <w:pStyle w:val="Heading3"/>
      </w:pPr>
      <w:r>
        <w:t xml:space="preserve">Human studies</w:t>
      </w:r>
    </w:p>
    <w:p>
      <w:pPr>
        <w:pStyle w:val="FirstParagraph"/>
      </w:pPr>
      <w:r>
        <w:t xml:space="preserve">The PubMed search evaluated for this book (palmitoyl pentapeptide or Matrixyl in title or abstract, search date October 2026) yielded only</w:t>
      </w:r>
      <w:r>
        <w:t xml:space="preserve"> </w:t>
      </w:r>
      <w:r>
        <w:rPr>
          <w:bCs/>
          <w:b/>
        </w:rPr>
        <w:t xml:space="preserve">one</w:t>
      </w:r>
      <w:r>
        <w:t xml:space="preserve"> </w:t>
      </w:r>
      <w:r>
        <w:t xml:space="preserve">paper classified as a human study; ClinicalTrials.gov lists no registry entry. Manual review found two further controlled studies as well as studies with combination products.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Robinson 2005, PMID 18492182</w:t>
            </w:r>
          </w:p>
        </w:tc>
        <w:tc>
          <w:tcPr/>
          <w:p>
            <w:pPr>
              <w:pStyle w:val="Compact"/>
              <w:jc w:val="left"/>
            </w:pPr>
            <w:r>
              <w:t xml:space="preserve">93 fair-skinned women (35–55 yrs), moisturizer with Pal-KTTKS on one half of the face vs. the same cream without active ingredient on the other, double-blind</w:t>
            </w:r>
          </w:p>
        </w:tc>
        <w:tc>
          <w:tcPr/>
          <w:p>
            <w:pPr>
              <w:pStyle w:val="Compact"/>
              <w:jc w:val="left"/>
            </w:pPr>
            <w:r>
              <w:t xml:space="preserve">12 weeks</w:t>
            </w:r>
          </w:p>
        </w:tc>
        <w:tc>
          <w:tcPr/>
          <w:p>
            <w:pPr>
              <w:pStyle w:val="Compact"/>
              <w:jc w:val="left"/>
            </w:pPr>
            <w:r>
              <w:t xml:space="preserve">Significant reduction in wrinkles and fine lines compared with the control side, measured by image analysis and by experts; well tolerated</w:t>
            </w:r>
          </w:p>
        </w:tc>
      </w:tr>
      <w:tr>
        <w:tc>
          <w:tcPr/>
          <w:p>
            <w:pPr>
              <w:pStyle w:val="Compact"/>
              <w:jc w:val="left"/>
            </w:pPr>
            <w:r>
              <w:t xml:space="preserve">Aruan 2023, PMID 36909866</w:t>
            </w:r>
          </w:p>
        </w:tc>
        <w:tc>
          <w:tcPr/>
          <w:p>
            <w:pPr>
              <w:pStyle w:val="Compact"/>
              <w:jc w:val="left"/>
            </w:pPr>
            <w:r>
              <w:t xml:space="preserve">21 Indonesian women (26–55 yrs), cream with palmitoyl pentapeptide-4 vs. acetyl hexapeptide-3 vs. placebo, double-blind</w:t>
            </w:r>
          </w:p>
        </w:tc>
        <w:tc>
          <w:tcPr/>
          <w:p>
            <w:pPr>
              <w:pStyle w:val="Compact"/>
              <w:jc w:val="left"/>
            </w:pPr>
            <w:r>
              <w:t xml:space="preserve">8 weeks</w:t>
            </w:r>
          </w:p>
        </w:tc>
        <w:tc>
          <w:tcPr/>
          <w:p>
            <w:pPr>
              <w:pStyle w:val="Compact"/>
              <w:jc w:val="left"/>
            </w:pPr>
            <w:r>
              <w:t xml:space="preserve">Improvements</w:t>
            </w:r>
            <w:r>
              <w:t xml:space="preserve"> </w:t>
            </w:r>
            <w:r>
              <w:t xml:space="preserve">“</w:t>
            </w:r>
            <w:r>
              <w:t xml:space="preserve">in some participants</w:t>
            </w:r>
            <w:r>
              <w:t xml:space="preserve">”</w:t>
            </w:r>
            <w:r>
              <w:t xml:space="preserve">; palmitoyl pentapeptide-4 performed better than the comparison groups; no robust effect sizes in the abstract</w:t>
            </w:r>
          </w:p>
        </w:tc>
      </w:tr>
      <w:tr>
        <w:tc>
          <w:tcPr/>
          <w:p>
            <w:pPr>
              <w:pStyle w:val="Compact"/>
              <w:jc w:val="left"/>
            </w:pPr>
            <w:r>
              <w:t xml:space="preserve">Röper 2004, PMID 15127162</w:t>
            </w:r>
          </w:p>
        </w:tc>
        <w:tc>
          <w:tcPr/>
          <w:p>
            <w:pPr>
              <w:pStyle w:val="Compact"/>
              <w:jc w:val="left"/>
            </w:pPr>
            <w:r>
              <w:t xml:space="preserve">20 women with breast cancer undergoing radiotherapy, cream with Matrixyl and other active ingredients vs. dexpanthenol lotion</w:t>
            </w:r>
          </w:p>
        </w:tc>
        <w:tc>
          <w:tcPr/>
          <w:p>
            <w:pPr>
              <w:pStyle w:val="Compact"/>
              <w:jc w:val="left"/>
            </w:pPr>
            <w:r>
              <w:t xml:space="preserve">duration of therapy</w:t>
            </w:r>
          </w:p>
        </w:tc>
        <w:tc>
          <w:tcPr/>
          <w:p>
            <w:pPr>
              <w:pStyle w:val="Compact"/>
              <w:jc w:val="left"/>
            </w:pPr>
            <w:r>
              <w:t xml:space="preserve">No advantage for skin reactions; itching more frequent, one suspected allergic reaction only in the Matrixyl group</w:t>
            </w:r>
          </w:p>
        </w:tc>
      </w:tr>
    </w:tbl>
    <w:p>
      <w:pPr>
        <w:pStyle w:val="BodyText"/>
      </w:pPr>
      <w:r>
        <w:rPr>
          <w:bCs/>
          <w:b/>
        </w:rPr>
        <w:t xml:space="preserve">Robinson 2005</w:t>
      </w:r>
      <w:r>
        <w:t xml:space="preserve"> </w:t>
      </w:r>
      <w:r>
        <w:t xml:space="preserve">is the central study. The split-face design is clever because each participant is her own control. The concentration in the product was 3 ppm (parts per million). Limitations: the abstract gives no effect sizes; the study was published in a cosmetics journal and has not been repeated independently since. Only fair-skinned women with photoaged skin were studied; whether the results can be transferred to other skin types is open.</w:t>
      </w:r>
    </w:p>
    <w:p>
      <w:pPr>
        <w:pStyle w:val="BodyText"/>
      </w:pPr>
      <w:r>
        <w:rPr>
          <w:bCs/>
          <w:b/>
        </w:rPr>
        <w:t xml:space="preserve">Aruan 2023</w:t>
      </w:r>
      <w:r>
        <w:t xml:space="preserve">, with 21 participants in three groups, was too small for reliable conclusions; the authors themselves describe it as a starting point for larger studies.</w:t>
      </w:r>
    </w:p>
    <w:p>
      <w:pPr>
        <w:pStyle w:val="BodyText"/>
      </w:pPr>
      <w:r>
        <w:rPr>
          <w:bCs/>
          <w:b/>
        </w:rPr>
        <w:t xml:space="preserve">Röper 2004</w:t>
      </w:r>
      <w:r>
        <w:t xml:space="preserve"> </w:t>
      </w:r>
      <w:r>
        <w:t xml:space="preserve">tested a combination product in a medical context and found no benefit.</w:t>
      </w:r>
    </w:p>
    <w:p>
      <w:pPr>
        <w:pStyle w:val="BodyText"/>
      </w:pPr>
      <w:r>
        <w:rPr>
          <w:bCs/>
          <w:b/>
        </w:rPr>
        <w:t xml:space="preserve">Combination products:</w:t>
      </w:r>
      <w:r>
        <w:t xml:space="preserve"> </w:t>
      </w:r>
      <w:r>
        <w:t xml:space="preserve">In two split-face studies with 42 and 35 women, care products containing Pal-KTTKS together with niacinamide, another peptide, carnosine and in some cases retinyl propionate improved the smoothness of the skin around the eyes compared with untreated skin</w:t>
      </w:r>
      <w:r>
        <w:rPr>
          <w:rStyle w:val="FootnoteReference"/>
        </w:rPr>
        <w:footnoteReference w:id="2486"/>
      </w:r>
      <w:r>
        <w:t xml:space="preserve">. Because several active ingredients were tested simultaneously and compared with</w:t>
      </w:r>
      <w:r>
        <w:t xml:space="preserve"> </w:t>
      </w:r>
      <w:r>
        <w:t xml:space="preserve">“</w:t>
      </w:r>
      <w:r>
        <w:t xml:space="preserve">no treatment,</w:t>
      </w:r>
      <w:r>
        <w:t xml:space="preserve">”</w:t>
      </w:r>
      <w:r>
        <w:t xml:space="preserve"> </w:t>
      </w:r>
      <w:r>
        <w:t xml:space="preserve">the effect cannot be attributed to the peptide.</w:t>
      </w:r>
    </w:p>
    <w:p>
      <w:pPr>
        <w:pStyle w:val="BodyText"/>
      </w:pPr>
      <w:r>
        <w:rPr>
          <w:bCs/>
          <w:b/>
        </w:rPr>
        <w:t xml:space="preserve">Meta-analysis:</w:t>
      </w:r>
      <w:r>
        <w:t xml:space="preserve"> </w:t>
      </w:r>
      <w:r>
        <w:t xml:space="preserve">A meta-analysis of oral and topically applied peptides against skin aging (19 studies, 1,341 participants) found a modest overall effect on wrinkles, which was driven mainly by orally taken peptides</w:t>
      </w:r>
      <w:r>
        <w:rPr>
          <w:rStyle w:val="FootnoteReference"/>
        </w:rPr>
        <w:footnoteReference w:id="2487"/>
      </w:r>
      <w:r>
        <w:t xml:space="preserve">. This does not provide separate evidence for topically applied peptides such as Pal-KTTKS.</w:t>
      </w:r>
    </w:p>
    <w:bookmarkEnd w:id="2488"/>
    <w:bookmarkStart w:id="2492" w:name="animal-and-laboratory-studies-56"/>
    <w:p>
      <w:pPr>
        <w:pStyle w:val="Heading3"/>
      </w:pPr>
      <w:r>
        <w:t xml:space="preserve">Animal and laboratory studies</w:t>
      </w:r>
    </w:p>
    <w:p>
      <w:pPr>
        <w:numPr>
          <w:ilvl w:val="0"/>
          <w:numId w:val="1313"/>
        </w:numPr>
        <w:pStyle w:val="Compact"/>
      </w:pPr>
      <w:r>
        <w:rPr>
          <w:bCs/>
          <w:b/>
        </w:rPr>
        <w:t xml:space="preserve">Cell culture:</w:t>
      </w:r>
      <w:r>
        <w:t xml:space="preserve"> </w:t>
      </w:r>
      <w:r>
        <w:t xml:space="preserve">KTTKS and Pal-KTTKS increase the production of collagen and fibronectin in fibroblasts</w:t>
      </w:r>
      <w:r>
        <w:rPr>
          <w:rStyle w:val="FootnoteReference"/>
        </w:rPr>
        <w:footnoteReference w:id="2489"/>
      </w:r>
      <w:r>
        <w:t xml:space="preserve">. In another cell study, Pal-KTTKS at a low concentration reduced the transformation of fibroblasts into scar-forming myofibroblasts; at a higher concentration the effect was not significant</w:t>
      </w:r>
      <w:r>
        <w:rPr>
          <w:rStyle w:val="FootnoteReference"/>
        </w:rPr>
        <w:footnoteReference w:id="2490"/>
      </w:r>
      <w:r>
        <w:t xml:space="preserve">.</w:t>
      </w:r>
    </w:p>
    <w:p>
      <w:pPr>
        <w:numPr>
          <w:ilvl w:val="0"/>
          <w:numId w:val="1313"/>
        </w:numPr>
        <w:pStyle w:val="Compact"/>
      </w:pPr>
      <w:r>
        <w:rPr>
          <w:bCs/>
          <w:b/>
        </w:rPr>
        <w:t xml:space="preserve">Animal experiments:</w:t>
      </w:r>
      <w:r>
        <w:t xml:space="preserve"> </w:t>
      </w:r>
      <w:r>
        <w:t xml:space="preserve">In experimental animals, patches and creams with Matrixyl improved the healing of skin wounds compared with untreated controls</w:t>
      </w:r>
      <w:r>
        <w:rPr>
          <w:rStyle w:val="FootnoteReference"/>
        </w:rPr>
        <w:footnoteReference w:id="2491"/>
      </w:r>
      <w:r>
        <w:t xml:space="preserve">.</w:t>
      </w:r>
    </w:p>
    <w:p>
      <w:pPr>
        <w:numPr>
          <w:ilvl w:val="0"/>
          <w:numId w:val="1313"/>
        </w:numPr>
        <w:pStyle w:val="Compact"/>
      </w:pPr>
      <w:r>
        <w:rPr>
          <w:bCs/>
          <w:b/>
        </w:rPr>
        <w:t xml:space="preserve">New variants:</w:t>
      </w:r>
      <w:r>
        <w:t xml:space="preserve"> </w:t>
      </w:r>
      <w:r>
        <w:t xml:space="preserve">Research groups are coupling KTTKS to other molecules to create antibacterial or more strongly collagen-stimulating variants – so far exclusively in the laboratory.</w:t>
      </w:r>
    </w:p>
    <w:bookmarkEnd w:id="2492"/>
    <w:bookmarkStart w:id="2495" w:name="risks-and-side-effects-56"/>
    <w:p>
      <w:pPr>
        <w:pStyle w:val="Heading3"/>
      </w:pPr>
      <w:r>
        <w:t xml:space="preserve">Risks and side effects</w:t>
      </w:r>
    </w:p>
    <w:p>
      <w:pPr>
        <w:pStyle w:val="FirstParagraph"/>
      </w:pPr>
      <w:r>
        <w:rPr>
          <w:bCs/>
          <w:b/>
        </w:rPr>
        <w:t xml:space="preserve">Established:</w:t>
      </w:r>
      <w:r>
        <w:t xml:space="preserve"> </w:t>
      </w:r>
      <w:r>
        <w:t xml:space="preserve">In the Robinson study, the peptide was well tolerated. In the radiotherapy study, itching occurred more frequently under the Matrixyl-containing combination product, and a suspected allergic reaction occurred only under this product</w:t>
      </w:r>
      <w:r>
        <w:rPr>
          <w:rStyle w:val="FootnoteReference"/>
        </w:rPr>
        <w:footnoteReference w:id="2493"/>
      </w:r>
      <w:r>
        <w:t xml:space="preserve">; which component was responsible is unclear.</w:t>
      </w:r>
    </w:p>
    <w:p>
      <w:pPr>
        <w:pStyle w:val="BodyText"/>
      </w:pPr>
      <w:r>
        <w:rPr>
          <w:bCs/>
          <w:b/>
        </w:rPr>
        <w:t xml:space="preserve">General:</w:t>
      </w:r>
      <w:r>
        <w:t xml:space="preserve"> </w:t>
      </w:r>
      <w:r>
        <w:t xml:space="preserve">As with any cosmetic ingredient, irritation and contact allergies are possible, but they appear to be rare. A paper from the cosmetics industry that screened peptides for toxic and allergenic potential using bioinformatic tools found similarities between palmitoyl pentapeptide-4 and connective tissue proteins of the skin, but no indications of toxin or allergen structures</w:t>
      </w:r>
      <w:r>
        <w:rPr>
          <w:rStyle w:val="FootnoteReference"/>
        </w:rPr>
        <w:footnoteReference w:id="2494"/>
      </w:r>
      <w:r>
        <w:t xml:space="preserve">. Such computer analyses do not replace clinical observation.</w:t>
      </w:r>
    </w:p>
    <w:p>
      <w:pPr>
        <w:pStyle w:val="BodyText"/>
      </w:pPr>
      <w:r>
        <w:rPr>
          <w:bCs/>
          <w:b/>
        </w:rPr>
        <w:t xml:space="preserve">Theoretical:</w:t>
      </w:r>
      <w:r>
        <w:t xml:space="preserve"> </w:t>
      </w:r>
      <w:r>
        <w:t xml:space="preserve">A signaling substance that actually stimulates fibroblasts to produce collagen could be undesirable in people prone to excessive scarring. There are no case reports of this; the low skin penetration argues against a relevant effect.</w:t>
      </w:r>
    </w:p>
    <w:bookmarkEnd w:id="2495"/>
    <w:bookmarkStart w:id="2496" w:name="legal-status-56"/>
    <w:p>
      <w:pPr>
        <w:pStyle w:val="Heading3"/>
      </w:pPr>
      <w:r>
        <w:t xml:space="preserve">Legal status</w:t>
      </w:r>
    </w:p>
    <w:p>
      <w:pPr>
        <w:numPr>
          <w:ilvl w:val="0"/>
          <w:numId w:val="1314"/>
        </w:numPr>
        <w:pStyle w:val="Compact"/>
      </w:pPr>
      <w:r>
        <w:rPr>
          <w:bCs/>
          <w:b/>
        </w:rPr>
        <w:t xml:space="preserve">EU / Austria / Germany:</w:t>
      </w:r>
      <w:r>
        <w:t xml:space="preserve"> </w:t>
      </w:r>
      <w:r>
        <w:t xml:space="preserve">Palmitoyl pentapeptide-4 is a permitted cosmetic ingredient under the EU Cosmetics Regulation (Regulation (EC) No 1223/2009). Cosmetics are not officially tested for efficacy before sale; the manufacturer must prepare a safety assessment and be able to substantiate advertising claims in accordance with Regulation (EU) No 655/2013. Claims such as</w:t>
      </w:r>
      <w:r>
        <w:t xml:space="preserve"> </w:t>
      </w:r>
      <w:r>
        <w:t xml:space="preserve">“</w:t>
      </w:r>
      <w:r>
        <w:t xml:space="preserve">works like a wrinkle filler injection</w:t>
      </w:r>
      <w:r>
        <w:t xml:space="preserve">”</w:t>
      </w:r>
      <w:r>
        <w:t xml:space="preserve"> </w:t>
      </w:r>
      <w:r>
        <w:t xml:space="preserve">or</w:t>
      </w:r>
      <w:r>
        <w:t xml:space="preserve"> </w:t>
      </w:r>
      <w:r>
        <w:t xml:space="preserve">“</w:t>
      </w:r>
      <w:r>
        <w:t xml:space="preserve">builds collagen</w:t>
      </w:r>
      <w:r>
        <w:t xml:space="preserve">”</w:t>
      </w:r>
      <w:r>
        <w:t xml:space="preserve"> </w:t>
      </w:r>
      <w:r>
        <w:t xml:space="preserve">are therefore legally delicate if they are not covered by studies on the product.</w:t>
      </w:r>
    </w:p>
    <w:p>
      <w:pPr>
        <w:numPr>
          <w:ilvl w:val="0"/>
          <w:numId w:val="1314"/>
        </w:numPr>
        <w:pStyle w:val="Compact"/>
      </w:pPr>
      <w:r>
        <w:rPr>
          <w:bCs/>
          <w:b/>
        </w:rPr>
        <w:t xml:space="preserve">USA:</w:t>
      </w:r>
      <w:r>
        <w:t xml:space="preserve"> </w:t>
      </w:r>
      <w:r>
        <w:t xml:space="preserve">cosmetic ingredient without prior review by the FDA. Advertising claims that promise a change in skin structure can legally turn a product into a drug.</w:t>
      </w:r>
    </w:p>
    <w:p>
      <w:pPr>
        <w:numPr>
          <w:ilvl w:val="0"/>
          <w:numId w:val="1314"/>
        </w:numPr>
        <w:pStyle w:val="Compact"/>
      </w:pPr>
      <w:r>
        <w:rPr>
          <w:bCs/>
          <w:b/>
        </w:rPr>
        <w:t xml:space="preserve">Sport:</w:t>
      </w:r>
      <w:r>
        <w:t xml:space="preserve"> </w:t>
      </w:r>
      <w:r>
        <w:t xml:space="preserve">irrelevant (as of 2026, please check for updates).</w:t>
      </w:r>
    </w:p>
    <w:bookmarkEnd w:id="2496"/>
    <w:bookmarkStart w:id="2497" w:name="ongoing-studies-and-outlook-56"/>
    <w:p>
      <w:pPr>
        <w:pStyle w:val="Heading3"/>
      </w:pPr>
      <w:r>
        <w:t xml:space="preserve">Ongoing studies and outlook</w:t>
      </w:r>
    </w:p>
    <w:p>
      <w:pPr>
        <w:pStyle w:val="FirstParagraph"/>
      </w:pPr>
      <w:r>
        <w:rPr>
          <w:bCs/>
          <w:b/>
        </w:rPr>
        <w:t xml:space="preserve">Established:</w:t>
      </w:r>
      <w:r>
        <w:t xml:space="preserve"> </w:t>
      </w:r>
      <w:r>
        <w:t xml:space="preserve">On ClinicalTrials.gov, no study is registered under</w:t>
      </w:r>
      <w:r>
        <w:t xml:space="preserve"> </w:t>
      </w:r>
      <w:r>
        <w:t xml:space="preserve">“</w:t>
      </w:r>
      <w:r>
        <w:t xml:space="preserve">palmitoyl pentapeptide</w:t>
      </w:r>
      <w:r>
        <w:t xml:space="preserve">”</w:t>
      </w:r>
      <w:r>
        <w:t xml:space="preserve"> </w:t>
      </w:r>
      <w:r>
        <w:t xml:space="preserve">(as of October 2026). Cosmetic efficacy studies are generally not registered but are commissioned by the manufacturers and only partly published.</w:t>
      </w:r>
    </w:p>
    <w:p>
      <w:pPr>
        <w:pStyle w:val="BodyText"/>
      </w:pPr>
      <w:r>
        <w:rPr>
          <w:bCs/>
          <w:b/>
        </w:rPr>
        <w:t xml:space="preserve">Assessment:</w:t>
      </w:r>
      <w:r>
        <w:t xml:space="preserve"> </w:t>
      </w:r>
      <w:r>
        <w:t xml:space="preserve">Matrixyl is one of the oldest and most widely used</w:t>
      </w:r>
      <w:r>
        <w:t xml:space="preserve"> </w:t>
      </w:r>
      <w:r>
        <w:t xml:space="preserve">“</w:t>
      </w:r>
      <w:r>
        <w:t xml:space="preserve">anti-aging peptides</w:t>
      </w:r>
      <w:r>
        <w:t xml:space="preserve">”</w:t>
      </w:r>
      <w:r>
        <w:t xml:space="preserve"> </w:t>
      </w:r>
      <w:r>
        <w:t xml:space="preserve">in cosmetics. Its scientific basis – a cell culture study from 1993 and a split-face study from 2005 – is astonishingly narrow for such a widespread product. New developments aim at better skin penetration (microneedles, nanostructures) and at combinations with other peptides. Without independent, sufficiently large studies with the single active ingredient, the state of knowledge will change little.</w:t>
      </w:r>
    </w:p>
    <w:bookmarkEnd w:id="2497"/>
    <w:bookmarkStart w:id="2498" w:name="conclusion-56"/>
    <w:p>
      <w:pPr>
        <w:pStyle w:val="Heading3"/>
      </w:pPr>
      <w:r>
        <w:t xml:space="preserve">Conclusion</w:t>
      </w:r>
    </w:p>
    <w:p>
      <w:pPr>
        <w:pStyle w:val="FirstParagraph"/>
      </w:pPr>
      <w:r>
        <w:t xml:space="preserve">Palmitoyl pentapeptide-4 is a fatty acid-coupled fragment of the collagen precursor that stimulates fibroblasts to produce collagen in the laboratory. In humans, its efficacy rests mainly on a split-face study with 93 women from 2005, which showed a reduction in fine lines, and on a very small study from 2023. How much active ingredient actually reaches the deeper skin has not been clarified. As a cosmetic ingredient, it is considered well tolerated. Anyone using Matrixyl products should expect a small, cosmetic effect – not a substitute for UV protection or medically tested active ingredients such as retinoids.</w:t>
      </w:r>
    </w:p>
    <w:bookmarkEnd w:id="2498"/>
    <w:bookmarkEnd w:id="2499"/>
    <w:bookmarkStart w:id="2523" w:name="acetyl-hexapeptide-8-argireline"/>
    <w:p>
      <w:pPr>
        <w:pStyle w:val="Heading2"/>
      </w:pPr>
      <w:r>
        <w:t xml:space="preserve">Acetyl Hexapeptide-8 (Argireline)</w:t>
      </w:r>
    </w:p>
    <w:bookmarkStart w:id="2500" w:name="profile-57"/>
    <w:p>
      <w:pPr>
        <w:pStyle w:val="Heading3"/>
      </w:pPr>
      <w:r>
        <w:t xml:space="preserve">Profile</w:t>
      </w:r>
    </w:p>
    <w:p>
      <w:pPr>
        <w:numPr>
          <w:ilvl w:val="0"/>
          <w:numId w:val="1315"/>
        </w:numPr>
        <w:pStyle w:val="Compact"/>
      </w:pPr>
      <w:r>
        <w:rPr>
          <w:bCs/>
          <w:b/>
        </w:rPr>
        <w:t xml:space="preserve">Type/structure:</w:t>
      </w:r>
      <w:r>
        <w:t xml:space="preserve"> </w:t>
      </w:r>
      <w:r>
        <w:t xml:space="preserve">hexapeptide with the sequence glutamate-glutamate-methionine-glutamine-arginine-arginine (Ac-EEMQRR-NH₂), acetylated at the start and amidated at the end. Formerly called acetyl hexapeptide-3; trade name of the raw material: Argireline.</w:t>
      </w:r>
    </w:p>
    <w:p>
      <w:pPr>
        <w:numPr>
          <w:ilvl w:val="0"/>
          <w:numId w:val="1315"/>
        </w:numPr>
        <w:pStyle w:val="Compact"/>
      </w:pPr>
      <w:r>
        <w:rPr>
          <w:bCs/>
          <w:b/>
        </w:rPr>
        <w:t xml:space="preserve">Origin:</w:t>
      </w:r>
      <w:r>
        <w:t xml:space="preserve"> </w:t>
      </w:r>
      <w:r>
        <w:t xml:space="preserve">synthetic, deliberately designed in the early 2000s. The sequence is modeled on the initial segment of the nerve cell protein SNAP-25.</w:t>
      </w:r>
    </w:p>
    <w:p>
      <w:pPr>
        <w:numPr>
          <w:ilvl w:val="0"/>
          <w:numId w:val="1315"/>
        </w:numPr>
        <w:pStyle w:val="Compact"/>
      </w:pPr>
      <w:r>
        <w:rPr>
          <w:bCs/>
          <w:b/>
        </w:rPr>
        <w:t xml:space="preserve">Mechanism of action:</w:t>
      </w:r>
      <w:r>
        <w:t xml:space="preserve"> </w:t>
      </w:r>
      <w:r>
        <w:t xml:space="preserve">supposed to weaken the release of the messenger acetylcholine at the junction between nerve and muscle and thus smooth expression lines – a target similar to that of botulinum toxin, only much weaker. Hence the advertising term</w:t>
      </w:r>
      <w:r>
        <w:t xml:space="preserve"> </w:t>
      </w:r>
      <w:r>
        <w:t xml:space="preserve">“</w:t>
      </w:r>
      <w:r>
        <w:t xml:space="preserve">Botox in a tube.</w:t>
      </w:r>
      <w:r>
        <w:t xml:space="preserve">”</w:t>
      </w:r>
    </w:p>
    <w:p>
      <w:pPr>
        <w:numPr>
          <w:ilvl w:val="0"/>
          <w:numId w:val="1315"/>
        </w:numPr>
        <w:pStyle w:val="Compact"/>
      </w:pPr>
      <w:r>
        <w:rPr>
          <w:bCs/>
          <w:b/>
        </w:rPr>
        <w:t xml:space="preserve">Approval EU:</w:t>
      </w:r>
      <w:r>
        <w:t xml:space="preserve"> </w:t>
      </w:r>
      <w:r>
        <w:t xml:space="preserve">not a medicine; cosmetic ingredient.</w:t>
      </w:r>
    </w:p>
    <w:p>
      <w:pPr>
        <w:numPr>
          <w:ilvl w:val="0"/>
          <w:numId w:val="1315"/>
        </w:numPr>
        <w:pStyle w:val="Compact"/>
      </w:pPr>
      <w:r>
        <w:rPr>
          <w:bCs/>
          <w:b/>
        </w:rPr>
        <w:t xml:space="preserve">Approval USA:</w:t>
      </w:r>
      <w:r>
        <w:t xml:space="preserve"> </w:t>
      </w:r>
      <w:r>
        <w:t xml:space="preserve">not a drug; cosmetic ingredient.</w:t>
      </w:r>
    </w:p>
    <w:p>
      <w:pPr>
        <w:numPr>
          <w:ilvl w:val="0"/>
          <w:numId w:val="1315"/>
        </w:numPr>
        <w:pStyle w:val="Compact"/>
      </w:pPr>
      <w:r>
        <w:rPr>
          <w:bCs/>
          <w:b/>
        </w:rPr>
        <w:t xml:space="preserve">WADA:</w:t>
      </w:r>
      <w:r>
        <w:t xml:space="preserve"> </w:t>
      </w:r>
      <w:r>
        <w:t xml:space="preserve">not listed.</w:t>
      </w:r>
    </w:p>
    <w:p>
      <w:pPr>
        <w:numPr>
          <w:ilvl w:val="0"/>
          <w:numId w:val="1315"/>
        </w:numPr>
        <w:pStyle w:val="Compact"/>
      </w:pPr>
      <w:r>
        <w:rPr>
          <w:bCs/>
          <w:b/>
        </w:rPr>
        <w:t xml:space="preserve">Evidence level:</w:t>
      </w:r>
      <w:r>
        <w:t xml:space="preserve"> </w:t>
      </w:r>
      <w:r>
        <w:rPr>
          <w:bCs/>
          <w:b/>
        </w:rPr>
        <w:t xml:space="preserve">B</w:t>
      </w:r>
      <w:r>
        <w:t xml:space="preserve"> </w:t>
      </w:r>
      <w:r>
        <w:t xml:space="preserve">(weak) – a few small randomized studies with mostly short durations and inconsistent results.</w:t>
      </w:r>
    </w:p>
    <w:bookmarkEnd w:id="2500"/>
    <w:bookmarkStart w:id="2504" w:name="how-it-is-supposed-to-work-57"/>
    <w:p>
      <w:pPr>
        <w:pStyle w:val="Heading3"/>
      </w:pPr>
      <w:r>
        <w:t xml:space="preserve">How it is supposed to work</w:t>
      </w:r>
    </w:p>
    <w:p>
      <w:pPr>
        <w:pStyle w:val="FirstParagraph"/>
      </w:pPr>
      <w:r>
        <w:t xml:space="preserve">For a muscle to contract, a nerve cell must release the messenger acetylcholine. To do this, small vesicles filled with the messenger fuse with the cell membrane. This fusion is mediated by a protein complex, the SNARE complex, in which the protein SNAP-25, among others, is involved. Botulinum toxin type A cleaves SNAP-25 and thereby paralyzes the release of the messenger for months – the muscle relaxes and the overlying wrinkle smooths out.</w:t>
      </w:r>
    </w:p>
    <w:p>
      <w:pPr>
        <w:pStyle w:val="BodyText"/>
      </w:pPr>
      <w:r>
        <w:t xml:space="preserve">Argireline was designed as a mimic of the initial segment of SNAP-25. The idea: the short peptide competes with the real SNAP-25 for its place in the SNARE complex and disrupts its formation. In the first description, Argireline inhibited the release of messengers in cell experiments with a</w:t>
      </w:r>
      <w:r>
        <w:t xml:space="preserve"> </w:t>
      </w:r>
      <w:r>
        <w:rPr>
          <w:iCs/>
          <w:i/>
        </w:rPr>
        <w:t xml:space="preserve">potency</w:t>
      </w:r>
      <w:r>
        <w:t xml:space="preserve"> </w:t>
      </w:r>
      <w:r>
        <w:t xml:space="preserve">similar to botulinum toxin A, but, as expected, achieved a much lower</w:t>
      </w:r>
      <w:r>
        <w:t xml:space="preserve"> </w:t>
      </w:r>
      <w:r>
        <w:rPr>
          <w:iCs/>
          <w:i/>
        </w:rPr>
        <w:t xml:space="preserve">efficacy</w:t>
      </w:r>
      <w:r>
        <w:t xml:space="preserve"> </w:t>
      </w:r>
      <w:r>
        <w:t xml:space="preserve">– that is, a considerably smaller maximum effect</w:t>
      </w:r>
      <w:r>
        <w:rPr>
          <w:rStyle w:val="FootnoteReference"/>
        </w:rPr>
        <w:footnoteReference w:id="2501"/>
      </w:r>
      <w:r>
        <w:t xml:space="preserve">.</w:t>
      </w:r>
    </w:p>
    <w:p>
      <w:pPr>
        <w:pStyle w:val="BodyText"/>
      </w:pPr>
      <w:r>
        <w:t xml:space="preserve">The decisive catch: to work, Argireline from a cream would have to pass through the epidermis and dermis to the nerve endings at the facial muscles. The molecule is water-soluble, electrically charged and comparatively large for the skin. In a laboratory experiment with skin from body donors, most of it remained on the skin surface after 24 hours; 0.22% of the applied peptide was found in the stratum corneum, 0.01% in the epidermis, and nothing was detectable in the dermis and below</w:t>
      </w:r>
      <w:r>
        <w:rPr>
          <w:rStyle w:val="FootnoteReference"/>
        </w:rPr>
        <w:footnoteReference w:id="2502"/>
      </w:r>
      <w:r>
        <w:t xml:space="preserve">. A 2025 review states that it remains unclear whether the peptide reaches the neuromuscular junction at all</w:t>
      </w:r>
      <w:r>
        <w:rPr>
          <w:rStyle w:val="FootnoteReference"/>
        </w:rPr>
        <w:footnoteReference w:id="2503"/>
      </w:r>
      <w:r>
        <w:t xml:space="preserve">.</w:t>
      </w:r>
    </w:p>
    <w:p>
      <w:pPr>
        <w:pStyle w:val="BodyText"/>
      </w:pPr>
      <w:r>
        <w:t xml:space="preserve">This does not rule out effects on the skin – for example on moisture or via nerve endings in the upper layers of the skin – but it makes the advertised</w:t>
      </w:r>
      <w:r>
        <w:t xml:space="preserve"> </w:t>
      </w:r>
      <w:r>
        <w:t xml:space="preserve">“</w:t>
      </w:r>
      <w:r>
        <w:t xml:space="preserve">Botox mechanism</w:t>
      </w:r>
      <w:r>
        <w:t xml:space="preserve">”</w:t>
      </w:r>
      <w:r>
        <w:t xml:space="preserve"> </w:t>
      </w:r>
      <w:r>
        <w:t xml:space="preserve">unlikely when applied to the skin.</w:t>
      </w:r>
    </w:p>
    <w:bookmarkEnd w:id="2504"/>
    <w:bookmarkStart w:id="2511" w:name="human-studies-57"/>
    <w:p>
      <w:pPr>
        <w:pStyle w:val="Heading3"/>
      </w:pPr>
      <w:r>
        <w:t xml:space="preserve">Human studies</w:t>
      </w:r>
    </w:p>
    <w:p>
      <w:pPr>
        <w:pStyle w:val="FirstParagraph"/>
      </w:pPr>
      <w:r>
        <w:t xml:space="preserve">The PubMed search evaluated for this book (acetyl hexapeptide or Argireline in title or abstract, search date October 2026) yielded three papers classified as human studies; ClinicalTrials.gov lists seven registry entries. Review turned up a few more small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Blanes-Mira 2002, PMID 18498523</w:t>
            </w:r>
          </w:p>
        </w:tc>
        <w:tc>
          <w:tcPr/>
          <w:p>
            <w:pPr>
              <w:pStyle w:val="Compact"/>
              <w:jc w:val="left"/>
            </w:pPr>
            <w:r>
              <w:t xml:space="preserve">healthy women, emulsion with 10% Argireline (details in abstract sparse)</w:t>
            </w:r>
          </w:p>
        </w:tc>
        <w:tc>
          <w:tcPr/>
          <w:p>
            <w:pPr>
              <w:pStyle w:val="Compact"/>
              <w:jc w:val="left"/>
            </w:pPr>
            <w:r>
              <w:t xml:space="preserve">30 days</w:t>
            </w:r>
          </w:p>
        </w:tc>
        <w:tc>
          <w:tcPr/>
          <w:p>
            <w:pPr>
              <w:pStyle w:val="Compact"/>
              <w:jc w:val="left"/>
            </w:pPr>
            <w:r>
              <w:t xml:space="preserve">Wrinkle depth reduced by up to 30%</w:t>
            </w:r>
          </w:p>
        </w:tc>
      </w:tr>
      <w:tr>
        <w:tc>
          <w:tcPr/>
          <w:p>
            <w:pPr>
              <w:pStyle w:val="Compact"/>
              <w:jc w:val="left"/>
            </w:pPr>
            <w:r>
              <w:t xml:space="preserve">Wang 2013, PMID 23417317</w:t>
            </w:r>
          </w:p>
        </w:tc>
        <w:tc>
          <w:tcPr/>
          <w:p>
            <w:pPr>
              <w:pStyle w:val="Compact"/>
              <w:jc w:val="left"/>
            </w:pPr>
            <w:r>
              <w:t xml:space="preserve">60 Chinese adults with periorbital wrinkles, Argireline vs. placebo in a 3:1 ratio</w:t>
            </w:r>
          </w:p>
        </w:tc>
        <w:tc>
          <w:tcPr/>
          <w:p>
            <w:pPr>
              <w:pStyle w:val="Compact"/>
              <w:jc w:val="left"/>
            </w:pPr>
            <w:r>
              <w:t xml:space="preserve">4 weeks</w:t>
            </w:r>
          </w:p>
        </w:tc>
        <w:tc>
          <w:tcPr/>
          <w:p>
            <w:pPr>
              <w:pStyle w:val="Compact"/>
              <w:jc w:val="left"/>
            </w:pPr>
            <w:r>
              <w:t xml:space="preserve">Subjective</w:t>
            </w:r>
            <w:r>
              <w:t xml:space="preserve"> </w:t>
            </w:r>
            <w:r>
              <w:t xml:space="preserve">“</w:t>
            </w:r>
            <w:r>
              <w:t xml:space="preserve">overall efficacy</w:t>
            </w:r>
            <w:r>
              <w:t xml:space="preserve">”</w:t>
            </w:r>
            <w:r>
              <w:t xml:space="preserve"> </w:t>
            </w:r>
            <w:r>
              <w:t xml:space="preserve">48.9% vs. 0%; roughness values in skin replicas decreased</w:t>
            </w:r>
          </w:p>
        </w:tc>
      </w:tr>
      <w:tr>
        <w:tc>
          <w:tcPr/>
          <w:p>
            <w:pPr>
              <w:pStyle w:val="Compact"/>
              <w:jc w:val="left"/>
            </w:pPr>
            <w:r>
              <w:t xml:space="preserve">Raikou 2017, PMID 28150423</w:t>
            </w:r>
          </w:p>
        </w:tc>
        <w:tc>
          <w:tcPr/>
          <w:p>
            <w:pPr>
              <w:pStyle w:val="Compact"/>
              <w:jc w:val="left"/>
            </w:pPr>
            <w:r>
              <w:t xml:space="preserve">24 healthy people, four groups: Argireline, tripeptide-10 citrulline, both or neither</w:t>
            </w:r>
          </w:p>
        </w:tc>
        <w:tc>
          <w:tcPr/>
          <w:p>
            <w:pPr>
              <w:pStyle w:val="Compact"/>
              <w:jc w:val="left"/>
            </w:pPr>
            <w:r>
              <w:t xml:space="preserve">60 days</w:t>
            </w:r>
          </w:p>
        </w:tc>
        <w:tc>
          <w:tcPr/>
          <w:p>
            <w:pPr>
              <w:pStyle w:val="Compact"/>
              <w:jc w:val="left"/>
            </w:pPr>
            <w:r>
              <w:t xml:space="preserve">Some wrinkle parameters and transepidermal water loss better with Argireline</w:t>
            </w:r>
          </w:p>
        </w:tc>
      </w:tr>
      <w:tr>
        <w:tc>
          <w:tcPr/>
          <w:p>
            <w:pPr>
              <w:pStyle w:val="Compact"/>
              <w:jc w:val="left"/>
            </w:pPr>
            <w:r>
              <w:t xml:space="preserve">Henseler 2023, PMID 38024099</w:t>
            </w:r>
          </w:p>
        </w:tc>
        <w:tc>
          <w:tcPr/>
          <w:p>
            <w:pPr>
              <w:pStyle w:val="Compact"/>
              <w:jc w:val="left"/>
            </w:pPr>
            <w:r>
              <w:t xml:space="preserve">19 women, split-face comparison: hyaluronic serum with vs. without Argireline, double-blind</w:t>
            </w:r>
          </w:p>
        </w:tc>
        <w:tc>
          <w:tcPr/>
          <w:p>
            <w:pPr>
              <w:pStyle w:val="Compact"/>
              <w:jc w:val="left"/>
            </w:pPr>
            <w:r>
              <w:t xml:space="preserve">4 weeks</w:t>
            </w:r>
          </w:p>
        </w:tc>
        <w:tc>
          <w:tcPr/>
          <w:p>
            <w:pPr>
              <w:pStyle w:val="Compact"/>
              <w:jc w:val="left"/>
            </w:pPr>
            <w:r>
              <w:t xml:space="preserve">No significant difference between the halves of the face</w:t>
            </w:r>
          </w:p>
        </w:tc>
      </w:tr>
      <w:tr>
        <w:tc>
          <w:tcPr/>
          <w:p>
            <w:pPr>
              <w:pStyle w:val="Compact"/>
              <w:jc w:val="left"/>
            </w:pPr>
            <w:r>
              <w:t xml:space="preserve">Aruan 2023, PMID 36909866</w:t>
            </w:r>
          </w:p>
        </w:tc>
        <w:tc>
          <w:tcPr/>
          <w:p>
            <w:pPr>
              <w:pStyle w:val="Compact"/>
              <w:jc w:val="left"/>
            </w:pPr>
            <w:r>
              <w:t xml:space="preserve">21 women, acetyl hexapeptide-3 vs. palmitoyl pentapeptide-4 vs. placebo</w:t>
            </w:r>
          </w:p>
        </w:tc>
        <w:tc>
          <w:tcPr/>
          <w:p>
            <w:pPr>
              <w:pStyle w:val="Compact"/>
              <w:jc w:val="left"/>
            </w:pPr>
            <w:r>
              <w:t xml:space="preserve">8 weeks</w:t>
            </w:r>
          </w:p>
        </w:tc>
        <w:tc>
          <w:tcPr/>
          <w:p>
            <w:pPr>
              <w:pStyle w:val="Compact"/>
              <w:jc w:val="left"/>
            </w:pPr>
            <w:r>
              <w:t xml:space="preserve">Palmitoyl pentapeptide-4 performed better than Argireline and placebo</w:t>
            </w:r>
          </w:p>
        </w:tc>
      </w:tr>
    </w:tbl>
    <w:p>
      <w:pPr>
        <w:pStyle w:val="BodyText"/>
      </w:pPr>
      <w:r>
        <w:rPr>
          <w:bCs/>
          <w:b/>
        </w:rPr>
        <w:t xml:space="preserve">Putting the positive studies in context:</w:t>
      </w:r>
    </w:p>
    <w:p>
      <w:pPr>
        <w:numPr>
          <w:ilvl w:val="0"/>
          <w:numId w:val="1316"/>
        </w:numPr>
        <w:pStyle w:val="Compact"/>
      </w:pPr>
      <w:r>
        <w:t xml:space="preserve">The first description from 2002 comes from the developers, and the abstract states neither the number of participants nor a control group. It tested a concentration of 10% – far above what a US safety assessment later considered adequately studied (see Risks).</w:t>
      </w:r>
    </w:p>
    <w:p>
      <w:pPr>
        <w:numPr>
          <w:ilvl w:val="0"/>
          <w:numId w:val="1316"/>
        </w:numPr>
        <w:pStyle w:val="Compact"/>
      </w:pPr>
      <w:r>
        <w:t xml:space="preserve">The Chinese study (Wang 2013) is the largest. The groups were of unequal size (about 45 versus 15), the main assessment was subjective, and the same clinical data appear together with mouse experiments in another publication by the same group</w:t>
      </w:r>
      <w:r>
        <w:rPr>
          <w:rStyle w:val="FootnoteReference"/>
        </w:rPr>
        <w:footnoteReference w:id="2505"/>
      </w:r>
      <w:r>
        <w:t xml:space="preserve">. In comparisons with baseline, only the Argireline group showed decreasing roughness values – a direct statistical comparison of the groups is not reported in the abstract.</w:t>
      </w:r>
    </w:p>
    <w:p>
      <w:pPr>
        <w:numPr>
          <w:ilvl w:val="0"/>
          <w:numId w:val="1316"/>
        </w:numPr>
        <w:pStyle w:val="Compact"/>
      </w:pPr>
      <w:r>
        <w:t xml:space="preserve">The Raikou study had only six participants per group and a large number of individual comparisons; some differences were significant, others were not.</w:t>
      </w:r>
    </w:p>
    <w:p>
      <w:pPr>
        <w:pStyle w:val="FirstParagraph"/>
      </w:pPr>
      <w:r>
        <w:rPr>
          <w:bCs/>
          <w:b/>
        </w:rPr>
        <w:t xml:space="preserve">The negative study:</w:t>
      </w:r>
      <w:r>
        <w:t xml:space="preserve"> </w:t>
      </w:r>
      <w:r>
        <w:t xml:space="preserve">A double-blind split-face study from a plastic surgery practice with objective camera measurement (Henseler 2023) found no difference between the half of the face with and without Argireline. The investigators concluded that an effect had not been demonstrated and that Argireline should not be classified as an alternative to botulinum toxin. With 19 participants, however, this study was also small.</w:t>
      </w:r>
    </w:p>
    <w:bookmarkStart w:id="2510" w:name="other-applications-1"/>
    <w:p>
      <w:pPr>
        <w:pStyle w:val="Heading4"/>
      </w:pPr>
      <w:r>
        <w:t xml:space="preserve">Other Applications</w:t>
      </w:r>
    </w:p>
    <w:p>
      <w:pPr>
        <w:numPr>
          <w:ilvl w:val="0"/>
          <w:numId w:val="1317"/>
        </w:numPr>
        <w:pStyle w:val="Compact"/>
      </w:pPr>
      <w:r>
        <w:rPr>
          <w:bCs/>
          <w:b/>
        </w:rPr>
        <w:t xml:space="preserve">Eyelid spasm (blepharospasm):</w:t>
      </w:r>
      <w:r>
        <w:t xml:space="preserve"> </w:t>
      </w:r>
      <w:r>
        <w:t xml:space="preserve">In this neurological disorder, the eyelid muscles cramp involuntarily; standard treatment is the injection of botulinum toxin every three months. In a pilot study with 24 patients, an Argireline cream was supposed to prolong the duration of effect of the injection. There was a non-significant trend (3.7 versus 3.0 months until symptoms returned) and no relevant side effects (Lungu 2013, PMID 23146065; registered as NCT00942851). A follow-up study was terminated after eight participants</w:t>
      </w:r>
      <w:r>
        <w:rPr>
          <w:rStyle w:val="FootnoteReference"/>
        </w:rPr>
        <w:footnoteReference w:id="2506"/>
      </w:r>
      <w:r>
        <w:t xml:space="preserve">.</w:t>
      </w:r>
    </w:p>
    <w:p>
      <w:pPr>
        <w:numPr>
          <w:ilvl w:val="0"/>
          <w:numId w:val="1317"/>
        </w:numPr>
        <w:pStyle w:val="Compact"/>
      </w:pPr>
      <w:r>
        <w:rPr>
          <w:bCs/>
          <w:b/>
        </w:rPr>
        <w:t xml:space="preserve">Microneedle patches:</w:t>
      </w:r>
      <w:r>
        <w:t xml:space="preserve"> </w:t>
      </w:r>
      <w:r>
        <w:t xml:space="preserve">In a Korean split-face study with 52 women, a hyaluronic microneedle patch with Argireline improved wrinkles more than the patch alone</w:t>
      </w:r>
      <w:r>
        <w:rPr>
          <w:rStyle w:val="FootnoteReference"/>
        </w:rPr>
        <w:footnoteReference w:id="2507"/>
      </w:r>
      <w:r>
        <w:t xml:space="preserve">. Here the peptide is delivered into the skin by tiny needles – the result cannot be transferred to normal creams.</w:t>
      </w:r>
    </w:p>
    <w:p>
      <w:pPr>
        <w:numPr>
          <w:ilvl w:val="0"/>
          <w:numId w:val="1317"/>
        </w:numPr>
        <w:pStyle w:val="Compact"/>
      </w:pPr>
      <w:r>
        <w:rPr>
          <w:bCs/>
          <w:b/>
        </w:rPr>
        <w:t xml:space="preserve">Combination products:</w:t>
      </w:r>
      <w:r>
        <w:t xml:space="preserve"> </w:t>
      </w:r>
      <w:r>
        <w:t xml:space="preserve">Many studies test serums that contain Argireline together with retinol, hyaluronic acid or other peptides. Their results cannot be attributed to the individual peptide.</w:t>
      </w:r>
    </w:p>
    <w:p>
      <w:pPr>
        <w:numPr>
          <w:ilvl w:val="0"/>
          <w:numId w:val="1317"/>
        </w:numPr>
        <w:pStyle w:val="Compact"/>
      </w:pPr>
      <w:r>
        <w:rPr>
          <w:bCs/>
          <w:b/>
        </w:rPr>
        <w:t xml:space="preserve">Registered small studies:</w:t>
      </w:r>
      <w:r>
        <w:t xml:space="preserve"> </w:t>
      </w:r>
      <w:r>
        <w:t xml:space="preserve">ClinicalTrials.gov lists, among others, a completed study on oily skin with 14 participants</w:t>
      </w:r>
      <w:r>
        <w:rPr>
          <w:rStyle w:val="FootnoteReference"/>
        </w:rPr>
        <w:footnoteReference w:id="2508"/>
      </w:r>
      <w:r>
        <w:t xml:space="preserve"> </w:t>
      </w:r>
      <w:r>
        <w:t xml:space="preserve">and a study on periorbital wrinkles described as phase 3 with 70 participants</w:t>
      </w:r>
      <w:r>
        <w:rPr>
          <w:rStyle w:val="FootnoteReference"/>
        </w:rPr>
        <w:footnoteReference w:id="2509"/>
      </w:r>
      <w:r>
        <w:t xml:space="preserve">; whether the latter corresponds to the Chinese study mentioned above could not be clearly determined.</w:t>
      </w:r>
    </w:p>
    <w:bookmarkEnd w:id="2510"/>
    <w:bookmarkEnd w:id="2511"/>
    <w:bookmarkStart w:id="2516" w:name="animal-and-laboratory-studies-57"/>
    <w:p>
      <w:pPr>
        <w:pStyle w:val="Heading3"/>
      </w:pPr>
      <w:r>
        <w:t xml:space="preserve">Animal and laboratory studies</w:t>
      </w:r>
    </w:p>
    <w:p>
      <w:pPr>
        <w:numPr>
          <w:ilvl w:val="0"/>
          <w:numId w:val="1318"/>
        </w:numPr>
        <w:pStyle w:val="Compact"/>
      </w:pPr>
      <w:r>
        <w:rPr>
          <w:bCs/>
          <w:b/>
        </w:rPr>
        <w:t xml:space="preserve">Cell experiments:</w:t>
      </w:r>
      <w:r>
        <w:t xml:space="preserve"> </w:t>
      </w:r>
      <w:r>
        <w:t xml:space="preserve">inhibition of messenger release and disruption of SNARE complex formation</w:t>
      </w:r>
      <w:r>
        <w:rPr>
          <w:rStyle w:val="FootnoteReference"/>
        </w:rPr>
        <w:footnoteReference w:id="2512"/>
      </w:r>
      <w:r>
        <w:t xml:space="preserve">. In cell cultures of human skin fibroblasts and other cell lines, Argireline inhibited cell proliferation in a dose-dependent manner, but only at concentrations 18 to 10,000 times higher than those of the comparator substance doxorubicin, a cancer drug</w:t>
      </w:r>
      <w:r>
        <w:rPr>
          <w:rStyle w:val="FootnoteReference"/>
        </w:rPr>
        <w:footnoteReference w:id="2513"/>
      </w:r>
      <w:r>
        <w:t xml:space="preserve">.</w:t>
      </w:r>
    </w:p>
    <w:p>
      <w:pPr>
        <w:numPr>
          <w:ilvl w:val="0"/>
          <w:numId w:val="1318"/>
        </w:numPr>
        <w:pStyle w:val="Compact"/>
      </w:pPr>
      <w:r>
        <w:rPr>
          <w:bCs/>
          <w:b/>
        </w:rPr>
        <w:t xml:space="preserve">Animal experiments:</w:t>
      </w:r>
      <w:r>
        <w:t xml:space="preserve"> </w:t>
      </w:r>
      <w:r>
        <w:t xml:space="preserve">In mice with artificially accelerated aging (induced by D-galactose), the proportion of type I collagen fibers in the skin increased under Argireline</w:t>
      </w:r>
      <w:r>
        <w:rPr>
          <w:rStyle w:val="FootnoteReference"/>
        </w:rPr>
        <w:footnoteReference w:id="2514"/>
      </w:r>
      <w:r>
        <w:t xml:space="preserve">.</w:t>
      </w:r>
    </w:p>
    <w:p>
      <w:pPr>
        <w:numPr>
          <w:ilvl w:val="0"/>
          <w:numId w:val="1318"/>
        </w:numPr>
        <w:pStyle w:val="Compact"/>
      </w:pPr>
      <w:r>
        <w:rPr>
          <w:bCs/>
          <w:b/>
        </w:rPr>
        <w:t xml:space="preserve">Skin penetration:</w:t>
      </w:r>
      <w:r>
        <w:t xml:space="preserve"> </w:t>
      </w:r>
      <w:r>
        <w:t xml:space="preserve">In addition to the study on body donor skin</w:t>
      </w:r>
      <w:r>
        <w:rPr>
          <w:rStyle w:val="FootnoteReference"/>
        </w:rPr>
        <w:footnoteReference w:id="2515"/>
      </w:r>
      <w:r>
        <w:t xml:space="preserve">, numerous laboratory studies are investigating emulsions, microneedles, iontophoresis and chemical modifications to deliver more active ingredient into the skin.</w:t>
      </w:r>
    </w:p>
    <w:bookmarkEnd w:id="2516"/>
    <w:bookmarkStart w:id="2519" w:name="risks-and-side-effects-57"/>
    <w:p>
      <w:pPr>
        <w:pStyle w:val="Heading3"/>
      </w:pPr>
      <w:r>
        <w:t xml:space="preserve">Risks and side effects</w:t>
      </w:r>
    </w:p>
    <w:p>
      <w:pPr>
        <w:pStyle w:val="FirstParagraph"/>
      </w:pPr>
      <w:r>
        <w:rPr>
          <w:bCs/>
          <w:b/>
        </w:rPr>
        <w:t xml:space="preserve">As a cream (established):</w:t>
      </w:r>
      <w:r>
        <w:t xml:space="preserve"> </w:t>
      </w:r>
      <w:r>
        <w:t xml:space="preserve">No relevant side effects were observed in the studies; skin irritation and allergies are possible, as with any cosmetic ingredient. The independent US expert panel on the safety of cosmetic ingredients (Cosmetic Ingredient Review) concluded in 2025 that acetyl hexapeptide-8 is safe at the concentrations currently in use of up to 0.005%. For higher concentrations, the available data were insufficient for a safety statement</w:t>
      </w:r>
      <w:r>
        <w:rPr>
          <w:rStyle w:val="FootnoteReference"/>
        </w:rPr>
        <w:footnoteReference w:id="2517"/>
      </w:r>
      <w:r>
        <w:t xml:space="preserve">.</w:t>
      </w:r>
    </w:p>
    <w:p>
      <w:pPr>
        <w:pStyle w:val="BodyText"/>
      </w:pPr>
      <w:r>
        <w:rPr>
          <w:bCs/>
          <w:b/>
        </w:rPr>
        <w:t xml:space="preserve">As an injection:</w:t>
      </w:r>
      <w:r>
        <w:t xml:space="preserve"> </w:t>
      </w:r>
      <w:r>
        <w:t xml:space="preserve">Argireline is sometimes also injected into the skin, for example in beauty salons or via gray-market products. There is no approval and there are no studies for this. A case report describes a 45-year-old woman who developed redness, nodules and abscesses after Argireline injections into the forehead and temples; the cause was an infection with the difficult-to-treat bacterium</w:t>
      </w:r>
      <w:r>
        <w:t xml:space="preserve"> </w:t>
      </w:r>
      <w:r>
        <w:rPr>
          <w:iCs/>
          <w:i/>
        </w:rPr>
        <w:t xml:space="preserve">Mycobacterium abscessus</w:t>
      </w:r>
      <w:r>
        <w:t xml:space="preserve">, which required five months of antibiotic therapy</w:t>
      </w:r>
      <w:r>
        <w:rPr>
          <w:rStyle w:val="FootnoteReference"/>
        </w:rPr>
        <w:footnoteReference w:id="2518"/>
      </w:r>
      <w:r>
        <w:t xml:space="preserve">. The risk here lies less in the peptide itself than in non-sterile products and procedures.</w:t>
      </w:r>
    </w:p>
    <w:p>
      <w:pPr>
        <w:pStyle w:val="BodyText"/>
      </w:pPr>
      <w:r>
        <w:rPr>
          <w:bCs/>
          <w:b/>
        </w:rPr>
        <w:t xml:space="preserve">Theoretical:</w:t>
      </w:r>
      <w:r>
        <w:t xml:space="preserve"> </w:t>
      </w:r>
      <w:r>
        <w:t xml:space="preserve">If Argireline reached neuromuscular junctions in significant amounts, undesirable muscle weakness would be conceivable – as with botulinum toxin. There is no indication of this with topical use.</w:t>
      </w:r>
    </w:p>
    <w:bookmarkEnd w:id="2519"/>
    <w:bookmarkStart w:id="2520" w:name="legal-status-57"/>
    <w:p>
      <w:pPr>
        <w:pStyle w:val="Heading3"/>
      </w:pPr>
      <w:r>
        <w:t xml:space="preserve">Legal status</w:t>
      </w:r>
    </w:p>
    <w:p>
      <w:pPr>
        <w:numPr>
          <w:ilvl w:val="0"/>
          <w:numId w:val="1319"/>
        </w:numPr>
        <w:pStyle w:val="Compact"/>
      </w:pPr>
      <w:r>
        <w:rPr>
          <w:bCs/>
          <w:b/>
        </w:rPr>
        <w:t xml:space="preserve">EU / Austria / Germany:</w:t>
      </w:r>
      <w:r>
        <w:t xml:space="preserve"> </w:t>
      </w:r>
      <w:r>
        <w:t xml:space="preserve">Acetyl hexapeptide-8 is a permitted cosmetic ingredient under the EU Cosmetics Regulation (Regulation (EC) No 1223/2009). Advertising claims must be substantiated in accordance with Regulation (EU) No 655/2013. Comparisons with botulinum toxin (</w:t>
      </w:r>
      <w:r>
        <w:t xml:space="preserve">“</w:t>
      </w:r>
      <w:r>
        <w:t xml:space="preserve">like Botox</w:t>
      </w:r>
      <w:r>
        <w:t xml:space="preserve">”</w:t>
      </w:r>
      <w:r>
        <w:t xml:space="preserve">) are misleading if they suggest a comparable effect. An injection is not a cosmetic use; a product intended for injection would be an unapproved medicine or medical device and may not be marketed as such.</w:t>
      </w:r>
    </w:p>
    <w:p>
      <w:pPr>
        <w:numPr>
          <w:ilvl w:val="0"/>
          <w:numId w:val="1319"/>
        </w:numPr>
        <w:pStyle w:val="Compact"/>
      </w:pPr>
      <w:r>
        <w:rPr>
          <w:bCs/>
          <w:b/>
        </w:rPr>
        <w:t xml:space="preserve">USA:</w:t>
      </w:r>
      <w:r>
        <w:t xml:space="preserve"> </w:t>
      </w:r>
      <w:r>
        <w:t xml:space="preserve">cosmetic ingredient without prior review by the FDA; claims that promise an effect on muscles can legally turn a product into a drug.</w:t>
      </w:r>
    </w:p>
    <w:p>
      <w:pPr>
        <w:numPr>
          <w:ilvl w:val="0"/>
          <w:numId w:val="1319"/>
        </w:numPr>
        <w:pStyle w:val="Compact"/>
      </w:pPr>
      <w:r>
        <w:rPr>
          <w:bCs/>
          <w:b/>
        </w:rPr>
        <w:t xml:space="preserve">Sport:</w:t>
      </w:r>
      <w:r>
        <w:t xml:space="preserve"> </w:t>
      </w:r>
      <w:r>
        <w:t xml:space="preserve">irrelevant (as of 2026, please check for updates).</w:t>
      </w:r>
    </w:p>
    <w:bookmarkEnd w:id="2520"/>
    <w:bookmarkStart w:id="2521" w:name="ongoing-studies-and-outlook-57"/>
    <w:p>
      <w:pPr>
        <w:pStyle w:val="Heading3"/>
      </w:pPr>
      <w:r>
        <w:t xml:space="preserve">Ongoing studies and outlook</w:t>
      </w:r>
    </w:p>
    <w:p>
      <w:pPr>
        <w:pStyle w:val="FirstParagraph"/>
      </w:pPr>
      <w:r>
        <w:rPr>
          <w:bCs/>
          <w:b/>
        </w:rPr>
        <w:t xml:space="preserve">Established:</w:t>
      </w:r>
      <w:r>
        <w:t xml:space="preserve"> </w:t>
      </w:r>
      <w:r>
        <w:t xml:space="preserve">On ClinicalTrials.gov (as of October 2026), there is no ongoing study with acetyl hexapeptide-8 as a single active ingredient; the listed entries have been completed or terminated. Cosmetic efficacy studies are rarely registered.</w:t>
      </w:r>
    </w:p>
    <w:p>
      <w:pPr>
        <w:pStyle w:val="BodyText"/>
      </w:pPr>
      <w:r>
        <w:rPr>
          <w:bCs/>
          <w:b/>
        </w:rPr>
        <w:t xml:space="preserve">Assessment:</w:t>
      </w:r>
      <w:r>
        <w:t xml:space="preserve"> </w:t>
      </w:r>
      <w:r>
        <w:t xml:space="preserve">Argireline is an example of a rationally designed peptide whose laboratory finding is convincing but whose path to the site of action remains unresolved. Research is therefore focusing on delivery systems such as microneedles and nanocarriers. Whether these achieve an effect that is visible to users and goes beyond that of a good moisturizer must be shown by larger, independent studies. Based on current knowledge, a genuine alternative to botulinum toxin is not to be expected.</w:t>
      </w:r>
    </w:p>
    <w:bookmarkEnd w:id="2521"/>
    <w:bookmarkStart w:id="2522" w:name="conclusion-57"/>
    <w:p>
      <w:pPr>
        <w:pStyle w:val="Heading3"/>
      </w:pPr>
      <w:r>
        <w:t xml:space="preserve">Conclusion</w:t>
      </w:r>
    </w:p>
    <w:p>
      <w:pPr>
        <w:pStyle w:val="FirstParagraph"/>
      </w:pPr>
      <w:r>
        <w:t xml:space="preserve">Acetyl hexapeptide-8 is a synthetic peptide that in the laboratory inhibits the release of messengers at nerve cells similarly to botulinum toxin, but much more weakly. From creams, it barely penetrates the skin; in a laboratory experiment, it remained almost entirely in the superficial layers. Small, short studies – some by the developers, some with combination products – report fewer fine lines; a blinded split-face study with objective measurement, by contrast, found no difference. As a cream, it is considered safe at the usual concentrations; injections have been neither studied nor approved and can lead to serious infections. The advertising term</w:t>
      </w:r>
      <w:r>
        <w:t xml:space="preserve"> </w:t>
      </w:r>
      <w:r>
        <w:t xml:space="preserve">“</w:t>
      </w:r>
      <w:r>
        <w:t xml:space="preserve">Botox in a tube</w:t>
      </w:r>
      <w:r>
        <w:t xml:space="preserve">”</w:t>
      </w:r>
      <w:r>
        <w:t xml:space="preserve"> </w:t>
      </w:r>
      <w:r>
        <w:t xml:space="preserve">is not supported by the data.</w:t>
      </w:r>
    </w:p>
    <w:bookmarkEnd w:id="2522"/>
    <w:bookmarkEnd w:id="2523"/>
    <w:bookmarkEnd w:id="2524"/>
    <w:bookmarkStart w:id="2603" w:name="part-iii-the-big-comparison"/>
    <w:p>
      <w:pPr>
        <w:pStyle w:val="Heading1"/>
      </w:pPr>
      <w:r>
        <w:t xml:space="preserve">Part III – The Big Comparison</w:t>
      </w:r>
    </w:p>
    <w:p>
      <w:pPr>
        <w:pStyle w:val="FirstParagraph"/>
      </w:pPr>
      <w:r>
        <w:t xml:space="preserve">In Part II, each peptide was considered individually. This part places the results side by side and answers three questions: How well studied is a peptide compared with the others? How do the weight-loss and diabetes medications compare with each other? And what remains of the promises from the internet if only human studies are allowed to count?</w:t>
      </w:r>
    </w:p>
    <w:p>
      <w:pPr>
        <w:pStyle w:val="BodyText"/>
      </w:pPr>
      <w:r>
        <w:t xml:space="preserve">The tables are condensations. The sources and limitations of each figure can be found in the chapters of Part II. All information on approval and doping status reflects the status as of 2026 and should be checked for updates.</w:t>
      </w:r>
    </w:p>
    <w:bookmarkStart w:id="2537" w:name="all-peptides-at-a-glance"/>
    <w:p>
      <w:pPr>
        <w:pStyle w:val="Heading2"/>
      </w:pPr>
      <w:r>
        <w:t xml:space="preserve">All Peptides at a Glance</w:t>
      </w:r>
    </w:p>
    <w:bookmarkStart w:id="2525" w:name="how-to-read-the-tables"/>
    <w:p>
      <w:pPr>
        <w:pStyle w:val="Heading3"/>
      </w:pPr>
      <w:r>
        <w:t xml:space="preserve">How to Read the Tables</w:t>
      </w:r>
    </w:p>
    <w:p>
      <w:pPr>
        <w:pStyle w:val="FirstParagraph"/>
      </w:pPr>
      <w:r>
        <w:t xml:space="preserve">For each group from Part II, two tables follow: the first with evidence level, approval and size of the evidence base, the second with the most important study result and the main risk.</w:t>
      </w:r>
    </w:p>
    <w:p>
      <w:pPr>
        <w:pStyle w:val="BodyText"/>
      </w:pPr>
      <w:r>
        <w:rPr>
          <w:bCs/>
          <w:b/>
        </w:rPr>
        <w:t xml:space="preserve">Evidence level</w:t>
      </w:r>
      <w:r>
        <w:t xml:space="preserve"> </w:t>
      </w:r>
      <w:r>
        <w:t xml:space="preserve">(as in Part II):</w:t>
      </w:r>
    </w:p>
    <w:p>
      <w:pPr>
        <w:numPr>
          <w:ilvl w:val="0"/>
          <w:numId w:val="1320"/>
        </w:numPr>
        <w:pStyle w:val="Compact"/>
      </w:pPr>
      <w:r>
        <w:rPr>
          <w:bCs/>
          <w:b/>
        </w:rPr>
        <w:t xml:space="preserve">A</w:t>
      </w:r>
      <w:r>
        <w:t xml:space="preserve">: several large randomized studies in humans, usually with approval</w:t>
      </w:r>
    </w:p>
    <w:p>
      <w:pPr>
        <w:numPr>
          <w:ilvl w:val="0"/>
          <w:numId w:val="1320"/>
        </w:numPr>
        <w:pStyle w:val="Compact"/>
      </w:pPr>
      <w:r>
        <w:rPr>
          <w:bCs/>
          <w:b/>
        </w:rPr>
        <w:t xml:space="preserve">B</w:t>
      </w:r>
      <w:r>
        <w:t xml:space="preserve">: individual randomized studies in humans</w:t>
      </w:r>
    </w:p>
    <w:p>
      <w:pPr>
        <w:numPr>
          <w:ilvl w:val="0"/>
          <w:numId w:val="1320"/>
        </w:numPr>
        <w:pStyle w:val="Compact"/>
      </w:pPr>
      <w:r>
        <w:rPr>
          <w:bCs/>
          <w:b/>
        </w:rPr>
        <w:t xml:space="preserve">C</w:t>
      </w:r>
      <w:r>
        <w:t xml:space="preserve">: only small or uncontrolled human studies</w:t>
      </w:r>
    </w:p>
    <w:p>
      <w:pPr>
        <w:numPr>
          <w:ilvl w:val="0"/>
          <w:numId w:val="1320"/>
        </w:numPr>
        <w:pStyle w:val="Compact"/>
      </w:pPr>
      <w:r>
        <w:rPr>
          <w:bCs/>
          <w:b/>
        </w:rPr>
        <w:t xml:space="preserve">D</w:t>
      </w:r>
      <w:r>
        <w:t xml:space="preserve">: only animal and laboratory studies</w:t>
      </w:r>
    </w:p>
    <w:p>
      <w:pPr>
        <w:pStyle w:val="FirstParagraph"/>
      </w:pPr>
      <w:r>
        <w:t xml:space="preserve">The level describes</w:t>
      </w:r>
      <w:r>
        <w:t xml:space="preserve"> </w:t>
      </w:r>
      <w:r>
        <w:rPr>
          <w:iCs/>
          <w:i/>
        </w:rPr>
        <w:t xml:space="preserve">how well</w:t>
      </w:r>
      <w:r>
        <w:t xml:space="preserve"> </w:t>
      </w:r>
      <w:r>
        <w:t xml:space="preserve">something has been studied, not</w:t>
      </w:r>
      <w:r>
        <w:t xml:space="preserve"> </w:t>
      </w:r>
      <w:r>
        <w:rPr>
          <w:iCs/>
          <w:i/>
        </w:rPr>
        <w:t xml:space="preserve">whether</w:t>
      </w:r>
      <w:r>
        <w:t xml:space="preserve"> </w:t>
      </w:r>
      <w:r>
        <w:t xml:space="preserve">it works – and applies only to the use studied.</w:t>
      </w:r>
    </w:p>
    <w:p>
      <w:pPr>
        <w:pStyle w:val="BodyText"/>
      </w:pPr>
      <w:r>
        <w:rPr>
          <w:bCs/>
          <w:b/>
        </w:rPr>
        <w:t xml:space="preserve">Human studies / registry:</w:t>
      </w:r>
      <w:r>
        <w:t xml:space="preserve"> </w:t>
      </w:r>
      <w:r>
        <w:t xml:space="preserve">The figures come from the automated search for this book (October 2026, methodology in the appendix): publications classified as human studies in PubMed and entries in the ClinicalTrials.gov study registry. They show only the order of magnitude, depend heavily on the search term and partly contain irrelevant hits, while older papers under other names may be missing. Where a figure is clearly misleading, it is marked</w:t>
      </w:r>
      <w:r>
        <w:t xml:space="preserve"> </w:t>
      </w:r>
      <w:r>
        <w:t xml:space="preserve">“</w:t>
      </w:r>
      <w:r>
        <w:t xml:space="preserve">(note)</w:t>
      </w:r>
      <w:r>
        <w:t xml:space="preserve">”</w:t>
      </w:r>
      <w:r>
        <w:t xml:space="preserve"> </w:t>
      </w:r>
      <w:r>
        <w:t xml:space="preserve">and explained below the table. Registry entries from a sponsor whose entries proved on review to be apparently fictitious sample or test entries are not counted.</w:t>
      </w:r>
    </w:p>
    <w:bookmarkEnd w:id="2525"/>
    <w:bookmarkStart w:id="2526" w:name="a.-metabolism-and-weight"/>
    <w:p>
      <w:pPr>
        <w:pStyle w:val="Heading3"/>
      </w:pPr>
      <w:r>
        <w:t xml:space="preserve">A. Metabolism and Weight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Exenatide</w:t>
            </w:r>
          </w:p>
        </w:tc>
        <w:tc>
          <w:tcPr/>
          <w:p>
            <w:pPr>
              <w:pStyle w:val="Compact"/>
              <w:jc w:val="left"/>
            </w:pPr>
            <w:r>
              <w:t xml:space="preserve">A</w:t>
            </w:r>
          </w:p>
        </w:tc>
        <w:tc>
          <w:tcPr/>
          <w:p>
            <w:pPr>
              <w:pStyle w:val="Compact"/>
              <w:jc w:val="left"/>
            </w:pPr>
            <w:r>
              <w:t xml:space="preserve">yes / yes</w:t>
            </w:r>
          </w:p>
        </w:tc>
        <w:tc>
          <w:tcPr/>
          <w:p>
            <w:pPr>
              <w:pStyle w:val="Compact"/>
              <w:jc w:val="left"/>
            </w:pPr>
            <w:r>
              <w:t xml:space="preserve">437 / 379</w:t>
            </w:r>
          </w:p>
        </w:tc>
      </w:tr>
      <w:tr>
        <w:tc>
          <w:tcPr/>
          <w:p>
            <w:pPr>
              <w:pStyle w:val="Compact"/>
              <w:jc w:val="left"/>
            </w:pPr>
            <w:r>
              <w:t xml:space="preserve">Liraglutide</w:t>
            </w:r>
          </w:p>
        </w:tc>
        <w:tc>
          <w:tcPr/>
          <w:p>
            <w:pPr>
              <w:pStyle w:val="Compact"/>
              <w:jc w:val="left"/>
            </w:pPr>
            <w:r>
              <w:t xml:space="preserve">A</w:t>
            </w:r>
          </w:p>
        </w:tc>
        <w:tc>
          <w:tcPr/>
          <w:p>
            <w:pPr>
              <w:pStyle w:val="Compact"/>
              <w:jc w:val="left"/>
            </w:pPr>
            <w:r>
              <w:t xml:space="preserve">yes / yes (also generics)</w:t>
            </w:r>
          </w:p>
        </w:tc>
        <w:tc>
          <w:tcPr/>
          <w:p>
            <w:pPr>
              <w:pStyle w:val="Compact"/>
              <w:jc w:val="left"/>
            </w:pPr>
            <w:r>
              <w:t xml:space="preserve">613 / 517</w:t>
            </w:r>
          </w:p>
        </w:tc>
      </w:tr>
      <w:tr>
        <w:tc>
          <w:tcPr/>
          <w:p>
            <w:pPr>
              <w:pStyle w:val="Compact"/>
              <w:jc w:val="left"/>
            </w:pPr>
            <w:r>
              <w:t xml:space="preserve">Dulaglutide</w:t>
            </w:r>
          </w:p>
        </w:tc>
        <w:tc>
          <w:tcPr/>
          <w:p>
            <w:pPr>
              <w:pStyle w:val="Compact"/>
              <w:jc w:val="left"/>
            </w:pPr>
            <w:r>
              <w:t xml:space="preserve">A</w:t>
            </w:r>
          </w:p>
        </w:tc>
        <w:tc>
          <w:tcPr/>
          <w:p>
            <w:pPr>
              <w:pStyle w:val="Compact"/>
              <w:jc w:val="left"/>
            </w:pPr>
            <w:r>
              <w:t xml:space="preserve">yes / yes</w:t>
            </w:r>
          </w:p>
        </w:tc>
        <w:tc>
          <w:tcPr/>
          <w:p>
            <w:pPr>
              <w:pStyle w:val="Compact"/>
              <w:jc w:val="left"/>
            </w:pPr>
            <w:r>
              <w:t xml:space="preserve">158 / 143</w:t>
            </w:r>
          </w:p>
        </w:tc>
      </w:tr>
      <w:tr>
        <w:tc>
          <w:tcPr/>
          <w:p>
            <w:pPr>
              <w:pStyle w:val="Compact"/>
              <w:jc w:val="left"/>
            </w:pPr>
            <w:r>
              <w:t xml:space="preserve">Semaglutide</w:t>
            </w:r>
          </w:p>
        </w:tc>
        <w:tc>
          <w:tcPr/>
          <w:p>
            <w:pPr>
              <w:pStyle w:val="Compact"/>
              <w:jc w:val="left"/>
            </w:pPr>
            <w:r>
              <w:t xml:space="preserve">A</w:t>
            </w:r>
          </w:p>
        </w:tc>
        <w:tc>
          <w:tcPr/>
          <w:p>
            <w:pPr>
              <w:pStyle w:val="Compact"/>
              <w:jc w:val="left"/>
            </w:pPr>
            <w:r>
              <w:t xml:space="preserve">yes / yes (injection and tablet)</w:t>
            </w:r>
          </w:p>
        </w:tc>
        <w:tc>
          <w:tcPr/>
          <w:p>
            <w:pPr>
              <w:pStyle w:val="Compact"/>
              <w:jc w:val="left"/>
            </w:pPr>
            <w:r>
              <w:t xml:space="preserve">342 / 793</w:t>
            </w:r>
          </w:p>
        </w:tc>
      </w:tr>
      <w:tr>
        <w:tc>
          <w:tcPr/>
          <w:p>
            <w:pPr>
              <w:pStyle w:val="Compact"/>
              <w:jc w:val="left"/>
            </w:pPr>
            <w:r>
              <w:t xml:space="preserve">Tirzepatide</w:t>
            </w:r>
          </w:p>
        </w:tc>
        <w:tc>
          <w:tcPr/>
          <w:p>
            <w:pPr>
              <w:pStyle w:val="Compact"/>
              <w:jc w:val="left"/>
            </w:pPr>
            <w:r>
              <w:t xml:space="preserve">A</w:t>
            </w:r>
          </w:p>
        </w:tc>
        <w:tc>
          <w:tcPr/>
          <w:p>
            <w:pPr>
              <w:pStyle w:val="Compact"/>
              <w:jc w:val="left"/>
            </w:pPr>
            <w:r>
              <w:t xml:space="preserve">yes / yes</w:t>
            </w:r>
          </w:p>
        </w:tc>
        <w:tc>
          <w:tcPr/>
          <w:p>
            <w:pPr>
              <w:pStyle w:val="Compact"/>
              <w:jc w:val="left"/>
            </w:pPr>
            <w:r>
              <w:t xml:space="preserve">144 / 307</w:t>
            </w:r>
          </w:p>
        </w:tc>
      </w:tr>
      <w:tr>
        <w:tc>
          <w:tcPr/>
          <w:p>
            <w:pPr>
              <w:pStyle w:val="Compact"/>
              <w:jc w:val="left"/>
            </w:pPr>
            <w:r>
              <w:t xml:space="preserve">Retatrutide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32</w:t>
            </w:r>
          </w:p>
        </w:tc>
      </w:tr>
      <w:tr>
        <w:tc>
          <w:tcPr/>
          <w:p>
            <w:pPr>
              <w:pStyle w:val="Compact"/>
              <w:jc w:val="left"/>
            </w:pPr>
            <w:r>
              <w:t xml:space="preserve">Survodutide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10 / 29</w:t>
            </w:r>
          </w:p>
        </w:tc>
      </w:tr>
      <w:tr>
        <w:tc>
          <w:tcPr/>
          <w:p>
            <w:pPr>
              <w:pStyle w:val="Compact"/>
              <w:jc w:val="left"/>
            </w:pPr>
            <w:r>
              <w:t xml:space="preserve">Mazdutide</w:t>
            </w:r>
          </w:p>
        </w:tc>
        <w:tc>
          <w:tcPr/>
          <w:p>
            <w:pPr>
              <w:pStyle w:val="Compact"/>
              <w:jc w:val="left"/>
            </w:pPr>
            <w:r>
              <w:t xml:space="preserve">A</w:t>
            </w:r>
          </w:p>
        </w:tc>
        <w:tc>
          <w:tcPr/>
          <w:p>
            <w:pPr>
              <w:pStyle w:val="Compact"/>
              <w:jc w:val="left"/>
            </w:pPr>
            <w:r>
              <w:t xml:space="preserve">no / no (only China, 2025)</w:t>
            </w:r>
          </w:p>
        </w:tc>
        <w:tc>
          <w:tcPr/>
          <w:p>
            <w:pPr>
              <w:pStyle w:val="Compact"/>
              <w:jc w:val="left"/>
            </w:pPr>
            <w:r>
              <w:t xml:space="preserve">9 / 44</w:t>
            </w:r>
          </w:p>
        </w:tc>
      </w:tr>
      <w:tr>
        <w:tc>
          <w:tcPr/>
          <w:p>
            <w:pPr>
              <w:pStyle w:val="Compact"/>
              <w:jc w:val="left"/>
            </w:pPr>
            <w:r>
              <w:t xml:space="preserve">Cagrilintide / CagriSema</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15 / 44</w:t>
            </w:r>
          </w:p>
        </w:tc>
      </w:tr>
      <w:tr>
        <w:tc>
          <w:tcPr/>
          <w:p>
            <w:pPr>
              <w:pStyle w:val="Compact"/>
              <w:jc w:val="left"/>
            </w:pPr>
            <w:r>
              <w:t xml:space="preserve">Amycretin</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 (note)</w:t>
            </w:r>
          </w:p>
        </w:tc>
      </w:tr>
      <w:tr>
        <w:tc>
          <w:tcPr/>
          <w:p>
            <w:pPr>
              <w:pStyle w:val="Compact"/>
              <w:jc w:val="left"/>
            </w:pPr>
            <w:r>
              <w:t xml:space="preserve">Maridebart cafraglutide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28</w:t>
            </w:r>
          </w:p>
        </w:tc>
      </w:tr>
      <w:tr>
        <w:tc>
          <w:tcPr/>
          <w:p>
            <w:pPr>
              <w:pStyle w:val="Compact"/>
              <w:jc w:val="left"/>
            </w:pPr>
            <w:r>
              <w:t xml:space="preserve">Pramlintide</w:t>
            </w:r>
          </w:p>
        </w:tc>
        <w:tc>
          <w:tcPr/>
          <w:p>
            <w:pPr>
              <w:pStyle w:val="Compact"/>
              <w:jc w:val="left"/>
            </w:pPr>
            <w:r>
              <w:t xml:space="preserve">A</w:t>
            </w:r>
          </w:p>
        </w:tc>
        <w:tc>
          <w:tcPr/>
          <w:p>
            <w:pPr>
              <w:pStyle w:val="Compact"/>
              <w:jc w:val="left"/>
            </w:pPr>
            <w:r>
              <w:t xml:space="preserve">no / yes</w:t>
            </w:r>
          </w:p>
        </w:tc>
        <w:tc>
          <w:tcPr/>
          <w:p>
            <w:pPr>
              <w:pStyle w:val="Compact"/>
              <w:jc w:val="left"/>
            </w:pPr>
            <w:r>
              <w:t xml:space="preserve">76 / 64</w:t>
            </w:r>
          </w:p>
        </w:tc>
      </w:tr>
      <w:tr>
        <w:tc>
          <w:tcPr/>
          <w:p>
            <w:pPr>
              <w:pStyle w:val="Compact"/>
              <w:jc w:val="left"/>
            </w:pPr>
            <w:r>
              <w:t xml:space="preserve">Setmelanotide</w:t>
            </w:r>
          </w:p>
        </w:tc>
        <w:tc>
          <w:tcPr/>
          <w:p>
            <w:pPr>
              <w:pStyle w:val="Compact"/>
              <w:jc w:val="left"/>
            </w:pPr>
            <w:r>
              <w:t xml:space="preserve">A</w:t>
            </w:r>
          </w:p>
        </w:tc>
        <w:tc>
          <w:tcPr/>
          <w:p>
            <w:pPr>
              <w:pStyle w:val="Compact"/>
              <w:jc w:val="left"/>
            </w:pPr>
            <w:r>
              <w:t xml:space="preserve">yes / yes (rare genetic forms)</w:t>
            </w:r>
          </w:p>
        </w:tc>
        <w:tc>
          <w:tcPr/>
          <w:p>
            <w:pPr>
              <w:pStyle w:val="Compact"/>
              <w:jc w:val="left"/>
            </w:pPr>
            <w:r>
              <w:t xml:space="preserve">15 / 27</w:t>
            </w:r>
          </w:p>
        </w:tc>
      </w:tr>
      <w:tr>
        <w:tc>
          <w:tcPr/>
          <w:p>
            <w:pPr>
              <w:pStyle w:val="Compact"/>
              <w:jc w:val="left"/>
            </w:pPr>
            <w:r>
              <w:t xml:space="preserve">AOD-9604</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Orforglipron (not a peptide)</w:t>
            </w:r>
          </w:p>
        </w:tc>
        <w:tc>
          <w:tcPr/>
          <w:p>
            <w:pPr>
              <w:pStyle w:val="Compact"/>
              <w:jc w:val="left"/>
            </w:pPr>
            <w:r>
              <w:t xml:space="preserve">A</w:t>
            </w:r>
          </w:p>
        </w:tc>
        <w:tc>
          <w:tcPr/>
          <w:p>
            <w:pPr>
              <w:pStyle w:val="Compact"/>
              <w:jc w:val="left"/>
            </w:pPr>
            <w:r>
              <w:t xml:space="preserve">no / application submitted (please check)</w:t>
            </w:r>
          </w:p>
        </w:tc>
        <w:tc>
          <w:tcPr/>
          <w:p>
            <w:pPr>
              <w:pStyle w:val="Compact"/>
              <w:jc w:val="left"/>
            </w:pPr>
            <w:r>
              <w:t xml:space="preserve">20 / 53</w:t>
            </w:r>
          </w:p>
        </w:tc>
      </w:tr>
    </w:tbl>
    <w:p>
      <w:pPr>
        <w:pStyle w:val="BodyText"/>
      </w:pPr>
      <w:r>
        <w:t xml:space="preserve">Note on the table: For</w:t>
      </w:r>
      <w:r>
        <w:t xml:space="preserve"> </w:t>
      </w:r>
      <w:r>
        <w:rPr>
          <w:bCs/>
          <w:b/>
        </w:rPr>
        <w:t xml:space="preserve">amycretin</w:t>
      </w:r>
      <w:r>
        <w:t xml:space="preserve">, the registry search found only one entry; under the name zenagamtide and the development code, around 30 studies are registered, including the phase 3 program started in 2026. For</w:t>
      </w:r>
      <w:r>
        <w:t xml:space="preserve"> </w:t>
      </w:r>
      <w:r>
        <w:rPr>
          <w:bCs/>
          <w:b/>
        </w:rPr>
        <w:t xml:space="preserve">mazdutide</w:t>
      </w:r>
      <w:r>
        <w:t xml:space="preserve">, the studies come almost exclusively from China; for</w:t>
      </w:r>
      <w:r>
        <w:t xml:space="preserve"> </w:t>
      </w:r>
      <w:r>
        <w:rPr>
          <w:bCs/>
          <w:b/>
        </w:rPr>
        <w:t xml:space="preserve">orforglipron</w:t>
      </w:r>
      <w:r>
        <w:t xml:space="preserve">, approval was pending at the time of going to press.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Exenatide</w:t>
            </w:r>
          </w:p>
        </w:tc>
        <w:tc>
          <w:tcPr/>
          <w:p>
            <w:pPr>
              <w:pStyle w:val="Compact"/>
              <w:jc w:val="left"/>
            </w:pPr>
            <w:r>
              <w:t xml:space="preserve">EXSCEL: cardiovascular risk not increased, but not significantly reduced either (HR 0.91; PMID 28910237)</w:t>
            </w:r>
          </w:p>
        </w:tc>
        <w:tc>
          <w:tcPr/>
          <w:p>
            <w:pPr>
              <w:pStyle w:val="Compact"/>
              <w:jc w:val="left"/>
            </w:pPr>
            <w:r>
              <w:t xml:space="preserve">Nausea, nodules, antibodies</w:t>
            </w:r>
          </w:p>
        </w:tc>
      </w:tr>
      <w:tr>
        <w:tc>
          <w:tcPr/>
          <w:p>
            <w:pPr>
              <w:pStyle w:val="Compact"/>
              <w:jc w:val="left"/>
            </w:pPr>
            <w:r>
              <w:t xml:space="preserve">Liraglutide</w:t>
            </w:r>
          </w:p>
        </w:tc>
        <w:tc>
          <w:tcPr/>
          <w:p>
            <w:pPr>
              <w:pStyle w:val="Compact"/>
              <w:jc w:val="left"/>
            </w:pPr>
            <w:r>
              <w:t xml:space="preserve">LEADER: 13% fewer cardiovascular events (PMID 27295427); SCALE: −8.4 vs. −2.8 kg (PMID 26132939)</w:t>
            </w:r>
          </w:p>
        </w:tc>
        <w:tc>
          <w:tcPr/>
          <w:p>
            <w:pPr>
              <w:pStyle w:val="Compact"/>
              <w:jc w:val="left"/>
            </w:pPr>
            <w:r>
              <w:t xml:space="preserve">Gastrointestinal complaints, gallbladder</w:t>
            </w:r>
          </w:p>
        </w:tc>
      </w:tr>
      <w:tr>
        <w:tc>
          <w:tcPr/>
          <w:p>
            <w:pPr>
              <w:pStyle w:val="Compact"/>
              <w:jc w:val="left"/>
            </w:pPr>
            <w:r>
              <w:t xml:space="preserve">Dulaglutide</w:t>
            </w:r>
          </w:p>
        </w:tc>
        <w:tc>
          <w:tcPr/>
          <w:p>
            <w:pPr>
              <w:pStyle w:val="Compact"/>
              <w:jc w:val="left"/>
            </w:pPr>
            <w:r>
              <w:t xml:space="preserve">REWIND: 12% fewer major cardiovascular events in 9,901 participants (PMID 31189511)</w:t>
            </w:r>
          </w:p>
        </w:tc>
        <w:tc>
          <w:tcPr/>
          <w:p>
            <w:pPr>
              <w:pStyle w:val="Compact"/>
              <w:jc w:val="left"/>
            </w:pPr>
            <w:r>
              <w:t xml:space="preserve">Gastrointestinal; hypoglycemia in combination</w:t>
            </w:r>
          </w:p>
        </w:tc>
      </w:tr>
      <w:tr>
        <w:tc>
          <w:tcPr/>
          <w:p>
            <w:pPr>
              <w:pStyle w:val="Compact"/>
              <w:jc w:val="left"/>
            </w:pPr>
            <w:r>
              <w:t xml:space="preserve">Semaglutide</w:t>
            </w:r>
          </w:p>
        </w:tc>
        <w:tc>
          <w:tcPr/>
          <w:p>
            <w:pPr>
              <w:pStyle w:val="Compact"/>
              <w:jc w:val="left"/>
            </w:pPr>
            <w:r>
              <w:t xml:space="preserve">STEP 1: −14.9% vs. −2.4% (PMID 33567185); SELECT: 20% fewer cardiovascular events (PMID 37952131)</w:t>
            </w:r>
          </w:p>
        </w:tc>
        <w:tc>
          <w:tcPr/>
          <w:p>
            <w:pPr>
              <w:pStyle w:val="Compact"/>
              <w:jc w:val="left"/>
            </w:pPr>
            <w:r>
              <w:t xml:space="preserve">Gastrointestinal, gallbladder, rare NAION signal, counterfeits</w:t>
            </w:r>
          </w:p>
        </w:tc>
      </w:tr>
      <w:tr>
        <w:tc>
          <w:tcPr/>
          <w:p>
            <w:pPr>
              <w:pStyle w:val="Compact"/>
              <w:jc w:val="left"/>
            </w:pPr>
            <w:r>
              <w:t xml:space="preserve">Tirzepatide</w:t>
            </w:r>
          </w:p>
        </w:tc>
        <w:tc>
          <w:tcPr/>
          <w:p>
            <w:pPr>
              <w:pStyle w:val="Compact"/>
              <w:jc w:val="left"/>
            </w:pPr>
            <w:r>
              <w:t xml:space="preserve">SURMOUNT-5: −20.2% vs. −13.7% under semaglutide (PMID 40353578)</w:t>
            </w:r>
          </w:p>
        </w:tc>
        <w:tc>
          <w:tcPr/>
          <w:p>
            <w:pPr>
              <w:pStyle w:val="Compact"/>
              <w:jc w:val="left"/>
            </w:pPr>
            <w:r>
              <w:t xml:space="preserve">Gastrointestinal, biliary tract; weight regain after stopping</w:t>
            </w:r>
          </w:p>
        </w:tc>
      </w:tr>
      <w:tr>
        <w:tc>
          <w:tcPr/>
          <w:p>
            <w:pPr>
              <w:pStyle w:val="Compact"/>
              <w:jc w:val="left"/>
            </w:pPr>
            <w:r>
              <w:t xml:space="preserve">Retatrutide</w:t>
            </w:r>
          </w:p>
        </w:tc>
        <w:tc>
          <w:tcPr/>
          <w:p>
            <w:pPr>
              <w:pStyle w:val="Compact"/>
              <w:jc w:val="left"/>
            </w:pPr>
            <w:r>
              <w:t xml:space="preserve">TRIUMPH-1: up to −25.0% vs. −3.9% after 80 weeks (PMID 42814954)</w:t>
            </w:r>
          </w:p>
        </w:tc>
        <w:tc>
          <w:tcPr/>
          <w:p>
            <w:pPr>
              <w:pStyle w:val="Compact"/>
              <w:jc w:val="left"/>
            </w:pPr>
            <w:r>
              <w:t xml:space="preserve">Gastrointestinal, skin dysesthesia, more discontinuations at high dose</w:t>
            </w:r>
          </w:p>
        </w:tc>
      </w:tr>
      <w:tr>
        <w:tc>
          <w:tcPr/>
          <w:p>
            <w:pPr>
              <w:pStyle w:val="Compact"/>
              <w:jc w:val="left"/>
            </w:pPr>
            <w:r>
              <w:t xml:space="preserve">Survodutide</w:t>
            </w:r>
          </w:p>
        </w:tc>
        <w:tc>
          <w:tcPr/>
          <w:p>
            <w:pPr>
              <w:pStyle w:val="Compact"/>
              <w:jc w:val="left"/>
            </w:pPr>
            <w:r>
              <w:t xml:space="preserve">SYNCHRONIZE-1: up to −13.0% vs. −5.4% after 76 weeks (PMID 42253238)</w:t>
            </w:r>
          </w:p>
        </w:tc>
        <w:tc>
          <w:tcPr/>
          <w:p>
            <w:pPr>
              <w:pStyle w:val="Compact"/>
              <w:jc w:val="left"/>
            </w:pPr>
            <w:r>
              <w:t xml:space="preserve">Very frequent gastrointestinal complaints</w:t>
            </w:r>
          </w:p>
        </w:tc>
      </w:tr>
      <w:tr>
        <w:tc>
          <w:tcPr/>
          <w:p>
            <w:pPr>
              <w:pStyle w:val="Compact"/>
              <w:jc w:val="left"/>
            </w:pPr>
            <w:r>
              <w:t xml:space="preserve">Mazdutide</w:t>
            </w:r>
          </w:p>
        </w:tc>
        <w:tc>
          <w:tcPr/>
          <w:p>
            <w:pPr>
              <w:pStyle w:val="Compact"/>
              <w:jc w:val="left"/>
            </w:pPr>
            <w:r>
              <w:t xml:space="preserve">GLORY-1: up to −14.0% vs. +0.3% after 48 weeks (PMID 40421736)</w:t>
            </w:r>
          </w:p>
        </w:tc>
        <w:tc>
          <w:tcPr/>
          <w:p>
            <w:pPr>
              <w:pStyle w:val="Compact"/>
              <w:jc w:val="left"/>
            </w:pPr>
            <w:r>
              <w:t xml:space="preserve">Gastrointestinal, especially vomiting</w:t>
            </w:r>
          </w:p>
        </w:tc>
      </w:tr>
      <w:tr>
        <w:tc>
          <w:tcPr/>
          <w:p>
            <w:pPr>
              <w:pStyle w:val="Compact"/>
              <w:jc w:val="left"/>
            </w:pPr>
            <w:r>
              <w:t xml:space="preserve">Cagrilintide / CagriSema</w:t>
            </w:r>
          </w:p>
        </w:tc>
        <w:tc>
          <w:tcPr/>
          <w:p>
            <w:pPr>
              <w:pStyle w:val="Compact"/>
              <w:jc w:val="left"/>
            </w:pPr>
            <w:r>
              <w:t xml:space="preserve">REDEFINE 1: −20.4% vs. −3.0% after 68 weeks (PMID 40544433)</w:t>
            </w:r>
          </w:p>
        </w:tc>
        <w:tc>
          <w:tcPr/>
          <w:p>
            <w:pPr>
              <w:pStyle w:val="Compact"/>
              <w:jc w:val="left"/>
            </w:pPr>
            <w:r>
              <w:t xml:space="preserve">Gastrointestinal complaints in around 80%</w:t>
            </w:r>
          </w:p>
        </w:tc>
      </w:tr>
      <w:tr>
        <w:tc>
          <w:tcPr/>
          <w:p>
            <w:pPr>
              <w:pStyle w:val="Compact"/>
              <w:jc w:val="left"/>
            </w:pPr>
            <w:r>
              <w:t xml:space="preserve">Amycretin</w:t>
            </w:r>
          </w:p>
        </w:tc>
        <w:tc>
          <w:tcPr/>
          <w:p>
            <w:pPr>
              <w:pStyle w:val="Compact"/>
              <w:jc w:val="left"/>
            </w:pPr>
            <w:r>
              <w:t xml:space="preserve">Phase 1b/2a: up to −24.3% vs. −1.1% after 36 weeks (PMID 40550231)</w:t>
            </w:r>
          </w:p>
        </w:tc>
        <w:tc>
          <w:tcPr/>
          <w:p>
            <w:pPr>
              <w:pStyle w:val="Compact"/>
              <w:jc w:val="left"/>
            </w:pPr>
            <w:r>
              <w:t xml:space="preserve">Gastrointestinal; long-term consequences unknown</w:t>
            </w:r>
          </w:p>
        </w:tc>
      </w:tr>
      <w:tr>
        <w:tc>
          <w:tcPr/>
          <w:p>
            <w:pPr>
              <w:pStyle w:val="Compact"/>
              <w:jc w:val="left"/>
            </w:pPr>
            <w:r>
              <w:t xml:space="preserve">Maridebart cafraglutide</w:t>
            </w:r>
          </w:p>
        </w:tc>
        <w:tc>
          <w:tcPr/>
          <w:p>
            <w:pPr>
              <w:pStyle w:val="Compact"/>
              <w:jc w:val="left"/>
            </w:pPr>
            <w:r>
              <w:t xml:space="preserve">Phase 2: −12.3 to −16.2% vs. −2.5% after 52 weeks (PMID 40549887)</w:t>
            </w:r>
          </w:p>
        </w:tc>
        <w:tc>
          <w:tcPr/>
          <w:p>
            <w:pPr>
              <w:pStyle w:val="Compact"/>
              <w:jc w:val="left"/>
            </w:pPr>
            <w:r>
              <w:t xml:space="preserve">Gastrointestinal; very long duration of action</w:t>
            </w:r>
          </w:p>
        </w:tc>
      </w:tr>
      <w:tr>
        <w:tc>
          <w:tcPr/>
          <w:p>
            <w:pPr>
              <w:pStyle w:val="Compact"/>
              <w:jc w:val="left"/>
            </w:pPr>
            <w:r>
              <w:t xml:space="preserve">Pramlintide</w:t>
            </w:r>
          </w:p>
        </w:tc>
        <w:tc>
          <w:tcPr/>
          <w:p>
            <w:pPr>
              <w:pStyle w:val="Compact"/>
              <w:jc w:val="left"/>
            </w:pPr>
            <w:r>
              <w:t xml:space="preserve">HbA1c −0.62 percentage points, weight −1.4 kg (PMID 12610038)</w:t>
            </w:r>
          </w:p>
        </w:tc>
        <w:tc>
          <w:tcPr/>
          <w:p>
            <w:pPr>
              <w:pStyle w:val="Compact"/>
              <w:jc w:val="left"/>
            </w:pPr>
            <w:r>
              <w:t xml:space="preserve">Severe hypoglycemia with insulin, nausea</w:t>
            </w:r>
          </w:p>
        </w:tc>
      </w:tr>
      <w:tr>
        <w:tc>
          <w:tcPr/>
          <w:p>
            <w:pPr>
              <w:pStyle w:val="Compact"/>
              <w:jc w:val="left"/>
            </w:pPr>
            <w:r>
              <w:t xml:space="preserve">Setmelanotide</w:t>
            </w:r>
          </w:p>
        </w:tc>
        <w:tc>
          <w:tcPr/>
          <w:p>
            <w:pPr>
              <w:pStyle w:val="Compact"/>
              <w:jc w:val="left"/>
            </w:pPr>
            <w:r>
              <w:t xml:space="preserve">TRANSCEND: BMI −16.5% vs. +3.3% in hypothalamic obesity (PMID 42418774)</w:t>
            </w:r>
          </w:p>
        </w:tc>
        <w:tc>
          <w:tcPr/>
          <w:p>
            <w:pPr>
              <w:pStyle w:val="Compact"/>
              <w:jc w:val="left"/>
            </w:pPr>
            <w:r>
              <w:t xml:space="preserve">Injection sites, skin darkening, nausea</w:t>
            </w:r>
          </w:p>
        </w:tc>
      </w:tr>
      <w:tr>
        <w:tc>
          <w:tcPr/>
          <w:p>
            <w:pPr>
              <w:pStyle w:val="Compact"/>
              <w:jc w:val="left"/>
            </w:pPr>
            <w:r>
              <w:t xml:space="preserve">AOD-9604</w:t>
            </w:r>
          </w:p>
        </w:tc>
        <w:tc>
          <w:tcPr/>
          <w:p>
            <w:pPr>
              <w:pStyle w:val="Compact"/>
              <w:jc w:val="left"/>
            </w:pPr>
            <w:r>
              <w:t xml:space="preserve">Animal data only: less weight gain in mice (PMID 11673763)</w:t>
            </w:r>
          </w:p>
        </w:tc>
        <w:tc>
          <w:tcPr/>
          <w:p>
            <w:pPr>
              <w:pStyle w:val="Compact"/>
              <w:jc w:val="left"/>
            </w:pPr>
            <w:r>
              <w:t xml:space="preserve">Effect in humans unknown</w:t>
            </w:r>
          </w:p>
        </w:tc>
      </w:tr>
      <w:tr>
        <w:tc>
          <w:tcPr/>
          <w:p>
            <w:pPr>
              <w:pStyle w:val="Compact"/>
              <w:jc w:val="left"/>
            </w:pPr>
            <w:r>
              <w:t xml:space="preserve">Orforglipron</w:t>
            </w:r>
          </w:p>
        </w:tc>
        <w:tc>
          <w:tcPr/>
          <w:p>
            <w:pPr>
              <w:pStyle w:val="Compact"/>
              <w:jc w:val="left"/>
            </w:pPr>
            <w:r>
              <w:t xml:space="preserve">ATTAIN-1: up to −11.2% vs. −2.1% as a tablet (PMID 40960239)</w:t>
            </w:r>
          </w:p>
        </w:tc>
        <w:tc>
          <w:tcPr/>
          <w:p>
            <w:pPr>
              <w:pStyle w:val="Compact"/>
              <w:jc w:val="left"/>
            </w:pPr>
            <w:r>
              <w:t xml:space="preserve">Gastrointestinal, somewhat more discontinuations than semaglutide tablet</w:t>
            </w:r>
          </w:p>
        </w:tc>
      </w:tr>
    </w:tbl>
    <w:bookmarkEnd w:id="2526"/>
    <w:bookmarkStart w:id="2527" w:name="X63e778e0583a58baddc37a931d0e3b9518a98f8"/>
    <w:p>
      <w:pPr>
        <w:pStyle w:val="Heading3"/>
      </w:pPr>
      <w:r>
        <w:t xml:space="preserve">B. Healing, Regeneration and the Immune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BPC-157</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0 / 4 (note)</w:t>
            </w:r>
          </w:p>
        </w:tc>
      </w:tr>
      <w:tr>
        <w:tc>
          <w:tcPr/>
          <w:p>
            <w:pPr>
              <w:pStyle w:val="Compact"/>
              <w:jc w:val="left"/>
            </w:pPr>
            <w:r>
              <w:t xml:space="preserve">TB-500 / thymosin beta-4</w:t>
            </w:r>
          </w:p>
        </w:tc>
        <w:tc>
          <w:tcPr/>
          <w:p>
            <w:pPr>
              <w:pStyle w:val="Compact"/>
              <w:jc w:val="left"/>
            </w:pPr>
            <w:r>
              <w:t xml:space="preserve">B (Tβ4) / D (TB-500)</w:t>
            </w:r>
          </w:p>
        </w:tc>
        <w:tc>
          <w:tcPr/>
          <w:p>
            <w:pPr>
              <w:pStyle w:val="Compact"/>
              <w:jc w:val="left"/>
            </w:pPr>
            <w:r>
              <w:t xml:space="preserve">no / no</w:t>
            </w:r>
          </w:p>
        </w:tc>
        <w:tc>
          <w:tcPr/>
          <w:p>
            <w:pPr>
              <w:pStyle w:val="Compact"/>
              <w:jc w:val="left"/>
            </w:pPr>
            <w:r>
              <w:t xml:space="preserve">9 / 18 (note)</w:t>
            </w:r>
          </w:p>
        </w:tc>
      </w:tr>
      <w:tr>
        <w:tc>
          <w:tcPr/>
          <w:p>
            <w:pPr>
              <w:pStyle w:val="Compact"/>
              <w:jc w:val="left"/>
            </w:pPr>
            <w:r>
              <w:t xml:space="preserve">Thymosin alpha-1</w:t>
            </w:r>
          </w:p>
        </w:tc>
        <w:tc>
          <w:tcPr/>
          <w:p>
            <w:pPr>
              <w:pStyle w:val="Compact"/>
              <w:jc w:val="left"/>
            </w:pPr>
            <w:r>
              <w:t xml:space="preserve">B</w:t>
            </w:r>
          </w:p>
        </w:tc>
        <w:tc>
          <w:tcPr/>
          <w:p>
            <w:pPr>
              <w:pStyle w:val="Compact"/>
              <w:jc w:val="left"/>
            </w:pPr>
            <w:r>
              <w:t xml:space="preserve">no / no (approved in China, among others)</w:t>
            </w:r>
          </w:p>
        </w:tc>
        <w:tc>
          <w:tcPr/>
          <w:p>
            <w:pPr>
              <w:pStyle w:val="Compact"/>
              <w:jc w:val="left"/>
            </w:pPr>
            <w:r>
              <w:t xml:space="preserve">90 / 66</w:t>
            </w:r>
          </w:p>
        </w:tc>
      </w:tr>
      <w:tr>
        <w:tc>
          <w:tcPr/>
          <w:p>
            <w:pPr>
              <w:pStyle w:val="Compact"/>
              <w:jc w:val="left"/>
            </w:pPr>
            <w:r>
              <w:t xml:space="preserve">KPV</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LL-37</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91 / 20 (note)</w:t>
            </w:r>
          </w:p>
        </w:tc>
      </w:tr>
      <w:tr>
        <w:tc>
          <w:tcPr/>
          <w:p>
            <w:pPr>
              <w:pStyle w:val="Compact"/>
              <w:jc w:val="left"/>
            </w:pPr>
            <w:r>
              <w:t xml:space="preserve">ARA-290</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5 / 5</w:t>
            </w:r>
          </w:p>
        </w:tc>
      </w:tr>
      <w:tr>
        <w:tc>
          <w:tcPr/>
          <w:p>
            <w:pPr>
              <w:pStyle w:val="Compact"/>
              <w:jc w:val="left"/>
            </w:pPr>
            <w:r>
              <w:t xml:space="preserve">Larazotide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4 / 10 (note)</w:t>
            </w:r>
          </w:p>
        </w:tc>
      </w:tr>
      <w:tr>
        <w:tc>
          <w:tcPr/>
          <w:p>
            <w:pPr>
              <w:pStyle w:val="Compact"/>
              <w:jc w:val="left"/>
            </w:pPr>
            <w:r>
              <w:t xml:space="preserve">Thymalin</w:t>
            </w:r>
          </w:p>
        </w:tc>
        <w:tc>
          <w:tcPr/>
          <w:p>
            <w:pPr>
              <w:pStyle w:val="Compact"/>
              <w:jc w:val="left"/>
            </w:pPr>
            <w:r>
              <w:t xml:space="preserve">C</w:t>
            </w:r>
          </w:p>
        </w:tc>
        <w:tc>
          <w:tcPr/>
          <w:p>
            <w:pPr>
              <w:pStyle w:val="Compact"/>
              <w:jc w:val="left"/>
            </w:pPr>
            <w:r>
              <w:t xml:space="preserve">no / no (approved in Russia)</w:t>
            </w:r>
          </w:p>
        </w:tc>
        <w:tc>
          <w:tcPr/>
          <w:p>
            <w:pPr>
              <w:pStyle w:val="Compact"/>
              <w:jc w:val="left"/>
            </w:pPr>
            <w:r>
              <w:t xml:space="preserve">17 / 0</w:t>
            </w:r>
          </w:p>
        </w:tc>
      </w:tr>
    </w:tbl>
    <w:p>
      <w:pPr>
        <w:pStyle w:val="BodyText"/>
      </w:pPr>
      <w:r>
        <w:t xml:space="preserve">Notes on the table: For</w:t>
      </w:r>
      <w:r>
        <w:t xml:space="preserve"> </w:t>
      </w:r>
      <w:r>
        <w:rPr>
          <w:bCs/>
          <w:b/>
        </w:rPr>
        <w:t xml:space="preserve">BPC-157</w:t>
      </w:r>
      <w:r>
        <w:t xml:space="preserve">, no publication met the filter criteria of the automated search; in fact, there are three small, uncontrolled investigations with a combined total of around 30 people. For</w:t>
      </w:r>
      <w:r>
        <w:t xml:space="preserve"> </w:t>
      </w:r>
      <w:r>
        <w:rPr>
          <w:bCs/>
          <w:b/>
        </w:rPr>
        <w:t xml:space="preserve">TB-500</w:t>
      </w:r>
      <w:r>
        <w:t xml:space="preserve">, the hits concern the whole protein thymosin beta-4 (only six of them as a drug); none studies TB-500. For</w:t>
      </w:r>
      <w:r>
        <w:t xml:space="preserve"> </w:t>
      </w:r>
      <w:r>
        <w:rPr>
          <w:bCs/>
          <w:b/>
        </w:rPr>
        <w:t xml:space="preserve">LL-37</w:t>
      </w:r>
      <w:r>
        <w:t xml:space="preserve">, most hits measure LL-37 only as a laboratory value, for example in vitamin D studies; studies in which LL-37 itself was administered number only five in PubMed and two in the registry. For</w:t>
      </w:r>
      <w:r>
        <w:t xml:space="preserve"> </w:t>
      </w:r>
      <w:r>
        <w:rPr>
          <w:bCs/>
          <w:b/>
        </w:rPr>
        <w:t xml:space="preserve">larazotide</w:t>
      </w:r>
      <w:r>
        <w:t xml:space="preserve">, the search found 29 registry entries, 19 of which concern a different drug with the same former development code; the table gives the adjusted figure.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BPC-157</w:t>
            </w:r>
          </w:p>
        </w:tc>
        <w:tc>
          <w:tcPr/>
          <w:p>
            <w:pPr>
              <w:pStyle w:val="Compact"/>
              <w:jc w:val="left"/>
            </w:pPr>
            <w:r>
              <w:t xml:space="preserve">Three uncontrolled pilot investigations, evidence very low according to a review (PMID 42885452)</w:t>
            </w:r>
          </w:p>
        </w:tc>
        <w:tc>
          <w:tcPr/>
          <w:p>
            <w:pPr>
              <w:pStyle w:val="Compact"/>
              <w:jc w:val="left"/>
            </w:pPr>
            <w:r>
              <w:t xml:space="preserve">Unknown long-term safety, gray-market quality</w:t>
            </w:r>
          </w:p>
        </w:tc>
      </w:tr>
      <w:tr>
        <w:tc>
          <w:tcPr/>
          <w:p>
            <w:pPr>
              <w:pStyle w:val="Compact"/>
              <w:jc w:val="left"/>
            </w:pPr>
            <w:r>
              <w:t xml:space="preserve">TB-500 / thymosin beta-4</w:t>
            </w:r>
          </w:p>
        </w:tc>
        <w:tc>
          <w:tcPr/>
          <w:p>
            <w:pPr>
              <w:pStyle w:val="Compact"/>
              <w:jc w:val="left"/>
            </w:pPr>
            <w:r>
              <w:t xml:space="preserve">Tβ4 after heart attack: infarct size not significantly smaller (PMID 41229390); TB-500 untested</w:t>
            </w:r>
          </w:p>
        </w:tc>
        <w:tc>
          <w:tcPr/>
          <w:p>
            <w:pPr>
              <w:pStyle w:val="Compact"/>
              <w:jc w:val="left"/>
            </w:pPr>
            <w:r>
              <w:t xml:space="preserve">Unclear content, theoretically tumor promotion</w:t>
            </w:r>
          </w:p>
        </w:tc>
      </w:tr>
      <w:tr>
        <w:tc>
          <w:tcPr/>
          <w:p>
            <w:pPr>
              <w:pStyle w:val="Compact"/>
              <w:jc w:val="left"/>
            </w:pPr>
            <w:r>
              <w:t xml:space="preserve">Thymosin alpha-1</w:t>
            </w:r>
          </w:p>
        </w:tc>
        <w:tc>
          <w:tcPr/>
          <w:p>
            <w:pPr>
              <w:pStyle w:val="Compact"/>
              <w:jc w:val="left"/>
            </w:pPr>
            <w:r>
              <w:t xml:space="preserve">TESTS in sepsis: 28-day mortality 23.4% vs. 24.1%, no difference (PMID 39814420)</w:t>
            </w:r>
          </w:p>
        </w:tc>
        <w:tc>
          <w:tcPr/>
          <w:p>
            <w:pPr>
              <w:pStyle w:val="Compact"/>
              <w:jc w:val="left"/>
            </w:pPr>
            <w:r>
              <w:t xml:space="preserve">Possible disadvantages in subgroups; gray market</w:t>
            </w:r>
          </w:p>
        </w:tc>
      </w:tr>
      <w:tr>
        <w:tc>
          <w:tcPr/>
          <w:p>
            <w:pPr>
              <w:pStyle w:val="Compact"/>
              <w:jc w:val="left"/>
            </w:pPr>
            <w:r>
              <w:t xml:space="preserve">KPV</w:t>
            </w:r>
          </w:p>
        </w:tc>
        <w:tc>
          <w:tcPr/>
          <w:p>
            <w:pPr>
              <w:pStyle w:val="Compact"/>
              <w:jc w:val="left"/>
            </w:pPr>
            <w:r>
              <w:t xml:space="preserve">Animal data only: less intestinal inflammation in mice (PMID 18061177)</w:t>
            </w:r>
          </w:p>
        </w:tc>
        <w:tc>
          <w:tcPr/>
          <w:p>
            <w:pPr>
              <w:pStyle w:val="Compact"/>
              <w:jc w:val="left"/>
            </w:pPr>
            <w:r>
              <w:t xml:space="preserve">Completely unknown profile in humans</w:t>
            </w:r>
          </w:p>
        </w:tc>
      </w:tr>
      <w:tr>
        <w:tc>
          <w:tcPr/>
          <w:p>
            <w:pPr>
              <w:pStyle w:val="Compact"/>
              <w:jc w:val="left"/>
            </w:pPr>
            <w:r>
              <w:t xml:space="preserve">LL-37</w:t>
            </w:r>
          </w:p>
        </w:tc>
        <w:tc>
          <w:tcPr/>
          <w:p>
            <w:pPr>
              <w:pStyle w:val="Compact"/>
              <w:jc w:val="left"/>
            </w:pPr>
            <w:r>
              <w:t xml:space="preserve">HEAL LL-37: leg ulcers did not heal better than under placebo (PMID 34687253)</w:t>
            </w:r>
          </w:p>
        </w:tc>
        <w:tc>
          <w:tcPr/>
          <w:p>
            <w:pPr>
              <w:pStyle w:val="Compact"/>
              <w:jc w:val="left"/>
            </w:pPr>
            <w:r>
              <w:t xml:space="preserve">Inflammatory and autoimmune reactions</w:t>
            </w:r>
          </w:p>
        </w:tc>
      </w:tr>
      <w:tr>
        <w:tc>
          <w:tcPr/>
          <w:p>
            <w:pPr>
              <w:pStyle w:val="Compact"/>
              <w:jc w:val="left"/>
            </w:pPr>
            <w:r>
              <w:t xml:space="preserve">ARA-290</w:t>
            </w:r>
          </w:p>
        </w:tc>
        <w:tc>
          <w:tcPr/>
          <w:p>
            <w:pPr>
              <w:pStyle w:val="Compact"/>
              <w:jc w:val="left"/>
            </w:pPr>
            <w:r>
              <w:t xml:space="preserve">Phase 2b: nerve fibers increased under only one of three doses (PMID 28475703)</w:t>
            </w:r>
          </w:p>
        </w:tc>
        <w:tc>
          <w:tcPr/>
          <w:p>
            <w:pPr>
              <w:pStyle w:val="Compact"/>
              <w:jc w:val="left"/>
            </w:pPr>
            <w:r>
              <w:t xml:space="preserve">Hardly any data beyond twelve weeks</w:t>
            </w:r>
          </w:p>
        </w:tc>
      </w:tr>
      <w:tr>
        <w:tc>
          <w:tcPr/>
          <w:p>
            <w:pPr>
              <w:pStyle w:val="Compact"/>
              <w:jc w:val="left"/>
            </w:pPr>
            <w:r>
              <w:t xml:space="preserve">Larazotide</w:t>
            </w:r>
          </w:p>
        </w:tc>
        <w:tc>
          <w:tcPr/>
          <w:p>
            <w:pPr>
              <w:pStyle w:val="Compact"/>
              <w:jc w:val="left"/>
            </w:pPr>
            <w:r>
              <w:t xml:space="preserve">Only the lowest of three doses better than placebo (PMID 25683116); phase 3 terminated</w:t>
            </w:r>
          </w:p>
        </w:tc>
        <w:tc>
          <w:tcPr/>
          <w:p>
            <w:pPr>
              <w:pStyle w:val="Compact"/>
              <w:jc w:val="left"/>
            </w:pPr>
            <w:r>
              <w:t xml:space="preserve">Relaxed gluten-free diet</w:t>
            </w:r>
          </w:p>
        </w:tc>
      </w:tr>
      <w:tr>
        <w:tc>
          <w:tcPr/>
          <w:p>
            <w:pPr>
              <w:pStyle w:val="Compact"/>
              <w:jc w:val="left"/>
            </w:pPr>
            <w:r>
              <w:t xml:space="preserve">Thymalin</w:t>
            </w:r>
          </w:p>
        </w:tc>
        <w:tc>
          <w:tcPr/>
          <w:p>
            <w:pPr>
              <w:pStyle w:val="Compact"/>
              <w:jc w:val="left"/>
            </w:pPr>
            <w:r>
              <w:t xml:space="preserve">Russian-Ukrainian observation: lower mortality, allocation unclear (PMID 14523363)</w:t>
            </w:r>
          </w:p>
        </w:tc>
        <w:tc>
          <w:tcPr/>
          <w:p>
            <w:pPr>
              <w:pStyle w:val="Compact"/>
              <w:jc w:val="left"/>
            </w:pPr>
            <w:r>
              <w:t xml:space="preserve">Animal extract, batch risks</w:t>
            </w:r>
          </w:p>
        </w:tc>
      </w:tr>
    </w:tbl>
    <w:bookmarkEnd w:id="2527"/>
    <w:bookmarkStart w:id="2528" w:name="c.-growth-hormone-axis"/>
    <w:p>
      <w:pPr>
        <w:pStyle w:val="Heading3"/>
      </w:pPr>
      <w:r>
        <w:t xml:space="preserve">C. Growth Hormone Axis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Sermorelin</w:t>
            </w:r>
          </w:p>
        </w:tc>
        <w:tc>
          <w:tcPr/>
          <w:p>
            <w:pPr>
              <w:pStyle w:val="Compact"/>
              <w:jc w:val="left"/>
            </w:pPr>
            <w:r>
              <w:t xml:space="preserve">B</w:t>
            </w:r>
          </w:p>
        </w:tc>
        <w:tc>
          <w:tcPr/>
          <w:p>
            <w:pPr>
              <w:pStyle w:val="Compact"/>
              <w:jc w:val="left"/>
            </w:pPr>
            <w:r>
              <w:t xml:space="preserve">no / formerly yes, off the market</w:t>
            </w:r>
          </w:p>
        </w:tc>
        <w:tc>
          <w:tcPr/>
          <w:p>
            <w:pPr>
              <w:pStyle w:val="Compact"/>
              <w:jc w:val="left"/>
            </w:pPr>
            <w:r>
              <w:t xml:space="preserve">0 / 27 (note)</w:t>
            </w:r>
          </w:p>
        </w:tc>
      </w:tr>
      <w:tr>
        <w:tc>
          <w:tcPr/>
          <w:p>
            <w:pPr>
              <w:pStyle w:val="Compact"/>
              <w:jc w:val="left"/>
            </w:pPr>
            <w:r>
              <w:t xml:space="preserve">Tesamorelin</w:t>
            </w:r>
          </w:p>
        </w:tc>
        <w:tc>
          <w:tcPr/>
          <w:p>
            <w:pPr>
              <w:pStyle w:val="Compact"/>
              <w:jc w:val="left"/>
            </w:pPr>
            <w:r>
              <w:t xml:space="preserve">A</w:t>
            </w:r>
          </w:p>
        </w:tc>
        <w:tc>
          <w:tcPr/>
          <w:p>
            <w:pPr>
              <w:pStyle w:val="Compact"/>
              <w:jc w:val="left"/>
            </w:pPr>
            <w:r>
              <w:t xml:space="preserve">no / yes (HIV lipodystrophy)</w:t>
            </w:r>
          </w:p>
        </w:tc>
        <w:tc>
          <w:tcPr/>
          <w:p>
            <w:pPr>
              <w:pStyle w:val="Compact"/>
              <w:jc w:val="left"/>
            </w:pPr>
            <w:r>
              <w:t xml:space="preserve">23 / 23</w:t>
            </w:r>
          </w:p>
        </w:tc>
      </w:tr>
      <w:tr>
        <w:tc>
          <w:tcPr/>
          <w:p>
            <w:pPr>
              <w:pStyle w:val="Compact"/>
              <w:jc w:val="left"/>
            </w:pPr>
            <w:r>
              <w:t xml:space="preserve">CJC-1295</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2 / 1</w:t>
            </w:r>
          </w:p>
        </w:tc>
      </w:tr>
      <w:tr>
        <w:tc>
          <w:tcPr/>
          <w:p>
            <w:pPr>
              <w:pStyle w:val="Compact"/>
              <w:jc w:val="left"/>
            </w:pPr>
            <w:r>
              <w:t xml:space="preserve">Ipamorelin</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2 / 3</w:t>
            </w:r>
          </w:p>
        </w:tc>
      </w:tr>
      <w:tr>
        <w:tc>
          <w:tcPr/>
          <w:p>
            <w:pPr>
              <w:pStyle w:val="Compact"/>
              <w:jc w:val="left"/>
            </w:pPr>
            <w:r>
              <w:t xml:space="preserve">GHRP-2</w:t>
            </w:r>
          </w:p>
        </w:tc>
        <w:tc>
          <w:tcPr/>
          <w:p>
            <w:pPr>
              <w:pStyle w:val="Compact"/>
              <w:jc w:val="left"/>
            </w:pPr>
            <w:r>
              <w:t xml:space="preserve">B</w:t>
            </w:r>
          </w:p>
        </w:tc>
        <w:tc>
          <w:tcPr/>
          <w:p>
            <w:pPr>
              <w:pStyle w:val="Compact"/>
              <w:jc w:val="left"/>
            </w:pPr>
            <w:r>
              <w:t xml:space="preserve">no / no (Japan: diagnostic agent)</w:t>
            </w:r>
          </w:p>
        </w:tc>
        <w:tc>
          <w:tcPr/>
          <w:p>
            <w:pPr>
              <w:pStyle w:val="Compact"/>
              <w:jc w:val="left"/>
            </w:pPr>
            <w:r>
              <w:t xml:space="preserve">55 / 0 (note)</w:t>
            </w:r>
          </w:p>
        </w:tc>
      </w:tr>
      <w:tr>
        <w:tc>
          <w:tcPr/>
          <w:p>
            <w:pPr>
              <w:pStyle w:val="Compact"/>
              <w:jc w:val="left"/>
            </w:pPr>
            <w:r>
              <w:t xml:space="preserve">GHRP-6</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40 / 0 (note)</w:t>
            </w:r>
          </w:p>
        </w:tc>
      </w:tr>
      <w:tr>
        <w:tc>
          <w:tcPr/>
          <w:p>
            <w:pPr>
              <w:pStyle w:val="Compact"/>
              <w:jc w:val="left"/>
            </w:pPr>
            <w:r>
              <w:t xml:space="preserve">Hexarelin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58 / 0 (note)</w:t>
            </w:r>
          </w:p>
        </w:tc>
      </w:tr>
      <w:tr>
        <w:tc>
          <w:tcPr/>
          <w:p>
            <w:pPr>
              <w:pStyle w:val="Compact"/>
              <w:jc w:val="left"/>
            </w:pPr>
            <w:r>
              <w:t xml:space="preserve">Macimorelin</w:t>
            </w:r>
          </w:p>
        </w:tc>
        <w:tc>
          <w:tcPr/>
          <w:p>
            <w:pPr>
              <w:pStyle w:val="Compact"/>
              <w:jc w:val="left"/>
            </w:pPr>
            <w:r>
              <w:t xml:space="preserve">A</w:t>
            </w:r>
          </w:p>
        </w:tc>
        <w:tc>
          <w:tcPr/>
          <w:p>
            <w:pPr>
              <w:pStyle w:val="Compact"/>
              <w:jc w:val="left"/>
            </w:pPr>
            <w:r>
              <w:t xml:space="preserve">yes / yes (diagnostic agent only)</w:t>
            </w:r>
          </w:p>
        </w:tc>
        <w:tc>
          <w:tcPr/>
          <w:p>
            <w:pPr>
              <w:pStyle w:val="Compact"/>
              <w:jc w:val="left"/>
            </w:pPr>
            <w:r>
              <w:t xml:space="preserve">4 / 6</w:t>
            </w:r>
          </w:p>
        </w:tc>
      </w:tr>
      <w:tr>
        <w:tc>
          <w:tcPr/>
          <w:p>
            <w:pPr>
              <w:pStyle w:val="Compact"/>
              <w:jc w:val="left"/>
            </w:pPr>
            <w:r>
              <w:t xml:space="preserve">Mecasermin (IGF-1)</w:t>
            </w:r>
          </w:p>
        </w:tc>
        <w:tc>
          <w:tcPr/>
          <w:p>
            <w:pPr>
              <w:pStyle w:val="Compact"/>
              <w:jc w:val="left"/>
            </w:pPr>
            <w:r>
              <w:t xml:space="preserve">A</w:t>
            </w:r>
          </w:p>
        </w:tc>
        <w:tc>
          <w:tcPr/>
          <w:p>
            <w:pPr>
              <w:pStyle w:val="Compact"/>
              <w:jc w:val="left"/>
            </w:pPr>
            <w:r>
              <w:t xml:space="preserve">yes / yes</w:t>
            </w:r>
          </w:p>
        </w:tc>
        <w:tc>
          <w:tcPr/>
          <w:p>
            <w:pPr>
              <w:pStyle w:val="Compact"/>
              <w:jc w:val="left"/>
            </w:pPr>
            <w:r>
              <w:t xml:space="preserve">21 / 37</w:t>
            </w:r>
          </w:p>
        </w:tc>
      </w:tr>
      <w:tr>
        <w:tc>
          <w:tcPr/>
          <w:p>
            <w:pPr>
              <w:pStyle w:val="Compact"/>
              <w:jc w:val="left"/>
            </w:pPr>
            <w:r>
              <w:t xml:space="preserve">IGF-1 LR3</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Ibutamoren (not a peptide)</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19 / 8</w:t>
            </w:r>
          </w:p>
        </w:tc>
      </w:tr>
    </w:tbl>
    <w:p>
      <w:pPr>
        <w:pStyle w:val="BodyText"/>
      </w:pPr>
      <w:r>
        <w:t xml:space="preserve">Notes on the table: For</w:t>
      </w:r>
      <w:r>
        <w:t xml:space="preserve"> </w:t>
      </w:r>
      <w:r>
        <w:rPr>
          <w:bCs/>
          <w:b/>
        </w:rPr>
        <w:t xml:space="preserve">sermorelin</w:t>
      </w:r>
      <w:r>
        <w:t xml:space="preserve">, the name search finds no human study because most papers were published under</w:t>
      </w:r>
      <w:r>
        <w:t xml:space="preserve"> </w:t>
      </w:r>
      <w:r>
        <w:t xml:space="preserve">“</w:t>
      </w:r>
      <w:r>
        <w:t xml:space="preserve">GHRH(1-29)</w:t>
      </w:r>
      <w:r>
        <w:t xml:space="preserve">”</w:t>
      </w:r>
      <w:r>
        <w:t xml:space="preserve"> </w:t>
      </w:r>
      <w:r>
        <w:t xml:space="preserve">or</w:t>
      </w:r>
      <w:r>
        <w:t xml:space="preserve"> </w:t>
      </w:r>
      <w:r>
        <w:t xml:space="preserve">“</w:t>
      </w:r>
      <w:r>
        <w:t xml:space="preserve">GRF 1-29</w:t>
      </w:r>
      <w:r>
        <w:t xml:space="preserve">”</w:t>
      </w:r>
      <w:r>
        <w:t xml:space="preserve">; a targeted search finds several dozen small studies, mostly before 2000. Many of the 27 registry hits, on the other hand, concern tesamorelin or GHRH tests in general. For</w:t>
      </w:r>
      <w:r>
        <w:t xml:space="preserve"> </w:t>
      </w:r>
      <w:r>
        <w:rPr>
          <w:bCs/>
          <w:b/>
        </w:rPr>
        <w:t xml:space="preserve">GHRP-2, GHRP-6 and hexarelin</w:t>
      </w:r>
      <w:r>
        <w:t xml:space="preserve">, almost all papers use the substance only as a one-time test substance to study hormone regulation; they say nothing about benefit.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Sermorelin</w:t>
            </w:r>
          </w:p>
        </w:tc>
        <w:tc>
          <w:tcPr/>
          <w:p>
            <w:pPr>
              <w:pStyle w:val="Compact"/>
              <w:jc w:val="left"/>
            </w:pPr>
            <w:r>
              <w:t xml:space="preserve">110 children with GH deficiency: growth 4.1 to 7.2 cm/year (PMID 8772599)</w:t>
            </w:r>
          </w:p>
        </w:tc>
        <w:tc>
          <w:tcPr/>
          <w:p>
            <w:pPr>
              <w:pStyle w:val="Compact"/>
              <w:jc w:val="left"/>
            </w:pPr>
            <w:r>
              <w:t xml:space="preserve">Flushing; long-term consequences in adults unclear</w:t>
            </w:r>
          </w:p>
        </w:tc>
      </w:tr>
      <w:tr>
        <w:tc>
          <w:tcPr/>
          <w:p>
            <w:pPr>
              <w:pStyle w:val="Compact"/>
              <w:jc w:val="left"/>
            </w:pPr>
            <w:r>
              <w:t xml:space="preserve">Tesamorelin</w:t>
            </w:r>
          </w:p>
        </w:tc>
        <w:tc>
          <w:tcPr/>
          <w:p>
            <w:pPr>
              <w:pStyle w:val="Compact"/>
              <w:jc w:val="left"/>
            </w:pPr>
            <w:r>
              <w:t xml:space="preserve">Two phase 3 trials with 806 people: visceral abdominal fat −15.4% vs. placebo (PMID 20554713)</w:t>
            </w:r>
          </w:p>
        </w:tc>
        <w:tc>
          <w:tcPr/>
          <w:p>
            <w:pPr>
              <w:pStyle w:val="Compact"/>
              <w:jc w:val="left"/>
            </w:pPr>
            <w:r>
              <w:t xml:space="preserve">Joint pain, fluid retention, blood sugar</w:t>
            </w:r>
          </w:p>
        </w:tc>
      </w:tr>
      <w:tr>
        <w:tc>
          <w:tcPr/>
          <w:p>
            <w:pPr>
              <w:pStyle w:val="Compact"/>
              <w:jc w:val="left"/>
            </w:pPr>
            <w:r>
              <w:t xml:space="preserve">CJC-1295</w:t>
            </w:r>
          </w:p>
        </w:tc>
        <w:tc>
          <w:tcPr/>
          <w:p>
            <w:pPr>
              <w:pStyle w:val="Compact"/>
              <w:jc w:val="left"/>
            </w:pPr>
            <w:r>
              <w:t xml:space="preserve">Single injection: GH increased 2- to 10-fold, IGF-1 1.5- to 3-fold (PMID 16352683)</w:t>
            </w:r>
          </w:p>
        </w:tc>
        <w:tc>
          <w:tcPr/>
          <w:p>
            <w:pPr>
              <w:pStyle w:val="Compact"/>
              <w:jc w:val="left"/>
            </w:pPr>
            <w:r>
              <w:t xml:space="preserve">Continuous stimulation unexplored, unclear content</w:t>
            </w:r>
          </w:p>
        </w:tc>
      </w:tr>
      <w:tr>
        <w:tc>
          <w:tcPr/>
          <w:p>
            <w:pPr>
              <w:pStyle w:val="Compact"/>
              <w:jc w:val="left"/>
            </w:pPr>
            <w:r>
              <w:t xml:space="preserve">Ipamorelin</w:t>
            </w:r>
          </w:p>
        </w:tc>
        <w:tc>
          <w:tcPr/>
          <w:p>
            <w:pPr>
              <w:pStyle w:val="Compact"/>
              <w:jc w:val="left"/>
            </w:pPr>
            <w:r>
              <w:t xml:space="preserve">Phase 2 after bowel surgery: no significant benefit (PMID 25331030)</w:t>
            </w:r>
          </w:p>
        </w:tc>
        <w:tc>
          <w:tcPr/>
          <w:p>
            <w:pPr>
              <w:pStyle w:val="Compact"/>
              <w:jc w:val="left"/>
            </w:pPr>
            <w:r>
              <w:t xml:space="preserve">No data on long-term use; modified molecules</w:t>
            </w:r>
          </w:p>
        </w:tc>
      </w:tr>
      <w:tr>
        <w:tc>
          <w:tcPr/>
          <w:p>
            <w:pPr>
              <w:pStyle w:val="Compact"/>
              <w:jc w:val="left"/>
            </w:pPr>
            <w:r>
              <w:t xml:space="preserve">GHRP-2</w:t>
            </w:r>
          </w:p>
        </w:tc>
        <w:tc>
          <w:tcPr/>
          <w:p>
            <w:pPr>
              <w:pStyle w:val="Compact"/>
              <w:jc w:val="left"/>
            </w:pPr>
            <w:r>
              <w:t xml:space="preserve">As a test, it reliably distinguished GH deficiency from healthy people (PMID 17609397)</w:t>
            </w:r>
          </w:p>
        </w:tc>
        <w:tc>
          <w:tcPr/>
          <w:p>
            <w:pPr>
              <w:pStyle w:val="Compact"/>
              <w:jc w:val="left"/>
            </w:pPr>
            <w:r>
              <w:t xml:space="preserve">Food cravings, rise in stress hormones</w:t>
            </w:r>
          </w:p>
        </w:tc>
      </w:tr>
      <w:tr>
        <w:tc>
          <w:tcPr/>
          <w:p>
            <w:pPr>
              <w:pStyle w:val="Compact"/>
              <w:jc w:val="left"/>
            </w:pPr>
            <w:r>
              <w:t xml:space="preserve">GHRP-6</w:t>
            </w:r>
          </w:p>
        </w:tc>
        <w:tc>
          <w:tcPr/>
          <w:p>
            <w:pPr>
              <w:pStyle w:val="Compact"/>
              <w:jc w:val="left"/>
            </w:pPr>
            <w:r>
              <w:t xml:space="preserve">Combination test reliably detected GH deficiency (PMID 11030292)</w:t>
            </w:r>
          </w:p>
        </w:tc>
        <w:tc>
          <w:tcPr/>
          <w:p>
            <w:pPr>
              <w:pStyle w:val="Compact"/>
              <w:jc w:val="left"/>
            </w:pPr>
            <w:r>
              <w:t xml:space="preserve">Flushing, hormone rises, hunger</w:t>
            </w:r>
          </w:p>
        </w:tc>
      </w:tr>
      <w:tr>
        <w:tc>
          <w:tcPr/>
          <w:p>
            <w:pPr>
              <w:pStyle w:val="Compact"/>
              <w:jc w:val="left"/>
            </w:pPr>
            <w:r>
              <w:t xml:space="preserve">Hexarelin</w:t>
            </w:r>
          </w:p>
        </w:tc>
        <w:tc>
          <w:tcPr/>
          <w:p>
            <w:pPr>
              <w:pStyle w:val="Compact"/>
              <w:jc w:val="left"/>
            </w:pPr>
            <w:r>
              <w:t xml:space="preserve">Loss of effect over 16 weeks, body composition unchanged (PMID 9589671)</w:t>
            </w:r>
          </w:p>
        </w:tc>
        <w:tc>
          <w:tcPr/>
          <w:p>
            <w:pPr>
              <w:pStyle w:val="Compact"/>
              <w:jc w:val="left"/>
            </w:pPr>
            <w:r>
              <w:t xml:space="preserve">Stress hormones, prolactin, loss of effect</w:t>
            </w:r>
          </w:p>
        </w:tc>
      </w:tr>
      <w:tr>
        <w:tc>
          <w:tcPr/>
          <w:p>
            <w:pPr>
              <w:pStyle w:val="Compact"/>
              <w:jc w:val="left"/>
            </w:pPr>
            <w:r>
              <w:t xml:space="preserve">Macimorelin</w:t>
            </w:r>
          </w:p>
        </w:tc>
        <w:tc>
          <w:tcPr/>
          <w:p>
            <w:pPr>
              <w:pStyle w:val="Compact"/>
              <w:jc w:val="left"/>
            </w:pPr>
            <w:r>
              <w:t xml:space="preserve">Test with 87% sensitivity and 96% specificity compared with the insulin test (PMID 29860473)</w:t>
            </w:r>
          </w:p>
        </w:tc>
        <w:tc>
          <w:tcPr/>
          <w:p>
            <w:pPr>
              <w:pStyle w:val="Compact"/>
              <w:jc w:val="left"/>
            </w:pPr>
            <w:r>
              <w:t xml:space="preserve">QT prolongation with overdose</w:t>
            </w:r>
          </w:p>
        </w:tc>
      </w:tr>
      <w:tr>
        <w:tc>
          <w:tcPr/>
          <w:p>
            <w:pPr>
              <w:pStyle w:val="Compact"/>
              <w:jc w:val="left"/>
            </w:pPr>
            <w:r>
              <w:t xml:space="preserve">Mecasermin (IGF-1)</w:t>
            </w:r>
          </w:p>
        </w:tc>
        <w:tc>
          <w:tcPr/>
          <w:p>
            <w:pPr>
              <w:pStyle w:val="Compact"/>
              <w:jc w:val="left"/>
            </w:pPr>
            <w:r>
              <w:t xml:space="preserve">76 children with GH resistance: growth 2.8 to 8.0 cm/year (PMID 17192294)</w:t>
            </w:r>
          </w:p>
        </w:tc>
        <w:tc>
          <w:tcPr/>
          <w:p>
            <w:pPr>
              <w:pStyle w:val="Compact"/>
              <w:jc w:val="left"/>
            </w:pPr>
            <w:r>
              <w:t xml:space="preserve">Hypoglycemia; warning on neoplasms</w:t>
            </w:r>
          </w:p>
        </w:tc>
      </w:tr>
      <w:tr>
        <w:tc>
          <w:tcPr/>
          <w:p>
            <w:pPr>
              <w:pStyle w:val="Compact"/>
              <w:jc w:val="left"/>
            </w:pPr>
            <w:r>
              <w:t xml:space="preserve">IGF-1 LR3</w:t>
            </w:r>
          </w:p>
        </w:tc>
        <w:tc>
          <w:tcPr/>
          <w:p>
            <w:pPr>
              <w:pStyle w:val="Compact"/>
              <w:jc w:val="left"/>
            </w:pPr>
            <w:r>
              <w:t xml:space="preserve">No human study; a laboratory variant found in a black-market vial (PMID 20675162)</w:t>
            </w:r>
          </w:p>
        </w:tc>
        <w:tc>
          <w:tcPr/>
          <w:p>
            <w:pPr>
              <w:pStyle w:val="Compact"/>
              <w:jc w:val="left"/>
            </w:pPr>
            <w:r>
              <w:t xml:space="preserve">Hypoglycemia, growth signals (theoretical)</w:t>
            </w:r>
          </w:p>
        </w:tc>
      </w:tr>
      <w:tr>
        <w:tc>
          <w:tcPr/>
          <w:p>
            <w:pPr>
              <w:pStyle w:val="Compact"/>
              <w:jc w:val="left"/>
            </w:pPr>
            <w:r>
              <w:t xml:space="preserve">Ibutamoren</w:t>
            </w:r>
          </w:p>
        </w:tc>
        <w:tc>
          <w:tcPr/>
          <w:p>
            <w:pPr>
              <w:pStyle w:val="Compact"/>
              <w:jc w:val="left"/>
            </w:pPr>
            <w:r>
              <w:t xml:space="preserve">65 older people: fat-free mass +1.1 kg, strength and function unchanged (PMID 18981485)</w:t>
            </w:r>
          </w:p>
        </w:tc>
        <w:tc>
          <w:tcPr/>
          <w:p>
            <w:pPr>
              <w:pStyle w:val="Compact"/>
              <w:jc w:val="left"/>
            </w:pPr>
            <w:r>
              <w:t xml:space="preserve">Heart failure signal, higher blood sugar</w:t>
            </w:r>
          </w:p>
        </w:tc>
      </w:tr>
    </w:tbl>
    <w:bookmarkEnd w:id="2528"/>
    <w:bookmarkStart w:id="2529" w:name="d.-brain-sleep-and-longevity"/>
    <w:p>
      <w:pPr>
        <w:pStyle w:val="Heading3"/>
      </w:pPr>
      <w:r>
        <w:t xml:space="preserve">D. Brain, Sleep and Longevity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Semax</w:t>
            </w:r>
          </w:p>
        </w:tc>
        <w:tc>
          <w:tcPr/>
          <w:p>
            <w:pPr>
              <w:pStyle w:val="Compact"/>
              <w:jc w:val="left"/>
            </w:pPr>
            <w:r>
              <w:t xml:space="preserve">C</w:t>
            </w:r>
          </w:p>
        </w:tc>
        <w:tc>
          <w:tcPr/>
          <w:p>
            <w:pPr>
              <w:pStyle w:val="Compact"/>
              <w:jc w:val="left"/>
            </w:pPr>
            <w:r>
              <w:t xml:space="preserve">no / no (registered in Russia)</w:t>
            </w:r>
          </w:p>
        </w:tc>
        <w:tc>
          <w:tcPr/>
          <w:p>
            <w:pPr>
              <w:pStyle w:val="Compact"/>
              <w:jc w:val="left"/>
            </w:pPr>
            <w:r>
              <w:t xml:space="preserve">4 / 0</w:t>
            </w:r>
          </w:p>
        </w:tc>
      </w:tr>
      <w:tr>
        <w:tc>
          <w:tcPr/>
          <w:p>
            <w:pPr>
              <w:pStyle w:val="Compact"/>
              <w:jc w:val="left"/>
            </w:pPr>
            <w:r>
              <w:t xml:space="preserve">Selank</w:t>
            </w:r>
          </w:p>
        </w:tc>
        <w:tc>
          <w:tcPr/>
          <w:p>
            <w:pPr>
              <w:pStyle w:val="Compact"/>
              <w:jc w:val="left"/>
            </w:pPr>
            <w:r>
              <w:t xml:space="preserve">C</w:t>
            </w:r>
          </w:p>
        </w:tc>
        <w:tc>
          <w:tcPr/>
          <w:p>
            <w:pPr>
              <w:pStyle w:val="Compact"/>
              <w:jc w:val="left"/>
            </w:pPr>
            <w:r>
              <w:t xml:space="preserve">no / no (registered in Russia)</w:t>
            </w:r>
          </w:p>
        </w:tc>
        <w:tc>
          <w:tcPr/>
          <w:p>
            <w:pPr>
              <w:pStyle w:val="Compact"/>
              <w:jc w:val="left"/>
            </w:pPr>
            <w:r>
              <w:t xml:space="preserve">3 / 2 (note)</w:t>
            </w:r>
          </w:p>
        </w:tc>
      </w:tr>
      <w:tr>
        <w:tc>
          <w:tcPr/>
          <w:p>
            <w:pPr>
              <w:pStyle w:val="Compact"/>
              <w:jc w:val="left"/>
            </w:pPr>
            <w:r>
              <w:t xml:space="preserve">Cerebrolysin</w:t>
            </w:r>
          </w:p>
        </w:tc>
        <w:tc>
          <w:tcPr/>
          <w:p>
            <w:pPr>
              <w:pStyle w:val="Compact"/>
              <w:jc w:val="left"/>
            </w:pPr>
            <w:r>
              <w:t xml:space="preserve">B</w:t>
            </w:r>
          </w:p>
        </w:tc>
        <w:tc>
          <w:tcPr/>
          <w:p>
            <w:pPr>
              <w:pStyle w:val="Compact"/>
              <w:jc w:val="left"/>
            </w:pPr>
            <w:r>
              <w:t xml:space="preserve">national (Austria, among others) / no</w:t>
            </w:r>
          </w:p>
        </w:tc>
        <w:tc>
          <w:tcPr/>
          <w:p>
            <w:pPr>
              <w:pStyle w:val="Compact"/>
              <w:jc w:val="left"/>
            </w:pPr>
            <w:r>
              <w:t xml:space="preserve">88 / 43</w:t>
            </w:r>
          </w:p>
        </w:tc>
      </w:tr>
      <w:tr>
        <w:tc>
          <w:tcPr/>
          <w:p>
            <w:pPr>
              <w:pStyle w:val="Compact"/>
              <w:jc w:val="left"/>
            </w:pPr>
            <w:r>
              <w:t xml:space="preserve">Dihexa</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DSIP</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18 / 1 (note)</w:t>
            </w:r>
          </w:p>
        </w:tc>
      </w:tr>
      <w:tr>
        <w:tc>
          <w:tcPr/>
          <w:p>
            <w:pPr>
              <w:pStyle w:val="Compact"/>
              <w:jc w:val="left"/>
            </w:pPr>
            <w:r>
              <w:t xml:space="preserve">Epitalon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1 (note)</w:t>
            </w:r>
          </w:p>
        </w:tc>
      </w:tr>
      <w:tr>
        <w:tc>
          <w:tcPr/>
          <w:p>
            <w:pPr>
              <w:pStyle w:val="Compact"/>
              <w:jc w:val="left"/>
            </w:pPr>
            <w:r>
              <w:t xml:space="preserve">Pinealon</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1 / 0</w:t>
            </w:r>
          </w:p>
        </w:tc>
      </w:tr>
      <w:tr>
        <w:tc>
          <w:tcPr/>
          <w:p>
            <w:pPr>
              <w:pStyle w:val="Compact"/>
              <w:jc w:val="left"/>
            </w:pPr>
            <w:r>
              <w:t xml:space="preserve">MOTS-c</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5 / 4 (note)</w:t>
            </w:r>
          </w:p>
        </w:tc>
      </w:tr>
      <w:tr>
        <w:tc>
          <w:tcPr/>
          <w:p>
            <w:pPr>
              <w:pStyle w:val="Compact"/>
              <w:jc w:val="left"/>
            </w:pPr>
            <w:r>
              <w:t xml:space="preserve">Humanin</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8 / 3 (note)</w:t>
            </w:r>
          </w:p>
        </w:tc>
      </w:tr>
      <w:tr>
        <w:tc>
          <w:tcPr/>
          <w:p>
            <w:pPr>
              <w:pStyle w:val="Compact"/>
              <w:jc w:val="left"/>
            </w:pPr>
            <w:r>
              <w:t xml:space="preserve">SS-31 (elamipretide)</w:t>
            </w:r>
          </w:p>
        </w:tc>
        <w:tc>
          <w:tcPr/>
          <w:p>
            <w:pPr>
              <w:pStyle w:val="Compact"/>
              <w:jc w:val="left"/>
            </w:pPr>
            <w:r>
              <w:t xml:space="preserve">B</w:t>
            </w:r>
          </w:p>
        </w:tc>
        <w:tc>
          <w:tcPr/>
          <w:p>
            <w:pPr>
              <w:pStyle w:val="Compact"/>
              <w:jc w:val="left"/>
            </w:pPr>
            <w:r>
              <w:t xml:space="preserve">no / yes, accelerated (Barth syndrome only)</w:t>
            </w:r>
          </w:p>
        </w:tc>
        <w:tc>
          <w:tcPr/>
          <w:p>
            <w:pPr>
              <w:pStyle w:val="Compact"/>
              <w:jc w:val="left"/>
            </w:pPr>
            <w:r>
              <w:t xml:space="preserve">19 / 21</w:t>
            </w:r>
          </w:p>
        </w:tc>
      </w:tr>
      <w:tr>
        <w:tc>
          <w:tcPr/>
          <w:p>
            <w:pPr>
              <w:pStyle w:val="Compact"/>
              <w:jc w:val="left"/>
            </w:pPr>
            <w:r>
              <w:t xml:space="preserve">FOXO4-DRI</w:t>
            </w:r>
          </w:p>
        </w:tc>
        <w:tc>
          <w:tcPr/>
          <w:p>
            <w:pPr>
              <w:pStyle w:val="Compact"/>
              <w:jc w:val="left"/>
            </w:pPr>
            <w:r>
              <w:t xml:space="preserve">D</w:t>
            </w:r>
          </w:p>
        </w:tc>
        <w:tc>
          <w:tcPr/>
          <w:p>
            <w:pPr>
              <w:pStyle w:val="Compact"/>
              <w:jc w:val="left"/>
            </w:pPr>
            <w:r>
              <w:t xml:space="preserve">no / no</w:t>
            </w:r>
          </w:p>
        </w:tc>
        <w:tc>
          <w:tcPr/>
          <w:p>
            <w:pPr>
              <w:pStyle w:val="Compact"/>
              <w:jc w:val="left"/>
            </w:pPr>
            <w:r>
              <w:t xml:space="preserve">0 / 0</w:t>
            </w:r>
          </w:p>
        </w:tc>
      </w:tr>
      <w:tr>
        <w:tc>
          <w:tcPr/>
          <w:p>
            <w:pPr>
              <w:pStyle w:val="Compact"/>
              <w:jc w:val="left"/>
            </w:pPr>
            <w:r>
              <w:t xml:space="preserve">Glutathione</w:t>
            </w:r>
          </w:p>
        </w:tc>
        <w:tc>
          <w:tcPr/>
          <w:p>
            <w:pPr>
              <w:pStyle w:val="Compact"/>
              <w:jc w:val="left"/>
            </w:pPr>
            <w:r>
              <w:t xml:space="preserve">B</w:t>
            </w:r>
          </w:p>
        </w:tc>
        <w:tc>
          <w:tcPr/>
          <w:p>
            <w:pPr>
              <w:pStyle w:val="Compact"/>
              <w:jc w:val="left"/>
            </w:pPr>
            <w:r>
              <w:t xml:space="preserve">food supplement / dietary supplement</w:t>
            </w:r>
          </w:p>
        </w:tc>
        <w:tc>
          <w:tcPr/>
          <w:p>
            <w:pPr>
              <w:pStyle w:val="Compact"/>
              <w:jc w:val="left"/>
            </w:pPr>
            <w:r>
              <w:t xml:space="preserve">161 / 273 (note)</w:t>
            </w:r>
          </w:p>
        </w:tc>
      </w:tr>
    </w:tbl>
    <w:p>
      <w:pPr>
        <w:pStyle w:val="BodyText"/>
      </w:pPr>
      <w:r>
        <w:t xml:space="preserve">Notes on the table: For</w:t>
      </w:r>
      <w:r>
        <w:t xml:space="preserve"> </w:t>
      </w:r>
      <w:r>
        <w:rPr>
          <w:bCs/>
          <w:b/>
        </w:rPr>
        <w:t xml:space="preserve">Selank</w:t>
      </w:r>
      <w:r>
        <w:t xml:space="preserve"> </w:t>
      </w:r>
      <w:r>
        <w:t xml:space="preserve">and</w:t>
      </w:r>
      <w:r>
        <w:t xml:space="preserve"> </w:t>
      </w:r>
      <w:r>
        <w:rPr>
          <w:bCs/>
          <w:b/>
        </w:rPr>
        <w:t xml:space="preserve">DSIP</w:t>
      </w:r>
      <w:r>
        <w:t xml:space="preserve">, the registry hits concern other procedures or topics; there is no registered study with the peptide. The only registry entry for</w:t>
      </w:r>
      <w:r>
        <w:t xml:space="preserve"> </w:t>
      </w:r>
      <w:r>
        <w:rPr>
          <w:bCs/>
          <w:b/>
        </w:rPr>
        <w:t xml:space="preserve">Epitalon</w:t>
      </w:r>
      <w:r>
        <w:t xml:space="preserve"> </w:t>
      </w:r>
      <w:r>
        <w:t xml:space="preserve">is an uncontrolled study with a skin serum in which Epitalon is one of five ingredients. For</w:t>
      </w:r>
      <w:r>
        <w:t xml:space="preserve"> </w:t>
      </w:r>
      <w:r>
        <w:rPr>
          <w:bCs/>
          <w:b/>
        </w:rPr>
        <w:t xml:space="preserve">MOTS-c</w:t>
      </w:r>
      <w:r>
        <w:t xml:space="preserve"> </w:t>
      </w:r>
      <w:r>
        <w:t xml:space="preserve">and</w:t>
      </w:r>
      <w:r>
        <w:t xml:space="preserve"> </w:t>
      </w:r>
      <w:r>
        <w:rPr>
          <w:bCs/>
          <w:b/>
        </w:rPr>
        <w:t xml:space="preserve">humanin</w:t>
      </w:r>
      <w:r>
        <w:t xml:space="preserve">, the peptide was not administered in any of the publications; they measure the body’s own levels. For</w:t>
      </w:r>
      <w:r>
        <w:t xml:space="preserve"> </w:t>
      </w:r>
      <w:r>
        <w:rPr>
          <w:bCs/>
          <w:b/>
        </w:rPr>
        <w:t xml:space="preserve">glutathione</w:t>
      </w:r>
      <w:r>
        <w:t xml:space="preserve">, many hits measure glutathione only as a laboratory value or concern the enzyme glutathione S-transferase; studies in which glutathione was administered are a minority of a few dozen.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Semax</w:t>
            </w:r>
          </w:p>
        </w:tc>
        <w:tc>
          <w:tcPr/>
          <w:p>
            <w:pPr>
              <w:pStyle w:val="Compact"/>
              <w:jc w:val="left"/>
            </w:pPr>
            <w:r>
              <w:t xml:space="preserve">Open-label study after stroke: higher BDNF, faster improvement (PMID 29798983)</w:t>
            </w:r>
          </w:p>
        </w:tc>
        <w:tc>
          <w:tcPr/>
          <w:p>
            <w:pPr>
              <w:pStyle w:val="Compact"/>
              <w:jc w:val="left"/>
            </w:pPr>
            <w:r>
              <w:t xml:space="preserve">No systematic safety data</w:t>
            </w:r>
          </w:p>
        </w:tc>
      </w:tr>
      <w:tr>
        <w:tc>
          <w:tcPr/>
          <w:p>
            <w:pPr>
              <w:pStyle w:val="Compact"/>
              <w:jc w:val="left"/>
            </w:pPr>
            <w:r>
              <w:t xml:space="preserve">Selank</w:t>
            </w:r>
          </w:p>
        </w:tc>
        <w:tc>
          <w:tcPr/>
          <w:p>
            <w:pPr>
              <w:pStyle w:val="Compact"/>
              <w:jc w:val="left"/>
            </w:pPr>
            <w:r>
              <w:t xml:space="preserve">Anxiolytic effect similar to medazepam, without placebo group (PMID 18454096)</w:t>
            </w:r>
          </w:p>
        </w:tc>
        <w:tc>
          <w:tcPr/>
          <w:p>
            <w:pPr>
              <w:pStyle w:val="Compact"/>
              <w:jc w:val="left"/>
            </w:pPr>
            <w:r>
              <w:t xml:space="preserve">No long-term data; gray market</w:t>
            </w:r>
          </w:p>
        </w:tc>
      </w:tr>
      <w:tr>
        <w:tc>
          <w:tcPr/>
          <w:p>
            <w:pPr>
              <w:pStyle w:val="Compact"/>
              <w:jc w:val="left"/>
            </w:pPr>
            <w:r>
              <w:t xml:space="preserve">Cerebrolysin</w:t>
            </w:r>
          </w:p>
        </w:tc>
        <w:tc>
          <w:tcPr/>
          <w:p>
            <w:pPr>
              <w:pStyle w:val="Compact"/>
              <w:jc w:val="left"/>
            </w:pPr>
            <w:r>
              <w:t xml:space="preserve">CASTA with 1,070 people: primary endpoint missed (PMID 22282884)</w:t>
            </w:r>
          </w:p>
        </w:tc>
        <w:tc>
          <w:tcPr/>
          <w:p>
            <w:pPr>
              <w:pStyle w:val="Compact"/>
              <w:jc w:val="left"/>
            </w:pPr>
            <w:r>
              <w:t xml:space="preserve">Possible signal for serious side effects (Cochrane)</w:t>
            </w:r>
          </w:p>
        </w:tc>
      </w:tr>
      <w:tr>
        <w:tc>
          <w:tcPr/>
          <w:p>
            <w:pPr>
              <w:pStyle w:val="Compact"/>
              <w:jc w:val="left"/>
            </w:pPr>
            <w:r>
              <w:t xml:space="preserve">Dihexa</w:t>
            </w:r>
          </w:p>
        </w:tc>
        <w:tc>
          <w:tcPr/>
          <w:p>
            <w:pPr>
              <w:pStyle w:val="Compact"/>
              <w:jc w:val="left"/>
            </w:pPr>
            <w:r>
              <w:t xml:space="preserve">Animal data only; a key rat study was retracted in 2025 (PMID 25187433, retraction PMID 40312093)</w:t>
            </w:r>
          </w:p>
        </w:tc>
        <w:tc>
          <w:tcPr/>
          <w:p>
            <w:pPr>
              <w:pStyle w:val="Compact"/>
              <w:jc w:val="left"/>
            </w:pPr>
            <w:r>
              <w:t xml:space="preserve">No human data; theoretical cancer risk</w:t>
            </w:r>
          </w:p>
        </w:tc>
      </w:tr>
      <w:tr>
        <w:tc>
          <w:tcPr/>
          <w:p>
            <w:pPr>
              <w:pStyle w:val="Compact"/>
              <w:jc w:val="left"/>
            </w:pPr>
            <w:r>
              <w:t xml:space="preserve">DSIP</w:t>
            </w:r>
          </w:p>
        </w:tc>
        <w:tc>
          <w:tcPr/>
          <w:p>
            <w:pPr>
              <w:pStyle w:val="Compact"/>
              <w:jc w:val="left"/>
            </w:pPr>
            <w:r>
              <w:t xml:space="preserve">16 people with insomnia: only weak effects (PMID 1299794)</w:t>
            </w:r>
          </w:p>
        </w:tc>
        <w:tc>
          <w:tcPr/>
          <w:p>
            <w:pPr>
              <w:pStyle w:val="Compact"/>
              <w:jc w:val="left"/>
            </w:pPr>
            <w:r>
              <w:t xml:space="preserve">No systematic safety data</w:t>
            </w:r>
          </w:p>
        </w:tc>
      </w:tr>
      <w:tr>
        <w:tc>
          <w:tcPr/>
          <w:p>
            <w:pPr>
              <w:pStyle w:val="Compact"/>
              <w:jc w:val="left"/>
            </w:pPr>
            <w:r>
              <w:t xml:space="preserve">Epitalon</w:t>
            </w:r>
          </w:p>
        </w:tc>
        <w:tc>
          <w:tcPr/>
          <w:p>
            <w:pPr>
              <w:pStyle w:val="Compact"/>
              <w:jc w:val="left"/>
            </w:pPr>
            <w:r>
              <w:t xml:space="preserve">No longer mean lifespan in mice (PMID 14501183)</w:t>
            </w:r>
          </w:p>
        </w:tc>
        <w:tc>
          <w:tcPr/>
          <w:p>
            <w:pPr>
              <w:pStyle w:val="Compact"/>
              <w:jc w:val="left"/>
            </w:pPr>
            <w:r>
              <w:t xml:space="preserve">No human data; telomerase question</w:t>
            </w:r>
          </w:p>
        </w:tc>
      </w:tr>
      <w:tr>
        <w:tc>
          <w:tcPr/>
          <w:p>
            <w:pPr>
              <w:pStyle w:val="Compact"/>
              <w:jc w:val="left"/>
            </w:pPr>
            <w:r>
              <w:t xml:space="preserve">Pinealon</w:t>
            </w:r>
          </w:p>
        </w:tc>
        <w:tc>
          <w:tcPr/>
          <w:p>
            <w:pPr>
              <w:pStyle w:val="Compact"/>
              <w:jc w:val="left"/>
            </w:pPr>
            <w:r>
              <w:t xml:space="preserve">32 older people, uncontrolled; also inhibition of blood formation (PMID 26390612)</w:t>
            </w:r>
          </w:p>
        </w:tc>
        <w:tc>
          <w:tcPr/>
          <w:p>
            <w:pPr>
              <w:pStyle w:val="Compact"/>
              <w:jc w:val="left"/>
            </w:pPr>
            <w:r>
              <w:t xml:space="preserve">No systematic safety data</w:t>
            </w:r>
          </w:p>
        </w:tc>
      </w:tr>
      <w:tr>
        <w:tc>
          <w:tcPr/>
          <w:p>
            <w:pPr>
              <w:pStyle w:val="Compact"/>
              <w:jc w:val="left"/>
            </w:pPr>
            <w:r>
              <w:t xml:space="preserve">MOTS-c</w:t>
            </w:r>
          </w:p>
        </w:tc>
        <w:tc>
          <w:tcPr/>
          <w:p>
            <w:pPr>
              <w:pStyle w:val="Compact"/>
              <w:jc w:val="left"/>
            </w:pPr>
            <w:r>
              <w:t xml:space="preserve">Animal data on administration only: less obesity in mice (PMID 25738459)</w:t>
            </w:r>
          </w:p>
        </w:tc>
        <w:tc>
          <w:tcPr/>
          <w:p>
            <w:pPr>
              <w:pStyle w:val="Compact"/>
              <w:jc w:val="left"/>
            </w:pPr>
            <w:r>
              <w:t xml:space="preserve">No data on administration in humans</w:t>
            </w:r>
          </w:p>
        </w:tc>
      </w:tr>
      <w:tr>
        <w:tc>
          <w:tcPr/>
          <w:p>
            <w:pPr>
              <w:pStyle w:val="Compact"/>
              <w:jc w:val="left"/>
            </w:pPr>
            <w:r>
              <w:t xml:space="preserve">Humanin</w:t>
            </w:r>
          </w:p>
        </w:tc>
        <w:tc>
          <w:tcPr/>
          <w:p>
            <w:pPr>
              <w:pStyle w:val="Compact"/>
              <w:jc w:val="left"/>
            </w:pPr>
            <w:r>
              <w:t xml:space="preserve">Only level measurements in humans (PMID 32575074)</w:t>
            </w:r>
          </w:p>
        </w:tc>
        <w:tc>
          <w:tcPr/>
          <w:p>
            <w:pPr>
              <w:pStyle w:val="Compact"/>
              <w:jc w:val="left"/>
            </w:pPr>
            <w:r>
              <w:t xml:space="preserve">More breast cancer growth in mice (PMID 32444831)</w:t>
            </w:r>
          </w:p>
        </w:tc>
      </w:tr>
      <w:tr>
        <w:tc>
          <w:tcPr/>
          <w:p>
            <w:pPr>
              <w:pStyle w:val="Compact"/>
              <w:jc w:val="left"/>
            </w:pPr>
            <w:r>
              <w:t xml:space="preserve">SS-31 (elamipretide)</w:t>
            </w:r>
          </w:p>
        </w:tc>
        <w:tc>
          <w:tcPr/>
          <w:p>
            <w:pPr>
              <w:pStyle w:val="Compact"/>
              <w:jc w:val="left"/>
            </w:pPr>
            <w:r>
              <w:t xml:space="preserve">MMPOWER-3 with 218 people: no benefit in myopathy (PMID 37268435)</w:t>
            </w:r>
          </w:p>
        </w:tc>
        <w:tc>
          <w:tcPr/>
          <w:p>
            <w:pPr>
              <w:pStyle w:val="Compact"/>
              <w:jc w:val="left"/>
            </w:pPr>
            <w:r>
              <w:t xml:space="preserve">Injection sites; gray-market goods not identical</w:t>
            </w:r>
          </w:p>
        </w:tc>
      </w:tr>
      <w:tr>
        <w:tc>
          <w:tcPr/>
          <w:p>
            <w:pPr>
              <w:pStyle w:val="Compact"/>
              <w:jc w:val="left"/>
            </w:pPr>
            <w:r>
              <w:t xml:space="preserve">FOXO4-DRI</w:t>
            </w:r>
          </w:p>
        </w:tc>
        <w:tc>
          <w:tcPr/>
          <w:p>
            <w:pPr>
              <w:pStyle w:val="Compact"/>
              <w:jc w:val="left"/>
            </w:pPr>
            <w:r>
              <w:t xml:space="preserve">Animal data only: better fitness in aged mice (PMID 28340339)</w:t>
            </w:r>
          </w:p>
        </w:tc>
        <w:tc>
          <w:tcPr/>
          <w:p>
            <w:pPr>
              <w:pStyle w:val="Compact"/>
              <w:jc w:val="left"/>
            </w:pPr>
            <w:r>
              <w:t xml:space="preserve">No human data; interference with p53</w:t>
            </w:r>
          </w:p>
        </w:tc>
      </w:tr>
      <w:tr>
        <w:tc>
          <w:tcPr/>
          <w:p>
            <w:pPr>
              <w:pStyle w:val="Compact"/>
              <w:jc w:val="left"/>
            </w:pPr>
            <w:r>
              <w:t xml:space="preserve">Glutathione</w:t>
            </w:r>
          </w:p>
        </w:tc>
        <w:tc>
          <w:tcPr/>
          <w:p>
            <w:pPr>
              <w:pStyle w:val="Compact"/>
              <w:jc w:val="left"/>
            </w:pPr>
            <w:r>
              <w:t xml:space="preserve">Phase 3 with 185 people: no protection against chemotherapy-induced nerve damage (PMID 24619793)</w:t>
            </w:r>
          </w:p>
        </w:tc>
        <w:tc>
          <w:tcPr/>
          <w:p>
            <w:pPr>
              <w:pStyle w:val="Compact"/>
              <w:jc w:val="left"/>
            </w:pPr>
            <w:r>
              <w:t xml:space="preserve">Infusions for skin lightening: official warnings</w:t>
            </w:r>
          </w:p>
        </w:tc>
      </w:tr>
    </w:tbl>
    <w:bookmarkEnd w:id="2529"/>
    <w:bookmarkStart w:id="2530" w:name="e.-hormones-sexuality-and-pigmentation"/>
    <w:p>
      <w:pPr>
        <w:pStyle w:val="Heading3"/>
      </w:pPr>
      <w:r>
        <w:t xml:space="preserve">E. Hormones, Sexuality and Pigmentation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Bremelanotide (PT-141)</w:t>
            </w:r>
          </w:p>
        </w:tc>
        <w:tc>
          <w:tcPr/>
          <w:p>
            <w:pPr>
              <w:pStyle w:val="Compact"/>
              <w:jc w:val="left"/>
            </w:pPr>
            <w:r>
              <w:t xml:space="preserve">A</w:t>
            </w:r>
          </w:p>
        </w:tc>
        <w:tc>
          <w:tcPr/>
          <w:p>
            <w:pPr>
              <w:pStyle w:val="Compact"/>
              <w:jc w:val="left"/>
            </w:pPr>
            <w:r>
              <w:t xml:space="preserve">no / yes (Vyleesi)</w:t>
            </w:r>
          </w:p>
        </w:tc>
        <w:tc>
          <w:tcPr/>
          <w:p>
            <w:pPr>
              <w:pStyle w:val="Compact"/>
              <w:jc w:val="left"/>
            </w:pPr>
            <w:r>
              <w:t xml:space="preserve">16 / 10</w:t>
            </w:r>
          </w:p>
        </w:tc>
      </w:tr>
      <w:tr>
        <w:tc>
          <w:tcPr/>
          <w:p>
            <w:pPr>
              <w:pStyle w:val="Compact"/>
              <w:jc w:val="left"/>
            </w:pPr>
            <w:r>
              <w:t xml:space="preserve">Melanotan II</w:t>
            </w:r>
          </w:p>
        </w:tc>
        <w:tc>
          <w:tcPr/>
          <w:p>
            <w:pPr>
              <w:pStyle w:val="Compact"/>
              <w:jc w:val="left"/>
            </w:pPr>
            <w:r>
              <w:t xml:space="preserve">C</w:t>
            </w:r>
          </w:p>
        </w:tc>
        <w:tc>
          <w:tcPr/>
          <w:p>
            <w:pPr>
              <w:pStyle w:val="Compact"/>
              <w:jc w:val="left"/>
            </w:pPr>
            <w:r>
              <w:t xml:space="preserve">no / no</w:t>
            </w:r>
          </w:p>
        </w:tc>
        <w:tc>
          <w:tcPr/>
          <w:p>
            <w:pPr>
              <w:pStyle w:val="Compact"/>
              <w:jc w:val="left"/>
            </w:pPr>
            <w:r>
              <w:t xml:space="preserve">8 / 0 (note)</w:t>
            </w:r>
          </w:p>
        </w:tc>
      </w:tr>
      <w:tr>
        <w:tc>
          <w:tcPr/>
          <w:p>
            <w:pPr>
              <w:pStyle w:val="Compact"/>
              <w:jc w:val="left"/>
            </w:pPr>
            <w:r>
              <w:t xml:space="preserve">Afamelanotide</w:t>
            </w:r>
          </w:p>
        </w:tc>
        <w:tc>
          <w:tcPr/>
          <w:p>
            <w:pPr>
              <w:pStyle w:val="Compact"/>
              <w:jc w:val="left"/>
            </w:pPr>
            <w:r>
              <w:t xml:space="preserve">A</w:t>
            </w:r>
          </w:p>
        </w:tc>
        <w:tc>
          <w:tcPr/>
          <w:p>
            <w:pPr>
              <w:pStyle w:val="Compact"/>
              <w:jc w:val="left"/>
            </w:pPr>
            <w:r>
              <w:t xml:space="preserve">yes / yes (Scenesse, EPP only)</w:t>
            </w:r>
          </w:p>
        </w:tc>
        <w:tc>
          <w:tcPr/>
          <w:p>
            <w:pPr>
              <w:pStyle w:val="Compact"/>
              <w:jc w:val="left"/>
            </w:pPr>
            <w:r>
              <w:t xml:space="preserve">10 / 23 (note)</w:t>
            </w:r>
          </w:p>
        </w:tc>
      </w:tr>
      <w:tr>
        <w:tc>
          <w:tcPr/>
          <w:p>
            <w:pPr>
              <w:pStyle w:val="Compact"/>
              <w:jc w:val="left"/>
            </w:pPr>
            <w:r>
              <w:t xml:space="preserve">Kisspeptin</w:t>
            </w:r>
          </w:p>
        </w:tc>
        <w:tc>
          <w:tcPr/>
          <w:p>
            <w:pPr>
              <w:pStyle w:val="Compact"/>
              <w:jc w:val="left"/>
            </w:pPr>
            <w:r>
              <w:t xml:space="preserve">B</w:t>
            </w:r>
          </w:p>
        </w:tc>
        <w:tc>
          <w:tcPr/>
          <w:p>
            <w:pPr>
              <w:pStyle w:val="Compact"/>
              <w:jc w:val="left"/>
            </w:pPr>
            <w:r>
              <w:t xml:space="preserve">no / no</w:t>
            </w:r>
          </w:p>
        </w:tc>
        <w:tc>
          <w:tcPr/>
          <w:p>
            <w:pPr>
              <w:pStyle w:val="Compact"/>
              <w:jc w:val="left"/>
            </w:pPr>
            <w:r>
              <w:t xml:space="preserve">37 / 36</w:t>
            </w:r>
          </w:p>
        </w:tc>
      </w:tr>
      <w:tr>
        <w:tc>
          <w:tcPr/>
          <w:p>
            <w:pPr>
              <w:pStyle w:val="Compact"/>
              <w:jc w:val="left"/>
            </w:pPr>
            <w:r>
              <w:t xml:space="preserve">Oxytocin (nasal spray)</w:t>
            </w:r>
          </w:p>
        </w:tc>
        <w:tc>
          <w:tcPr/>
          <w:p>
            <w:pPr>
              <w:pStyle w:val="Compact"/>
              <w:jc w:val="left"/>
            </w:pPr>
            <w:r>
              <w:t xml:space="preserve">B</w:t>
            </w:r>
          </w:p>
        </w:tc>
        <w:tc>
          <w:tcPr/>
          <w:p>
            <w:pPr>
              <w:pStyle w:val="Compact"/>
              <w:jc w:val="left"/>
            </w:pPr>
            <w:r>
              <w:t xml:space="preserve">obstetrics only / obstetrics only</w:t>
            </w:r>
          </w:p>
        </w:tc>
        <w:tc>
          <w:tcPr/>
          <w:p>
            <w:pPr>
              <w:pStyle w:val="Compact"/>
              <w:jc w:val="left"/>
            </w:pPr>
            <w:r>
              <w:t xml:space="preserve">349 / 263</w:t>
            </w:r>
          </w:p>
        </w:tc>
      </w:tr>
      <w:tr>
        <w:tc>
          <w:tcPr/>
          <w:p>
            <w:pPr>
              <w:pStyle w:val="Compact"/>
              <w:jc w:val="left"/>
            </w:pPr>
            <w:r>
              <w:t xml:space="preserve">Gonadorelin</w:t>
            </w:r>
          </w:p>
        </w:tc>
        <w:tc>
          <w:tcPr/>
          <w:p>
            <w:pPr>
              <w:pStyle w:val="Compact"/>
              <w:jc w:val="left"/>
            </w:pPr>
            <w:r>
              <w:t xml:space="preserve">B</w:t>
            </w:r>
          </w:p>
        </w:tc>
        <w:tc>
          <w:tcPr/>
          <w:p>
            <w:pPr>
              <w:pStyle w:val="Compact"/>
              <w:jc w:val="left"/>
            </w:pPr>
            <w:r>
              <w:t xml:space="preserve">national in individual states / no</w:t>
            </w:r>
          </w:p>
        </w:tc>
        <w:tc>
          <w:tcPr/>
          <w:p>
            <w:pPr>
              <w:pStyle w:val="Compact"/>
              <w:jc w:val="left"/>
            </w:pPr>
            <w:r>
              <w:t xml:space="preserve">9 / 1,000 (note)</w:t>
            </w:r>
          </w:p>
        </w:tc>
      </w:tr>
    </w:tbl>
    <w:p>
      <w:pPr>
        <w:pStyle w:val="BodyText"/>
      </w:pPr>
      <w:r>
        <w:t xml:space="preserve">Notes on the table: For</w:t>
      </w:r>
      <w:r>
        <w:t xml:space="preserve"> </w:t>
      </w:r>
      <w:r>
        <w:rPr>
          <w:bCs/>
          <w:b/>
        </w:rPr>
        <w:t xml:space="preserve">melanotan II</w:t>
      </w:r>
      <w:r>
        <w:t xml:space="preserve">, four of the eight PubMed hits concern melanotan I (the later afamelanotide); the only registry entry proved untrustworthy. For</w:t>
      </w:r>
      <w:r>
        <w:t xml:space="preserve"> </w:t>
      </w:r>
      <w:r>
        <w:rPr>
          <w:bCs/>
          <w:b/>
        </w:rPr>
        <w:t xml:space="preserve">afamelanotide</w:t>
      </w:r>
      <w:r>
        <w:t xml:space="preserve">, older studies under the names melanotan I or NDP-MSH are missing from the count. For</w:t>
      </w:r>
      <w:r>
        <w:t xml:space="preserve"> </w:t>
      </w:r>
      <w:r>
        <w:rPr>
          <w:bCs/>
          <w:b/>
        </w:rPr>
        <w:t xml:space="preserve">oxytocin</w:t>
      </w:r>
      <w:r>
        <w:t xml:space="preserve">, only use as an infusion or injection in obstetrics is approved, not the nasal spray. The figures for</w:t>
      </w:r>
      <w:r>
        <w:t xml:space="preserve"> </w:t>
      </w:r>
      <w:r>
        <w:rPr>
          <w:bCs/>
          <w:b/>
        </w:rPr>
        <w:t xml:space="preserve">gonadorelin</w:t>
      </w:r>
      <w:r>
        <w:t xml:space="preserve"> </w:t>
      </w:r>
      <w:r>
        <w:t xml:space="preserve">are useless: the registry search hit its upper limit of 1,000 hits because the registry includes the umbrella term</w:t>
      </w:r>
      <w:r>
        <w:t xml:space="preserve"> </w:t>
      </w:r>
      <w:r>
        <w:t xml:space="preserve">“</w:t>
      </w:r>
      <w:r>
        <w:t xml:space="preserve">Gonadotropin-Releasing Hormone</w:t>
      </w:r>
      <w:r>
        <w:t xml:space="preserve">”</w:t>
      </w:r>
      <w:r>
        <w:t xml:space="preserve">; almost all hits concern GnRH analogs, for example in prostate cancer, and only around ten the body-identical hormone. The PubMed figure is too low because most studies write</w:t>
      </w:r>
      <w:r>
        <w:t xml:space="preserve"> </w:t>
      </w:r>
      <w:r>
        <w:t xml:space="preserve">“</w:t>
      </w:r>
      <w:r>
        <w:t xml:space="preserve">GnRH</w:t>
      </w:r>
      <w:r>
        <w:t xml:space="preserve">”</w:t>
      </w:r>
      <w:r>
        <w:t xml:space="preserve"> </w:t>
      </w:r>
      <w:r>
        <w:t xml:space="preserve">or</w:t>
      </w:r>
      <w:r>
        <w:t xml:space="preserve"> </w:t>
      </w:r>
      <w:r>
        <w:t xml:space="preserve">“</w:t>
      </w:r>
      <w:r>
        <w:t xml:space="preserve">LHRH.</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Bremelanotide (PT-141)</w:t>
            </w:r>
          </w:p>
        </w:tc>
        <w:tc>
          <w:tcPr/>
          <w:p>
            <w:pPr>
              <w:pStyle w:val="Compact"/>
              <w:jc w:val="left"/>
            </w:pPr>
            <w:r>
              <w:t xml:space="preserve">RECONNECT, 1,267 women: only a small advantage over placebo (PMID 31599840)</w:t>
            </w:r>
          </w:p>
        </w:tc>
        <w:tc>
          <w:tcPr/>
          <w:p>
            <w:pPr>
              <w:pStyle w:val="Compact"/>
              <w:jc w:val="left"/>
            </w:pPr>
            <w:r>
              <w:t xml:space="preserve">Nausea in around 40%, brief rise in blood pressure</w:t>
            </w:r>
          </w:p>
        </w:tc>
      </w:tr>
      <w:tr>
        <w:tc>
          <w:tcPr/>
          <w:p>
            <w:pPr>
              <w:pStyle w:val="Compact"/>
              <w:jc w:val="left"/>
            </w:pPr>
            <w:r>
              <w:t xml:space="preserve">Melanotan II</w:t>
            </w:r>
          </w:p>
        </w:tc>
        <w:tc>
          <w:tcPr/>
          <w:p>
            <w:pPr>
              <w:pStyle w:val="Compact"/>
              <w:jc w:val="left"/>
            </w:pPr>
            <w:r>
              <w:t xml:space="preserve">Small crossover studies: erections in 17 of 20 men, frequent nausea (PMID 11035391)</w:t>
            </w:r>
          </w:p>
        </w:tc>
        <w:tc>
          <w:tcPr/>
          <w:p>
            <w:pPr>
              <w:pStyle w:val="Compact"/>
              <w:jc w:val="left"/>
            </w:pPr>
            <w:r>
              <w:t xml:space="preserve">Mole changes, melanoma case reports, priapism</w:t>
            </w:r>
          </w:p>
        </w:tc>
      </w:tr>
      <w:tr>
        <w:tc>
          <w:tcPr/>
          <w:p>
            <w:pPr>
              <w:pStyle w:val="Compact"/>
              <w:jc w:val="left"/>
            </w:pPr>
            <w:r>
              <w:t xml:space="preserve">Afamelanotide</w:t>
            </w:r>
          </w:p>
        </w:tc>
        <w:tc>
          <w:tcPr/>
          <w:p>
            <w:pPr>
              <w:pStyle w:val="Compact"/>
              <w:jc w:val="left"/>
            </w:pPr>
            <w:r>
              <w:t xml:space="preserve">Two RCTs: longer pain-free time in sunlight in EPP (PMID 26132941)</w:t>
            </w:r>
          </w:p>
        </w:tc>
        <w:tc>
          <w:tcPr/>
          <w:p>
            <w:pPr>
              <w:pStyle w:val="Compact"/>
              <w:jc w:val="left"/>
            </w:pPr>
            <w:r>
              <w:t xml:space="preserve">Nausea, headache; skin checks needed</w:t>
            </w:r>
          </w:p>
        </w:tc>
      </w:tr>
      <w:tr>
        <w:tc>
          <w:tcPr/>
          <w:p>
            <w:pPr>
              <w:pStyle w:val="Compact"/>
              <w:jc w:val="left"/>
            </w:pPr>
            <w:r>
              <w:t xml:space="preserve">Kisspeptin</w:t>
            </w:r>
          </w:p>
        </w:tc>
        <w:tc>
          <w:tcPr/>
          <w:p>
            <w:pPr>
              <w:pStyle w:val="Compact"/>
              <w:jc w:val="left"/>
            </w:pPr>
            <w:r>
              <w:t xml:space="preserve">60 women at risk of OHSS: egg maturation in 95%, no severe OHSS (PMID 26192876)</w:t>
            </w:r>
          </w:p>
        </w:tc>
        <w:tc>
          <w:tcPr/>
          <w:p>
            <w:pPr>
              <w:pStyle w:val="Compact"/>
              <w:jc w:val="left"/>
            </w:pPr>
            <w:r>
              <w:t xml:space="preserve">Desensitization up to suppression of the hormone axis</w:t>
            </w:r>
          </w:p>
        </w:tc>
      </w:tr>
      <w:tr>
        <w:tc>
          <w:tcPr/>
          <w:p>
            <w:pPr>
              <w:pStyle w:val="Compact"/>
              <w:jc w:val="left"/>
            </w:pPr>
            <w:r>
              <w:t xml:space="preserve">Oxytocin (nasal spray)</w:t>
            </w:r>
          </w:p>
        </w:tc>
        <w:tc>
          <w:tcPr/>
          <w:p>
            <w:pPr>
              <w:pStyle w:val="Compact"/>
              <w:jc w:val="left"/>
            </w:pPr>
            <w:r>
              <w:t xml:space="preserve">SOARS-B, 290 children with autism: no difference from placebo (PMID 34644471)</w:t>
            </w:r>
          </w:p>
        </w:tc>
        <w:tc>
          <w:tcPr/>
          <w:p>
            <w:pPr>
              <w:pStyle w:val="Compact"/>
              <w:jc w:val="left"/>
            </w:pPr>
            <w:r>
              <w:t xml:space="preserve">Water retention at high doses, induction of labor</w:t>
            </w:r>
          </w:p>
        </w:tc>
      </w:tr>
      <w:tr>
        <w:tc>
          <w:tcPr/>
          <w:p>
            <w:pPr>
              <w:pStyle w:val="Compact"/>
              <w:jc w:val="left"/>
            </w:pPr>
            <w:r>
              <w:t xml:space="preserve">Gonadorelin</w:t>
            </w:r>
          </w:p>
        </w:tc>
        <w:tc>
          <w:tcPr/>
          <w:p>
            <w:pPr>
              <w:pStyle w:val="Compact"/>
              <w:jc w:val="left"/>
            </w:pPr>
            <w:r>
              <w:t xml:space="preserve">Pulsatile administration: ovulation in 91% and 96% of 109 women (PMID 2122733)</w:t>
            </w:r>
          </w:p>
        </w:tc>
        <w:tc>
          <w:tcPr/>
          <w:p>
            <w:pPr>
              <w:pStyle w:val="Compact"/>
              <w:jc w:val="left"/>
            </w:pPr>
            <w:r>
              <w:t xml:space="preserve">Suppression of the hormone axis if rhythm is wrong</w:t>
            </w:r>
          </w:p>
        </w:tc>
      </w:tr>
    </w:tbl>
    <w:bookmarkEnd w:id="2530"/>
    <w:bookmarkStart w:id="2531" w:name="f.-collagen-nutrition-and-cosmetics"/>
    <w:p>
      <w:pPr>
        <w:pStyle w:val="Heading3"/>
      </w:pPr>
      <w:r>
        <w:t xml:space="preserve">F. Collagen, Nutrition and Cosmetics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Evidence</w:t>
            </w:r>
          </w:p>
        </w:tc>
        <w:tc>
          <w:tcPr/>
          <w:p>
            <w:pPr>
              <w:pStyle w:val="Compact"/>
              <w:jc w:val="left"/>
            </w:pPr>
            <w:r>
              <w:t xml:space="preserve">Approval EU / USA</w:t>
            </w:r>
          </w:p>
        </w:tc>
        <w:tc>
          <w:tcPr/>
          <w:p>
            <w:pPr>
              <w:pStyle w:val="Compact"/>
              <w:jc w:val="left"/>
            </w:pPr>
            <w:r>
              <w:t xml:space="preserve">Human studies / registry</w:t>
            </w:r>
          </w:p>
        </w:tc>
      </w:tr>
      <w:tr>
        <w:tc>
          <w:tcPr/>
          <w:p>
            <w:pPr>
              <w:pStyle w:val="Compact"/>
              <w:jc w:val="left"/>
            </w:pPr>
            <w:r>
              <w:t xml:space="preserve">Collagen peptides</w:t>
            </w:r>
          </w:p>
        </w:tc>
        <w:tc>
          <w:tcPr/>
          <w:p>
            <w:pPr>
              <w:pStyle w:val="Compact"/>
              <w:jc w:val="left"/>
            </w:pPr>
            <w:r>
              <w:t xml:space="preserve">B</w:t>
            </w:r>
          </w:p>
        </w:tc>
        <w:tc>
          <w:tcPr/>
          <w:p>
            <w:pPr>
              <w:pStyle w:val="Compact"/>
              <w:jc w:val="left"/>
            </w:pPr>
            <w:r>
              <w:t xml:space="preserve">food / dietary supplement</w:t>
            </w:r>
          </w:p>
        </w:tc>
        <w:tc>
          <w:tcPr/>
          <w:p>
            <w:pPr>
              <w:pStyle w:val="Compact"/>
              <w:jc w:val="left"/>
            </w:pPr>
            <w:r>
              <w:t xml:space="preserve">101 / 237 (note)</w:t>
            </w:r>
          </w:p>
        </w:tc>
      </w:tr>
      <w:tr>
        <w:tc>
          <w:tcPr/>
          <w:p>
            <w:pPr>
              <w:pStyle w:val="Compact"/>
              <w:jc w:val="left"/>
            </w:pPr>
            <w:r>
              <w:t xml:space="preserve">Lactotripeptides</w:t>
            </w:r>
          </w:p>
        </w:tc>
        <w:tc>
          <w:tcPr/>
          <w:p>
            <w:pPr>
              <w:pStyle w:val="Compact"/>
              <w:jc w:val="left"/>
            </w:pPr>
            <w:r>
              <w:t xml:space="preserve">B</w:t>
            </w:r>
          </w:p>
        </w:tc>
        <w:tc>
          <w:tcPr/>
          <w:p>
            <w:pPr>
              <w:pStyle w:val="Compact"/>
              <w:jc w:val="left"/>
            </w:pPr>
            <w:r>
              <w:t xml:space="preserve">food / dietary supplement</w:t>
            </w:r>
          </w:p>
        </w:tc>
        <w:tc>
          <w:tcPr/>
          <w:p>
            <w:pPr>
              <w:pStyle w:val="Compact"/>
              <w:jc w:val="left"/>
            </w:pPr>
            <w:r>
              <w:t xml:space="preserve">21 / 0</w:t>
            </w:r>
          </w:p>
        </w:tc>
      </w:tr>
      <w:tr>
        <w:tc>
          <w:tcPr/>
          <w:p>
            <w:pPr>
              <w:pStyle w:val="Compact"/>
              <w:jc w:val="left"/>
            </w:pPr>
            <w:r>
              <w:t xml:space="preserve">Carnosine</w:t>
            </w:r>
          </w:p>
        </w:tc>
        <w:tc>
          <w:tcPr/>
          <w:p>
            <w:pPr>
              <w:pStyle w:val="Compact"/>
              <w:jc w:val="left"/>
            </w:pPr>
            <w:r>
              <w:t xml:space="preserve">B</w:t>
            </w:r>
          </w:p>
        </w:tc>
        <w:tc>
          <w:tcPr/>
          <w:p>
            <w:pPr>
              <w:pStyle w:val="Compact"/>
              <w:jc w:val="left"/>
            </w:pPr>
            <w:r>
              <w:t xml:space="preserve">food supplement / dietary supplement</w:t>
            </w:r>
          </w:p>
        </w:tc>
        <w:tc>
          <w:tcPr/>
          <w:p>
            <w:pPr>
              <w:pStyle w:val="Compact"/>
              <w:jc w:val="left"/>
            </w:pPr>
            <w:r>
              <w:t xml:space="preserve">57 / 53</w:t>
            </w:r>
          </w:p>
        </w:tc>
      </w:tr>
      <w:tr>
        <w:tc>
          <w:tcPr/>
          <w:p>
            <w:pPr>
              <w:pStyle w:val="Compact"/>
              <w:jc w:val="left"/>
            </w:pPr>
            <w:r>
              <w:t xml:space="preserve">GHK-Cu</w:t>
            </w:r>
          </w:p>
        </w:tc>
        <w:tc>
          <w:tcPr/>
          <w:p>
            <w:pPr>
              <w:pStyle w:val="Compact"/>
              <w:jc w:val="left"/>
            </w:pPr>
            <w:r>
              <w:t xml:space="preserve">C</w:t>
            </w:r>
          </w:p>
        </w:tc>
        <w:tc>
          <w:tcPr/>
          <w:p>
            <w:pPr>
              <w:pStyle w:val="Compact"/>
              <w:jc w:val="left"/>
            </w:pPr>
            <w:r>
              <w:t xml:space="preserve">cosmetic / cosmetic</w:t>
            </w:r>
          </w:p>
        </w:tc>
        <w:tc>
          <w:tcPr/>
          <w:p>
            <w:pPr>
              <w:pStyle w:val="Compact"/>
              <w:jc w:val="left"/>
            </w:pPr>
            <w:r>
              <w:t xml:space="preserve">1 / 24 (note)</w:t>
            </w:r>
          </w:p>
        </w:tc>
      </w:tr>
      <w:tr>
        <w:tc>
          <w:tcPr/>
          <w:p>
            <w:pPr>
              <w:pStyle w:val="Compact"/>
              <w:jc w:val="left"/>
            </w:pPr>
            <w:r>
              <w:t xml:space="preserve">Palmitoyl pentapeptide-4</w:t>
            </w:r>
          </w:p>
        </w:tc>
        <w:tc>
          <w:tcPr/>
          <w:p>
            <w:pPr>
              <w:pStyle w:val="Compact"/>
              <w:jc w:val="left"/>
            </w:pPr>
            <w:r>
              <w:t xml:space="preserve">B (weak)</w:t>
            </w:r>
          </w:p>
        </w:tc>
        <w:tc>
          <w:tcPr/>
          <w:p>
            <w:pPr>
              <w:pStyle w:val="Compact"/>
              <w:jc w:val="left"/>
            </w:pPr>
            <w:r>
              <w:t xml:space="preserve">cosmetic / cosmetic</w:t>
            </w:r>
          </w:p>
        </w:tc>
        <w:tc>
          <w:tcPr/>
          <w:p>
            <w:pPr>
              <w:pStyle w:val="Compact"/>
              <w:jc w:val="left"/>
            </w:pPr>
            <w:r>
              <w:t xml:space="preserve">1 / 0</w:t>
            </w:r>
          </w:p>
        </w:tc>
      </w:tr>
      <w:tr>
        <w:tc>
          <w:tcPr/>
          <w:p>
            <w:pPr>
              <w:pStyle w:val="Compact"/>
              <w:jc w:val="left"/>
            </w:pPr>
            <w:r>
              <w:t xml:space="preserve">Acetyl hexapeptide-8</w:t>
            </w:r>
          </w:p>
        </w:tc>
        <w:tc>
          <w:tcPr/>
          <w:p>
            <w:pPr>
              <w:pStyle w:val="Compact"/>
              <w:jc w:val="left"/>
            </w:pPr>
            <w:r>
              <w:t xml:space="preserve">B (weak)</w:t>
            </w:r>
          </w:p>
        </w:tc>
        <w:tc>
          <w:tcPr/>
          <w:p>
            <w:pPr>
              <w:pStyle w:val="Compact"/>
              <w:jc w:val="left"/>
            </w:pPr>
            <w:r>
              <w:t xml:space="preserve">cosmetic / cosmetic</w:t>
            </w:r>
          </w:p>
        </w:tc>
        <w:tc>
          <w:tcPr/>
          <w:p>
            <w:pPr>
              <w:pStyle w:val="Compact"/>
              <w:jc w:val="left"/>
            </w:pPr>
            <w:r>
              <w:t xml:space="preserve">3 / 7</w:t>
            </w:r>
          </w:p>
        </w:tc>
      </w:tr>
    </w:tbl>
    <w:p>
      <w:pPr>
        <w:pStyle w:val="BodyText"/>
      </w:pPr>
      <w:r>
        <w:t xml:space="preserve">Notes on the table: For</w:t>
      </w:r>
      <w:r>
        <w:t xml:space="preserve"> </w:t>
      </w:r>
      <w:r>
        <w:rPr>
          <w:bCs/>
          <w:b/>
        </w:rPr>
        <w:t xml:space="preserve">collagen peptides</w:t>
      </w:r>
      <w:r>
        <w:t xml:space="preserve">, a considerable proportion of the registry hits concern other topics, such as collagen implants in dentistry or the cancer drug endostatin. For</w:t>
      </w:r>
      <w:r>
        <w:t xml:space="preserve"> </w:t>
      </w:r>
      <w:r>
        <w:rPr>
          <w:bCs/>
          <w:b/>
        </w:rPr>
        <w:t xml:space="preserve">GHK-Cu</w:t>
      </w:r>
      <w:r>
        <w:t xml:space="preserve">, almost all registry hits concern other copper compounds, for example radioactive copper-64 for imaging; only one credible entry actually studies GHK. For none of the substances in this group is a health-related advertising claim authorized in the EU; for lactotripeptides, the European Food Safety Authority (EFSA) rejected the blood pressure claim applied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Key result</w:t>
            </w:r>
          </w:p>
        </w:tc>
        <w:tc>
          <w:tcPr/>
          <w:p>
            <w:pPr>
              <w:pStyle w:val="Compact"/>
              <w:jc w:val="left"/>
            </w:pPr>
            <w:r>
              <w:t xml:space="preserve">Main risk</w:t>
            </w:r>
          </w:p>
        </w:tc>
      </w:tr>
      <w:tr>
        <w:tc>
          <w:tcPr/>
          <w:p>
            <w:pPr>
              <w:pStyle w:val="Compact"/>
              <w:jc w:val="left"/>
            </w:pPr>
            <w:r>
              <w:t xml:space="preserve">Collagen peptides</w:t>
            </w:r>
          </w:p>
        </w:tc>
        <w:tc>
          <w:tcPr/>
          <w:p>
            <w:pPr>
              <w:pStyle w:val="Compact"/>
              <w:jc w:val="left"/>
            </w:pPr>
            <w:r>
              <w:t xml:space="preserve">Osteoarthritis: small to moderate effects (PMID 38218227); skin benefit not in independent studies (PMID 40324552)</w:t>
            </w:r>
          </w:p>
        </w:tc>
        <w:tc>
          <w:tcPr/>
          <w:p>
            <w:pPr>
              <w:pStyle w:val="Compact"/>
              <w:jc w:val="left"/>
            </w:pPr>
            <w:r>
              <w:t xml:space="preserve">Replacing effective measures; oxalate in people prone to kidney stones</w:t>
            </w:r>
          </w:p>
        </w:tc>
      </w:tr>
      <w:tr>
        <w:tc>
          <w:tcPr/>
          <w:p>
            <w:pPr>
              <w:pStyle w:val="Compact"/>
              <w:jc w:val="left"/>
            </w:pPr>
            <w:r>
              <w:t xml:space="preserve">Lactotripeptides</w:t>
            </w:r>
          </w:p>
        </w:tc>
        <w:tc>
          <w:tcPr/>
          <w:p>
            <w:pPr>
              <w:pStyle w:val="Compact"/>
              <w:jc w:val="left"/>
            </w:pPr>
            <w:r>
              <w:t xml:space="preserve">Meta-analysis, 30 RCTs: systolic −2.95 mmHg, with publication bias (PMID 25608938)</w:t>
            </w:r>
          </w:p>
        </w:tc>
        <w:tc>
          <w:tcPr/>
          <w:p>
            <w:pPr>
              <w:pStyle w:val="Compact"/>
              <w:jc w:val="left"/>
            </w:pPr>
            <w:r>
              <w:t xml:space="preserve">Replacing effective blood pressure treatment</w:t>
            </w:r>
          </w:p>
        </w:tc>
      </w:tr>
      <w:tr>
        <w:tc>
          <w:tcPr/>
          <w:p>
            <w:pPr>
              <w:pStyle w:val="Compact"/>
              <w:jc w:val="left"/>
            </w:pPr>
            <w:r>
              <w:t xml:space="preserve">Carnosine</w:t>
            </w:r>
          </w:p>
        </w:tc>
        <w:tc>
          <w:tcPr/>
          <w:p>
            <w:pPr>
              <w:pStyle w:val="Compact"/>
              <w:jc w:val="left"/>
            </w:pPr>
            <w:r>
              <w:t xml:space="preserve">Meta-analysis, 8 RCTs: somewhat lower glucose and HbA1c values (PMID 40999397)</w:t>
            </w:r>
          </w:p>
        </w:tc>
        <w:tc>
          <w:tcPr/>
          <w:p>
            <w:pPr>
              <w:pStyle w:val="Compact"/>
              <w:jc w:val="left"/>
            </w:pPr>
            <w:r>
              <w:t xml:space="preserve">None relevant; long-term data lacking</w:t>
            </w:r>
          </w:p>
        </w:tc>
      </w:tr>
      <w:tr>
        <w:tc>
          <w:tcPr/>
          <w:p>
            <w:pPr>
              <w:pStyle w:val="Compact"/>
              <w:jc w:val="left"/>
            </w:pPr>
            <w:r>
              <w:t xml:space="preserve">GHK-Cu</w:t>
            </w:r>
          </w:p>
        </w:tc>
        <w:tc>
          <w:tcPr/>
          <w:p>
            <w:pPr>
              <w:pStyle w:val="Compact"/>
              <w:jc w:val="left"/>
            </w:pPr>
            <w:r>
              <w:t xml:space="preserve">Foot ulcers: wound area median −98.5% vs. −60.8% (PMID 17147644)</w:t>
            </w:r>
          </w:p>
        </w:tc>
        <w:tc>
          <w:tcPr/>
          <w:p>
            <w:pPr>
              <w:pStyle w:val="Compact"/>
              <w:jc w:val="left"/>
            </w:pPr>
            <w:r>
              <w:t xml:space="preserve">Injections of gray-market goods untested</w:t>
            </w:r>
          </w:p>
        </w:tc>
      </w:tr>
      <w:tr>
        <w:tc>
          <w:tcPr/>
          <w:p>
            <w:pPr>
              <w:pStyle w:val="Compact"/>
              <w:jc w:val="left"/>
            </w:pPr>
            <w:r>
              <w:t xml:space="preserve">Palmitoyl pentapeptide-4</w:t>
            </w:r>
          </w:p>
        </w:tc>
        <w:tc>
          <w:tcPr/>
          <w:p>
            <w:pPr>
              <w:pStyle w:val="Compact"/>
              <w:jc w:val="left"/>
            </w:pPr>
            <w:r>
              <w:t xml:space="preserve">93 women, split-face study: fewer wrinkles after 12 weeks (PMID 18492182)</w:t>
            </w:r>
          </w:p>
        </w:tc>
        <w:tc>
          <w:tcPr/>
          <w:p>
            <w:pPr>
              <w:pStyle w:val="Compact"/>
              <w:jc w:val="left"/>
            </w:pPr>
            <w:r>
              <w:t xml:space="preserve">Rarely skin irritation</w:t>
            </w:r>
          </w:p>
        </w:tc>
      </w:tr>
      <w:tr>
        <w:tc>
          <w:tcPr/>
          <w:p>
            <w:pPr>
              <w:pStyle w:val="Compact"/>
              <w:jc w:val="left"/>
            </w:pPr>
            <w:r>
              <w:t xml:space="preserve">Acetyl hexapeptide-8</w:t>
            </w:r>
          </w:p>
        </w:tc>
        <w:tc>
          <w:tcPr/>
          <w:p>
            <w:pPr>
              <w:pStyle w:val="Compact"/>
              <w:jc w:val="left"/>
            </w:pPr>
            <w:r>
              <w:t xml:space="preserve">19 women, split-face study: no difference after 4 weeks (PMID 38024099)</w:t>
            </w:r>
          </w:p>
        </w:tc>
        <w:tc>
          <w:tcPr/>
          <w:p>
            <w:pPr>
              <w:pStyle w:val="Compact"/>
              <w:jc w:val="left"/>
            </w:pPr>
            <w:r>
              <w:t xml:space="preserve">Injections not approved, infection case report</w:t>
            </w:r>
          </w:p>
        </w:tc>
      </w:tr>
    </w:tbl>
    <w:bookmarkEnd w:id="2531"/>
    <w:bookmarkStart w:id="2535" w:name="X66bdecb2bebc22b99d07ee0f03a6ac743f9d7e6"/>
    <w:p>
      <w:pPr>
        <w:pStyle w:val="Heading3"/>
      </w:pPr>
      <w:r>
        <w:t xml:space="preserve">Analysis: How Well Studied Are Peptides Overall?</w:t>
      </w:r>
    </w:p>
    <w:bookmarkStart w:id="2532" w:name="distribution-of-evidence-levels"/>
    <w:p>
      <w:pPr>
        <w:pStyle w:val="Heading4"/>
      </w:pPr>
      <w:r>
        <w:t xml:space="preserve">Distribution of Evidence Levels</w:t>
      </w:r>
    </w:p>
    <w:p>
      <w:pPr>
        <w:pStyle w:val="FirstParagraph"/>
      </w:pPr>
      <w:r>
        <w:t xml:space="preserve">The 58 entries in this book – 56 peptides and two comparison substances that are not peptides (orforglipron and ibutamoren) – are distributed as follows: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Evidence level</w:t>
            </w:r>
          </w:p>
        </w:tc>
        <w:tc>
          <w:tcPr/>
          <w:p>
            <w:pPr>
              <w:pStyle w:val="Compact"/>
              <w:jc w:val="left"/>
            </w:pPr>
            <w:r>
              <w:t xml:space="preserve">Number</w:t>
            </w:r>
          </w:p>
        </w:tc>
        <w:tc>
          <w:tcPr/>
          <w:p>
            <w:pPr>
              <w:pStyle w:val="Compact"/>
              <w:jc w:val="left"/>
            </w:pPr>
            <w:r>
              <w:t xml:space="preserve">Share</w:t>
            </w:r>
          </w:p>
        </w:tc>
        <w:tc>
          <w:tcPr/>
          <w:p>
            <w:pPr>
              <w:pStyle w:val="Compact"/>
              <w:jc w:val="left"/>
            </w:pPr>
            <w:r>
              <w:t xml:space="preserve">Examples</w:t>
            </w:r>
          </w:p>
        </w:tc>
      </w:tr>
      <w:tr>
        <w:tc>
          <w:tcPr/>
          <w:p>
            <w:pPr>
              <w:pStyle w:val="Compact"/>
              <w:jc w:val="left"/>
            </w:pPr>
            <w:r>
              <w:t xml:space="preserve">A</w:t>
            </w:r>
          </w:p>
        </w:tc>
        <w:tc>
          <w:tcPr/>
          <w:p>
            <w:pPr>
              <w:pStyle w:val="Compact"/>
              <w:jc w:val="left"/>
            </w:pPr>
            <w:r>
              <w:t xml:space="preserve">14</w:t>
            </w:r>
          </w:p>
        </w:tc>
        <w:tc>
          <w:tcPr/>
          <w:p>
            <w:pPr>
              <w:pStyle w:val="Compact"/>
              <w:jc w:val="left"/>
            </w:pPr>
            <w:r>
              <w:t xml:space="preserve">24%</w:t>
            </w:r>
          </w:p>
        </w:tc>
        <w:tc>
          <w:tcPr/>
          <w:p>
            <w:pPr>
              <w:pStyle w:val="Compact"/>
              <w:jc w:val="left"/>
            </w:pPr>
            <w:r>
              <w:t xml:space="preserve">Semaglutide, tirzepatide, tesamorelin, afamelanotide</w:t>
            </w:r>
          </w:p>
        </w:tc>
      </w:tr>
      <w:tr>
        <w:tc>
          <w:tcPr/>
          <w:p>
            <w:pPr>
              <w:pStyle w:val="Compact"/>
              <w:jc w:val="left"/>
            </w:pPr>
            <w:r>
              <w:t xml:space="preserve">B</w:t>
            </w:r>
          </w:p>
        </w:tc>
        <w:tc>
          <w:tcPr/>
          <w:p>
            <w:pPr>
              <w:pStyle w:val="Compact"/>
              <w:jc w:val="left"/>
            </w:pPr>
            <w:r>
              <w:t xml:space="preserve">25</w:t>
            </w:r>
          </w:p>
        </w:tc>
        <w:tc>
          <w:tcPr/>
          <w:p>
            <w:pPr>
              <w:pStyle w:val="Compact"/>
              <w:jc w:val="left"/>
            </w:pPr>
            <w:r>
              <w:t xml:space="preserve">43%</w:t>
            </w:r>
          </w:p>
        </w:tc>
        <w:tc>
          <w:tcPr/>
          <w:p>
            <w:pPr>
              <w:pStyle w:val="Compact"/>
              <w:jc w:val="left"/>
            </w:pPr>
            <w:r>
              <w:t xml:space="preserve">Retatrutide, thymosin alpha-1, glutathione, collagen peptides</w:t>
            </w:r>
          </w:p>
        </w:tc>
      </w:tr>
      <w:tr>
        <w:tc>
          <w:tcPr/>
          <w:p>
            <w:pPr>
              <w:pStyle w:val="Compact"/>
              <w:jc w:val="left"/>
            </w:pPr>
            <w:r>
              <w:t xml:space="preserve">C</w:t>
            </w:r>
          </w:p>
        </w:tc>
        <w:tc>
          <w:tcPr/>
          <w:p>
            <w:pPr>
              <w:pStyle w:val="Compact"/>
              <w:jc w:val="left"/>
            </w:pPr>
            <w:r>
              <w:t xml:space="preserve">12</w:t>
            </w:r>
          </w:p>
        </w:tc>
        <w:tc>
          <w:tcPr/>
          <w:p>
            <w:pPr>
              <w:pStyle w:val="Compact"/>
              <w:jc w:val="left"/>
            </w:pPr>
            <w:r>
              <w:t xml:space="preserve">21%</w:t>
            </w:r>
          </w:p>
        </w:tc>
        <w:tc>
          <w:tcPr/>
          <w:p>
            <w:pPr>
              <w:pStyle w:val="Compact"/>
              <w:jc w:val="left"/>
            </w:pPr>
            <w:r>
              <w:t xml:space="preserve">BPC-157, CJC-1295, Semax, melanotan II</w:t>
            </w:r>
          </w:p>
        </w:tc>
      </w:tr>
      <w:tr>
        <w:tc>
          <w:tcPr/>
          <w:p>
            <w:pPr>
              <w:pStyle w:val="Compact"/>
              <w:jc w:val="left"/>
            </w:pPr>
            <w:r>
              <w:t xml:space="preserve">D</w:t>
            </w:r>
          </w:p>
        </w:tc>
        <w:tc>
          <w:tcPr/>
          <w:p>
            <w:pPr>
              <w:pStyle w:val="Compact"/>
              <w:jc w:val="left"/>
            </w:pPr>
            <w:r>
              <w:t xml:space="preserve">7</w:t>
            </w:r>
          </w:p>
        </w:tc>
        <w:tc>
          <w:tcPr/>
          <w:p>
            <w:pPr>
              <w:pStyle w:val="Compact"/>
              <w:jc w:val="left"/>
            </w:pPr>
            <w:r>
              <w:t xml:space="preserve">12%</w:t>
            </w:r>
          </w:p>
        </w:tc>
        <w:tc>
          <w:tcPr/>
          <w:p>
            <w:pPr>
              <w:pStyle w:val="Compact"/>
              <w:jc w:val="left"/>
            </w:pPr>
            <w:r>
              <w:t xml:space="preserve">AOD-9604, KPV, Dihexa, MOTS-c, IGF-1 LR3</w:t>
            </w:r>
          </w:p>
        </w:tc>
      </w:tr>
    </w:tbl>
    <w:p>
      <w:pPr>
        <w:pStyle w:val="BodyText"/>
      </w:pPr>
      <w:r>
        <w:t xml:space="preserve">Note: TB-500 is included in the count with level B for thymosin beta-4; for the TB-500 fragment alone, level D applies.</w:t>
      </w:r>
    </w:p>
    <w:p>
      <w:pPr>
        <w:pStyle w:val="BodyText"/>
      </w:pPr>
      <w:r>
        <w:t xml:space="preserve">Three patterns:</w:t>
      </w:r>
    </w:p>
    <w:p>
      <w:pPr>
        <w:numPr>
          <w:ilvl w:val="0"/>
          <w:numId w:val="1321"/>
        </w:numPr>
        <w:pStyle w:val="Compact"/>
      </w:pPr>
      <w:r>
        <w:rPr>
          <w:bCs/>
          <w:b/>
        </w:rPr>
        <w:t xml:space="preserve">Level A is reached almost exclusively by drugs that have gone through a regular approval program by a pharmaceutical manufacturer.</w:t>
      </w:r>
      <w:r>
        <w:t xml:space="preserve"> </w:t>
      </w:r>
      <w:r>
        <w:t xml:space="preserve">Nine of the 14 entries with level A come from group A (metabolism and weight). The others are tesamorelin, macimorelin and mecasermin from the growth hormone axis as well as bremelanotide and afamelanotide. None of the substances described in group B (healing) and group D (brain and longevity) reaches level A.</w:t>
      </w:r>
    </w:p>
    <w:p>
      <w:pPr>
        <w:numPr>
          <w:ilvl w:val="0"/>
          <w:numId w:val="1321"/>
        </w:numPr>
        <w:pStyle w:val="Compact"/>
      </w:pPr>
      <w:r>
        <w:rPr>
          <w:bCs/>
          <w:b/>
        </w:rPr>
        <w:t xml:space="preserve">Level B often means</w:t>
      </w:r>
      <w:r>
        <w:rPr>
          <w:bCs/>
          <w:b/>
        </w:rPr>
        <w:t xml:space="preserve"> </w:t>
      </w:r>
      <w:r>
        <w:rPr>
          <w:bCs/>
          <w:b/>
        </w:rPr>
        <w:t xml:space="preserve">“</w:t>
      </w:r>
      <w:r>
        <w:rPr>
          <w:bCs/>
          <w:b/>
        </w:rPr>
        <w:t xml:space="preserve">tested and not confirmed.</w:t>
      </w:r>
      <w:r>
        <w:rPr>
          <w:bCs/>
          <w:b/>
        </w:rPr>
        <w:t xml:space="preserve">”</w:t>
      </w:r>
      <w:r>
        <w:t xml:space="preserve"> </w:t>
      </w:r>
      <w:r>
        <w:t xml:space="preserve">For many of the 25 entries, the largest randomized study missed its primary endpoint: thymosin alpha-1 in sepsis, LL-37 in leg ulcers, ipamorelin after bowel surgery, elamipretide in myopathy, oxytocin in autism, glutathione against chemotherapy-induced nerve damage.</w:t>
      </w:r>
    </w:p>
    <w:p>
      <w:pPr>
        <w:numPr>
          <w:ilvl w:val="0"/>
          <w:numId w:val="1321"/>
        </w:numPr>
        <w:pStyle w:val="Compact"/>
      </w:pPr>
      <w:r>
        <w:rPr>
          <w:bCs/>
          <w:b/>
        </w:rPr>
        <w:t xml:space="preserve">One third has level C or D.</w:t>
      </w:r>
      <w:r>
        <w:t xml:space="preserve"> </w:t>
      </w:r>
      <w:r>
        <w:t xml:space="preserve">19 of 58 entries are based on small, uncontrolled human studies or only on animal and laboratory experiments – including many of the substances most heavily promoted on the internet.</w:t>
      </w:r>
    </w:p>
    <w:p>
      <w:pPr>
        <w:pStyle w:val="FirstParagraph"/>
      </w:pPr>
      <w:r>
        <w:t xml:space="preserve">Viewed by group:</w:t>
      </w:r>
    </w:p>
    <w:p>
      <w:pPr>
        <w:numPr>
          <w:ilvl w:val="0"/>
          <w:numId w:val="1322"/>
        </w:numPr>
        <w:pStyle w:val="Compact"/>
      </w:pPr>
      <w:r>
        <w:t xml:space="preserve">A. Metabolism and weight (15 entries): 9 × A, 5 × B, 1 × D</w:t>
      </w:r>
    </w:p>
    <w:p>
      <w:pPr>
        <w:numPr>
          <w:ilvl w:val="0"/>
          <w:numId w:val="1322"/>
        </w:numPr>
        <w:pStyle w:val="Compact"/>
      </w:pPr>
      <w:r>
        <w:t xml:space="preserve">B. Healing and immune system (8): 5 × B, 2 × C, 1 × D</w:t>
      </w:r>
    </w:p>
    <w:p>
      <w:pPr>
        <w:numPr>
          <w:ilvl w:val="0"/>
          <w:numId w:val="1322"/>
        </w:numPr>
        <w:pStyle w:val="Compact"/>
      </w:pPr>
      <w:r>
        <w:t xml:space="preserve">C. Growth hormone axis (11): 3 × A, 4 × B, 3 × C, 1 × D</w:t>
      </w:r>
    </w:p>
    <w:p>
      <w:pPr>
        <w:numPr>
          <w:ilvl w:val="0"/>
          <w:numId w:val="1322"/>
        </w:numPr>
        <w:pStyle w:val="Compact"/>
      </w:pPr>
      <w:r>
        <w:t xml:space="preserve">D. Brain and longevity (12): 3 × B, 5 × C, 4 × D</w:t>
      </w:r>
    </w:p>
    <w:p>
      <w:pPr>
        <w:numPr>
          <w:ilvl w:val="0"/>
          <w:numId w:val="1322"/>
        </w:numPr>
        <w:pStyle w:val="Compact"/>
      </w:pPr>
      <w:r>
        <w:t xml:space="preserve">E. Hormones and pigmentation (6): 2 × A, 3 × B, 1 × C</w:t>
      </w:r>
    </w:p>
    <w:p>
      <w:pPr>
        <w:numPr>
          <w:ilvl w:val="0"/>
          <w:numId w:val="1322"/>
        </w:numPr>
        <w:pStyle w:val="Compact"/>
      </w:pPr>
      <w:r>
        <w:t xml:space="preserve">F. Collagen and cosmetics (6): 5 × B, 1 × C</w:t>
      </w:r>
    </w:p>
    <w:p>
      <w:pPr>
        <w:pStyle w:val="FirstParagraph"/>
      </w:pPr>
      <w:r>
        <w:t xml:space="preserve">Group D has the weakest evidence: four of its twelve peptides have never been administered in a published human study, and five others only in small, mostly non-randomized studies.</w:t>
      </w:r>
    </w:p>
    <w:bookmarkEnd w:id="2532"/>
    <w:bookmarkStart w:id="2533" w:name="approved-or-not"/>
    <w:p>
      <w:pPr>
        <w:pStyle w:val="Heading4"/>
      </w:pPr>
      <w:r>
        <w:t xml:space="preserve">Approved or Not?</w:t>
      </w:r>
    </w:p>
    <w:p>
      <w:pPr>
        <w:pStyle w:val="FirstParagraph"/>
      </w:pPr>
      <w:r>
        <w:t xml:space="preserve">In this book,</w:t>
      </w:r>
      <w:r>
        <w:t xml:space="preserve"> </w:t>
      </w:r>
      <w:r>
        <w:t xml:space="preserve">“</w:t>
      </w:r>
      <w:r>
        <w:t xml:space="preserve">approved</w:t>
      </w:r>
      <w:r>
        <w:t xml:space="preserve">”</w:t>
      </w:r>
      <w:r>
        <w:t xml:space="preserve"> </w:t>
      </w:r>
      <w:r>
        <w:t xml:space="preserve">means: a medicines authority has assessed efficacy, safety and manufacturing quality for a specific use. On this basis, the 58 entries can be divided into five groups (as of October 2026, please check for updates):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Number</w:t>
            </w:r>
          </w:p>
        </w:tc>
        <w:tc>
          <w:tcPr/>
          <w:p>
            <w:pPr>
              <w:pStyle w:val="Compact"/>
              <w:jc w:val="left"/>
            </w:pPr>
            <w:r>
              <w:t xml:space="preserve">Peptides</w:t>
            </w:r>
          </w:p>
        </w:tc>
      </w:tr>
      <w:tr>
        <w:tc>
          <w:tcPr/>
          <w:p>
            <w:pPr>
              <w:pStyle w:val="Compact"/>
              <w:jc w:val="left"/>
            </w:pPr>
            <w:r>
              <w:t xml:space="preserve">Approved as a medicine in the EU and/or the USA</w:t>
            </w:r>
          </w:p>
        </w:tc>
        <w:tc>
          <w:tcPr/>
          <w:p>
            <w:pPr>
              <w:pStyle w:val="Compact"/>
              <w:jc w:val="left"/>
            </w:pPr>
            <w:r>
              <w:t xml:space="preserve">14</w:t>
            </w:r>
          </w:p>
        </w:tc>
        <w:tc>
          <w:tcPr/>
          <w:p>
            <w:pPr>
              <w:pStyle w:val="Compact"/>
              <w:jc w:val="left"/>
            </w:pPr>
            <w:r>
              <w:t xml:space="preserve">Exenatide, liraglutide, dulaglutide, semaglutide, tirzepatide, setmelanotide, pramlintide, tesamorelin, macimorelin, mecasermin, afamelanotide, bremelanotide, SS-31, oxytocin (obstetrics only)</w:t>
            </w:r>
          </w:p>
        </w:tc>
      </w:tr>
      <w:tr>
        <w:tc>
          <w:tcPr/>
          <w:p>
            <w:pPr>
              <w:pStyle w:val="Compact"/>
              <w:jc w:val="left"/>
            </w:pPr>
            <w:r>
              <w:t xml:space="preserve">Approved only nationally in individual EU states or only outside the EU and USA</w:t>
            </w:r>
          </w:p>
        </w:tc>
        <w:tc>
          <w:tcPr/>
          <w:p>
            <w:pPr>
              <w:pStyle w:val="Compact"/>
              <w:jc w:val="left"/>
            </w:pPr>
            <w:r>
              <w:t xml:space="preserve">8</w:t>
            </w:r>
          </w:p>
        </w:tc>
        <w:tc>
          <w:tcPr/>
          <w:p>
            <w:pPr>
              <w:pStyle w:val="Compact"/>
              <w:jc w:val="left"/>
            </w:pPr>
            <w:r>
              <w:t xml:space="preserve">Cerebrolysin, gonadorelin, mazdutide (China), thymosin alpha-1 (China, among others), thymalin, Semax, Selank (Russia), GHRP-2 (Japan, diagnostic agent)</w:t>
            </w:r>
          </w:p>
        </w:tc>
      </w:tr>
      <w:tr>
        <w:tc>
          <w:tcPr/>
          <w:p>
            <w:pPr>
              <w:pStyle w:val="Compact"/>
              <w:jc w:val="left"/>
            </w:pPr>
            <w:r>
              <w:t xml:space="preserve">Formerly approved in the USA, no longer on the market today</w:t>
            </w:r>
          </w:p>
        </w:tc>
        <w:tc>
          <w:tcPr/>
          <w:p>
            <w:pPr>
              <w:pStyle w:val="Compact"/>
              <w:jc w:val="left"/>
            </w:pPr>
            <w:r>
              <w:t xml:space="preserve">1</w:t>
            </w:r>
          </w:p>
        </w:tc>
        <w:tc>
          <w:tcPr/>
          <w:p>
            <w:pPr>
              <w:pStyle w:val="Compact"/>
              <w:jc w:val="left"/>
            </w:pPr>
            <w:r>
              <w:t xml:space="preserve">Sermorelin</w:t>
            </w:r>
          </w:p>
        </w:tc>
      </w:tr>
      <w:tr>
        <w:tc>
          <w:tcPr/>
          <w:p>
            <w:pPr>
              <w:pStyle w:val="Compact"/>
              <w:jc w:val="left"/>
            </w:pPr>
            <w:r>
              <w:t xml:space="preserve">Permitted as a food, food supplement or cosmetic, without approval as a medicine</w:t>
            </w:r>
          </w:p>
        </w:tc>
        <w:tc>
          <w:tcPr/>
          <w:p>
            <w:pPr>
              <w:pStyle w:val="Compact"/>
              <w:jc w:val="left"/>
            </w:pPr>
            <w:r>
              <w:t xml:space="preserve">7</w:t>
            </w:r>
          </w:p>
        </w:tc>
        <w:tc>
          <w:tcPr/>
          <w:p>
            <w:pPr>
              <w:pStyle w:val="Compact"/>
              <w:jc w:val="left"/>
            </w:pPr>
            <w:r>
              <w:t xml:space="preserve">Collagen peptides, lactotripeptides, carnosine, glutathione, GHK-Cu, palmitoyl pentapeptide-4, acetyl hexapeptide-8</w:t>
            </w:r>
          </w:p>
        </w:tc>
      </w:tr>
      <w:tr>
        <w:tc>
          <w:tcPr/>
          <w:p>
            <w:pPr>
              <w:pStyle w:val="Compact"/>
              <w:jc w:val="left"/>
            </w:pPr>
            <w:r>
              <w:t xml:space="preserve">Not approved anywhere</w:t>
            </w:r>
          </w:p>
        </w:tc>
        <w:tc>
          <w:tcPr/>
          <w:p>
            <w:pPr>
              <w:pStyle w:val="Compact"/>
              <w:jc w:val="left"/>
            </w:pPr>
            <w:r>
              <w:t xml:space="preserve">28</w:t>
            </w:r>
          </w:p>
        </w:tc>
        <w:tc>
          <w:tcPr/>
          <w:p>
            <w:pPr>
              <w:pStyle w:val="Compact"/>
              <w:jc w:val="left"/>
            </w:pPr>
            <w:r>
              <w:t xml:space="preserve">including retatrutide, CagriSema, BPC-157, TB-500, CJC-1295, ipamorelin, Epitalon, MOTS-c, melanotan II, IGF-1 LR3, orforglipron (application submitted) and ibutamoren</w:t>
            </w:r>
          </w:p>
        </w:tc>
      </w:tr>
    </w:tbl>
    <w:p>
      <w:pPr>
        <w:pStyle w:val="BodyText"/>
      </w:pPr>
      <w:r>
        <w:t xml:space="preserve">Only around a quarter of the entries are approved as medicines in the EU or the USA – mostly for narrowly defined uses: afamelanotide for a rare light intolerance (erythropoietic protoporphyria, EPP), not for tanning; elamipretide only for Barth syndrome; oxytocin only for obstetrics, not as a nasal spray; tesamorelin only for a fat distribution disorder in HIV. When something is described as</w:t>
      </w:r>
      <w:r>
        <w:t xml:space="preserve"> </w:t>
      </w:r>
      <w:r>
        <w:t xml:space="preserve">“</w:t>
      </w:r>
      <w:r>
        <w:t xml:space="preserve">approved,</w:t>
      </w:r>
      <w:r>
        <w:t xml:space="preserve">”</w:t>
      </w:r>
      <w:r>
        <w:t xml:space="preserve"> </w:t>
      </w:r>
      <w:r>
        <w:t xml:space="preserve">it is therefore always worth asking: where, for what and in what form?</w:t>
      </w:r>
    </w:p>
    <w:p>
      <w:pPr>
        <w:pStyle w:val="BodyText"/>
      </w:pPr>
      <w:r>
        <w:t xml:space="preserve">The 28 entries not approved anywhere fall into two groups. Retatrutide, survodutide, CagriSema, amycretin, maridebart cafraglutide and orforglipron are in regular development with phase 3 trials; approval is likely for them, but not certain (assessment). Substances such as BPC-157, TB-500, CJC-1295, AOD-9604, Epitalon, MOTS-c, Dihexa or IGF-1 LR3, on the other hand, have no recognizable path to approval and are mostly sold as</w:t>
      </w:r>
      <w:r>
        <w:t xml:space="preserve"> </w:t>
      </w:r>
      <w:r>
        <w:t xml:space="preserve">“</w:t>
      </w:r>
      <w:r>
        <w:t xml:space="preserve">research peptides.</w:t>
      </w:r>
      <w:r>
        <w:t xml:space="preserve">”</w:t>
      </w:r>
      <w:r>
        <w:t xml:space="preserve"> </w:t>
      </w:r>
      <w:r>
        <w:t xml:space="preserve">Gray-market offerings of the first group are not to be equated with the tested medicines.</w:t>
      </w:r>
    </w:p>
    <w:bookmarkEnd w:id="2533"/>
    <w:bookmarkStart w:id="2534" w:name="doping-status-according-to-wada"/>
    <w:p>
      <w:pPr>
        <w:pStyle w:val="Heading4"/>
      </w:pPr>
      <w:r>
        <w:t xml:space="preserve">Doping Status According to WADA</w:t>
      </w:r>
    </w:p>
    <w:p>
      <w:pPr>
        <w:pStyle w:val="FirstParagraph"/>
      </w:pPr>
      <w:r>
        <w:t xml:space="preserve">For competitive sport, the Prohibited List of the World Anti-Doping Agency (WADA) is what counts. The most important classes:</w:t>
      </w:r>
    </w:p>
    <w:p>
      <w:pPr>
        <w:numPr>
          <w:ilvl w:val="0"/>
          <w:numId w:val="1323"/>
        </w:numPr>
        <w:pStyle w:val="Compact"/>
      </w:pPr>
      <w:r>
        <w:rPr>
          <w:bCs/>
          <w:b/>
        </w:rPr>
        <w:t xml:space="preserve">S0</w:t>
      </w:r>
      <w:r>
        <w:t xml:space="preserve"> </w:t>
      </w:r>
      <w:r>
        <w:t xml:space="preserve">– non-approved substances: all substances without approval as a medicine for humans, even if not named explicitly.</w:t>
      </w:r>
    </w:p>
    <w:p>
      <w:pPr>
        <w:numPr>
          <w:ilvl w:val="0"/>
          <w:numId w:val="1323"/>
        </w:numPr>
        <w:pStyle w:val="Compact"/>
      </w:pPr>
      <w:r>
        <w:rPr>
          <w:bCs/>
          <w:b/>
        </w:rPr>
        <w:t xml:space="preserve">S2</w:t>
      </w:r>
      <w:r>
        <w:t xml:space="preserve"> </w:t>
      </w:r>
      <w:r>
        <w:t xml:space="preserve">– peptide hormones, growth factors and related substances, including growth hormone, its releasing factors and fragments, IGF-1, thymosin beta-4 and, in men, releasing factors for luteinizing hormone (LH).</w:t>
      </w:r>
    </w:p>
    <w:p>
      <w:pPr>
        <w:numPr>
          <w:ilvl w:val="0"/>
          <w:numId w:val="1323"/>
        </w:numPr>
        <w:pStyle w:val="Compact"/>
      </w:pPr>
      <w:r>
        <w:rPr>
          <w:bCs/>
          <w:b/>
        </w:rPr>
        <w:t xml:space="preserve">S4</w:t>
      </w:r>
      <w:r>
        <w:t xml:space="preserve"> </w:t>
      </w:r>
      <w:r>
        <w:t xml:space="preserve">– hormone and metabolic modulators, including activators of the enzyme AMPK.</w:t>
      </w:r>
    </w:p>
    <w:p>
      <w:pPr>
        <w:numPr>
          <w:ilvl w:val="0"/>
          <w:numId w:val="1323"/>
        </w:numPr>
        <w:pStyle w:val="Compact"/>
      </w:pPr>
      <w:r>
        <w:rPr>
          <w:bCs/>
          <w:b/>
        </w:rPr>
        <w:t xml:space="preserve">M2</w:t>
      </w:r>
      <w:r>
        <w:t xml:space="preserve"> </w:t>
      </w:r>
      <w:r>
        <w:t xml:space="preserve">– prohibited methods, including infusions of more than 100 ml within twelve hours.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Peptides</w:t>
            </w:r>
          </w:p>
        </w:tc>
        <w:tc>
          <w:tcPr/>
          <w:p>
            <w:pPr>
              <w:pStyle w:val="Compact"/>
              <w:jc w:val="left"/>
            </w:pPr>
            <w:r>
              <w:t xml:space="preserve">WADA status</w:t>
            </w:r>
          </w:p>
        </w:tc>
      </w:tr>
      <w:tr>
        <w:tc>
          <w:tcPr/>
          <w:p>
            <w:pPr>
              <w:pStyle w:val="Compact"/>
              <w:jc w:val="left"/>
            </w:pPr>
            <w:r>
              <w:t xml:space="preserve">AOD-9604, TB-500 / thymosin beta-4, ARA-290, sermorelin, tesamorelin, CJC-1295, ipamorelin, GHRP-2, GHRP-6, hexarelin, macimorelin, mecasermin, IGF-1 LR3, ibutamoren</w:t>
            </w:r>
          </w:p>
        </w:tc>
        <w:tc>
          <w:tcPr/>
          <w:p>
            <w:pPr>
              <w:pStyle w:val="Compact"/>
              <w:jc w:val="left"/>
            </w:pPr>
            <w:r>
              <w:t xml:space="preserve">prohibited, S2</w:t>
            </w:r>
          </w:p>
        </w:tc>
      </w:tr>
      <w:tr>
        <w:tc>
          <w:tcPr/>
          <w:p>
            <w:pPr>
              <w:pStyle w:val="Compact"/>
              <w:jc w:val="left"/>
            </w:pPr>
            <w:r>
              <w:t xml:space="preserve">Gonadorelin; kisspeptin</w:t>
            </w:r>
          </w:p>
        </w:tc>
        <w:tc>
          <w:tcPr/>
          <w:p>
            <w:pPr>
              <w:pStyle w:val="Compact"/>
              <w:jc w:val="left"/>
            </w:pPr>
            <w:r>
              <w:t xml:space="preserve">prohibited for men, S2; kisspeptin, as a non-approved substance, additionally S0</w:t>
            </w:r>
          </w:p>
        </w:tc>
      </w:tr>
      <w:tr>
        <w:tc>
          <w:tcPr/>
          <w:p>
            <w:pPr>
              <w:pStyle w:val="Compact"/>
              <w:jc w:val="left"/>
            </w:pPr>
            <w:r>
              <w:t xml:space="preserve">MOTS-c</w:t>
            </w:r>
          </w:p>
        </w:tc>
        <w:tc>
          <w:tcPr/>
          <w:p>
            <w:pPr>
              <w:pStyle w:val="Compact"/>
              <w:jc w:val="left"/>
            </w:pPr>
            <w:r>
              <w:t xml:space="preserve">prohibited, S4 (AMPK activator)</w:t>
            </w:r>
          </w:p>
        </w:tc>
      </w:tr>
      <w:tr>
        <w:tc>
          <w:tcPr/>
          <w:p>
            <w:pPr>
              <w:pStyle w:val="Compact"/>
              <w:jc w:val="left"/>
            </w:pPr>
            <w:r>
              <w:t xml:space="preserve">Retatrutide, survodutide, CagriSema, amycretin, maridebart cafraglutide, BPC-157, melanotan II</w:t>
            </w:r>
          </w:p>
        </w:tc>
        <w:tc>
          <w:tcPr/>
          <w:p>
            <w:pPr>
              <w:pStyle w:val="Compact"/>
              <w:jc w:val="left"/>
            </w:pPr>
            <w:r>
              <w:t xml:space="preserve">prohibited, S0</w:t>
            </w:r>
          </w:p>
        </w:tc>
      </w:tr>
      <w:tr>
        <w:tc>
          <w:tcPr/>
          <w:p>
            <w:pPr>
              <w:pStyle w:val="Compact"/>
              <w:jc w:val="left"/>
            </w:pPr>
            <w:r>
              <w:t xml:space="preserve">KPV, LL-37, Dihexa, Epitalon, Pinealon, humanin, FOXO4-DRI, orforglipron (until approval)</w:t>
            </w:r>
          </w:p>
        </w:tc>
        <w:tc>
          <w:tcPr/>
          <w:p>
            <w:pPr>
              <w:pStyle w:val="Compact"/>
              <w:jc w:val="left"/>
            </w:pPr>
            <w:r>
              <w:t xml:space="preserve">not named explicitly, probably S0 as a non-approved substance</w:t>
            </w:r>
          </w:p>
        </w:tc>
      </w:tr>
      <w:tr>
        <w:tc>
          <w:tcPr/>
          <w:p>
            <w:pPr>
              <w:pStyle w:val="Compact"/>
              <w:jc w:val="left"/>
            </w:pPr>
            <w:r>
              <w:t xml:space="preserve">Mazdutide</w:t>
            </w:r>
          </w:p>
        </w:tc>
        <w:tc>
          <w:tcPr/>
          <w:p>
            <w:pPr>
              <w:pStyle w:val="Compact"/>
              <w:jc w:val="left"/>
            </w:pPr>
            <w:r>
              <w:t xml:space="preserve">not named explicitly; S0 status unclear because of approval in China</w:t>
            </w:r>
          </w:p>
        </w:tc>
      </w:tr>
      <w:tr>
        <w:tc>
          <w:tcPr/>
          <w:p>
            <w:pPr>
              <w:pStyle w:val="Compact"/>
              <w:jc w:val="left"/>
            </w:pPr>
            <w:r>
              <w:t xml:space="preserve">GHK-Cu</w:t>
            </w:r>
          </w:p>
        </w:tc>
        <w:tc>
          <w:tcPr/>
          <w:p>
            <w:pPr>
              <w:pStyle w:val="Compact"/>
              <w:jc w:val="left"/>
            </w:pPr>
            <w:r>
              <w:t xml:space="preserve">not prohibited as a cosmetic; injection possibly S0</w:t>
            </w:r>
          </w:p>
        </w:tc>
      </w:tr>
      <w:tr>
        <w:tc>
          <w:tcPr/>
          <w:p>
            <w:pPr>
              <w:pStyle w:val="Compact"/>
              <w:jc w:val="left"/>
            </w:pPr>
            <w:r>
              <w:t xml:space="preserve">Glutathione</w:t>
            </w:r>
          </w:p>
        </w:tc>
        <w:tc>
          <w:tcPr/>
          <w:p>
            <w:pPr>
              <w:pStyle w:val="Compact"/>
              <w:jc w:val="left"/>
            </w:pPr>
            <w:r>
              <w:t xml:space="preserve">substance not prohibited; infusions of more than 100 ml in twelve hours prohibited (M2)</w:t>
            </w:r>
          </w:p>
        </w:tc>
      </w:tr>
      <w:tr>
        <w:tc>
          <w:tcPr/>
          <w:p>
            <w:pPr>
              <w:pStyle w:val="Compact"/>
              <w:jc w:val="left"/>
            </w:pPr>
            <w:r>
              <w:t xml:space="preserve">Semax, Selank, DSIP, SS-31, bremelanotide</w:t>
            </w:r>
          </w:p>
        </w:tc>
        <w:tc>
          <w:tcPr/>
          <w:p>
            <w:pPr>
              <w:pStyle w:val="Compact"/>
              <w:jc w:val="left"/>
            </w:pPr>
            <w:r>
              <w:t xml:space="preserve">not named explicitly; classification not clear-cut</w:t>
            </w:r>
          </w:p>
        </w:tc>
      </w:tr>
      <w:tr>
        <w:tc>
          <w:tcPr/>
          <w:p>
            <w:pPr>
              <w:pStyle w:val="Compact"/>
              <w:jc w:val="left"/>
            </w:pPr>
            <w:r>
              <w:t xml:space="preserve">Exenatide, liraglutide, dulaglutide, semaglutide, tirzepatide, pramlintide, setmelanotide, thymosin alpha-1, larazotide, thymalin, Cerebrolysin, afamelanotide, oxytocin, collagen peptides, lactotripeptides, carnosine, palmitoyl pentapeptide-4, acetyl hexapeptide-8</w:t>
            </w:r>
          </w:p>
        </w:tc>
        <w:tc>
          <w:tcPr/>
          <w:p>
            <w:pPr>
              <w:pStyle w:val="Compact"/>
              <w:jc w:val="left"/>
            </w:pPr>
            <w:r>
              <w:t xml:space="preserve">not listed</w:t>
            </w:r>
          </w:p>
        </w:tc>
      </w:tr>
    </w:tbl>
    <w:p>
      <w:pPr>
        <w:pStyle w:val="BodyText"/>
      </w:pPr>
      <w:r>
        <w:t xml:space="preserve">The list is not exhaustive: S0 covers every substance without approval, and S2 also covers</w:t>
      </w:r>
      <w:r>
        <w:t xml:space="preserve"> </w:t>
      </w:r>
      <w:r>
        <w:t xml:space="preserve">“</w:t>
      </w:r>
      <w:r>
        <w:t xml:space="preserve">related substances</w:t>
      </w:r>
      <w:r>
        <w:t xml:space="preserve">”</w:t>
      </w:r>
      <w:r>
        <w:t xml:space="preserve"> </w:t>
      </w:r>
      <w:r>
        <w:t xml:space="preserve">with a similar effect. Not named explicitly therefore does not mean permitted. Precisely the substances of the growth hormone axis that are popular in strength sports, as well as BPC-157 and TB-500, are explicitly prohibited. If in doubt, the national anti-doping agencies can provide information.</w:t>
      </w:r>
    </w:p>
    <w:bookmarkEnd w:id="2534"/>
    <w:bookmarkEnd w:id="2535"/>
    <w:bookmarkStart w:id="2536" w:name="what-the-overview-shows"/>
    <w:p>
      <w:pPr>
        <w:pStyle w:val="Heading3"/>
      </w:pPr>
      <w:r>
        <w:t xml:space="preserve">What the Overview Shows</w:t>
      </w:r>
    </w:p>
    <w:p>
      <w:pPr>
        <w:pStyle w:val="FirstParagraph"/>
      </w:pPr>
      <w:r>
        <w:t xml:space="preserve">The well-studied peptides are almost exclusively approved medicines from large, preregistered studies. Most of the peptides popular on the internet have evidence level C or D, are not approved anywhere and are frequently prohibited in sport. In between are substances that have been seriously studied in humans but whose studies have not confirmed the hoped-for benefit. The two following chapters explore this in more depth for the GLP-1 medications and for the most popular internet peptides.</w:t>
      </w:r>
    </w:p>
    <w:bookmarkEnd w:id="2536"/>
    <w:bookmarkEnd w:id="2537"/>
    <w:bookmarkStart w:id="2579" w:name="glp-1-co.-compared-head-to-head"/>
    <w:p>
      <w:pPr>
        <w:pStyle w:val="Heading2"/>
      </w:pPr>
      <w:r>
        <w:t xml:space="preserve">GLP-1 &amp; Co. Compared Head to Head</w:t>
      </w:r>
    </w:p>
    <w:p>
      <w:pPr>
        <w:pStyle w:val="FirstParagraph"/>
      </w:pPr>
      <w:r>
        <w:t xml:space="preserve">No other group in this book has been studied as thoroughly as the incretin drugs: GLP-1 receptor agonists such as liraglutide and semaglutide, the dual agonist tirzepatide, and a series of successors that additionally act on the glucagon or amylin receptor. For these drugs there are approval programs with tens of thousands of participants, large cardiovascular trials, and increasingly also head-to-head trials. This chapter places the most important results side by side. All figures come from the chapters of Part II, Group A, and the studies cited there; that is also where you will find the limitations of each individual study.</w:t>
      </w:r>
    </w:p>
    <w:p>
      <w:pPr>
        <w:pStyle w:val="BodyText"/>
      </w:pPr>
      <w:r>
        <w:t xml:space="preserve">This chapter is not a decision aid for treatment. Which drug may be suitable in an individual case depends on coexisting conditions, tolerability, approval status, insurance coverage, and availability, and belongs in a physician’s hands. The respective prescribing information and medical supervision are what count.</w:t>
      </w:r>
    </w:p>
    <w:bookmarkStart w:id="2538" w:name="Xe158126a5fc818562bae479c678d8dcce7bb2bc"/>
    <w:p>
      <w:pPr>
        <w:pStyle w:val="Heading3"/>
      </w:pPr>
      <w:r>
        <w:t xml:space="preserve">First: Why you cannot simply line up studies side by side</w:t>
      </w:r>
    </w:p>
    <w:p>
      <w:pPr>
        <w:pStyle w:val="FirstParagraph"/>
      </w:pPr>
      <w:r>
        <w:t xml:space="preserve">The tables in this chapter invite you to compare figures from different studies – for example, 20.9% weight loss with tirzepatide versus 14.9% with semaglutide. Such cross-trial comparisons are valid only to a limited extent. The reasons:</w:t>
      </w:r>
    </w:p>
    <w:p>
      <w:pPr>
        <w:numPr>
          <w:ilvl w:val="0"/>
          <w:numId w:val="1324"/>
        </w:numPr>
        <w:pStyle w:val="Compact"/>
      </w:pPr>
      <w:r>
        <w:rPr>
          <w:bCs/>
          <w:b/>
        </w:rPr>
        <w:t xml:space="preserve">Different participants:</w:t>
      </w:r>
      <w:r>
        <w:t xml:space="preserve"> </w:t>
      </w:r>
      <w:r>
        <w:t xml:space="preserve">People with type 2 diabetes lose considerably less weight on all incretin drugs than people without diabetes. Studies in China or Japan enroll people with a lower starting weight than studies in North America and Europe.</w:t>
      </w:r>
    </w:p>
    <w:p>
      <w:pPr>
        <w:numPr>
          <w:ilvl w:val="0"/>
          <w:numId w:val="1324"/>
        </w:numPr>
        <w:pStyle w:val="Compact"/>
      </w:pPr>
      <w:r>
        <w:rPr>
          <w:bCs/>
          <w:b/>
        </w:rPr>
        <w:t xml:space="preserve">Different duration:</w:t>
      </w:r>
      <w:r>
        <w:t xml:space="preserve"> </w:t>
      </w:r>
      <w:r>
        <w:t xml:space="preserve">Weight loss after 48 weeks is not the same as after 80 weeks; many curves flatten out only late.</w:t>
      </w:r>
    </w:p>
    <w:p>
      <w:pPr>
        <w:numPr>
          <w:ilvl w:val="0"/>
          <w:numId w:val="1324"/>
        </w:numPr>
        <w:pStyle w:val="Compact"/>
      </w:pPr>
      <w:r>
        <w:rPr>
          <w:bCs/>
          <w:b/>
        </w:rPr>
        <w:t xml:space="preserve">Different analysis:</w:t>
      </w:r>
      <w:r>
        <w:t xml:space="preserve"> </w:t>
      </w:r>
      <w:r>
        <w:t xml:space="preserve">Some studies analyze all participants, even if they discontinued treatment (the so-called treatment-policy estimand). Others calculate as though everyone had taken the drug as planned. The second approach yields more favorable figures.</w:t>
      </w:r>
    </w:p>
    <w:p>
      <w:pPr>
        <w:numPr>
          <w:ilvl w:val="0"/>
          <w:numId w:val="1324"/>
        </w:numPr>
        <w:pStyle w:val="Compact"/>
      </w:pPr>
      <w:r>
        <w:rPr>
          <w:bCs/>
          <w:b/>
        </w:rPr>
        <w:t xml:space="preserve">Different placebo groups:</w:t>
      </w:r>
      <w:r>
        <w:t xml:space="preserve"> </w:t>
      </w:r>
      <w:r>
        <w:t xml:space="preserve">On placebo, participants lost anywhere from nothing to more than 5% of their weight depending on the study, depending on how intensive the accompanying diet and exercise counseling was.</w:t>
      </w:r>
    </w:p>
    <w:p>
      <w:pPr>
        <w:numPr>
          <w:ilvl w:val="0"/>
          <w:numId w:val="1324"/>
        </w:numPr>
        <w:pStyle w:val="Compact"/>
      </w:pPr>
      <w:r>
        <w:rPr>
          <w:bCs/>
          <w:b/>
        </w:rPr>
        <w:t xml:space="preserve">Different phases:</w:t>
      </w:r>
      <w:r>
        <w:t xml:space="preserve"> </w:t>
      </w:r>
      <w:r>
        <w:t xml:space="preserve">Results from small phase 2 trials are often more favorable than those of the later large phase 3 trials.</w:t>
      </w:r>
    </w:p>
    <w:p>
      <w:pPr>
        <w:pStyle w:val="FirstParagraph"/>
      </w:pPr>
      <w:r>
        <w:t xml:space="preserve">A comparison is robust only when two agents were randomly assigned in the</w:t>
      </w:r>
      <w:r>
        <w:t xml:space="preserve"> </w:t>
      </w:r>
      <w:r>
        <w:rPr>
          <w:iCs/>
          <w:i/>
        </w:rPr>
        <w:t xml:space="preserve">same</w:t>
      </w:r>
      <w:r>
        <w:t xml:space="preserve"> </w:t>
      </w:r>
      <w:r>
        <w:t xml:space="preserve">study. Such head-to-head comparisons are compiled at the end of this chapter. The remaining tables show orders of magnitude, not a ranking.</w:t>
      </w:r>
    </w:p>
    <w:bookmarkEnd w:id="2538"/>
    <w:bookmarkStart w:id="2545" w:name="weight-loss-in-the-approval-trials"/>
    <w:p>
      <w:pPr>
        <w:pStyle w:val="Heading3"/>
      </w:pPr>
      <w:r>
        <w:t xml:space="preserve">Weight loss in the approval trials</w:t>
      </w:r>
    </w:p>
    <w:p>
      <w:pPr>
        <w:pStyle w:val="FirstParagraph"/>
      </w:pPr>
      <w:r>
        <w:t xml:space="preserve">The following table shows the most important placebo-controlled trial in each case in adults with overweight or obesity</w:t>
      </w:r>
      <w:r>
        <w:t xml:space="preserve"> </w:t>
      </w:r>
      <w:r>
        <w:rPr>
          <w:iCs/>
          <w:i/>
        </w:rPr>
        <w:t xml:space="preserve">without</w:t>
      </w:r>
      <w:r>
        <w:t xml:space="preserve"> </w:t>
      </w:r>
      <w:r>
        <w:t xml:space="preserve">diabetes. Shown is the mean change in body weight at the highest dose tested versus placebo. Exenatide, dulaglutide, and pramlintide are not approved for weight reduction and are therefore not included.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Study</w:t>
            </w:r>
          </w:p>
        </w:tc>
        <w:tc>
          <w:tcPr/>
          <w:p>
            <w:pPr>
              <w:pStyle w:val="Compact"/>
              <w:jc w:val="left"/>
            </w:pPr>
            <w:r>
              <w:t xml:space="preserve">Duration</w:t>
            </w:r>
          </w:p>
        </w:tc>
        <w:tc>
          <w:tcPr/>
          <w:p>
            <w:pPr>
              <w:pStyle w:val="Compact"/>
              <w:jc w:val="left"/>
            </w:pPr>
            <w:r>
              <w:t xml:space="preserve">Weight loss vs. placebo</w:t>
            </w:r>
          </w:p>
        </w:tc>
      </w:tr>
      <w:tr>
        <w:tc>
          <w:tcPr/>
          <w:p>
            <w:pPr>
              <w:pStyle w:val="Compact"/>
              <w:jc w:val="left"/>
            </w:pPr>
            <w:r>
              <w:t xml:space="preserve">Liraglutide 3.0 mg</w:t>
            </w:r>
          </w:p>
        </w:tc>
        <w:tc>
          <w:tcPr/>
          <w:p>
            <w:pPr>
              <w:pStyle w:val="Compact"/>
              <w:jc w:val="left"/>
            </w:pPr>
            <w:r>
              <w:t xml:space="preserve">SCALE (Pi-Sunyer 2015), PMID 26132939</w:t>
            </w:r>
          </w:p>
        </w:tc>
        <w:tc>
          <w:tcPr/>
          <w:p>
            <w:pPr>
              <w:pStyle w:val="Compact"/>
              <w:jc w:val="left"/>
            </w:pPr>
            <w:r>
              <w:t xml:space="preserve">56 weeks</w:t>
            </w:r>
          </w:p>
        </w:tc>
        <w:tc>
          <w:tcPr/>
          <w:p>
            <w:pPr>
              <w:pStyle w:val="Compact"/>
              <w:jc w:val="left"/>
            </w:pPr>
            <w:r>
              <w:t xml:space="preserve">−8.4 kg vs. −2.8 kg</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68 weeks</w:t>
            </w:r>
          </w:p>
        </w:tc>
        <w:tc>
          <w:tcPr/>
          <w:p>
            <w:pPr>
              <w:pStyle w:val="Compact"/>
              <w:jc w:val="left"/>
            </w:pPr>
            <w:r>
              <w:t xml:space="preserve">−14.9% vs. −2.4%</w:t>
            </w:r>
          </w:p>
        </w:tc>
      </w:tr>
      <w:tr>
        <w:tc>
          <w:tcPr/>
          <w:p>
            <w:pPr>
              <w:pStyle w:val="Compact"/>
              <w:jc w:val="left"/>
            </w:pPr>
            <w:r>
              <w:t xml:space="preserve">Semaglutide 7.2 mg</w:t>
            </w:r>
          </w:p>
        </w:tc>
        <w:tc>
          <w:tcPr/>
          <w:p>
            <w:pPr>
              <w:pStyle w:val="Compact"/>
              <w:jc w:val="left"/>
            </w:pPr>
            <w:r>
              <w:t xml:space="preserve">STEP UP (Wharton 2025), PMID 40961952</w:t>
            </w:r>
          </w:p>
        </w:tc>
        <w:tc>
          <w:tcPr/>
          <w:p>
            <w:pPr>
              <w:pStyle w:val="Compact"/>
              <w:jc w:val="left"/>
            </w:pPr>
            <w:r>
              <w:t xml:space="preserve">72 weeks</w:t>
            </w:r>
          </w:p>
        </w:tc>
        <w:tc>
          <w:tcPr/>
          <w:p>
            <w:pPr>
              <w:pStyle w:val="Compact"/>
              <w:jc w:val="left"/>
            </w:pPr>
            <w:r>
              <w:t xml:space="preserve">−18.7% vs. −3.9%</w:t>
            </w:r>
          </w:p>
        </w:tc>
      </w:tr>
      <w:tr>
        <w:tc>
          <w:tcPr/>
          <w:p>
            <w:pPr>
              <w:pStyle w:val="Compact"/>
              <w:jc w:val="left"/>
            </w:pPr>
            <w:r>
              <w:t xml:space="preserve">Semaglutide tablet 50 mg</w:t>
            </w:r>
          </w:p>
        </w:tc>
        <w:tc>
          <w:tcPr/>
          <w:p>
            <w:pPr>
              <w:pStyle w:val="Compact"/>
              <w:jc w:val="left"/>
            </w:pPr>
            <w:r>
              <w:t xml:space="preserve">OASIS 1 (Knop 2023), PMID 37385278</w:t>
            </w:r>
          </w:p>
        </w:tc>
        <w:tc>
          <w:tcPr/>
          <w:p>
            <w:pPr>
              <w:pStyle w:val="Compact"/>
              <w:jc w:val="left"/>
            </w:pPr>
            <w:r>
              <w:t xml:space="preserve">68 weeks</w:t>
            </w:r>
          </w:p>
        </w:tc>
        <w:tc>
          <w:tcPr/>
          <w:p>
            <w:pPr>
              <w:pStyle w:val="Compact"/>
              <w:jc w:val="left"/>
            </w:pPr>
            <w:r>
              <w:t xml:space="preserve">−15.1% vs. −2.4%</w:t>
            </w:r>
          </w:p>
        </w:tc>
      </w:tr>
      <w:tr>
        <w:tc>
          <w:tcPr/>
          <w:p>
            <w:pPr>
              <w:pStyle w:val="Compact"/>
              <w:jc w:val="left"/>
            </w:pPr>
            <w:r>
              <w:t xml:space="preserve">Tirzepatide 15 mg</w:t>
            </w:r>
          </w:p>
        </w:tc>
        <w:tc>
          <w:tcPr/>
          <w:p>
            <w:pPr>
              <w:pStyle w:val="Compact"/>
              <w:jc w:val="left"/>
            </w:pPr>
            <w:r>
              <w:t xml:space="preserve">SURMOUNT-1 (Jastreboff 2022), PMID 35658024</w:t>
            </w:r>
          </w:p>
        </w:tc>
        <w:tc>
          <w:tcPr/>
          <w:p>
            <w:pPr>
              <w:pStyle w:val="Compact"/>
              <w:jc w:val="left"/>
            </w:pPr>
            <w:r>
              <w:t xml:space="preserve">72 weeks</w:t>
            </w:r>
          </w:p>
        </w:tc>
        <w:tc>
          <w:tcPr/>
          <w:p>
            <w:pPr>
              <w:pStyle w:val="Compact"/>
              <w:jc w:val="left"/>
            </w:pPr>
            <w:r>
              <w:t xml:space="preserve">−20.9% vs. −3.1%</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68 weeks</w:t>
            </w:r>
          </w:p>
        </w:tc>
        <w:tc>
          <w:tcPr/>
          <w:p>
            <w:pPr>
              <w:pStyle w:val="Compact"/>
              <w:jc w:val="left"/>
            </w:pPr>
            <w:r>
              <w:t xml:space="preserve">−20.4% vs. −3.0%</w:t>
            </w:r>
          </w:p>
        </w:tc>
      </w:tr>
      <w:tr>
        <w:tc>
          <w:tcPr/>
          <w:p>
            <w:pPr>
              <w:pStyle w:val="Compact"/>
              <w:jc w:val="left"/>
            </w:pPr>
            <w:r>
              <w:t xml:space="preserve">Retatrutide 12 mg</w:t>
            </w:r>
          </w:p>
        </w:tc>
        <w:tc>
          <w:tcPr/>
          <w:p>
            <w:pPr>
              <w:pStyle w:val="Compact"/>
              <w:jc w:val="left"/>
            </w:pPr>
            <w:r>
              <w:t xml:space="preserve">TRIUMPH-1 (Jastreboff 2026), PMID 42814954</w:t>
            </w:r>
          </w:p>
        </w:tc>
        <w:tc>
          <w:tcPr/>
          <w:p>
            <w:pPr>
              <w:pStyle w:val="Compact"/>
              <w:jc w:val="left"/>
            </w:pPr>
            <w:r>
              <w:t xml:space="preserve">80 weeks</w:t>
            </w:r>
          </w:p>
        </w:tc>
        <w:tc>
          <w:tcPr/>
          <w:p>
            <w:pPr>
              <w:pStyle w:val="Compact"/>
              <w:jc w:val="left"/>
            </w:pPr>
            <w:r>
              <w:t xml:space="preserve">−25.0% vs. −3.9%</w:t>
            </w:r>
          </w:p>
        </w:tc>
      </w:tr>
      <w:tr>
        <w:tc>
          <w:tcPr/>
          <w:p>
            <w:pPr>
              <w:pStyle w:val="Compact"/>
              <w:jc w:val="left"/>
            </w:pPr>
            <w:r>
              <w:t xml:space="preserve">Survodutide 6.0 mg</w:t>
            </w:r>
          </w:p>
        </w:tc>
        <w:tc>
          <w:tcPr/>
          <w:p>
            <w:pPr>
              <w:pStyle w:val="Compact"/>
              <w:jc w:val="left"/>
            </w:pPr>
            <w:r>
              <w:t xml:space="preserve">SYNCHRONIZE-1 (le Roux 2026), PMID 42253238</w:t>
            </w:r>
          </w:p>
        </w:tc>
        <w:tc>
          <w:tcPr/>
          <w:p>
            <w:pPr>
              <w:pStyle w:val="Compact"/>
              <w:jc w:val="left"/>
            </w:pPr>
            <w:r>
              <w:t xml:space="preserve">76 weeks</w:t>
            </w:r>
          </w:p>
        </w:tc>
        <w:tc>
          <w:tcPr/>
          <w:p>
            <w:pPr>
              <w:pStyle w:val="Compact"/>
              <w:jc w:val="left"/>
            </w:pPr>
            <w:r>
              <w:t xml:space="preserve">−13.0% vs. −5.4%</w:t>
            </w:r>
          </w:p>
        </w:tc>
      </w:tr>
      <w:tr>
        <w:tc>
          <w:tcPr/>
          <w:p>
            <w:pPr>
              <w:pStyle w:val="Compact"/>
              <w:jc w:val="left"/>
            </w:pPr>
            <w:r>
              <w:t xml:space="preserve">Mazdutide 6 mg</w:t>
            </w:r>
          </w:p>
        </w:tc>
        <w:tc>
          <w:tcPr/>
          <w:p>
            <w:pPr>
              <w:pStyle w:val="Compact"/>
              <w:jc w:val="left"/>
            </w:pPr>
            <w:r>
              <w:t xml:space="preserve">GLORY-1 (Ji 2025), PMID 40421736</w:t>
            </w:r>
          </w:p>
        </w:tc>
        <w:tc>
          <w:tcPr/>
          <w:p>
            <w:pPr>
              <w:pStyle w:val="Compact"/>
              <w:jc w:val="left"/>
            </w:pPr>
            <w:r>
              <w:t xml:space="preserve">48 weeks</w:t>
            </w:r>
          </w:p>
        </w:tc>
        <w:tc>
          <w:tcPr/>
          <w:p>
            <w:pPr>
              <w:pStyle w:val="Compact"/>
              <w:jc w:val="left"/>
            </w:pPr>
            <w:r>
              <w:t xml:space="preserve">−14.0% vs. +0.3%</w:t>
            </w:r>
          </w:p>
        </w:tc>
      </w:tr>
      <w:tr>
        <w:tc>
          <w:tcPr/>
          <w:p>
            <w:pPr>
              <w:pStyle w:val="Compact"/>
              <w:jc w:val="left"/>
            </w:pPr>
            <w:r>
              <w:t xml:space="preserve">Maridebart cafraglutide</w:t>
            </w:r>
          </w:p>
        </w:tc>
        <w:tc>
          <w:tcPr/>
          <w:p>
            <w:pPr>
              <w:pStyle w:val="Compact"/>
              <w:jc w:val="left"/>
            </w:pPr>
            <w:r>
              <w:t xml:space="preserve">Phase 2 (Jastreboff 2025), PMID 40549887</w:t>
            </w:r>
          </w:p>
        </w:tc>
        <w:tc>
          <w:tcPr/>
          <w:p>
            <w:pPr>
              <w:pStyle w:val="Compact"/>
              <w:jc w:val="left"/>
            </w:pPr>
            <w:r>
              <w:t xml:space="preserve">52 weeks</w:t>
            </w:r>
          </w:p>
        </w:tc>
        <w:tc>
          <w:tcPr/>
          <w:p>
            <w:pPr>
              <w:pStyle w:val="Compact"/>
              <w:jc w:val="left"/>
            </w:pPr>
            <w:r>
              <w:t xml:space="preserve">−12.3 to −16.2% vs. −2.5%</w:t>
            </w:r>
          </w:p>
        </w:tc>
      </w:tr>
      <w:tr>
        <w:tc>
          <w:tcPr/>
          <w:p>
            <w:pPr>
              <w:pStyle w:val="Compact"/>
              <w:jc w:val="left"/>
            </w:pPr>
            <w:r>
              <w:t xml:space="preserve">Amycretin (injection)</w:t>
            </w:r>
          </w:p>
        </w:tc>
        <w:tc>
          <w:tcPr/>
          <w:p>
            <w:pPr>
              <w:pStyle w:val="Compact"/>
              <w:jc w:val="left"/>
            </w:pPr>
            <w:r>
              <w:t xml:space="preserve">Phase 1b/2a (Dahl 2025), PMID 40550231</w:t>
            </w:r>
          </w:p>
        </w:tc>
        <w:tc>
          <w:tcPr/>
          <w:p>
            <w:pPr>
              <w:pStyle w:val="Compact"/>
              <w:jc w:val="left"/>
            </w:pPr>
            <w:r>
              <w:t xml:space="preserve">36 weeks</w:t>
            </w:r>
          </w:p>
        </w:tc>
        <w:tc>
          <w:tcPr/>
          <w:p>
            <w:pPr>
              <w:pStyle w:val="Compact"/>
              <w:jc w:val="left"/>
            </w:pPr>
            <w:r>
              <w:t xml:space="preserve">up to −24.3% vs. −1.1%</w:t>
            </w:r>
          </w:p>
        </w:tc>
      </w:tr>
      <w:tr>
        <w:tc>
          <w:tcPr/>
          <w:p>
            <w:pPr>
              <w:pStyle w:val="Compact"/>
              <w:jc w:val="left"/>
            </w:pPr>
            <w:r>
              <w:t xml:space="preserve">Orforglipron 36 mg (tablet, not a peptide)</w:t>
            </w:r>
          </w:p>
        </w:tc>
        <w:tc>
          <w:tcPr/>
          <w:p>
            <w:pPr>
              <w:pStyle w:val="Compact"/>
              <w:jc w:val="left"/>
            </w:pPr>
            <w:r>
              <w:t xml:space="preserve">ATTAIN-1 (Wharton 2025), PMID 40960239</w:t>
            </w:r>
          </w:p>
        </w:tc>
        <w:tc>
          <w:tcPr/>
          <w:p>
            <w:pPr>
              <w:pStyle w:val="Compact"/>
              <w:jc w:val="left"/>
            </w:pPr>
            <w:r>
              <w:t xml:space="preserve">72 weeks</w:t>
            </w:r>
          </w:p>
        </w:tc>
        <w:tc>
          <w:tcPr/>
          <w:p>
            <w:pPr>
              <w:pStyle w:val="Compact"/>
              <w:jc w:val="left"/>
            </w:pPr>
            <w:r>
              <w:t xml:space="preserve">−11.2% vs. −2.1%</w:t>
            </w:r>
          </w:p>
        </w:tc>
      </w:tr>
    </w:tbl>
    <w:p>
      <w:pPr>
        <w:pStyle w:val="BodyText"/>
      </w:pPr>
      <w:r>
        <w:t xml:space="preserve">To put the individual rows in context:</w:t>
      </w:r>
    </w:p>
    <w:p>
      <w:pPr>
        <w:numPr>
          <w:ilvl w:val="0"/>
          <w:numId w:val="1325"/>
        </w:numPr>
        <w:pStyle w:val="Compact"/>
      </w:pPr>
      <w:r>
        <w:rPr>
          <w:bCs/>
          <w:b/>
        </w:rPr>
        <w:t xml:space="preserve">Liraglutide</w:t>
      </w:r>
      <w:r>
        <w:t xml:space="preserve"> </w:t>
      </w:r>
      <w:r>
        <w:t xml:space="preserve">is the only agent for which the approval trial reports loss in kilograms as the main result; with a starting weight of 106.2 kg, this corresponds roughly to 8%. In the head-to-head trial STEP 8 it was −6.4% (see below).</w:t>
      </w:r>
    </w:p>
    <w:p>
      <w:pPr>
        <w:numPr>
          <w:ilvl w:val="0"/>
          <w:numId w:val="1325"/>
        </w:numPr>
        <w:pStyle w:val="Compact"/>
      </w:pPr>
      <w:r>
        <w:rPr>
          <w:bCs/>
          <w:b/>
        </w:rPr>
        <w:t xml:space="preserve">Retatrutide, CagriSema, survodutide, maridebart cafraglutide, and amycretin</w:t>
      </w:r>
      <w:r>
        <w:t xml:space="preserve"> </w:t>
      </w:r>
      <w:r>
        <w:t xml:space="preserve">are not approved (as of October 2026). For maridebart cafraglutide and amycretin only phase 2 data are available; the amycretin study included 125 people, and the value applies to the highest dose in a dose-finding study.</w:t>
      </w:r>
    </w:p>
    <w:p>
      <w:pPr>
        <w:numPr>
          <w:ilvl w:val="0"/>
          <w:numId w:val="1325"/>
        </w:numPr>
        <w:pStyle w:val="Compact"/>
      </w:pPr>
      <w:r>
        <w:rPr>
          <w:bCs/>
          <w:b/>
        </w:rPr>
        <w:t xml:space="preserve">Mazdutide</w:t>
      </w:r>
      <w:r>
        <w:t xml:space="preserve"> </w:t>
      </w:r>
      <w:r>
        <w:t xml:space="preserve">is approved only in China. Following Chinese criteria, GLORY-1 enrolled people with a BMI of 28 or more (or 24 with a coexisting condition); the mean starting weight was 87.2 kg. In GLORY-2, with a higher dose, the result after 60 weeks was −16.65% versus −1.50%</w:t>
      </w:r>
      <w:r>
        <w:rPr>
          <w:rStyle w:val="FootnoteReference"/>
        </w:rPr>
        <w:footnoteReference w:id="2539"/>
      </w:r>
      <w:r>
        <w:t xml:space="preserve">.</w:t>
      </w:r>
    </w:p>
    <w:p>
      <w:pPr>
        <w:numPr>
          <w:ilvl w:val="0"/>
          <w:numId w:val="1325"/>
        </w:numPr>
        <w:pStyle w:val="Compact"/>
      </w:pPr>
      <w:r>
        <w:rPr>
          <w:bCs/>
          <w:b/>
        </w:rPr>
        <w:t xml:space="preserve">Survodutide</w:t>
      </w:r>
      <w:r>
        <w:t xml:space="preserve"> </w:t>
      </w:r>
      <w:r>
        <w:t xml:space="preserve">stands out because of the high placebo weight loss of 5.4%; the primary analysis explicitly also accounted for discontinuations and extended dose escalations.</w:t>
      </w:r>
    </w:p>
    <w:p>
      <w:pPr>
        <w:pStyle w:val="FirstParagraph"/>
      </w:pPr>
      <w:r>
        <w:t xml:space="preserve">A tiered pattern is striking: pure GLP-1 agonists achieve on average about 8 to 15%, the higher semaglutide dose just under 19%, combinations with GIP or amylin around 20%, and the triple agonist retatrutide 25%. This order is supported by the head-to-head trials SURMOUNT-5, STEP 8, and REDEFINE 5; for retatrutide, the direct comparison with tirzepatide is still pending</w:t>
      </w:r>
      <w:r>
        <w:rPr>
          <w:rStyle w:val="FootnoteReference"/>
        </w:rPr>
        <w:footnoteReference w:id="2540"/>
      </w:r>
      <w:r>
        <w:t xml:space="preserve">.</w:t>
      </w:r>
    </w:p>
    <w:bookmarkStart w:id="2541" w:name="Xe90d76b71e7a6acb3b22fc372af1ad48989527f"/>
    <w:p>
      <w:pPr>
        <w:pStyle w:val="Heading4"/>
      </w:pPr>
      <w:r>
        <w:t xml:space="preserve">With type 2 diabetes, weight loss is smaller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Study</w:t>
            </w:r>
          </w:p>
        </w:tc>
        <w:tc>
          <w:tcPr/>
          <w:p>
            <w:pPr>
              <w:pStyle w:val="Compact"/>
              <w:jc w:val="left"/>
            </w:pPr>
            <w:r>
              <w:t xml:space="preserve">Duration</w:t>
            </w:r>
          </w:p>
        </w:tc>
        <w:tc>
          <w:tcPr/>
          <w:p>
            <w:pPr>
              <w:pStyle w:val="Compact"/>
              <w:jc w:val="left"/>
            </w:pPr>
            <w:r>
              <w:t xml:space="preserve">Weight loss vs. placebo</w:t>
            </w:r>
          </w:p>
        </w:tc>
      </w:tr>
      <w:tr>
        <w:tc>
          <w:tcPr/>
          <w:p>
            <w:pPr>
              <w:pStyle w:val="Compact"/>
              <w:jc w:val="left"/>
            </w:pPr>
            <w:r>
              <w:t xml:space="preserve">Liraglutide 3.0 mg</w:t>
            </w:r>
          </w:p>
        </w:tc>
        <w:tc>
          <w:tcPr/>
          <w:p>
            <w:pPr>
              <w:pStyle w:val="Compact"/>
              <w:jc w:val="left"/>
            </w:pPr>
            <w:r>
              <w:t xml:space="preserve">SCALE Diabetes (Davies 2015), PMID 26284720</w:t>
            </w:r>
          </w:p>
        </w:tc>
        <w:tc>
          <w:tcPr/>
          <w:p>
            <w:pPr>
              <w:pStyle w:val="Compact"/>
              <w:jc w:val="left"/>
            </w:pPr>
            <w:r>
              <w:t xml:space="preserve">56 weeks</w:t>
            </w:r>
          </w:p>
        </w:tc>
        <w:tc>
          <w:tcPr/>
          <w:p>
            <w:pPr>
              <w:pStyle w:val="Compact"/>
              <w:jc w:val="left"/>
            </w:pPr>
            <w:r>
              <w:t xml:space="preserve">−6.0% vs. −2.0%</w:t>
            </w:r>
          </w:p>
        </w:tc>
      </w:tr>
      <w:tr>
        <w:tc>
          <w:tcPr/>
          <w:p>
            <w:pPr>
              <w:pStyle w:val="Compact"/>
              <w:jc w:val="left"/>
            </w:pPr>
            <w:r>
              <w:t xml:space="preserve">Semaglutide 2.4 mg</w:t>
            </w:r>
          </w:p>
        </w:tc>
        <w:tc>
          <w:tcPr/>
          <w:p>
            <w:pPr>
              <w:pStyle w:val="Compact"/>
              <w:jc w:val="left"/>
            </w:pPr>
            <w:r>
              <w:t xml:space="preserve">STEP 2 (Davies 2021), PMID 33667417</w:t>
            </w:r>
          </w:p>
        </w:tc>
        <w:tc>
          <w:tcPr/>
          <w:p>
            <w:pPr>
              <w:pStyle w:val="Compact"/>
              <w:jc w:val="left"/>
            </w:pPr>
            <w:r>
              <w:t xml:space="preserve">68 weeks</w:t>
            </w:r>
          </w:p>
        </w:tc>
        <w:tc>
          <w:tcPr/>
          <w:p>
            <w:pPr>
              <w:pStyle w:val="Compact"/>
              <w:jc w:val="left"/>
            </w:pPr>
            <w:r>
              <w:t xml:space="preserve">−9.6% vs. −3.4%</w:t>
            </w:r>
          </w:p>
        </w:tc>
      </w:tr>
      <w:tr>
        <w:tc>
          <w:tcPr/>
          <w:p>
            <w:pPr>
              <w:pStyle w:val="Compact"/>
              <w:jc w:val="left"/>
            </w:pPr>
            <w:r>
              <w:t xml:space="preserve">Tirzepatide 10/15 mg</w:t>
            </w:r>
          </w:p>
        </w:tc>
        <w:tc>
          <w:tcPr/>
          <w:p>
            <w:pPr>
              <w:pStyle w:val="Compact"/>
              <w:jc w:val="left"/>
            </w:pPr>
            <w:r>
              <w:t xml:space="preserve">SURMOUNT-2 (Garvey 2023), PMID 37385275</w:t>
            </w:r>
          </w:p>
        </w:tc>
        <w:tc>
          <w:tcPr/>
          <w:p>
            <w:pPr>
              <w:pStyle w:val="Compact"/>
              <w:jc w:val="left"/>
            </w:pPr>
            <w:r>
              <w:t xml:space="preserve">72 weeks</w:t>
            </w:r>
          </w:p>
        </w:tc>
        <w:tc>
          <w:tcPr/>
          <w:p>
            <w:pPr>
              <w:pStyle w:val="Compact"/>
              <w:jc w:val="left"/>
            </w:pPr>
            <w:r>
              <w:t xml:space="preserve">−12.8 / −14.7% vs. −3.2%</w:t>
            </w:r>
          </w:p>
        </w:tc>
      </w:tr>
      <w:tr>
        <w:tc>
          <w:tcPr/>
          <w:p>
            <w:pPr>
              <w:pStyle w:val="Compact"/>
              <w:jc w:val="left"/>
            </w:pPr>
            <w:r>
              <w:t xml:space="preserve">CagriSema</w:t>
            </w:r>
          </w:p>
        </w:tc>
        <w:tc>
          <w:tcPr/>
          <w:p>
            <w:pPr>
              <w:pStyle w:val="Compact"/>
              <w:jc w:val="left"/>
            </w:pPr>
            <w:r>
              <w:t xml:space="preserve">REDEFINE 2 (Davies 2025), PMID 40544432</w:t>
            </w:r>
          </w:p>
        </w:tc>
        <w:tc>
          <w:tcPr/>
          <w:p>
            <w:pPr>
              <w:pStyle w:val="Compact"/>
              <w:jc w:val="left"/>
            </w:pPr>
            <w:r>
              <w:t xml:space="preserve">68 weeks</w:t>
            </w:r>
          </w:p>
        </w:tc>
        <w:tc>
          <w:tcPr/>
          <w:p>
            <w:pPr>
              <w:pStyle w:val="Compact"/>
              <w:jc w:val="left"/>
            </w:pPr>
            <w:r>
              <w:t xml:space="preserve">−13.7% vs. −3.4%</w:t>
            </w:r>
          </w:p>
        </w:tc>
      </w:tr>
      <w:tr>
        <w:tc>
          <w:tcPr/>
          <w:p>
            <w:pPr>
              <w:pStyle w:val="Compact"/>
              <w:jc w:val="left"/>
            </w:pPr>
            <w:r>
              <w:t xml:space="preserve">Retatrutide 12 mg</w:t>
            </w:r>
          </w:p>
        </w:tc>
        <w:tc>
          <w:tcPr/>
          <w:p>
            <w:pPr>
              <w:pStyle w:val="Compact"/>
              <w:jc w:val="left"/>
            </w:pPr>
            <w:r>
              <w:t xml:space="preserve">TRIUMPH-2 (Bellido 2026), PMID 42810372</w:t>
            </w:r>
          </w:p>
        </w:tc>
        <w:tc>
          <w:tcPr/>
          <w:p>
            <w:pPr>
              <w:pStyle w:val="Compact"/>
              <w:jc w:val="left"/>
            </w:pPr>
            <w:r>
              <w:t xml:space="preserve">80 weeks</w:t>
            </w:r>
          </w:p>
        </w:tc>
        <w:tc>
          <w:tcPr/>
          <w:p>
            <w:pPr>
              <w:pStyle w:val="Compact"/>
              <w:jc w:val="left"/>
            </w:pPr>
            <w:r>
              <w:t xml:space="preserve">−18.8% vs. −5.1%</w:t>
            </w:r>
          </w:p>
        </w:tc>
      </w:tr>
      <w:tr>
        <w:tc>
          <w:tcPr/>
          <w:p>
            <w:pPr>
              <w:pStyle w:val="Compact"/>
              <w:jc w:val="left"/>
            </w:pPr>
            <w:r>
              <w:t xml:space="preserve">Survodutide</w:t>
            </w:r>
          </w:p>
        </w:tc>
        <w:tc>
          <w:tcPr/>
          <w:p>
            <w:pPr>
              <w:pStyle w:val="Compact"/>
              <w:jc w:val="left"/>
            </w:pPr>
            <w:r>
              <w:t xml:space="preserve">SYNCHRONIZE-2 (Wharton 2026), PMID 42820639</w:t>
            </w:r>
          </w:p>
        </w:tc>
        <w:tc>
          <w:tcPr/>
          <w:p>
            <w:pPr>
              <w:pStyle w:val="Compact"/>
              <w:jc w:val="left"/>
            </w:pPr>
            <w:r>
              <w:t xml:space="preserve">76 weeks</w:t>
            </w:r>
          </w:p>
        </w:tc>
        <w:tc>
          <w:tcPr/>
          <w:p>
            <w:pPr>
              <w:pStyle w:val="Compact"/>
              <w:jc w:val="left"/>
            </w:pPr>
            <w:r>
              <w:t xml:space="preserve">−8.2 / −9.8% vs. −3.9%</w:t>
            </w:r>
          </w:p>
        </w:tc>
      </w:tr>
      <w:tr>
        <w:tc>
          <w:tcPr/>
          <w:p>
            <w:pPr>
              <w:pStyle w:val="Compact"/>
              <w:jc w:val="left"/>
            </w:pPr>
            <w:r>
              <w:t xml:space="preserve">Orforglipron</w:t>
            </w:r>
          </w:p>
        </w:tc>
        <w:tc>
          <w:tcPr/>
          <w:p>
            <w:pPr>
              <w:pStyle w:val="Compact"/>
              <w:jc w:val="left"/>
            </w:pPr>
            <w:r>
              <w:t xml:space="preserve">ATTAIN-2 (Horn 2026), PMID 41275875</w:t>
            </w:r>
          </w:p>
        </w:tc>
        <w:tc>
          <w:tcPr/>
          <w:p>
            <w:pPr>
              <w:pStyle w:val="Compact"/>
              <w:jc w:val="left"/>
            </w:pPr>
            <w:r>
              <w:t xml:space="preserve">72 weeks</w:t>
            </w:r>
          </w:p>
        </w:tc>
        <w:tc>
          <w:tcPr/>
          <w:p>
            <w:pPr>
              <w:pStyle w:val="Compact"/>
              <w:jc w:val="left"/>
            </w:pPr>
            <w:r>
              <w:t xml:space="preserve">−5.1 to −9.6% vs. −2.5%</w:t>
            </w:r>
          </w:p>
        </w:tc>
      </w:tr>
    </w:tbl>
    <w:p>
      <w:pPr>
        <w:pStyle w:val="BodyText"/>
      </w:pPr>
      <w:r>
        <w:t xml:space="preserve">For every agent, the value with diabetes is considerably lower than without, usually by a quarter to a third. This pattern is so consistent that comparing a diabetes trial with an obesity trial without diabetes is always misleading.</w:t>
      </w:r>
    </w:p>
    <w:bookmarkEnd w:id="2541"/>
    <w:bookmarkStart w:id="2544" w:name="after-stopping"/>
    <w:p>
      <w:pPr>
        <w:pStyle w:val="Heading4"/>
      </w:pPr>
      <w:r>
        <w:t xml:space="preserve">After stopping</w:t>
      </w:r>
    </w:p>
    <w:p>
      <w:pPr>
        <w:pStyle w:val="FirstParagraph"/>
      </w:pPr>
      <w:r>
        <w:t xml:space="preserve">Two studies have specifically examined what happens after stopping. In STEP 4, all participants first received semaglutide for 20 weeks; afterward, the group that switched to placebo regained 6.9% over 48 weeks, while the group continuing semaglutide lost a further 7.9%</w:t>
      </w:r>
      <w:r>
        <w:rPr>
          <w:rStyle w:val="FootnoteReference"/>
        </w:rPr>
        <w:footnoteReference w:id="2542"/>
      </w:r>
      <w:r>
        <w:t xml:space="preserve">. In SURMOUNT-4, after 36 weeks of tirzepatide, the placebo group regained 14.0% over the following 52 weeks</w:t>
      </w:r>
      <w:r>
        <w:rPr>
          <w:rStyle w:val="FootnoteReference"/>
        </w:rPr>
        <w:footnoteReference w:id="2543"/>
      </w:r>
      <w:r>
        <w:t xml:space="preserve">. For both agents: the effect lasts only as long as treatment continues. For the newer agents, no published data on this are yet available.</w:t>
      </w:r>
    </w:p>
    <w:bookmarkEnd w:id="2544"/>
    <w:bookmarkEnd w:id="2545"/>
    <w:bookmarkStart w:id="2547" w:name="blood-sugar-hba1c"/>
    <w:p>
      <w:pPr>
        <w:pStyle w:val="Heading3"/>
      </w:pPr>
      <w:r>
        <w:t xml:space="preserve">Blood sugar: HbA1c</w:t>
      </w:r>
    </w:p>
    <w:p>
      <w:pPr>
        <w:pStyle w:val="FirstParagraph"/>
      </w:pPr>
      <w:r>
        <w:t xml:space="preserve">The HbA1c value (</w:t>
      </w:r>
      <w:r>
        <w:t xml:space="preserve">“</w:t>
      </w:r>
      <w:r>
        <w:t xml:space="preserve">long-term blood sugar</w:t>
      </w:r>
      <w:r>
        <w:t xml:space="preserve">”</w:t>
      </w:r>
      <w:r>
        <w:t xml:space="preserve">) indicates what proportion of the red blood pigment (hemoglobin) is bound to sugar and reflects the average blood sugar over the past two to three months. A reduction of one percentage point is considered clinically meaningful. How much the value falls depends strongly on the starting value: someone starting at 9% can lose more than someone starting at 7.5%.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Study</w:t>
            </w:r>
          </w:p>
        </w:tc>
        <w:tc>
          <w:tcPr/>
          <w:p>
            <w:pPr>
              <w:pStyle w:val="Compact"/>
              <w:jc w:val="left"/>
            </w:pPr>
            <w:r>
              <w:t xml:space="preserve">Duration</w:t>
            </w:r>
          </w:p>
        </w:tc>
        <w:tc>
          <w:tcPr/>
          <w:p>
            <w:pPr>
              <w:pStyle w:val="Compact"/>
              <w:jc w:val="left"/>
            </w:pPr>
            <w:r>
              <w:t xml:space="preserve">HbA1c change (percentage points)</w:t>
            </w:r>
          </w:p>
        </w:tc>
      </w:tr>
      <w:tr>
        <w:tc>
          <w:tcPr/>
          <w:p>
            <w:pPr>
              <w:pStyle w:val="Compact"/>
              <w:jc w:val="left"/>
            </w:pPr>
            <w:r>
              <w:t xml:space="preserve">Exenatide twice daily</w:t>
            </w:r>
          </w:p>
        </w:tc>
        <w:tc>
          <w:tcPr/>
          <w:p>
            <w:pPr>
              <w:pStyle w:val="Compact"/>
              <w:jc w:val="left"/>
            </w:pPr>
            <w:r>
              <w:t xml:space="preserve">DeFronzo 2005, PMID 15855572</w:t>
            </w:r>
          </w:p>
        </w:tc>
        <w:tc>
          <w:tcPr/>
          <w:p>
            <w:pPr>
              <w:pStyle w:val="Compact"/>
              <w:jc w:val="left"/>
            </w:pPr>
            <w:r>
              <w:t xml:space="preserve">30 weeks</w:t>
            </w:r>
          </w:p>
        </w:tc>
        <w:tc>
          <w:tcPr/>
          <w:p>
            <w:pPr>
              <w:pStyle w:val="Compact"/>
              <w:jc w:val="left"/>
            </w:pPr>
            <w:r>
              <w:t xml:space="preserve">−0.78 vs. +0.08 (placebo)</w:t>
            </w:r>
          </w:p>
        </w:tc>
      </w:tr>
      <w:tr>
        <w:tc>
          <w:tcPr/>
          <w:p>
            <w:pPr>
              <w:pStyle w:val="Compact"/>
              <w:jc w:val="left"/>
            </w:pPr>
            <w:r>
              <w:t xml:space="preserve">Pramlintide</w:t>
            </w:r>
          </w:p>
        </w:tc>
        <w:tc>
          <w:tcPr/>
          <w:p>
            <w:pPr>
              <w:pStyle w:val="Compact"/>
              <w:jc w:val="left"/>
            </w:pPr>
            <w:r>
              <w:t xml:space="preserve">Hollander 2003, PMID 12610038</w:t>
            </w:r>
          </w:p>
        </w:tc>
        <w:tc>
          <w:tcPr/>
          <w:p>
            <w:pPr>
              <w:pStyle w:val="Compact"/>
              <w:jc w:val="left"/>
            </w:pPr>
            <w:r>
              <w:t xml:space="preserve">52 weeks</w:t>
            </w:r>
          </w:p>
        </w:tc>
        <w:tc>
          <w:tcPr/>
          <w:p>
            <w:pPr>
              <w:pStyle w:val="Compact"/>
              <w:jc w:val="left"/>
            </w:pPr>
            <w:r>
              <w:t xml:space="preserve">−0.62 (in addition to insulin)</w:t>
            </w:r>
          </w:p>
        </w:tc>
      </w:tr>
      <w:tr>
        <w:tc>
          <w:tcPr/>
          <w:p>
            <w:pPr>
              <w:pStyle w:val="Compact"/>
              <w:jc w:val="left"/>
            </w:pPr>
            <w:r>
              <w:t xml:space="preserve">Liraglutide 1.8 mg</w:t>
            </w:r>
          </w:p>
        </w:tc>
        <w:tc>
          <w:tcPr/>
          <w:p>
            <w:pPr>
              <w:pStyle w:val="Compact"/>
              <w:jc w:val="left"/>
            </w:pPr>
            <w:r>
              <w:t xml:space="preserve">LEAD-3 (Garber 2009), PMID 18819705</w:t>
            </w:r>
          </w:p>
        </w:tc>
        <w:tc>
          <w:tcPr/>
          <w:p>
            <w:pPr>
              <w:pStyle w:val="Compact"/>
              <w:jc w:val="left"/>
            </w:pPr>
            <w:r>
              <w:t xml:space="preserve">52 weeks</w:t>
            </w:r>
          </w:p>
        </w:tc>
        <w:tc>
          <w:tcPr/>
          <w:p>
            <w:pPr>
              <w:pStyle w:val="Compact"/>
              <w:jc w:val="left"/>
            </w:pPr>
            <w:r>
              <w:t xml:space="preserve">−1.14 vs. −0.51 (glimepiride)</w:t>
            </w:r>
          </w:p>
        </w:tc>
      </w:tr>
      <w:tr>
        <w:tc>
          <w:tcPr/>
          <w:p>
            <w:pPr>
              <w:pStyle w:val="Compact"/>
              <w:jc w:val="left"/>
            </w:pPr>
            <w:r>
              <w:t xml:space="preserve">Dulaglutide 4.5 mg</w:t>
            </w:r>
          </w:p>
        </w:tc>
        <w:tc>
          <w:tcPr/>
          <w:p>
            <w:pPr>
              <w:pStyle w:val="Compact"/>
              <w:jc w:val="left"/>
            </w:pPr>
            <w:r>
              <w:t xml:space="preserve">AWARD-11 (Frias 2021), PMID 33397768</w:t>
            </w:r>
          </w:p>
        </w:tc>
        <w:tc>
          <w:tcPr/>
          <w:p>
            <w:pPr>
              <w:pStyle w:val="Compact"/>
              <w:jc w:val="left"/>
            </w:pPr>
            <w:r>
              <w:t xml:space="preserve">36 weeks</w:t>
            </w:r>
          </w:p>
        </w:tc>
        <w:tc>
          <w:tcPr/>
          <w:p>
            <w:pPr>
              <w:pStyle w:val="Compact"/>
              <w:jc w:val="left"/>
            </w:pPr>
            <w:r>
              <w:t xml:space="preserve">−1.77 vs. −1.54 (1.5 mg)</w:t>
            </w:r>
          </w:p>
        </w:tc>
      </w:tr>
      <w:tr>
        <w:tc>
          <w:tcPr/>
          <w:p>
            <w:pPr>
              <w:pStyle w:val="Compact"/>
              <w:jc w:val="left"/>
            </w:pPr>
            <w:r>
              <w:t xml:space="preserve">Semaglutide 1.0 mg</w:t>
            </w:r>
          </w:p>
        </w:tc>
        <w:tc>
          <w:tcPr/>
          <w:p>
            <w:pPr>
              <w:pStyle w:val="Compact"/>
              <w:jc w:val="left"/>
            </w:pPr>
            <w:r>
              <w:t xml:space="preserve">SUSTAIN 1 (Sorli 2017), PMID 28110911</w:t>
            </w:r>
          </w:p>
        </w:tc>
        <w:tc>
          <w:tcPr/>
          <w:p>
            <w:pPr>
              <w:pStyle w:val="Compact"/>
              <w:jc w:val="left"/>
            </w:pPr>
            <w:r>
              <w:t xml:space="preserve">30 weeks</w:t>
            </w:r>
          </w:p>
        </w:tc>
        <w:tc>
          <w:tcPr/>
          <w:p>
            <w:pPr>
              <w:pStyle w:val="Compact"/>
              <w:jc w:val="left"/>
            </w:pPr>
            <w:r>
              <w:t xml:space="preserve">−1.55 vs. −0.02 (placebo)</w:t>
            </w:r>
          </w:p>
        </w:tc>
      </w:tr>
      <w:tr>
        <w:tc>
          <w:tcPr/>
          <w:p>
            <w:pPr>
              <w:pStyle w:val="Compact"/>
              <w:jc w:val="left"/>
            </w:pPr>
            <w:r>
              <w:t xml:space="preserve">Semaglutide 2.0 mg</w:t>
            </w:r>
          </w:p>
        </w:tc>
        <w:tc>
          <w:tcPr/>
          <w:p>
            <w:pPr>
              <w:pStyle w:val="Compact"/>
              <w:jc w:val="left"/>
            </w:pPr>
            <w:r>
              <w:t xml:space="preserve">SUSTAIN FORTE (Frías 2021), PMID 34293304</w:t>
            </w:r>
          </w:p>
        </w:tc>
        <w:tc>
          <w:tcPr/>
          <w:p>
            <w:pPr>
              <w:pStyle w:val="Compact"/>
              <w:jc w:val="left"/>
            </w:pPr>
            <w:r>
              <w:t xml:space="preserve">40 weeks</w:t>
            </w:r>
          </w:p>
        </w:tc>
        <w:tc>
          <w:tcPr/>
          <w:p>
            <w:pPr>
              <w:pStyle w:val="Compact"/>
              <w:jc w:val="left"/>
            </w:pPr>
            <w:r>
              <w:t xml:space="preserve">−2.2 vs. −1.9 (1.0 mg)</w:t>
            </w:r>
          </w:p>
        </w:tc>
      </w:tr>
      <w:tr>
        <w:tc>
          <w:tcPr/>
          <w:p>
            <w:pPr>
              <w:pStyle w:val="Compact"/>
              <w:jc w:val="left"/>
            </w:pPr>
            <w:r>
              <w:t xml:space="preserve">Tirzepatide 5–15 mg</w:t>
            </w:r>
          </w:p>
        </w:tc>
        <w:tc>
          <w:tcPr/>
          <w:p>
            <w:pPr>
              <w:pStyle w:val="Compact"/>
              <w:jc w:val="left"/>
            </w:pPr>
            <w:r>
              <w:t xml:space="preserve">SURPASS-1 (Rosenstock 2021), PMID 34186022</w:t>
            </w:r>
          </w:p>
        </w:tc>
        <w:tc>
          <w:tcPr/>
          <w:p>
            <w:pPr>
              <w:pStyle w:val="Compact"/>
              <w:jc w:val="left"/>
            </w:pPr>
            <w:r>
              <w:t xml:space="preserve">40 weeks</w:t>
            </w:r>
          </w:p>
        </w:tc>
        <w:tc>
          <w:tcPr/>
          <w:p>
            <w:pPr>
              <w:pStyle w:val="Compact"/>
              <w:jc w:val="left"/>
            </w:pPr>
            <w:r>
              <w:t xml:space="preserve">−1.87 to −2.07 vs. +0.04 (placebo)</w:t>
            </w:r>
          </w:p>
        </w:tc>
      </w:tr>
      <w:tr>
        <w:tc>
          <w:tcPr/>
          <w:p>
            <w:pPr>
              <w:pStyle w:val="Compact"/>
              <w:jc w:val="left"/>
            </w:pPr>
            <w:r>
              <w:t xml:space="preserve">Retatrutide</w:t>
            </w:r>
          </w:p>
        </w:tc>
        <w:tc>
          <w:tcPr/>
          <w:p>
            <w:pPr>
              <w:pStyle w:val="Compact"/>
              <w:jc w:val="left"/>
            </w:pPr>
            <w:r>
              <w:t xml:space="preserve">TRANSCEND-T2D-1 (Bajaj 2026), PMID 42250575</w:t>
            </w:r>
          </w:p>
        </w:tc>
        <w:tc>
          <w:tcPr/>
          <w:p>
            <w:pPr>
              <w:pStyle w:val="Compact"/>
              <w:jc w:val="left"/>
            </w:pPr>
            <w:r>
              <w:t xml:space="preserve">40 weeks</w:t>
            </w:r>
          </w:p>
        </w:tc>
        <w:tc>
          <w:tcPr/>
          <w:p>
            <w:pPr>
              <w:pStyle w:val="Compact"/>
              <w:jc w:val="left"/>
            </w:pPr>
            <w:r>
              <w:t xml:space="preserve">−1.69 to −1.94 vs. −0.81 (placebo)</w:t>
            </w:r>
          </w:p>
        </w:tc>
      </w:tr>
      <w:tr>
        <w:tc>
          <w:tcPr/>
          <w:p>
            <w:pPr>
              <w:pStyle w:val="Compact"/>
              <w:jc w:val="left"/>
            </w:pPr>
            <w:r>
              <w:t xml:space="preserve">Mazdutide</w:t>
            </w:r>
          </w:p>
        </w:tc>
        <w:tc>
          <w:tcPr/>
          <w:p>
            <w:pPr>
              <w:pStyle w:val="Compact"/>
              <w:jc w:val="left"/>
            </w:pPr>
            <w:r>
              <w:t xml:space="preserve">DREAMS-1 (Zhu 2026), PMID 41407859</w:t>
            </w:r>
          </w:p>
        </w:tc>
        <w:tc>
          <w:tcPr/>
          <w:p>
            <w:pPr>
              <w:pStyle w:val="Compact"/>
              <w:jc w:val="left"/>
            </w:pPr>
            <w:r>
              <w:t xml:space="preserve">24 weeks</w:t>
            </w:r>
          </w:p>
        </w:tc>
        <w:tc>
          <w:tcPr/>
          <w:p>
            <w:pPr>
              <w:pStyle w:val="Compact"/>
              <w:jc w:val="left"/>
            </w:pPr>
            <w:r>
              <w:t xml:space="preserve">−1.57 / −2.15 vs. −0.14 (placebo)</w:t>
            </w:r>
          </w:p>
        </w:tc>
      </w:tr>
      <w:tr>
        <w:tc>
          <w:tcPr/>
          <w:p>
            <w:pPr>
              <w:pStyle w:val="Compact"/>
              <w:jc w:val="left"/>
            </w:pPr>
            <w:r>
              <w:t xml:space="preserve">CagriSema</w:t>
            </w:r>
          </w:p>
        </w:tc>
        <w:tc>
          <w:tcPr/>
          <w:p>
            <w:pPr>
              <w:pStyle w:val="Compact"/>
              <w:jc w:val="left"/>
            </w:pPr>
            <w:r>
              <w:t xml:space="preserve">REIMAGINE 1 (Aroda 2026), PMID 42251860</w:t>
            </w:r>
          </w:p>
        </w:tc>
        <w:tc>
          <w:tcPr/>
          <w:p>
            <w:pPr>
              <w:pStyle w:val="Compact"/>
              <w:jc w:val="left"/>
            </w:pPr>
            <w:r>
              <w:t xml:space="preserve">40 weeks</w:t>
            </w:r>
          </w:p>
        </w:tc>
        <w:tc>
          <w:tcPr/>
          <w:p>
            <w:pPr>
              <w:pStyle w:val="Compact"/>
              <w:jc w:val="left"/>
            </w:pPr>
            <w:r>
              <w:t xml:space="preserve">−1.8 vs. −0.1 (placebo)</w:t>
            </w:r>
          </w:p>
        </w:tc>
      </w:tr>
      <w:tr>
        <w:tc>
          <w:tcPr/>
          <w:p>
            <w:pPr>
              <w:pStyle w:val="Compact"/>
              <w:jc w:val="left"/>
            </w:pPr>
            <w:r>
              <w:t xml:space="preserve">Maridebart cafraglutide</w:t>
            </w:r>
          </w:p>
        </w:tc>
        <w:tc>
          <w:tcPr/>
          <w:p>
            <w:pPr>
              <w:pStyle w:val="Compact"/>
              <w:jc w:val="left"/>
            </w:pPr>
            <w:r>
              <w:t xml:space="preserve">Phase 2 (Jastreboff 2025), PMID 40549887</w:t>
            </w:r>
          </w:p>
        </w:tc>
        <w:tc>
          <w:tcPr/>
          <w:p>
            <w:pPr>
              <w:pStyle w:val="Compact"/>
              <w:jc w:val="left"/>
            </w:pPr>
            <w:r>
              <w:t xml:space="preserve">52 weeks</w:t>
            </w:r>
          </w:p>
        </w:tc>
        <w:tc>
          <w:tcPr/>
          <w:p>
            <w:pPr>
              <w:pStyle w:val="Compact"/>
              <w:jc w:val="left"/>
            </w:pPr>
            <w:r>
              <w:t xml:space="preserve">−1.2 to −1.6 vs. +0.1 (placebo)</w:t>
            </w:r>
          </w:p>
        </w:tc>
      </w:tr>
      <w:tr>
        <w:tc>
          <w:tcPr/>
          <w:p>
            <w:pPr>
              <w:pStyle w:val="Compact"/>
              <w:jc w:val="left"/>
            </w:pPr>
            <w:r>
              <w:t xml:space="preserve">Orforglipron</w:t>
            </w:r>
          </w:p>
        </w:tc>
        <w:tc>
          <w:tcPr/>
          <w:p>
            <w:pPr>
              <w:pStyle w:val="Compact"/>
              <w:jc w:val="left"/>
            </w:pPr>
            <w:r>
              <w:t xml:space="preserve">ACHIEVE-1 (Rosenstock 2025), PMID 40544435</w:t>
            </w:r>
          </w:p>
        </w:tc>
        <w:tc>
          <w:tcPr/>
          <w:p>
            <w:pPr>
              <w:pStyle w:val="Compact"/>
              <w:jc w:val="left"/>
            </w:pPr>
            <w:r>
              <w:t xml:space="preserve">40 weeks</w:t>
            </w:r>
          </w:p>
        </w:tc>
        <w:tc>
          <w:tcPr/>
          <w:p>
            <w:pPr>
              <w:pStyle w:val="Compact"/>
              <w:jc w:val="left"/>
            </w:pPr>
            <w:r>
              <w:t xml:space="preserve">−1.24 to −1.48 vs. −0.41 (placebo)</w:t>
            </w:r>
          </w:p>
        </w:tc>
      </w:tr>
    </w:tbl>
    <w:p>
      <w:pPr>
        <w:pStyle w:val="BodyText"/>
      </w:pPr>
      <w:r>
        <w:t xml:space="preserve">The older agents exenatide and pramlintide lower HbA1c by less than one percentage point, the weekly GLP-1 agonists by about 1.5 points, and tirzepatide and the newer multi-agonists by around 2 points. For blood sugar, the differences among the newer agents are smaller than for weight. REIMAGINE 2 shows this particularly clearly: there, CagriSema lowered HbA1c by only 0.16 percentage points more than semaglutide 2.4 mg alone (−1.91 vs. −1.75; Buse 2026, PMID 42251859). The addition of amylin therefore acts mainly on weight.</w:t>
      </w:r>
    </w:p>
    <w:p>
      <w:pPr>
        <w:pStyle w:val="BodyText"/>
      </w:pPr>
      <w:r>
        <w:t xml:space="preserve">An important difference concerns hypoglycemia (low blood sugar). Because GLP-1 enhances insulin release only when blood sugar is elevated, hypoglycemia is rare with these drugs alone. It becomes more frequent when insulin or sulfonylureas are taken at the same time. With pramlintide, which is used only in addition to mealtime insulin, severe hypoglycemia is the most important risk</w:t>
      </w:r>
      <w:r>
        <w:rPr>
          <w:rStyle w:val="FootnoteReference"/>
        </w:rPr>
        <w:footnoteReference w:id="2546"/>
      </w:r>
      <w:r>
        <w:t xml:space="preserve">.</w:t>
      </w:r>
    </w:p>
    <w:bookmarkEnd w:id="2547"/>
    <w:bookmarkStart w:id="2555" w:name="cardiovascular-outcome-trials"/>
    <w:p>
      <w:pPr>
        <w:pStyle w:val="Heading3"/>
      </w:pPr>
      <w:r>
        <w:t xml:space="preserve">Cardiovascular outcome trials</w:t>
      </w:r>
    </w:p>
    <w:p>
      <w:pPr>
        <w:pStyle w:val="FirstParagraph"/>
      </w:pPr>
      <w:r>
        <w:t xml:space="preserve">Outcome trials do not measure laboratory values but events that matter to patients: cardiovascular death, heart attack, and stroke, combined as</w:t>
      </w:r>
      <w:r>
        <w:t xml:space="preserve"> </w:t>
      </w:r>
      <w:r>
        <w:t xml:space="preserve">“</w:t>
      </w:r>
      <w:r>
        <w:t xml:space="preserve">MACE</w:t>
      </w:r>
      <w:r>
        <w:t xml:space="preserve">”</w:t>
      </w:r>
      <w:r>
        <w:t xml:space="preserve"> </w:t>
      </w:r>
      <w:r>
        <w:t xml:space="preserve">(major adverse cardiovascular events). The hazard ratio (HR) indicates how high the risk was compared with the control group; 0.80 means a 20% lower relative risk.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 (agent)</w:t>
            </w:r>
          </w:p>
        </w:tc>
        <w:tc>
          <w:tcPr/>
          <w:p>
            <w:pPr>
              <w:pStyle w:val="Compact"/>
              <w:jc w:val="left"/>
            </w:pPr>
            <w:r>
              <w:t xml:space="preserve">Participants</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LEADER (liraglutide; Marso 2016), PMID 27295427</w:t>
            </w:r>
          </w:p>
        </w:tc>
        <w:tc>
          <w:tcPr/>
          <w:p>
            <w:pPr>
              <w:pStyle w:val="Compact"/>
              <w:jc w:val="left"/>
            </w:pPr>
            <w:r>
              <w:t xml:space="preserve">9,340 with type 2 diabetes and high risk</w:t>
            </w:r>
          </w:p>
        </w:tc>
        <w:tc>
          <w:tcPr/>
          <w:p>
            <w:pPr>
              <w:pStyle w:val="Compact"/>
              <w:jc w:val="left"/>
            </w:pPr>
            <w:r>
              <w:t xml:space="preserve">median 3.8 years</w:t>
            </w:r>
          </w:p>
        </w:tc>
        <w:tc>
          <w:tcPr/>
          <w:p>
            <w:pPr>
              <w:pStyle w:val="Compact"/>
              <w:jc w:val="left"/>
            </w:pPr>
            <w:r>
              <w:t xml:space="preserve">13.0% vs. 14.9%; HR 0.87</w:t>
            </w:r>
          </w:p>
        </w:tc>
      </w:tr>
      <w:tr>
        <w:tc>
          <w:tcPr/>
          <w:p>
            <w:pPr>
              <w:pStyle w:val="Compact"/>
              <w:jc w:val="left"/>
            </w:pPr>
            <w:r>
              <w:t xml:space="preserve">SUSTAIN 6 (semaglutide; Marso 2016), PMID 27633186</w:t>
            </w:r>
          </w:p>
        </w:tc>
        <w:tc>
          <w:tcPr/>
          <w:p>
            <w:pPr>
              <w:pStyle w:val="Compact"/>
              <w:jc w:val="left"/>
            </w:pPr>
            <w:r>
              <w:t xml:space="preserve">3,297 with type 2 diabetes and high risk</w:t>
            </w:r>
          </w:p>
        </w:tc>
        <w:tc>
          <w:tcPr/>
          <w:p>
            <w:pPr>
              <w:pStyle w:val="Compact"/>
              <w:jc w:val="left"/>
            </w:pPr>
            <w:r>
              <w:t xml:space="preserve">104 weeks</w:t>
            </w:r>
          </w:p>
        </w:tc>
        <w:tc>
          <w:tcPr/>
          <w:p>
            <w:pPr>
              <w:pStyle w:val="Compact"/>
              <w:jc w:val="left"/>
            </w:pPr>
            <w:r>
              <w:t xml:space="preserve">6.6% vs. 8.9%; HR 0.74</w:t>
            </w:r>
          </w:p>
        </w:tc>
      </w:tr>
      <w:tr>
        <w:tc>
          <w:tcPr/>
          <w:p>
            <w:pPr>
              <w:pStyle w:val="Compact"/>
              <w:jc w:val="left"/>
            </w:pPr>
            <w:r>
              <w:t xml:space="preserve">PIONEER 6 (semaglutide tablet; Husain 2019), PMID 31185157</w:t>
            </w:r>
          </w:p>
        </w:tc>
        <w:tc>
          <w:tcPr/>
          <w:p>
            <w:pPr>
              <w:pStyle w:val="Compact"/>
              <w:jc w:val="left"/>
            </w:pPr>
            <w:r>
              <w:t xml:space="preserve">3,183 with type 2 diabetes and high risk</w:t>
            </w:r>
          </w:p>
        </w:tc>
        <w:tc>
          <w:tcPr/>
          <w:p>
            <w:pPr>
              <w:pStyle w:val="Compact"/>
              <w:jc w:val="left"/>
            </w:pPr>
            <w:r>
              <w:t xml:space="preserve">median 15.9 months</w:t>
            </w:r>
          </w:p>
        </w:tc>
        <w:tc>
          <w:tcPr/>
          <w:p>
            <w:pPr>
              <w:pStyle w:val="Compact"/>
              <w:jc w:val="left"/>
            </w:pPr>
            <w:r>
              <w:t xml:space="preserve">3.8% vs. 4.8%; HR 0.79, only non-inferiority shown</w:t>
            </w:r>
          </w:p>
        </w:tc>
      </w:tr>
      <w:tr>
        <w:tc>
          <w:tcPr/>
          <w:p>
            <w:pPr>
              <w:pStyle w:val="Compact"/>
              <w:jc w:val="left"/>
            </w:pPr>
            <w:r>
              <w:t xml:space="preserve">SOUL (semaglutide tablet; McGuire 2025), PMID 40162642</w:t>
            </w:r>
          </w:p>
        </w:tc>
        <w:tc>
          <w:tcPr/>
          <w:p>
            <w:pPr>
              <w:pStyle w:val="Compact"/>
              <w:jc w:val="left"/>
            </w:pPr>
            <w:r>
              <w:t xml:space="preserve">9,650 with type 2 diabetes and vascular or kidney disease</w:t>
            </w:r>
          </w:p>
        </w:tc>
        <w:tc>
          <w:tcPr/>
          <w:p>
            <w:pPr>
              <w:pStyle w:val="Compact"/>
              <w:jc w:val="left"/>
            </w:pPr>
            <w:r>
              <w:t xml:space="preserve">median 49.5 months</w:t>
            </w:r>
          </w:p>
        </w:tc>
        <w:tc>
          <w:tcPr/>
          <w:p>
            <w:pPr>
              <w:pStyle w:val="Compact"/>
              <w:jc w:val="left"/>
            </w:pPr>
            <w:r>
              <w:t xml:space="preserve">12.0% vs. 13.8%; HR 0.86</w:t>
            </w:r>
          </w:p>
        </w:tc>
      </w:tr>
      <w:tr>
        <w:tc>
          <w:tcPr/>
          <w:p>
            <w:pPr>
              <w:pStyle w:val="Compact"/>
              <w:jc w:val="left"/>
            </w:pPr>
            <w:r>
              <w:t xml:space="preserve">SELECT (semaglutide 2.4 mg; Lincoff 2023), PMID 37952131</w:t>
            </w:r>
          </w:p>
        </w:tc>
        <w:tc>
          <w:tcPr/>
          <w:p>
            <w:pPr>
              <w:pStyle w:val="Compact"/>
              <w:jc w:val="left"/>
            </w:pPr>
            <w:r>
              <w:t xml:space="preserve">17,604 with overweight and cardiovascular disease, without diabetes</w:t>
            </w:r>
          </w:p>
        </w:tc>
        <w:tc>
          <w:tcPr/>
          <w:p>
            <w:pPr>
              <w:pStyle w:val="Compact"/>
              <w:jc w:val="left"/>
            </w:pPr>
            <w:r>
              <w:t xml:space="preserve">mean 39.8 months</w:t>
            </w:r>
          </w:p>
        </w:tc>
        <w:tc>
          <w:tcPr/>
          <w:p>
            <w:pPr>
              <w:pStyle w:val="Compact"/>
              <w:jc w:val="left"/>
            </w:pPr>
            <w:r>
              <w:t xml:space="preserve">6.5% vs. 8.0%; HR 0.80</w:t>
            </w:r>
          </w:p>
        </w:tc>
      </w:tr>
      <w:tr>
        <w:tc>
          <w:tcPr/>
          <w:p>
            <w:pPr>
              <w:pStyle w:val="Compact"/>
              <w:jc w:val="left"/>
            </w:pPr>
            <w:r>
              <w:t xml:space="preserve">REWIND (dulaglutide; Gerstein 2019), PMID 31189511</w:t>
            </w:r>
          </w:p>
        </w:tc>
        <w:tc>
          <w:tcPr/>
          <w:p>
            <w:pPr>
              <w:pStyle w:val="Compact"/>
              <w:jc w:val="left"/>
            </w:pPr>
            <w:r>
              <w:t xml:space="preserve">9,901 with type 2 diabetes, with or without prior cardiovascular disease</w:t>
            </w:r>
          </w:p>
        </w:tc>
        <w:tc>
          <w:tcPr/>
          <w:p>
            <w:pPr>
              <w:pStyle w:val="Compact"/>
              <w:jc w:val="left"/>
            </w:pPr>
            <w:r>
              <w:t xml:space="preserve">median 5.4 years</w:t>
            </w:r>
          </w:p>
        </w:tc>
        <w:tc>
          <w:tcPr/>
          <w:p>
            <w:pPr>
              <w:pStyle w:val="Compact"/>
              <w:jc w:val="left"/>
            </w:pPr>
            <w:r>
              <w:t xml:space="preserve">12.0% vs. 13.4%; HR 0.88</w:t>
            </w:r>
          </w:p>
        </w:tc>
      </w:tr>
      <w:tr>
        <w:tc>
          <w:tcPr/>
          <w:p>
            <w:pPr>
              <w:pStyle w:val="Compact"/>
              <w:jc w:val="left"/>
            </w:pPr>
            <w:r>
              <w:t xml:space="preserve">EXSCEL (exenatide weekly; Holman 2017), PMID 28910237</w:t>
            </w:r>
          </w:p>
        </w:tc>
        <w:tc>
          <w:tcPr/>
          <w:p>
            <w:pPr>
              <w:pStyle w:val="Compact"/>
              <w:jc w:val="left"/>
            </w:pPr>
            <w:r>
              <w:t xml:space="preserve">14,752 with type 2 diabetes</w:t>
            </w:r>
          </w:p>
        </w:tc>
        <w:tc>
          <w:tcPr/>
          <w:p>
            <w:pPr>
              <w:pStyle w:val="Compact"/>
              <w:jc w:val="left"/>
            </w:pPr>
            <w:r>
              <w:t xml:space="preserve">median 3.2 years</w:t>
            </w:r>
          </w:p>
        </w:tc>
        <w:tc>
          <w:tcPr/>
          <w:p>
            <w:pPr>
              <w:pStyle w:val="Compact"/>
              <w:jc w:val="left"/>
            </w:pPr>
            <w:r>
              <w:t xml:space="preserve">11.4% vs. 12.2%; HR 0.91, superiority narrowly missed</w:t>
            </w:r>
          </w:p>
        </w:tc>
      </w:tr>
      <w:tr>
        <w:tc>
          <w:tcPr/>
          <w:p>
            <w:pPr>
              <w:pStyle w:val="Compact"/>
              <w:jc w:val="left"/>
            </w:pPr>
            <w:r>
              <w:t xml:space="preserve">SURPASS-CVOT (tirzepatide vs. dulaglutide; Nicholls 2025), PMID 41406444</w:t>
            </w:r>
          </w:p>
        </w:tc>
        <w:tc>
          <w:tcPr/>
          <w:p>
            <w:pPr>
              <w:pStyle w:val="Compact"/>
              <w:jc w:val="left"/>
            </w:pPr>
            <w:r>
              <w:t xml:space="preserve">13,165 with type 2 diabetes and vascular disease</w:t>
            </w:r>
          </w:p>
        </w:tc>
        <w:tc>
          <w:tcPr/>
          <w:p>
            <w:pPr>
              <w:pStyle w:val="Compact"/>
              <w:jc w:val="left"/>
            </w:pPr>
            <w:r>
              <w:t xml:space="preserve">several years</w:t>
            </w:r>
          </w:p>
        </w:tc>
        <w:tc>
          <w:tcPr/>
          <w:p>
            <w:pPr>
              <w:pStyle w:val="Compact"/>
              <w:jc w:val="left"/>
            </w:pPr>
            <w:r>
              <w:t xml:space="preserve">12.2% vs. 13.1%; HR 0.92, non-inferior</w:t>
            </w:r>
          </w:p>
        </w:tc>
      </w:tr>
      <w:tr>
        <w:tc>
          <w:tcPr/>
          <w:p>
            <w:pPr>
              <w:pStyle w:val="Compact"/>
              <w:jc w:val="left"/>
            </w:pPr>
            <w:r>
              <w:t xml:space="preserve">ACHIEVE-4 (orforglipron vs. insulin glargine; Klein 2026), PMID 42815506</w:t>
            </w:r>
          </w:p>
        </w:tc>
        <w:tc>
          <w:tcPr/>
          <w:p>
            <w:pPr>
              <w:pStyle w:val="Compact"/>
              <w:jc w:val="left"/>
            </w:pPr>
            <w:r>
              <w:t xml:space="preserve">2,749 with type 2 diabetes and high risk</w:t>
            </w:r>
          </w:p>
        </w:tc>
        <w:tc>
          <w:tcPr/>
          <w:p>
            <w:pPr>
              <w:pStyle w:val="Compact"/>
              <w:jc w:val="left"/>
            </w:pPr>
            <w:r>
              <w:t xml:space="preserve">median 2 years</w:t>
            </w:r>
          </w:p>
        </w:tc>
        <w:tc>
          <w:tcPr/>
          <w:p>
            <w:pPr>
              <w:pStyle w:val="Compact"/>
              <w:jc w:val="left"/>
            </w:pPr>
            <w:r>
              <w:t xml:space="preserve">4.2% vs. 5.0% (MACE-4), non-inferior</w:t>
            </w:r>
          </w:p>
        </w:tc>
      </w:tr>
    </w:tbl>
    <w:p>
      <w:pPr>
        <w:pStyle w:val="BodyText"/>
      </w:pPr>
      <w:r>
        <w:t xml:space="preserve">What this table shows:</w:t>
      </w:r>
    </w:p>
    <w:p>
      <w:pPr>
        <w:numPr>
          <w:ilvl w:val="0"/>
          <w:numId w:val="1326"/>
        </w:numPr>
        <w:pStyle w:val="Compact"/>
      </w:pPr>
      <w:r>
        <w:rPr>
          <w:bCs/>
          <w:b/>
        </w:rPr>
        <w:t xml:space="preserve">The class lowers risk.</w:t>
      </w:r>
      <w:r>
        <w:t xml:space="preserve"> </w:t>
      </w:r>
      <w:r>
        <w:t xml:space="preserve">A meta-analysis of seven placebo-controlled outcome trials with a combined 56,004 participants found, for GLP-1 receptor agonists in type 2 diabetes, 12% fewer major cardiovascular events (HR 0.88), 12% fewer deaths from any cause, and 9% fewer hospital admissions for heart failure, with no meaningful differences between subgroups</w:t>
      </w:r>
      <w:r>
        <w:rPr>
          <w:rStyle w:val="FootnoteReference"/>
        </w:rPr>
        <w:footnoteReference w:id="2548"/>
      </w:r>
      <w:r>
        <w:t xml:space="preserve">. This meta-analysis also included two agents that are not covered in this book.</w:t>
      </w:r>
    </w:p>
    <w:p>
      <w:pPr>
        <w:numPr>
          <w:ilvl w:val="0"/>
          <w:numId w:val="1326"/>
        </w:numPr>
        <w:pStyle w:val="Compact"/>
      </w:pPr>
      <w:r>
        <w:rPr>
          <w:bCs/>
          <w:b/>
        </w:rPr>
        <w:t xml:space="preserve">Differences between agents are uncertain.</w:t>
      </w:r>
      <w:r>
        <w:t xml:space="preserve"> </w:t>
      </w:r>
      <w:r>
        <w:t xml:space="preserve">Exenatide was at the weaker end in EXSCEL; the molecule itself, the high discontinuation rate, and the pragmatic study design are discussed as explanations. An exenatide pump implant (FREEDOM-CVO) met only the safety criterion (HR 1.21; Ruff 2022, PMID 34873344).</w:t>
      </w:r>
    </w:p>
    <w:p>
      <w:pPr>
        <w:numPr>
          <w:ilvl w:val="0"/>
          <w:numId w:val="1326"/>
        </w:numPr>
        <w:pStyle w:val="Compact"/>
      </w:pPr>
      <w:r>
        <w:rPr>
          <w:bCs/>
          <w:b/>
        </w:rPr>
        <w:t xml:space="preserve">SELECT is a special case.</w:t>
      </w:r>
      <w:r>
        <w:t xml:space="preserve"> </w:t>
      </w:r>
      <w:r>
        <w:t xml:space="preserve">In this overview it is the only large outcome trial conducted exclusively in people</w:t>
      </w:r>
      <w:r>
        <w:t xml:space="preserve"> </w:t>
      </w:r>
      <w:r>
        <w:rPr>
          <w:iCs/>
          <w:i/>
        </w:rPr>
        <w:t xml:space="preserve">without</w:t>
      </w:r>
      <w:r>
        <w:t xml:space="preserve"> </w:t>
      </w:r>
      <w:r>
        <w:t xml:space="preserve">diabetes. In absolute terms, over a little more than three years, about 1.5 in every hundred treated people had one fewer major event.</w:t>
      </w:r>
    </w:p>
    <w:p>
      <w:pPr>
        <w:numPr>
          <w:ilvl w:val="0"/>
          <w:numId w:val="1326"/>
        </w:numPr>
        <w:pStyle w:val="Compact"/>
      </w:pPr>
      <w:r>
        <w:rPr>
          <w:bCs/>
          <w:b/>
        </w:rPr>
        <w:t xml:space="preserve">Tirzepatide was tested against an effective drug.</w:t>
      </w:r>
      <w:r>
        <w:t xml:space="preserve"> </w:t>
      </w:r>
      <w:r>
        <w:t xml:space="preserve">SURPASS-CVOT did not compare tirzepatide with placebo but with dulaglutide, which had itself lowered risk in REWIND. Tirzepatide was non-inferior; formal superiority was narrowly missed. How large the benefit would be compared with no treatment can only be estimated from this through modeling.</w:t>
      </w:r>
    </w:p>
    <w:p>
      <w:pPr>
        <w:numPr>
          <w:ilvl w:val="0"/>
          <w:numId w:val="1326"/>
        </w:numPr>
        <w:pStyle w:val="Compact"/>
      </w:pPr>
      <w:r>
        <w:rPr>
          <w:bCs/>
          <w:b/>
        </w:rPr>
        <w:t xml:space="preserve">Heart failure:</w:t>
      </w:r>
      <w:r>
        <w:t xml:space="preserve"> </w:t>
      </w:r>
      <w:r>
        <w:t xml:space="preserve">In heart failure with preserved ejection fraction and obesity, tirzepatide reduced the combined endpoint of cardiovascular death or worsening heart failure in SUMMIT with 731 people (9.9% vs. 15.3%; HR 0.62; Packer 2025, PMID 39555826). The difference was based on fewer worsening events; deaths were rare. In STEP-HFpEF, semaglutide improved symptoms and walking distance</w:t>
      </w:r>
      <w:r>
        <w:rPr>
          <w:rStyle w:val="FootnoteReference"/>
        </w:rPr>
        <w:footnoteReference w:id="2549"/>
      </w:r>
      <w:r>
        <w:t xml:space="preserve">, but was not designed for hard endpoints.</w:t>
      </w:r>
    </w:p>
    <w:p>
      <w:pPr>
        <w:pStyle w:val="FirstParagraph"/>
      </w:pPr>
      <w:r>
        <w:rPr>
          <w:bCs/>
          <w:b/>
        </w:rPr>
        <w:t xml:space="preserve">Still pending (registered studies):</w:t>
      </w:r>
      <w:r>
        <w:t xml:space="preserve"> </w:t>
      </w:r>
      <w:r>
        <w:t xml:space="preserve">Outcome data are lacking for the newer agents. Ongoing studies are SURMOUNT-MMO on tirzepatide in obesity without diabetes</w:t>
      </w:r>
      <w:r>
        <w:rPr>
          <w:rStyle w:val="FootnoteReference"/>
        </w:rPr>
        <w:footnoteReference w:id="2550"/>
      </w:r>
      <w:r>
        <w:t xml:space="preserve">, TRIUMPH-Outcomes on retatrutide</w:t>
      </w:r>
      <w:r>
        <w:rPr>
          <w:rStyle w:val="FootnoteReference"/>
        </w:rPr>
        <w:footnoteReference w:id="2551"/>
      </w:r>
      <w:r>
        <w:t xml:space="preserve">, REDEFINE 3 on CagriSema</w:t>
      </w:r>
      <w:r>
        <w:rPr>
          <w:rStyle w:val="FootnoteReference"/>
        </w:rPr>
        <w:footnoteReference w:id="2552"/>
      </w:r>
      <w:r>
        <w:t xml:space="preserve">, a study on maridebart cafraglutide</w:t>
      </w:r>
      <w:r>
        <w:rPr>
          <w:rStyle w:val="FootnoteReference"/>
        </w:rPr>
        <w:footnoteReference w:id="2553"/>
      </w:r>
      <w:r>
        <w:t xml:space="preserve">, and one on orforglipron</w:t>
      </w:r>
      <w:r>
        <w:rPr>
          <w:rStyle w:val="FootnoteReference"/>
        </w:rPr>
        <w:footnoteReference w:id="2554"/>
      </w:r>
      <w:r>
        <w:t xml:space="preserve">. Until these results are available, it remains open whether greater weight loss also leads to fewer heart attacks and strokes. That is a plausible expectation, but not a result.</w:t>
      </w:r>
    </w:p>
    <w:bookmarkEnd w:id="2555"/>
    <w:bookmarkStart w:id="2563" w:name="kidney-and-liver"/>
    <w:p>
      <w:pPr>
        <w:pStyle w:val="Heading3"/>
      </w:pPr>
      <w:r>
        <w:t xml:space="preserve">Kidney and liver</w:t>
      </w:r>
    </w:p>
    <w:p>
      <w:pPr>
        <w:pStyle w:val="FirstParagraph"/>
      </w:pPr>
      <w:r>
        <w:rPr>
          <w:bCs/>
          <w:b/>
        </w:rPr>
        <w:t xml:space="preserve">Kidney:</w:t>
      </w:r>
      <w:r>
        <w:t xml:space="preserve"> </w:t>
      </w:r>
      <w:r>
        <w:t xml:space="preserve">Among the studies discussed in this book, only FLOW has a kidney event as its primary endpoint. In 3,533 people with type 2 diabetes and chronic kidney disease, semaglutide 1.0 mg reduced major kidney events and death from kidney or cardiovascular causes by 24% (331 vs. 410 events; HR 0.76). The study was stopped early for efficacy; all-cause mortality was 20% lower</w:t>
      </w:r>
      <w:r>
        <w:rPr>
          <w:rStyle w:val="FootnoteReference"/>
        </w:rPr>
        <w:footnoteReference w:id="2556"/>
      </w:r>
      <w:r>
        <w:t xml:space="preserve">. In the older outcome trials, by contrast, the kidney benefit was based mainly on less protein in the urine: in LEADER HR 0.78</w:t>
      </w:r>
      <w:r>
        <w:rPr>
          <w:rStyle w:val="FootnoteReference"/>
        </w:rPr>
        <w:footnoteReference w:id="2557"/>
      </w:r>
      <w:r>
        <w:t xml:space="preserve">, in REWIND HR 0.85</w:t>
      </w:r>
      <w:r>
        <w:rPr>
          <w:rStyle w:val="FootnoteReference"/>
        </w:rPr>
        <w:footnoteReference w:id="2558"/>
      </w:r>
      <w:r>
        <w:t xml:space="preserve">, across all seven trials HR 0.83</w:t>
      </w:r>
      <w:r>
        <w:rPr>
          <w:rStyle w:val="FootnoteReference"/>
        </w:rPr>
        <w:footnoteReference w:id="2559"/>
      </w:r>
      <w:r>
        <w:t xml:space="preserve">. In SOUL, the confirmatory secondary endpoints, including kidney events, did not differ significantly</w:t>
      </w:r>
      <w:r>
        <w:rPr>
          <w:rStyle w:val="FootnoteReference"/>
        </w:rPr>
        <w:footnoteReference w:id="2560"/>
      </w:r>
      <w:r>
        <w:t xml:space="preserve">. In moderate to severe kidney disease, kidney function was better preserved with dulaglutide than with insulin glargine (AWARD-7, Tuttle 2018, PMID 29910024). For tirzepatide and the newer agents, there are as yet no studies with kidney events as the primary endpoint.</w:t>
      </w:r>
    </w:p>
    <w:p>
      <w:pPr>
        <w:pStyle w:val="BodyText"/>
      </w:pPr>
      <w:r>
        <w:rPr>
          <w:bCs/>
          <w:b/>
        </w:rPr>
        <w:t xml:space="preserve">Liver:</w:t>
      </w:r>
      <w:r>
        <w:t xml:space="preserve"> </w:t>
      </w:r>
      <w:r>
        <w:t xml:space="preserve">For the inflammatory fatty liver disease MASH (formerly NASH), there are tissue biopsy studies for three agents: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Study</w:t>
            </w:r>
          </w:p>
        </w:tc>
        <w:tc>
          <w:tcPr/>
          <w:p>
            <w:pPr>
              <w:pStyle w:val="Compact"/>
              <w:jc w:val="left"/>
            </w:pPr>
            <w:r>
              <w:t xml:space="preserve">Duration</w:t>
            </w:r>
          </w:p>
        </w:tc>
        <w:tc>
          <w:tcPr/>
          <w:p>
            <w:pPr>
              <w:pStyle w:val="Compact"/>
              <w:jc w:val="left"/>
            </w:pPr>
            <w:r>
              <w:t xml:space="preserve">Resolution of MASH without worsening of fibrosis</w:t>
            </w:r>
          </w:p>
        </w:tc>
      </w:tr>
      <w:tr>
        <w:tc>
          <w:tcPr/>
          <w:p>
            <w:pPr>
              <w:pStyle w:val="Compact"/>
              <w:jc w:val="left"/>
            </w:pPr>
            <w:r>
              <w:t xml:space="preserve">Semaglutide 2.4 mg</w:t>
            </w:r>
          </w:p>
        </w:tc>
        <w:tc>
          <w:tcPr/>
          <w:p>
            <w:pPr>
              <w:pStyle w:val="Compact"/>
              <w:jc w:val="left"/>
            </w:pPr>
            <w:r>
              <w:t xml:space="preserve">ESSENCE, phase 3 (Sanyal 2025), PMID 40305708</w:t>
            </w:r>
          </w:p>
        </w:tc>
        <w:tc>
          <w:tcPr/>
          <w:p>
            <w:pPr>
              <w:pStyle w:val="Compact"/>
              <w:jc w:val="left"/>
            </w:pPr>
            <w:r>
              <w:t xml:space="preserve">72 weeks (interim analysis, 800 people)</w:t>
            </w:r>
          </w:p>
        </w:tc>
        <w:tc>
          <w:tcPr/>
          <w:p>
            <w:pPr>
              <w:pStyle w:val="Compact"/>
              <w:jc w:val="left"/>
            </w:pPr>
            <w:r>
              <w:t xml:space="preserve">62.9% vs. 34.3%; less fibrosis 36.8% vs. 22.4%</w:t>
            </w:r>
          </w:p>
        </w:tc>
      </w:tr>
      <w:tr>
        <w:tc>
          <w:tcPr/>
          <w:p>
            <w:pPr>
              <w:pStyle w:val="Compact"/>
              <w:jc w:val="left"/>
            </w:pPr>
            <w:r>
              <w:t xml:space="preserve">Tirzepatide</w:t>
            </w:r>
          </w:p>
        </w:tc>
        <w:tc>
          <w:tcPr/>
          <w:p>
            <w:pPr>
              <w:pStyle w:val="Compact"/>
              <w:jc w:val="left"/>
            </w:pPr>
            <w:r>
              <w:t xml:space="preserve">SYNERGY-NASH, phase 2 (Loomba 2024), PMID 38856224</w:t>
            </w:r>
          </w:p>
        </w:tc>
        <w:tc>
          <w:tcPr/>
          <w:p>
            <w:pPr>
              <w:pStyle w:val="Compact"/>
              <w:jc w:val="left"/>
            </w:pPr>
            <w:r>
              <w:t xml:space="preserve">52 weeks, 190 people</w:t>
            </w:r>
          </w:p>
        </w:tc>
        <w:tc>
          <w:tcPr/>
          <w:p>
            <w:pPr>
              <w:pStyle w:val="Compact"/>
              <w:jc w:val="left"/>
            </w:pPr>
            <w:r>
              <w:t xml:space="preserve">44–62% vs. 10%; less fibrosis 51–55% vs. 30%</w:t>
            </w:r>
          </w:p>
        </w:tc>
      </w:tr>
      <w:tr>
        <w:tc>
          <w:tcPr/>
          <w:p>
            <w:pPr>
              <w:pStyle w:val="Compact"/>
              <w:jc w:val="left"/>
            </w:pPr>
            <w:r>
              <w:t xml:space="preserve">Survodutide</w:t>
            </w:r>
          </w:p>
        </w:tc>
        <w:tc>
          <w:tcPr/>
          <w:p>
            <w:pPr>
              <w:pStyle w:val="Compact"/>
              <w:jc w:val="left"/>
            </w:pPr>
            <w:r>
              <w:t xml:space="preserve">Phase 2 (Sanyal 2024), PMID 38847460</w:t>
            </w:r>
          </w:p>
        </w:tc>
        <w:tc>
          <w:tcPr/>
          <w:p>
            <w:pPr>
              <w:pStyle w:val="Compact"/>
              <w:jc w:val="left"/>
            </w:pPr>
            <w:r>
              <w:t xml:space="preserve">48 weeks, 293 people</w:t>
            </w:r>
          </w:p>
        </w:tc>
        <w:tc>
          <w:tcPr/>
          <w:p>
            <w:pPr>
              <w:pStyle w:val="Compact"/>
              <w:jc w:val="left"/>
            </w:pPr>
            <w:r>
              <w:t xml:space="preserve">MASH improvement 43–62% vs. 14%</w:t>
            </w:r>
          </w:p>
        </w:tc>
      </w:tr>
    </w:tbl>
    <w:p>
      <w:pPr>
        <w:pStyle w:val="BodyText"/>
      </w:pPr>
      <w:r>
        <w:t xml:space="preserve">Only ESSENCE is a phase 3 trial; whether the treatment also prevents cirrhosis, liver failure, and deaths is to be shown by its second part over 240 weeks. For survodutide, the phase 3 trials LIVERAGE</w:t>
      </w:r>
      <w:r>
        <w:rPr>
          <w:rStyle w:val="FootnoteReference"/>
        </w:rPr>
        <w:footnoteReference w:id="2561"/>
      </w:r>
      <w:r>
        <w:t xml:space="preserve"> </w:t>
      </w:r>
      <w:r>
        <w:t xml:space="preserve">and LIVERAGE-Cirrhosis</w:t>
      </w:r>
      <w:r>
        <w:rPr>
          <w:rStyle w:val="FootnoteReference"/>
        </w:rPr>
        <w:footnoteReference w:id="2562"/>
      </w:r>
      <w:r>
        <w:t xml:space="preserve"> </w:t>
      </w:r>
      <w:r>
        <w:t xml:space="preserve">are ongoing. The higher percentages of the phase 2 trials are not directly comparable with ESSENCE because of the small groups and shorter duration.</w:t>
      </w:r>
    </w:p>
    <w:bookmarkEnd w:id="2563"/>
    <w:bookmarkStart w:id="2574" w:name="side-effects-and-discontinuation-rates"/>
    <w:p>
      <w:pPr>
        <w:pStyle w:val="Heading3"/>
      </w:pPr>
      <w:r>
        <w:t xml:space="preserve">Side effects and discontinuation rates</w:t>
      </w:r>
    </w:p>
    <w:p>
      <w:pPr>
        <w:pStyle w:val="FirstParagraph"/>
      </w:pPr>
      <w:r>
        <w:t xml:space="preserve">The side effect profile is similar across the whole class: nausea, diarrhea, vomiting, and constipation, especially during gradual dose escalation, usually mild to moderate and transient. They are the most common reason for stopping treatment. The rates depend strongly on dose and the pace of escalation and are only roughly comparable between studies.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Study</w:t>
            </w:r>
          </w:p>
        </w:tc>
        <w:tc>
          <w:tcPr/>
          <w:p>
            <w:pPr>
              <w:pStyle w:val="Compact"/>
              <w:jc w:val="left"/>
            </w:pPr>
            <w:r>
              <w:t xml:space="preserve">Gastrointestinal complaints</w:t>
            </w:r>
          </w:p>
        </w:tc>
        <w:tc>
          <w:tcPr/>
          <w:p>
            <w:pPr>
              <w:pStyle w:val="Compact"/>
              <w:jc w:val="left"/>
            </w:pPr>
            <w:r>
              <w:t xml:space="preserve">Discontinuation due to side effects</w:t>
            </w:r>
          </w:p>
        </w:tc>
      </w:tr>
      <w:tr>
        <w:tc>
          <w:tcPr/>
          <w:p>
            <w:pPr>
              <w:pStyle w:val="Compact"/>
              <w:jc w:val="left"/>
            </w:pPr>
            <w:r>
              <w:t xml:space="preserve">Exenatide twice daily</w:t>
            </w:r>
          </w:p>
        </w:tc>
        <w:tc>
          <w:tcPr/>
          <w:p>
            <w:pPr>
              <w:pStyle w:val="Compact"/>
              <w:jc w:val="left"/>
            </w:pPr>
            <w:r>
              <w:t xml:space="preserve">Heine 2005, PMID 16230722</w:t>
            </w:r>
          </w:p>
        </w:tc>
        <w:tc>
          <w:tcPr/>
          <w:p>
            <w:pPr>
              <w:pStyle w:val="Compact"/>
              <w:jc w:val="left"/>
            </w:pPr>
            <w:r>
              <w:t xml:space="preserve">nausea 57.1%</w:t>
            </w:r>
          </w:p>
        </w:tc>
        <w:tc>
          <w:tcPr/>
          <w:p>
            <w:pPr>
              <w:pStyle w:val="Compact"/>
              <w:jc w:val="left"/>
            </w:pPr>
            <w:r>
              <w:t xml:space="preserve">not reported in abstract</w:t>
            </w:r>
          </w:p>
        </w:tc>
      </w:tr>
      <w:tr>
        <w:tc>
          <w:tcPr/>
          <w:p>
            <w:pPr>
              <w:pStyle w:val="Compact"/>
              <w:jc w:val="left"/>
            </w:pPr>
            <w:r>
              <w:t xml:space="preserve">Dulaglutide</w:t>
            </w:r>
          </w:p>
        </w:tc>
        <w:tc>
          <w:tcPr/>
          <w:p>
            <w:pPr>
              <w:pStyle w:val="Compact"/>
              <w:jc w:val="left"/>
            </w:pPr>
            <w:r>
              <w:t xml:space="preserve">REWIND (Gerstein 2019), PMID 31189511</w:t>
            </w:r>
          </w:p>
        </w:tc>
        <w:tc>
          <w:tcPr/>
          <w:p>
            <w:pPr>
              <w:pStyle w:val="Compact"/>
              <w:jc w:val="left"/>
            </w:pPr>
            <w:r>
              <w:t xml:space="preserve">47.4% vs. 34.1%</w:t>
            </w:r>
          </w:p>
        </w:tc>
        <w:tc>
          <w:tcPr/>
          <w:p>
            <w:pPr>
              <w:pStyle w:val="Compact"/>
              <w:jc w:val="left"/>
            </w:pPr>
            <w:r>
              <w:t xml:space="preserve">not reported in abstract</w:t>
            </w:r>
          </w:p>
        </w:tc>
      </w:tr>
      <w:tr>
        <w:tc>
          <w:tcPr/>
          <w:p>
            <w:pPr>
              <w:pStyle w:val="Compact"/>
              <w:jc w:val="left"/>
            </w:pPr>
            <w:r>
              <w:t xml:space="preserve">Semaglutide 2.4 mg</w:t>
            </w:r>
          </w:p>
        </w:tc>
        <w:tc>
          <w:tcPr/>
          <w:p>
            <w:pPr>
              <w:pStyle w:val="Compact"/>
              <w:jc w:val="left"/>
            </w:pPr>
            <w:r>
              <w:t xml:space="preserve">STEP 1 (Wilding 2021), PMID 33567185</w:t>
            </w:r>
          </w:p>
        </w:tc>
        <w:tc>
          <w:tcPr/>
          <w:p>
            <w:pPr>
              <w:pStyle w:val="Compact"/>
              <w:jc w:val="left"/>
            </w:pPr>
            <w:r>
              <w:t xml:space="preserve">most commonly nausea and diarrhea</w:t>
            </w:r>
          </w:p>
        </w:tc>
        <w:tc>
          <w:tcPr/>
          <w:p>
            <w:pPr>
              <w:pStyle w:val="Compact"/>
              <w:jc w:val="left"/>
            </w:pPr>
            <w:r>
              <w:t xml:space="preserve">due to gastrointestinal complaints 4.5% vs. 0.8%</w:t>
            </w:r>
          </w:p>
        </w:tc>
      </w:tr>
      <w:tr>
        <w:tc>
          <w:tcPr/>
          <w:p>
            <w:pPr>
              <w:pStyle w:val="Compact"/>
              <w:jc w:val="left"/>
            </w:pPr>
            <w:r>
              <w:t xml:space="preserve">Semaglutide 2.4 mg</w:t>
            </w:r>
          </w:p>
        </w:tc>
        <w:tc>
          <w:tcPr/>
          <w:p>
            <w:pPr>
              <w:pStyle w:val="Compact"/>
              <w:jc w:val="left"/>
            </w:pPr>
            <w:r>
              <w:t xml:space="preserve">SELECT (Lincoff 2023), PMID 37952131</w:t>
            </w:r>
          </w:p>
        </w:tc>
        <w:tc>
          <w:tcPr/>
          <w:p>
            <w:pPr>
              <w:pStyle w:val="Compact"/>
              <w:jc w:val="left"/>
            </w:pPr>
            <w:r>
              <w:t xml:space="preserve">–</w:t>
            </w:r>
          </w:p>
        </w:tc>
        <w:tc>
          <w:tcPr/>
          <w:p>
            <w:pPr>
              <w:pStyle w:val="Compact"/>
              <w:jc w:val="left"/>
            </w:pPr>
            <w:r>
              <w:t xml:space="preserve">16.6% vs. 8.2% (over a little more than three years)</w:t>
            </w:r>
          </w:p>
        </w:tc>
      </w:tr>
      <w:tr>
        <w:tc>
          <w:tcPr/>
          <w:p>
            <w:pPr>
              <w:pStyle w:val="Compact"/>
              <w:jc w:val="left"/>
            </w:pPr>
            <w:r>
              <w:t xml:space="preserve">Tirzepatide</w:t>
            </w:r>
          </w:p>
        </w:tc>
        <w:tc>
          <w:tcPr/>
          <w:p>
            <w:pPr>
              <w:pStyle w:val="Compact"/>
              <w:jc w:val="left"/>
            </w:pPr>
            <w:r>
              <w:t xml:space="preserve">SURMOUNT-1 (Jastreboff 2022), PMID 35658024</w:t>
            </w:r>
          </w:p>
        </w:tc>
        <w:tc>
          <w:tcPr/>
          <w:p>
            <w:pPr>
              <w:pStyle w:val="Compact"/>
              <w:jc w:val="left"/>
            </w:pPr>
            <w:r>
              <w:t xml:space="preserve">most common, mostly during escalation</w:t>
            </w:r>
          </w:p>
        </w:tc>
        <w:tc>
          <w:tcPr/>
          <w:p>
            <w:pPr>
              <w:pStyle w:val="Compact"/>
              <w:jc w:val="left"/>
            </w:pPr>
            <w:r>
              <w:t xml:space="preserve">4.3–7.1% vs. 2.6%</w:t>
            </w:r>
          </w:p>
        </w:tc>
      </w:tr>
      <w:tr>
        <w:tc>
          <w:tcPr/>
          <w:p>
            <w:pPr>
              <w:pStyle w:val="Compact"/>
              <w:jc w:val="left"/>
            </w:pPr>
            <w:r>
              <w:t xml:space="preserve">CagriSema</w:t>
            </w:r>
          </w:p>
        </w:tc>
        <w:tc>
          <w:tcPr/>
          <w:p>
            <w:pPr>
              <w:pStyle w:val="Compact"/>
              <w:jc w:val="left"/>
            </w:pPr>
            <w:r>
              <w:t xml:space="preserve">REDEFINE 1 (Garvey 2025), PMID 40544433</w:t>
            </w:r>
          </w:p>
        </w:tc>
        <w:tc>
          <w:tcPr/>
          <w:p>
            <w:pPr>
              <w:pStyle w:val="Compact"/>
              <w:jc w:val="left"/>
            </w:pPr>
            <w:r>
              <w:t xml:space="preserve">79.6% vs. 39.9%</w:t>
            </w:r>
          </w:p>
        </w:tc>
        <w:tc>
          <w:tcPr/>
          <w:p>
            <w:pPr>
              <w:pStyle w:val="Compact"/>
              <w:jc w:val="left"/>
            </w:pPr>
            <w:r>
              <w:t xml:space="preserve">not reported in abstract</w:t>
            </w:r>
          </w:p>
        </w:tc>
      </w:tr>
      <w:tr>
        <w:tc>
          <w:tcPr/>
          <w:p>
            <w:pPr>
              <w:pStyle w:val="Compact"/>
              <w:jc w:val="left"/>
            </w:pPr>
            <w:r>
              <w:t xml:space="preserve">Retatrutide</w:t>
            </w:r>
          </w:p>
        </w:tc>
        <w:tc>
          <w:tcPr/>
          <w:p>
            <w:pPr>
              <w:pStyle w:val="Compact"/>
              <w:jc w:val="left"/>
            </w:pPr>
            <w:r>
              <w:t xml:space="preserve">TRIUMPH-2 (Bellido 2026), PMID 42810372</w:t>
            </w:r>
          </w:p>
        </w:tc>
        <w:tc>
          <w:tcPr/>
          <w:p>
            <w:pPr>
              <w:pStyle w:val="Compact"/>
              <w:jc w:val="left"/>
            </w:pPr>
            <w:r>
              <w:t xml:space="preserve">diarrhea 27–34%, nausea 14–28% (placebo 13% and 8%)</w:t>
            </w:r>
          </w:p>
        </w:tc>
        <w:tc>
          <w:tcPr/>
          <w:p>
            <w:pPr>
              <w:pStyle w:val="Compact"/>
              <w:jc w:val="left"/>
            </w:pPr>
            <w:r>
              <w:t xml:space="preserve">4–12% vs. 5% (incl. deaths)</w:t>
            </w:r>
          </w:p>
        </w:tc>
      </w:tr>
      <w:tr>
        <w:tc>
          <w:tcPr/>
          <w:p>
            <w:pPr>
              <w:pStyle w:val="Compact"/>
              <w:jc w:val="left"/>
            </w:pPr>
            <w:r>
              <w:t xml:space="preserve">Survodutide</w:t>
            </w:r>
          </w:p>
        </w:tc>
        <w:tc>
          <w:tcPr/>
          <w:p>
            <w:pPr>
              <w:pStyle w:val="Compact"/>
              <w:jc w:val="left"/>
            </w:pPr>
            <w:r>
              <w:t xml:space="preserve">SYNCHRONIZE-1 (le Roux 2026), PMID 42253238</w:t>
            </w:r>
          </w:p>
        </w:tc>
        <w:tc>
          <w:tcPr/>
          <w:p>
            <w:pPr>
              <w:pStyle w:val="Compact"/>
              <w:jc w:val="left"/>
            </w:pPr>
            <w:r>
              <w:t xml:space="preserve">80.9 / 89.7% vs. 47.9%</w:t>
            </w:r>
          </w:p>
        </w:tc>
        <w:tc>
          <w:tcPr/>
          <w:p>
            <w:pPr>
              <w:pStyle w:val="Compact"/>
              <w:jc w:val="left"/>
            </w:pPr>
            <w:r>
              <w:t xml:space="preserve">not reported in abstract</w:t>
            </w:r>
          </w:p>
        </w:tc>
      </w:tr>
      <w:tr>
        <w:tc>
          <w:tcPr/>
          <w:p>
            <w:pPr>
              <w:pStyle w:val="Compact"/>
              <w:jc w:val="left"/>
            </w:pPr>
            <w:r>
              <w:t xml:space="preserve">Mazdutide</w:t>
            </w:r>
          </w:p>
        </w:tc>
        <w:tc>
          <w:tcPr/>
          <w:p>
            <w:pPr>
              <w:pStyle w:val="Compact"/>
              <w:jc w:val="left"/>
            </w:pPr>
            <w:r>
              <w:t xml:space="preserve">GLORY-1 (Ji 2025), PMID 40421736</w:t>
            </w:r>
          </w:p>
        </w:tc>
        <w:tc>
          <w:tcPr/>
          <w:p>
            <w:pPr>
              <w:pStyle w:val="Compact"/>
              <w:jc w:val="left"/>
            </w:pPr>
            <w:r>
              <w:t xml:space="preserve">most common side effect</w:t>
            </w:r>
          </w:p>
        </w:tc>
        <w:tc>
          <w:tcPr/>
          <w:p>
            <w:pPr>
              <w:pStyle w:val="Compact"/>
              <w:jc w:val="left"/>
            </w:pPr>
            <w:r>
              <w:t xml:space="preserve">0.5–1.5% vs. 1.0%</w:t>
            </w:r>
          </w:p>
        </w:tc>
      </w:tr>
      <w:tr>
        <w:tc>
          <w:tcPr/>
          <w:p>
            <w:pPr>
              <w:pStyle w:val="Compact"/>
              <w:jc w:val="left"/>
            </w:pPr>
            <w:r>
              <w:t xml:space="preserve">Orforglipron</w:t>
            </w:r>
          </w:p>
        </w:tc>
        <w:tc>
          <w:tcPr/>
          <w:p>
            <w:pPr>
              <w:pStyle w:val="Compact"/>
              <w:jc w:val="left"/>
            </w:pPr>
            <w:r>
              <w:t xml:space="preserve">ATTAIN-1 (Wharton 2025), PMID 40960239</w:t>
            </w:r>
          </w:p>
        </w:tc>
        <w:tc>
          <w:tcPr/>
          <w:p>
            <w:pPr>
              <w:pStyle w:val="Compact"/>
              <w:jc w:val="left"/>
            </w:pPr>
            <w:r>
              <w:t xml:space="preserve">most common side effect</w:t>
            </w:r>
          </w:p>
        </w:tc>
        <w:tc>
          <w:tcPr/>
          <w:p>
            <w:pPr>
              <w:pStyle w:val="Compact"/>
              <w:jc w:val="left"/>
            </w:pPr>
            <w:r>
              <w:t xml:space="preserve">5.3–10.3% vs. 2.7%</w:t>
            </w:r>
          </w:p>
        </w:tc>
      </w:tr>
    </w:tbl>
    <w:p>
      <w:pPr>
        <w:pStyle w:val="BodyText"/>
      </w:pPr>
      <w:r>
        <w:t xml:space="preserve">Some observations:</w:t>
      </w:r>
    </w:p>
    <w:p>
      <w:pPr>
        <w:numPr>
          <w:ilvl w:val="0"/>
          <w:numId w:val="1327"/>
        </w:numPr>
        <w:pStyle w:val="Compact"/>
      </w:pPr>
      <w:r>
        <w:rPr>
          <w:bCs/>
          <w:b/>
        </w:rPr>
        <w:t xml:space="preserve">Weekly formulations are usually better tolerated than older forms.</w:t>
      </w:r>
      <w:r>
        <w:t xml:space="preserve"> </w:t>
      </w:r>
      <w:r>
        <w:t xml:space="preserve">In DURATION-6, 9% had nausea on weekly exenatide versus 21% on daily liraglutide</w:t>
      </w:r>
      <w:r>
        <w:rPr>
          <w:rStyle w:val="FootnoteReference"/>
        </w:rPr>
        <w:footnoteReference w:id="2564"/>
      </w:r>
      <w:r>
        <w:t xml:space="preserve">. In STEP 8, 27.6% stopped liraglutide early, for whatever reason, compared with 13.5% on semaglutide; gastrointestinal complaints were similarly frequent in both groups (82.7% vs. 84.1%)</w:t>
      </w:r>
      <w:r>
        <w:rPr>
          <w:rStyle w:val="FootnoteReference"/>
        </w:rPr>
        <w:footnoteReference w:id="2565"/>
      </w:r>
      <w:r>
        <w:t xml:space="preserve">.</w:t>
      </w:r>
    </w:p>
    <w:p>
      <w:pPr>
        <w:numPr>
          <w:ilvl w:val="0"/>
          <w:numId w:val="1327"/>
        </w:numPr>
        <w:pStyle w:val="Compact"/>
      </w:pPr>
      <w:r>
        <w:rPr>
          <w:bCs/>
          <w:b/>
        </w:rPr>
        <w:t xml:space="preserve">Greater efficacy does not necessarily come with more complaints.</w:t>
      </w:r>
      <w:r>
        <w:t xml:space="preserve"> </w:t>
      </w:r>
      <w:r>
        <w:t xml:space="preserve">In SURPASS-2, nausea (17–22% vs. 18%) and vomiting (6–10% vs. 8%) were similarly frequent with tirzepatide and semaglutide; serious adverse events occurred in 5–7% with tirzepatide versus 3%</w:t>
      </w:r>
      <w:r>
        <w:rPr>
          <w:rStyle w:val="FootnoteReference"/>
        </w:rPr>
        <w:footnoteReference w:id="2566"/>
      </w:r>
      <w:r>
        <w:t xml:space="preserve">. In REDEFINE 5, 53% on CagriSema and 51% on semaglutide had gastrointestinal complaints</w:t>
      </w:r>
      <w:r>
        <w:rPr>
          <w:rStyle w:val="FootnoteReference"/>
        </w:rPr>
        <w:footnoteReference w:id="2567"/>
      </w:r>
      <w:r>
        <w:t xml:space="preserve">.</w:t>
      </w:r>
    </w:p>
    <w:p>
      <w:pPr>
        <w:numPr>
          <w:ilvl w:val="0"/>
          <w:numId w:val="1327"/>
        </w:numPr>
        <w:pStyle w:val="Compact"/>
      </w:pPr>
      <w:r>
        <w:rPr>
          <w:bCs/>
          <w:b/>
        </w:rPr>
        <w:t xml:space="preserve">With the multi-agonists, discontinuations rise at high doses.</w:t>
      </w:r>
      <w:r>
        <w:t xml:space="preserve"> </w:t>
      </w:r>
      <w:r>
        <w:t xml:space="preserve">With retatrutide, abnormal skin sensations (dysesthesia) also occurred in 4–7% versus 1% on placebo – a new signal for this class. In a US phase 2 trial of mazdutide, 20% at the highest dose discontinued due to side effects</w:t>
      </w:r>
      <w:r>
        <w:rPr>
          <w:rStyle w:val="FootnoteReference"/>
        </w:rPr>
        <w:footnoteReference w:id="2568"/>
      </w:r>
      <w:r>
        <w:t xml:space="preserve">.</w:t>
      </w:r>
    </w:p>
    <w:p>
      <w:pPr>
        <w:numPr>
          <w:ilvl w:val="0"/>
          <w:numId w:val="1327"/>
        </w:numPr>
        <w:pStyle w:val="Compact"/>
      </w:pPr>
      <w:r>
        <w:rPr>
          <w:bCs/>
          <w:b/>
        </w:rPr>
        <w:t xml:space="preserve">Long-term studies show higher discontinuation rates than short studies.</w:t>
      </w:r>
      <w:r>
        <w:t xml:space="preserve"> </w:t>
      </w:r>
      <w:r>
        <w:t xml:space="preserve">The 16.6% in SELECT over more than three years is a more realistic guide for long-term treatment than the values from 68- or 72-week approval trials.</w:t>
      </w:r>
    </w:p>
    <w:p>
      <w:pPr>
        <w:pStyle w:val="FirstParagraph"/>
      </w:pPr>
      <w:r>
        <w:rPr>
          <w:bCs/>
          <w:b/>
        </w:rPr>
        <w:t xml:space="preserve">Class risks that affect all agents:</w:t>
      </w:r>
    </w:p>
    <w:p>
      <w:pPr>
        <w:numPr>
          <w:ilvl w:val="0"/>
          <w:numId w:val="1328"/>
        </w:numPr>
        <w:pStyle w:val="Compact"/>
      </w:pPr>
      <w:r>
        <w:rPr>
          <w:bCs/>
          <w:b/>
        </w:rPr>
        <w:t xml:space="preserve">Gallbladder:</w:t>
      </w:r>
      <w:r>
        <w:t xml:space="preserve"> </w:t>
      </w:r>
      <w:r>
        <w:t xml:space="preserve">A meta-analysis of 76 randomized trials with 103,371 participants found a 37% increased risk of gallbladder and biliary disease, and in weight-loss trials a more than twofold risk (relative risk 2.29; He 2022, PMID 35344001).</w:t>
      </w:r>
    </w:p>
    <w:p>
      <w:pPr>
        <w:numPr>
          <w:ilvl w:val="0"/>
          <w:numId w:val="1328"/>
        </w:numPr>
        <w:pStyle w:val="Compact"/>
      </w:pPr>
      <w:r>
        <w:rPr>
          <w:bCs/>
          <w:b/>
        </w:rPr>
        <w:t xml:space="preserve">Pancreas:</w:t>
      </w:r>
      <w:r>
        <w:t xml:space="preserve"> </w:t>
      </w:r>
      <w:r>
        <w:t xml:space="preserve">In the meta-analysis of the outcome trials, no increased risk of pancreatitis or pancreatic cancer</w:t>
      </w:r>
      <w:r>
        <w:rPr>
          <w:rStyle w:val="FootnoteReference"/>
        </w:rPr>
        <w:footnoteReference w:id="2569"/>
      </w:r>
      <w:r>
        <w:t xml:space="preserve">; in insurance data, a signal with use for weight loss</w:t>
      </w:r>
      <w:r>
        <w:rPr>
          <w:rStyle w:val="FootnoteReference"/>
        </w:rPr>
        <w:footnoteReference w:id="2570"/>
      </w:r>
      <w:r>
        <w:t xml:space="preserve">.</w:t>
      </w:r>
    </w:p>
    <w:p>
      <w:pPr>
        <w:numPr>
          <w:ilvl w:val="0"/>
          <w:numId w:val="1328"/>
        </w:numPr>
        <w:pStyle w:val="Compact"/>
      </w:pPr>
      <w:r>
        <w:rPr>
          <w:bCs/>
          <w:b/>
        </w:rPr>
        <w:t xml:space="preserve">Thyroid:</w:t>
      </w:r>
      <w:r>
        <w:t xml:space="preserve"> </w:t>
      </w:r>
      <w:r>
        <w:t xml:space="preserve">C-cell tumors in rodents; in humans, a signal in meta-analyses and observational studies</w:t>
      </w:r>
      <w:r>
        <w:rPr>
          <w:rStyle w:val="FootnoteReference"/>
        </w:rPr>
        <w:footnoteReference w:id="2571"/>
      </w:r>
      <w:r>
        <w:t xml:space="preserve"> </w:t>
      </w:r>
      <w:r>
        <w:t xml:space="preserve">whose significance is disputed.</w:t>
      </w:r>
    </w:p>
    <w:p>
      <w:pPr>
        <w:numPr>
          <w:ilvl w:val="0"/>
          <w:numId w:val="1328"/>
        </w:numPr>
        <w:pStyle w:val="Compact"/>
      </w:pPr>
      <w:r>
        <w:rPr>
          <w:bCs/>
          <w:b/>
        </w:rPr>
        <w:t xml:space="preserve">Eyes:</w:t>
      </w:r>
      <w:r>
        <w:t xml:space="preserve"> </w:t>
      </w:r>
      <w:r>
        <w:t xml:space="preserve">Worsening of existing diabetic retinopathy in SUSTAIN 6 (HR 1.76; Marso 2016, PMID 27633186); a rare signal for a circulatory disorder of the optic nerve (NAION) in observational studies</w:t>
      </w:r>
      <w:r>
        <w:rPr>
          <w:rStyle w:val="FootnoteReference"/>
        </w:rPr>
        <w:footnoteReference w:id="2572"/>
      </w:r>
      <w:r>
        <w:t xml:space="preserve">.</w:t>
      </w:r>
    </w:p>
    <w:p>
      <w:pPr>
        <w:numPr>
          <w:ilvl w:val="0"/>
          <w:numId w:val="1328"/>
        </w:numPr>
        <w:pStyle w:val="Compact"/>
      </w:pPr>
      <w:r>
        <w:rPr>
          <w:bCs/>
          <w:b/>
        </w:rPr>
        <w:t xml:space="preserve">Muscle mass:</w:t>
      </w:r>
      <w:r>
        <w:t xml:space="preserve"> </w:t>
      </w:r>
      <w:r>
        <w:t xml:space="preserve">About a quarter of the weight lost is fat-free mass, in the same proportion as with other weight loss</w:t>
      </w:r>
      <w:r>
        <w:rPr>
          <w:rStyle w:val="FootnoteReference"/>
        </w:rPr>
        <w:footnoteReference w:id="2573"/>
      </w:r>
      <w:r>
        <w:t xml:space="preserve">.</w:t>
      </w:r>
    </w:p>
    <w:bookmarkEnd w:id="2574"/>
    <w:bookmarkStart w:id="2577" w:name="head-to-head-trials"/>
    <w:p>
      <w:pPr>
        <w:pStyle w:val="Heading3"/>
      </w:pPr>
      <w:r>
        <w:t xml:space="preserve">Head-to-head trials</w:t>
      </w:r>
    </w:p>
    <w:p>
      <w:pPr>
        <w:pStyle w:val="FirstParagraph"/>
      </w:pPr>
      <w:r>
        <w:t xml:space="preserve">The following table contains randomized trials in which two agents of the class were compared directly against each other. Only here are differences between agents methodologically sound. Many of these trials were open-label (not blinded) and funded by the manufacturer of the newer agent, and the highest approved dose of the comparator was not always used.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Comparison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SURMOUNT-5 (Aronne 2025), PMID 40353578</w:t>
            </w:r>
          </w:p>
        </w:tc>
        <w:tc>
          <w:tcPr/>
          <w:p>
            <w:pPr>
              <w:pStyle w:val="Compact"/>
              <w:jc w:val="left"/>
            </w:pPr>
            <w:r>
              <w:t xml:space="preserve">Tirzepatide vs. semaglutide 2.4 mg, obesity, open-label</w:t>
            </w:r>
          </w:p>
        </w:tc>
        <w:tc>
          <w:tcPr/>
          <w:p>
            <w:pPr>
              <w:pStyle w:val="Compact"/>
              <w:jc w:val="left"/>
            </w:pPr>
            <w:r>
              <w:t xml:space="preserve">72 weeks</w:t>
            </w:r>
          </w:p>
        </w:tc>
        <w:tc>
          <w:tcPr/>
          <w:p>
            <w:pPr>
              <w:pStyle w:val="Compact"/>
              <w:jc w:val="left"/>
            </w:pPr>
            <w:r>
              <w:t xml:space="preserve">weight −20.2% vs. −13.7%</w:t>
            </w:r>
          </w:p>
        </w:tc>
      </w:tr>
      <w:tr>
        <w:tc>
          <w:tcPr/>
          <w:p>
            <w:pPr>
              <w:pStyle w:val="Compact"/>
              <w:jc w:val="left"/>
            </w:pPr>
            <w:r>
              <w:t xml:space="preserve">STEP 8 (Rubino 2022), PMID 35015037</w:t>
            </w:r>
          </w:p>
        </w:tc>
        <w:tc>
          <w:tcPr/>
          <w:p>
            <w:pPr>
              <w:pStyle w:val="Compact"/>
              <w:jc w:val="left"/>
            </w:pPr>
            <w:r>
              <w:t xml:space="preserve">Semaglutide 2.4 mg vs. liraglutide 3.0 mg, obesity</w:t>
            </w:r>
          </w:p>
        </w:tc>
        <w:tc>
          <w:tcPr/>
          <w:p>
            <w:pPr>
              <w:pStyle w:val="Compact"/>
              <w:jc w:val="left"/>
            </w:pPr>
            <w:r>
              <w:t xml:space="preserve">68 weeks</w:t>
            </w:r>
          </w:p>
        </w:tc>
        <w:tc>
          <w:tcPr/>
          <w:p>
            <w:pPr>
              <w:pStyle w:val="Compact"/>
              <w:jc w:val="left"/>
            </w:pPr>
            <w:r>
              <w:t xml:space="preserve">weight −15.8% vs. −6.4%</w:t>
            </w:r>
          </w:p>
        </w:tc>
      </w:tr>
      <w:tr>
        <w:tc>
          <w:tcPr/>
          <w:p>
            <w:pPr>
              <w:pStyle w:val="Compact"/>
              <w:jc w:val="left"/>
            </w:pPr>
            <w:r>
              <w:t xml:space="preserve">REDEFINE 5 (Yamauchi 2026), PMID 42009015</w:t>
            </w:r>
          </w:p>
        </w:tc>
        <w:tc>
          <w:tcPr/>
          <w:p>
            <w:pPr>
              <w:pStyle w:val="Compact"/>
              <w:jc w:val="left"/>
            </w:pPr>
            <w:r>
              <w:t xml:space="preserve">CagriSema vs. semaglutide 2.4 mg, Japan and Taiwan, blinded</w:t>
            </w:r>
          </w:p>
        </w:tc>
        <w:tc>
          <w:tcPr/>
          <w:p>
            <w:pPr>
              <w:pStyle w:val="Compact"/>
              <w:jc w:val="left"/>
            </w:pPr>
            <w:r>
              <w:t xml:space="preserve">68 weeks</w:t>
            </w:r>
          </w:p>
        </w:tc>
        <w:tc>
          <w:tcPr/>
          <w:p>
            <w:pPr>
              <w:pStyle w:val="Compact"/>
              <w:jc w:val="left"/>
            </w:pPr>
            <w:r>
              <w:t xml:space="preserve">weight −18.4% vs. −11.9%</w:t>
            </w:r>
          </w:p>
        </w:tc>
      </w:tr>
      <w:tr>
        <w:tc>
          <w:tcPr/>
          <w:p>
            <w:pPr>
              <w:pStyle w:val="Compact"/>
              <w:jc w:val="left"/>
            </w:pPr>
            <w:r>
              <w:t xml:space="preserve">SURPASS-2 (Frías 2021), PMID 34170647</w:t>
            </w:r>
          </w:p>
        </w:tc>
        <w:tc>
          <w:tcPr/>
          <w:p>
            <w:pPr>
              <w:pStyle w:val="Compact"/>
              <w:jc w:val="left"/>
            </w:pPr>
            <w:r>
              <w:t xml:space="preserve">Tirzepatide vs. semaglutide 1 mg, type 2 diabetes, open-label</w:t>
            </w:r>
          </w:p>
        </w:tc>
        <w:tc>
          <w:tcPr/>
          <w:p>
            <w:pPr>
              <w:pStyle w:val="Compact"/>
              <w:jc w:val="left"/>
            </w:pPr>
            <w:r>
              <w:t xml:space="preserve">40 weeks</w:t>
            </w:r>
          </w:p>
        </w:tc>
        <w:tc>
          <w:tcPr/>
          <w:p>
            <w:pPr>
              <w:pStyle w:val="Compact"/>
              <w:jc w:val="left"/>
            </w:pPr>
            <w:r>
              <w:t xml:space="preserve">HbA1c −2.01 to −2.30 vs. −1.86; additional weight −1.9 to −5.5 kg</w:t>
            </w:r>
          </w:p>
        </w:tc>
      </w:tr>
      <w:tr>
        <w:tc>
          <w:tcPr/>
          <w:p>
            <w:pPr>
              <w:pStyle w:val="Compact"/>
              <w:jc w:val="left"/>
            </w:pPr>
            <w:r>
              <w:t xml:space="preserve">REIMAGINE 2 (Buse 2026), PMID 42251859</w:t>
            </w:r>
          </w:p>
        </w:tc>
        <w:tc>
          <w:tcPr/>
          <w:p>
            <w:pPr>
              <w:pStyle w:val="Compact"/>
              <w:jc w:val="left"/>
            </w:pPr>
            <w:r>
              <w:t xml:space="preserve">CagriSema vs. semaglutide 2.4 mg, type 2 diabetes</w:t>
            </w:r>
          </w:p>
        </w:tc>
        <w:tc>
          <w:tcPr/>
          <w:p>
            <w:pPr>
              <w:pStyle w:val="Compact"/>
              <w:jc w:val="left"/>
            </w:pPr>
            <w:r>
              <w:t xml:space="preserve">68 weeks</w:t>
            </w:r>
          </w:p>
        </w:tc>
        <w:tc>
          <w:tcPr/>
          <w:p>
            <w:pPr>
              <w:pStyle w:val="Compact"/>
              <w:jc w:val="left"/>
            </w:pPr>
            <w:r>
              <w:t xml:space="preserve">HbA1c −1.91 vs. −1.75</w:t>
            </w:r>
          </w:p>
        </w:tc>
      </w:tr>
      <w:tr>
        <w:tc>
          <w:tcPr/>
          <w:p>
            <w:pPr>
              <w:pStyle w:val="Compact"/>
              <w:jc w:val="left"/>
            </w:pPr>
            <w:r>
              <w:t xml:space="preserve">ACHIEVE-3 (Rosenstock 2026), PMID 41765029</w:t>
            </w:r>
          </w:p>
        </w:tc>
        <w:tc>
          <w:tcPr/>
          <w:p>
            <w:pPr>
              <w:pStyle w:val="Compact"/>
              <w:jc w:val="left"/>
            </w:pPr>
            <w:r>
              <w:t xml:space="preserve">Orforglipron vs. semaglutide tablet, open-label</w:t>
            </w:r>
          </w:p>
        </w:tc>
        <w:tc>
          <w:tcPr/>
          <w:p>
            <w:pPr>
              <w:pStyle w:val="Compact"/>
              <w:jc w:val="left"/>
            </w:pPr>
            <w:r>
              <w:t xml:space="preserve">52 weeks</w:t>
            </w:r>
          </w:p>
        </w:tc>
        <w:tc>
          <w:tcPr/>
          <w:p>
            <w:pPr>
              <w:pStyle w:val="Compact"/>
              <w:jc w:val="left"/>
            </w:pPr>
            <w:r>
              <w:t xml:space="preserve">HbA1c −1.91 vs. −1.47 (higher dose of each)</w:t>
            </w:r>
          </w:p>
        </w:tc>
      </w:tr>
      <w:tr>
        <w:tc>
          <w:tcPr/>
          <w:p>
            <w:pPr>
              <w:pStyle w:val="Compact"/>
              <w:jc w:val="left"/>
            </w:pPr>
            <w:r>
              <w:t xml:space="preserve">SUSTAIN 7 (Pratley 2018), PMID 29397376</w:t>
            </w:r>
          </w:p>
        </w:tc>
        <w:tc>
          <w:tcPr/>
          <w:p>
            <w:pPr>
              <w:pStyle w:val="Compact"/>
              <w:jc w:val="left"/>
            </w:pPr>
            <w:r>
              <w:t xml:space="preserve">Semaglutide vs. dulaglutide</w:t>
            </w:r>
          </w:p>
        </w:tc>
        <w:tc>
          <w:tcPr/>
          <w:p>
            <w:pPr>
              <w:pStyle w:val="Compact"/>
              <w:jc w:val="left"/>
            </w:pPr>
            <w:r>
              <w:t xml:space="preserve">40 weeks</w:t>
            </w:r>
          </w:p>
        </w:tc>
        <w:tc>
          <w:tcPr/>
          <w:p>
            <w:pPr>
              <w:pStyle w:val="Compact"/>
              <w:jc w:val="left"/>
            </w:pPr>
            <w:r>
              <w:t xml:space="preserve">HbA1c −1.8 vs. −1.4; weight −6.5 vs. −3.0 kg</w:t>
            </w:r>
          </w:p>
        </w:tc>
      </w:tr>
      <w:tr>
        <w:tc>
          <w:tcPr/>
          <w:p>
            <w:pPr>
              <w:pStyle w:val="Compact"/>
              <w:jc w:val="left"/>
            </w:pPr>
            <w:r>
              <w:t xml:space="preserve">SUSTAIN 10 (Capehorn 2020), PMID 31539622</w:t>
            </w:r>
          </w:p>
        </w:tc>
        <w:tc>
          <w:tcPr/>
          <w:p>
            <w:pPr>
              <w:pStyle w:val="Compact"/>
              <w:jc w:val="left"/>
            </w:pPr>
            <w:r>
              <w:t xml:space="preserve">Semaglutide 1.0 mg vs. liraglutide 1.2 mg</w:t>
            </w:r>
          </w:p>
        </w:tc>
        <w:tc>
          <w:tcPr/>
          <w:p>
            <w:pPr>
              <w:pStyle w:val="Compact"/>
              <w:jc w:val="left"/>
            </w:pPr>
            <w:r>
              <w:t xml:space="preserve">30 weeks</w:t>
            </w:r>
          </w:p>
        </w:tc>
        <w:tc>
          <w:tcPr/>
          <w:p>
            <w:pPr>
              <w:pStyle w:val="Compact"/>
              <w:jc w:val="left"/>
            </w:pPr>
            <w:r>
              <w:t xml:space="preserve">HbA1c −1.7 vs. −1.0; weight −5.8 vs. −1.9 kg</w:t>
            </w:r>
          </w:p>
        </w:tc>
      </w:tr>
      <w:tr>
        <w:tc>
          <w:tcPr/>
          <w:p>
            <w:pPr>
              <w:pStyle w:val="Compact"/>
              <w:jc w:val="left"/>
            </w:pPr>
            <w:r>
              <w:t xml:space="preserve">SUSTAIN 3 (Ahmann 2018), PMID 29246950</w:t>
            </w:r>
          </w:p>
        </w:tc>
        <w:tc>
          <w:tcPr/>
          <w:p>
            <w:pPr>
              <w:pStyle w:val="Compact"/>
              <w:jc w:val="left"/>
            </w:pPr>
            <w:r>
              <w:t xml:space="preserve">Semaglutide vs. exenatide weekly, open-label</w:t>
            </w:r>
          </w:p>
        </w:tc>
        <w:tc>
          <w:tcPr/>
          <w:p>
            <w:pPr>
              <w:pStyle w:val="Compact"/>
              <w:jc w:val="left"/>
            </w:pPr>
            <w:r>
              <w:t xml:space="preserve">56 weeks</w:t>
            </w:r>
          </w:p>
        </w:tc>
        <w:tc>
          <w:tcPr/>
          <w:p>
            <w:pPr>
              <w:pStyle w:val="Compact"/>
              <w:jc w:val="left"/>
            </w:pPr>
            <w:r>
              <w:t xml:space="preserve">HbA1c −1.5 vs. −0.9; weight −5.6 vs. −1.9 kg</w:t>
            </w:r>
          </w:p>
        </w:tc>
      </w:tr>
      <w:tr>
        <w:tc>
          <w:tcPr/>
          <w:p>
            <w:pPr>
              <w:pStyle w:val="Compact"/>
              <w:jc w:val="left"/>
            </w:pPr>
            <w:r>
              <w:t xml:space="preserve">PIONEER 4 (Pratley 2019), PMID 31186120</w:t>
            </w:r>
          </w:p>
        </w:tc>
        <w:tc>
          <w:tcPr/>
          <w:p>
            <w:pPr>
              <w:pStyle w:val="Compact"/>
              <w:jc w:val="left"/>
            </w:pPr>
            <w:r>
              <w:t xml:space="preserve">Semaglutide tablet vs. liraglutide injection</w:t>
            </w:r>
          </w:p>
        </w:tc>
        <w:tc>
          <w:tcPr/>
          <w:p>
            <w:pPr>
              <w:pStyle w:val="Compact"/>
              <w:jc w:val="left"/>
            </w:pPr>
            <w:r>
              <w:t xml:space="preserve">26 weeks (study 52)</w:t>
            </w:r>
          </w:p>
        </w:tc>
        <w:tc>
          <w:tcPr/>
          <w:p>
            <w:pPr>
              <w:pStyle w:val="Compact"/>
              <w:jc w:val="left"/>
            </w:pPr>
            <w:r>
              <w:t xml:space="preserve">HbA1c −1.2 vs. −1.1 (non-inferior)</w:t>
            </w:r>
          </w:p>
        </w:tc>
      </w:tr>
      <w:tr>
        <w:tc>
          <w:tcPr/>
          <w:p>
            <w:pPr>
              <w:pStyle w:val="Compact"/>
              <w:jc w:val="left"/>
            </w:pPr>
            <w:r>
              <w:t xml:space="preserve">AWARD-6 (Dungan 2014), PMID 25018121</w:t>
            </w:r>
          </w:p>
        </w:tc>
        <w:tc>
          <w:tcPr/>
          <w:p>
            <w:pPr>
              <w:pStyle w:val="Compact"/>
              <w:jc w:val="left"/>
            </w:pPr>
            <w:r>
              <w:t xml:space="preserve">Dulaglutide vs. liraglutide 1.8 mg, open-label</w:t>
            </w:r>
          </w:p>
        </w:tc>
        <w:tc>
          <w:tcPr/>
          <w:p>
            <w:pPr>
              <w:pStyle w:val="Compact"/>
              <w:jc w:val="left"/>
            </w:pPr>
            <w:r>
              <w:t xml:space="preserve">26 weeks</w:t>
            </w:r>
          </w:p>
        </w:tc>
        <w:tc>
          <w:tcPr/>
          <w:p>
            <w:pPr>
              <w:pStyle w:val="Compact"/>
              <w:jc w:val="left"/>
            </w:pPr>
            <w:r>
              <w:t xml:space="preserve">HbA1c −1.42 vs. −1.36, equivalent</w:t>
            </w:r>
          </w:p>
        </w:tc>
      </w:tr>
      <w:tr>
        <w:tc>
          <w:tcPr/>
          <w:p>
            <w:pPr>
              <w:pStyle w:val="Compact"/>
              <w:jc w:val="left"/>
            </w:pPr>
            <w:r>
              <w:t xml:space="preserve">DURATION-6 (Buse 2013), PMID 23141817</w:t>
            </w:r>
          </w:p>
        </w:tc>
        <w:tc>
          <w:tcPr/>
          <w:p>
            <w:pPr>
              <w:pStyle w:val="Compact"/>
              <w:jc w:val="left"/>
            </w:pPr>
            <w:r>
              <w:t xml:space="preserve">Exenatide weekly vs. liraglutide, open-label</w:t>
            </w:r>
          </w:p>
        </w:tc>
        <w:tc>
          <w:tcPr/>
          <w:p>
            <w:pPr>
              <w:pStyle w:val="Compact"/>
              <w:jc w:val="left"/>
            </w:pPr>
            <w:r>
              <w:t xml:space="preserve">26 weeks</w:t>
            </w:r>
          </w:p>
        </w:tc>
        <w:tc>
          <w:tcPr/>
          <w:p>
            <w:pPr>
              <w:pStyle w:val="Compact"/>
              <w:jc w:val="left"/>
            </w:pPr>
            <w:r>
              <w:t xml:space="preserve">HbA1c −1.28 vs. −1.48; non-inferiority missed</w:t>
            </w:r>
          </w:p>
        </w:tc>
      </w:tr>
      <w:tr>
        <w:tc>
          <w:tcPr/>
          <w:p>
            <w:pPr>
              <w:pStyle w:val="Compact"/>
              <w:jc w:val="left"/>
            </w:pPr>
            <w:r>
              <w:t xml:space="preserve">DREAMS-2 (Guo 2026), PMID 41407860</w:t>
            </w:r>
          </w:p>
        </w:tc>
        <w:tc>
          <w:tcPr/>
          <w:p>
            <w:pPr>
              <w:pStyle w:val="Compact"/>
              <w:jc w:val="left"/>
            </w:pPr>
            <w:r>
              <w:t xml:space="preserve">Mazdutide vs. dulaglutide 1.5 mg, China</w:t>
            </w:r>
          </w:p>
        </w:tc>
        <w:tc>
          <w:tcPr/>
          <w:p>
            <w:pPr>
              <w:pStyle w:val="Compact"/>
              <w:jc w:val="left"/>
            </w:pPr>
            <w:r>
              <w:t xml:space="preserve">28 weeks</w:t>
            </w:r>
          </w:p>
        </w:tc>
        <w:tc>
          <w:tcPr/>
          <w:p>
            <w:pPr>
              <w:pStyle w:val="Compact"/>
              <w:jc w:val="left"/>
            </w:pPr>
            <w:r>
              <w:t xml:space="preserve">HbA1c additional −0.24 / −0.30</w:t>
            </w:r>
          </w:p>
        </w:tc>
      </w:tr>
      <w:tr>
        <w:tc>
          <w:tcPr/>
          <w:p>
            <w:pPr>
              <w:pStyle w:val="Compact"/>
              <w:jc w:val="left"/>
            </w:pPr>
            <w:r>
              <w:t xml:space="preserve">SURPASS-CVOT (Nicholls 2025), PMID 41406444</w:t>
            </w:r>
          </w:p>
        </w:tc>
        <w:tc>
          <w:tcPr/>
          <w:p>
            <w:pPr>
              <w:pStyle w:val="Compact"/>
              <w:jc w:val="left"/>
            </w:pPr>
            <w:r>
              <w:t xml:space="preserve">Tirzepatide vs. dulaglutide, cardiovascular events</w:t>
            </w:r>
          </w:p>
        </w:tc>
        <w:tc>
          <w:tcPr/>
          <w:p>
            <w:pPr>
              <w:pStyle w:val="Compact"/>
              <w:jc w:val="left"/>
            </w:pPr>
            <w:r>
              <w:t xml:space="preserve">several years</w:t>
            </w:r>
          </w:p>
        </w:tc>
        <w:tc>
          <w:tcPr/>
          <w:p>
            <w:pPr>
              <w:pStyle w:val="Compact"/>
              <w:jc w:val="left"/>
            </w:pPr>
            <w:r>
              <w:t xml:space="preserve">HR 0.92, non-inferior</w:t>
            </w:r>
          </w:p>
        </w:tc>
      </w:tr>
    </w:tbl>
    <w:p>
      <w:pPr>
        <w:pStyle w:val="BodyText"/>
      </w:pPr>
      <w:r>
        <w:rPr>
          <w:bCs/>
          <w:b/>
        </w:rPr>
        <w:t xml:space="preserve">What the head-to-head trials show:</w:t>
      </w:r>
    </w:p>
    <w:p>
      <w:pPr>
        <w:numPr>
          <w:ilvl w:val="0"/>
          <w:numId w:val="1329"/>
        </w:numPr>
        <w:pStyle w:val="Compact"/>
      </w:pPr>
      <w:r>
        <w:rPr>
          <w:bCs/>
          <w:b/>
        </w:rPr>
        <w:t xml:space="preserve">For weight, the ranking is clear.</w:t>
      </w:r>
      <w:r>
        <w:t xml:space="preserve"> </w:t>
      </w:r>
      <w:r>
        <w:t xml:space="preserve">Semaglutide 2.4 mg outperformed liraglutide 3.0 mg by 9.4 percentage points (STEP 8), tirzepatide outperformed semaglutide 2.4 mg by 6.5 percentage points (SURMOUNT-5), and CagriSema outperformed semaglutide 2.4 mg in East Asia, likewise by 6.5 percentage points (REDEFINE 5). In SURMOUNT-5, more participants on tirzepatide reached each of the thresholds of 10, 15, 20, and 25%, and waist circumference decreased by 18.4 cm versus 13.0 cm.</w:t>
      </w:r>
    </w:p>
    <w:p>
      <w:pPr>
        <w:numPr>
          <w:ilvl w:val="0"/>
          <w:numId w:val="1329"/>
        </w:numPr>
        <w:pStyle w:val="Compact"/>
      </w:pPr>
      <w:r>
        <w:rPr>
          <w:bCs/>
          <w:b/>
        </w:rPr>
        <w:t xml:space="preserve">For blood sugar, the gaps are smaller.</w:t>
      </w:r>
      <w:r>
        <w:t xml:space="preserve"> </w:t>
      </w:r>
      <w:r>
        <w:t xml:space="preserve">Between the weekly GLP-1 agonists there are usually only tenths of a point; tirzepatide lowered HbA1c in SURPASS-2 by 0.15 to 0.45 percentage points more than semaglutide 1 mg.</w:t>
      </w:r>
    </w:p>
    <w:p>
      <w:pPr>
        <w:numPr>
          <w:ilvl w:val="0"/>
          <w:numId w:val="1329"/>
        </w:numPr>
        <w:pStyle w:val="Compact"/>
      </w:pPr>
      <w:r>
        <w:rPr>
          <w:bCs/>
          <w:b/>
        </w:rPr>
        <w:t xml:space="preserve">For hard endpoints, there has so far been only one head-to-head comparison.</w:t>
      </w:r>
      <w:r>
        <w:t xml:space="preserve"> </w:t>
      </w:r>
      <w:r>
        <w:t xml:space="preserve">SURPASS-CVOT showed that tirzepatide is non-inferior to dulaglutide; superiority was not demonstrated.</w:t>
      </w:r>
    </w:p>
    <w:p>
      <w:pPr>
        <w:numPr>
          <w:ilvl w:val="0"/>
          <w:numId w:val="1329"/>
        </w:numPr>
        <w:pStyle w:val="Compact"/>
      </w:pPr>
      <w:r>
        <w:rPr>
          <w:bCs/>
          <w:b/>
        </w:rPr>
        <w:t xml:space="preserve">The limitations are considerable.</w:t>
      </w:r>
      <w:r>
        <w:t xml:space="preserve"> </w:t>
      </w:r>
      <w:r>
        <w:t xml:space="preserve">SURMOUNT-5 and SURPASS-2 were open-label and funded by the manufacturer of tirzepatide; SURPASS-2 used semaglutide only at the 1 mg dose. REDEFINE 5 was conducted exclusively in Japan and Taiwan. The differences in SURMOUNT-5, however, are so large that they can hardly be explained by these weaknesses alone.</w:t>
      </w:r>
    </w:p>
    <w:p>
      <w:pPr>
        <w:pStyle w:val="FirstParagraph"/>
      </w:pPr>
      <w:r>
        <w:rPr>
          <w:bCs/>
          <w:b/>
        </w:rPr>
        <w:t xml:space="preserve">Still pending (registered studies):</w:t>
      </w:r>
      <w:r>
        <w:t xml:space="preserve"> </w:t>
      </w:r>
      <w:r>
        <w:t xml:space="preserve">The direct comparison of retatrutide with tirzepatide in 800 adults with obesity</w:t>
      </w:r>
      <w:r>
        <w:rPr>
          <w:rStyle w:val="FootnoteReference"/>
        </w:rPr>
        <w:footnoteReference w:id="2575"/>
      </w:r>
      <w:r>
        <w:t xml:space="preserve"> </w:t>
      </w:r>
      <w:r>
        <w:t xml:space="preserve">is scheduled for completion at the end of 2026. The comparison trial of CagriSema versus tirzepatide in obesity (REDEFINE 4, NCT06131437) is completed according to the registry; a peer-reviewed publication was not available at the editorial deadline. Mazdutide is being tested against semaglutide in China</w:t>
      </w:r>
      <w:r>
        <w:rPr>
          <w:rStyle w:val="FootnoteReference"/>
        </w:rPr>
        <w:footnoteReference w:id="2576"/>
      </w:r>
      <w:r>
        <w:t xml:space="preserve">.</w:t>
      </w:r>
    </w:p>
    <w:bookmarkEnd w:id="2577"/>
    <w:bookmarkStart w:id="2578" w:name="conclusion-58"/>
    <w:p>
      <w:pPr>
        <w:pStyle w:val="Heading3"/>
      </w:pPr>
      <w:r>
        <w:t xml:space="preserve">Conclusion</w:t>
      </w:r>
    </w:p>
    <w:p>
      <w:pPr>
        <w:pStyle w:val="FirstParagraph"/>
      </w:pPr>
      <w:r>
        <w:t xml:space="preserve">The incretin drugs form a clear tiered pattern: for weight loss, the mean values in the approval trials range from around 8% (liraglutide) through just under 15% (semaglutide 2.4 mg) and around 20% (tirzepatide, CagriSema) to 25% (retatrutide), with the head-to-head trials confirming this order for the pairs compared so far. For the heart and kidneys, benefit has so far been demonstrated in placebo-controlled trials only for the older GLP-1 agonists and semaglutide; whether the more potent successors achieve more here remains open. Side effects are similar across the whole class and mainly affect the gastrointestinal tract; discontinuation rates rise with dose and treatment duration. Cross-trial comparisons between individual studies remain a rough guide – for choosing a drug in an individual case, the prescribing information and medical advice are what count.</w:t>
      </w:r>
    </w:p>
    <w:bookmarkEnd w:id="2578"/>
    <w:bookmarkEnd w:id="2579"/>
    <w:bookmarkStart w:id="2602" w:name="promises-versus-evidence"/>
    <w:p>
      <w:pPr>
        <w:pStyle w:val="Heading2"/>
      </w:pPr>
      <w:r>
        <w:t xml:space="preserve">Promises Versus Evidence</w:t>
      </w:r>
    </w:p>
    <w:p>
      <w:pPr>
        <w:pStyle w:val="FirstParagraph"/>
      </w:pPr>
      <w:r>
        <w:t xml:space="preserve">If you search the internet for peptides, you will quickly come across shops, videos, and forums in which certain substances are described in grand terms: they are said to repair tendons, slow aging, melt away fat, or sharpen memory. This chapter sets such typical advertising promises against what studies in humans have actually shown.</w:t>
      </w:r>
    </w:p>
    <w:p>
      <w:pPr>
        <w:pStyle w:val="BodyText"/>
      </w:pPr>
      <w:r>
        <w:t xml:space="preserve">The peptides selected are those most frequently advertised on German- and English-language websites in 2026. The promises are phrased in general terms and summarize recurring claims; they do not come from any specific seller. The column</w:t>
      </w:r>
      <w:r>
        <w:t xml:space="preserve"> </w:t>
      </w:r>
      <w:r>
        <w:t xml:space="preserve">“</w:t>
      </w:r>
      <w:r>
        <w:t xml:space="preserve">What human studies show</w:t>
      </w:r>
      <w:r>
        <w:t xml:space="preserve">”</w:t>
      </w:r>
      <w:r>
        <w:t xml:space="preserve"> </w:t>
      </w:r>
      <w:r>
        <w:t xml:space="preserve">is based on the chapters in Part II, where the sources are discussed in detail. Animal experiments and laboratory results are explicitly labeled as such.</w:t>
      </w:r>
    </w:p>
    <w:p>
      <w:pPr>
        <w:pStyle w:val="BodyText"/>
      </w:pPr>
      <w:r>
        <w:t xml:space="preserve">A preliminary remark: the fact that a benefit has not been demonstrated does not automatically mean that a substance is ineffective. It means that nobody knows – including the sellers who sell it. Likewise: for barely studied substances, the fact that no side effects have been published does not mean they are safe, only that nobody has systematically looked for them.</w:t>
      </w:r>
    </w:p>
    <w:bookmarkStart w:id="2580" w:name="the-most-popular-peptides-fact-checked"/>
    <w:p>
      <w:pPr>
        <w:pStyle w:val="Heading3"/>
      </w:pPr>
      <w:r>
        <w:t xml:space="preserve">The most popular peptides fact-checked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Typical advertising promise</w:t>
            </w:r>
          </w:p>
        </w:tc>
        <w:tc>
          <w:tcPr/>
          <w:p>
            <w:pPr>
              <w:pStyle w:val="Compact"/>
              <w:jc w:val="left"/>
            </w:pPr>
            <w:r>
              <w:t xml:space="preserve">What human studies show</w:t>
            </w:r>
          </w:p>
        </w:tc>
        <w:tc>
          <w:tcPr/>
          <w:p>
            <w:pPr>
              <w:pStyle w:val="Compact"/>
              <w:jc w:val="left"/>
            </w:pPr>
            <w:r>
              <w:t xml:space="preserve">Evidence</w:t>
            </w:r>
          </w:p>
        </w:tc>
      </w:tr>
      <w:tr>
        <w:tc>
          <w:tcPr/>
          <w:p>
            <w:pPr>
              <w:pStyle w:val="Compact"/>
              <w:jc w:val="left"/>
            </w:pPr>
            <w:r>
              <w:t xml:space="preserve">BPC-157</w:t>
            </w:r>
          </w:p>
        </w:tc>
        <w:tc>
          <w:tcPr/>
          <w:p>
            <w:pPr>
              <w:pStyle w:val="Compact"/>
              <w:jc w:val="left"/>
            </w:pPr>
            <w:r>
              <w:t xml:space="preserve">Speeds up healing of tendons, ligaments, muscles, and gut</w:t>
            </w:r>
          </w:p>
        </w:tc>
        <w:tc>
          <w:tcPr/>
          <w:p>
            <w:pPr>
              <w:pStyle w:val="Compact"/>
              <w:jc w:val="left"/>
            </w:pPr>
            <w:r>
              <w:t xml:space="preserve">Three uncontrolled studies with a total of 30 people (knee, bladder, tolerability); according to a systematic review, very low certainty of evidence (Poolton 2026, PMID 42885452). The many positive results come from animal experiments, predominantly from a single research group.</w:t>
            </w:r>
          </w:p>
        </w:tc>
        <w:tc>
          <w:tcPr/>
          <w:p>
            <w:pPr>
              <w:pStyle w:val="Compact"/>
              <w:jc w:val="left"/>
            </w:pPr>
            <w:r>
              <w:t xml:space="preserve">C</w:t>
            </w:r>
          </w:p>
        </w:tc>
      </w:tr>
      <w:tr>
        <w:tc>
          <w:tcPr/>
          <w:p>
            <w:pPr>
              <w:pStyle w:val="Compact"/>
              <w:jc w:val="left"/>
            </w:pPr>
            <w:r>
              <w:t xml:space="preserve">TB-500</w:t>
            </w:r>
          </w:p>
        </w:tc>
        <w:tc>
          <w:tcPr/>
          <w:p>
            <w:pPr>
              <w:pStyle w:val="Compact"/>
              <w:jc w:val="left"/>
            </w:pPr>
            <w:r>
              <w:t xml:space="preserve">Repairs tissue, tendons, and muscles, improves mobility</w:t>
            </w:r>
          </w:p>
        </w:tc>
        <w:tc>
          <w:tcPr/>
          <w:p>
            <w:pPr>
              <w:pStyle w:val="Compact"/>
              <w:jc w:val="left"/>
            </w:pPr>
            <w:r>
              <w:t xml:space="preserve">TB-500 has never been tested in a published human study. The full protein thymosin beta-4 did not significantly reduce overall infarct size after a heart attack (Zhang 2025, PMID 41229390). Gray-market products did not consistently contain what was stated (Delcourt 2023, PMID 36482504).</w:t>
            </w:r>
          </w:p>
        </w:tc>
        <w:tc>
          <w:tcPr/>
          <w:p>
            <w:pPr>
              <w:pStyle w:val="Compact"/>
              <w:jc w:val="left"/>
            </w:pPr>
            <w:r>
              <w:t xml:space="preserve">D (TB-500)</w:t>
            </w:r>
          </w:p>
        </w:tc>
      </w:tr>
      <w:tr>
        <w:tc>
          <w:tcPr/>
          <w:p>
            <w:pPr>
              <w:pStyle w:val="Compact"/>
              <w:jc w:val="left"/>
            </w:pPr>
            <w:r>
              <w:t xml:space="preserve">CJC-1295</w:t>
            </w:r>
          </w:p>
        </w:tc>
        <w:tc>
          <w:tcPr/>
          <w:p>
            <w:pPr>
              <w:pStyle w:val="Compact"/>
              <w:jc w:val="left"/>
            </w:pPr>
            <w:r>
              <w:t xml:space="preserve">Boosts growth hormone for muscle building, fat loss, and sleep</w:t>
            </w:r>
          </w:p>
        </w:tc>
        <w:tc>
          <w:tcPr/>
          <w:p>
            <w:pPr>
              <w:pStyle w:val="Compact"/>
              <w:jc w:val="left"/>
            </w:pPr>
            <w:r>
              <w:t xml:space="preserve">In healthy people, growth hormone and IGF-1 rose for about six to eleven days after a single injection (Teichman 2006, PMID 16352683). Whether this leads to any benefit was never studied. For the most commonly sold variant without</w:t>
            </w:r>
            <w:r>
              <w:t xml:space="preserve"> </w:t>
            </w:r>
            <w:r>
              <w:t xml:space="preserve">“</w:t>
            </w:r>
            <w:r>
              <w:t xml:space="preserve">DAC</w:t>
            </w:r>
            <w:r>
              <w:t xml:space="preserve">”</w:t>
            </w:r>
            <w:r>
              <w:t xml:space="preserve"> </w:t>
            </w:r>
            <w:r>
              <w:t xml:space="preserve">there is no human study.</w:t>
            </w:r>
          </w:p>
        </w:tc>
        <w:tc>
          <w:tcPr/>
          <w:p>
            <w:pPr>
              <w:pStyle w:val="Compact"/>
              <w:jc w:val="left"/>
            </w:pPr>
            <w:r>
              <w:t xml:space="preserve">C</w:t>
            </w:r>
          </w:p>
        </w:tc>
      </w:tr>
      <w:tr>
        <w:tc>
          <w:tcPr/>
          <w:p>
            <w:pPr>
              <w:pStyle w:val="Compact"/>
              <w:jc w:val="left"/>
            </w:pPr>
            <w:r>
              <w:t xml:space="preserve">Ipamorelin</w:t>
            </w:r>
          </w:p>
        </w:tc>
        <w:tc>
          <w:tcPr/>
          <w:p>
            <w:pPr>
              <w:pStyle w:val="Compact"/>
              <w:jc w:val="left"/>
            </w:pPr>
            <w:r>
              <w:t xml:space="preserve">Gentle growth hormone booster without side effects</w:t>
            </w:r>
          </w:p>
        </w:tc>
        <w:tc>
          <w:tcPr/>
          <w:p>
            <w:pPr>
              <w:pStyle w:val="Compact"/>
              <w:jc w:val="left"/>
            </w:pPr>
            <w:r>
              <w:t xml:space="preserve">Only published efficacy study: 117 people after bowel surgery, no significant benefit (Beck 2014, PMID 25331030). No human study on muscle, fat, sleep, or aging.</w:t>
            </w:r>
          </w:p>
        </w:tc>
        <w:tc>
          <w:tcPr/>
          <w:p>
            <w:pPr>
              <w:pStyle w:val="Compact"/>
              <w:jc w:val="left"/>
            </w:pPr>
            <w:r>
              <w:t xml:space="preserve">B</w:t>
            </w:r>
          </w:p>
        </w:tc>
      </w:tr>
      <w:tr>
        <w:tc>
          <w:tcPr/>
          <w:p>
            <w:pPr>
              <w:pStyle w:val="Compact"/>
              <w:jc w:val="left"/>
            </w:pPr>
            <w:r>
              <w:t xml:space="preserve">Epitalon</w:t>
            </w:r>
          </w:p>
        </w:tc>
        <w:tc>
          <w:tcPr/>
          <w:p>
            <w:pPr>
              <w:pStyle w:val="Compact"/>
              <w:jc w:val="left"/>
            </w:pPr>
            <w:r>
              <w:t xml:space="preserve">Lengthens telomeres and turns back the biological clock</w:t>
            </w:r>
          </w:p>
        </w:tc>
        <w:tc>
          <w:tcPr/>
          <w:p>
            <w:pPr>
              <w:pStyle w:val="Compact"/>
              <w:jc w:val="left"/>
            </w:pPr>
            <w:r>
              <w:t xml:space="preserve">Telomere lengthening only in cell cultures (Khavinson 2003, PMID 12937682). In mice, no longer average lifespan (Anisimov 2003, PMID 14501183). No sufficiently large randomized study in humans.</w:t>
            </w:r>
          </w:p>
        </w:tc>
        <w:tc>
          <w:tcPr/>
          <w:p>
            <w:pPr>
              <w:pStyle w:val="Compact"/>
              <w:jc w:val="left"/>
            </w:pPr>
            <w:r>
              <w:t xml:space="preserve">C</w:t>
            </w:r>
          </w:p>
        </w:tc>
      </w:tr>
      <w:tr>
        <w:tc>
          <w:tcPr/>
          <w:p>
            <w:pPr>
              <w:pStyle w:val="Compact"/>
              <w:jc w:val="left"/>
            </w:pPr>
            <w:r>
              <w:t xml:space="preserve">MOTS-c</w:t>
            </w:r>
          </w:p>
        </w:tc>
        <w:tc>
          <w:tcPr/>
          <w:p>
            <w:pPr>
              <w:pStyle w:val="Compact"/>
              <w:jc w:val="left"/>
            </w:pPr>
            <w:r>
              <w:t xml:space="preserve">“</w:t>
            </w:r>
            <w:r>
              <w:t xml:space="preserve">Exercise in a syringe</w:t>
            </w:r>
            <w:r>
              <w:t xml:space="preserve">”</w:t>
            </w:r>
            <w:r>
              <w:t xml:space="preserve">: more endurance, less fat, better insulin action</w:t>
            </w:r>
          </w:p>
        </w:tc>
        <w:tc>
          <w:tcPr/>
          <w:p>
            <w:pPr>
              <w:pStyle w:val="Compact"/>
              <w:jc w:val="left"/>
            </w:pPr>
            <w:r>
              <w:t xml:space="preserve">These effects were seen in mice (Lee 2015, PMID 25738459). In humans there are only measurements of the body’s own levels, no published study administering MOTS-c.</w:t>
            </w:r>
          </w:p>
        </w:tc>
        <w:tc>
          <w:tcPr/>
          <w:p>
            <w:pPr>
              <w:pStyle w:val="Compact"/>
              <w:jc w:val="left"/>
            </w:pPr>
            <w:r>
              <w:t xml:space="preserve">D</w:t>
            </w:r>
          </w:p>
        </w:tc>
      </w:tr>
      <w:tr>
        <w:tc>
          <w:tcPr/>
          <w:p>
            <w:pPr>
              <w:pStyle w:val="Compact"/>
              <w:jc w:val="left"/>
            </w:pPr>
            <w:r>
              <w:t xml:space="preserve">Semax</w:t>
            </w:r>
          </w:p>
        </w:tc>
        <w:tc>
          <w:tcPr/>
          <w:p>
            <w:pPr>
              <w:pStyle w:val="Compact"/>
              <w:jc w:val="left"/>
            </w:pPr>
            <w:r>
              <w:t xml:space="preserve">Boosts concentration, memory, and performance</w:t>
            </w:r>
          </w:p>
        </w:tc>
        <w:tc>
          <w:tcPr/>
          <w:p>
            <w:pPr>
              <w:pStyle w:val="Compact"/>
              <w:jc w:val="left"/>
            </w:pPr>
            <w:r>
              <w:t xml:space="preserve">Small, mostly non-randomized Russian studies in stroke, for example a study with 110 people (Gusev 2018, PMID 29798983). No meaningful data for healthy people.</w:t>
            </w:r>
          </w:p>
        </w:tc>
        <w:tc>
          <w:tcPr/>
          <w:p>
            <w:pPr>
              <w:pStyle w:val="Compact"/>
              <w:jc w:val="left"/>
            </w:pPr>
            <w:r>
              <w:t xml:space="preserve">C</w:t>
            </w:r>
          </w:p>
        </w:tc>
      </w:tr>
      <w:tr>
        <w:tc>
          <w:tcPr/>
          <w:p>
            <w:pPr>
              <w:pStyle w:val="Compact"/>
              <w:jc w:val="left"/>
            </w:pPr>
            <w:r>
              <w:t xml:space="preserve">Selank</w:t>
            </w:r>
          </w:p>
        </w:tc>
        <w:tc>
          <w:tcPr/>
          <w:p>
            <w:pPr>
              <w:pStyle w:val="Compact"/>
              <w:jc w:val="left"/>
            </w:pPr>
            <w:r>
              <w:t xml:space="preserve">Relieves anxiety without drowsiness or dependence</w:t>
            </w:r>
          </w:p>
        </w:tc>
        <w:tc>
          <w:tcPr/>
          <w:p>
            <w:pPr>
              <w:pStyle w:val="Compact"/>
              <w:jc w:val="left"/>
            </w:pPr>
            <w:r>
              <w:t xml:space="preserve">Three small Russian studies without a placebo group, including 62 people compared with a benzodiazepine (Zozulia 2008, PMID 18454096). There are no studies on concentration in healthy people.</w:t>
            </w:r>
          </w:p>
        </w:tc>
        <w:tc>
          <w:tcPr/>
          <w:p>
            <w:pPr>
              <w:pStyle w:val="Compact"/>
              <w:jc w:val="left"/>
            </w:pPr>
            <w:r>
              <w:t xml:space="preserve">C</w:t>
            </w:r>
          </w:p>
        </w:tc>
      </w:tr>
      <w:tr>
        <w:tc>
          <w:tcPr/>
          <w:p>
            <w:pPr>
              <w:pStyle w:val="Compact"/>
              <w:jc w:val="left"/>
            </w:pPr>
            <w:r>
              <w:t xml:space="preserve">Melanotan II</w:t>
            </w:r>
          </w:p>
        </w:tc>
        <w:tc>
          <w:tcPr/>
          <w:p>
            <w:pPr>
              <w:pStyle w:val="Compact"/>
              <w:jc w:val="left"/>
            </w:pPr>
            <w:r>
              <w:t xml:space="preserve">Tan without sunburn, more libido</w:t>
            </w:r>
          </w:p>
        </w:tc>
        <w:tc>
          <w:tcPr/>
          <w:p>
            <w:pPr>
              <w:pStyle w:val="Compact"/>
              <w:jc w:val="left"/>
            </w:pPr>
            <w:r>
              <w:t xml:space="preserve">Small pilot studies from the 1990s with around two dozen people, frequent nausea (Wessells 2000, PMID 11035391). Case reports of new moles, melanomas, and priapism. Vials from online shops contained 4.32 to 8.84 mg instead of 10 mg (Breindahl 2015, PMID 24771717).</w:t>
            </w:r>
          </w:p>
        </w:tc>
        <w:tc>
          <w:tcPr/>
          <w:p>
            <w:pPr>
              <w:pStyle w:val="Compact"/>
              <w:jc w:val="left"/>
            </w:pPr>
            <w:r>
              <w:t xml:space="preserve">C</w:t>
            </w:r>
          </w:p>
        </w:tc>
      </w:tr>
      <w:tr>
        <w:tc>
          <w:tcPr/>
          <w:p>
            <w:pPr>
              <w:pStyle w:val="Compact"/>
              <w:jc w:val="left"/>
            </w:pPr>
            <w:r>
              <w:t xml:space="preserve">GHK-Cu</w:t>
            </w:r>
          </w:p>
        </w:tc>
        <w:tc>
          <w:tcPr/>
          <w:p>
            <w:pPr>
              <w:pStyle w:val="Compact"/>
              <w:jc w:val="left"/>
            </w:pPr>
            <w:r>
              <w:t xml:space="preserve">Firms the skin, builds collagen, promotes hair growth</w:t>
            </w:r>
          </w:p>
        </w:tc>
        <w:tc>
          <w:tcPr/>
          <w:p>
            <w:pPr>
              <w:pStyle w:val="Compact"/>
              <w:jc w:val="left"/>
            </w:pPr>
            <w:r>
              <w:t xml:space="preserve">An older randomized study in diabetic foot ulcers with a positive result (Mulder 1994, PMID 17147644). A small skin study after laser treatment found no measurable difference (Miller 2006, PMID 16847171). No data on injections.</w:t>
            </w:r>
          </w:p>
        </w:tc>
        <w:tc>
          <w:tcPr/>
          <w:p>
            <w:pPr>
              <w:pStyle w:val="Compact"/>
              <w:jc w:val="left"/>
            </w:pPr>
            <w:r>
              <w:t xml:space="preserve">C</w:t>
            </w:r>
          </w:p>
        </w:tc>
      </w:tr>
      <w:tr>
        <w:tc>
          <w:tcPr/>
          <w:p>
            <w:pPr>
              <w:pStyle w:val="Compact"/>
              <w:jc w:val="left"/>
            </w:pPr>
            <w:r>
              <w:t xml:space="preserve">AOD-9604</w:t>
            </w:r>
          </w:p>
        </w:tc>
        <w:tc>
          <w:tcPr/>
          <w:p>
            <w:pPr>
              <w:pStyle w:val="Compact"/>
              <w:jc w:val="left"/>
            </w:pPr>
            <w:r>
              <w:t xml:space="preserve">Fat-burning fragment of growth hormone</w:t>
            </w:r>
          </w:p>
        </w:tc>
        <w:tc>
          <w:tcPr/>
          <w:p>
            <w:pPr>
              <w:pStyle w:val="Compact"/>
              <w:jc w:val="left"/>
            </w:pPr>
            <w:r>
              <w:t xml:space="preserve">Less weight gain in mice (Heffernan 2001, PMID 11673763). Human studies were conducted but never published in peer-reviewed journals; development was discontinued.</w:t>
            </w:r>
          </w:p>
        </w:tc>
        <w:tc>
          <w:tcPr/>
          <w:p>
            <w:pPr>
              <w:pStyle w:val="Compact"/>
              <w:jc w:val="left"/>
            </w:pPr>
            <w:r>
              <w:t xml:space="preserve">D</w:t>
            </w:r>
          </w:p>
        </w:tc>
      </w:tr>
      <w:tr>
        <w:tc>
          <w:tcPr/>
          <w:p>
            <w:pPr>
              <w:pStyle w:val="Compact"/>
              <w:jc w:val="left"/>
            </w:pPr>
            <w:r>
              <w:t xml:space="preserve">Collagen peptides</w:t>
            </w:r>
          </w:p>
        </w:tc>
        <w:tc>
          <w:tcPr/>
          <w:p>
            <w:pPr>
              <w:pStyle w:val="Compact"/>
              <w:jc w:val="left"/>
            </w:pPr>
            <w:r>
              <w:t xml:space="preserve">Firmer skin, healthy joints, more muscle</w:t>
            </w:r>
          </w:p>
        </w:tc>
        <w:tc>
          <w:tcPr/>
          <w:p>
            <w:pPr>
              <w:pStyle w:val="Compact"/>
              <w:jc w:val="left"/>
            </w:pPr>
            <w:r>
              <w:t xml:space="preserve">Osteoarthritis: small to moderate effects in 35 randomized trials (PMID 38218227). Skin: no effect without industry funding (Myung 2025, PMID 40324552). Muscle: whey protein worked better than collagen (Oikawa 2020, PMID 31919527).</w:t>
            </w:r>
          </w:p>
        </w:tc>
        <w:tc>
          <w:tcPr/>
          <w:p>
            <w:pPr>
              <w:pStyle w:val="Compact"/>
              <w:jc w:val="left"/>
            </w:pPr>
            <w:r>
              <w:t xml:space="preserve">B</w:t>
            </w:r>
          </w:p>
        </w:tc>
      </w:tr>
      <w:tr>
        <w:tc>
          <w:tcPr/>
          <w:p>
            <w:pPr>
              <w:pStyle w:val="Compact"/>
              <w:jc w:val="left"/>
            </w:pPr>
            <w:r>
              <w:t xml:space="preserve">Glutathione</w:t>
            </w:r>
          </w:p>
        </w:tc>
        <w:tc>
          <w:tcPr/>
          <w:p>
            <w:pPr>
              <w:pStyle w:val="Compact"/>
              <w:jc w:val="left"/>
            </w:pPr>
            <w:r>
              <w:t xml:space="preserve">Detoxifies, lightens the skin, strengthens the immune system</w:t>
            </w:r>
          </w:p>
        </w:tc>
        <w:tc>
          <w:tcPr/>
          <w:p>
            <w:pPr>
              <w:pStyle w:val="Compact"/>
              <w:jc w:val="left"/>
            </w:pPr>
            <w:r>
              <w:t xml:space="preserve">As a capsule, it raised blood levels after six months (Richie 2015, PMID 24791752). As an infusion, it did not protect 185 cancer patients from nerve damage (Leal 2014, PMID 24619793). Infusions for skin lightening: no proven benefit, not justifiable according to a review (Sarkar 2025, PMID 39444151).</w:t>
            </w:r>
          </w:p>
        </w:tc>
        <w:tc>
          <w:tcPr/>
          <w:p>
            <w:pPr>
              <w:pStyle w:val="Compact"/>
              <w:jc w:val="left"/>
            </w:pPr>
            <w:r>
              <w:t xml:space="preserve">B</w:t>
            </w:r>
          </w:p>
        </w:tc>
      </w:tr>
      <w:tr>
        <w:tc>
          <w:tcPr/>
          <w:p>
            <w:pPr>
              <w:pStyle w:val="Compact"/>
              <w:jc w:val="left"/>
            </w:pPr>
            <w:r>
              <w:t xml:space="preserve">Dihexa</w:t>
            </w:r>
          </w:p>
        </w:tc>
        <w:tc>
          <w:tcPr/>
          <w:p>
            <w:pPr>
              <w:pStyle w:val="Compact"/>
              <w:jc w:val="left"/>
            </w:pPr>
            <w:r>
              <w:t xml:space="preserve">Forms new synapses, more potent than the body’s own growth factors</w:t>
            </w:r>
          </w:p>
        </w:tc>
        <w:tc>
          <w:tcPr/>
          <w:p>
            <w:pPr>
              <w:pStyle w:val="Compact"/>
              <w:jc w:val="left"/>
            </w:pPr>
            <w:r>
              <w:t xml:space="preserve">Never studied in humans; effects only in rats and mice, and a key paper on it was retracted in 2025 (PMID 25187433). The related agent fosgonimeton missed all primary and secondary goals in 287 people with Alzheimer’s disease (Porsteinsson 2025, PMID 41393340).</w:t>
            </w:r>
          </w:p>
        </w:tc>
        <w:tc>
          <w:tcPr/>
          <w:p>
            <w:pPr>
              <w:pStyle w:val="Compact"/>
              <w:jc w:val="left"/>
            </w:pPr>
            <w:r>
              <w:t xml:space="preserve">D</w:t>
            </w:r>
          </w:p>
        </w:tc>
      </w:tr>
      <w:tr>
        <w:tc>
          <w:tcPr/>
          <w:p>
            <w:pPr>
              <w:pStyle w:val="Compact"/>
              <w:jc w:val="left"/>
            </w:pPr>
            <w:r>
              <w:t xml:space="preserve">IGF-1 LR3</w:t>
            </w:r>
          </w:p>
        </w:tc>
        <w:tc>
          <w:tcPr/>
          <w:p>
            <w:pPr>
              <w:pStyle w:val="Compact"/>
              <w:jc w:val="left"/>
            </w:pPr>
            <w:r>
              <w:t xml:space="preserve">Stronger, longer-acting IGF-1 for muscle growth</w:t>
            </w:r>
          </w:p>
        </w:tc>
        <w:tc>
          <w:tcPr/>
          <w:p>
            <w:pPr>
              <w:pStyle w:val="Compact"/>
              <w:jc w:val="left"/>
            </w:pPr>
            <w:r>
              <w:t xml:space="preserve">Not a single human study. A black-market vial contained a laboratory variant that was never intended for injection (PMID 20675162).</w:t>
            </w:r>
          </w:p>
        </w:tc>
        <w:tc>
          <w:tcPr/>
          <w:p>
            <w:pPr>
              <w:pStyle w:val="Compact"/>
              <w:jc w:val="left"/>
            </w:pPr>
            <w:r>
              <w:t xml:space="preserve">D</w:t>
            </w:r>
          </w:p>
        </w:tc>
      </w:tr>
      <w:tr>
        <w:tc>
          <w:tcPr/>
          <w:p>
            <w:pPr>
              <w:pStyle w:val="Compact"/>
              <w:jc w:val="left"/>
            </w:pPr>
            <w:r>
              <w:t xml:space="preserve">Gray-market retatrutide</w:t>
            </w:r>
          </w:p>
        </w:tc>
        <w:tc>
          <w:tcPr/>
          <w:p>
            <w:pPr>
              <w:pStyle w:val="Compact"/>
              <w:jc w:val="left"/>
            </w:pPr>
            <w:r>
              <w:t xml:space="preserve">The most powerful weight-loss drug, available today</w:t>
            </w:r>
          </w:p>
        </w:tc>
        <w:tc>
          <w:tcPr/>
          <w:p>
            <w:pPr>
              <w:pStyle w:val="Compact"/>
              <w:jc w:val="left"/>
            </w:pPr>
            <w:r>
              <w:t xml:space="preserve">The drug itself is well studied: in TRIUMPH-1, −25.0% body weight after 80 weeks at the highest dose (Jastreboff 2026, PMID 42814954). This does not apply to gray-market goods: not approved, contents and purity unverified (Rubin 2026, PMID 42853576).</w:t>
            </w:r>
          </w:p>
        </w:tc>
        <w:tc>
          <w:tcPr/>
          <w:p>
            <w:pPr>
              <w:pStyle w:val="Compact"/>
              <w:jc w:val="left"/>
            </w:pPr>
            <w:r>
              <w:t xml:space="preserve">B (drug)</w:t>
            </w:r>
          </w:p>
        </w:tc>
      </w:tr>
    </w:tbl>
    <w:p>
      <w:pPr>
        <w:pStyle w:val="BodyText"/>
      </w:pPr>
      <w:r>
        <w:t xml:space="preserve">Note on the table: the evidence level refers to the advertised use or to the substance as it is sold. Level D applies to TB-500, level B to the full protein thymosin beta-4. For retatrutide, level B refers to the drug tested in studies; for gray-market products whose contents nobody knows, no evidence level can be given.</w:t>
      </w:r>
    </w:p>
    <w:p>
      <w:pPr>
        <w:pStyle w:val="BodyText"/>
      </w:pPr>
      <w:r>
        <w:t xml:space="preserve">The overall picture: of the 16 substances, none has evidence level A. Five have level D, meaning they have not been studied in humans at all. For the substances with level B – ipamorelin, collagen, glutathione – the best studies did not confirm the advertising promises or found only small effects. The only exception is retatrutide, whose strong effect is proven – but not for the product sold on the gray market.</w:t>
      </w:r>
    </w:p>
    <w:bookmarkEnd w:id="2580"/>
    <w:bookmarkStart w:id="2594" w:name="six-patterns-behind-the-promises"/>
    <w:p>
      <w:pPr>
        <w:pStyle w:val="Heading3"/>
      </w:pPr>
      <w:r>
        <w:t xml:space="preserve">Six patterns behind the promises</w:t>
      </w:r>
    </w:p>
    <w:p>
      <w:pPr>
        <w:pStyle w:val="FirstParagraph"/>
      </w:pPr>
      <w:r>
        <w:t xml:space="preserve">If you read the table row by row, you will recognize recurring patterns. They help in assessing claims about peptides that do not appear in this book.</w:t>
      </w:r>
    </w:p>
    <w:bookmarkStart w:id="2582" w:name="from-animals-to-humans"/>
    <w:p>
      <w:pPr>
        <w:pStyle w:val="Heading4"/>
      </w:pPr>
      <w:r>
        <w:t xml:space="preserve">1. From animals to humans</w:t>
      </w:r>
    </w:p>
    <w:p>
      <w:pPr>
        <w:pStyle w:val="FirstParagraph"/>
      </w:pPr>
      <w:r>
        <w:t xml:space="preserve">Almost all promises about BPC-157, TB-500, MOTS-c, Dihexa, AOD-9604, and Epitalon rely on experiments in rats, mice, or cell cultures. Such studies are important for understanding mechanisms of action. They do not predict whether a substance works the same way in humans: a large proportion of agents that succeed in animal experiments fail in human studies. A current example from this book is the memory peptide Dihexa. In rats, it promoted learning and synapse formation; the related agent fosgonimeton, which was supposed to act via the same growth factor system, missed all primary and secondary goals in a study of 287 people with Alzheimer’s disease</w:t>
      </w:r>
      <w:r>
        <w:rPr>
          <w:rStyle w:val="FootnoteReference"/>
        </w:rPr>
        <w:footnoteReference w:id="2581"/>
      </w:r>
      <w:r>
        <w:t xml:space="preserve">.</w:t>
      </w:r>
    </w:p>
    <w:p>
      <w:pPr>
        <w:pStyle w:val="BodyText"/>
      </w:pPr>
      <w:r>
        <w:t xml:space="preserve">With BPC-157 there is a second problem: the positive animal studies come predominantly from a single research group and have hardly been independently replicated.</w:t>
      </w:r>
    </w:p>
    <w:bookmarkEnd w:id="2582"/>
    <w:bookmarkStart w:id="2584" w:name="a-measured-value-is-not-yet-a-benefit"/>
    <w:p>
      <w:pPr>
        <w:pStyle w:val="Heading4"/>
      </w:pPr>
      <w:r>
        <w:t xml:space="preserve">2. A measured value is not yet a benefit</w:t>
      </w:r>
    </w:p>
    <w:p>
      <w:pPr>
        <w:pStyle w:val="FirstParagraph"/>
      </w:pPr>
      <w:r>
        <w:t xml:space="preserve">CJC-1295 raises growth hormone, Epitalon activates telomerase in cell cultures, glutathione capsules raise the glutathione level in the blood. These are substitute measures (</w:t>
      </w:r>
      <w:r>
        <w:t xml:space="preserve">“</w:t>
      </w:r>
      <w:r>
        <w:t xml:space="preserve">surrogate endpoints,</w:t>
      </w:r>
      <w:r>
        <w:t xml:space="preserve">”</w:t>
      </w:r>
      <w:r>
        <w:t xml:space="preserve"> </w:t>
      </w:r>
      <w:r>
        <w:t xml:space="preserve">see Part I). Whether anything that matters to people follows from them – more muscle strength, longer life, fewer diseases – is a separate question that needs its own studies. With growth hormone, the example of ibutamoren shows how large the gap can be: in 65 healthy older people, fat-free mass rose by 1.1 kg over one year, but strength and physical function did not improve</w:t>
      </w:r>
      <w:r>
        <w:rPr>
          <w:rStyle w:val="FootnoteReference"/>
        </w:rPr>
        <w:footnoteReference w:id="2583"/>
      </w:r>
      <w:r>
        <w:t xml:space="preserve">.</w:t>
      </w:r>
    </w:p>
    <w:bookmarkEnd w:id="2584"/>
    <w:bookmarkStart w:id="2586" w:name="confusion-of-substances"/>
    <w:p>
      <w:pPr>
        <w:pStyle w:val="Heading4"/>
      </w:pPr>
      <w:r>
        <w:t xml:space="preserve">3. Confusion of substances</w:t>
      </w:r>
    </w:p>
    <w:p>
      <w:pPr>
        <w:pStyle w:val="FirstParagraph"/>
      </w:pPr>
      <w:r>
        <w:t xml:space="preserve">Several promises are based on studies of a different substance from the one being sold:</w:t>
      </w:r>
    </w:p>
    <w:p>
      <w:pPr>
        <w:numPr>
          <w:ilvl w:val="0"/>
          <w:numId w:val="1330"/>
        </w:numPr>
        <w:pStyle w:val="Compact"/>
      </w:pPr>
      <w:r>
        <w:rPr>
          <w:bCs/>
          <w:b/>
        </w:rPr>
        <w:t xml:space="preserve">TB-500</w:t>
      </w:r>
      <w:r>
        <w:t xml:space="preserve"> </w:t>
      </w:r>
      <w:r>
        <w:t xml:space="preserve">is a modified fragment. The human studies concern the full protein thymosin beta-4 – and even these hardly concern tendons, ligaments, or muscles.</w:t>
      </w:r>
    </w:p>
    <w:p>
      <w:pPr>
        <w:numPr>
          <w:ilvl w:val="0"/>
          <w:numId w:val="1330"/>
        </w:numPr>
        <w:pStyle w:val="Compact"/>
      </w:pPr>
      <w:r>
        <w:rPr>
          <w:bCs/>
          <w:b/>
        </w:rPr>
        <w:t xml:space="preserve">Epitalon</w:t>
      </w:r>
      <w:r>
        <w:t xml:space="preserve"> </w:t>
      </w:r>
      <w:r>
        <w:t xml:space="preserve">is a synthetic tetrapeptide. The often-cited study on longer life concerned the bovine extract epithalamin, was not randomized, and was never independently replicated.</w:t>
      </w:r>
    </w:p>
    <w:p>
      <w:pPr>
        <w:numPr>
          <w:ilvl w:val="0"/>
          <w:numId w:val="1330"/>
        </w:numPr>
        <w:pStyle w:val="Compact"/>
      </w:pPr>
      <w:r>
        <w:rPr>
          <w:bCs/>
          <w:b/>
        </w:rPr>
        <w:t xml:space="preserve">CJC-1295</w:t>
      </w:r>
      <w:r>
        <w:t xml:space="preserve"> </w:t>
      </w:r>
      <w:r>
        <w:t xml:space="preserve">is mostly sold without the</w:t>
      </w:r>
      <w:r>
        <w:t xml:space="preserve"> </w:t>
      </w:r>
      <w:r>
        <w:t xml:space="preserve">“</w:t>
      </w:r>
      <w:r>
        <w:t xml:space="preserve">DAC</w:t>
      </w:r>
      <w:r>
        <w:t xml:space="preserve">”</w:t>
      </w:r>
      <w:r>
        <w:t xml:space="preserve"> </w:t>
      </w:r>
      <w:r>
        <w:t xml:space="preserve">group that was used in the human studies.</w:t>
      </w:r>
    </w:p>
    <w:p>
      <w:pPr>
        <w:numPr>
          <w:ilvl w:val="0"/>
          <w:numId w:val="1330"/>
        </w:numPr>
        <w:pStyle w:val="Compact"/>
      </w:pPr>
      <w:r>
        <w:rPr>
          <w:bCs/>
          <w:b/>
        </w:rPr>
        <w:t xml:space="preserve">Retatrutide</w:t>
      </w:r>
      <w:r>
        <w:t xml:space="preserve"> </w:t>
      </w:r>
      <w:r>
        <w:t xml:space="preserve">from the gray market is not the drug from the studies. Laboratory analyses of other gray-market peptides show that vials often contain less, more, or a different active ingredient than stated; for ipamorelin and CJC-1295, laboratories found modified, undeclared molecules</w:t>
      </w:r>
      <w:r>
        <w:rPr>
          <w:rStyle w:val="FootnoteReference"/>
        </w:rPr>
        <w:footnoteReference w:id="2585"/>
      </w:r>
      <w:r>
        <w:t xml:space="preserve">.</w:t>
      </w:r>
    </w:p>
    <w:bookmarkEnd w:id="2586"/>
    <w:bookmarkStart w:id="2590" w:name="negative-studies-go-unmentioned"/>
    <w:p>
      <w:pPr>
        <w:pStyle w:val="Heading4"/>
      </w:pPr>
      <w:r>
        <w:t xml:space="preserve">4. Negative studies go unmentioned</w:t>
      </w:r>
    </w:p>
    <w:p>
      <w:pPr>
        <w:pStyle w:val="FirstParagraph"/>
      </w:pPr>
      <w:r>
        <w:t xml:space="preserve">For several peptides, randomized studies do exist – they just found no benefit. Ipamorelin did not significantly shorten the time to the first meal after bowel surgery</w:t>
      </w:r>
      <w:r>
        <w:rPr>
          <w:rStyle w:val="FootnoteReference"/>
        </w:rPr>
        <w:footnoteReference w:id="2587"/>
      </w:r>
      <w:r>
        <w:t xml:space="preserve">. Glutathione infusions did not protect against nerve damage from chemotherapy</w:t>
      </w:r>
      <w:r>
        <w:rPr>
          <w:rStyle w:val="FootnoteReference"/>
        </w:rPr>
        <w:footnoteReference w:id="2588"/>
      </w:r>
      <w:r>
        <w:t xml:space="preserve">. With collagen, the skin benefit disappeared as soon as only independently funded studies were considered</w:t>
      </w:r>
      <w:r>
        <w:rPr>
          <w:rStyle w:val="FootnoteReference"/>
        </w:rPr>
        <w:footnoteReference w:id="2589"/>
      </w:r>
      <w:r>
        <w:t xml:space="preserve">. Such results practically never appear in advertising copy. A trustworthy presentation names positive</w:t>
      </w:r>
      <w:r>
        <w:t xml:space="preserve"> </w:t>
      </w:r>
      <w:r>
        <w:rPr>
          <w:iCs/>
          <w:i/>
        </w:rPr>
        <w:t xml:space="preserve">and</w:t>
      </w:r>
      <w:r>
        <w:t xml:space="preserve"> </w:t>
      </w:r>
      <w:r>
        <w:t xml:space="preserve">negative studies.</w:t>
      </w:r>
    </w:p>
    <w:bookmarkEnd w:id="2590"/>
    <w:bookmarkStart w:id="2591" w:name="small-studies-from-a-narrow-circle"/>
    <w:p>
      <w:pPr>
        <w:pStyle w:val="Heading4"/>
      </w:pPr>
      <w:r>
        <w:t xml:space="preserve">5. Small studies from a narrow circle</w:t>
      </w:r>
    </w:p>
    <w:p>
      <w:pPr>
        <w:pStyle w:val="FirstParagraph"/>
      </w:pPr>
      <w:r>
        <w:t xml:space="preserve">Semax, Selank, Epitalon, and Pinealon were studied almost exclusively in Russia, mostly by the developers themselves, in small groups, and often without a placebo comparison. That does not automatically make the results wrong. But it does mean they were never tested under the conditions required for approval today: preregistered, blinded, sufficiently large, and confirmed by independent groups.</w:t>
      </w:r>
    </w:p>
    <w:bookmarkEnd w:id="2591"/>
    <w:bookmarkStart w:id="2593" w:name="Xd4188218fea8e6b2f856c59ab3b25562538cff1"/>
    <w:p>
      <w:pPr>
        <w:pStyle w:val="Heading4"/>
      </w:pPr>
      <w:r>
        <w:t xml:space="preserve">6.</w:t>
      </w:r>
      <w:r>
        <w:t xml:space="preserve"> </w:t>
      </w:r>
      <w:r>
        <w:t xml:space="preserve">“</w:t>
      </w:r>
      <w:r>
        <w:t xml:space="preserve">No side effects</w:t>
      </w:r>
      <w:r>
        <w:t xml:space="preserve">”</w:t>
      </w:r>
      <w:r>
        <w:t xml:space="preserve"> </w:t>
      </w:r>
      <w:r>
        <w:t xml:space="preserve">usually means</w:t>
      </w:r>
      <w:r>
        <w:t xml:space="preserve"> </w:t>
      </w:r>
      <w:r>
        <w:t xml:space="preserve">“</w:t>
      </w:r>
      <w:r>
        <w:t xml:space="preserve">not studied</w:t>
      </w:r>
      <w:r>
        <w:t xml:space="preserve">”</w:t>
      </w:r>
    </w:p>
    <w:p>
      <w:pPr>
        <w:pStyle w:val="FirstParagraph"/>
      </w:pPr>
      <w:r>
        <w:t xml:space="preserve">The claim that a peptide is</w:t>
      </w:r>
      <w:r>
        <w:t xml:space="preserve"> </w:t>
      </w:r>
      <w:r>
        <w:t xml:space="preserve">“</w:t>
      </w:r>
      <w:r>
        <w:t xml:space="preserve">well tolerated</w:t>
      </w:r>
      <w:r>
        <w:t xml:space="preserve">”</w:t>
      </w:r>
      <w:r>
        <w:t xml:space="preserve"> </w:t>
      </w:r>
      <w:r>
        <w:t xml:space="preserve">or</w:t>
      </w:r>
      <w:r>
        <w:t xml:space="preserve"> </w:t>
      </w:r>
      <w:r>
        <w:t xml:space="preserve">“</w:t>
      </w:r>
      <w:r>
        <w:t xml:space="preserve">free of side effects</w:t>
      </w:r>
      <w:r>
        <w:t xml:space="preserve">”</w:t>
      </w:r>
      <w:r>
        <w:t xml:space="preserve"> </w:t>
      </w:r>
      <w:r>
        <w:t xml:space="preserve">rests, for BPC-157, on a total of 30 people. With so few participants, only common, immediately occurring problems can be detected; a side effect affecting one in a thousand people would remain invisible. For substances that amplify growth signals – growth hormone secretagogues, IGF-1 LR3, peptides that promote new blood vessel formation – there is also a theoretical but untested concern about tumor growth. For Melanotan II, case reports describe new and changed moles and melanomas; a causal relationship has not been proven, but has not been ruled out either. Added to this are the risks of the products themselves: gray-market vials of Melanotan II contained less active ingredient than stated and unknown impurities</w:t>
      </w:r>
      <w:r>
        <w:rPr>
          <w:rStyle w:val="FootnoteReference"/>
        </w:rPr>
        <w:footnoteReference w:id="2592"/>
      </w:r>
      <w:r>
        <w:t xml:space="preserve">. More on this in Part IV.</w:t>
      </w:r>
    </w:p>
    <w:bookmarkEnd w:id="2593"/>
    <w:bookmarkEnd w:id="2594"/>
    <w:bookmarkStart w:id="2600" w:name="X1b197b26fa0c5b76d4c8c5b2190419791b2cea7"/>
    <w:p>
      <w:pPr>
        <w:pStyle w:val="Heading3"/>
      </w:pPr>
      <w:r>
        <w:t xml:space="preserve">How to tell trustworthy from untrustworthy claims</w:t>
      </w:r>
    </w:p>
    <w:p>
      <w:pPr>
        <w:pStyle w:val="FirstParagraph"/>
      </w:pPr>
      <w:r>
        <w:t xml:space="preserve">The following checklist helps you assess claims about peptides – in shops, videos, forums, or magazines. It does not replace professional advice, but it sharpens your eye for how much lies behind a claim.</w:t>
      </w:r>
    </w:p>
    <w:bookmarkStart w:id="2595" w:name="questions-about-the-source"/>
    <w:p>
      <w:pPr>
        <w:pStyle w:val="Heading4"/>
      </w:pPr>
      <w:r>
        <w:t xml:space="preserve">Questions about the source</w:t>
      </w:r>
    </w:p>
    <w:p>
      <w:pPr>
        <w:numPr>
          <w:ilvl w:val="0"/>
          <w:numId w:val="1331"/>
        </w:numPr>
        <w:pStyle w:val="Compact"/>
      </w:pPr>
      <w:r>
        <w:rPr>
          <w:bCs/>
          <w:b/>
        </w:rPr>
        <w:t xml:space="preserve">Who is speaking?</w:t>
      </w:r>
      <w:r>
        <w:t xml:space="preserve"> </w:t>
      </w:r>
      <w:r>
        <w:t xml:space="preserve">Does the person or website sell the substance itself, or offer courses, consultations, or discount codes? A financial interest does not make a claim false, but it is a reason to look more closely.</w:t>
      </w:r>
    </w:p>
    <w:p>
      <w:pPr>
        <w:numPr>
          <w:ilvl w:val="0"/>
          <w:numId w:val="1331"/>
        </w:numPr>
        <w:pStyle w:val="Compact"/>
      </w:pPr>
      <w:r>
        <w:rPr>
          <w:bCs/>
          <w:b/>
        </w:rPr>
        <w:t xml:space="preserve">Are studies named – and can they be found?</w:t>
      </w:r>
      <w:r>
        <w:t xml:space="preserve"> </w:t>
      </w:r>
      <w:r>
        <w:t xml:space="preserve">Trustworthy claims name a verifiable source: a PMID, a DOI, or a registry number (NCT). You can enter any PMID free of charge at PubMed and read the abstract yourself. Phrases such as</w:t>
      </w:r>
      <w:r>
        <w:t xml:space="preserve"> </w:t>
      </w:r>
      <w:r>
        <w:t xml:space="preserve">“</w:t>
      </w:r>
      <w:r>
        <w:t xml:space="preserve">studies show</w:t>
      </w:r>
      <w:r>
        <w:t xml:space="preserve">”</w:t>
      </w:r>
      <w:r>
        <w:t xml:space="preserve"> </w:t>
      </w:r>
      <w:r>
        <w:t xml:space="preserve">without specific details are a warning sign.</w:t>
      </w:r>
    </w:p>
    <w:p>
      <w:pPr>
        <w:numPr>
          <w:ilvl w:val="0"/>
          <w:numId w:val="1331"/>
        </w:numPr>
        <w:pStyle w:val="Compact"/>
      </w:pPr>
      <w:r>
        <w:rPr>
          <w:bCs/>
          <w:b/>
        </w:rPr>
        <w:t xml:space="preserve">Does the cited study fit the claim?</w:t>
      </w:r>
      <w:r>
        <w:t xml:space="preserve"> </w:t>
      </w:r>
      <w:r>
        <w:t xml:space="preserve">Check whether the study really examined the substance being sold, the advertised use, and humans – or whether it was about a related molecule, a different disease, or rats.</w:t>
      </w:r>
    </w:p>
    <w:bookmarkEnd w:id="2595"/>
    <w:bookmarkStart w:id="2596" w:name="questions-about-the-study"/>
    <w:p>
      <w:pPr>
        <w:pStyle w:val="Heading4"/>
      </w:pPr>
      <w:r>
        <w:t xml:space="preserve">Questions about the study</w:t>
      </w:r>
    </w:p>
    <w:p>
      <w:pPr>
        <w:numPr>
          <w:ilvl w:val="0"/>
          <w:numId w:val="1332"/>
        </w:numPr>
        <w:pStyle w:val="Compact"/>
      </w:pPr>
      <w:r>
        <w:rPr>
          <w:bCs/>
          <w:b/>
        </w:rPr>
        <w:t xml:space="preserve">Human, animal, or cell culture?</w:t>
      </w:r>
      <w:r>
        <w:t xml:space="preserve"> </w:t>
      </w:r>
      <w:r>
        <w:t xml:space="preserve">If the abstract says</w:t>
      </w:r>
      <w:r>
        <w:t xml:space="preserve"> </w:t>
      </w:r>
      <w:r>
        <w:t xml:space="preserve">“</w:t>
      </w:r>
      <w:r>
        <w:t xml:space="preserve">rats,</w:t>
      </w:r>
      <w:r>
        <w:t xml:space="preserve">”</w:t>
      </w:r>
      <w:r>
        <w:t xml:space="preserve"> </w:t>
      </w:r>
      <w:r>
        <w:t xml:space="preserve">“</w:t>
      </w:r>
      <w:r>
        <w:t xml:space="preserve">mice,</w:t>
      </w:r>
      <w:r>
        <w:t xml:space="preserve">”</w:t>
      </w:r>
      <w:r>
        <w:t xml:space="preserve"> </w:t>
      </w:r>
      <w:r>
        <w:t xml:space="preserve">“</w:t>
      </w:r>
      <w:r>
        <w:t xml:space="preserve">in vitro,</w:t>
      </w:r>
      <w:r>
        <w:t xml:space="preserve">”</w:t>
      </w:r>
      <w:r>
        <w:t xml:space="preserve"> </w:t>
      </w:r>
      <w:r>
        <w:t xml:space="preserve">or</w:t>
      </w:r>
      <w:r>
        <w:t xml:space="preserve"> </w:t>
      </w:r>
      <w:r>
        <w:t xml:space="preserve">“</w:t>
      </w:r>
      <w:r>
        <w:t xml:space="preserve">cell culture,</w:t>
      </w:r>
      <w:r>
        <w:t xml:space="preserve">”</w:t>
      </w:r>
      <w:r>
        <w:t xml:space="preserve"> </w:t>
      </w:r>
      <w:r>
        <w:t xml:space="preserve">it says nothing about the effect in humans.</w:t>
      </w:r>
    </w:p>
    <w:p>
      <w:pPr>
        <w:numPr>
          <w:ilvl w:val="0"/>
          <w:numId w:val="1332"/>
        </w:numPr>
        <w:pStyle w:val="Compact"/>
      </w:pPr>
      <w:r>
        <w:rPr>
          <w:bCs/>
          <w:b/>
        </w:rPr>
        <w:t xml:space="preserve">Was there a comparison group?</w:t>
      </w:r>
      <w:r>
        <w:t xml:space="preserve"> </w:t>
      </w:r>
      <w:r>
        <w:t xml:space="preserve">Without a placebo or control group, it is impossible to tell whether an improvement comes from the substance, from the passage of time, from other treatments, or from expectation. The placebo effect is particularly large for pain, mood, or sleep.</w:t>
      </w:r>
    </w:p>
    <w:p>
      <w:pPr>
        <w:numPr>
          <w:ilvl w:val="0"/>
          <w:numId w:val="1332"/>
        </w:numPr>
        <w:pStyle w:val="Compact"/>
      </w:pPr>
      <w:r>
        <w:rPr>
          <w:bCs/>
          <w:b/>
        </w:rPr>
        <w:t xml:space="preserve">How many participants?</w:t>
      </w:r>
      <w:r>
        <w:t xml:space="preserve"> </w:t>
      </w:r>
      <w:r>
        <w:t xml:space="preserve">Studies with 10 or 20 people can provide hints, but cannot prove a benefit or detect rare side effects.</w:t>
      </w:r>
    </w:p>
    <w:p>
      <w:pPr>
        <w:numPr>
          <w:ilvl w:val="0"/>
          <w:numId w:val="1332"/>
        </w:numPr>
        <w:pStyle w:val="Compact"/>
      </w:pPr>
      <w:r>
        <w:rPr>
          <w:bCs/>
          <w:b/>
        </w:rPr>
        <w:t xml:space="preserve">What was measured?</w:t>
      </w:r>
      <w:r>
        <w:t xml:space="preserve"> </w:t>
      </w:r>
      <w:r>
        <w:t xml:space="preserve">A laboratory value that rises is not a noticeable benefit. Ask: was what matters to those affected measured – pain, function, disease events, quality of life?</w:t>
      </w:r>
    </w:p>
    <w:p>
      <w:pPr>
        <w:numPr>
          <w:ilvl w:val="0"/>
          <w:numId w:val="1332"/>
        </w:numPr>
        <w:pStyle w:val="Compact"/>
      </w:pPr>
      <w:r>
        <w:rPr>
          <w:bCs/>
          <w:b/>
        </w:rPr>
        <w:t xml:space="preserve">Was the study registered in advance?</w:t>
      </w:r>
      <w:r>
        <w:t xml:space="preserve"> </w:t>
      </w:r>
      <w:r>
        <w:t xml:space="preserve">Registration at ClinicalTrials.gov or in the EU registry before the study begins prevents goals from being chosen after the fact to fit the results.</w:t>
      </w:r>
    </w:p>
    <w:p>
      <w:pPr>
        <w:numPr>
          <w:ilvl w:val="0"/>
          <w:numId w:val="1332"/>
        </w:numPr>
        <w:pStyle w:val="Compact"/>
      </w:pPr>
      <w:r>
        <w:rPr>
          <w:bCs/>
          <w:b/>
        </w:rPr>
        <w:t xml:space="preserve">Was the result replicated?</w:t>
      </w:r>
      <w:r>
        <w:t xml:space="preserve"> </w:t>
      </w:r>
      <w:r>
        <w:t xml:space="preserve">A single positive result from a single research group is a beginning, not proof.</w:t>
      </w:r>
    </w:p>
    <w:bookmarkEnd w:id="2596"/>
    <w:bookmarkStart w:id="2597" w:name="warning-signs-in-the-language"/>
    <w:p>
      <w:pPr>
        <w:pStyle w:val="Heading4"/>
      </w:pPr>
      <w:r>
        <w:t xml:space="preserve">Warning signs in the language</w:t>
      </w:r>
    </w:p>
    <w:p>
      <w:pPr>
        <w:numPr>
          <w:ilvl w:val="0"/>
          <w:numId w:val="1333"/>
        </w:numPr>
        <w:pStyle w:val="Compact"/>
      </w:pPr>
      <w:r>
        <w:t xml:space="preserve">Promises that cover a great many different complaints at once (</w:t>
      </w:r>
      <w:r>
        <w:t xml:space="preserve">“</w:t>
      </w:r>
      <w:r>
        <w:t xml:space="preserve">for joints, gut, skin, brain, and immune system</w:t>
      </w:r>
      <w:r>
        <w:t xml:space="preserve">”</w:t>
      </w:r>
      <w:r>
        <w:t xml:space="preserve">).</w:t>
      </w:r>
    </w:p>
    <w:p>
      <w:pPr>
        <w:numPr>
          <w:ilvl w:val="0"/>
          <w:numId w:val="1333"/>
        </w:numPr>
        <w:pStyle w:val="Compact"/>
      </w:pPr>
      <w:r>
        <w:t xml:space="preserve">Terms such as</w:t>
      </w:r>
      <w:r>
        <w:t xml:space="preserve"> </w:t>
      </w:r>
      <w:r>
        <w:t xml:space="preserve">“</w:t>
      </w:r>
      <w:r>
        <w:t xml:space="preserve">miracle cure,</w:t>
      </w:r>
      <w:r>
        <w:t xml:space="preserve">”</w:t>
      </w:r>
      <w:r>
        <w:t xml:space="preserve"> </w:t>
      </w:r>
      <w:r>
        <w:t xml:space="preserve">“</w:t>
      </w:r>
      <w:r>
        <w:t xml:space="preserve">insider tip,</w:t>
      </w:r>
      <w:r>
        <w:t xml:space="preserve">”</w:t>
      </w:r>
      <w:r>
        <w:t xml:space="preserve"> </w:t>
      </w:r>
      <w:r>
        <w:t xml:space="preserve">“</w:t>
      </w:r>
      <w:r>
        <w:t xml:space="preserve">what doctors won’t tell you,</w:t>
      </w:r>
      <w:r>
        <w:t xml:space="preserve">”</w:t>
      </w:r>
      <w:r>
        <w:t xml:space="preserve"> </w:t>
      </w:r>
      <w:r>
        <w:t xml:space="preserve">or</w:t>
      </w:r>
      <w:r>
        <w:t xml:space="preserve"> </w:t>
      </w:r>
      <w:r>
        <w:t xml:space="preserve">“</w:t>
      </w:r>
      <w:r>
        <w:t xml:space="preserve">suppressed by the pharmaceutical industry.</w:t>
      </w:r>
      <w:r>
        <w:t xml:space="preserve">”</w:t>
      </w:r>
    </w:p>
    <w:p>
      <w:pPr>
        <w:numPr>
          <w:ilvl w:val="0"/>
          <w:numId w:val="1333"/>
        </w:numPr>
        <w:pStyle w:val="Compact"/>
      </w:pPr>
      <w:r>
        <w:t xml:space="preserve">The claim</w:t>
      </w:r>
      <w:r>
        <w:t xml:space="preserve"> </w:t>
      </w:r>
      <w:r>
        <w:t xml:space="preserve">“</w:t>
      </w:r>
      <w:r>
        <w:t xml:space="preserve">no side effects</w:t>
      </w:r>
      <w:r>
        <w:t xml:space="preserve">”</w:t>
      </w:r>
      <w:r>
        <w:t xml:space="preserve"> </w:t>
      </w:r>
      <w:r>
        <w:t xml:space="preserve">for a substance that has hardly been studied in humans.</w:t>
      </w:r>
    </w:p>
    <w:p>
      <w:pPr>
        <w:numPr>
          <w:ilvl w:val="0"/>
          <w:numId w:val="1333"/>
        </w:numPr>
        <w:pStyle w:val="Compact"/>
      </w:pPr>
      <w:r>
        <w:t xml:space="preserve">Testimonials and before-and-after pictures instead of study data.</w:t>
      </w:r>
    </w:p>
    <w:p>
      <w:pPr>
        <w:numPr>
          <w:ilvl w:val="0"/>
          <w:numId w:val="1333"/>
        </w:numPr>
        <w:pStyle w:val="Compact"/>
      </w:pPr>
      <w:r>
        <w:t xml:space="preserve">The notice</w:t>
      </w:r>
      <w:r>
        <w:t xml:space="preserve"> </w:t>
      </w:r>
      <w:r>
        <w:t xml:space="preserve">“</w:t>
      </w:r>
      <w:r>
        <w:t xml:space="preserve">for research purposes only</w:t>
      </w:r>
      <w:r>
        <w:t xml:space="preserve">”</w:t>
      </w:r>
      <w:r>
        <w:t xml:space="preserve"> </w:t>
      </w:r>
      <w:r>
        <w:t xml:space="preserve">or</w:t>
      </w:r>
      <w:r>
        <w:t xml:space="preserve"> </w:t>
      </w:r>
      <w:r>
        <w:t xml:space="preserve">“</w:t>
      </w:r>
      <w:r>
        <w:t xml:space="preserve">not for human consumption</w:t>
      </w:r>
      <w:r>
        <w:t xml:space="preserve">”</w:t>
      </w:r>
      <w:r>
        <w:t xml:space="preserve"> </w:t>
      </w:r>
      <w:r>
        <w:t xml:space="preserve">on a product that is simultaneously advertised with effects in humans. This contradiction shows that the seller wants to circumvent drug regulations (see Part I).</w:t>
      </w:r>
    </w:p>
    <w:p>
      <w:pPr>
        <w:numPr>
          <w:ilvl w:val="0"/>
          <w:numId w:val="1333"/>
        </w:numPr>
        <w:pStyle w:val="Compact"/>
      </w:pPr>
      <w:r>
        <w:t xml:space="preserve">Suggestions for doses, courses, or combination packages of several peptides for unapproved substances. There is no study basis for such regimens.</w:t>
      </w:r>
    </w:p>
    <w:bookmarkEnd w:id="2597"/>
    <w:bookmarkStart w:id="2598" w:name="signs-of-a-trustworthy-presentation"/>
    <w:p>
      <w:pPr>
        <w:pStyle w:val="Heading4"/>
      </w:pPr>
      <w:r>
        <w:t xml:space="preserve">Signs of a trustworthy presentation</w:t>
      </w:r>
    </w:p>
    <w:p>
      <w:pPr>
        <w:numPr>
          <w:ilvl w:val="0"/>
          <w:numId w:val="1334"/>
        </w:numPr>
        <w:pStyle w:val="Compact"/>
      </w:pPr>
      <w:r>
        <w:t xml:space="preserve">Animal and laboratory results are explicitly labeled as such.</w:t>
      </w:r>
    </w:p>
    <w:p>
      <w:pPr>
        <w:numPr>
          <w:ilvl w:val="0"/>
          <w:numId w:val="1334"/>
        </w:numPr>
        <w:pStyle w:val="Compact"/>
      </w:pPr>
      <w:r>
        <w:t xml:space="preserve">Negative and contradictory studies are named, not just the positive ones.</w:t>
      </w:r>
    </w:p>
    <w:p>
      <w:pPr>
        <w:numPr>
          <w:ilvl w:val="0"/>
          <w:numId w:val="1334"/>
        </w:numPr>
        <w:pStyle w:val="Compact"/>
      </w:pPr>
      <w:r>
        <w:t xml:space="preserve">Uncertainty is openly acknowledged (</w:t>
      </w:r>
      <w:r>
        <w:t xml:space="preserve">“</w:t>
      </w:r>
      <w:r>
        <w:t xml:space="preserve">The data are insufficient to assess …</w:t>
      </w:r>
      <w:r>
        <w:t xml:space="preserve">”</w:t>
      </w:r>
      <w:r>
        <w:t xml:space="preserve">).</w:t>
      </w:r>
    </w:p>
    <w:p>
      <w:pPr>
        <w:numPr>
          <w:ilvl w:val="0"/>
          <w:numId w:val="1334"/>
        </w:numPr>
        <w:pStyle w:val="Compact"/>
      </w:pPr>
      <w:r>
        <w:t xml:space="preserve">Legal status and doping status are mentioned.</w:t>
      </w:r>
    </w:p>
    <w:p>
      <w:pPr>
        <w:numPr>
          <w:ilvl w:val="0"/>
          <w:numId w:val="1334"/>
        </w:numPr>
        <w:pStyle w:val="Compact"/>
      </w:pPr>
      <w:r>
        <w:t xml:space="preserve">There is a clear statement that drugs belong in a physician’s hands and that gray-market products are not tested.</w:t>
      </w:r>
    </w:p>
    <w:bookmarkEnd w:id="2598"/>
    <w:bookmarkStart w:id="2599" w:name="three-questions-for-everyday-use"/>
    <w:p>
      <w:pPr>
        <w:pStyle w:val="Heading4"/>
      </w:pPr>
      <w:r>
        <w:t xml:space="preserve">Three questions for everyday use</w:t>
      </w:r>
    </w:p>
    <w:p>
      <w:pPr>
        <w:pStyle w:val="FirstParagraph"/>
      </w:pPr>
      <w:r>
        <w:t xml:space="preserve">If you have little time, three questions are often enough:</w:t>
      </w:r>
    </w:p>
    <w:p>
      <w:pPr>
        <w:numPr>
          <w:ilvl w:val="0"/>
          <w:numId w:val="1335"/>
        </w:numPr>
        <w:pStyle w:val="Compact"/>
      </w:pPr>
      <w:r>
        <w:t xml:space="preserve">Is the substance approved as a drug in the EU or the US for exactly this use?</w:t>
      </w:r>
    </w:p>
    <w:p>
      <w:pPr>
        <w:numPr>
          <w:ilvl w:val="0"/>
          <w:numId w:val="1335"/>
        </w:numPr>
        <w:pStyle w:val="Compact"/>
      </w:pPr>
      <w:r>
        <w:t xml:space="preserve">Is there at least one randomized, placebo-controlled study in humans that has shown the claimed benefit?</w:t>
      </w:r>
    </w:p>
    <w:p>
      <w:pPr>
        <w:numPr>
          <w:ilvl w:val="0"/>
          <w:numId w:val="1335"/>
        </w:numPr>
        <w:pStyle w:val="Compact"/>
      </w:pPr>
      <w:r>
        <w:t xml:space="preserve">Does the product come from a pharmacy – or from a source whose contents nobody checks?</w:t>
      </w:r>
    </w:p>
    <w:p>
      <w:pPr>
        <w:pStyle w:val="FirstParagraph"/>
      </w:pPr>
      <w:r>
        <w:t xml:space="preserve">If the answer to all three questions is</w:t>
      </w:r>
      <w:r>
        <w:t xml:space="preserve"> </w:t>
      </w:r>
      <w:r>
        <w:t xml:space="preserve">“</w:t>
      </w:r>
      <w:r>
        <w:t xml:space="preserve">no,</w:t>
      </w:r>
      <w:r>
        <w:t xml:space="preserve">”</w:t>
      </w:r>
      <w:r>
        <w:t xml:space="preserve"> </w:t>
      </w:r>
      <w:r>
        <w:t xml:space="preserve">the promise is based on hope, not evidence.</w:t>
      </w:r>
    </w:p>
    <w:bookmarkEnd w:id="2599"/>
    <w:bookmarkEnd w:id="2600"/>
    <w:bookmarkStart w:id="2601" w:name="conclusion-59"/>
    <w:p>
      <w:pPr>
        <w:pStyle w:val="Heading3"/>
      </w:pPr>
      <w:r>
        <w:t xml:space="preserve">Conclusion</w:t>
      </w:r>
    </w:p>
    <w:p>
      <w:pPr>
        <w:pStyle w:val="FirstParagraph"/>
      </w:pPr>
      <w:r>
        <w:t xml:space="preserve">The peptides most popular on the internet are almost without exception the most poorly studied. Their promises rely predominantly on animal experiments, on surrogate measures, or on studies of a different substance; where randomized studies in humans exist, they have mostly not confirmed the advertised benefit. This does not mean that none of these substances could ever have a benefit – but for none of them are the data sufficient to prove it. If you hear a claim about a peptide, ask for the source, check the study, and keep in mind the difference between a tested drug and a vial from the gray market.</w:t>
      </w:r>
    </w:p>
    <w:bookmarkEnd w:id="2601"/>
    <w:bookmarkEnd w:id="2602"/>
    <w:bookmarkEnd w:id="2603"/>
    <w:bookmarkStart w:id="2824" w:name="part-iv-risks"/>
    <w:p>
      <w:pPr>
        <w:pStyle w:val="Heading1"/>
      </w:pPr>
      <w:r>
        <w:t xml:space="preserve">Part IV – Risks</w:t>
      </w:r>
    </w:p>
    <w:p>
      <w:pPr>
        <w:pStyle w:val="FirstParagraph"/>
      </w:pPr>
      <w:r>
        <w:t xml:space="preserve">In Part II, each peptide has its own section</w:t>
      </w:r>
      <w:r>
        <w:t xml:space="preserve"> </w:t>
      </w:r>
      <w:r>
        <w:t xml:space="preserve">“</w:t>
      </w:r>
      <w:r>
        <w:t xml:space="preserve">Risks and side effects.</w:t>
      </w:r>
      <w:r>
        <w:t xml:space="preserve">”</w:t>
      </w:r>
      <w:r>
        <w:t xml:space="preserve"> </w:t>
      </w:r>
      <w:r>
        <w:t xml:space="preserve">This part does not repeat those sections. It places them side by side and asks across all agents: Which organs are affected? Which warning signs appear with several peptides? How robust is what we know? If you are looking for details on a specific substance, each point refers you to the relevant chapter.</w:t>
      </w:r>
    </w:p>
    <w:p>
      <w:pPr>
        <w:pStyle w:val="BodyText"/>
      </w:pPr>
      <w:r>
        <w:t xml:space="preserve">Before we begin, it is worth taking a brief look at how risks can be assessed in the first place. Three distinctions run through all of the following chapters.</w:t>
      </w:r>
    </w:p>
    <w:p>
      <w:pPr>
        <w:pStyle w:val="BodyText"/>
      </w:pPr>
      <w:r>
        <w:rPr>
          <w:bCs/>
          <w:b/>
        </w:rPr>
        <w:t xml:space="preserve">Proven, observed, or theoretical.</w:t>
      </w:r>
      <w:r>
        <w:t xml:space="preserve"> </w:t>
      </w:r>
      <w:r>
        <w:t xml:space="preserve">A risk is best established when it occurred more frequently with the agent than with placebo in randomized controlled trials (RCTs). Observational studies using insurance or registry data, by contrast, capture very large numbers of people and rare events, but cannot reliably separate cause from coincidental circumstance. Adverse event reporting databases show only signals: what is well known and much discussed gets reported more often. Finally, theoretical risks are derived from the mechanism of action, from animal experiments, or from cell cultures. They are not proof of harm – but for substances that have never been systematically studied in humans, they are often the only information available.</w:t>
      </w:r>
    </w:p>
    <w:p>
      <w:pPr>
        <w:pStyle w:val="BodyText"/>
      </w:pPr>
      <w:r>
        <w:rPr>
          <w:bCs/>
          <w:b/>
        </w:rPr>
        <w:t xml:space="preserve">Missing data are not safety.</w:t>
      </w:r>
      <w:r>
        <w:t xml:space="preserve"> </w:t>
      </w:r>
      <w:r>
        <w:t xml:space="preserve">If no treatment-related side effects were noticed in three small studies with a total of 30 people (as with BPC-157, Poolton 2026, PMID 42885452), this only means that no very common, immediately occurring problems arose. A side effect that affects one in a thousand people cannot be detected by such a small study at all. For many peptides in Groups B, C, and D, this is the starting point.</w:t>
      </w:r>
    </w:p>
    <w:p>
      <w:pPr>
        <w:pStyle w:val="BodyText"/>
      </w:pPr>
      <w:r>
        <w:rPr>
          <w:bCs/>
          <w:b/>
        </w:rPr>
        <w:t xml:space="preserve">Relative and absolute risk.</w:t>
      </w:r>
      <w:r>
        <w:t xml:space="preserve"> </w:t>
      </w:r>
      <w:r>
        <w:t xml:space="preserve">Headlines usually give relative figures:</w:t>
      </w:r>
      <w:r>
        <w:t xml:space="preserve"> </w:t>
      </w:r>
      <w:r>
        <w:t xml:space="preserve">“</w:t>
      </w:r>
      <w:r>
        <w:t xml:space="preserve">three times as common.</w:t>
      </w:r>
      <w:r>
        <w:t xml:space="preserve">”</w:t>
      </w:r>
      <w:r>
        <w:t xml:space="preserve"> </w:t>
      </w:r>
      <w:r>
        <w:t xml:space="preserve">What matters for your own weighing of risks, however, is how many people are actually affected. An example from this part: in a Danish-Norwegian registry study, a certain circulatory disorder of the optic nerve was almost three times as common with semaglutide as with a comparator drug (hazard ratio 2.81). In absolute terms, this meant around 1.4 additional cases per 10,000 person-years</w:t>
      </w:r>
      <w:r>
        <w:rPr>
          <w:rStyle w:val="FootnoteReference"/>
        </w:rPr>
        <w:footnoteReference w:id="2604"/>
      </w:r>
      <w:r>
        <w:t xml:space="preserve">. Both are correct – and both belong to the information.</w:t>
      </w:r>
    </w:p>
    <w:p>
      <w:pPr>
        <w:pStyle w:val="BodyText"/>
      </w:pPr>
      <w:r>
        <w:t xml:space="preserve">Finally, the balance of benefit and risk counts. A drug for type 2 diabetes that reduces heart attacks and strokes in large trials may have rare side effects that would be unacceptable for a tanning agent or a</w:t>
      </w:r>
      <w:r>
        <w:t xml:space="preserve"> </w:t>
      </w:r>
      <w:r>
        <w:t xml:space="preserve">“</w:t>
      </w:r>
      <w:r>
        <w:t xml:space="preserve">longevity peptide</w:t>
      </w:r>
      <w:r>
        <w:t xml:space="preserve">”</w:t>
      </w:r>
      <w:r>
        <w:t xml:space="preserve"> </w:t>
      </w:r>
      <w:r>
        <w:t xml:space="preserve">with no proven benefit. Someone who uses an approved drug with medical supervision and a clear indication is in a completely different situation from someone who injects an untested powder from the internet. How to read studies is explained in Part I in the chapter</w:t>
      </w:r>
      <w:r>
        <w:t xml:space="preserve"> </w:t>
      </w:r>
      <w:r>
        <w:t xml:space="preserve">“</w:t>
      </w:r>
      <w:r>
        <w:t xml:space="preserve">Reading Studies Correctly.</w:t>
      </w:r>
      <w:r>
        <w:t xml:space="preserve">”</w:t>
      </w:r>
    </w:p>
    <w:p>
      <w:pPr>
        <w:pStyle w:val="BodyText"/>
      </w:pPr>
      <w:r>
        <w:t xml:space="preserve">Part IV is structured as follows: this chapter organizes side effects by organ system. It is followed by chapters on cancer risk and growth signals, on immune reactions, on laboratory analyses of gray-market products, and on interactions and particularly vulnerable groups of people.</w:t>
      </w:r>
    </w:p>
    <w:bookmarkStart w:id="2662" w:name="side-effects-by-organ-system"/>
    <w:p>
      <w:pPr>
        <w:pStyle w:val="Heading2"/>
      </w:pPr>
      <w:r>
        <w:t xml:space="preserve">Side Effects by Organ System</w:t>
      </w:r>
    </w:p>
    <w:p>
      <w:pPr>
        <w:pStyle w:val="FirstParagraph"/>
      </w:pPr>
      <w:r>
        <w:t xml:space="preserve">The following overview summarizes which organ systems are most frequently affected by which peptides. The column</w:t>
      </w:r>
      <w:r>
        <w:t xml:space="preserve"> </w:t>
      </w:r>
      <w:r>
        <w:t xml:space="preserve">“</w:t>
      </w:r>
      <w:r>
        <w:t xml:space="preserve">Frequency/evidence</w:t>
      </w:r>
      <w:r>
        <w:t xml:space="preserve">”</w:t>
      </w:r>
      <w:r>
        <w:t xml:space="preserve"> </w:t>
      </w:r>
      <w:r>
        <w:t xml:space="preserve">gives a typical order of magnitude from one of the studies discussed in this chapter or in the indicated peptide chapter. The figures come from different studies and populations and are therefore only roughly comparable.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Organ system</w:t>
            </w:r>
          </w:p>
        </w:tc>
        <w:tc>
          <w:tcPr/>
          <w:p>
            <w:pPr>
              <w:pStyle w:val="Compact"/>
              <w:jc w:val="left"/>
            </w:pPr>
            <w:r>
              <w:t xml:space="preserve">Peptides affected</w:t>
            </w:r>
          </w:p>
        </w:tc>
        <w:tc>
          <w:tcPr/>
          <w:p>
            <w:pPr>
              <w:pStyle w:val="Compact"/>
              <w:jc w:val="left"/>
            </w:pPr>
            <w:r>
              <w:t xml:space="preserve">Frequency/evidence</w:t>
            </w:r>
          </w:p>
        </w:tc>
        <w:tc>
          <w:tcPr/>
          <w:p>
            <w:pPr>
              <w:pStyle w:val="Compact"/>
              <w:jc w:val="left"/>
            </w:pPr>
            <w:r>
              <w:t xml:space="preserve">Chapter</w:t>
            </w:r>
          </w:p>
        </w:tc>
      </w:tr>
      <w:tr>
        <w:tc>
          <w:tcPr/>
          <w:p>
            <w:pPr>
              <w:pStyle w:val="Compact"/>
              <w:jc w:val="left"/>
            </w:pPr>
            <w:r>
              <w:t xml:space="preserve">Gastrointestinal</w:t>
            </w:r>
          </w:p>
        </w:tc>
        <w:tc>
          <w:tcPr/>
          <w:p>
            <w:pPr>
              <w:pStyle w:val="Compact"/>
              <w:jc w:val="left"/>
            </w:pPr>
            <w:r>
              <w:t xml:space="preserve">all GLP-1 drugs, pramlintide, bremelanotide, setmelanotide</w:t>
            </w:r>
          </w:p>
        </w:tc>
        <w:tc>
          <w:tcPr/>
          <w:p>
            <w:pPr>
              <w:pStyle w:val="Compact"/>
              <w:jc w:val="left"/>
            </w:pPr>
            <w:r>
              <w:t xml:space="preserve">very common; CagriSema 79.6% vs. 39.9% on placebo (Garvey 2025, PMID 40544433)</w:t>
            </w:r>
          </w:p>
        </w:tc>
        <w:tc>
          <w:tcPr/>
          <w:p>
            <w:pPr>
              <w:pStyle w:val="Compact"/>
              <w:jc w:val="left"/>
            </w:pPr>
            <w:r>
              <w:t xml:space="preserve">Semaglutide, Survodutide, Cagrilintide</w:t>
            </w:r>
          </w:p>
        </w:tc>
      </w:tr>
      <w:tr>
        <w:tc>
          <w:tcPr/>
          <w:p>
            <w:pPr>
              <w:pStyle w:val="Compact"/>
              <w:jc w:val="left"/>
            </w:pPr>
            <w:r>
              <w:t xml:space="preserve">Gallbladder</w:t>
            </w:r>
          </w:p>
        </w:tc>
        <w:tc>
          <w:tcPr/>
          <w:p>
            <w:pPr>
              <w:pStyle w:val="Compact"/>
              <w:jc w:val="left"/>
            </w:pPr>
            <w:r>
              <w:t xml:space="preserve">GLP-1 class, especially with weight loss</w:t>
            </w:r>
          </w:p>
        </w:tc>
        <w:tc>
          <w:tcPr/>
          <w:p>
            <w:pPr>
              <w:pStyle w:val="Compact"/>
              <w:jc w:val="left"/>
            </w:pPr>
            <w:r>
              <w:t xml:space="preserve">relative risk 1.37 (all studies), 2.29 (weight-loss studies)</w:t>
            </w:r>
          </w:p>
        </w:tc>
        <w:tc>
          <w:tcPr/>
          <w:p>
            <w:pPr>
              <w:pStyle w:val="Compact"/>
              <w:jc w:val="left"/>
            </w:pPr>
            <w:r>
              <w:t xml:space="preserve">Liraglutide, Tirzepatide</w:t>
            </w:r>
          </w:p>
        </w:tc>
      </w:tr>
      <w:tr>
        <w:tc>
          <w:tcPr/>
          <w:p>
            <w:pPr>
              <w:pStyle w:val="Compact"/>
              <w:jc w:val="left"/>
            </w:pPr>
            <w:r>
              <w:t xml:space="preserve">Pancreas</w:t>
            </w:r>
          </w:p>
        </w:tc>
        <w:tc>
          <w:tcPr/>
          <w:p>
            <w:pPr>
              <w:pStyle w:val="Compact"/>
              <w:jc w:val="left"/>
            </w:pPr>
            <w:r>
              <w:t xml:space="preserve">GLP-1 class</w:t>
            </w:r>
          </w:p>
        </w:tc>
        <w:tc>
          <w:tcPr/>
          <w:p>
            <w:pPr>
              <w:pStyle w:val="Compact"/>
              <w:jc w:val="left"/>
            </w:pPr>
            <w:r>
              <w:t xml:space="preserve">signal in meta-analyses, rare in absolute terms</w:t>
            </w:r>
          </w:p>
        </w:tc>
        <w:tc>
          <w:tcPr/>
          <w:p>
            <w:pPr>
              <w:pStyle w:val="Compact"/>
              <w:jc w:val="left"/>
            </w:pPr>
            <w:r>
              <w:t xml:space="preserve">Exenatide, Semaglutide</w:t>
            </w:r>
          </w:p>
        </w:tc>
      </w:tr>
      <w:tr>
        <w:tc>
          <w:tcPr/>
          <w:p>
            <w:pPr>
              <w:pStyle w:val="Compact"/>
              <w:jc w:val="left"/>
            </w:pPr>
            <w:r>
              <w:t xml:space="preserve">Thyroid</w:t>
            </w:r>
          </w:p>
        </w:tc>
        <w:tc>
          <w:tcPr/>
          <w:p>
            <w:pPr>
              <w:pStyle w:val="Compact"/>
              <w:jc w:val="left"/>
            </w:pPr>
            <w:r>
              <w:t xml:space="preserve">GLP-1 class</w:t>
            </w:r>
          </w:p>
        </w:tc>
        <w:tc>
          <w:tcPr/>
          <w:p>
            <w:pPr>
              <w:pStyle w:val="Compact"/>
              <w:jc w:val="left"/>
            </w:pPr>
            <w:r>
              <w:t xml:space="preserve">animal finding established, inconsistent in humans</w:t>
            </w:r>
          </w:p>
        </w:tc>
        <w:tc>
          <w:tcPr/>
          <w:p>
            <w:pPr>
              <w:pStyle w:val="Compact"/>
              <w:jc w:val="left"/>
            </w:pPr>
            <w:r>
              <w:t xml:space="preserve">Liraglutide, chapter on cancer risk</w:t>
            </w:r>
          </w:p>
        </w:tc>
      </w:tr>
      <w:tr>
        <w:tc>
          <w:tcPr/>
          <w:p>
            <w:pPr>
              <w:pStyle w:val="Compact"/>
              <w:jc w:val="left"/>
            </w:pPr>
            <w:r>
              <w:t xml:space="preserve">Eyes</w:t>
            </w:r>
          </w:p>
        </w:tc>
        <w:tc>
          <w:tcPr/>
          <w:p>
            <w:pPr>
              <w:pStyle w:val="Compact"/>
              <w:jc w:val="left"/>
            </w:pPr>
            <w:r>
              <w:t xml:space="preserve">Semaglutide (NAION, retinopathy)</w:t>
            </w:r>
          </w:p>
        </w:tc>
        <w:tc>
          <w:tcPr/>
          <w:p>
            <w:pPr>
              <w:pStyle w:val="Compact"/>
              <w:jc w:val="left"/>
            </w:pPr>
            <w:r>
              <w:t xml:space="preserve">very rare; around 1.4 additional cases per 10,000 person-years</w:t>
            </w:r>
          </w:p>
        </w:tc>
        <w:tc>
          <w:tcPr/>
          <w:p>
            <w:pPr>
              <w:pStyle w:val="Compact"/>
              <w:jc w:val="left"/>
            </w:pPr>
            <w:r>
              <w:t xml:space="preserve">Semaglutide</w:t>
            </w:r>
          </w:p>
        </w:tc>
      </w:tr>
      <w:tr>
        <w:tc>
          <w:tcPr/>
          <w:p>
            <w:pPr>
              <w:pStyle w:val="Compact"/>
              <w:jc w:val="left"/>
            </w:pPr>
            <w:r>
              <w:t xml:space="preserve">Cardiovascular, fluid</w:t>
            </w:r>
          </w:p>
        </w:tc>
        <w:tc>
          <w:tcPr/>
          <w:p>
            <w:pPr>
              <w:pStyle w:val="Compact"/>
              <w:jc w:val="left"/>
            </w:pPr>
            <w:r>
              <w:t xml:space="preserve">GH secretagogues, ibutamoren, bremelanotide, macimorelin, oxytocin</w:t>
            </w:r>
          </w:p>
        </w:tc>
        <w:tc>
          <w:tcPr/>
          <w:p>
            <w:pPr>
              <w:pStyle w:val="Compact"/>
              <w:jc w:val="left"/>
            </w:pPr>
            <w:r>
              <w:t xml:space="preserve">heart failure signal, blood pressure spikes, QT prolongation</w:t>
            </w:r>
          </w:p>
        </w:tc>
        <w:tc>
          <w:tcPr/>
          <w:p>
            <w:pPr>
              <w:pStyle w:val="Compact"/>
              <w:jc w:val="left"/>
            </w:pPr>
            <w:r>
              <w:t xml:space="preserve">Ibutamoren, Bremelanotide, Macimorelin</w:t>
            </w:r>
          </w:p>
        </w:tc>
      </w:tr>
      <w:tr>
        <w:tc>
          <w:tcPr/>
          <w:p>
            <w:pPr>
              <w:pStyle w:val="Compact"/>
              <w:jc w:val="left"/>
            </w:pPr>
            <w:r>
              <w:t xml:space="preserve">Mental health</w:t>
            </w:r>
          </w:p>
        </w:tc>
        <w:tc>
          <w:tcPr/>
          <w:p>
            <w:pPr>
              <w:pStyle w:val="Compact"/>
              <w:jc w:val="left"/>
            </w:pPr>
            <w:r>
              <w:t xml:space="preserve">GLP-1 class (tested), setmelanotide, Semax</w:t>
            </w:r>
          </w:p>
        </w:tc>
        <w:tc>
          <w:tcPr/>
          <w:p>
            <w:pPr>
              <w:pStyle w:val="Compact"/>
              <w:jc w:val="left"/>
            </w:pPr>
            <w:r>
              <w:t xml:space="preserve">no increased risk in 86 RCTs</w:t>
            </w:r>
          </w:p>
        </w:tc>
        <w:tc>
          <w:tcPr/>
          <w:p>
            <w:pPr>
              <w:pStyle w:val="Compact"/>
              <w:jc w:val="left"/>
            </w:pPr>
            <w:r>
              <w:t xml:space="preserve">Semaglutide, Tirzepatide, Setmelanotide</w:t>
            </w:r>
          </w:p>
        </w:tc>
      </w:tr>
      <w:tr>
        <w:tc>
          <w:tcPr/>
          <w:p>
            <w:pPr>
              <w:pStyle w:val="Compact"/>
              <w:jc w:val="left"/>
            </w:pPr>
            <w:r>
              <w:t xml:space="preserve">Skin, pigment</w:t>
            </w:r>
          </w:p>
        </w:tc>
        <w:tc>
          <w:tcPr/>
          <w:p>
            <w:pPr>
              <w:pStyle w:val="Compact"/>
              <w:jc w:val="left"/>
            </w:pPr>
            <w:r>
              <w:t xml:space="preserve">Melanotan II, setmelanotide, afamelanotide, bremelanotide, LL-37</w:t>
            </w:r>
          </w:p>
        </w:tc>
        <w:tc>
          <w:tcPr/>
          <w:p>
            <w:pPr>
              <w:pStyle w:val="Compact"/>
              <w:jc w:val="left"/>
            </w:pPr>
            <w:r>
              <w:t xml:space="preserve">pigmentation with setmelanotide 62%; melanoma case reports with Melanotan II</w:t>
            </w:r>
          </w:p>
        </w:tc>
        <w:tc>
          <w:tcPr/>
          <w:p>
            <w:pPr>
              <w:pStyle w:val="Compact"/>
              <w:jc w:val="left"/>
            </w:pPr>
            <w:r>
              <w:t xml:space="preserve">Melanotan II, Setmelanotide</w:t>
            </w:r>
          </w:p>
        </w:tc>
      </w:tr>
      <w:tr>
        <w:tc>
          <w:tcPr/>
          <w:p>
            <w:pPr>
              <w:pStyle w:val="Compact"/>
              <w:jc w:val="left"/>
            </w:pPr>
            <w:r>
              <w:t xml:space="preserve">Endocrine system</w:t>
            </w:r>
          </w:p>
        </w:tc>
        <w:tc>
          <w:tcPr/>
          <w:p>
            <w:pPr>
              <w:pStyle w:val="Compact"/>
              <w:jc w:val="left"/>
            </w:pPr>
            <w:r>
              <w:t xml:space="preserve">GHRP-2, GHRP-6, hexarelin, kisspeptin, gonadorelin</w:t>
            </w:r>
          </w:p>
        </w:tc>
        <w:tc>
          <w:tcPr/>
          <w:p>
            <w:pPr>
              <w:pStyle w:val="Compact"/>
              <w:jc w:val="left"/>
            </w:pPr>
            <w:r>
              <w:t xml:space="preserve">rise in cortisol and prolactin; suppression of the axis with continuous administration</w:t>
            </w:r>
          </w:p>
        </w:tc>
        <w:tc>
          <w:tcPr/>
          <w:p>
            <w:pPr>
              <w:pStyle w:val="Compact"/>
              <w:jc w:val="left"/>
            </w:pPr>
            <w:r>
              <w:t xml:space="preserve">Group C, Kisspeptin</w:t>
            </w:r>
          </w:p>
        </w:tc>
      </w:tr>
      <w:tr>
        <w:tc>
          <w:tcPr/>
          <w:p>
            <w:pPr>
              <w:pStyle w:val="Compact"/>
              <w:jc w:val="left"/>
            </w:pPr>
            <w:r>
              <w:t xml:space="preserve">Blood sugar</w:t>
            </w:r>
          </w:p>
        </w:tc>
        <w:tc>
          <w:tcPr/>
          <w:p>
            <w:pPr>
              <w:pStyle w:val="Compact"/>
              <w:jc w:val="left"/>
            </w:pPr>
            <w:r>
              <w:t xml:space="preserve">mecasermin, pramlintide, GLP-1 with insulin/sulfonylurea; GH axis</w:t>
            </w:r>
          </w:p>
        </w:tc>
        <w:tc>
          <w:tcPr/>
          <w:p>
            <w:pPr>
              <w:pStyle w:val="Compact"/>
              <w:jc w:val="left"/>
            </w:pPr>
            <w:r>
              <w:t xml:space="preserve">hypoglycemia in 49% on mecasermin; higher blood sugar on ibutamoren</w:t>
            </w:r>
          </w:p>
        </w:tc>
        <w:tc>
          <w:tcPr/>
          <w:p>
            <w:pPr>
              <w:pStyle w:val="Compact"/>
              <w:jc w:val="left"/>
            </w:pPr>
            <w:r>
              <w:t xml:space="preserve">Mecasermin, Pramlintide, Ibutamoren</w:t>
            </w:r>
          </w:p>
        </w:tc>
      </w:tr>
    </w:tbl>
    <w:bookmarkStart w:id="2614" w:name="gastrointestinal-tract"/>
    <w:p>
      <w:pPr>
        <w:pStyle w:val="Heading3"/>
      </w:pPr>
      <w:r>
        <w:t xml:space="preserve">Gastrointestinal tract</w:t>
      </w:r>
    </w:p>
    <w:p>
      <w:pPr>
        <w:pStyle w:val="FirstParagraph"/>
      </w:pPr>
      <w:r>
        <w:t xml:space="preserve">No other organ system is affected as frequently. Nausea, vomiting, diarrhea, and constipation are the typical side effects of all drugs that act on the GLP-1 receptor – from the older exenatide through semaglutide and tirzepatide to the new multi-agonists. A review that summarized 60 meta-analyses with a combined 1,751 randomized trials found the most reliable signals precisely here: the odds of nausea with GLP-1 receptor agonists were about two and a half times as high as in the comparison groups (odds ratio 2.47), almost three times as high for vomiting (2.78), and about twice as high for diarrhea (1.94)</w:t>
      </w:r>
      <w:r>
        <w:rPr>
          <w:rStyle w:val="FootnoteReference"/>
        </w:rPr>
        <w:footnoteReference w:id="2605"/>
      </w:r>
      <w:r>
        <w:t xml:space="preserve">.</w:t>
      </w:r>
    </w:p>
    <w:p>
      <w:pPr>
        <w:pStyle w:val="BodyText"/>
      </w:pPr>
      <w:r>
        <w:t xml:space="preserve">How frequent the complaints are depends strongly on the agent, the dose, and the pace of dose escalation. A network meta-analysis of 39 trials with 33,354 people with overweight without diabetes found an increased risk of nausea for all agents studied, most pronounced for orforglipron, followed by exenatide, tirzepatide, semaglutide, and liraglutide</w:t>
      </w:r>
      <w:r>
        <w:rPr>
          <w:rStyle w:val="FootnoteReference"/>
        </w:rPr>
        <w:footnoteReference w:id="2606"/>
      </w:r>
      <w:r>
        <w:t xml:space="preserve">. Rates are particularly high for agents with an additional glucagon component: in the fatty liver study of survodutide, 66% had nausea compared with 23% on placebo</w:t>
      </w:r>
      <w:r>
        <w:rPr>
          <w:rStyle w:val="FootnoteReference"/>
        </w:rPr>
        <w:footnoteReference w:id="2607"/>
      </w:r>
      <w:r>
        <w:t xml:space="preserve">. Details are in the chapters Survodutide, Mazdutide, and Retatrutide.</w:t>
      </w:r>
    </w:p>
    <w:p>
      <w:pPr>
        <w:pStyle w:val="BodyText"/>
      </w:pPr>
      <w:r>
        <w:t xml:space="preserve">Nausea is also common outside the GLP-1 group. With bremelanotide, it occurred in 40.0% versus 1.3% on placebo in the phase 3 trials and was the most common reason for discontinuation</w:t>
      </w:r>
      <w:r>
        <w:rPr>
          <w:rStyle w:val="FootnoteReference"/>
        </w:rPr>
        <w:footnoteReference w:id="2608"/>
      </w:r>
      <w:r>
        <w:t xml:space="preserve">. With pramlintide, 63% reported nausea, 36% on placebo</w:t>
      </w:r>
      <w:r>
        <w:rPr>
          <w:rStyle w:val="FootnoteReference"/>
        </w:rPr>
        <w:footnoteReference w:id="2609"/>
      </w:r>
      <w:r>
        <w:t xml:space="preserve">. With setmelanotide, the figure was 36% in a meta-analysis of seven studies</w:t>
      </w:r>
      <w:r>
        <w:rPr>
          <w:rStyle w:val="FootnoteReference"/>
        </w:rPr>
        <w:footnoteReference w:id="2610"/>
      </w:r>
      <w:r>
        <w:t xml:space="preserve">.</w:t>
      </w:r>
    </w:p>
    <w:p>
      <w:pPr>
        <w:pStyle w:val="BodyText"/>
      </w:pPr>
      <w:r>
        <w:t xml:space="preserve">More important than the frequency of nausea is the question of</w:t>
      </w:r>
      <w:r>
        <w:t xml:space="preserve"> </w:t>
      </w:r>
      <w:r>
        <w:rPr>
          <w:bCs/>
          <w:b/>
        </w:rPr>
        <w:t xml:space="preserve">serious</w:t>
      </w:r>
      <w:r>
        <w:t xml:space="preserve"> </w:t>
      </w:r>
      <w:r>
        <w:t xml:space="preserve">gastrointestinal events. A 2023 database analysis had reported an increased risk of pancreatitis, bowel obstruction, and gastroparesis (stomach paralysis) for GLP-1 receptor agonists used for weight loss</w:t>
      </w:r>
      <w:r>
        <w:rPr>
          <w:rStyle w:val="FootnoteReference"/>
        </w:rPr>
        <w:footnoteReference w:id="2611"/>
      </w:r>
      <w:r>
        <w:t xml:space="preserve">. A meta-analysis of 55 placebo-controlled trials with 106,395 participants did not confirm this for most of these events. Gallstones were increased (relative risk 1.46; two additional cases per 1,000 treated), and probably reflux disease (relative risk 2.19; four additional cases per 1,000). For bowel obstruction, gastroparesis, ulcers, or bleeding, no clear difference was found</w:t>
      </w:r>
      <w:r>
        <w:rPr>
          <w:rStyle w:val="FootnoteReference"/>
        </w:rPr>
        <w:footnoteReference w:id="2612"/>
      </w:r>
      <w:r>
        <w:t xml:space="preserve">. In a cohort study using routine data, tirzepatide and semaglutide hardly differed with regard to serious gastrointestinal events</w:t>
      </w:r>
      <w:r>
        <w:rPr>
          <w:rStyle w:val="FootnoteReference"/>
        </w:rPr>
        <w:footnoteReference w:id="2613"/>
      </w:r>
      <w:r>
        <w:t xml:space="preserve">.</w:t>
      </w:r>
    </w:p>
    <w:p>
      <w:pPr>
        <w:pStyle w:val="BodyText"/>
      </w:pPr>
      <w:r>
        <w:t xml:space="preserve">Of practical importance is that persistent vomiting and diarrhea can lead to fluid loss. In the studies, the complaints occur mainly during the dose escalation phase; this is why the prescribing information for the approved drugs provides for a stepwise approach that should be supervised by a physician. With gray-market products whose contents are unknown, such a schedule cannot be reliably followed (see the chapter</w:t>
      </w:r>
      <w:r>
        <w:t xml:space="preserve"> </w:t>
      </w:r>
      <w:r>
        <w:t xml:space="preserve">“</w:t>
      </w:r>
      <w:r>
        <w:t xml:space="preserve">Gray-Market Products</w:t>
      </w:r>
      <w:r>
        <w:t xml:space="preserve">”</w:t>
      </w:r>
      <w:r>
        <w:t xml:space="preserve">).</w:t>
      </w:r>
    </w:p>
    <w:bookmarkEnd w:id="2614"/>
    <w:bookmarkStart w:id="2618" w:name="gallbladder-and-pancreas"/>
    <w:p>
      <w:pPr>
        <w:pStyle w:val="Heading3"/>
      </w:pPr>
      <w:r>
        <w:t xml:space="preserve">Gallbladder and pancreas</w:t>
      </w:r>
    </w:p>
    <w:p>
      <w:pPr>
        <w:pStyle w:val="FirstParagraph"/>
      </w:pPr>
      <w:r>
        <w:t xml:space="preserve">For the gallbladder, the risk is now well established. A meta-analysis of 76 randomized trials with 103,371 participants found a 37% increased relative risk of gallbladder and biliary disease with GLP-1 receptor agonists. In weight-loss trials, the relative risk of 2.29 was considerably higher than in diabetes trials</w:t>
      </w:r>
      <w:r>
        <w:rPr>
          <w:rStyle w:val="FootnoteReference"/>
        </w:rPr>
        <w:footnoteReference w:id="2615"/>
      </w:r>
      <w:r>
        <w:t xml:space="preserve">. Part of the effect is likely due to the rapid weight loss itself, which is known to promote gallstones. In STEP TEENS, 5 of 133 adolescents on semaglutide developed gallstones, none on placebo</w:t>
      </w:r>
      <w:r>
        <w:rPr>
          <w:rStyle w:val="FootnoteReference"/>
        </w:rPr>
        <w:footnoteReference w:id="2616"/>
      </w:r>
      <w:r>
        <w:t xml:space="preserve">.</w:t>
      </w:r>
    </w:p>
    <w:p>
      <w:pPr>
        <w:pStyle w:val="BodyText"/>
      </w:pPr>
      <w:r>
        <w:t xml:space="preserve">For the pancreas, the situation is less clear-cut. A meta-analysis of 62 trials with 66,232 participants found an overall slightly increased risk of pancreatitis (relative risk 1.44). When the studies were separated according to whether participants were also taking other medications, the difference was no longer statistically significant in either group</w:t>
      </w:r>
      <w:r>
        <w:rPr>
          <w:rStyle w:val="FootnoteReference"/>
        </w:rPr>
        <w:footnoteReference w:id="2617"/>
      </w:r>
      <w:r>
        <w:t xml:space="preserve">. The absolute frequency is low; in the large outcome trials, pancreatitis occurred rarely. The prescribing information lists it as a rare side effect. Severe, persistent upper abdominal pain, often radiating to the back, should always be evaluated by a physician with these drugs. For the question of pancreatic cancer, see the following chapter.</w:t>
      </w:r>
    </w:p>
    <w:bookmarkEnd w:id="2618"/>
    <w:bookmarkStart w:id="2620" w:name="thyroid"/>
    <w:p>
      <w:pPr>
        <w:pStyle w:val="Heading3"/>
      </w:pPr>
      <w:r>
        <w:t xml:space="preserve">Thyroid</w:t>
      </w:r>
    </w:p>
    <w:p>
      <w:pPr>
        <w:pStyle w:val="FirstParagraph"/>
      </w:pPr>
      <w:r>
        <w:t xml:space="preserve">The concern about the thyroid comes from animal experiments: in rats and mice, GLP-1 receptor agonists led to growths and tumors of the C cells, which produce the hormone calcitonin. In humans, the data are inconsistent. A direct indication of C-cell stimulation would be a rise in calcitonin in the blood. In the LEADER trial with 9,340 participants, calcitonin levels after 36 months did not differ between liraglutide and placebo, and no medullary thyroid carcinoma occurred with liraglutide</w:t>
      </w:r>
      <w:r>
        <w:rPr>
          <w:rStyle w:val="FootnoteReference"/>
        </w:rPr>
        <w:footnoteReference w:id="2619"/>
      </w:r>
      <w:r>
        <w:t xml:space="preserve">. How the cancer question should be assessed overall is covered in the chapter</w:t>
      </w:r>
      <w:r>
        <w:t xml:space="preserve"> </w:t>
      </w:r>
      <w:r>
        <w:t xml:space="preserve">“</w:t>
      </w:r>
      <w:r>
        <w:t xml:space="preserve">Cancer Risk and Growth Signals.</w:t>
      </w:r>
      <w:r>
        <w:t xml:space="preserve">”</w:t>
      </w:r>
      <w:r>
        <w:t xml:space="preserve"> </w:t>
      </w:r>
      <w:r>
        <w:t xml:space="preserve">Independently of this, the prescribing information lists a contraindication for a personal or family history of medullary thyroid carcinoma and for MEN 2 syndrome.</w:t>
      </w:r>
    </w:p>
    <w:bookmarkEnd w:id="2620"/>
    <w:bookmarkStart w:id="2628" w:name="eyes-retina-and-optic-nerve"/>
    <w:p>
      <w:pPr>
        <w:pStyle w:val="Heading3"/>
      </w:pPr>
      <w:r>
        <w:t xml:space="preserve">Eyes: retina and optic nerve</w:t>
      </w:r>
    </w:p>
    <w:p>
      <w:pPr>
        <w:pStyle w:val="FirstParagraph"/>
      </w:pPr>
      <w:r>
        <w:t xml:space="preserve">There are two different questions here.</w:t>
      </w:r>
    </w:p>
    <w:p>
      <w:pPr>
        <w:pStyle w:val="BodyText"/>
      </w:pPr>
      <w:r>
        <w:rPr>
          <w:bCs/>
          <w:b/>
        </w:rPr>
        <w:t xml:space="preserve">Diabetic retinopathy.</w:t>
      </w:r>
      <w:r>
        <w:t xml:space="preserve"> </w:t>
      </w:r>
      <w:r>
        <w:t xml:space="preserve">In SUSTAIN 6, a cardiovascular trial with 3,297 people with type 2 diabetes, complications of diabetic retinal disease occurred more frequently with semaglutide than with placebo (hazard ratio 1.76)</w:t>
      </w:r>
      <w:r>
        <w:rPr>
          <w:rStyle w:val="FootnoteReference"/>
        </w:rPr>
        <w:footnoteReference w:id="2621"/>
      </w:r>
      <w:r>
        <w:t xml:space="preserve">. It is suspected that a very rapid lowering of blood sugar temporarily worsens pre-existing retinopathy – a phenomenon also known from insulin. A meta-analysis of 78 trials with 73,640 participants found no overall increased risk of diabetic retinopathy (odds ratio 1.04) or of eye disease in general</w:t>
      </w:r>
      <w:r>
        <w:rPr>
          <w:rStyle w:val="FootnoteReference"/>
        </w:rPr>
        <w:footnoteReference w:id="2622"/>
      </w:r>
      <w:r>
        <w:t xml:space="preserve">. For people with known retinopathy, ophthalmological follow-up nevertheless remains advisable.</w:t>
      </w:r>
    </w:p>
    <w:p>
      <w:pPr>
        <w:pStyle w:val="BodyText"/>
      </w:pPr>
      <w:r>
        <w:rPr>
          <w:bCs/>
          <w:b/>
        </w:rPr>
        <w:t xml:space="preserve">NAION.</w:t>
      </w:r>
      <w:r>
        <w:t xml:space="preserve"> </w:t>
      </w:r>
      <w:r>
        <w:t xml:space="preserve">Non-arteritic anterior ischemic optic neuropathy is a circulatory disorder at the head of the optic nerve that usually leads painlessly to sudden vision loss in one eye. Since a first study from a neuro-ophthalmology clinic</w:t>
      </w:r>
      <w:r>
        <w:rPr>
          <w:rStyle w:val="FootnoteReference"/>
        </w:rPr>
        <w:footnoteReference w:id="2623"/>
      </w:r>
      <w:r>
        <w:t xml:space="preserve">, many further studies have been published, with varying results:</w:t>
      </w:r>
    </w:p>
    <w:p>
      <w:pPr>
        <w:numPr>
          <w:ilvl w:val="0"/>
          <w:numId w:val="1336"/>
        </w:numPr>
        <w:pStyle w:val="Compact"/>
      </w:pPr>
      <w:r>
        <w:t xml:space="preserve">The Danish-Norwegian registry study found an increased relative risk (hazard ratio 2.81), in absolute terms around 1.4 additional cases per 10,000 person-years</w:t>
      </w:r>
      <w:r>
        <w:rPr>
          <w:rStyle w:val="FootnoteReference"/>
        </w:rPr>
        <w:footnoteReference w:id="2624"/>
      </w:r>
      <w:r>
        <w:t xml:space="preserve">.</w:t>
      </w:r>
    </w:p>
    <w:p>
      <w:pPr>
        <w:numPr>
          <w:ilvl w:val="0"/>
          <w:numId w:val="1336"/>
        </w:numPr>
        <w:pStyle w:val="Compact"/>
      </w:pPr>
      <w:r>
        <w:t xml:space="preserve">In a US cohort of 159,398 people with type 2 diabetes, 0.04% on semaglutide or tirzepatide and 0.02% in the comparison group developed the condition over two years (hazard ratio 1.76)</w:t>
      </w:r>
      <w:r>
        <w:rPr>
          <w:rStyle w:val="FootnoteReference"/>
        </w:rPr>
        <w:footnoteReference w:id="2625"/>
      </w:r>
      <w:r>
        <w:t xml:space="preserve">.</w:t>
      </w:r>
    </w:p>
    <w:p>
      <w:pPr>
        <w:numPr>
          <w:ilvl w:val="0"/>
          <w:numId w:val="1336"/>
        </w:numPr>
        <w:pStyle w:val="Compact"/>
      </w:pPr>
      <w:r>
        <w:t xml:space="preserve">An international database study with almost 300,000 people found no established association</w:t>
      </w:r>
      <w:r>
        <w:rPr>
          <w:rStyle w:val="FootnoteReference"/>
        </w:rPr>
        <w:footnoteReference w:id="2626"/>
      </w:r>
      <w:r>
        <w:t xml:space="preserve">.</w:t>
      </w:r>
    </w:p>
    <w:p>
      <w:pPr>
        <w:numPr>
          <w:ilvl w:val="0"/>
          <w:numId w:val="1336"/>
        </w:numPr>
        <w:pStyle w:val="Compact"/>
      </w:pPr>
      <w:r>
        <w:t xml:space="preserve">A meta-analysis saw the signal only in observational studies in diabetes, not in randomized trials and not in obesity</w:t>
      </w:r>
      <w:r>
        <w:rPr>
          <w:rStyle w:val="FootnoteReference"/>
        </w:rPr>
        <w:footnoteReference w:id="2627"/>
      </w:r>
      <w:r>
        <w:t xml:space="preserve">.</w:t>
      </w:r>
    </w:p>
    <w:p>
      <w:pPr>
        <w:pStyle w:val="FirstParagraph"/>
      </w:pPr>
      <w:r>
        <w:t xml:space="preserve">In summary: a small increased risk is possible, the absolute frequency very low. In 2025, the European Medicines Agency added NAION to the prescribing information as a very rare side effect of semaglutide. Sudden vision loss is an emergency in any case. Details in the chapter Semaglutide.</w:t>
      </w:r>
    </w:p>
    <w:bookmarkEnd w:id="2628"/>
    <w:bookmarkStart w:id="2637" w:name="Xbde6c1ba934959fabd37095aaafa369f895b46a"/>
    <w:p>
      <w:pPr>
        <w:pStyle w:val="Heading3"/>
      </w:pPr>
      <w:r>
        <w:t xml:space="preserve">Cardiovascular system and fluid retention</w:t>
      </w:r>
    </w:p>
    <w:p>
      <w:pPr>
        <w:pStyle w:val="FirstParagraph"/>
      </w:pPr>
      <w:r>
        <w:t xml:space="preserve">For the GLP-1 drugs, according to current knowledge, the benefit for the heart and blood vessels predominates: in SUSTAIN 6, major cardiovascular events occurred less frequently with semaglutide (6.6% versus 8.9%)</w:t>
      </w:r>
      <w:r>
        <w:rPr>
          <w:rStyle w:val="FootnoteReference"/>
        </w:rPr>
        <w:footnoteReference w:id="2629"/>
      </w:r>
      <w:r>
        <w:t xml:space="preserve">. A slight rise in resting heart rate, however, is a class property and is in some cases more pronounced with the new multi-agonists. With retatrutide in TRIUMPH-2, low blood pressure also occurred in 1 to 6%, compared with less than 1% on placebo</w:t>
      </w:r>
      <w:r>
        <w:rPr>
          <w:rStyle w:val="FootnoteReference"/>
        </w:rPr>
        <w:footnoteReference w:id="2630"/>
      </w:r>
      <w:r>
        <w:t xml:space="preserve">. See the chapters Retatrutide and Survodutide.</w:t>
      </w:r>
    </w:p>
    <w:p>
      <w:pPr>
        <w:pStyle w:val="BodyText"/>
      </w:pPr>
      <w:r>
        <w:t xml:space="preserve">The</w:t>
      </w:r>
      <w:r>
        <w:t xml:space="preserve"> </w:t>
      </w:r>
      <w:r>
        <w:rPr>
          <w:bCs/>
          <w:b/>
        </w:rPr>
        <w:t xml:space="preserve">growth hormone axis</w:t>
      </w:r>
      <w:r>
        <w:t xml:space="preserve"> </w:t>
      </w:r>
      <w:r>
        <w:t xml:space="preserve">shows an entirely different pattern. Growth hormone causes the body to retain water. In a review of studies in healthy older people, swelling of tissues, joint pain, carpal tunnel syndrome, and breast enlargement in men occurred more frequently with growth hormone</w:t>
      </w:r>
      <w:r>
        <w:rPr>
          <w:rStyle w:val="FootnoteReference"/>
        </w:rPr>
        <w:footnoteReference w:id="2631"/>
      </w:r>
      <w:r>
        <w:t xml:space="preserve">. A similar pattern is to be expected for the secretagogues, which stimulate the body’s own release. It was most evident with oral ibutamoren: a study in older people after hip fracture was stopped early because of a signal for heart failure</w:t>
      </w:r>
      <w:r>
        <w:rPr>
          <w:rStyle w:val="FootnoteReference"/>
        </w:rPr>
        <w:footnoteReference w:id="2632"/>
      </w:r>
      <w:r>
        <w:t xml:space="preserve">. A heart that is already weakened copes poorly with additional fluid.</w:t>
      </w:r>
    </w:p>
    <w:p>
      <w:pPr>
        <w:pStyle w:val="BodyText"/>
      </w:pPr>
      <w:r>
        <w:t xml:space="preserve">Further individual findings:</w:t>
      </w:r>
    </w:p>
    <w:p>
      <w:pPr>
        <w:numPr>
          <w:ilvl w:val="0"/>
          <w:numId w:val="1337"/>
        </w:numPr>
        <w:pStyle w:val="Compact"/>
      </w:pPr>
      <w:r>
        <w:rPr>
          <w:bCs/>
          <w:b/>
        </w:rPr>
        <w:t xml:space="preserve">Bremelanotide</w:t>
      </w:r>
      <w:r>
        <w:t xml:space="preserve"> </w:t>
      </w:r>
      <w:r>
        <w:t xml:space="preserve">temporarily raised systolic blood pressure after administration by 2.4 to 3.2 mmHg; the peaks usually lasted less than 15 minutes, while heart rate fell at the same time</w:t>
      </w:r>
      <w:r>
        <w:rPr>
          <w:rStyle w:val="FootnoteReference"/>
        </w:rPr>
        <w:footnoteReference w:id="2633"/>
      </w:r>
      <w:r>
        <w:t xml:space="preserve">.</w:t>
      </w:r>
    </w:p>
    <w:p>
      <w:pPr>
        <w:numPr>
          <w:ilvl w:val="0"/>
          <w:numId w:val="1337"/>
        </w:numPr>
        <w:pStyle w:val="Compact"/>
      </w:pPr>
      <w:r>
        <w:rPr>
          <w:bCs/>
          <w:b/>
        </w:rPr>
        <w:t xml:space="preserve">Macimorelin</w:t>
      </w:r>
      <w:r>
        <w:t xml:space="preserve">, in a deliberately excessive single dose, prolonged the QT interval on the ECG by an average of up to 9.61 milliseconds</w:t>
      </w:r>
      <w:r>
        <w:rPr>
          <w:rStyle w:val="FootnoteReference"/>
        </w:rPr>
        <w:footnoteReference w:id="2634"/>
      </w:r>
      <w:r>
        <w:t xml:space="preserve"> </w:t>
      </w:r>
      <w:r>
        <w:t xml:space="preserve">– relevant for people taking other QT-prolonging medications.</w:t>
      </w:r>
    </w:p>
    <w:p>
      <w:pPr>
        <w:numPr>
          <w:ilvl w:val="0"/>
          <w:numId w:val="1337"/>
        </w:numPr>
        <w:pStyle w:val="Compact"/>
      </w:pPr>
      <w:r>
        <w:rPr>
          <w:bCs/>
          <w:b/>
        </w:rPr>
        <w:t xml:space="preserve">Oxytocin</w:t>
      </w:r>
      <w:r>
        <w:t xml:space="preserve"> </w:t>
      </w:r>
      <w:r>
        <w:t xml:space="preserve">is chemically similar to the fluid-balance hormone vasopressin. One case of increased intracranial pressure with oxytocin nasal spray combined with very high fluid intake has been described</w:t>
      </w:r>
      <w:r>
        <w:rPr>
          <w:rStyle w:val="FootnoteReference"/>
        </w:rPr>
        <w:footnoteReference w:id="2635"/>
      </w:r>
      <w:r>
        <w:t xml:space="preserve">.</w:t>
      </w:r>
    </w:p>
    <w:p>
      <w:pPr>
        <w:numPr>
          <w:ilvl w:val="0"/>
          <w:numId w:val="1337"/>
        </w:numPr>
        <w:pStyle w:val="Compact"/>
      </w:pPr>
      <w:r>
        <w:rPr>
          <w:bCs/>
          <w:b/>
        </w:rPr>
        <w:t xml:space="preserve">Melanotan II:</w:t>
      </w:r>
      <w:r>
        <w:t xml:space="preserve"> </w:t>
      </w:r>
      <w:r>
        <w:t xml:space="preserve">case reports of muscle breakdown with kidney damage</w:t>
      </w:r>
      <w:r>
        <w:rPr>
          <w:rStyle w:val="FootnoteReference"/>
        </w:rPr>
        <w:footnoteReference w:id="2636"/>
      </w:r>
      <w:r>
        <w:t xml:space="preserve"> </w:t>
      </w:r>
      <w:r>
        <w:t xml:space="preserve">and a kidney infarction; see the chapter Melanotan II.</w:t>
      </w:r>
    </w:p>
    <w:bookmarkEnd w:id="2637"/>
    <w:bookmarkStart w:id="2642" w:name="mental-health-and-suicidality"/>
    <w:p>
      <w:pPr>
        <w:pStyle w:val="Heading3"/>
      </w:pPr>
      <w:r>
        <w:t xml:space="preserve">Mental health and suicidality</w:t>
      </w:r>
    </w:p>
    <w:p>
      <w:pPr>
        <w:pStyle w:val="FirstParagraph"/>
      </w:pPr>
      <w:r>
        <w:t xml:space="preserve">In 2023, individual reports of suicidal thoughts with semaglutide and liraglutide triggered regulatory reviews in Europe and the US. The data are now considerably better and predominantly reassuring. A meta-analysis of 86 randomized trials with 133,378 participants found no increased risk with GLP-1 receptor agonists for mental illness overall (relative risk 0.96), for depression (0.88), suicide (0.90), or anxiety disorders (0.92)</w:t>
      </w:r>
      <w:r>
        <w:rPr>
          <w:rStyle w:val="FootnoteReference"/>
        </w:rPr>
        <w:footnoteReference w:id="2638"/>
      </w:r>
      <w:r>
        <w:t xml:space="preserve">. In a Scandinavian registry study of 124,517 people on GLP-1 receptor agonists, the risk of suicide was not increased compared with another diabetes drug; the upper limit of the confidence interval corresponded to at most 0.16 additional deaths per 1,000 person-years</w:t>
      </w:r>
      <w:r>
        <w:rPr>
          <w:rStyle w:val="FootnoteReference"/>
        </w:rPr>
        <w:footnoteReference w:id="2639"/>
      </w:r>
      <w:r>
        <w:t xml:space="preserve">. In the SURMOUNT trials, 0.6% each on tirzepatide and placebo reported suicidal thoughts</w:t>
      </w:r>
      <w:r>
        <w:rPr>
          <w:rStyle w:val="FootnoteReference"/>
        </w:rPr>
        <w:footnoteReference w:id="2640"/>
      </w:r>
      <w:r>
        <w:t xml:space="preserve">. In adolescents, too, a meta-analysis found no increase in suicidal behavior or depression</w:t>
      </w:r>
      <w:r>
        <w:rPr>
          <w:rStyle w:val="FootnoteReference"/>
        </w:rPr>
        <w:footnoteReference w:id="2641"/>
      </w:r>
      <w:r>
        <w:t xml:space="preserve">.</w:t>
      </w:r>
    </w:p>
    <w:p>
      <w:pPr>
        <w:pStyle w:val="BodyText"/>
      </w:pPr>
      <w:r>
        <w:t xml:space="preserve">One limitation remains: people with severe mental illness were excluded from many studies. For them and for people with eating disorders, separate considerations apply (see the chapter</w:t>
      </w:r>
      <w:r>
        <w:t xml:space="preserve"> </w:t>
      </w:r>
      <w:r>
        <w:t xml:space="preserve">“</w:t>
      </w:r>
      <w:r>
        <w:t xml:space="preserve">Interactions and Special Risk Groups</w:t>
      </w:r>
      <w:r>
        <w:t xml:space="preserve">”</w:t>
      </w:r>
      <w:r>
        <w:t xml:space="preserve">).</w:t>
      </w:r>
    </w:p>
    <w:p>
      <w:pPr>
        <w:pStyle w:val="BodyText"/>
      </w:pPr>
      <w:r>
        <w:t xml:space="preserve">Other peptides act more directly on the brain. The prescribing information for setmelanotide contains warnings about depression and suicidal thoughts (chapter Setmelanotide). For Semax, a seizure-like EEG change has been described in individual people with pre-existing brain damage (chapter Semax). For most of the</w:t>
      </w:r>
      <w:r>
        <w:t xml:space="preserve"> </w:t>
      </w:r>
      <w:r>
        <w:t xml:space="preserve">“</w:t>
      </w:r>
      <w:r>
        <w:t xml:space="preserve">nootropic peptides</w:t>
      </w:r>
      <w:r>
        <w:t xml:space="preserve">”</w:t>
      </w:r>
      <w:r>
        <w:t xml:space="preserve"> </w:t>
      </w:r>
      <w:r>
        <w:t xml:space="preserve">in Group D, there are simply no systematic data on psychiatric side effects.</w:t>
      </w:r>
    </w:p>
    <w:bookmarkEnd w:id="2642"/>
    <w:bookmarkStart w:id="2650" w:name="skin-and-pigment"/>
    <w:p>
      <w:pPr>
        <w:pStyle w:val="Heading3"/>
      </w:pPr>
      <w:r>
        <w:t xml:space="preserve">Skin and pigment</w:t>
      </w:r>
    </w:p>
    <w:p>
      <w:pPr>
        <w:pStyle w:val="FirstParagraph"/>
      </w:pPr>
      <w:r>
        <w:t xml:space="preserve">The most conspicuous skin changes are caused by peptides that act on the</w:t>
      </w:r>
      <w:r>
        <w:t xml:space="preserve"> </w:t>
      </w:r>
      <w:r>
        <w:rPr>
          <w:bCs/>
          <w:b/>
        </w:rPr>
        <w:t xml:space="preserve">melanocortin 1 receptor</w:t>
      </w:r>
      <w:r>
        <w:t xml:space="preserve"> </w:t>
      </w:r>
      <w:r>
        <w:t xml:space="preserve">of the pigment cells. With setmelanotide, which is actually supposed to act on the melanocortin 4 receptor in the brain, the skin darkened in 62% of those treated in a meta-analysis</w:t>
      </w:r>
      <w:r>
        <w:rPr>
          <w:rStyle w:val="FootnoteReference"/>
        </w:rPr>
        <w:footnoteReference w:id="2643"/>
      </w:r>
      <w:r>
        <w:t xml:space="preserve">. In an observation over up to 46 months, lips and moles also darkened, and red hair turned brown; no malignant skin changes occurred</w:t>
      </w:r>
      <w:r>
        <w:rPr>
          <w:rStyle w:val="FootnoteReference"/>
        </w:rPr>
        <w:footnoteReference w:id="2644"/>
      </w:r>
      <w:r>
        <w:t xml:space="preserve">. Bremelanotide, when given on up to 16 consecutive days, caused localized dark patches in more than a third of participants</w:t>
      </w:r>
      <w:r>
        <w:rPr>
          <w:rStyle w:val="FootnoteReference"/>
        </w:rPr>
        <w:footnoteReference w:id="2645"/>
      </w:r>
      <w:r>
        <w:t xml:space="preserve">.</w:t>
      </w:r>
    </w:p>
    <w:p>
      <w:pPr>
        <w:pStyle w:val="BodyText"/>
      </w:pPr>
      <w:r>
        <w:t xml:space="preserve">With the unapproved Melanotan II, newly appearing, sometimes atypical moles are added to this. A review of all published cases of suddenly appearing moles, with 179 affected people, named Melanotan among the triggers; 16% of all cases had at least one histologically atypical (dysplastic) mole</w:t>
      </w:r>
      <w:r>
        <w:rPr>
          <w:rStyle w:val="FootnoteReference"/>
        </w:rPr>
        <w:footnoteReference w:id="2646"/>
      </w:r>
      <w:r>
        <w:t xml:space="preserve">. Whether this results in a higher melanoma risk is covered in the next chapter.</w:t>
      </w:r>
    </w:p>
    <w:p>
      <w:pPr>
        <w:pStyle w:val="BodyText"/>
      </w:pPr>
      <w:r>
        <w:t xml:space="preserve">With the GLP-1 drugs, other skin findings are in the foreground. A systematic review names injection-site reactions as most common with tirzepatide (2 to 7%) and abnormal skin sensations (dysesthesia) mainly with semaglutide: at about 5% with standard doses and up to 20% with the high obesity doses</w:t>
      </w:r>
      <w:r>
        <w:rPr>
          <w:rStyle w:val="FootnoteReference"/>
        </w:rPr>
        <w:footnoteReference w:id="2647"/>
      </w:r>
      <w:r>
        <w:t xml:space="preserve">. With retatrutide in TRIUMPH-2, dysesthesia occurred dose-dependently in 4 to 7%, compared with 1% on placebo</w:t>
      </w:r>
      <w:r>
        <w:rPr>
          <w:rStyle w:val="FootnoteReference"/>
        </w:rPr>
        <w:footnoteReference w:id="2648"/>
      </w:r>
      <w:r>
        <w:t xml:space="preserve">. Injection-site reactions and allergies are summarized in the chapter</w:t>
      </w:r>
      <w:r>
        <w:t xml:space="preserve"> </w:t>
      </w:r>
      <w:r>
        <w:t xml:space="preserve">“</w:t>
      </w:r>
      <w:r>
        <w:t xml:space="preserve">Immune Reactions and Antibodies.</w:t>
      </w:r>
      <w:r>
        <w:t xml:space="preserve">”</w:t>
      </w:r>
    </w:p>
    <w:p>
      <w:pPr>
        <w:pStyle w:val="BodyText"/>
      </w:pPr>
      <w:r>
        <w:t xml:space="preserve">LL-37 is a special case: after injections into skin metastases, a patient developed numerous wart-like skin changes, initially thought to be cancer, which regressed after the treatment was stopped</w:t>
      </w:r>
      <w:r>
        <w:rPr>
          <w:rStyle w:val="FootnoteReference"/>
        </w:rPr>
        <w:footnoteReference w:id="2649"/>
      </w:r>
      <w:r>
        <w:t xml:space="preserve">. Authorities have repeatedly warned about glutathione injections for skin lightening (chapter Glutathione).</w:t>
      </w:r>
    </w:p>
    <w:bookmarkEnd w:id="2650"/>
    <w:bookmarkStart w:id="2654" w:name="endocrine-system"/>
    <w:p>
      <w:pPr>
        <w:pStyle w:val="Heading3"/>
      </w:pPr>
      <w:r>
        <w:t xml:space="preserve">Endocrine system</w:t>
      </w:r>
    </w:p>
    <w:p>
      <w:pPr>
        <w:pStyle w:val="FirstParagraph"/>
      </w:pPr>
      <w:r>
        <w:t xml:space="preserve">Many peptides are themselves hormones or mimic hormones. It is therefore not surprising that they intervene in regulatory circuits beyond their actual target.</w:t>
      </w:r>
    </w:p>
    <w:p>
      <w:pPr>
        <w:numPr>
          <w:ilvl w:val="0"/>
          <w:numId w:val="1338"/>
        </w:numPr>
        <w:pStyle w:val="Compact"/>
      </w:pPr>
      <w:r>
        <w:rPr>
          <w:bCs/>
          <w:b/>
        </w:rPr>
        <w:t xml:space="preserve">Stress hormones and prolactin:</w:t>
      </w:r>
      <w:r>
        <w:t xml:space="preserve"> </w:t>
      </w:r>
      <w:r>
        <w:t xml:space="preserve">The ghrelin mimetics GHRP-2, GHRP-6, hexarelin, and macimorelin release not only growth hormone but also ACTH and cortisol, and some additionally prolactin. With GHRP-2, this effect is so reliable that it has been studied as a test of the adrenal axis</w:t>
      </w:r>
      <w:r>
        <w:rPr>
          <w:rStyle w:val="FootnoteReference"/>
        </w:rPr>
        <w:footnoteReference w:id="2651"/>
      </w:r>
      <w:r>
        <w:t xml:space="preserve">. What repeated stimulation over months does has not been studied (chapters GHRP-2, GHRP-6, Hexarelin).</w:t>
      </w:r>
    </w:p>
    <w:p>
      <w:pPr>
        <w:numPr>
          <w:ilvl w:val="0"/>
          <w:numId w:val="1338"/>
        </w:numPr>
        <w:pStyle w:val="Compact"/>
      </w:pPr>
      <w:r>
        <w:rPr>
          <w:bCs/>
          <w:b/>
        </w:rPr>
        <w:t xml:space="preserve">Suppression instead of stimulation:</w:t>
      </w:r>
      <w:r>
        <w:t xml:space="preserve"> </w:t>
      </w:r>
      <w:r>
        <w:t xml:space="preserve">Hormones that are released in pulses in the body often have the opposite effect when given continuously. With the kisspeptin analog TAK-448, testosterone in healthy men fell into the castration range during a 14-day continuous infusion</w:t>
      </w:r>
      <w:r>
        <w:rPr>
          <w:rStyle w:val="FootnoteReference"/>
        </w:rPr>
        <w:footnoteReference w:id="2652"/>
      </w:r>
      <w:r>
        <w:t xml:space="preserve">. The same principle applies to gonadorelin when it is not given in the right rhythm (chapters Kisspeptin, Gonadorelin).</w:t>
      </w:r>
    </w:p>
    <w:p>
      <w:pPr>
        <w:numPr>
          <w:ilvl w:val="0"/>
          <w:numId w:val="1338"/>
        </w:numPr>
        <w:pStyle w:val="Compact"/>
      </w:pPr>
      <w:r>
        <w:rPr>
          <w:bCs/>
          <w:b/>
        </w:rPr>
        <w:t xml:space="preserve">Breast enlargement in men</w:t>
      </w:r>
      <w:r>
        <w:t xml:space="preserve"> </w:t>
      </w:r>
      <w:r>
        <w:t xml:space="preserve">is a known consequence of increased growth hormone action</w:t>
      </w:r>
      <w:r>
        <w:rPr>
          <w:rStyle w:val="FootnoteReference"/>
        </w:rPr>
        <w:footnoteReference w:id="2653"/>
      </w:r>
      <w:r>
        <w:t xml:space="preserve">.</w:t>
      </w:r>
    </w:p>
    <w:p>
      <w:pPr>
        <w:numPr>
          <w:ilvl w:val="0"/>
          <w:numId w:val="1338"/>
        </w:numPr>
        <w:pStyle w:val="Compact"/>
      </w:pPr>
      <w:r>
        <w:rPr>
          <w:bCs/>
          <w:b/>
        </w:rPr>
        <w:t xml:space="preserve">Sexual function:</w:t>
      </w:r>
      <w:r>
        <w:t xml:space="preserve"> </w:t>
      </w:r>
      <w:r>
        <w:t xml:space="preserve">Melanocortin agonists can trigger spontaneous erections; with Melanotan II, cases of priapism, a painful persistent erection, have been described (chapters Melanotan II, Setmelanotide).</w:t>
      </w:r>
    </w:p>
    <w:bookmarkEnd w:id="2654"/>
    <w:bookmarkStart w:id="2660" w:name="blood-sugar"/>
    <w:p>
      <w:pPr>
        <w:pStyle w:val="Heading3"/>
      </w:pPr>
      <w:r>
        <w:t xml:space="preserve">Blood sugar</w:t>
      </w:r>
    </w:p>
    <w:p>
      <w:pPr>
        <w:pStyle w:val="FirstParagraph"/>
      </w:pPr>
      <w:r>
        <w:t xml:space="preserve">Peptides can shift blood sugar in both directions – and both directions are relevant.</w:t>
      </w:r>
    </w:p>
    <w:p>
      <w:pPr>
        <w:pStyle w:val="BodyText"/>
      </w:pPr>
      <w:r>
        <w:rPr>
          <w:bCs/>
          <w:b/>
        </w:rPr>
        <w:t xml:space="preserve">Hypoglycemia (low blood sugar).</w:t>
      </w:r>
      <w:r>
        <w:t xml:space="preserve"> </w:t>
      </w:r>
      <w:r>
        <w:t xml:space="preserve">The greatest risk is with mecasermin, that is, IGF-1 as a drug: in a long-term study of 76 children, hypoglycemia was the most common side effect at 49%</w:t>
      </w:r>
      <w:r>
        <w:rPr>
          <w:rStyle w:val="FootnoteReference"/>
        </w:rPr>
        <w:footnoteReference w:id="2655"/>
      </w:r>
      <w:r>
        <w:t xml:space="preserve">. For the laboratory product IGF-1 LR3, a similar or greater risk is biologically plausible but has never been measured (chapter IGF-1 LR3). Pramlintide enhances the effect of insulin injected at the same time; severe hypoglycemia was more frequent than with placebo in one study (0.57 versus 0.30 events per patient-year)</w:t>
      </w:r>
      <w:r>
        <w:rPr>
          <w:rStyle w:val="FootnoteReference"/>
        </w:rPr>
        <w:footnoteReference w:id="2656"/>
      </w:r>
      <w:r>
        <w:t xml:space="preserve">. GLP-1 drugs alone hardly lower blood sugar into the dangerous range because their effect is coupled to blood sugar. In combination with sulfonylureas or insulin, however, the risk rises: with exenatide added to metformin and a sulfonylurea, mild to moderate hypoglycemia occurred in 28% and 19%, respectively, compared with 13% on placebo</w:t>
      </w:r>
      <w:r>
        <w:rPr>
          <w:rStyle w:val="FootnoteReference"/>
        </w:rPr>
        <w:footnoteReference w:id="2657"/>
      </w:r>
      <w:r>
        <w:t xml:space="preserve">. More on this in the chapter</w:t>
      </w:r>
      <w:r>
        <w:t xml:space="preserve"> </w:t>
      </w:r>
      <w:r>
        <w:t xml:space="preserve">“</w:t>
      </w:r>
      <w:r>
        <w:t xml:space="preserve">Interactions and Special Risk Groups.</w:t>
      </w:r>
      <w:r>
        <w:t xml:space="preserve">”</w:t>
      </w:r>
    </w:p>
    <w:p>
      <w:pPr>
        <w:pStyle w:val="BodyText"/>
      </w:pPr>
      <w:r>
        <w:t xml:space="preserve">Severe hypoglycemia after a supposed</w:t>
      </w:r>
      <w:r>
        <w:t xml:space="preserve"> </w:t>
      </w:r>
      <w:r>
        <w:t xml:space="preserve">“</w:t>
      </w:r>
      <w:r>
        <w:t xml:space="preserve">weight-loss injection</w:t>
      </w:r>
      <w:r>
        <w:t xml:space="preserve">”</w:t>
      </w:r>
      <w:r>
        <w:t xml:space="preserve"> </w:t>
      </w:r>
      <w:r>
        <w:t xml:space="preserve">in a person without diabetes is a warning sign of a counterfeit containing insulin. The cases are described in Part I in the chapter</w:t>
      </w:r>
      <w:r>
        <w:t xml:space="preserve"> </w:t>
      </w:r>
      <w:r>
        <w:t xml:space="preserve">“</w:t>
      </w:r>
      <w:r>
        <w:t xml:space="preserve">The Gray Market.</w:t>
      </w:r>
      <w:r>
        <w:t xml:space="preserve">”</w:t>
      </w:r>
    </w:p>
    <w:p>
      <w:pPr>
        <w:pStyle w:val="BodyText"/>
      </w:pPr>
      <w:r>
        <w:rPr>
          <w:bCs/>
          <w:b/>
        </w:rPr>
        <w:t xml:space="preserve">Higher blood sugar.</w:t>
      </w:r>
      <w:r>
        <w:t xml:space="preserve"> </w:t>
      </w:r>
      <w:r>
        <w:t xml:space="preserve">Growth hormone counteracts insulin. With ibutamoren, fasting blood sugar in healthy older people rose by an average of 0.3 mmol/L, and body weight by 2.7 kg compared with 0.8 kg on placebo</w:t>
      </w:r>
      <w:r>
        <w:rPr>
          <w:rStyle w:val="FootnoteReference"/>
        </w:rPr>
        <w:footnoteReference w:id="2658"/>
      </w:r>
      <w:r>
        <w:t xml:space="preserve">. In the review of growth hormone in older people, new-onset diabetes and impaired fasting glucose occurred somewhat more frequently</w:t>
      </w:r>
      <w:r>
        <w:rPr>
          <w:rStyle w:val="FootnoteReference"/>
        </w:rPr>
        <w:footnoteReference w:id="2659"/>
      </w:r>
      <w:r>
        <w:t xml:space="preserve">. With tesamorelin, fasting blood sugar rose temporarily in the first weeks (chapter Tesamorelin). For people with diabetes or its precursors, the growth hormone axis is therefore particularly delicate.</w:t>
      </w:r>
    </w:p>
    <w:bookmarkEnd w:id="2660"/>
    <w:bookmarkStart w:id="2661" w:name="what-the-comparison-reveals"/>
    <w:p>
      <w:pPr>
        <w:pStyle w:val="Heading3"/>
      </w:pPr>
      <w:r>
        <w:t xml:space="preserve">What the comparison reveals</w:t>
      </w:r>
    </w:p>
    <w:p>
      <w:pPr>
        <w:pStyle w:val="FirstParagraph"/>
      </w:pPr>
      <w:r>
        <w:t xml:space="preserve">Across all organ systems, three patterns emerge.</w:t>
      </w:r>
    </w:p>
    <w:p>
      <w:pPr>
        <w:pStyle w:val="BodyText"/>
      </w:pPr>
      <w:r>
        <w:t xml:space="preserve">First: the best-studied peptides – the approved GLP-1 drugs – have the best-known side effects. This is not because they are particularly dangerous, but because hundreds of thousands of people have been observed in studies and registries. Common complaints affect the gastrointestinal tract and are usually transient; more serious risks such as gallstones are established but rare in absolute terms; signals such as NAION are very rare and are being investigated further.</w:t>
      </w:r>
    </w:p>
    <w:p>
      <w:pPr>
        <w:pStyle w:val="BodyText"/>
      </w:pPr>
      <w:r>
        <w:t xml:space="preserve">Second: the peptides of the growth hormone axis share a common profile of fluid retention, higher blood sugar, and a rise in stress hormones. For use over months or years in healthy people, there are virtually no data.</w:t>
      </w:r>
    </w:p>
    <w:p>
      <w:pPr>
        <w:pStyle w:val="BodyText"/>
      </w:pPr>
      <w:r>
        <w:t xml:space="preserve">Third: for the majority of peptides in Groups B and D, organ risks cannot be described at all, because nobody has systematically looked for them. There, the greatest practical risk lies not in the active ingredient but in the product – more on this in the chapter</w:t>
      </w:r>
      <w:r>
        <w:t xml:space="preserve"> </w:t>
      </w:r>
      <w:r>
        <w:t xml:space="preserve">“</w:t>
      </w:r>
      <w:r>
        <w:t xml:space="preserve">Gray-Market Products.</w:t>
      </w:r>
      <w:r>
        <w:t xml:space="preserve">”</w:t>
      </w:r>
    </w:p>
    <w:bookmarkEnd w:id="2661"/>
    <w:bookmarkEnd w:id="2662"/>
    <w:bookmarkStart w:id="2703" w:name="cancer-risk-and-growth-signals"/>
    <w:p>
      <w:pPr>
        <w:pStyle w:val="Heading2"/>
      </w:pPr>
      <w:r>
        <w:t xml:space="preserve">Cancer Risk and Growth Signals</w:t>
      </w:r>
    </w:p>
    <w:p>
      <w:pPr>
        <w:pStyle w:val="FirstParagraph"/>
      </w:pPr>
      <w:r>
        <w:t xml:space="preserve">Many peptides are advertised precisely because they are supposed to stimulate growth: of muscles, tendons, blood vessels, nerve cells, or hair. But growth is not selective. The signaling pathways through which tissues heal and renew themselves are also used by cancer cells. This is why the same question comes up with almost every</w:t>
      </w:r>
      <w:r>
        <w:t xml:space="preserve"> </w:t>
      </w:r>
      <w:r>
        <w:t xml:space="preserve">“</w:t>
      </w:r>
      <w:r>
        <w:t xml:space="preserve">healing,</w:t>
      </w:r>
      <w:r>
        <w:t xml:space="preserve">”</w:t>
      </w:r>
      <w:r>
        <w:t xml:space="preserve"> </w:t>
      </w:r>
      <w:r>
        <w:t xml:space="preserve">“</w:t>
      </w:r>
      <w:r>
        <w:t xml:space="preserve">anti-aging,</w:t>
      </w:r>
      <w:r>
        <w:t xml:space="preserve">”</w:t>
      </w:r>
      <w:r>
        <w:t xml:space="preserve"> </w:t>
      </w:r>
      <w:r>
        <w:t xml:space="preserve">or growth hormone peptide: can it promote cancer?</w:t>
      </w:r>
    </w:p>
    <w:p>
      <w:pPr>
        <w:pStyle w:val="BodyText"/>
      </w:pPr>
      <w:r>
        <w:t xml:space="preserve">This chapter summarizes what is known about this – separated according to the four mechanisms that come up again and again in Part II: the growth hormone–IGF-1 axis, the formation of new blood vessels, the stimulation of pigment cells, and the effect of GLP-1 drugs on the thyroid and pancreas. At the end is an overview of the latest large analyses of GLP-1 drugs and cancer.</w:t>
      </w:r>
    </w:p>
    <w:bookmarkStart w:id="2664" w:name="how-to-assess-the-cancer-question"/>
    <w:p>
      <w:pPr>
        <w:pStyle w:val="Heading3"/>
      </w:pPr>
      <w:r>
        <w:t xml:space="preserve">How to assess the cancer question</w:t>
      </w:r>
    </w:p>
    <w:p>
      <w:pPr>
        <w:pStyle w:val="FirstParagraph"/>
      </w:pPr>
      <w:r>
        <w:t xml:space="preserve">Four points help in reading the following data.</w:t>
      </w:r>
    </w:p>
    <w:p>
      <w:pPr>
        <w:pStyle w:val="BodyText"/>
      </w:pPr>
      <w:r>
        <w:rPr>
          <w:bCs/>
          <w:b/>
        </w:rPr>
        <w:t xml:space="preserve">Initiating or promoting.</w:t>
      </w:r>
      <w:r>
        <w:t xml:space="preserve"> </w:t>
      </w:r>
      <w:r>
        <w:t xml:space="preserve">A substance can initiate cancer by damaging the genetic material. With peptides, another possibility is discussed more often: a growth signal could make an already existing, still undetected tumor grow faster – much as fertilizer acts on a plant that is already in the soil. For this second possibility, it is enough for the substance to stimulate cell division, cell survival, or the formation of new blood vessels.</w:t>
      </w:r>
    </w:p>
    <w:p>
      <w:pPr>
        <w:pStyle w:val="BodyText"/>
      </w:pPr>
      <w:r>
        <w:rPr>
          <w:bCs/>
          <w:b/>
        </w:rPr>
        <w:t xml:space="preserve">Time.</w:t>
      </w:r>
      <w:r>
        <w:t xml:space="preserve"> </w:t>
      </w:r>
      <w:r>
        <w:t xml:space="preserve">Cancer develops over years to decades. Most peptide studies run for weeks to a few years. Even large approval trials can hardly capture a slowly emerging risk. That requires registries and observational studies over long periods – which in turn are prone to bias.</w:t>
      </w:r>
    </w:p>
    <w:p>
      <w:pPr>
        <w:pStyle w:val="BodyText"/>
      </w:pPr>
      <w:r>
        <w:rPr>
          <w:bCs/>
          <w:b/>
        </w:rPr>
        <w:t xml:space="preserve">Detection bias.</w:t>
      </w:r>
      <w:r>
        <w:t xml:space="preserve"> </w:t>
      </w:r>
      <w:r>
        <w:t xml:space="preserve">People who are examined more often because of a drug also have tumors found more often. An example: a meta-analysis found slightly more colorectal cancer diagnoses in shorter GLP-1 trials and suggested as an explanation that gastrointestinal complaints led to more colonoscopies</w:t>
      </w:r>
      <w:r>
        <w:rPr>
          <w:rStyle w:val="FootnoteReference"/>
        </w:rPr>
        <w:footnoteReference w:id="2663"/>
      </w:r>
      <w:r>
        <w:t xml:space="preserve">.</w:t>
      </w:r>
    </w:p>
    <w:p>
      <w:pPr>
        <w:pStyle w:val="BodyText"/>
      </w:pPr>
      <w:r>
        <w:rPr>
          <w:bCs/>
          <w:b/>
        </w:rPr>
        <w:t xml:space="preserve">The opposite direction.</w:t>
      </w:r>
      <w:r>
        <w:t xml:space="preserve"> </w:t>
      </w:r>
      <w:r>
        <w:t xml:space="preserve">Overweight increases the risk of at least 13 types of cancer. A drug that strongly reduces weight could therefore lower overall cancer risk, even if there is a small signal for a single organ. The two can only be considered separately.</w:t>
      </w:r>
    </w:p>
    <w:bookmarkEnd w:id="2664"/>
    <w:bookmarkStart w:id="2674" w:name="growth-hormone-and-igf-1"/>
    <w:p>
      <w:pPr>
        <w:pStyle w:val="Heading3"/>
      </w:pPr>
      <w:r>
        <w:t xml:space="preserve">Growth hormone and IGF-1</w:t>
      </w:r>
    </w:p>
    <w:p>
      <w:pPr>
        <w:pStyle w:val="FirstParagraph"/>
      </w:pPr>
      <w:r>
        <w:t xml:space="preserve">Growth hormone acts to a large extent via IGF-1, insulin-like growth factor 1. IGF-1 stimulates cells to divide and protects them from programmed cell death. All peptides in Group C – sermorelin, tesamorelin, CJC-1295, ipamorelin, the GHRP family, mecasermin, and IGF-1 LR3 – as well as ibutamoren, discussed for comparison, raise IGF-1 directly or indirectly. The evidence on the cancer question comes from five sources.</w:t>
      </w:r>
    </w:p>
    <w:p>
      <w:pPr>
        <w:pStyle w:val="BodyText"/>
      </w:pPr>
      <w:r>
        <w:rPr>
          <w:bCs/>
          <w:b/>
        </w:rPr>
        <w:t xml:space="preserve">Naturally higher IGF-1 levels.</w:t>
      </w:r>
      <w:r>
        <w:t xml:space="preserve"> </w:t>
      </w:r>
      <w:r>
        <w:t xml:space="preserve">A meta-analysis of 21 studies found that people with high IGF-1 levels had a higher risk of prostate cancer (odds ratio 1.49 when comparing an IGF-1 level at the 75th with one at the 25th percentile) and of premenopausal breast cancer (1.65); the authors explicitly called the associations</w:t>
      </w:r>
      <w:r>
        <w:t xml:space="preserve"> </w:t>
      </w:r>
      <w:r>
        <w:t xml:space="preserve">“</w:t>
      </w:r>
      <w:r>
        <w:t xml:space="preserve">modest</w:t>
      </w:r>
      <w:r>
        <w:t xml:space="preserve">”</w:t>
      </w:r>
      <w:r>
        <w:rPr>
          <w:rStyle w:val="FootnoteReference"/>
        </w:rPr>
        <w:footnoteReference w:id="2665"/>
      </w:r>
      <w:r>
        <w:t xml:space="preserve">. In the UK Biobank with 206,263 women, breast cancer risk rose by 11% per 5 nmol/L more IGF-1</w:t>
      </w:r>
      <w:r>
        <w:rPr>
          <w:rStyle w:val="FootnoteReference"/>
        </w:rPr>
        <w:footnoteReference w:id="2666"/>
      </w:r>
      <w:r>
        <w:t xml:space="preserve">; for colorectal cancer, the same group found a similar association in almost 400,000 participants</w:t>
      </w:r>
      <w:r>
        <w:rPr>
          <w:rStyle w:val="FootnoteReference"/>
        </w:rPr>
        <w:footnoteReference w:id="2667"/>
      </w:r>
      <w:r>
        <w:t xml:space="preserve">.</w:t>
      </w:r>
    </w:p>
    <w:p>
      <w:pPr>
        <w:pStyle w:val="BodyText"/>
      </w:pPr>
      <w:r>
        <w:rPr>
          <w:bCs/>
          <w:b/>
        </w:rPr>
        <w:t xml:space="preserve">Genetic analyses.</w:t>
      </w:r>
      <w:r>
        <w:t xml:space="preserve"> </w:t>
      </w:r>
      <w:r>
        <w:t xml:space="preserve">So-called Mendelian randomization uses gene variants that slightly raise IGF-1 levels throughout life as a natural experiment. Here, too, genetically higher IGF-1 was associated with somewhat more breast cancer (odds ratio 1.05 per 5 nmol/L)</w:t>
      </w:r>
      <w:r>
        <w:rPr>
          <w:rStyle w:val="FootnoteReference"/>
        </w:rPr>
        <w:footnoteReference w:id="2668"/>
      </w:r>
      <w:r>
        <w:t xml:space="preserve">. This suggests that the association is not based solely on confounding circumstances.</w:t>
      </w:r>
    </w:p>
    <w:p>
      <w:pPr>
        <w:pStyle w:val="BodyText"/>
      </w:pPr>
      <w:r>
        <w:rPr>
          <w:bCs/>
          <w:b/>
        </w:rPr>
        <w:t xml:space="preserve">Too much growth hormone due to disease.</w:t>
      </w:r>
      <w:r>
        <w:t xml:space="preserve"> </w:t>
      </w:r>
      <w:r>
        <w:t xml:space="preserve">In acromegaly, an overproduction of growth hormone by a tumor of the pituitary gland, a meta-analysis of 23 studies found a cancer rate about half again as high (standardized ratio 1.5), with particularly high values for colorectal and thyroid cancer. Smaller and older studies, however, showed higher values than large ones, suggesting selection bias</w:t>
      </w:r>
      <w:r>
        <w:rPr>
          <w:rStyle w:val="FootnoteReference"/>
        </w:rPr>
        <w:footnoteReference w:id="2669"/>
      </w:r>
      <w:r>
        <w:t xml:space="preserve">.</w:t>
      </w:r>
    </w:p>
    <w:p>
      <w:pPr>
        <w:pStyle w:val="BodyText"/>
      </w:pPr>
      <w:r>
        <w:rPr>
          <w:bCs/>
          <w:b/>
        </w:rPr>
        <w:t xml:space="preserve">Too little IGF-1 due to disease.</w:t>
      </w:r>
      <w:r>
        <w:t xml:space="preserve"> </w:t>
      </w:r>
      <w:r>
        <w:t xml:space="preserve">Among people with Laron syndrome, who produce hardly any IGF-1 because of a genetic defect, only a single, non-fatal cancer occurred in Ecuador over 22 years of observation; among unaffected relatives, the proportion was 17%</w:t>
      </w:r>
      <w:r>
        <w:rPr>
          <w:rStyle w:val="FootnoteReference"/>
        </w:rPr>
        <w:footnoteReference w:id="2670"/>
      </w:r>
      <w:r>
        <w:t xml:space="preserve">.</w:t>
      </w:r>
    </w:p>
    <w:p>
      <w:pPr>
        <w:pStyle w:val="BodyText"/>
      </w:pPr>
      <w:r>
        <w:rPr>
          <w:bCs/>
          <w:b/>
        </w:rPr>
        <w:t xml:space="preserve">Growth hormone as a drug.</w:t>
      </w:r>
      <w:r>
        <w:t xml:space="preserve"> </w:t>
      </w:r>
      <w:r>
        <w:t xml:space="preserve">Among 23,984 children treated with growth hormone in eight European countries, there was no clearly increased cancer risk in those without serious pre-existing conditions. Notable were individual cancer types (bone, bladder) and a rise in cancer mortality with higher daily doses in children who had previously had cancer</w:t>
      </w:r>
      <w:r>
        <w:rPr>
          <w:rStyle w:val="FootnoteReference"/>
        </w:rPr>
        <w:footnoteReference w:id="2671"/>
      </w:r>
      <w:r>
        <w:t xml:space="preserve">. In 8,418 treated adults with pituitary insufficiency, cancer risk was not increased; the cancer rate was even below the population average</w:t>
      </w:r>
      <w:r>
        <w:rPr>
          <w:rStyle w:val="FootnoteReference"/>
        </w:rPr>
        <w:footnoteReference w:id="2672"/>
      </w:r>
      <w:r>
        <w:t xml:space="preserve">.</w:t>
      </w:r>
    </w:p>
    <w:p>
      <w:pPr>
        <w:pStyle w:val="BodyText"/>
      </w:pPr>
      <w:r>
        <w:t xml:space="preserve">What follows from this? People who have a genuine deficiency and receive replacement of a missing hormone do not, according to current knowledge, carry a clearly increased cancer risk. People who raise a normal level over years, on the other hand, move into the range in which observational and genetic studies show a moderately higher risk. For exactly this situation – healthy adults who use secretagogues for performance enhancement or</w:t>
      </w:r>
      <w:r>
        <w:t xml:space="preserve"> </w:t>
      </w:r>
      <w:r>
        <w:t xml:space="preserve">“</w:t>
      </w:r>
      <w:r>
        <w:t xml:space="preserve">rejuvenation</w:t>
      </w:r>
      <w:r>
        <w:t xml:space="preserve">”</w:t>
      </w:r>
      <w:r>
        <w:t xml:space="preserve"> </w:t>
      </w:r>
      <w:r>
        <w:t xml:space="preserve">– there are no long-term studies. Ibutamoren, for instance, raised IGF-1 in healthy older people to the level of young adults</w:t>
      </w:r>
      <w:r>
        <w:rPr>
          <w:rStyle w:val="FootnoteReference"/>
        </w:rPr>
        <w:footnoteReference w:id="2673"/>
      </w:r>
      <w:r>
        <w:t xml:space="preserve">; no cancer signal was reported, but the study was neither large nor long enough for that.</w:t>
      </w:r>
    </w:p>
    <w:p>
      <w:pPr>
        <w:pStyle w:val="BodyText"/>
      </w:pPr>
      <w:r>
        <w:t xml:space="preserve">Two special cases deserve mention. With the approved mecasermin, benign and malignant neoplasms in treated children were reported after market launch; the prescribing information contains corresponding warnings, and it must not be used in active cancer (as of 2026, please check for current status; chapter Mecasermin). The laboratory product IGF-1 LR3 was modified so that it no longer binds to the binding proteins in the blood that normally buffer IGF-1. As a result, it acts more strongly and for longer at the receptor – theoretically exactly the unfavorable direction. This has never been studied in humans (chapter IGF-1 LR3).</w:t>
      </w:r>
    </w:p>
    <w:bookmarkEnd w:id="2674"/>
    <w:bookmarkStart w:id="2684" w:name="X4d8117b15d1560bf86d2fb6d740bd331920bf46"/>
    <w:p>
      <w:pPr>
        <w:pStyle w:val="Heading3"/>
      </w:pPr>
      <w:r>
        <w:t xml:space="preserve">New blood vessel formation and other growth signals</w:t>
      </w:r>
    </w:p>
    <w:p>
      <w:pPr>
        <w:pStyle w:val="FirstParagraph"/>
      </w:pPr>
      <w:r>
        <w:t xml:space="preserve">A tumor that is to grow larger than a few millimeters needs its own blood vessels. This process is called angiogenesis. Some approved cancer drugs work precisely by blocking the most important signaling pathway of new blood vessel formation, the VEGF system. Conversely, substances that promote new blood vessel formation are suspected of favoring tumors.</w:t>
      </w:r>
    </w:p>
    <w:p>
      <w:pPr>
        <w:pStyle w:val="BodyText"/>
      </w:pPr>
      <w:r>
        <w:rPr>
          <w:bCs/>
          <w:b/>
        </w:rPr>
        <w:t xml:space="preserve">BPC-157.</w:t>
      </w:r>
      <w:r>
        <w:t xml:space="preserve"> </w:t>
      </w:r>
      <w:r>
        <w:t xml:space="preserve">In laboratory experiments, BPC-157 increased vessel density in chicken egg membranes, accelerated blood flow in a poorly supplied leg in rats, and increased the amount of VEGF receptor 2 in human vascular cells</w:t>
      </w:r>
      <w:r>
        <w:rPr>
          <w:rStyle w:val="FootnoteReference"/>
        </w:rPr>
        <w:footnoteReference w:id="2675"/>
      </w:r>
      <w:r>
        <w:t xml:space="preserve">. The Zagreb research group, from which most BPC-157 studies come, counters that BPC-157 regulates vessel formation rather than blindly boosting it, and has even shown anti-tumor effects in animal and cell experiments</w:t>
      </w:r>
      <w:r>
        <w:rPr>
          <w:rStyle w:val="FootnoteReference"/>
        </w:rPr>
        <w:footnoteReference w:id="2676"/>
      </w:r>
      <w:r>
        <w:t xml:space="preserve">. Long-term carcinogenicity studies, as required for drugs, have not been published for BPC-157. The question is open. See the chapter BPC-157.</w:t>
      </w:r>
    </w:p>
    <w:p>
      <w:pPr>
        <w:pStyle w:val="BodyText"/>
      </w:pPr>
      <w:r>
        <w:rPr>
          <w:bCs/>
          <w:b/>
        </w:rPr>
        <w:t xml:space="preserve">TB-500 and thymosin beta-4.</w:t>
      </w:r>
      <w:r>
        <w:t xml:space="preserve"> </w:t>
      </w:r>
      <w:r>
        <w:t xml:space="preserve">Thymosin beta-4 promotes cell migration and new blood vessel formation. In tissue samples from 138 people with bladder cancer, strong thymosin beta-4 expression was associated with advanced stage, lymph node involvement, and shorter survival</w:t>
      </w:r>
      <w:r>
        <w:rPr>
          <w:rStyle w:val="FootnoteReference"/>
        </w:rPr>
        <w:footnoteReference w:id="2677"/>
      </w:r>
      <w:r>
        <w:t xml:space="preserve">. In cultures of breast cancer cells, added thymosin beta-4 increased the cell count</w:t>
      </w:r>
      <w:r>
        <w:rPr>
          <w:rStyle w:val="FootnoteReference"/>
        </w:rPr>
        <w:footnoteReference w:id="2678"/>
      </w:r>
      <w:r>
        <w:t xml:space="preserve">. This does not prove that externally supplied TB-500 promotes cancer, but it is a reason for caution in people with cancer or a high cancer risk. See the chapter TB-500.</w:t>
      </w:r>
    </w:p>
    <w:p>
      <w:pPr>
        <w:pStyle w:val="BodyText"/>
      </w:pPr>
      <w:r>
        <w:rPr>
          <w:bCs/>
          <w:b/>
        </w:rPr>
        <w:t xml:space="preserve">Other peptides with growth signals.</w:t>
      </w:r>
      <w:r>
        <w:t xml:space="preserve"> </w:t>
      </w:r>
      <w:r>
        <w:t xml:space="preserve">For several peptides from Part II, similar questions arise from the mechanism of action or from laboratory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Mechanism</w:t>
            </w:r>
          </w:p>
        </w:tc>
        <w:tc>
          <w:tcPr/>
          <w:p>
            <w:pPr>
              <w:pStyle w:val="Compact"/>
              <w:jc w:val="left"/>
            </w:pPr>
            <w:r>
              <w:t xml:space="preserve">Type of evidence</w:t>
            </w:r>
          </w:p>
        </w:tc>
        <w:tc>
          <w:tcPr/>
          <w:p>
            <w:pPr>
              <w:pStyle w:val="Compact"/>
              <w:jc w:val="left"/>
            </w:pPr>
            <w:r>
              <w:t xml:space="preserve">Chapter</w:t>
            </w:r>
          </w:p>
        </w:tc>
      </w:tr>
      <w:tr>
        <w:tc>
          <w:tcPr/>
          <w:p>
            <w:pPr>
              <w:pStyle w:val="Compact"/>
              <w:jc w:val="left"/>
            </w:pPr>
            <w:r>
              <w:t xml:space="preserve">Dihexa</w:t>
            </w:r>
          </w:p>
        </w:tc>
        <w:tc>
          <w:tcPr/>
          <w:p>
            <w:pPr>
              <w:pStyle w:val="Compact"/>
              <w:jc w:val="left"/>
            </w:pPr>
            <w:r>
              <w:t xml:space="preserve">amplifies c-Met signaling, a known cancer driver</w:t>
            </w:r>
          </w:p>
        </w:tc>
        <w:tc>
          <w:tcPr/>
          <w:p>
            <w:pPr>
              <w:pStyle w:val="Compact"/>
              <w:jc w:val="left"/>
            </w:pPr>
            <w:r>
              <w:t xml:space="preserve">theoretical only, no human data</w:t>
            </w:r>
          </w:p>
        </w:tc>
        <w:tc>
          <w:tcPr/>
          <w:p>
            <w:pPr>
              <w:pStyle w:val="Compact"/>
              <w:jc w:val="left"/>
            </w:pPr>
            <w:r>
              <w:t xml:space="preserve">Dihexa</w:t>
            </w:r>
          </w:p>
        </w:tc>
      </w:tr>
      <w:tr>
        <w:tc>
          <w:tcPr/>
          <w:p>
            <w:pPr>
              <w:pStyle w:val="Compact"/>
              <w:jc w:val="left"/>
            </w:pPr>
            <w:r>
              <w:t xml:space="preserve">Epitalon</w:t>
            </w:r>
          </w:p>
        </w:tc>
        <w:tc>
          <w:tcPr/>
          <w:p>
            <w:pPr>
              <w:pStyle w:val="Compact"/>
              <w:jc w:val="left"/>
            </w:pPr>
            <w:r>
              <w:t xml:space="preserve">said to activate telomerase</w:t>
            </w:r>
          </w:p>
        </w:tc>
        <w:tc>
          <w:tcPr/>
          <w:p>
            <w:pPr>
              <w:pStyle w:val="Compact"/>
              <w:jc w:val="left"/>
            </w:pPr>
            <w:r>
              <w:t xml:space="preserve">cell culture: telomeres of breast cancer cells also lengthened</w:t>
            </w:r>
          </w:p>
        </w:tc>
        <w:tc>
          <w:tcPr/>
          <w:p>
            <w:pPr>
              <w:pStyle w:val="Compact"/>
              <w:jc w:val="left"/>
            </w:pPr>
            <w:r>
              <w:t xml:space="preserve">Epitalon</w:t>
            </w:r>
          </w:p>
        </w:tc>
      </w:tr>
      <w:tr>
        <w:tc>
          <w:tcPr/>
          <w:p>
            <w:pPr>
              <w:pStyle w:val="Compact"/>
              <w:jc w:val="left"/>
            </w:pPr>
            <w:r>
              <w:t xml:space="preserve">Humanin</w:t>
            </w:r>
          </w:p>
        </w:tc>
        <w:tc>
          <w:tcPr/>
          <w:p>
            <w:pPr>
              <w:pStyle w:val="Compact"/>
              <w:jc w:val="left"/>
            </w:pPr>
            <w:r>
              <w:t xml:space="preserve">protects cells from cell death</w:t>
            </w:r>
          </w:p>
        </w:tc>
        <w:tc>
          <w:tcPr/>
          <w:p>
            <w:pPr>
              <w:pStyle w:val="Compact"/>
              <w:jc w:val="left"/>
            </w:pPr>
            <w:r>
              <w:t xml:space="preserve">mice: faster tumor growth, more metastases</w:t>
            </w:r>
          </w:p>
        </w:tc>
        <w:tc>
          <w:tcPr/>
          <w:p>
            <w:pPr>
              <w:pStyle w:val="Compact"/>
              <w:jc w:val="left"/>
            </w:pPr>
            <w:r>
              <w:t xml:space="preserve">Humanin</w:t>
            </w:r>
          </w:p>
        </w:tc>
      </w:tr>
      <w:tr>
        <w:tc>
          <w:tcPr/>
          <w:p>
            <w:pPr>
              <w:pStyle w:val="Compact"/>
              <w:jc w:val="left"/>
            </w:pPr>
            <w:r>
              <w:t xml:space="preserve">LL-37</w:t>
            </w:r>
          </w:p>
        </w:tc>
        <w:tc>
          <w:tcPr/>
          <w:p>
            <w:pPr>
              <w:pStyle w:val="Compact"/>
              <w:jc w:val="left"/>
            </w:pPr>
            <w:r>
              <w:t xml:space="preserve">inflammatory and growth signals</w:t>
            </w:r>
          </w:p>
        </w:tc>
        <w:tc>
          <w:tcPr/>
          <w:p>
            <w:pPr>
              <w:pStyle w:val="Compact"/>
              <w:jc w:val="left"/>
            </w:pPr>
            <w:r>
              <w:t xml:space="preserve">laboratory: promoting or inhibiting depending on cancer type</w:t>
            </w:r>
          </w:p>
        </w:tc>
        <w:tc>
          <w:tcPr/>
          <w:p>
            <w:pPr>
              <w:pStyle w:val="Compact"/>
              <w:jc w:val="left"/>
            </w:pPr>
            <w:r>
              <w:t xml:space="preserve">LL-37</w:t>
            </w:r>
          </w:p>
        </w:tc>
      </w:tr>
      <w:tr>
        <w:tc>
          <w:tcPr/>
          <w:p>
            <w:pPr>
              <w:pStyle w:val="Compact"/>
              <w:jc w:val="left"/>
            </w:pPr>
            <w:r>
              <w:t xml:space="preserve">GHK-Cu</w:t>
            </w:r>
          </w:p>
        </w:tc>
        <w:tc>
          <w:tcPr/>
          <w:p>
            <w:pPr>
              <w:pStyle w:val="Compact"/>
              <w:jc w:val="left"/>
            </w:pPr>
            <w:r>
              <w:t xml:space="preserve">new blood vessel formation in animal experiments</w:t>
            </w:r>
          </w:p>
        </w:tc>
        <w:tc>
          <w:tcPr/>
          <w:p>
            <w:pPr>
              <w:pStyle w:val="Compact"/>
              <w:jc w:val="left"/>
            </w:pPr>
            <w:r>
              <w:t xml:space="preserve">theoretical only</w:t>
            </w:r>
          </w:p>
        </w:tc>
        <w:tc>
          <w:tcPr/>
          <w:p>
            <w:pPr>
              <w:pStyle w:val="Compact"/>
              <w:jc w:val="left"/>
            </w:pPr>
            <w:r>
              <w:t xml:space="preserve">GHK-Cu</w:t>
            </w:r>
          </w:p>
        </w:tc>
      </w:tr>
      <w:tr>
        <w:tc>
          <w:tcPr/>
          <w:p>
            <w:pPr>
              <w:pStyle w:val="Compact"/>
              <w:jc w:val="left"/>
            </w:pPr>
            <w:r>
              <w:t xml:space="preserve">ARA-290</w:t>
            </w:r>
          </w:p>
        </w:tc>
        <w:tc>
          <w:tcPr/>
          <w:p>
            <w:pPr>
              <w:pStyle w:val="Compact"/>
              <w:jc w:val="left"/>
            </w:pPr>
            <w:r>
              <w:t xml:space="preserve">acts on the EPO receptor</w:t>
            </w:r>
          </w:p>
        </w:tc>
        <w:tc>
          <w:tcPr/>
          <w:p>
            <w:pPr>
              <w:pStyle w:val="Compact"/>
              <w:jc w:val="left"/>
            </w:pPr>
            <w:r>
              <w:t xml:space="preserve">theoretical, by analogy with EPO</w:t>
            </w:r>
          </w:p>
        </w:tc>
        <w:tc>
          <w:tcPr/>
          <w:p>
            <w:pPr>
              <w:pStyle w:val="Compact"/>
              <w:jc w:val="left"/>
            </w:pPr>
            <w:r>
              <w:t xml:space="preserve">ARA-290</w:t>
            </w:r>
          </w:p>
        </w:tc>
      </w:tr>
    </w:tbl>
    <w:p>
      <w:pPr>
        <w:pStyle w:val="BodyText"/>
      </w:pPr>
      <w:r>
        <w:t xml:space="preserve">Some of these indications are concrete. In mice with triple-negative breast cancer, administered humanin reduced cell death in the tumor, weakened chemotherapy, and accelerated tumor growth and lung metastases</w:t>
      </w:r>
      <w:r>
        <w:rPr>
          <w:rStyle w:val="FootnoteReference"/>
        </w:rPr>
        <w:footnoteReference w:id="2679"/>
      </w:r>
      <w:r>
        <w:t xml:space="preserve">. In cell cultures, Epitalon lengthened the telomeres of healthy cells via the enzyme telomerase, and in breast cancer cells via a different pathway</w:t>
      </w:r>
      <w:r>
        <w:rPr>
          <w:rStyle w:val="FootnoteReference"/>
        </w:rPr>
        <w:footnoteReference w:id="2680"/>
      </w:r>
      <w:r>
        <w:t xml:space="preserve">; in a mouse study, by contrast, the number of spontaneous tumors did not increase</w:t>
      </w:r>
      <w:r>
        <w:rPr>
          <w:rStyle w:val="FootnoteReference"/>
        </w:rPr>
        <w:footnoteReference w:id="2681"/>
      </w:r>
      <w:r>
        <w:t xml:space="preserve">. For LL-37, a review describes promoting effects on tumors of the ovary, lung, breast, prostate, pancreas, and skin, but inhibiting effects on colorectal and gastric cancer</w:t>
      </w:r>
      <w:r>
        <w:rPr>
          <w:rStyle w:val="FootnoteReference"/>
        </w:rPr>
        <w:footnoteReference w:id="2682"/>
      </w:r>
      <w:r>
        <w:t xml:space="preserve">. For Dihexa, the connection to the c-Met system has been described</w:t>
      </w:r>
      <w:r>
        <w:rPr>
          <w:rStyle w:val="FootnoteReference"/>
        </w:rPr>
        <w:footnoteReference w:id="2683"/>
      </w:r>
      <w:r>
        <w:t xml:space="preserve">; there are no carcinogenicity studies.</w:t>
      </w:r>
    </w:p>
    <w:p>
      <w:pPr>
        <w:pStyle w:val="BodyText"/>
      </w:pPr>
      <w:r>
        <w:t xml:space="preserve">All of these findings come from animal experiments, cell cultures, or the mechanism of action. None proves a cancer risk in humans. But they show that</w:t>
      </w:r>
      <w:r>
        <w:t xml:space="preserve"> </w:t>
      </w:r>
      <w:r>
        <w:t xml:space="preserve">“</w:t>
      </w:r>
      <w:r>
        <w:t xml:space="preserve">natural,</w:t>
      </w:r>
      <w:r>
        <w:t xml:space="preserve">”</w:t>
      </w:r>
      <w:r>
        <w:t xml:space="preserve"> </w:t>
      </w:r>
      <w:r>
        <w:t xml:space="preserve">“</w:t>
      </w:r>
      <w:r>
        <w:t xml:space="preserve">endogenous,</w:t>
      </w:r>
      <w:r>
        <w:t xml:space="preserve">”</w:t>
      </w:r>
      <w:r>
        <w:t xml:space="preserve"> </w:t>
      </w:r>
      <w:r>
        <w:t xml:space="preserve">or</w:t>
      </w:r>
      <w:r>
        <w:t xml:space="preserve"> </w:t>
      </w:r>
      <w:r>
        <w:t xml:space="preserve">“</w:t>
      </w:r>
      <w:r>
        <w:t xml:space="preserve">regenerative</w:t>
      </w:r>
      <w:r>
        <w:t xml:space="preserve">”</w:t>
      </w:r>
      <w:r>
        <w:t xml:space="preserve"> </w:t>
      </w:r>
      <w:r>
        <w:t xml:space="preserve">does not automatically mean</w:t>
      </w:r>
      <w:r>
        <w:t xml:space="preserve"> </w:t>
      </w:r>
      <w:r>
        <w:t xml:space="preserve">“</w:t>
      </w:r>
      <w:r>
        <w:t xml:space="preserve">harmless</w:t>
      </w:r>
      <w:r>
        <w:t xml:space="preserve">”</w:t>
      </w:r>
      <w:r>
        <w:t xml:space="preserve"> </w:t>
      </w:r>
      <w:r>
        <w:t xml:space="preserve">– and that for none of these substances do the long-term data exist with which the question could be answered.</w:t>
      </w:r>
    </w:p>
    <w:bookmarkEnd w:id="2684"/>
    <w:bookmarkStart w:id="2689" w:name="X93d33233a56134832dad2a17bcc5a7958c0b27b"/>
    <w:p>
      <w:pPr>
        <w:pStyle w:val="Heading3"/>
      </w:pPr>
      <w:r>
        <w:t xml:space="preserve">Pigment cells: Melanotan, setmelanotide, and afamelanotide</w:t>
      </w:r>
    </w:p>
    <w:p>
      <w:pPr>
        <w:pStyle w:val="FirstParagraph"/>
      </w:pPr>
      <w:r>
        <w:t xml:space="preserve">The melanocortin peptides stimulate the pigment cells (melanocytes) of the skin. This is the desired effect with afamelanotide, a side effect with setmelanotide and bremelanotide, and the actual selling point with Melanotan II. Since melanoma arises from pigment cells, the question of skin cancer is obvious.</w:t>
      </w:r>
    </w:p>
    <w:p>
      <w:pPr>
        <w:pStyle w:val="BodyText"/>
      </w:pPr>
      <w:r>
        <w:t xml:space="preserve">For the unapproved</w:t>
      </w:r>
      <w:r>
        <w:t xml:space="preserve"> </w:t>
      </w:r>
      <w:r>
        <w:rPr>
          <w:bCs/>
          <w:b/>
        </w:rPr>
        <w:t xml:space="preserve">Melanotan II</w:t>
      </w:r>
      <w:r>
        <w:t xml:space="preserve">, there are several case reports of melanomas discovered during or shortly after use. One review counted four cases in which melanomas arose from existing moles, while emphasizing that conclusive proof of a connection is lacking</w:t>
      </w:r>
      <w:r>
        <w:rPr>
          <w:rStyle w:val="FootnoteReference"/>
        </w:rPr>
        <w:footnoteReference w:id="2685"/>
      </w:r>
      <w:r>
        <w:t xml:space="preserve">. Among 179 published cases of suddenly appearing moles, some of which were attributed to Melanotan, five were associated with a melanoma</w:t>
      </w:r>
      <w:r>
        <w:rPr>
          <w:rStyle w:val="FootnoteReference"/>
        </w:rPr>
        <w:footnoteReference w:id="2686"/>
      </w:r>
      <w:r>
        <w:t xml:space="preserve">. Interpretation is difficult: many of those affected also used tanning beds or sunbathed intensively, which independently increases melanoma risk. And case reports cannot provide frequencies. See the chapter Melanotan II.</w:t>
      </w:r>
    </w:p>
    <w:p>
      <w:pPr>
        <w:pStyle w:val="BodyText"/>
      </w:pPr>
      <w:r>
        <w:t xml:space="preserve">For the approved</w:t>
      </w:r>
      <w:r>
        <w:t xml:space="preserve"> </w:t>
      </w:r>
      <w:r>
        <w:rPr>
          <w:bCs/>
          <w:b/>
        </w:rPr>
        <w:t xml:space="preserve">afamelanotide</w:t>
      </w:r>
      <w:r>
        <w:t xml:space="preserve">, more systematic data are available. In a study with 15 treated people and 103 moles, dermoscopy showed temporary changes that had regressed after one year; there were no signs of malignancy or new moles</w:t>
      </w:r>
      <w:r>
        <w:rPr>
          <w:rStyle w:val="FootnoteReference"/>
        </w:rPr>
        <w:footnoteReference w:id="2687"/>
      </w:r>
      <w:r>
        <w:t xml:space="preserve">. With</w:t>
      </w:r>
      <w:r>
        <w:t xml:space="preserve"> </w:t>
      </w:r>
      <w:r>
        <w:rPr>
          <w:bCs/>
          <w:b/>
        </w:rPr>
        <w:t xml:space="preserve">setmelanotide</w:t>
      </w:r>
      <w:r>
        <w:t xml:space="preserve">, no malignant skin changes occurred in an observation over up to 46 months</w:t>
      </w:r>
      <w:r>
        <w:rPr>
          <w:rStyle w:val="FootnoteReference"/>
        </w:rPr>
        <w:footnoteReference w:id="2688"/>
      </w:r>
      <w:r>
        <w:t xml:space="preserve">. These data are reassuring, but small and short relative to the time it takes a melanoma to develop. The prescribing information provides for regular skin checks. They cannot be transferred to Melanotan II: a different substance, untested products, often combined with UV radiation.</w:t>
      </w:r>
    </w:p>
    <w:bookmarkEnd w:id="2689"/>
    <w:bookmarkStart w:id="2696" w:name="glp-1-and-the-thyroid-c-cells"/>
    <w:p>
      <w:pPr>
        <w:pStyle w:val="Heading3"/>
      </w:pPr>
      <w:r>
        <w:t xml:space="preserve">GLP-1 and the thyroid C cells</w:t>
      </w:r>
    </w:p>
    <w:p>
      <w:pPr>
        <w:pStyle w:val="FirstParagraph"/>
      </w:pPr>
      <w:r>
        <w:t xml:space="preserve">In rats and mice, GLP-1 receptor agonists led in long-term experiments to growths and tumors of the C cells of the thyroid. The mechanism is well understood: the C cells of rodents carry the GLP-1 receptor; its activation increases the release of calcitonin and cell division. In humans and monkeys, the receptor is considerably rarer on the C cells. Monkeys that received liraglutide for 20 months at concentrations more than 60 times higher than in humans did not develop C-cell hyperplasia</w:t>
      </w:r>
      <w:r>
        <w:rPr>
          <w:rStyle w:val="FootnoteReference"/>
        </w:rPr>
        <w:footnoteReference w:id="2690"/>
      </w:r>
      <w:r>
        <w:t xml:space="preserve">.</w:t>
      </w:r>
    </w:p>
    <w:p>
      <w:pPr>
        <w:pStyle w:val="BodyText"/>
      </w:pPr>
      <w:r>
        <w:t xml:space="preserve">This does not completely rule out an effect in humans. In human thyroid tissue, one study found the GLP-1 receptor in all samples of medullary thyroid carcinoma and C-cell hyperplasia, in 18% of papillary carcinomas, and in some of the C cells of healthy thyroids</w:t>
      </w:r>
      <w:r>
        <w:rPr>
          <w:rStyle w:val="FootnoteReference"/>
        </w:rPr>
        <w:footnoteReference w:id="2691"/>
      </w:r>
      <w:r>
        <w:t xml:space="preserve">.</w:t>
      </w:r>
    </w:p>
    <w:p>
      <w:pPr>
        <w:pStyle w:val="BodyText"/>
      </w:pPr>
      <w:r>
        <w:t xml:space="preserve">The studies in humans do not yield a consistent picture:</w:t>
      </w:r>
    </w:p>
    <w:p>
      <w:pPr>
        <w:numPr>
          <w:ilvl w:val="0"/>
          <w:numId w:val="1339"/>
        </w:numPr>
        <w:pStyle w:val="Compact"/>
      </w:pPr>
      <w:r>
        <w:t xml:space="preserve">In the LEADER trial, calcitonin did not rise with liraglutide over up to five years, and no medullary carcinomas occurred</w:t>
      </w:r>
      <w:r>
        <w:rPr>
          <w:rStyle w:val="FootnoteReference"/>
        </w:rPr>
        <w:footnoteReference w:id="2692"/>
      </w:r>
      <w:r>
        <w:t xml:space="preserve">.</w:t>
      </w:r>
    </w:p>
    <w:p>
      <w:pPr>
        <w:numPr>
          <w:ilvl w:val="0"/>
          <w:numId w:val="1339"/>
        </w:numPr>
        <w:pStyle w:val="Compact"/>
      </w:pPr>
      <w:r>
        <w:t xml:space="preserve">A French case-control study with 2,562 cases found, after one to three years of treatment, an increased risk of thyroid cancer overall (hazard ratio 1.58) and of medullary carcinoma (1.78)</w:t>
      </w:r>
      <w:r>
        <w:rPr>
          <w:rStyle w:val="FootnoteReference"/>
        </w:rPr>
        <w:footnoteReference w:id="2693"/>
      </w:r>
      <w:r>
        <w:t xml:space="preserve">.</w:t>
      </w:r>
    </w:p>
    <w:p>
      <w:pPr>
        <w:numPr>
          <w:ilvl w:val="0"/>
          <w:numId w:val="1339"/>
        </w:numPr>
        <w:pStyle w:val="Compact"/>
      </w:pPr>
      <w:r>
        <w:t xml:space="preserve">A Scandinavian cohort study with 145,410 people on GLP-1 receptor agonists found no increased risk (hazard ratio 0.93; 1.33 versus 1.46 cases per 10,000 person-years). For the rare medullary carcinoma, the estimate was very uncertain (hazard ratio 1.19; confidence interval 0.37 to 3.86)</w:t>
      </w:r>
      <w:r>
        <w:rPr>
          <w:rStyle w:val="FootnoteReference"/>
        </w:rPr>
        <w:footnoteReference w:id="2694"/>
      </w:r>
      <w:r>
        <w:t xml:space="preserve">.</w:t>
      </w:r>
    </w:p>
    <w:p>
      <w:pPr>
        <w:numPr>
          <w:ilvl w:val="0"/>
          <w:numId w:val="1339"/>
        </w:numPr>
        <w:pStyle w:val="Compact"/>
      </w:pPr>
      <w:r>
        <w:t xml:space="preserve">A meta-analysis of 50 randomized trials lasting at least one year showed a signal for thyroid cancer (odds ratio 1.55), which was more pronounced in longer trials</w:t>
      </w:r>
      <w:r>
        <w:rPr>
          <w:rStyle w:val="FootnoteReference"/>
        </w:rPr>
        <w:footnoteReference w:id="2695"/>
      </w:r>
      <w:r>
        <w:t xml:space="preserve">.</w:t>
      </w:r>
    </w:p>
    <w:p>
      <w:pPr>
        <w:pStyle w:val="FirstParagraph"/>
      </w:pPr>
      <w:r>
        <w:t xml:space="preserve">How does this fit together? Part of the signal could be due to more frequent examinations: people who are closely monitored for diabetes or obesity more often receive an ultrasound in which small, harmless papillary carcinomas are discovered. A small genuine risk, however, cannot be ruled out. For people with a personal or family history of medullary thyroid carcinoma or with MEN 2 syndrome, a contraindication therefore continues to apply. See the chapter Liraglutide.</w:t>
      </w:r>
    </w:p>
    <w:bookmarkEnd w:id="2696"/>
    <w:bookmarkStart w:id="2700" w:name="pancreas"/>
    <w:p>
      <w:pPr>
        <w:pStyle w:val="Heading3"/>
      </w:pPr>
      <w:r>
        <w:t xml:space="preserve">Pancreas</w:t>
      </w:r>
    </w:p>
    <w:p>
      <w:pPr>
        <w:pStyle w:val="FirstParagraph"/>
      </w:pPr>
      <w:r>
        <w:t xml:space="preserve">After the early reports of pancreatitis with exenatide and liraglutide, an increased risk of pancreatic cancer was also feared. The data have not confirmed this so far. A meta-analysis of 62 randomized trials found no established increase in risk (relative risk 1.30; confidence interval 0.86 to 1.97); in a subgroup of studies with additional medications it was increased, without additional medications it was not</w:t>
      </w:r>
      <w:r>
        <w:rPr>
          <w:rStyle w:val="FootnoteReference"/>
        </w:rPr>
        <w:footnoteReference w:id="2697"/>
      </w:r>
      <w:r>
        <w:t xml:space="preserve">. The authors point out that many studies without a single event were not included in the calculation at all. In a large US cohort study, pancreatic cancer was even less common with GLP-1 receptor agonists than with insulin (hazard ratio 0.41)</w:t>
      </w:r>
      <w:r>
        <w:rPr>
          <w:rStyle w:val="FootnoteReference"/>
        </w:rPr>
        <w:footnoteReference w:id="2698"/>
      </w:r>
      <w:r>
        <w:t xml:space="preserve"> </w:t>
      </w:r>
      <w:r>
        <w:t xml:space="preserve">– although insulin is often used in longer-standing, more severe diabetes.</w:t>
      </w:r>
    </w:p>
    <w:p>
      <w:pPr>
        <w:pStyle w:val="BodyText"/>
      </w:pPr>
      <w:r>
        <w:t xml:space="preserve">For neuroendocrine tumors, a rare group of tumors that arise in the pancreas among other places and in some cases carry the GLP-1 receptor, a review concludes that the available data show no general increase, but that important gaps exist, for example regarding hereditary predisposition</w:t>
      </w:r>
      <w:r>
        <w:rPr>
          <w:rStyle w:val="FootnoteReference"/>
        </w:rPr>
        <w:footnoteReference w:id="2699"/>
      </w:r>
      <w:r>
        <w:t xml:space="preserve">.</w:t>
      </w:r>
    </w:p>
    <w:bookmarkEnd w:id="2700"/>
    <w:bookmarkStart w:id="2701" w:name="Xaf9916aaef9511562667b0dc0f39cda89f2a00d"/>
    <w:p>
      <w:pPr>
        <w:pStyle w:val="Heading3"/>
      </w:pPr>
      <w:r>
        <w:t xml:space="preserve">What new meta-analyses and large cohorts show on GLP-1 and cancer</w:t>
      </w:r>
    </w:p>
    <w:p>
      <w:pPr>
        <w:pStyle w:val="FirstParagraph"/>
      </w:pPr>
      <w:r>
        <w:t xml:space="preserve">With the wide use of GLP-1 drugs, several very large analyses have been published since 2024. They paint a predominantly reassuring picture, though one that is unclear on individual 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Data</w:t>
            </w:r>
          </w:p>
        </w:tc>
        <w:tc>
          <w:tcPr/>
          <w:p>
            <w:pPr>
              <w:pStyle w:val="Compact"/>
              <w:jc w:val="left"/>
            </w:pPr>
            <w:r>
              <w:t xml:space="preserve">Result for cancer overall</w:t>
            </w:r>
          </w:p>
        </w:tc>
        <w:tc>
          <w:tcPr/>
          <w:p>
            <w:pPr>
              <w:pStyle w:val="Compact"/>
              <w:jc w:val="left"/>
            </w:pPr>
            <w:r>
              <w:t xml:space="preserve">Notable findings</w:t>
            </w:r>
          </w:p>
        </w:tc>
      </w:tr>
      <w:tr>
        <w:tc>
          <w:tcPr/>
          <w:p>
            <w:pPr>
              <w:pStyle w:val="Compact"/>
              <w:jc w:val="left"/>
            </w:pPr>
            <w:r>
              <w:t xml:space="preserve">Silverii 2025, PMID 40437949</w:t>
            </w:r>
          </w:p>
        </w:tc>
        <w:tc>
          <w:tcPr/>
          <w:p>
            <w:pPr>
              <w:pStyle w:val="Compact"/>
              <w:jc w:val="left"/>
            </w:pPr>
            <w:r>
              <w:t xml:space="preserve">50 RCTs, at least 52 weeks</w:t>
            </w:r>
          </w:p>
        </w:tc>
        <w:tc>
          <w:tcPr/>
          <w:p>
            <w:pPr>
              <w:pStyle w:val="Compact"/>
              <w:jc w:val="left"/>
            </w:pPr>
            <w:r>
              <w:t xml:space="preserve">no difference (odds ratio 1.05)</w:t>
            </w:r>
          </w:p>
        </w:tc>
        <w:tc>
          <w:tcPr/>
          <w:p>
            <w:pPr>
              <w:pStyle w:val="Compact"/>
              <w:jc w:val="left"/>
            </w:pPr>
            <w:r>
              <w:t xml:space="preserve">thyroid 1.55; uterus in obesity 0.24</w:t>
            </w:r>
          </w:p>
        </w:tc>
      </w:tr>
      <w:tr>
        <w:tc>
          <w:tcPr/>
          <w:p>
            <w:pPr>
              <w:pStyle w:val="Compact"/>
              <w:jc w:val="left"/>
            </w:pPr>
            <w:r>
              <w:t xml:space="preserve">Wang 2024, PMID 38967919</w:t>
            </w:r>
          </w:p>
        </w:tc>
        <w:tc>
          <w:tcPr/>
          <w:p>
            <w:pPr>
              <w:pStyle w:val="Compact"/>
              <w:jc w:val="left"/>
            </w:pPr>
            <w:r>
              <w:t xml:space="preserve">1,651,452 people with type 2 diabetes</w:t>
            </w:r>
          </w:p>
        </w:tc>
        <w:tc>
          <w:tcPr/>
          <w:p>
            <w:pPr>
              <w:pStyle w:val="Compact"/>
              <w:jc w:val="left"/>
            </w:pPr>
            <w:r>
              <w:t xml:space="preserve">vs. insulin fewer for 10 of 13 cancer types</w:t>
            </w:r>
          </w:p>
        </w:tc>
        <w:tc>
          <w:tcPr/>
          <w:p>
            <w:pPr>
              <w:pStyle w:val="Compact"/>
              <w:jc w:val="left"/>
            </w:pPr>
            <w:r>
              <w:t xml:space="preserve">vs. metformin more kidney cancer (1.54)</w:t>
            </w:r>
          </w:p>
        </w:tc>
      </w:tr>
      <w:tr>
        <w:tc>
          <w:tcPr/>
          <w:p>
            <w:pPr>
              <w:pStyle w:val="Compact"/>
              <w:jc w:val="left"/>
            </w:pPr>
            <w:r>
              <w:t xml:space="preserve">Dai 2025, PMID 40839273</w:t>
            </w:r>
          </w:p>
        </w:tc>
        <w:tc>
          <w:tcPr/>
          <w:p>
            <w:pPr>
              <w:pStyle w:val="Compact"/>
              <w:jc w:val="left"/>
            </w:pPr>
            <w:r>
              <w:t xml:space="preserve">86,632 adults with obesity</w:t>
            </w:r>
          </w:p>
        </w:tc>
        <w:tc>
          <w:tcPr/>
          <w:p>
            <w:pPr>
              <w:pStyle w:val="Compact"/>
              <w:jc w:val="left"/>
            </w:pPr>
            <w:r>
              <w:t xml:space="preserve">less cancer (hazard ratio 0.83)</w:t>
            </w:r>
          </w:p>
        </w:tc>
        <w:tc>
          <w:tcPr/>
          <w:p>
            <w:pPr>
              <w:pStyle w:val="Compact"/>
              <w:jc w:val="left"/>
            </w:pPr>
            <w:r>
              <w:t xml:space="preserve">kidney cancer borderline increased (1.38)</w:t>
            </w:r>
          </w:p>
        </w:tc>
      </w:tr>
      <w:tr>
        <w:tc>
          <w:tcPr/>
          <w:p>
            <w:pPr>
              <w:pStyle w:val="Compact"/>
              <w:jc w:val="left"/>
            </w:pPr>
            <w:r>
              <w:t xml:space="preserve">Hsu 2026, PMID 42252247</w:t>
            </w:r>
          </w:p>
        </w:tc>
        <w:tc>
          <w:tcPr/>
          <w:p>
            <w:pPr>
              <w:pStyle w:val="Compact"/>
              <w:jc w:val="left"/>
            </w:pPr>
            <w:r>
              <w:t xml:space="preserve">161,798 adults with obesity without diabetes</w:t>
            </w:r>
          </w:p>
        </w:tc>
        <w:tc>
          <w:tcPr/>
          <w:p>
            <w:pPr>
              <w:pStyle w:val="Compact"/>
              <w:jc w:val="left"/>
            </w:pPr>
            <w:r>
              <w:t xml:space="preserve">fewer obesity-related cancers (0.59)</w:t>
            </w:r>
          </w:p>
        </w:tc>
        <w:tc>
          <w:tcPr/>
          <w:p>
            <w:pPr>
              <w:pStyle w:val="Compact"/>
              <w:jc w:val="left"/>
            </w:pPr>
            <w:r>
              <w:t xml:space="preserve">median follow-up 2 years</w:t>
            </w:r>
          </w:p>
        </w:tc>
      </w:tr>
    </w:tbl>
    <w:p>
      <w:pPr>
        <w:pStyle w:val="BodyText"/>
      </w:pPr>
      <w:r>
        <w:t xml:space="preserve">How should these figures be read?</w:t>
      </w:r>
    </w:p>
    <w:p>
      <w:pPr>
        <w:numPr>
          <w:ilvl w:val="0"/>
          <w:numId w:val="1340"/>
        </w:numPr>
        <w:pStyle w:val="Compact"/>
      </w:pPr>
      <w:r>
        <w:rPr>
          <w:bCs/>
          <w:b/>
        </w:rPr>
        <w:t xml:space="preserve">The randomized trials</w:t>
      </w:r>
      <w:r>
        <w:t xml:space="preserve"> </w:t>
      </w:r>
      <w:r>
        <w:t xml:space="preserve">show no overall influence on cancer risk. This is the most reliable result, but the trials are too short for cancer.</w:t>
      </w:r>
    </w:p>
    <w:p>
      <w:pPr>
        <w:numPr>
          <w:ilvl w:val="0"/>
          <w:numId w:val="1340"/>
        </w:numPr>
        <w:pStyle w:val="Compact"/>
      </w:pPr>
      <w:r>
        <w:rPr>
          <w:bCs/>
          <w:b/>
        </w:rPr>
        <w:t xml:space="preserve">The large observational studies</w:t>
      </w:r>
      <w:r>
        <w:t xml:space="preserve"> </w:t>
      </w:r>
      <w:r>
        <w:t xml:space="preserve">tend to show less cancer with GLP-1 drugs. This fits with the idea that weight loss reduces obesity-related cancers. But it may also be because people who receive such drugs differ in many ways from the comparison groups. A follow-up of two years is very short for a statement about cancer prevention.</w:t>
      </w:r>
    </w:p>
    <w:p>
      <w:pPr>
        <w:numPr>
          <w:ilvl w:val="0"/>
          <w:numId w:val="1340"/>
        </w:numPr>
        <w:pStyle w:val="Compact"/>
      </w:pPr>
      <w:r>
        <w:rPr>
          <w:bCs/>
          <w:b/>
        </w:rPr>
        <w:t xml:space="preserve">Kidney cancer</w:t>
      </w:r>
      <w:r>
        <w:t xml:space="preserve"> </w:t>
      </w:r>
      <w:r>
        <w:t xml:space="preserve">appears as a possible signal in two cohort studies. Whether this is a genuine effect remains to be seen.</w:t>
      </w:r>
    </w:p>
    <w:p>
      <w:pPr>
        <w:numPr>
          <w:ilvl w:val="0"/>
          <w:numId w:val="1340"/>
        </w:numPr>
        <w:pStyle w:val="Compact"/>
      </w:pPr>
      <w:r>
        <w:rPr>
          <w:bCs/>
          <w:b/>
        </w:rPr>
        <w:t xml:space="preserve">Thyroid cancer</w:t>
      </w:r>
      <w:r>
        <w:t xml:space="preserve"> </w:t>
      </w:r>
      <w:r>
        <w:t xml:space="preserve">remains the open question, as described above.</w:t>
      </w:r>
    </w:p>
    <w:p>
      <w:pPr>
        <w:pStyle w:val="FirstParagraph"/>
      </w:pPr>
      <w:r>
        <w:t xml:space="preserve">Whether GLP-1 drugs actually protect against cancer cannot be said with the available data. On the question of whether they cause cancer, current knowledge suggests: for most cancer types no, for thyroid and kidney not conclusively resolved. For the new multi-agonists such as retatrutide, survodutide, or mazdutide, there are still too few treatment years to make separate statements.</w:t>
      </w:r>
    </w:p>
    <w:bookmarkEnd w:id="2701"/>
    <w:bookmarkStart w:id="2702" w:name="key-points-in-brief-5"/>
    <w:p>
      <w:pPr>
        <w:pStyle w:val="Heading3"/>
      </w:pPr>
      <w:r>
        <w:t xml:space="preserve">Key points in brief</w:t>
      </w:r>
    </w:p>
    <w:p>
      <w:pPr>
        <w:numPr>
          <w:ilvl w:val="0"/>
          <w:numId w:val="1341"/>
        </w:numPr>
        <w:pStyle w:val="Compact"/>
      </w:pPr>
      <w:r>
        <w:t xml:space="preserve">The best data on cancer risk exist, of all things, for the peptides for which the concern seems least justified: the approved GLP-1 drugs. For most cancer types they show no increased risk; the thyroid signal is unresolved.</w:t>
      </w:r>
    </w:p>
    <w:p>
      <w:pPr>
        <w:numPr>
          <w:ilvl w:val="0"/>
          <w:numId w:val="1341"/>
        </w:numPr>
        <w:pStyle w:val="Compact"/>
      </w:pPr>
      <w:r>
        <w:t xml:space="preserve">For the growth hormone–IGF-1 axis, a moderate association between persistently higher IGF-1 levels and some cancer types is well established. For healthy people who artificially raise IGF-1 over years, studies are lacking.</w:t>
      </w:r>
    </w:p>
    <w:p>
      <w:pPr>
        <w:numPr>
          <w:ilvl w:val="0"/>
          <w:numId w:val="1341"/>
        </w:numPr>
        <w:pStyle w:val="Compact"/>
      </w:pPr>
      <w:r>
        <w:t xml:space="preserve">For BPC-157, TB-500, Epitalon, humanin, Dihexa, and similar substances, there are only theoretical and animal-experimental indications – in both directions. Long-term data on carcinogenesis do not exist.</w:t>
      </w:r>
    </w:p>
    <w:p>
      <w:pPr>
        <w:numPr>
          <w:ilvl w:val="0"/>
          <w:numId w:val="1341"/>
        </w:numPr>
        <w:pStyle w:val="Compact"/>
      </w:pPr>
      <w:r>
        <w:t xml:space="preserve">For Melanotan II, there are melanoma case reports, but no frequency data. For the approved afamelanotide, small studies found no malignant changes.</w:t>
      </w:r>
    </w:p>
    <w:p>
      <w:pPr>
        <w:numPr>
          <w:ilvl w:val="0"/>
          <w:numId w:val="1341"/>
        </w:numPr>
        <w:pStyle w:val="Compact"/>
      </w:pPr>
      <w:r>
        <w:t xml:space="preserve">For people with active or past cancer, all growth-promoting peptides are particularly problematic without medical supervision.</w:t>
      </w:r>
    </w:p>
    <w:bookmarkEnd w:id="2702"/>
    <w:bookmarkEnd w:id="2703"/>
    <w:bookmarkStart w:id="2734" w:name="immune-reactions-and-antibodies"/>
    <w:p>
      <w:pPr>
        <w:pStyle w:val="Heading2"/>
      </w:pPr>
      <w:r>
        <w:t xml:space="preserve">Immune Reactions and Antibodies</w:t>
      </w:r>
    </w:p>
    <w:p>
      <w:pPr>
        <w:pStyle w:val="FirstParagraph"/>
      </w:pPr>
      <w:r>
        <w:t xml:space="preserve">The immune system’s job is to recognize what is foreign. Peptides stand at a boundary here: many are modeled on the body’s own messenger substances but chemically modified so that they act longer. Others come from animals, from bacteria, or from the laboratory. In addition, most peptides are injected under the skin – a place where particularly large numbers of immune cells lie in wait for intruders.</w:t>
      </w:r>
    </w:p>
    <w:p>
      <w:pPr>
        <w:pStyle w:val="BodyText"/>
      </w:pPr>
      <w:r>
        <w:t xml:space="preserve">Immune reactions to peptides range from harmless redness at the injection site through antibodies that can only be detected in the laboratory to rare life-threatening allergic reactions. This chapter categorizes these reactions, compares the peptides, and shows the role that impurities play.</w:t>
      </w:r>
    </w:p>
    <w:bookmarkStart w:id="2705" w:name="Xa00e25ae01419014ac463d75c36d814bafb5e9c"/>
    <w:p>
      <w:pPr>
        <w:pStyle w:val="Heading3"/>
      </w:pPr>
      <w:r>
        <w:t xml:space="preserve">Why peptides can trigger an immune reaction</w:t>
      </w:r>
    </w:p>
    <w:p>
      <w:pPr>
        <w:pStyle w:val="FirstParagraph"/>
      </w:pPr>
      <w:r>
        <w:t xml:space="preserve">Whether the immune system classifies a peptide as foreign depends on several factors:</w:t>
      </w:r>
    </w:p>
    <w:p>
      <w:pPr>
        <w:numPr>
          <w:ilvl w:val="0"/>
          <w:numId w:val="1342"/>
        </w:numPr>
        <w:pStyle w:val="Compact"/>
      </w:pPr>
      <w:r>
        <w:rPr>
          <w:bCs/>
          <w:b/>
        </w:rPr>
        <w:t xml:space="preserve">Origin and similarity to the body’s own substances.</w:t>
      </w:r>
      <w:r>
        <w:t xml:space="preserve"> </w:t>
      </w:r>
      <w:r>
        <w:t xml:space="preserve">Exenatide was developed from a peptide in the saliva of a lizard and differs considerably from human GLP-1. Liraglutide and semaglutide, by contrast, are closely modeled on the human hormone.</w:t>
      </w:r>
    </w:p>
    <w:p>
      <w:pPr>
        <w:numPr>
          <w:ilvl w:val="0"/>
          <w:numId w:val="1342"/>
        </w:numPr>
        <w:pStyle w:val="Compact"/>
      </w:pPr>
      <w:r>
        <w:rPr>
          <w:bCs/>
          <w:b/>
        </w:rPr>
        <w:t xml:space="preserve">Size and modifications.</w:t>
      </w:r>
      <w:r>
        <w:t xml:space="preserve"> </w:t>
      </w:r>
      <w:r>
        <w:t xml:space="preserve">Longer molecules, attached fatty acids, linkers, or antibody components (as with maridebart cafraglutide) offer more surface for attack.</w:t>
      </w:r>
    </w:p>
    <w:p>
      <w:pPr>
        <w:numPr>
          <w:ilvl w:val="0"/>
          <w:numId w:val="1342"/>
        </w:numPr>
        <w:pStyle w:val="Compact"/>
      </w:pPr>
      <w:r>
        <w:rPr>
          <w:bCs/>
          <w:b/>
        </w:rPr>
        <w:t xml:space="preserve">Aggregation.</w:t>
      </w:r>
      <w:r>
        <w:t xml:space="preserve"> </w:t>
      </w:r>
      <w:r>
        <w:t xml:space="preserve">Peptides can clump together into larger aggregates that the immune system recognizes more easily.</w:t>
      </w:r>
    </w:p>
    <w:p>
      <w:pPr>
        <w:numPr>
          <w:ilvl w:val="0"/>
          <w:numId w:val="1342"/>
        </w:numPr>
        <w:pStyle w:val="Compact"/>
      </w:pPr>
      <w:r>
        <w:rPr>
          <w:bCs/>
          <w:b/>
        </w:rPr>
        <w:t xml:space="preserve">Impurities.</w:t>
      </w:r>
      <w:r>
        <w:t xml:space="preserve"> </w:t>
      </w:r>
      <w:r>
        <w:t xml:space="preserve">Even small amounts of incorrectly manufactured peptide fragments or bacterial components can trigger a defensive reaction (more on this below).</w:t>
      </w:r>
    </w:p>
    <w:p>
      <w:pPr>
        <w:numPr>
          <w:ilvl w:val="0"/>
          <w:numId w:val="1342"/>
        </w:numPr>
        <w:pStyle w:val="Compact"/>
      </w:pPr>
      <w:r>
        <w:rPr>
          <w:bCs/>
          <w:b/>
        </w:rPr>
        <w:t xml:space="preserve">Frequency and duration of use.</w:t>
      </w:r>
      <w:r>
        <w:t xml:space="preserve"> </w:t>
      </w:r>
      <w:r>
        <w:t xml:space="preserve">Someone who injects a peptide repeatedly over months gives the immune system many opportunities to react to it.</w:t>
      </w:r>
    </w:p>
    <w:p>
      <w:pPr>
        <w:pStyle w:val="FirstParagraph"/>
      </w:pPr>
      <w:r>
        <w:t xml:space="preserve">For the assessment of antibodies against drugs – experts speak of anti-drug antibodies (ADA) – a uniform terminology has become established</w:t>
      </w:r>
      <w:r>
        <w:rPr>
          <w:rStyle w:val="FootnoteReference"/>
        </w:rPr>
        <w:footnoteReference w:id="2704"/>
      </w:r>
      <w:r>
        <w:t xml:space="preserve">. Four questions are important: How many of those treated form antibodies? How high is the amount (the titer)? Do the antibodies inhibit the effect (neutralizing antibodies)? And do they also react with the body’s own hormone (cross-reactivity)? The last point would be the most concerning: antibodies that block not only the drug but also the body’s own hormone could leave a permanent disorder.</w:t>
      </w:r>
    </w:p>
    <w:bookmarkEnd w:id="2705"/>
    <w:bookmarkStart w:id="2708" w:name="X6c0f23ca2fd4eddc6e0f610e1cf0a15d08e334f"/>
    <w:p>
      <w:pPr>
        <w:pStyle w:val="Heading3"/>
      </w:pPr>
      <w:r>
        <w:t xml:space="preserve">Anti-drug antibodies: what the studies show</w:t>
      </w:r>
    </w:p>
    <w:p>
      <w:pPr>
        <w:pStyle w:val="FirstParagraph"/>
      </w:pPr>
      <w:r>
        <w:t xml:space="preserve">Systematic studies are available for the approved GLP-1 drugs. They show how differently often antibodies arise – and that a high frequency does not automatically mean a clinical problem.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Antibodies in</w:t>
            </w:r>
          </w:p>
        </w:tc>
        <w:tc>
          <w:tcPr/>
          <w:p>
            <w:pPr>
              <w:pStyle w:val="Compact"/>
              <w:jc w:val="left"/>
            </w:pPr>
            <w:r>
              <w:t xml:space="preserve">Consequences</w:t>
            </w:r>
          </w:p>
        </w:tc>
        <w:tc>
          <w:tcPr/>
          <w:p>
            <w:pPr>
              <w:pStyle w:val="Compact"/>
              <w:jc w:val="left"/>
            </w:pPr>
            <w:r>
              <w:t xml:space="preserve">Source</w:t>
            </w:r>
          </w:p>
        </w:tc>
      </w:tr>
      <w:tr>
        <w:tc>
          <w:tcPr/>
          <w:p>
            <w:pPr>
              <w:pStyle w:val="Compact"/>
              <w:jc w:val="left"/>
            </w:pPr>
            <w:r>
              <w:t xml:space="preserve">Exenatide</w:t>
            </w:r>
          </w:p>
        </w:tc>
        <w:tc>
          <w:tcPr/>
          <w:p>
            <w:pPr>
              <w:pStyle w:val="Compact"/>
              <w:jc w:val="left"/>
            </w:pPr>
            <w:r>
              <w:t xml:space="preserve">61% after 26 weeks (LEAD-6)</w:t>
            </w:r>
          </w:p>
        </w:tc>
        <w:tc>
          <w:tcPr/>
          <w:p>
            <w:pPr>
              <w:pStyle w:val="Compact"/>
              <w:jc w:val="left"/>
            </w:pPr>
            <w:r>
              <w:t xml:space="preserve">high titers: smaller HbA1c reduction</w:t>
            </w:r>
          </w:p>
        </w:tc>
        <w:tc>
          <w:tcPr/>
          <w:p>
            <w:pPr>
              <w:pStyle w:val="Compact"/>
              <w:jc w:val="left"/>
            </w:pPr>
            <w:r>
              <w:t xml:space="preserve">Buse 2011, PMID 21450987</w:t>
            </w:r>
          </w:p>
        </w:tc>
      </w:tr>
      <w:tr>
        <w:tc>
          <w:tcPr/>
          <w:p>
            <w:pPr>
              <w:pStyle w:val="Compact"/>
              <w:jc w:val="left"/>
            </w:pPr>
            <w:r>
              <w:t xml:space="preserve">Liraglutide</w:t>
            </w:r>
          </w:p>
        </w:tc>
        <w:tc>
          <w:tcPr/>
          <w:p>
            <w:pPr>
              <w:pStyle w:val="Compact"/>
              <w:jc w:val="left"/>
            </w:pPr>
            <w:r>
              <w:t xml:space="preserve">8.3 to 8.7%, low titers</w:t>
            </w:r>
          </w:p>
        </w:tc>
        <w:tc>
          <w:tcPr/>
          <w:p>
            <w:pPr>
              <w:pStyle w:val="Compact"/>
              <w:jc w:val="left"/>
            </w:pPr>
            <w:r>
              <w:t xml:space="preserve">no weakening of effect</w:t>
            </w:r>
          </w:p>
        </w:tc>
        <w:tc>
          <w:tcPr/>
          <w:p>
            <w:pPr>
              <w:pStyle w:val="Compact"/>
              <w:jc w:val="left"/>
            </w:pPr>
            <w:r>
              <w:t xml:space="preserve">Buse 2011, PMID 21450987</w:t>
            </w:r>
          </w:p>
        </w:tc>
      </w:tr>
      <w:tr>
        <w:tc>
          <w:tcPr/>
          <w:p>
            <w:pPr>
              <w:pStyle w:val="Compact"/>
              <w:jc w:val="left"/>
            </w:pPr>
            <w:r>
              <w:t xml:space="preserve">Dulaglutide</w:t>
            </w:r>
          </w:p>
        </w:tc>
        <w:tc>
          <w:tcPr/>
          <w:p>
            <w:pPr>
              <w:pStyle w:val="Compact"/>
              <w:jc w:val="left"/>
            </w:pPr>
            <w:r>
              <w:t xml:space="preserve">1.6%, neutralizing 0.9%</w:t>
            </w:r>
          </w:p>
        </w:tc>
        <w:tc>
          <w:tcPr/>
          <w:p>
            <w:pPr>
              <w:pStyle w:val="Compact"/>
              <w:jc w:val="left"/>
            </w:pPr>
            <w:r>
              <w:t xml:space="preserve">no hypersensitivity in antibody-positive patients</w:t>
            </w:r>
          </w:p>
        </w:tc>
        <w:tc>
          <w:tcPr/>
          <w:p>
            <w:pPr>
              <w:pStyle w:val="Compact"/>
              <w:jc w:val="left"/>
            </w:pPr>
            <w:r>
              <w:t xml:space="preserve">Milicevic 2016, PMID 26847401</w:t>
            </w:r>
          </w:p>
        </w:tc>
      </w:tr>
      <w:tr>
        <w:tc>
          <w:tcPr/>
          <w:p>
            <w:pPr>
              <w:pStyle w:val="Compact"/>
              <w:jc w:val="left"/>
            </w:pPr>
            <w:r>
              <w:t xml:space="preserve">Tirzepatide</w:t>
            </w:r>
          </w:p>
        </w:tc>
        <w:tc>
          <w:tcPr/>
          <w:p>
            <w:pPr>
              <w:pStyle w:val="Compact"/>
              <w:jc w:val="left"/>
            </w:pPr>
            <w:r>
              <w:t xml:space="preserve">51.1%, neutralizing about 2%</w:t>
            </w:r>
          </w:p>
        </w:tc>
        <w:tc>
          <w:tcPr/>
          <w:p>
            <w:pPr>
              <w:pStyle w:val="Compact"/>
              <w:jc w:val="left"/>
            </w:pPr>
            <w:r>
              <w:t xml:space="preserve">no weakening of effect; more skin and allergic reactions</w:t>
            </w:r>
          </w:p>
        </w:tc>
        <w:tc>
          <w:tcPr/>
          <w:p>
            <w:pPr>
              <w:pStyle w:val="Compact"/>
              <w:jc w:val="left"/>
            </w:pPr>
            <w:r>
              <w:t xml:space="preserve">Mullins 2024, PMID 37700637</w:t>
            </w:r>
          </w:p>
        </w:tc>
      </w:tr>
      <w:tr>
        <w:tc>
          <w:tcPr/>
          <w:p>
            <w:pPr>
              <w:pStyle w:val="Compact"/>
              <w:jc w:val="left"/>
            </w:pPr>
            <w:r>
              <w:t xml:space="preserve">Sermorelin</w:t>
            </w:r>
          </w:p>
        </w:tc>
        <w:tc>
          <w:tcPr/>
          <w:p>
            <w:pPr>
              <w:pStyle w:val="Compact"/>
              <w:jc w:val="left"/>
            </w:pPr>
            <w:r>
              <w:t xml:space="preserve">14 of 18 children</w:t>
            </w:r>
          </w:p>
        </w:tc>
        <w:tc>
          <w:tcPr/>
          <w:p>
            <w:pPr>
              <w:pStyle w:val="Compact"/>
              <w:jc w:val="left"/>
            </w:pPr>
            <w:r>
              <w:t xml:space="preserve">no discernible consequences</w:t>
            </w:r>
          </w:p>
        </w:tc>
        <w:tc>
          <w:tcPr/>
          <w:p>
            <w:pPr>
              <w:pStyle w:val="Compact"/>
              <w:jc w:val="left"/>
            </w:pPr>
            <w:r>
              <w:t xml:space="preserve">Ross 1987, PMID 2879138</w:t>
            </w:r>
          </w:p>
        </w:tc>
      </w:tr>
      <w:tr>
        <w:tc>
          <w:tcPr/>
          <w:p>
            <w:pPr>
              <w:pStyle w:val="Compact"/>
              <w:jc w:val="left"/>
            </w:pPr>
            <w:r>
              <w:t xml:space="preserve">ARA-290</w:t>
            </w:r>
          </w:p>
        </w:tc>
        <w:tc>
          <w:tcPr/>
          <w:p>
            <w:pPr>
              <w:pStyle w:val="Compact"/>
              <w:jc w:val="left"/>
            </w:pPr>
            <w:r>
              <w:t xml:space="preserve">none in 12 weeks</w:t>
            </w:r>
          </w:p>
        </w:tc>
        <w:tc>
          <w:tcPr/>
          <w:p>
            <w:pPr>
              <w:pStyle w:val="Compact"/>
              <w:jc w:val="left"/>
            </w:pPr>
            <w:r>
              <w:t xml:space="preserve">–</w:t>
            </w:r>
          </w:p>
        </w:tc>
        <w:tc>
          <w:tcPr/>
          <w:p>
            <w:pPr>
              <w:pStyle w:val="Compact"/>
              <w:jc w:val="left"/>
            </w:pPr>
            <w:r>
              <w:t xml:space="preserve">Lois 2020, PMID 32674280</w:t>
            </w:r>
          </w:p>
        </w:tc>
      </w:tr>
    </w:tbl>
    <w:p>
      <w:pPr>
        <w:pStyle w:val="BodyText"/>
      </w:pPr>
      <w:r>
        <w:rPr>
          <w:bCs/>
          <w:b/>
        </w:rPr>
        <w:t xml:space="preserve">Exenatide</w:t>
      </w:r>
      <w:r>
        <w:t xml:space="preserve"> </w:t>
      </w:r>
      <w:r>
        <w:t xml:space="preserve">is the prime example of a peptide that frequently provokes antibodies because of its non-human origin. In the LEAD-6 trial, 113 of 185 treated people had antibodies against exenatide after 26 weeks; high antibody levels were associated with a significantly smaller reduction in long-term blood sugar. After switching to liraglutide, these antibodies did not impair the further effect</w:t>
      </w:r>
      <w:r>
        <w:rPr>
          <w:rStyle w:val="FootnoteReference"/>
        </w:rPr>
        <w:footnoteReference w:id="2706"/>
      </w:r>
      <w:r>
        <w:t xml:space="preserve">.</w:t>
      </w:r>
    </w:p>
    <w:p>
      <w:pPr>
        <w:pStyle w:val="BodyText"/>
      </w:pPr>
      <w:r>
        <w:rPr>
          <w:bCs/>
          <w:b/>
        </w:rPr>
        <w:t xml:space="preserve">Tirzepatide</w:t>
      </w:r>
      <w:r>
        <w:t xml:space="preserve"> </w:t>
      </w:r>
      <w:r>
        <w:t xml:space="preserve">shows that even a peptide modeled on the human hormone can frequently be recognized. In seven phase 3 trials with 5,025 evaluable participants, 51.1% formed antibodies during treatment. Neutralizing antibodies against the effect at the GIP and GLP-1 receptors were found in 1.9% and 2.1%, respectively, and those that also neutralized the body’s own hormones in less than 1%. This had no influence on blood levels or effect. However, antibody-positive participants more frequently experienced hypersensitivity reactions and injection-site reactions, mostly mild to moderate</w:t>
      </w:r>
      <w:r>
        <w:rPr>
          <w:rStyle w:val="FootnoteReference"/>
        </w:rPr>
        <w:footnoteReference w:id="2707"/>
      </w:r>
      <w:r>
        <w:t xml:space="preserve">.</w:t>
      </w:r>
    </w:p>
    <w:p>
      <w:pPr>
        <w:pStyle w:val="BodyText"/>
      </w:pPr>
      <w:r>
        <w:t xml:space="preserve">For the newer agents – retatrutide, survodutide, mazdutide, cagrilintide, amycretin, and the antibody-based maridebart cafraglutide – comparable pooled analyses have not yet been published. For maridebart cafraglutide this is particularly relevant, because antibody drugs can have their own immunogenicity (chapter Maridebart Cafraglutide).</w:t>
      </w:r>
    </w:p>
    <w:p>
      <w:pPr>
        <w:pStyle w:val="BodyText"/>
      </w:pPr>
      <w:r>
        <w:t xml:space="preserve">For most gray-market peptides there are no antibody data at all. This applies to BPC-157, TB-500, CJC-1295, ipamorelin, MOTS-c, humanin, Epitalon, and many others. The chapters on MOTS-c, humanin, and FOXO4-DRI point out that antibodies are conceivable with repeated injection but have never been studied. Anyone who injects such substances for months therefore cannot know whether their body is forming antibodies and what effects these have.</w:t>
      </w:r>
    </w:p>
    <w:bookmarkEnd w:id="2708"/>
    <w:bookmarkStart w:id="2712" w:name="injection-site-reactions"/>
    <w:p>
      <w:pPr>
        <w:pStyle w:val="Heading3"/>
      </w:pPr>
      <w:r>
        <w:t xml:space="preserve">Injection-site reactions</w:t>
      </w:r>
    </w:p>
    <w:p>
      <w:pPr>
        <w:pStyle w:val="FirstParagraph"/>
      </w:pPr>
      <w:r>
        <w:t xml:space="preserve">Redness, itching, swelling, small bruises, or palpable nodules at the injection site are the most common immune and tissue reactions to injected peptides. A meta-analysis of 14 randomized trials with 4,861 participants found an approximately three-and-a-half-fold increased risk of such reactions with GLP-1 receptor agonists compared with the comparison groups (relative risk 3.55). In the US adverse event reporting database, exenatide and dulaglutide stood out in particular for bleeding at the injection site</w:t>
      </w:r>
      <w:r>
        <w:rPr>
          <w:rStyle w:val="FootnoteReference"/>
        </w:rPr>
        <w:footnoteReference w:id="2709"/>
      </w:r>
      <w:r>
        <w:t xml:space="preserve">.</w:t>
      </w:r>
    </w:p>
    <w:p>
      <w:pPr>
        <w:pStyle w:val="BodyText"/>
      </w:pPr>
      <w:r>
        <w:t xml:space="preserve">The frequency varies considerably between peptides: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Peptide</w:t>
            </w:r>
          </w:p>
        </w:tc>
        <w:tc>
          <w:tcPr/>
          <w:p>
            <w:pPr>
              <w:pStyle w:val="Compact"/>
              <w:jc w:val="left"/>
            </w:pPr>
            <w:r>
              <w:t xml:space="preserve">Injection-site reactions</w:t>
            </w:r>
          </w:p>
        </w:tc>
        <w:tc>
          <w:tcPr/>
          <w:p>
            <w:pPr>
              <w:pStyle w:val="Compact"/>
              <w:jc w:val="left"/>
            </w:pPr>
            <w:r>
              <w:t xml:space="preserve">Source</w:t>
            </w:r>
          </w:p>
        </w:tc>
      </w:tr>
      <w:tr>
        <w:tc>
          <w:tcPr/>
          <w:p>
            <w:pPr>
              <w:pStyle w:val="Compact"/>
              <w:jc w:val="left"/>
            </w:pPr>
            <w:r>
              <w:t xml:space="preserve">Setmelanotide</w:t>
            </w:r>
          </w:p>
        </w:tc>
        <w:tc>
          <w:tcPr/>
          <w:p>
            <w:pPr>
              <w:pStyle w:val="Compact"/>
              <w:jc w:val="left"/>
            </w:pPr>
            <w:r>
              <w:t xml:space="preserve">96% (meta-analysis, 7 studies)</w:t>
            </w:r>
          </w:p>
        </w:tc>
        <w:tc>
          <w:tcPr/>
          <w:p>
            <w:pPr>
              <w:pStyle w:val="Compact"/>
              <w:jc w:val="left"/>
            </w:pPr>
            <w:r>
              <w:t xml:space="preserve">Sridharan 2026, PMID 39924461</w:t>
            </w:r>
          </w:p>
        </w:tc>
      </w:tr>
      <w:tr>
        <w:tc>
          <w:tcPr/>
          <w:p>
            <w:pPr>
              <w:pStyle w:val="Compact"/>
              <w:jc w:val="left"/>
            </w:pPr>
            <w:r>
              <w:t xml:space="preserve">Elamipretide (SS-31)</w:t>
            </w:r>
          </w:p>
        </w:tc>
        <w:tc>
          <w:tcPr/>
          <w:p>
            <w:pPr>
              <w:pStyle w:val="Compact"/>
              <w:jc w:val="left"/>
            </w:pPr>
            <w:r>
              <w:t xml:space="preserve">80%, mostly mild</w:t>
            </w:r>
          </w:p>
        </w:tc>
        <w:tc>
          <w:tcPr/>
          <w:p>
            <w:pPr>
              <w:pStyle w:val="Compact"/>
              <w:jc w:val="left"/>
            </w:pPr>
            <w:r>
              <w:t xml:space="preserve">Karaa 2020, PMID 32096613</w:t>
            </w:r>
          </w:p>
        </w:tc>
      </w:tr>
      <w:tr>
        <w:tc>
          <w:tcPr/>
          <w:p>
            <w:pPr>
              <w:pStyle w:val="Compact"/>
              <w:jc w:val="left"/>
            </w:pPr>
            <w:r>
              <w:t xml:space="preserve">Mecasermin</w:t>
            </w:r>
          </w:p>
        </w:tc>
        <w:tc>
          <w:tcPr/>
          <w:p>
            <w:pPr>
              <w:pStyle w:val="Compact"/>
              <w:jc w:val="left"/>
            </w:pPr>
            <w:r>
              <w:t xml:space="preserve">fatty tissue changes in 32%</w:t>
            </w:r>
          </w:p>
        </w:tc>
        <w:tc>
          <w:tcPr/>
          <w:p>
            <w:pPr>
              <w:pStyle w:val="Compact"/>
              <w:jc w:val="left"/>
            </w:pPr>
            <w:r>
              <w:t xml:space="preserve">Chernausek 2007, PMID 17192294</w:t>
            </w:r>
          </w:p>
        </w:tc>
      </w:tr>
      <w:tr>
        <w:tc>
          <w:tcPr/>
          <w:p>
            <w:pPr>
              <w:pStyle w:val="Compact"/>
              <w:jc w:val="left"/>
            </w:pPr>
            <w:r>
              <w:t xml:space="preserve">Tirzepatide</w:t>
            </w:r>
          </w:p>
        </w:tc>
        <w:tc>
          <w:tcPr/>
          <w:p>
            <w:pPr>
              <w:pStyle w:val="Compact"/>
              <w:jc w:val="left"/>
            </w:pPr>
            <w:r>
              <w:t xml:space="preserve">2 to 7%</w:t>
            </w:r>
          </w:p>
        </w:tc>
        <w:tc>
          <w:tcPr/>
          <w:p>
            <w:pPr>
              <w:pStyle w:val="Compact"/>
              <w:jc w:val="left"/>
            </w:pPr>
            <w:r>
              <w:t xml:space="preserve">Gupta 2026, PMID 42930571</w:t>
            </w:r>
          </w:p>
        </w:tc>
      </w:tr>
      <w:tr>
        <w:tc>
          <w:tcPr/>
          <w:p>
            <w:pPr>
              <w:pStyle w:val="Compact"/>
              <w:jc w:val="left"/>
            </w:pPr>
            <w:r>
              <w:t xml:space="preserve">Bremelanotide</w:t>
            </w:r>
          </w:p>
        </w:tc>
        <w:tc>
          <w:tcPr/>
          <w:p>
            <w:pPr>
              <w:pStyle w:val="Compact"/>
              <w:jc w:val="left"/>
            </w:pPr>
            <w:r>
              <w:t xml:space="preserve">5.4% vs. 0.5% on placebo</w:t>
            </w:r>
          </w:p>
        </w:tc>
        <w:tc>
          <w:tcPr/>
          <w:p>
            <w:pPr>
              <w:pStyle w:val="Compact"/>
              <w:jc w:val="left"/>
            </w:pPr>
            <w:r>
              <w:t xml:space="preserve">Clayton 2022, PMID 35147466</w:t>
            </w:r>
          </w:p>
        </w:tc>
      </w:tr>
    </w:tbl>
    <w:p>
      <w:pPr>
        <w:pStyle w:val="BodyText"/>
      </w:pPr>
      <w:r>
        <w:t xml:space="preserve">With the weekly formulation of exenatide, small nodules often form because the microspheres that release the active ingredient slowly are broken down under the skin. In the five-year analysis of DURATION-1, such reactions became less frequent over time</w:t>
      </w:r>
      <w:r>
        <w:rPr>
          <w:rStyle w:val="FootnoteReference"/>
        </w:rPr>
        <w:footnoteReference w:id="2710"/>
      </w:r>
      <w:r>
        <w:t xml:space="preserve">. With mecasermin, the finding was a thickening of the fatty tissue at the injection site (lipohypertrophy).</w:t>
      </w:r>
    </w:p>
    <w:p>
      <w:pPr>
        <w:pStyle w:val="BodyText"/>
      </w:pPr>
      <w:r>
        <w:t xml:space="preserve">It is important to distinguish these from</w:t>
      </w:r>
      <w:r>
        <w:t xml:space="preserve"> </w:t>
      </w:r>
      <w:r>
        <w:rPr>
          <w:bCs/>
          <w:b/>
        </w:rPr>
        <w:t xml:space="preserve">infection</w:t>
      </w:r>
      <w:r>
        <w:t xml:space="preserve">. Redness that increases over days, becomes warm, is painful, forms pus, or is accompanied by fever is not a harmless reaction. After Argireline injections into the forehead and temples, a 45-year-old woman developed nodules and abscesses; the cause was the difficult-to-treat bacterium</w:t>
      </w:r>
      <w:r>
        <w:t xml:space="preserve"> </w:t>
      </w:r>
      <w:r>
        <w:rPr>
          <w:iCs/>
          <w:i/>
        </w:rPr>
        <w:t xml:space="preserve">Mycobacterium abscessus</w:t>
      </w:r>
      <w:r>
        <w:t xml:space="preserve">, and treatment lasted five months</w:t>
      </w:r>
      <w:r>
        <w:rPr>
          <w:rStyle w:val="FootnoteReference"/>
        </w:rPr>
        <w:footnoteReference w:id="2711"/>
      </w:r>
      <w:r>
        <w:t xml:space="preserve">. Such infections usually do not originate from the peptide but from non-sterile products or procedures – more on this in the chapter</w:t>
      </w:r>
      <w:r>
        <w:t xml:space="preserve"> </w:t>
      </w:r>
      <w:r>
        <w:t xml:space="preserve">“</w:t>
      </w:r>
      <w:r>
        <w:t xml:space="preserve">Gray-Market Products.</w:t>
      </w:r>
      <w:r>
        <w:t xml:space="preserve">”</w:t>
      </w:r>
    </w:p>
    <w:bookmarkEnd w:id="2712"/>
    <w:bookmarkStart w:id="2721" w:name="allergic-reactions-and-anaphylaxis"/>
    <w:p>
      <w:pPr>
        <w:pStyle w:val="Heading3"/>
      </w:pPr>
      <w:r>
        <w:t xml:space="preserve">Allergic reactions and anaphylaxis</w:t>
      </w:r>
    </w:p>
    <w:p>
      <w:pPr>
        <w:pStyle w:val="FirstParagraph"/>
      </w:pPr>
      <w:r>
        <w:t xml:space="preserve">Anaphylaxis is a severe allergic reaction affecting the whole body, with skin rash, swelling, shortness of breath, and circulatory collapse. It is rare with peptide drugs, but it does occur.</w:t>
      </w:r>
    </w:p>
    <w:p>
      <w:pPr>
        <w:pStyle w:val="BodyText"/>
      </w:pPr>
      <w:r>
        <w:t xml:space="preserve">For the GLP-1 drugs, there are large database studies on this. In three US insurance databases with 696,089 new users, the incidence of anaphylaxis ranged, depending on the agent, from 1.0 (lixisenatide) to 6.0 (exenatide) cases per 10,000 person-years; the authors consider anaphylaxis with GLP-1 drugs to be rare</w:t>
      </w:r>
      <w:r>
        <w:rPr>
          <w:rStyle w:val="FootnoteReference"/>
        </w:rPr>
        <w:footnoteReference w:id="2713"/>
      </w:r>
      <w:r>
        <w:t xml:space="preserve">. A study from the United Kingdom and the US compared GLP-1 receptor agonists with two other groups of diabetes drugs. Compared with DPP-4 inhibitors, the risk was not significantly increased (hazard ratio 1.15); compared with SGLT2 inhibitors, it was 38% higher (40.7 versus 29.4 cases per 100,000 person-years)</w:t>
      </w:r>
      <w:r>
        <w:rPr>
          <w:rStyle w:val="FootnoteReference"/>
        </w:rPr>
        <w:footnoteReference w:id="2714"/>
      </w:r>
      <w:r>
        <w:t xml:space="preserve">. This is a relative increase in an absolutely very rare reaction.</w:t>
      </w:r>
    </w:p>
    <w:p>
      <w:pPr>
        <w:pStyle w:val="BodyText"/>
      </w:pPr>
      <w:r>
        <w:t xml:space="preserve">Individual cases show what such reactions can look like:</w:t>
      </w:r>
    </w:p>
    <w:p>
      <w:pPr>
        <w:numPr>
          <w:ilvl w:val="0"/>
          <w:numId w:val="1343"/>
        </w:numPr>
        <w:pStyle w:val="Compact"/>
      </w:pPr>
      <w:r>
        <w:t xml:space="preserve">Case reports describe anaphylaxis with the weekly formulation of exenatide</w:t>
      </w:r>
      <w:r>
        <w:rPr>
          <w:rStyle w:val="FootnoteReference"/>
        </w:rPr>
        <w:footnoteReference w:id="2715"/>
      </w:r>
      <w:r>
        <w:t xml:space="preserve"> </w:t>
      </w:r>
      <w:r>
        <w:t xml:space="preserve">and an allergic reaction to exenatide and lixisenatide, but not to liraglutide</w:t>
      </w:r>
      <w:r>
        <w:rPr>
          <w:rStyle w:val="FootnoteReference"/>
        </w:rPr>
        <w:footnoteReference w:id="2716"/>
      </w:r>
      <w:r>
        <w:t xml:space="preserve"> </w:t>
      </w:r>
      <w:r>
        <w:t xml:space="preserve">– an indication that the lizard-derived agents are recognized differently from the human-like ones.</w:t>
      </w:r>
    </w:p>
    <w:p>
      <w:pPr>
        <w:numPr>
          <w:ilvl w:val="0"/>
          <w:numId w:val="1343"/>
        </w:numPr>
        <w:pStyle w:val="Compact"/>
      </w:pPr>
      <w:r>
        <w:t xml:space="preserve">With tirzepatide, a biphasic anaphylaxis has been described in which the symptoms recurred after initial improvement</w:t>
      </w:r>
      <w:r>
        <w:rPr>
          <w:rStyle w:val="FootnoteReference"/>
        </w:rPr>
        <w:footnoteReference w:id="2717"/>
      </w:r>
      <w:r>
        <w:t xml:space="preserve">.</w:t>
      </w:r>
    </w:p>
    <w:p>
      <w:pPr>
        <w:numPr>
          <w:ilvl w:val="0"/>
          <w:numId w:val="1343"/>
        </w:numPr>
        <w:pStyle w:val="Compact"/>
      </w:pPr>
      <w:r>
        <w:t xml:space="preserve">A 50-year-old woman developed massive swelling of the lips, tongue, and throat four hours after her first injection of semaglutide from a compounding pharmacy and had to be mechanically ventilated for four days. Only afterward did it emerge that she had accidentally injected ten times the amount</w:t>
      </w:r>
      <w:r>
        <w:rPr>
          <w:rStyle w:val="FootnoteReference"/>
        </w:rPr>
        <w:footnoteReference w:id="2718"/>
      </w:r>
      <w:r>
        <w:t xml:space="preserve">.</w:t>
      </w:r>
    </w:p>
    <w:p>
      <w:pPr>
        <w:numPr>
          <w:ilvl w:val="0"/>
          <w:numId w:val="1343"/>
        </w:numPr>
        <w:pStyle w:val="Compact"/>
      </w:pPr>
      <w:r>
        <w:t xml:space="preserve">After a Cerebrolysin infusion, an 85-year-old man developed life-threatening anaphylaxis that was confirmed in the laboratory</w:t>
      </w:r>
      <w:r>
        <w:rPr>
          <w:rStyle w:val="FootnoteReference"/>
        </w:rPr>
        <w:footnoteReference w:id="2719"/>
      </w:r>
      <w:r>
        <w:t xml:space="preserve">. Cerebrolysin is a mixture of peptides from pig brain; animal extracts such as this or thymalin generally bring along more foreign proteins (chapters Cerebrolysin, Thymalin).</w:t>
      </w:r>
    </w:p>
    <w:p>
      <w:pPr>
        <w:pStyle w:val="FirstParagraph"/>
      </w:pPr>
      <w:r>
        <w:t xml:space="preserve">Allergies are also possible with cosmetic peptides, albeit rarely. In a small study of a cream containing, among other ingredients, palmitoyl pentapeptide-4, a suspected allergic reaction occurred; which ingredient was responsible remained unclear</w:t>
      </w:r>
      <w:r>
        <w:rPr>
          <w:rStyle w:val="FootnoteReference"/>
        </w:rPr>
        <w:footnoteReference w:id="2720"/>
      </w:r>
      <w:r>
        <w:t xml:space="preserve">.</w:t>
      </w:r>
    </w:p>
    <w:p>
      <w:pPr>
        <w:pStyle w:val="BodyText"/>
      </w:pPr>
      <w:r>
        <w:t xml:space="preserve">For gray-market peptides there are no frequency data. The risk of a severe allergic reaction is particularly high there, however, because use usually takes place without medical supervision and nobody is on hand with emergency medication in a crisis. Shortness of breath, swelling of the face or throat, and circulatory symptoms after an injection are always an emergency.</w:t>
      </w:r>
    </w:p>
    <w:bookmarkEnd w:id="2721"/>
    <w:bookmarkStart w:id="2726" w:name="inflammatory-and-autoimmune-reactions"/>
    <w:p>
      <w:pPr>
        <w:pStyle w:val="Heading3"/>
      </w:pPr>
      <w:r>
        <w:t xml:space="preserve">Inflammatory and autoimmune reactions</w:t>
      </w:r>
    </w:p>
    <w:p>
      <w:pPr>
        <w:pStyle w:val="FirstParagraph"/>
      </w:pPr>
      <w:r>
        <w:t xml:space="preserve">Some peptides are themselves part of the immune system. This makes them interesting, but also risky.</w:t>
      </w:r>
    </w:p>
    <w:p>
      <w:pPr>
        <w:pStyle w:val="BodyText"/>
      </w:pPr>
      <w:r>
        <w:rPr>
          <w:bCs/>
          <w:b/>
        </w:rPr>
        <w:t xml:space="preserve">LL-37</w:t>
      </w:r>
      <w:r>
        <w:t xml:space="preserve"> </w:t>
      </w:r>
      <w:r>
        <w:t xml:space="preserve">is an endogenous defense peptide. In psoriasis, it plays a key role: it binds to the body’s own genetic material and makes it visible to certain immune cells, which then release inflammatory messenger substances</w:t>
      </w:r>
      <w:r>
        <w:rPr>
          <w:rStyle w:val="FootnoteReference"/>
        </w:rPr>
        <w:footnoteReference w:id="2722"/>
      </w:r>
      <w:r>
        <w:t xml:space="preserve">. In two-thirds of people with moderate to severe psoriasis, T cells were found that specifically recognize LL-37 – so there it acts like an autoantigen</w:t>
      </w:r>
      <w:r>
        <w:rPr>
          <w:rStyle w:val="FootnoteReference"/>
        </w:rPr>
        <w:footnoteReference w:id="2723"/>
      </w:r>
      <w:r>
        <w:t xml:space="preserve">. After injections of LL-37 into skin metastases, a patient developed inflammatory, wart-like skin changes</w:t>
      </w:r>
      <w:r>
        <w:rPr>
          <w:rStyle w:val="FootnoteReference"/>
        </w:rPr>
        <w:footnoteReference w:id="2724"/>
      </w:r>
      <w:r>
        <w:t xml:space="preserve">. For people with psoriasis, rosacea, or other autoimmune diseases, this is an indication to be taken seriously (chapter LL-37).</w:t>
      </w:r>
    </w:p>
    <w:p>
      <w:pPr>
        <w:pStyle w:val="BodyText"/>
      </w:pPr>
      <w:r>
        <w:rPr>
          <w:bCs/>
          <w:b/>
        </w:rPr>
        <w:t xml:space="preserve">Immunostimulating peptides</w:t>
      </w:r>
      <w:r>
        <w:t xml:space="preserve"> </w:t>
      </w:r>
      <w:r>
        <w:t xml:space="preserve">such as thymosin alpha-1 and thymalin are intended to stimulate the body’s defenses. Whether this is harmful in autoimmune diseases or after organ transplants has not been studied (chapters Thymosin Alpha-1, Thymalin).</w:t>
      </w:r>
    </w:p>
    <w:p>
      <w:pPr>
        <w:pStyle w:val="BodyText"/>
      </w:pPr>
      <w:r>
        <w:t xml:space="preserve">For the GLP-1 drugs, a systematic review describes, in addition to the common mild skin reactions, rare but potentially serious immune-mediated conditions, including angioedema, blistering autoimmune diseases, drug eruptions, and vasculitis</w:t>
      </w:r>
      <w:r>
        <w:rPr>
          <w:rStyle w:val="FootnoteReference"/>
        </w:rPr>
        <w:footnoteReference w:id="2725"/>
      </w:r>
      <w:r>
        <w:t xml:space="preserve">. How common they are cannot be determined from case reports.</w:t>
      </w:r>
    </w:p>
    <w:bookmarkEnd w:id="2726"/>
    <w:bookmarkStart w:id="2732" w:name="impurities-as-triggers"/>
    <w:p>
      <w:pPr>
        <w:pStyle w:val="Heading3"/>
      </w:pPr>
      <w:r>
        <w:t xml:space="preserve">Impurities as triggers</w:t>
      </w:r>
    </w:p>
    <w:p>
      <w:pPr>
        <w:pStyle w:val="FirstParagraph"/>
      </w:pPr>
      <w:r>
        <w:t xml:space="preserve">Some immune reactions are not due to the peptide itself but to what additionally ends up in the vial during its manufacture.</w:t>
      </w:r>
    </w:p>
    <w:p>
      <w:pPr>
        <w:pStyle w:val="BodyText"/>
      </w:pPr>
      <w:r>
        <w:rPr>
          <w:bCs/>
          <w:b/>
        </w:rPr>
        <w:t xml:space="preserve">Defective peptides.</w:t>
      </w:r>
      <w:r>
        <w:t xml:space="preserve"> </w:t>
      </w:r>
      <w:r>
        <w:t xml:space="preserve">Chemical synthesis produces molecules in which a building block is missing, occurs twice, or is chemically altered. Such impurities can contain new structures that the immune system’s T cells recognize. For this reason, the US drug regulatory agency requires information on every new impurity compared with the reference product for generic versions of synthetic peptides</w:t>
      </w:r>
      <w:r>
        <w:rPr>
          <w:rStyle w:val="FootnoteReference"/>
        </w:rPr>
        <w:footnoteReference w:id="2727"/>
      </w:r>
      <w:r>
        <w:t xml:space="preserve">. What such an assessment looks like is shown by a study of generic versions of the osteoporosis peptide teriparatide, in which impurities were evaluated using computational methods, binding assays, and experiments with human immune cells</w:t>
      </w:r>
      <w:r>
        <w:rPr>
          <w:rStyle w:val="FootnoteReference"/>
        </w:rPr>
        <w:footnoteReference w:id="2728"/>
      </w:r>
      <w:r>
        <w:t xml:space="preserve">.</w:t>
      </w:r>
    </w:p>
    <w:p>
      <w:pPr>
        <w:pStyle w:val="BodyText"/>
      </w:pPr>
      <w:r>
        <w:rPr>
          <w:bCs/>
          <w:b/>
        </w:rPr>
        <w:t xml:space="preserve">GLP-1 copies.</w:t>
      </w:r>
      <w:r>
        <w:t xml:space="preserve"> </w:t>
      </w:r>
      <w:r>
        <w:t xml:space="preserve">A manufacturer-affiliated analysis of 16 injectable and 8 oral semaglutide copies found new impurities, including larger protein molecules, and new recognition sites for the immune system predicted by computational methods; liraglutide copies showed a greater tendency to aggregate</w:t>
      </w:r>
      <w:r>
        <w:rPr>
          <w:rStyle w:val="FootnoteReference"/>
        </w:rPr>
        <w:footnoteReference w:id="2729"/>
      </w:r>
      <w:r>
        <w:t xml:space="preserve">. Whether these differences actually provoke more antibodies in humans was not measured. That a carefully manufactured synthetic copy is not automatically more problematic is shown by another study: a synthetic liraglutide generic did not stimulate human immune cells in the laboratory more strongly than the genetically engineered original</w:t>
      </w:r>
      <w:r>
        <w:rPr>
          <w:rStyle w:val="FootnoteReference"/>
        </w:rPr>
        <w:footnoteReference w:id="2730"/>
      </w:r>
      <w:r>
        <w:t xml:space="preserve">. What matters, then, is not the manufacturing method but quality control.</w:t>
      </w:r>
    </w:p>
    <w:p>
      <w:pPr>
        <w:pStyle w:val="BodyText"/>
      </w:pPr>
      <w:r>
        <w:rPr>
          <w:bCs/>
          <w:b/>
        </w:rPr>
        <w:t xml:space="preserve">Endotoxins and germs.</w:t>
      </w:r>
      <w:r>
        <w:t xml:space="preserve"> </w:t>
      </w:r>
      <w:r>
        <w:t xml:space="preserve">Endotoxins, cell wall components of bacteria, directly activate the innate immune system and can trigger fever, chills, and circulatory reactions. In test purchases of semaglutide from illegal online pharmacies, they were detectable in all samples (Ashraf 2024, PMID 39509151; details in Part I). A control laboratory detected the bacterium</w:t>
      </w:r>
      <w:r>
        <w:t xml:space="preserve"> </w:t>
      </w:r>
      <w:r>
        <w:rPr>
          <w:iCs/>
          <w:i/>
        </w:rPr>
        <w:t xml:space="preserve">Bacillus cereus</w:t>
      </w:r>
      <w:r>
        <w:t xml:space="preserve">, which can destroy red blood cells, in two illegal peptide preparations for injection</w:t>
      </w:r>
      <w:r>
        <w:rPr>
          <w:rStyle w:val="FootnoteReference"/>
        </w:rPr>
        <w:footnoteReference w:id="2731"/>
      </w:r>
      <w:r>
        <w:t xml:space="preserve">.</w:t>
      </w:r>
    </w:p>
    <w:p>
      <w:pPr>
        <w:pStyle w:val="BodyText"/>
      </w:pPr>
      <w:r>
        <w:t xml:space="preserve">For the gray market, this means: even if a peptide itself is only weakly immunogenic, the product may be. And because neither impurity profiles nor endotoxin limits are tested for gray-market goods, a reaction can hardly be attributed to a specific component after the fact.</w:t>
      </w:r>
    </w:p>
    <w:bookmarkEnd w:id="2732"/>
    <w:bookmarkStart w:id="2733" w:name="what-this-means-in-practice"/>
    <w:p>
      <w:pPr>
        <w:pStyle w:val="Heading3"/>
      </w:pPr>
      <w:r>
        <w:t xml:space="preserve">What this means in practice</w:t>
      </w:r>
    </w:p>
    <w:p>
      <w:pPr>
        <w:numPr>
          <w:ilvl w:val="0"/>
          <w:numId w:val="1344"/>
        </w:numPr>
        <w:pStyle w:val="Compact"/>
      </w:pPr>
      <w:r>
        <w:t xml:space="preserve">Antibodies against peptide drugs are common but usually without consequences. With exenatide, high titers can weaken the effect; with tirzepatide, they are associated with somewhat more skin and hypersensitivity reactions.</w:t>
      </w:r>
    </w:p>
    <w:p>
      <w:pPr>
        <w:numPr>
          <w:ilvl w:val="0"/>
          <w:numId w:val="1344"/>
        </w:numPr>
        <w:pStyle w:val="Compact"/>
      </w:pPr>
      <w:r>
        <w:t xml:space="preserve">Injection-site reactions are the most common immune reaction and almost the rule with some peptides. Increasing redness, warmth, pus, or fever, on the other hand, indicate an infection.</w:t>
      </w:r>
    </w:p>
    <w:p>
      <w:pPr>
        <w:numPr>
          <w:ilvl w:val="0"/>
          <w:numId w:val="1344"/>
        </w:numPr>
        <w:pStyle w:val="Compact"/>
      </w:pPr>
      <w:r>
        <w:t xml:space="preserve">Anaphylaxis is very rare with approved GLP-1 drugs – on the order of a few cases per 10,000 treatment years. There are also case reports for tirzepatide, Cerebrolysin, and an accidental overdose.</w:t>
      </w:r>
    </w:p>
    <w:p>
      <w:pPr>
        <w:numPr>
          <w:ilvl w:val="0"/>
          <w:numId w:val="1344"/>
        </w:numPr>
        <w:pStyle w:val="Compact"/>
      </w:pPr>
      <w:r>
        <w:t xml:space="preserve">For most gray-market peptides, data on antibodies and allergies are completely lacking. Impurities and endotoxins are an additional, incalculable risk there.</w:t>
      </w:r>
    </w:p>
    <w:p>
      <w:pPr>
        <w:numPr>
          <w:ilvl w:val="0"/>
          <w:numId w:val="1344"/>
        </w:numPr>
        <w:pStyle w:val="Compact"/>
      </w:pPr>
      <w:r>
        <w:t xml:space="preserve">Anyone who has already had an allergic reaction to a peptide should mention this at every medical treatment. Whether related agents are tolerated can only be clarified by a physician.</w:t>
      </w:r>
    </w:p>
    <w:bookmarkEnd w:id="2733"/>
    <w:bookmarkEnd w:id="2734"/>
    <w:bookmarkStart w:id="2778" w:name="Xe9dbfb74057653a0f0ee0149ef36afdba976662"/>
    <w:p>
      <w:pPr>
        <w:pStyle w:val="Heading2"/>
      </w:pPr>
      <w:r>
        <w:t xml:space="preserve">Gray-Market Products: What Laboratory Analyses Show</w:t>
      </w:r>
    </w:p>
    <w:p>
      <w:pPr>
        <w:pStyle w:val="FirstParagraph"/>
      </w:pPr>
      <w:r>
        <w:t xml:space="preserve">In the chapter</w:t>
      </w:r>
      <w:r>
        <w:t xml:space="preserve"> </w:t>
      </w:r>
      <w:r>
        <w:t xml:space="preserve">“</w:t>
      </w:r>
      <w:r>
        <w:t xml:space="preserve">The Gray Market,</w:t>
      </w:r>
      <w:r>
        <w:t xml:space="preserve">”</w:t>
      </w:r>
      <w:r>
        <w:t xml:space="preserve"> </w:t>
      </w:r>
      <w:r>
        <w:t xml:space="preserve">Part I described what</w:t>
      </w:r>
      <w:r>
        <w:t xml:space="preserve"> </w:t>
      </w:r>
      <w:r>
        <w:t xml:space="preserve">“</w:t>
      </w:r>
      <w:r>
        <w:t xml:space="preserve">research peptides</w:t>
      </w:r>
      <w:r>
        <w:t xml:space="preserve">”</w:t>
      </w:r>
      <w:r>
        <w:t xml:space="preserve"> </w:t>
      </w:r>
      <w:r>
        <w:t xml:space="preserve">are and presented individual sensational findings: semaglutide powder with a purity of 7.7 to 14.4%, Melanotan vials containing less than half the stated amount, counterfeit Ozempic containing insulin. This chapter goes one step further. It asks who analyzes such products in the first place, which types of errors recur across many investigations, what these analyses cannot show – and what data from poison control centers reveal about the consequences of dosing errors with GLP-1 drugs.</w:t>
      </w:r>
    </w:p>
    <w:bookmarkStart w:id="2736" w:name="who-analyzes-gray-market-products"/>
    <w:p>
      <w:pPr>
        <w:pStyle w:val="Heading3"/>
      </w:pPr>
      <w:r>
        <w:t xml:space="preserve">Who analyzes gray-market products</w:t>
      </w:r>
    </w:p>
    <w:p>
      <w:pPr>
        <w:pStyle w:val="FirstParagraph"/>
      </w:pPr>
      <w:r>
        <w:t xml:space="preserve">Most of the data come from three sources.</w:t>
      </w:r>
    </w:p>
    <w:p>
      <w:pPr>
        <w:pStyle w:val="BodyText"/>
      </w:pPr>
      <w:r>
        <w:rPr>
          <w:bCs/>
          <w:b/>
        </w:rPr>
        <w:t xml:space="preserve">Official medicines control laboratories.</w:t>
      </w:r>
      <w:r>
        <w:t xml:space="preserve"> </w:t>
      </w:r>
      <w:r>
        <w:t xml:space="preserve">In Europe, they work together in a network coordinated by the European Directorate for the Quality of Medicines. They examine samples seized by customs, police, or health authorities. A Belgian laboratory, for example, developed a screening method with which 25 different peptides can be identified in unknown injectable preparations in a single run – including some that had not yet been seized but were already being discussed in internet forums</w:t>
      </w:r>
      <w:r>
        <w:rPr>
          <w:rStyle w:val="FootnoteReference"/>
        </w:rPr>
        <w:footnoteReference w:id="2735"/>
      </w:r>
      <w:r>
        <w:t xml:space="preserve">.</w:t>
      </w:r>
    </w:p>
    <w:p>
      <w:pPr>
        <w:pStyle w:val="BodyText"/>
      </w:pPr>
      <w:r>
        <w:rPr>
          <w:bCs/>
          <w:b/>
        </w:rPr>
        <w:t xml:space="preserve">Anti-doping and forensic laboratories.</w:t>
      </w:r>
      <w:r>
        <w:t xml:space="preserve"> </w:t>
      </w:r>
      <w:r>
        <w:t xml:space="preserve">They analyze seized goods from the sports environment in order to keep their detection methods up to date. The findings from Cologne, Norway, and Denmark in Part I come from this source.</w:t>
      </w:r>
    </w:p>
    <w:p>
      <w:pPr>
        <w:pStyle w:val="BodyText"/>
      </w:pPr>
      <w:r>
        <w:rPr>
          <w:bCs/>
          <w:b/>
        </w:rPr>
        <w:t xml:space="preserve">Test purchases by research groups.</w:t>
      </w:r>
      <w:r>
        <w:t xml:space="preserve"> </w:t>
      </w:r>
      <w:r>
        <w:t xml:space="preserve">These groups deliberately buy products from online sellers and check what arrives. Such studies are rarer, but come closest to the situation of buyers.</w:t>
      </w:r>
    </w:p>
    <w:p>
      <w:pPr>
        <w:pStyle w:val="BodyText"/>
      </w:pPr>
      <w:r>
        <w:t xml:space="preserve">The methods used answer different questions: mass spectrometry shows</w:t>
      </w:r>
      <w:r>
        <w:t xml:space="preserve"> </w:t>
      </w:r>
      <w:r>
        <w:rPr>
          <w:iCs/>
          <w:i/>
        </w:rPr>
        <w:t xml:space="preserve">which</w:t>
      </w:r>
      <w:r>
        <w:t xml:space="preserve"> </w:t>
      </w:r>
      <w:r>
        <w:t xml:space="preserve">substance is present; liquid chromatography measures</w:t>
      </w:r>
      <w:r>
        <w:t xml:space="preserve"> </w:t>
      </w:r>
      <w:r>
        <w:rPr>
          <w:iCs/>
          <w:i/>
        </w:rPr>
        <w:t xml:space="preserve">how much</w:t>
      </w:r>
      <w:r>
        <w:t xml:space="preserve"> </w:t>
      </w:r>
      <w:r>
        <w:t xml:space="preserve">and</w:t>
      </w:r>
      <w:r>
        <w:t xml:space="preserve"> </w:t>
      </w:r>
      <w:r>
        <w:rPr>
          <w:iCs/>
          <w:i/>
        </w:rPr>
        <w:t xml:space="preserve">how pure</w:t>
      </w:r>
      <w:r>
        <w:t xml:space="preserve">; special methods detect metals, solvent residues, bacteria, or endotoxins. No laboratory routinely tests for everything. If a report determines only identity, it says nothing about germs, and vice versa.</w:t>
      </w:r>
    </w:p>
    <w:bookmarkEnd w:id="2736"/>
    <w:bookmarkStart w:id="2756" w:name="four-types-of-errors-that-keep-recurring"/>
    <w:p>
      <w:pPr>
        <w:pStyle w:val="Heading3"/>
      </w:pPr>
      <w:r>
        <w:t xml:space="preserve">Four types of errors that keep recurring</w:t>
      </w:r>
    </w:p>
    <w:p>
      <w:pPr>
        <w:pStyle w:val="FirstParagraph"/>
      </w:pPr>
      <w:r>
        <w:t xml:space="preserve">Across the individual analyses, the findings can be grouped into four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 of error</w:t>
            </w:r>
          </w:p>
        </w:tc>
        <w:tc>
          <w:tcPr/>
          <w:p>
            <w:pPr>
              <w:pStyle w:val="Compact"/>
              <w:jc w:val="left"/>
            </w:pPr>
            <w:r>
              <w:t xml:space="preserve">Examples from analyses</w:t>
            </w:r>
          </w:p>
        </w:tc>
        <w:tc>
          <w:tcPr/>
          <w:p>
            <w:pPr>
              <w:pStyle w:val="Compact"/>
              <w:jc w:val="left"/>
            </w:pPr>
            <w:r>
              <w:t xml:space="preserve">Source</w:t>
            </w:r>
          </w:p>
        </w:tc>
      </w:tr>
      <w:tr>
        <w:tc>
          <w:tcPr/>
          <w:p>
            <w:pPr>
              <w:pStyle w:val="Compact"/>
              <w:jc w:val="left"/>
            </w:pPr>
            <w:r>
              <w:t xml:space="preserve">Wrong active ingredient or none</w:t>
            </w:r>
          </w:p>
        </w:tc>
        <w:tc>
          <w:tcPr/>
          <w:p>
            <w:pPr>
              <w:pStyle w:val="Compact"/>
              <w:jc w:val="left"/>
            </w:pPr>
            <w:r>
              <w:t xml:space="preserve">9 of 36 seized samples without any peptide or protein</w:t>
            </w:r>
          </w:p>
        </w:tc>
        <w:tc>
          <w:tcPr/>
          <w:p>
            <w:pPr>
              <w:pStyle w:val="Compact"/>
              <w:jc w:val="left"/>
            </w:pPr>
            <w:r>
              <w:t xml:space="preserve">Høj 2021, PMID 33686802</w:t>
            </w:r>
          </w:p>
        </w:tc>
      </w:tr>
      <w:tr>
        <w:tc>
          <w:tcPr/>
          <w:p>
            <w:pPr>
              <w:pStyle w:val="Compact"/>
              <w:jc w:val="left"/>
            </w:pPr>
            <w:r>
              <w:t xml:space="preserve">Wrong amount</w:t>
            </w:r>
          </w:p>
        </w:tc>
        <w:tc>
          <w:tcPr/>
          <w:p>
            <w:pPr>
              <w:pStyle w:val="Compact"/>
              <w:jc w:val="left"/>
            </w:pPr>
            <w:r>
              <w:t xml:space="preserve">only 41% of 44 internet products with the correct amount of active ingredient</w:t>
            </w:r>
          </w:p>
        </w:tc>
        <w:tc>
          <w:tcPr/>
          <w:p>
            <w:pPr>
              <w:pStyle w:val="Compact"/>
              <w:jc w:val="left"/>
            </w:pPr>
            <w:r>
              <w:t xml:space="preserve">Van Wagoner 2017, PMID 29183075</w:t>
            </w:r>
          </w:p>
        </w:tc>
      </w:tr>
      <w:tr>
        <w:tc>
          <w:tcPr/>
          <w:p>
            <w:pPr>
              <w:pStyle w:val="Compact"/>
              <w:jc w:val="left"/>
            </w:pPr>
            <w:r>
              <w:t xml:space="preserve">Low purity, degradation products</w:t>
            </w:r>
          </w:p>
        </w:tc>
        <w:tc>
          <w:tcPr/>
          <w:p>
            <w:pPr>
              <w:pStyle w:val="Compact"/>
              <w:jc w:val="left"/>
            </w:pPr>
            <w:r>
              <w:t xml:space="preserve">purity of 5 to 75% for certain peptides</w:t>
            </w:r>
          </w:p>
        </w:tc>
        <w:tc>
          <w:tcPr/>
          <w:p>
            <w:pPr>
              <w:pStyle w:val="Compact"/>
              <w:jc w:val="left"/>
            </w:pPr>
            <w:r>
              <w:t xml:space="preserve">Janvier 2018, PMID 30029448</w:t>
            </w:r>
          </w:p>
        </w:tc>
      </w:tr>
      <w:tr>
        <w:tc>
          <w:tcPr/>
          <w:p>
            <w:pPr>
              <w:pStyle w:val="Compact"/>
              <w:jc w:val="left"/>
            </w:pPr>
            <w:r>
              <w:t xml:space="preserve">Dangerous accompanying substances</w:t>
            </w:r>
          </w:p>
        </w:tc>
        <w:tc>
          <w:tcPr/>
          <w:p>
            <w:pPr>
              <w:pStyle w:val="Compact"/>
              <w:jc w:val="left"/>
            </w:pPr>
            <w:r>
              <w:t xml:space="preserve">arsenic and lead, in some cases up to ten times the limit</w:t>
            </w:r>
          </w:p>
        </w:tc>
        <w:tc>
          <w:tcPr/>
          <w:p>
            <w:pPr>
              <w:pStyle w:val="Compact"/>
              <w:jc w:val="left"/>
            </w:pPr>
            <w:r>
              <w:t xml:space="preserve">Janvier 2018, PMID 30029448</w:t>
            </w:r>
          </w:p>
        </w:tc>
      </w:tr>
    </w:tbl>
    <w:bookmarkStart w:id="2742" w:name="wrong-active-ingredient-or-none-at-all"/>
    <w:p>
      <w:pPr>
        <w:pStyle w:val="Heading4"/>
      </w:pPr>
      <w:r>
        <w:t xml:space="preserve">Wrong active ingredient or none at all</w:t>
      </w:r>
    </w:p>
    <w:p>
      <w:pPr>
        <w:pStyle w:val="FirstParagraph"/>
      </w:pPr>
      <w:r>
        <w:t xml:space="preserve">In 2019, a Danish forensic laboratory received 36 seized samples suspected of containing peptides or proteins. Fifteen contained a prohibited doping agent, 12 a substance that was not on the Danish doping list, and 9 contained no peptide or protein at all</w:t>
      </w:r>
      <w:r>
        <w:rPr>
          <w:rStyle w:val="FootnoteReference"/>
        </w:rPr>
        <w:footnoteReference w:id="2737"/>
      </w:r>
      <w:r>
        <w:t xml:space="preserve">. In a Europe-wide customs operation, the laboratories reported growth hormone, sermorelin, Melanotan II, and preparations with no active ingredient at all among the seized injectable products; the shipments were on average too large for personal use and presumably partly intended for resale</w:t>
      </w:r>
      <w:r>
        <w:rPr>
          <w:rStyle w:val="FootnoteReference"/>
        </w:rPr>
        <w:footnoteReference w:id="2738"/>
      </w:r>
      <w:r>
        <w:t xml:space="preserve">. In a Belgian case, a preparation suspected to be IGF-1 instead contained a different growth factor, epidermal growth factor (EGF)</w:t>
      </w:r>
      <w:r>
        <w:rPr>
          <w:rStyle w:val="FootnoteReference"/>
        </w:rPr>
        <w:footnoteReference w:id="2739"/>
      </w:r>
      <w:r>
        <w:t xml:space="preserve">.</w:t>
      </w:r>
    </w:p>
    <w:p>
      <w:pPr>
        <w:pStyle w:val="BodyText"/>
      </w:pPr>
      <w:r>
        <w:t xml:space="preserve">A horse doping laboratory analyzed products offered online under the names</w:t>
      </w:r>
      <w:r>
        <w:t xml:space="preserve"> </w:t>
      </w:r>
      <w:r>
        <w:t xml:space="preserve">“</w:t>
      </w:r>
      <w:r>
        <w:t xml:space="preserve">TB500,</w:t>
      </w:r>
      <w:r>
        <w:t xml:space="preserve">”</w:t>
      </w:r>
      <w:r>
        <w:t xml:space="preserve"> </w:t>
      </w:r>
      <w:r>
        <w:t xml:space="preserve">“</w:t>
      </w:r>
      <w:r>
        <w:t xml:space="preserve">TB1000,</w:t>
      </w:r>
      <w:r>
        <w:t xml:space="preserve">”</w:t>
      </w:r>
      <w:r>
        <w:t xml:space="preserve"> </w:t>
      </w:r>
      <w:r>
        <w:t xml:space="preserve">and</w:t>
      </w:r>
      <w:r>
        <w:t xml:space="preserve"> </w:t>
      </w:r>
      <w:r>
        <w:t xml:space="preserve">“</w:t>
      </w:r>
      <w:r>
        <w:t xml:space="preserve">SGF1000.</w:t>
      </w:r>
      <w:r>
        <w:t xml:space="preserve">”</w:t>
      </w:r>
      <w:r>
        <w:t xml:space="preserve"> </w:t>
      </w:r>
      <w:r>
        <w:t xml:space="preserve">The contents of the TB products did not consistently match earlier descriptions.</w:t>
      </w:r>
      <w:r>
        <w:t xml:space="preserve"> </w:t>
      </w:r>
      <w:r>
        <w:t xml:space="preserve">“</w:t>
      </w:r>
      <w:r>
        <w:t xml:space="preserve">SGF1000</w:t>
      </w:r>
      <w:r>
        <w:t xml:space="preserve">”</w:t>
      </w:r>
      <w:r>
        <w:t xml:space="preserve"> </w:t>
      </w:r>
      <w:r>
        <w:t xml:space="preserve">consisted predominantly of connective tissue and blood proteins from sheep; the supposedly growth-promoting components were extremely diluted</w:t>
      </w:r>
      <w:r>
        <w:rPr>
          <w:rStyle w:val="FootnoteReference"/>
        </w:rPr>
        <w:footnoteReference w:id="2740"/>
      </w:r>
      <w:r>
        <w:t xml:space="preserve">.</w:t>
      </w:r>
    </w:p>
    <w:p>
      <w:pPr>
        <w:pStyle w:val="BodyText"/>
      </w:pPr>
      <w:r>
        <w:t xml:space="preserve">How often label and contents diverge is shown by a US study that concerned not peptides but so-called SARMs, which, however, use the same distribution channel: of 44 internet products, only 52% contained any active ingredient from the advertised class of substances at all. 39% contained other unapproved substances, including the growth hormone secretagogue ibutamoren, 9% contained no active ingredient at all, and 25% contained undeclared substances</w:t>
      </w:r>
      <w:r>
        <w:rPr>
          <w:rStyle w:val="FootnoteReference"/>
        </w:rPr>
        <w:footnoteReference w:id="2741"/>
      </w:r>
      <w:r>
        <w:t xml:space="preserve">.</w:t>
      </w:r>
    </w:p>
    <w:bookmarkEnd w:id="2742"/>
    <w:bookmarkStart w:id="2746" w:name="wrong-amount"/>
    <w:p>
      <w:pPr>
        <w:pStyle w:val="Heading4"/>
      </w:pPr>
      <w:r>
        <w:t xml:space="preserve">Wrong amount</w:t>
      </w:r>
    </w:p>
    <w:p>
      <w:pPr>
        <w:pStyle w:val="FirstParagraph"/>
      </w:pPr>
      <w:r>
        <w:t xml:space="preserve">Even when the right substance is in the vial, the amount is often wrong. In the US analysis mentioned above, the measured amount of active ingredient matched the label in only 18 of 44 products (41%)</w:t>
      </w:r>
      <w:r>
        <w:rPr>
          <w:rStyle w:val="FootnoteReference"/>
        </w:rPr>
        <w:footnoteReference w:id="2743"/>
      </w:r>
      <w:r>
        <w:t xml:space="preserve">. A French toxicology laboratory examined 75 drugs from the bodybuilding scene seized on the black market: 33% were substandard, that is, incorrectly dosed, 32% were falsified, meaning they had different contents than stated, and only 19% fully matched the original</w:t>
      </w:r>
      <w:r>
        <w:rPr>
          <w:rStyle w:val="FootnoteReference"/>
        </w:rPr>
        <w:footnoteReference w:id="2744"/>
      </w:r>
      <w:r>
        <w:t xml:space="preserve">. A five-year European market surveillance with 324 samples from 13 countries concluded, based on the limited quantitative data, that most samples contained effective amounts and some were even overdosed</w:t>
      </w:r>
      <w:r>
        <w:rPr>
          <w:rStyle w:val="FootnoteReference"/>
        </w:rPr>
        <w:footnoteReference w:id="2745"/>
      </w:r>
      <w:r>
        <w:t xml:space="preserve">.</w:t>
      </w:r>
    </w:p>
    <w:p>
      <w:pPr>
        <w:pStyle w:val="BodyText"/>
      </w:pPr>
      <w:r>
        <w:t xml:space="preserve">Both are dangerous: too little active ingredient tempts people to</w:t>
      </w:r>
      <w:r>
        <w:t xml:space="preserve"> </w:t>
      </w:r>
      <w:r>
        <w:t xml:space="preserve">“</w:t>
      </w:r>
      <w:r>
        <w:t xml:space="preserve">top up</w:t>
      </w:r>
      <w:r>
        <w:t xml:space="preserve">”</w:t>
      </w:r>
      <w:r>
        <w:t xml:space="preserve"> </w:t>
      </w:r>
      <w:r>
        <w:t xml:space="preserve">the dose; too much leads directly to stronger side effects. With GLP-1 drugs, whose tolerability depends heavily on slow dose escalation, an unknown amount is particularly problematic.</w:t>
      </w:r>
    </w:p>
    <w:bookmarkEnd w:id="2746"/>
    <w:bookmarkStart w:id="2751" w:name="Xa8bf3ac819901bc30a8d5007e05a82064d33f1c"/>
    <w:p>
      <w:pPr>
        <w:pStyle w:val="Heading4"/>
      </w:pPr>
      <w:r>
        <w:t xml:space="preserve">Low purity, degradation products, and designer variants</w:t>
      </w:r>
    </w:p>
    <w:p>
      <w:pPr>
        <w:pStyle w:val="FirstParagraph"/>
      </w:pPr>
      <w:r>
        <w:t xml:space="preserve">The most comprehensive systematic study comes from Belgium. The control laboratory bought the ten most frequently counterfeited peptide drugs on the Belgian market from three presumably illegal internet pharmacies and tested them for active ingredient, peptide impurities, small organic foreign substances, metals, and solvent residues. The amount per vial varied greatly, and for peptides containing the amino acid cysteine, purity ranged between 5 and 75%</w:t>
      </w:r>
      <w:r>
        <w:rPr>
          <w:rStyle w:val="FootnoteReference"/>
        </w:rPr>
        <w:footnoteReference w:id="2747"/>
      </w:r>
      <w:r>
        <w:t xml:space="preserve">.</w:t>
      </w:r>
    </w:p>
    <w:p>
      <w:pPr>
        <w:pStyle w:val="BodyText"/>
      </w:pPr>
      <w:r>
        <w:t xml:space="preserve">Other laboratories found numerous oxidized, that is, chemically altered, peptide forms in black-market products of IGF-1 variants</w:t>
      </w:r>
      <w:r>
        <w:rPr>
          <w:rStyle w:val="FootnoteReference"/>
        </w:rPr>
        <w:footnoteReference w:id="2748"/>
      </w:r>
      <w:r>
        <w:t xml:space="preserve"> </w:t>
      </w:r>
      <w:r>
        <w:t xml:space="preserve">and a purity of 30% in a seized Melanotan II sample</w:t>
      </w:r>
      <w:r>
        <w:rPr>
          <w:rStyle w:val="FootnoteReference"/>
        </w:rPr>
        <w:footnoteReference w:id="2749"/>
      </w:r>
      <w:r>
        <w:t xml:space="preserve">. In preparations seized by Danish customs, variants of GHRP-2, GHRP-6, ipamorelin, and a GHRH fragment were found, each with an additional glycine amino acid placed in front</w:t>
      </w:r>
      <w:r>
        <w:rPr>
          <w:rStyle w:val="FootnoteReference"/>
        </w:rPr>
        <w:footnoteReference w:id="2750"/>
      </w:r>
      <w:r>
        <w:t xml:space="preserve">. Such</w:t>
      </w:r>
      <w:r>
        <w:t xml:space="preserve"> </w:t>
      </w:r>
      <w:r>
        <w:t xml:space="preserve">“</w:t>
      </w:r>
      <w:r>
        <w:t xml:space="preserve">designer variants</w:t>
      </w:r>
      <w:r>
        <w:t xml:space="preserve">”</w:t>
      </w:r>
      <w:r>
        <w:t xml:space="preserve"> </w:t>
      </w:r>
      <w:r>
        <w:t xml:space="preserve">are presumably intended to evade doping tests. Their effect and safety in humans are completely unknown.</w:t>
      </w:r>
    </w:p>
    <w:bookmarkEnd w:id="2751"/>
    <w:bookmarkStart w:id="2755" w:name="dangerous-accompanying-substances"/>
    <w:p>
      <w:pPr>
        <w:pStyle w:val="Heading4"/>
      </w:pPr>
      <w:r>
        <w:t xml:space="preserve">Dangerous accompanying substances</w:t>
      </w:r>
    </w:p>
    <w:p>
      <w:pPr>
        <w:pStyle w:val="FirstParagraph"/>
      </w:pPr>
      <w:r>
        <w:t xml:space="preserve">In the Belgian study, the toxic elements arsenic and lead were found. One sample was contaminated with lead, and several contained arsenic in concentrations up to ten times the international limit for injectable drugs. More detailed analysis showed that the arsenic was entirely in the more toxic inorganic form. The authors point out that arsenic is carcinogenic and that lead accumulates in the body – an additional, insidious risk with repeated use over months</w:t>
      </w:r>
      <w:r>
        <w:rPr>
          <w:rStyle w:val="FootnoteReference"/>
        </w:rPr>
        <w:footnoteReference w:id="2752"/>
      </w:r>
      <w:r>
        <w:t xml:space="preserve">.</w:t>
      </w:r>
    </w:p>
    <w:p>
      <w:pPr>
        <w:pStyle w:val="BodyText"/>
      </w:pPr>
      <w:r>
        <w:t xml:space="preserve">Added to this are germs and bacterial components. The same laboratory detected the bacterium</w:t>
      </w:r>
      <w:r>
        <w:t xml:space="preserve"> </w:t>
      </w:r>
      <w:r>
        <w:rPr>
          <w:iCs/>
          <w:i/>
        </w:rPr>
        <w:t xml:space="preserve">Bacillus cereus</w:t>
      </w:r>
      <w:r>
        <w:t xml:space="preserve"> </w:t>
      </w:r>
      <w:r>
        <w:t xml:space="preserve">in two illegal peptide preparations for injection</w:t>
      </w:r>
      <w:r>
        <w:rPr>
          <w:rStyle w:val="FootnoteReference"/>
        </w:rPr>
        <w:footnoteReference w:id="2753"/>
      </w:r>
      <w:r>
        <w:t xml:space="preserve">. In the semaglutide test purchases from Part I, endotoxins were detectable in all samples</w:t>
      </w:r>
      <w:r>
        <w:rPr>
          <w:rStyle w:val="FootnoteReference"/>
        </w:rPr>
        <w:footnoteReference w:id="2754"/>
      </w:r>
      <w:r>
        <w:t xml:space="preserve">. Why this is relevant for the immune system is described in the chapter</w:t>
      </w:r>
      <w:r>
        <w:t xml:space="preserve"> </w:t>
      </w:r>
      <w:r>
        <w:t xml:space="preserve">“</w:t>
      </w:r>
      <w:r>
        <w:t xml:space="preserve">Immune Reactions and Antibodies.</w:t>
      </w:r>
      <w:r>
        <w:t xml:space="preserve">”</w:t>
      </w:r>
    </w:p>
    <w:bookmarkEnd w:id="2755"/>
    <w:bookmarkEnd w:id="2756"/>
    <w:bookmarkStart w:id="2762" w:name="ever-new-substances"/>
    <w:p>
      <w:pPr>
        <w:pStyle w:val="Heading3"/>
      </w:pPr>
      <w:r>
        <w:t xml:space="preserve">Ever new substances</w:t>
      </w:r>
    </w:p>
    <w:p>
      <w:pPr>
        <w:pStyle w:val="FirstParagraph"/>
      </w:pPr>
      <w:r>
        <w:t xml:space="preserve">The gray market reacts quickly to trends. A European market surveillance with 1,104 reported cases from 16 countries between 2017 and 2019 found that 11% of samples contained biological molecules, above all</w:t>
      </w:r>
      <w:r>
        <w:t xml:space="preserve"> </w:t>
      </w:r>
      <w:r>
        <w:t xml:space="preserve">“</w:t>
      </w:r>
      <w:r>
        <w:t xml:space="preserve">research peptides</w:t>
      </w:r>
      <w:r>
        <w:t xml:space="preserve">”</w:t>
      </w:r>
      <w:r>
        <w:t xml:space="preserve">; this was the second most common category overall</w:t>
      </w:r>
      <w:r>
        <w:rPr>
          <w:rStyle w:val="FootnoteReference"/>
        </w:rPr>
        <w:footnoteReference w:id="2757"/>
      </w:r>
      <w:r>
        <w:t xml:space="preserve">. Belgian laboratories identified the</w:t>
      </w:r>
      <w:r>
        <w:t xml:space="preserve"> </w:t>
      </w:r>
      <w:r>
        <w:t xml:space="preserve">“</w:t>
      </w:r>
      <w:r>
        <w:t xml:space="preserve">anti-aging peptide</w:t>
      </w:r>
      <w:r>
        <w:t xml:space="preserve">”</w:t>
      </w:r>
      <w:r>
        <w:t xml:space="preserve"> </w:t>
      </w:r>
      <w:r>
        <w:t xml:space="preserve">Epitalon</w:t>
      </w:r>
      <w:r>
        <w:rPr>
          <w:rStyle w:val="FootnoteReference"/>
        </w:rPr>
        <w:footnoteReference w:id="2758"/>
      </w:r>
      <w:r>
        <w:t xml:space="preserve"> </w:t>
      </w:r>
      <w:r>
        <w:t xml:space="preserve">as well as the nootropic peptides Selank and Semax in seized preparations; the laboratory then developed its own detection method for ten such peptides offered online</w:t>
      </w:r>
      <w:r>
        <w:rPr>
          <w:rStyle w:val="FootnoteReference"/>
        </w:rPr>
        <w:footnoteReference w:id="2759"/>
      </w:r>
      <w:r>
        <w:t xml:space="preserve">. Meanwhile, agents that are still in clinical trials are also being offered, such as retatrutide and amycretin (chapters Retatrutide, Amycretin).</w:t>
      </w:r>
    </w:p>
    <w:p>
      <w:pPr>
        <w:pStyle w:val="BodyText"/>
      </w:pPr>
      <w:r>
        <w:t xml:space="preserve">For the control laboratories, this means a race: a substance for which no reference standard yet exists cannot be reliably identified. For buyers, it means that the least is known about the contents and quality of the newest products.</w:t>
      </w:r>
    </w:p>
    <w:p>
      <w:pPr>
        <w:pStyle w:val="BodyText"/>
      </w:pPr>
      <w:r>
        <w:t xml:space="preserve">Increasingly, gray-market products are also appearing in forms that seem more harmless than an injection. A US study found 24 patches and one gel sold as dietary supplements and advertised as</w:t>
      </w:r>
      <w:r>
        <w:t xml:space="preserve"> </w:t>
      </w:r>
      <w:r>
        <w:t xml:space="preserve">“</w:t>
      </w:r>
      <w:r>
        <w:t xml:space="preserve">natural GLP-1.</w:t>
      </w:r>
      <w:r>
        <w:t xml:space="preserve">”</w:t>
      </w:r>
      <w:r>
        <w:t xml:space="preserve"> </w:t>
      </w:r>
      <w:r>
        <w:t xml:space="preserve">None provided a certificate of analysis, many advertised misleadingly; under US law, selling such patches as dietary supplements is not permitted</w:t>
      </w:r>
      <w:r>
        <w:rPr>
          <w:rStyle w:val="FootnoteReference"/>
        </w:rPr>
        <w:footnoteReference w:id="2760"/>
      </w:r>
      <w:r>
        <w:t xml:space="preserve">. In the European market surveillance, 24% of muscle-building preparations were presented as dietary supplements – people who buy them often do not know that they are taking an unapproved drug</w:t>
      </w:r>
      <w:r>
        <w:rPr>
          <w:rStyle w:val="FootnoteReference"/>
        </w:rPr>
        <w:footnoteReference w:id="2761"/>
      </w:r>
      <w:r>
        <w:t xml:space="preserve">.</w:t>
      </w:r>
    </w:p>
    <w:bookmarkEnd w:id="2762"/>
    <w:bookmarkStart w:id="2763" w:name="what-the-analyses-do-not-show"/>
    <w:p>
      <w:pPr>
        <w:pStyle w:val="Heading3"/>
      </w:pPr>
      <w:r>
        <w:t xml:space="preserve">What the analyses do not show</w:t>
      </w:r>
    </w:p>
    <w:p>
      <w:pPr>
        <w:pStyle w:val="FirstParagraph"/>
      </w:pPr>
      <w:r>
        <w:t xml:space="preserve">As clear as the findings are, they have limits.</w:t>
      </w:r>
    </w:p>
    <w:p>
      <w:pPr>
        <w:numPr>
          <w:ilvl w:val="0"/>
          <w:numId w:val="1345"/>
        </w:numPr>
        <w:pStyle w:val="Compact"/>
      </w:pPr>
      <w:r>
        <w:rPr>
          <w:bCs/>
          <w:b/>
        </w:rPr>
        <w:t xml:space="preserve">No representative sample.</w:t>
      </w:r>
      <w:r>
        <w:t xml:space="preserve"> </w:t>
      </w:r>
      <w:r>
        <w:t xml:space="preserve">Seized goods are a selection of what catches the attention of customs. Test purchases usually cover only a few sellers. The proportion of defective products in the market as a whole cannot be calculated from this.</w:t>
      </w:r>
    </w:p>
    <w:p>
      <w:pPr>
        <w:numPr>
          <w:ilvl w:val="0"/>
          <w:numId w:val="1345"/>
        </w:numPr>
        <w:pStyle w:val="Compact"/>
      </w:pPr>
      <w:r>
        <w:rPr>
          <w:bCs/>
          <w:b/>
        </w:rPr>
        <w:t xml:space="preserve">Snapshots.</w:t>
      </w:r>
      <w:r>
        <w:t xml:space="preserve"> </w:t>
      </w:r>
      <w:r>
        <w:t xml:space="preserve">A seller whose goods are correct today may deliver a different batch tomorrow. Good results from one analysis do not apply to the next vial.</w:t>
      </w:r>
    </w:p>
    <w:p>
      <w:pPr>
        <w:numPr>
          <w:ilvl w:val="0"/>
          <w:numId w:val="1345"/>
        </w:numPr>
        <w:pStyle w:val="Compact"/>
      </w:pPr>
      <w:r>
        <w:rPr>
          <w:bCs/>
          <w:b/>
        </w:rPr>
        <w:t xml:space="preserve">Not everything is tested.</w:t>
      </w:r>
      <w:r>
        <w:t xml:space="preserve"> </w:t>
      </w:r>
      <w:r>
        <w:t xml:space="preserve">Many reports determine only the identity of the active ingredient. Whether a product with the</w:t>
      </w:r>
      <w:r>
        <w:t xml:space="preserve"> </w:t>
      </w:r>
      <w:r>
        <w:t xml:space="preserve">“</w:t>
      </w:r>
      <w:r>
        <w:t xml:space="preserve">right</w:t>
      </w:r>
      <w:r>
        <w:t xml:space="preserve">”</w:t>
      </w:r>
      <w:r>
        <w:t xml:space="preserve"> </w:t>
      </w:r>
      <w:r>
        <w:t xml:space="preserve">contents was sterile and free of endotoxins then remains open.</w:t>
      </w:r>
    </w:p>
    <w:p>
      <w:pPr>
        <w:numPr>
          <w:ilvl w:val="0"/>
          <w:numId w:val="1345"/>
        </w:numPr>
        <w:pStyle w:val="Compact"/>
      </w:pPr>
      <w:r>
        <w:rPr>
          <w:bCs/>
          <w:b/>
        </w:rPr>
        <w:t xml:space="preserve">No statement about effect and safety.</w:t>
      </w:r>
      <w:r>
        <w:t xml:space="preserve"> </w:t>
      </w:r>
      <w:r>
        <w:t xml:space="preserve">Even a pure product is only as safe as the active ingredient itself. For most gray-market peptides, human studies on this are lacking (see Part II).</w:t>
      </w:r>
    </w:p>
    <w:bookmarkEnd w:id="2763"/>
    <w:bookmarkStart w:id="2775" w:name="X0cd4e7f1abdb2b8dfd7fcd5e4b83356f8478856"/>
    <w:p>
      <w:pPr>
        <w:pStyle w:val="Heading3"/>
      </w:pPr>
      <w:r>
        <w:t xml:space="preserve">GLP-1 drugs: what poison control centers report</w:t>
      </w:r>
    </w:p>
    <w:p>
      <w:pPr>
        <w:pStyle w:val="FirstParagraph"/>
      </w:pPr>
      <w:r>
        <w:t xml:space="preserve">For the GLP-1 drugs, there is an additional data source that shows what actually goes wrong in use: calls to poison control centers. In the US, these are collected in a national database. These data do not always distinguish between the original product, compounded drugs, and gray-market goods, but they show the magnitude of the problems.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Study</w:t>
            </w:r>
          </w:p>
        </w:tc>
        <w:tc>
          <w:tcPr/>
          <w:p>
            <w:pPr>
              <w:pStyle w:val="Compact"/>
              <w:jc w:val="left"/>
            </w:pPr>
            <w:r>
              <w:t xml:space="preserve">Period and scope</w:t>
            </w:r>
          </w:p>
        </w:tc>
        <w:tc>
          <w:tcPr/>
          <w:p>
            <w:pPr>
              <w:pStyle w:val="Compact"/>
              <w:jc w:val="left"/>
            </w:pPr>
            <w:r>
              <w:t xml:space="preserve">Key findings</w:t>
            </w:r>
          </w:p>
        </w:tc>
      </w:tr>
      <w:tr>
        <w:tc>
          <w:tcPr/>
          <w:p>
            <w:pPr>
              <w:pStyle w:val="Compact"/>
              <w:jc w:val="left"/>
            </w:pPr>
            <w:r>
              <w:t xml:space="preserve">Gaw 2024, PMID 38421490</w:t>
            </w:r>
          </w:p>
        </w:tc>
        <w:tc>
          <w:tcPr/>
          <w:p>
            <w:pPr>
              <w:pStyle w:val="Compact"/>
              <w:jc w:val="left"/>
            </w:pPr>
            <w:r>
              <w:t xml:space="preserve">US, 2017–2022, 5,713 cases</w:t>
            </w:r>
          </w:p>
        </w:tc>
        <w:tc>
          <w:tcPr/>
          <w:p>
            <w:pPr>
              <w:pStyle w:val="Compact"/>
              <w:jc w:val="left"/>
            </w:pPr>
            <w:r>
              <w:t xml:space="preserve">79.9% medication errors; 6.2% serious outcomes, one death</w:t>
            </w:r>
          </w:p>
        </w:tc>
      </w:tr>
      <w:tr>
        <w:tc>
          <w:tcPr/>
          <w:p>
            <w:pPr>
              <w:pStyle w:val="Compact"/>
              <w:jc w:val="left"/>
            </w:pPr>
            <w:r>
              <w:t xml:space="preserve">Miller 2026, PMID 41634285</w:t>
            </w:r>
          </w:p>
        </w:tc>
        <w:tc>
          <w:tcPr/>
          <w:p>
            <w:pPr>
              <w:pStyle w:val="Compact"/>
              <w:jc w:val="left"/>
            </w:pPr>
            <w:r>
              <w:t xml:space="preserve">US, 2012–2023, 10,033 cases</w:t>
            </w:r>
          </w:p>
        </w:tc>
        <w:tc>
          <w:tcPr/>
          <w:p>
            <w:pPr>
              <w:pStyle w:val="Compact"/>
              <w:jc w:val="left"/>
            </w:pPr>
            <w:r>
              <w:t xml:space="preserve">more cases after obesity approval, share with physician or hospital contact from 23.0 to 33.5%</w:t>
            </w:r>
          </w:p>
        </w:tc>
      </w:tr>
      <w:tr>
        <w:tc>
          <w:tcPr/>
          <w:p>
            <w:pPr>
              <w:pStyle w:val="Compact"/>
              <w:jc w:val="left"/>
            </w:pPr>
            <w:r>
              <w:t xml:space="preserve">Senthilkumar 2026, PMID 41784916</w:t>
            </w:r>
          </w:p>
        </w:tc>
        <w:tc>
          <w:tcPr/>
          <w:p>
            <w:pPr>
              <w:pStyle w:val="Compact"/>
              <w:jc w:val="left"/>
            </w:pPr>
            <w:r>
              <w:t xml:space="preserve">US, 2017–2024, 13,924 cases</w:t>
            </w:r>
          </w:p>
        </w:tc>
        <w:tc>
          <w:tcPr/>
          <w:p>
            <w:pPr>
              <w:pStyle w:val="Compact"/>
              <w:jc w:val="left"/>
            </w:pPr>
            <w:r>
              <w:t xml:space="preserve">91.7% with no or mild effects; 42 serious outcomes, two deaths</w:t>
            </w:r>
          </w:p>
        </w:tc>
      </w:tr>
      <w:tr>
        <w:tc>
          <w:tcPr/>
          <w:p>
            <w:pPr>
              <w:pStyle w:val="Compact"/>
              <w:jc w:val="left"/>
            </w:pPr>
            <w:r>
              <w:t xml:space="preserve">Ho 2025, PMID 40371098</w:t>
            </w:r>
          </w:p>
        </w:tc>
        <w:tc>
          <w:tcPr/>
          <w:p>
            <w:pPr>
              <w:pStyle w:val="Compact"/>
              <w:jc w:val="left"/>
            </w:pPr>
            <w:r>
              <w:t xml:space="preserve">California, 2017–2023, 1,047 cases</w:t>
            </w:r>
          </w:p>
        </w:tc>
        <w:tc>
          <w:tcPr/>
          <w:p>
            <w:pPr>
              <w:pStyle w:val="Compact"/>
              <w:jc w:val="left"/>
            </w:pPr>
            <w:r>
              <w:t xml:space="preserve">21.0% in the emergency department, 4.4% hospitalized; hypoglycemia in 3.8%</w:t>
            </w:r>
          </w:p>
        </w:tc>
      </w:tr>
    </w:tbl>
    <w:p>
      <w:pPr>
        <w:pStyle w:val="BodyText"/>
      </w:pPr>
      <w:r>
        <w:t xml:space="preserve">Several patterns stand out:</w:t>
      </w:r>
    </w:p>
    <w:p>
      <w:pPr>
        <w:pStyle w:val="BodyText"/>
      </w:pPr>
      <w:r>
        <w:rPr>
          <w:bCs/>
          <w:b/>
        </w:rPr>
        <w:t xml:space="preserve">The number of cases rose sharply with increasing use.</w:t>
      </w:r>
      <w:r>
        <w:t xml:space="preserve"> </w:t>
      </w:r>
      <w:r>
        <w:t xml:space="preserve">From 2021 to 2022, the rate of reported cases per million inhabitants increased by 80.9%</w:t>
      </w:r>
      <w:r>
        <w:rPr>
          <w:rStyle w:val="FootnoteReference"/>
        </w:rPr>
        <w:footnoteReference w:id="2764"/>
      </w:r>
      <w:r>
        <w:t xml:space="preserve">. Between 2017 and 2024, it rose by a total of 1,830.8%</w:t>
      </w:r>
      <w:r>
        <w:rPr>
          <w:rStyle w:val="FootnoteReference"/>
        </w:rPr>
        <w:footnoteReference w:id="2765"/>
      </w:r>
      <w:r>
        <w:t xml:space="preserve">.</w:t>
      </w:r>
    </w:p>
    <w:p>
      <w:pPr>
        <w:pStyle w:val="BodyText"/>
      </w:pPr>
      <w:r>
        <w:rPr>
          <w:bCs/>
          <w:b/>
        </w:rPr>
        <w:t xml:space="preserve">Most cases are medication errors.</w:t>
      </w:r>
      <w:r>
        <w:t xml:space="preserve"> </w:t>
      </w:r>
      <w:r>
        <w:t xml:space="preserve">In all analyses, unintentional errors in use predominated, for example a double or incorrectly measured dose</w:t>
      </w:r>
      <w:r>
        <w:rPr>
          <w:rStyle w:val="FootnoteReference"/>
        </w:rPr>
        <w:footnoteReference w:id="2766"/>
      </w:r>
      <w:r>
        <w:t xml:space="preserve">. In an analysis from a single center, 21% of cases were due to errors when using the prefilled pen for the first time</w:t>
      </w:r>
      <w:r>
        <w:rPr>
          <w:rStyle w:val="FootnoteReference"/>
        </w:rPr>
        <w:footnoteReference w:id="2767"/>
      </w:r>
      <w:r>
        <w:t xml:space="preserve">. Errors therefore also happen with approved products. In the California analysis, 36 cases involved compounded drugs; in 91.7% of these, errors in measuring or injecting were the cause</w:t>
      </w:r>
      <w:r>
        <w:rPr>
          <w:rStyle w:val="FootnoteReference"/>
        </w:rPr>
        <w:footnoteReference w:id="2768"/>
      </w:r>
      <w:r>
        <w:t xml:space="preserve">. This fits with the case reports of confusion between milliliters,</w:t>
      </w:r>
      <w:r>
        <w:t xml:space="preserve"> </w:t>
      </w:r>
      <w:r>
        <w:t xml:space="preserve">“</w:t>
      </w:r>
      <w:r>
        <w:t xml:space="preserve">units,</w:t>
      </w:r>
      <w:r>
        <w:t xml:space="preserve">”</w:t>
      </w:r>
      <w:r>
        <w:t xml:space="preserve"> </w:t>
      </w:r>
      <w:r>
        <w:t xml:space="preserve">and milligrams with vials described in Part I.</w:t>
      </w:r>
    </w:p>
    <w:p>
      <w:pPr>
        <w:pStyle w:val="BodyText"/>
      </w:pPr>
      <w:r>
        <w:rPr>
          <w:bCs/>
          <w:b/>
        </w:rPr>
        <w:t xml:space="preserve">The consequences are usually mild, but not always.</w:t>
      </w:r>
      <w:r>
        <w:t xml:space="preserve"> </w:t>
      </w:r>
      <w:r>
        <w:t xml:space="preserve">Nausea and vomiting predominate. A notable minority, however, needs medical treatment, and there were deaths</w:t>
      </w:r>
      <w:r>
        <w:rPr>
          <w:rStyle w:val="FootnoteReference"/>
        </w:rPr>
        <w:footnoteReference w:id="2769"/>
      </w:r>
      <w:r>
        <w:t xml:space="preserve">. Hypoglycemia occurred in 3.4%</w:t>
      </w:r>
      <w:r>
        <w:rPr>
          <w:rStyle w:val="FootnoteReference"/>
        </w:rPr>
        <w:footnoteReference w:id="2770"/>
      </w:r>
      <w:r>
        <w:t xml:space="preserve"> </w:t>
      </w:r>
      <w:r>
        <w:t xml:space="preserve">to 3.8%</w:t>
      </w:r>
      <w:r>
        <w:rPr>
          <w:rStyle w:val="FootnoteReference"/>
        </w:rPr>
        <w:footnoteReference w:id="2771"/>
      </w:r>
      <w:r>
        <w:t xml:space="preserve"> </w:t>
      </w:r>
      <w:r>
        <w:t xml:space="preserve">of cases; in another analysis it occurred rarely, but also after use of a GLP-1 drug alone</w:t>
      </w:r>
      <w:r>
        <w:rPr>
          <w:rStyle w:val="FootnoteReference"/>
        </w:rPr>
        <w:footnoteReference w:id="2772"/>
      </w:r>
      <w:r>
        <w:t xml:space="preserve">. How severe an overdose can be is shown by the case described in the chapter</w:t>
      </w:r>
      <w:r>
        <w:t xml:space="preserve"> </w:t>
      </w:r>
      <w:r>
        <w:t xml:space="preserve">“</w:t>
      </w:r>
      <w:r>
        <w:t xml:space="preserve">Immune Reactions</w:t>
      </w:r>
      <w:r>
        <w:t xml:space="preserve">”</w:t>
      </w:r>
      <w:r>
        <w:t xml:space="preserve"> </w:t>
      </w:r>
      <w:r>
        <w:t xml:space="preserve">of a woman who, after an accidental tenfold dose from a compounding pharmacy, had to be mechanically ventilated because of massive swelling in her throat and also developed hypoglycemia</w:t>
      </w:r>
      <w:r>
        <w:rPr>
          <w:rStyle w:val="FootnoteReference"/>
        </w:rPr>
        <w:footnoteReference w:id="2773"/>
      </w:r>
      <w:r>
        <w:t xml:space="preserve">.</w:t>
      </w:r>
    </w:p>
    <w:p>
      <w:pPr>
        <w:pStyle w:val="BodyText"/>
      </w:pPr>
      <w:r>
        <w:rPr>
          <w:bCs/>
          <w:b/>
        </w:rPr>
        <w:t xml:space="preserve">Adolescents are a separate risk group.</w:t>
      </w:r>
      <w:r>
        <w:t xml:space="preserve"> </w:t>
      </w:r>
      <w:r>
        <w:t xml:space="preserve">Among children and adolescents between 6 and 17 years of age, the case rate rose most sharply between 2017 and 2024. They were hospitalized more often than adults (relative risk 2.66), and their cases were considerably more often due to intentional misuse (relative risk 8.12)</w:t>
      </w:r>
      <w:r>
        <w:rPr>
          <w:rStyle w:val="FootnoteReference"/>
        </w:rPr>
        <w:footnoteReference w:id="2774"/>
      </w:r>
      <w:r>
        <w:t xml:space="preserve">. More on this in the following chapter.</w:t>
      </w:r>
    </w:p>
    <w:bookmarkEnd w:id="2775"/>
    <w:bookmarkStart w:id="2776" w:name="what-follows-from-this"/>
    <w:p>
      <w:pPr>
        <w:pStyle w:val="Heading3"/>
      </w:pPr>
      <w:r>
        <w:t xml:space="preserve">What follows from this</w:t>
      </w:r>
    </w:p>
    <w:p>
      <w:pPr>
        <w:pStyle w:val="FirstParagraph"/>
      </w:pPr>
      <w:r>
        <w:t xml:space="preserve">The laboratory analyses and the data from poison control centers describe two sides of the same problem. The analyses show that gray-market products can deviate from the label in every conceivable respect: in the substance, in the amount, in purity, and in toxic accompanying substances. The poison control data show that measuring errors are common even with tested products – and that vials that first have to be reconstituted and converted are particularly error-prone.</w:t>
      </w:r>
    </w:p>
    <w:p>
      <w:pPr>
        <w:pStyle w:val="BodyText"/>
      </w:pPr>
      <w:r>
        <w:t xml:space="preserve">Combining the two results in a risk that cannot be described by any study of an active ingredient: anyone who injects a gray-market peptide knows neither the contents nor the amount, and every deviation is further amplified by possible calculation errors of their own. The safety data from the approval trials described in Part II do not apply to these products.</w:t>
      </w:r>
    </w:p>
    <w:bookmarkEnd w:id="2776"/>
    <w:bookmarkStart w:id="2777" w:name="key-points-in-brief-6"/>
    <w:p>
      <w:pPr>
        <w:pStyle w:val="Heading3"/>
      </w:pPr>
      <w:r>
        <w:t xml:space="preserve">Key points in brief</w:t>
      </w:r>
    </w:p>
    <w:p>
      <w:pPr>
        <w:numPr>
          <w:ilvl w:val="0"/>
          <w:numId w:val="1346"/>
        </w:numPr>
        <w:pStyle w:val="Compact"/>
      </w:pPr>
      <w:r>
        <w:t xml:space="preserve">Official, forensic, and anti-doping laboratories regularly find wrong active ingredients, wrong amounts, low purity, and designer variants in gray-market peptides.</w:t>
      </w:r>
    </w:p>
    <w:p>
      <w:pPr>
        <w:numPr>
          <w:ilvl w:val="0"/>
          <w:numId w:val="1346"/>
        </w:numPr>
        <w:pStyle w:val="Compact"/>
      </w:pPr>
      <w:r>
        <w:t xml:space="preserve">A systematic Belgian analysis additionally found arsenic and lead, in some cases up to ten times the limit for injectables, as well as bacteria in injectable preparations.</w:t>
      </w:r>
    </w:p>
    <w:p>
      <w:pPr>
        <w:numPr>
          <w:ilvl w:val="0"/>
          <w:numId w:val="1346"/>
        </w:numPr>
        <w:pStyle w:val="Compact"/>
      </w:pPr>
      <w:r>
        <w:t xml:space="preserve">New</w:t>
      </w:r>
      <w:r>
        <w:t xml:space="preserve"> </w:t>
      </w:r>
      <w:r>
        <w:t xml:space="preserve">“</w:t>
      </w:r>
      <w:r>
        <w:t xml:space="preserve">research peptides</w:t>
      </w:r>
      <w:r>
        <w:t xml:space="preserve">”</w:t>
      </w:r>
      <w:r>
        <w:t xml:space="preserve"> </w:t>
      </w:r>
      <w:r>
        <w:t xml:space="preserve">appear faster than control laboratories can develop detection methods.</w:t>
      </w:r>
    </w:p>
    <w:p>
      <w:pPr>
        <w:numPr>
          <w:ilvl w:val="0"/>
          <w:numId w:val="1346"/>
        </w:numPr>
        <w:pStyle w:val="Compact"/>
      </w:pPr>
      <w:r>
        <w:t xml:space="preserve">Analyses are snapshots; a good result does not apply to the next batch.</w:t>
      </w:r>
    </w:p>
    <w:p>
      <w:pPr>
        <w:numPr>
          <w:ilvl w:val="0"/>
          <w:numId w:val="1346"/>
        </w:numPr>
        <w:pStyle w:val="Compact"/>
      </w:pPr>
      <w:r>
        <w:t xml:space="preserve">In the US, the number of calls to poison control centers concerning GLP-1 drugs has risen sharply. Most cases are medication errors with mild consequences; a minority are serious. With compounded preparations, almost all cases were due to measuring errors.</w:t>
      </w:r>
    </w:p>
    <w:bookmarkEnd w:id="2777"/>
    <w:bookmarkEnd w:id="2778"/>
    <w:bookmarkStart w:id="2823" w:name="interactions-and-special-risk-groups"/>
    <w:p>
      <w:pPr>
        <w:pStyle w:val="Heading2"/>
      </w:pPr>
      <w:r>
        <w:t xml:space="preserve">Interactions and Special Risk Groups</w:t>
      </w:r>
    </w:p>
    <w:p>
      <w:pPr>
        <w:pStyle w:val="FirstParagraph"/>
      </w:pPr>
      <w:r>
        <w:t xml:space="preserve">The studies on which the approval of a drug is based almost always exclude certain people: pregnant women, children, very old people or people with multiple conditions, people with eating disorders or severe mental illness. What applies to the study participants can therefore be transferred to these groups only to a limited extent. Added to this are interactions with other drugs and situations such as anesthesia, in which an otherwise harmless effect can suddenly become dangerous.</w:t>
      </w:r>
    </w:p>
    <w:p>
      <w:pPr>
        <w:pStyle w:val="BodyText"/>
      </w:pPr>
      <w:r>
        <w:t xml:space="preserve">This chapter brings these questions together. It does not replace medical advice or the prescribing information. For approved drugs, the prescribing information is binding regarding contraindications and interactions; for unapproved peptides, there are as a rule no data at all on these groups.</w:t>
      </w:r>
    </w:p>
    <w:bookmarkStart w:id="2784" w:name="pregnancy-and-breastfeeding"/>
    <w:p>
      <w:pPr>
        <w:pStyle w:val="Heading3"/>
      </w:pPr>
      <w:r>
        <w:t xml:space="preserve">Pregnancy and breastfeeding</w:t>
      </w:r>
    </w:p>
    <w:p>
      <w:pPr>
        <w:pStyle w:val="FirstParagraph"/>
      </w:pPr>
      <w:r>
        <w:t xml:space="preserve">For almost all peptides in this book: in pregnancy, they have not been studied or are not indicated. The prescribing information for the GLP-1 drugs states that they should not be used during pregnancy and should be stopped in good time before a planned pregnancy (chapters Semaglutide, Tirzepatide). For maridebart cafraglutide this is particularly important, because in an early study its effect persisted for up to 150 days after the last dose (chapter Maridebart Cafraglutide).</w:t>
      </w:r>
    </w:p>
    <w:p>
      <w:pPr>
        <w:pStyle w:val="BodyText"/>
      </w:pPr>
      <w:r>
        <w:t xml:space="preserve">Because GLP-1 drugs are used by many women of childbearing age and weight loss can improve fertility, unplanned pregnancies nevertheless occur during treatment. For this situation, data are now available that are predominantly reassuring:</w:t>
      </w:r>
    </w:p>
    <w:p>
      <w:pPr>
        <w:numPr>
          <w:ilvl w:val="0"/>
          <w:numId w:val="1347"/>
        </w:numPr>
        <w:pStyle w:val="Compact"/>
      </w:pPr>
      <w:r>
        <w:t xml:space="preserve">In a large study from four Nordic countries, the US, and Israel, the rate of major malformations in children of women with type 2 diabetes who had received GLP-1 receptor agonists around conception was not higher than with insulin (adjusted relative risk 0.95)</w:t>
      </w:r>
      <w:r>
        <w:rPr>
          <w:rStyle w:val="FootnoteReference"/>
        </w:rPr>
        <w:footnoteReference w:id="2779"/>
      </w:r>
      <w:r>
        <w:t xml:space="preserve">.</w:t>
      </w:r>
    </w:p>
    <w:p>
      <w:pPr>
        <w:numPr>
          <w:ilvl w:val="0"/>
          <w:numId w:val="1347"/>
        </w:numPr>
        <w:pStyle w:val="Compact"/>
      </w:pPr>
      <w:r>
        <w:t xml:space="preserve">An analysis from six teratology information services found major malformations in 2.6% of 168 pregnancies with GLP-1 exposure in the first trimester, compared with 2.3% and 3.9% in the comparison groups</w:t>
      </w:r>
      <w:r>
        <w:rPr>
          <w:rStyle w:val="FootnoteReference"/>
        </w:rPr>
        <w:footnoteReference w:id="2780"/>
      </w:r>
      <w:r>
        <w:t xml:space="preserve">.</w:t>
      </w:r>
    </w:p>
    <w:p>
      <w:pPr>
        <w:numPr>
          <w:ilvl w:val="0"/>
          <w:numId w:val="1347"/>
        </w:numPr>
        <w:pStyle w:val="Compact"/>
      </w:pPr>
      <w:r>
        <w:t xml:space="preserve">A US study with 3,572 pregnancies compared women who continued to fill prescriptions for the drug into the first trimester with women who stopped it. No clearly increased risk of miscarriage or stillbirth, growth disorders, or malformations was found; however, the estimates for malformations were so imprecise that a meaningful difference cannot be ruled out either</w:t>
      </w:r>
      <w:r>
        <w:rPr>
          <w:rStyle w:val="FootnoteReference"/>
        </w:rPr>
        <w:footnoteReference w:id="2781"/>
      </w:r>
      <w:r>
        <w:t xml:space="preserve">.</w:t>
      </w:r>
    </w:p>
    <w:p>
      <w:pPr>
        <w:numPr>
          <w:ilvl w:val="0"/>
          <w:numId w:val="1347"/>
        </w:numPr>
        <w:pStyle w:val="Compact"/>
      </w:pPr>
      <w:r>
        <w:t xml:space="preserve">A meta-analysis of seven cohort studies with over 40,000 exposed pregnancies found no statistically significant increase in major malformations; a signal for urinary tract malformations was based only on unadjusted data. The authors rate the certainty of the evidence as low</w:t>
      </w:r>
      <w:r>
        <w:rPr>
          <w:rStyle w:val="FootnoteReference"/>
        </w:rPr>
        <w:footnoteReference w:id="2782"/>
      </w:r>
      <w:r>
        <w:t xml:space="preserve">.</w:t>
      </w:r>
    </w:p>
    <w:p>
      <w:pPr>
        <w:pStyle w:val="FirstParagraph"/>
      </w:pPr>
      <w:r>
        <w:t xml:space="preserve">These data help in assessing an</w:t>
      </w:r>
      <w:r>
        <w:t xml:space="preserve"> </w:t>
      </w:r>
      <w:r>
        <w:rPr>
          <w:iCs/>
          <w:i/>
        </w:rPr>
        <w:t xml:space="preserve">accidental</w:t>
      </w:r>
      <w:r>
        <w:t xml:space="preserve"> </w:t>
      </w:r>
      <w:r>
        <w:t xml:space="preserve">exposure. They are not evidence that planned use during pregnancy would be safe. For breastfeeding, the data are even thinner; a small study with ten women on the transfer of bremelanotide into breast milk has been completed</w:t>
      </w:r>
      <w:r>
        <w:rPr>
          <w:rStyle w:val="FootnoteReference"/>
        </w:rPr>
        <w:footnoteReference w:id="2783"/>
      </w:r>
      <w:r>
        <w:t xml:space="preserve">.</w:t>
      </w:r>
    </w:p>
    <w:p>
      <w:pPr>
        <w:pStyle w:val="BodyText"/>
      </w:pPr>
      <w:r>
        <w:t xml:space="preserve">Some peptides are dangerous in pregnancy because of their mechanism of action. Oxytocin induces labor; use as a nasal spray outside medical supervision is risky during pregnancy (chapter Oxytocin). For gray-market peptides such as BPC-157, TB-500, Epitalon, or the growth hormone secretagogues, there are no data whatsoever on pregnancy and breastfeeding.</w:t>
      </w:r>
    </w:p>
    <w:bookmarkEnd w:id="2784"/>
    <w:bookmarkStart w:id="2789" w:name="oral-contraception-and-gastric-emptying"/>
    <w:p>
      <w:pPr>
        <w:pStyle w:val="Heading3"/>
      </w:pPr>
      <w:r>
        <w:t xml:space="preserve">Oral contraception and gastric emptying</w:t>
      </w:r>
    </w:p>
    <w:p>
      <w:pPr>
        <w:pStyle w:val="FirstParagraph"/>
      </w:pPr>
      <w:r>
        <w:t xml:space="preserve">GLP-1 drugs, amylin analogs such as pramlintide, and also bremelanotide slow the emptying of the stomach. As a result, tablets taken at the same time can enter the bloodstream later or in different amounts. This mainly affects drugs for which a rapid onset of action or a steady blood level is important.</w:t>
      </w:r>
    </w:p>
    <w:p>
      <w:pPr>
        <w:pStyle w:val="BodyText"/>
      </w:pPr>
      <w:r>
        <w:t xml:space="preserve">The contraceptive pill has been studied particularly closely. For semaglutide, a study with 43 women found no reduced absorption of the two hormones of a common combined pill; the level of the progestin was even 20% higher with semaglutide</w:t>
      </w:r>
      <w:r>
        <w:rPr>
          <w:rStyle w:val="FootnoteReference"/>
        </w:rPr>
        <w:footnoteReference w:id="2785"/>
      </w:r>
      <w:r>
        <w:t xml:space="preserve">. Tirzepatide is different: a review of six studies found a significant reduction in the amount of hormone absorbed only with tirzepatide, not with the other GLP-1 receptor agonists. As an explanation, the authors cite the stronger delay in gastric emptying after the first dose and after dose increases</w:t>
      </w:r>
      <w:r>
        <w:rPr>
          <w:rStyle w:val="FootnoteReference"/>
        </w:rPr>
        <w:footnoteReference w:id="2786"/>
      </w:r>
      <w:r>
        <w:t xml:space="preserve">. The prescribing information for tirzepatide therefore contains a separate note on contraception with tablets; the details are given there and should be discussed with your physician.</w:t>
      </w:r>
    </w:p>
    <w:p>
      <w:pPr>
        <w:pStyle w:val="BodyText"/>
      </w:pPr>
      <w:r>
        <w:t xml:space="preserve">Regardless of the agent: severe vomiting or diarrhea – common with GLP-1 drugs – can impair the absorption of any tablet, including the pill.</w:t>
      </w:r>
    </w:p>
    <w:p>
      <w:pPr>
        <w:pStyle w:val="BodyText"/>
      </w:pPr>
      <w:r>
        <w:t xml:space="preserve">Other known interactions at a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Peptide</w:t>
            </w:r>
          </w:p>
        </w:tc>
        <w:tc>
          <w:tcPr/>
          <w:p>
            <w:pPr>
              <w:pStyle w:val="Compact"/>
              <w:jc w:val="left"/>
            </w:pPr>
            <w:r>
              <w:t xml:space="preserve">Interaction</w:t>
            </w:r>
          </w:p>
        </w:tc>
        <w:tc>
          <w:tcPr/>
          <w:p>
            <w:pPr>
              <w:pStyle w:val="Compact"/>
              <w:jc w:val="left"/>
            </w:pPr>
            <w:r>
              <w:t xml:space="preserve">Significance</w:t>
            </w:r>
          </w:p>
        </w:tc>
        <w:tc>
          <w:tcPr/>
          <w:p>
            <w:pPr>
              <w:pStyle w:val="Compact"/>
              <w:jc w:val="left"/>
            </w:pPr>
            <w:r>
              <w:t xml:space="preserve">Chapter</w:t>
            </w:r>
          </w:p>
        </w:tc>
      </w:tr>
      <w:tr>
        <w:tc>
          <w:tcPr/>
          <w:p>
            <w:pPr>
              <w:pStyle w:val="Compact"/>
              <w:jc w:val="left"/>
            </w:pPr>
            <w:r>
              <w:t xml:space="preserve">GLP-1 drugs, pramlintide</w:t>
            </w:r>
          </w:p>
        </w:tc>
        <w:tc>
          <w:tcPr/>
          <w:p>
            <w:pPr>
              <w:pStyle w:val="Compact"/>
              <w:jc w:val="left"/>
            </w:pPr>
            <w:r>
              <w:t xml:space="preserve">delayed absorption of tablets</w:t>
            </w:r>
          </w:p>
        </w:tc>
        <w:tc>
          <w:tcPr/>
          <w:p>
            <w:pPr>
              <w:pStyle w:val="Compact"/>
              <w:jc w:val="left"/>
            </w:pPr>
            <w:r>
              <w:t xml:space="preserve">relevant for drugs with a narrow therapeutic range</w:t>
            </w:r>
          </w:p>
        </w:tc>
        <w:tc>
          <w:tcPr/>
          <w:p>
            <w:pPr>
              <w:pStyle w:val="Compact"/>
              <w:jc w:val="left"/>
            </w:pPr>
            <w:r>
              <w:t xml:space="preserve">Semaglutide, Pramlintide</w:t>
            </w:r>
          </w:p>
        </w:tc>
      </w:tr>
      <w:tr>
        <w:tc>
          <w:tcPr/>
          <w:p>
            <w:pPr>
              <w:pStyle w:val="Compact"/>
              <w:jc w:val="left"/>
            </w:pPr>
            <w:r>
              <w:t xml:space="preserve">Tirzepatide</w:t>
            </w:r>
          </w:p>
        </w:tc>
        <w:tc>
          <w:tcPr/>
          <w:p>
            <w:pPr>
              <w:pStyle w:val="Compact"/>
              <w:jc w:val="left"/>
            </w:pPr>
            <w:r>
              <w:t xml:space="preserve">less hormone absorbed from the pill</w:t>
            </w:r>
          </w:p>
        </w:tc>
        <w:tc>
          <w:tcPr/>
          <w:p>
            <w:pPr>
              <w:pStyle w:val="Compact"/>
              <w:jc w:val="left"/>
            </w:pPr>
            <w:r>
              <w:t xml:space="preserve">note in the prescribing information</w:t>
            </w:r>
          </w:p>
        </w:tc>
        <w:tc>
          <w:tcPr/>
          <w:p>
            <w:pPr>
              <w:pStyle w:val="Compact"/>
              <w:jc w:val="left"/>
            </w:pPr>
            <w:r>
              <w:t xml:space="preserve">Tirzepatide</w:t>
            </w:r>
          </w:p>
        </w:tc>
      </w:tr>
      <w:tr>
        <w:tc>
          <w:tcPr/>
          <w:p>
            <w:pPr>
              <w:pStyle w:val="Compact"/>
              <w:jc w:val="left"/>
            </w:pPr>
            <w:r>
              <w:t xml:space="preserve">Bremelanotide</w:t>
            </w:r>
          </w:p>
        </w:tc>
        <w:tc>
          <w:tcPr/>
          <w:p>
            <w:pPr>
              <w:pStyle w:val="Compact"/>
              <w:jc w:val="left"/>
            </w:pPr>
            <w:r>
              <w:t xml:space="preserve">lower levels of indomethacin and naltrexone</w:t>
            </w:r>
          </w:p>
        </w:tc>
        <w:tc>
          <w:tcPr/>
          <w:p>
            <w:pPr>
              <w:pStyle w:val="Compact"/>
              <w:jc w:val="left"/>
            </w:pPr>
            <w:r>
              <w:t xml:space="preserve">effect of these drugs may decrease</w:t>
            </w:r>
          </w:p>
        </w:tc>
        <w:tc>
          <w:tcPr/>
          <w:p>
            <w:pPr>
              <w:pStyle w:val="Compact"/>
              <w:jc w:val="left"/>
            </w:pPr>
            <w:r>
              <w:t xml:space="preserve">Bremelanotide</w:t>
            </w:r>
          </w:p>
        </w:tc>
      </w:tr>
      <w:tr>
        <w:tc>
          <w:tcPr/>
          <w:p>
            <w:pPr>
              <w:pStyle w:val="Compact"/>
              <w:jc w:val="left"/>
            </w:pPr>
            <w:r>
              <w:t xml:space="preserve">Macimorelin</w:t>
            </w:r>
          </w:p>
        </w:tc>
        <w:tc>
          <w:tcPr/>
          <w:p>
            <w:pPr>
              <w:pStyle w:val="Compact"/>
              <w:jc w:val="left"/>
            </w:pPr>
            <w:r>
              <w:t xml:space="preserve">prolongs the QT interval</w:t>
            </w:r>
          </w:p>
        </w:tc>
        <w:tc>
          <w:tcPr/>
          <w:p>
            <w:pPr>
              <w:pStyle w:val="Compact"/>
              <w:jc w:val="left"/>
            </w:pPr>
            <w:r>
              <w:t xml:space="preserve">caution with other QT-prolonging drugs</w:t>
            </w:r>
          </w:p>
        </w:tc>
        <w:tc>
          <w:tcPr/>
          <w:p>
            <w:pPr>
              <w:pStyle w:val="Compact"/>
              <w:jc w:val="left"/>
            </w:pPr>
            <w:r>
              <w:t xml:space="preserve">Macimorelin</w:t>
            </w:r>
          </w:p>
        </w:tc>
      </w:tr>
      <w:tr>
        <w:tc>
          <w:tcPr/>
          <w:p>
            <w:pPr>
              <w:pStyle w:val="Compact"/>
              <w:jc w:val="left"/>
            </w:pPr>
            <w:r>
              <w:t xml:space="preserve">Orforglipron</w:t>
            </w:r>
          </w:p>
        </w:tc>
        <w:tc>
          <w:tcPr/>
          <w:p>
            <w:pPr>
              <w:pStyle w:val="Compact"/>
              <w:jc w:val="left"/>
            </w:pPr>
            <w:r>
              <w:t xml:space="preserve">metabolized by liver enzymes</w:t>
            </w:r>
          </w:p>
        </w:tc>
        <w:tc>
          <w:tcPr/>
          <w:p>
            <w:pPr>
              <w:pStyle w:val="Compact"/>
              <w:jc w:val="left"/>
            </w:pPr>
            <w:r>
              <w:t xml:space="preserve">interactions with other drugs possible</w:t>
            </w:r>
          </w:p>
        </w:tc>
        <w:tc>
          <w:tcPr/>
          <w:p>
            <w:pPr>
              <w:pStyle w:val="Compact"/>
              <w:jc w:val="left"/>
            </w:pPr>
            <w:r>
              <w:t xml:space="preserve">Orforglipron</w:t>
            </w:r>
          </w:p>
        </w:tc>
      </w:tr>
      <w:tr>
        <w:tc>
          <w:tcPr/>
          <w:p>
            <w:pPr>
              <w:pStyle w:val="Compact"/>
              <w:jc w:val="left"/>
            </w:pPr>
            <w:r>
              <w:t xml:space="preserve">Selank, DSIP</w:t>
            </w:r>
          </w:p>
        </w:tc>
        <w:tc>
          <w:tcPr/>
          <w:p>
            <w:pPr>
              <w:pStyle w:val="Compact"/>
              <w:jc w:val="left"/>
            </w:pPr>
            <w:r>
              <w:t xml:space="preserve">sedatives and sleeping pills, alcohol</w:t>
            </w:r>
          </w:p>
        </w:tc>
        <w:tc>
          <w:tcPr/>
          <w:p>
            <w:pPr>
              <w:pStyle w:val="Compact"/>
              <w:jc w:val="left"/>
            </w:pPr>
            <w:r>
              <w:t xml:space="preserve">not studied</w:t>
            </w:r>
          </w:p>
        </w:tc>
        <w:tc>
          <w:tcPr/>
          <w:p>
            <w:pPr>
              <w:pStyle w:val="Compact"/>
              <w:jc w:val="left"/>
            </w:pPr>
            <w:r>
              <w:t xml:space="preserve">Selank, DSIP</w:t>
            </w:r>
          </w:p>
        </w:tc>
      </w:tr>
      <w:tr>
        <w:tc>
          <w:tcPr/>
          <w:p>
            <w:pPr>
              <w:pStyle w:val="Compact"/>
              <w:jc w:val="left"/>
            </w:pPr>
            <w:r>
              <w:t xml:space="preserve">BPC-157</w:t>
            </w:r>
          </w:p>
        </w:tc>
        <w:tc>
          <w:tcPr/>
          <w:p>
            <w:pPr>
              <w:pStyle w:val="Compact"/>
              <w:jc w:val="left"/>
            </w:pPr>
            <w:r>
              <w:t xml:space="preserve">blood clotting (animal data only)</w:t>
            </w:r>
          </w:p>
        </w:tc>
        <w:tc>
          <w:tcPr/>
          <w:p>
            <w:pPr>
              <w:pStyle w:val="Compact"/>
              <w:jc w:val="left"/>
            </w:pPr>
            <w:r>
              <w:t xml:space="preserve">unknown with anticoagulants</w:t>
            </w:r>
          </w:p>
        </w:tc>
        <w:tc>
          <w:tcPr/>
          <w:p>
            <w:pPr>
              <w:pStyle w:val="Compact"/>
              <w:jc w:val="left"/>
            </w:pPr>
            <w:r>
              <w:t xml:space="preserve">BPC-157</w:t>
            </w:r>
          </w:p>
        </w:tc>
      </w:tr>
    </w:tbl>
    <w:p>
      <w:pPr>
        <w:pStyle w:val="BodyText"/>
      </w:pPr>
      <w:r>
        <w:t xml:space="preserve">The interaction of bremelanotide with indomethacin and naltrexone is described in the approval data</w:t>
      </w:r>
      <w:r>
        <w:rPr>
          <w:rStyle w:val="FootnoteReference"/>
        </w:rPr>
        <w:footnoteReference w:id="2787"/>
      </w:r>
      <w:r>
        <w:t xml:space="preserve">. The QT prolongation caused by macimorelin was measured in a thorough ECG study</w:t>
      </w:r>
      <w:r>
        <w:rPr>
          <w:rStyle w:val="FootnoteReference"/>
        </w:rPr>
        <w:footnoteReference w:id="2788"/>
      </w:r>
      <w:r>
        <w:t xml:space="preserve">.</w:t>
      </w:r>
    </w:p>
    <w:bookmarkEnd w:id="2789"/>
    <w:bookmarkStart w:id="2794" w:name="anesthesia-endoscopy-and-aspiration"/>
    <w:p>
      <w:pPr>
        <w:pStyle w:val="Heading3"/>
      </w:pPr>
      <w:r>
        <w:t xml:space="preserve">Anesthesia, endoscopy, and aspiration</w:t>
      </w:r>
    </w:p>
    <w:p>
      <w:pPr>
        <w:pStyle w:val="FirstParagraph"/>
      </w:pPr>
      <w:r>
        <w:t xml:space="preserve">Before anesthesia, the stomach should be empty. The reason: if stomach contents enter the airways during anesthesia (aspiration), severe pneumonia can follow. Because GLP-1 drugs slow gastric emptying, the stomach may still contain food residue despite the prescribed fasting period.</w:t>
      </w:r>
    </w:p>
    <w:p>
      <w:pPr>
        <w:pStyle w:val="BodyText"/>
      </w:pPr>
      <w:r>
        <w:t xml:space="preserve">The studies on this paint a two-sided picture:</w:t>
      </w:r>
    </w:p>
    <w:p>
      <w:pPr>
        <w:numPr>
          <w:ilvl w:val="0"/>
          <w:numId w:val="1348"/>
        </w:numPr>
        <w:pStyle w:val="Compact"/>
      </w:pPr>
      <w:r>
        <w:rPr>
          <w:bCs/>
          <w:b/>
        </w:rPr>
        <w:t xml:space="preserve">More residual stomach content is well established.</w:t>
      </w:r>
      <w:r>
        <w:t xml:space="preserve"> </w:t>
      </w:r>
      <w:r>
        <w:t xml:space="preserve">A meta-analysis of 23 observational studies with 262,018 people undergoing upper endoscopy found an approximately four-and-a-half-fold increased risk of food residue in the stomach with GLP-1 receptor agonists (odds ratio 4.54) and likewise more frequently aborted examinations. Aspiration pneumonia did not occur more frequently (odds ratio 0.96)</w:t>
      </w:r>
      <w:r>
        <w:rPr>
          <w:rStyle w:val="FootnoteReference"/>
        </w:rPr>
        <w:footnoteReference w:id="2790"/>
      </w:r>
      <w:r>
        <w:t xml:space="preserve">.</w:t>
      </w:r>
    </w:p>
    <w:p>
      <w:pPr>
        <w:numPr>
          <w:ilvl w:val="0"/>
          <w:numId w:val="1348"/>
        </w:numPr>
        <w:pStyle w:val="Compact"/>
      </w:pPr>
      <w:r>
        <w:t xml:space="preserve">In a study using gastric ultrasound before planned surgery, 49% of people on semaglutide had a</w:t>
      </w:r>
      <w:r>
        <w:t xml:space="preserve"> </w:t>
      </w:r>
      <w:r>
        <w:t xml:space="preserve">“</w:t>
      </w:r>
      <w:r>
        <w:t xml:space="preserve">full stomach,</w:t>
      </w:r>
      <w:r>
        <w:t xml:space="preserve">”</w:t>
      </w:r>
      <w:r>
        <w:t xml:space="preserve"> </w:t>
      </w:r>
      <w:r>
        <w:t xml:space="preserve">but only 18% of comparable control persons; solid food residue was found in 42% versus 7%. This was the case even though a dose had been skipped before the operation</w:t>
      </w:r>
      <w:r>
        <w:rPr>
          <w:rStyle w:val="FootnoteReference"/>
        </w:rPr>
        <w:footnoteReference w:id="2791"/>
      </w:r>
      <w:r>
        <w:t xml:space="preserve">.</w:t>
      </w:r>
    </w:p>
    <w:p>
      <w:pPr>
        <w:numPr>
          <w:ilvl w:val="0"/>
          <w:numId w:val="1348"/>
        </w:numPr>
        <w:pStyle w:val="Compact"/>
      </w:pPr>
      <w:r>
        <w:rPr>
          <w:bCs/>
          <w:b/>
        </w:rPr>
        <w:t xml:space="preserve">Actual aspirations are rare.</w:t>
      </w:r>
      <w:r>
        <w:t xml:space="preserve"> </w:t>
      </w:r>
      <w:r>
        <w:t xml:space="preserve">In a large US database study with 296,389 matched pairs of people with type 2 diabetes, respiratory complications after surgery were even less frequent with GLP-1 receptor agonists (0.09% versus 0.34%), and aspirations occurred in 0.01% versus 0.03%. The authors emphasize that it is unclear whether precautions had already been taken in these cases</w:t>
      </w:r>
      <w:r>
        <w:rPr>
          <w:rStyle w:val="FootnoteReference"/>
        </w:rPr>
        <w:footnoteReference w:id="2792"/>
      </w:r>
      <w:r>
        <w:t xml:space="preserve">.</w:t>
      </w:r>
    </w:p>
    <w:p>
      <w:pPr>
        <w:pStyle w:val="FirstParagraph"/>
      </w:pPr>
      <w:r>
        <w:t xml:space="preserve">Aspiration rates may be low precisely because anesthesia teams are aware of the risk and adjust their approach. Whether pausing the drug before an endoscopy reduces the problem is to be clarified by a large study in China</w:t>
      </w:r>
      <w:r>
        <w:rPr>
          <w:rStyle w:val="FootnoteReference"/>
        </w:rPr>
        <w:footnoteReference w:id="2793"/>
      </w:r>
      <w:r>
        <w:t xml:space="preserve">. For those being treated, this means above all: before any surgery, anesthesia, or endoscopy, state that you are using a GLP-1 drug – even if it comes from a compounding pharmacy or the gray market. How to handle the drug before the procedure is decided by the treatment team according to the applicable recommendations. Anyone who does not regard a gray-market product as a drug and therefore does not mention it deprives the anesthesia team of this opportunity.</w:t>
      </w:r>
    </w:p>
    <w:bookmarkEnd w:id="2794"/>
    <w:bookmarkStart w:id="2797" w:name="X8b3c90231338940df715d35adc5955eb5c5539c"/>
    <w:p>
      <w:pPr>
        <w:pStyle w:val="Heading3"/>
      </w:pPr>
      <w:r>
        <w:t xml:space="preserve">Combination with diabetes drugs and hypoglycemia</w:t>
      </w:r>
    </w:p>
    <w:p>
      <w:pPr>
        <w:pStyle w:val="FirstParagraph"/>
      </w:pPr>
      <w:r>
        <w:t xml:space="preserve">As described in the chapter</w:t>
      </w:r>
      <w:r>
        <w:t xml:space="preserve"> </w:t>
      </w:r>
      <w:r>
        <w:t xml:space="preserve">“</w:t>
      </w:r>
      <w:r>
        <w:t xml:space="preserve">Side Effects by Organ System,</w:t>
      </w:r>
      <w:r>
        <w:t xml:space="preserve">”</w:t>
      </w:r>
      <w:r>
        <w:t xml:space="preserve"> </w:t>
      </w:r>
      <w:r>
        <w:t xml:space="preserve">GLP-1 drugs alone hardly cause dangerous hypoglycemia. This changes in combination with insulin or sulfonylureas, which lower blood sugar independently of the current level. In a study of exenatide added to metformin and a sulfonylurea, mild to moderate hypoglycemia occurred in up to 28%, compared with 13% on placebo; with a low-dose sulfonylurea it was less frequent</w:t>
      </w:r>
      <w:r>
        <w:rPr>
          <w:rStyle w:val="FootnoteReference"/>
        </w:rPr>
        <w:footnoteReference w:id="2795"/>
      </w:r>
      <w:r>
        <w:t xml:space="preserve">. With pramlintide, which is used together with insulin, severe hypoglycemia occurred more frequently than with placebo</w:t>
      </w:r>
      <w:r>
        <w:rPr>
          <w:rStyle w:val="FootnoteReference"/>
        </w:rPr>
        <w:footnoteReference w:id="2796"/>
      </w:r>
      <w:r>
        <w:t xml:space="preserve">. The prescribing information therefore provides for reviewing the dose of the other diabetes drugs at the start; implementation belongs in a physician’s hands.</w:t>
      </w:r>
    </w:p>
    <w:p>
      <w:pPr>
        <w:pStyle w:val="BodyText"/>
      </w:pPr>
      <w:r>
        <w:t xml:space="preserve">For several unapproved peptides, additional lowering of blood sugar is theoretically conceivable, for example for MOTS-c or IGF-1 LR3 (chapters MOTS-c, IGF-1 LR3). This has not been studied. Conversely, the peptides of the growth hormone axis can raise blood sugar and upset an existing diabetes treatment (chapters Ibutamoren, Tesamorelin).</w:t>
      </w:r>
    </w:p>
    <w:bookmarkEnd w:id="2797"/>
    <w:bookmarkStart w:id="2802" w:name="children-and-adolescents-3"/>
    <w:p>
      <w:pPr>
        <w:pStyle w:val="Heading3"/>
      </w:pPr>
      <w:r>
        <w:t xml:space="preserve">Children and adolescents</w:t>
      </w:r>
    </w:p>
    <w:p>
      <w:pPr>
        <w:pStyle w:val="FirstParagraph"/>
      </w:pPr>
      <w:r>
        <w:t xml:space="preserve">Semaglutide and liraglutide are also approved in the EU and the US for adolescents aged twelve and over with obesity. The approval trials show a side effect profile similar to that in adults: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w:t>
            </w:r>
          </w:p>
        </w:tc>
        <w:tc>
          <w:tcPr/>
          <w:p>
            <w:pPr>
              <w:pStyle w:val="Compact"/>
              <w:jc w:val="left"/>
            </w:pPr>
            <w:r>
              <w:t xml:space="preserve">Gastrointestinal complaints</w:t>
            </w:r>
          </w:p>
        </w:tc>
        <w:tc>
          <w:tcPr/>
          <w:p>
            <w:pPr>
              <w:pStyle w:val="Compact"/>
              <w:jc w:val="left"/>
            </w:pPr>
            <w:r>
              <w:t xml:space="preserve">Other findings</w:t>
            </w:r>
          </w:p>
        </w:tc>
      </w:tr>
      <w:tr>
        <w:tc>
          <w:tcPr/>
          <w:p>
            <w:pPr>
              <w:pStyle w:val="Compact"/>
              <w:jc w:val="left"/>
            </w:pPr>
            <w:r>
              <w:t xml:space="preserve">STEP TEENS (Weghuber 2022), PMID 36322838</w:t>
            </w:r>
          </w:p>
        </w:tc>
        <w:tc>
          <w:tcPr/>
          <w:p>
            <w:pPr>
              <w:pStyle w:val="Compact"/>
              <w:jc w:val="left"/>
            </w:pPr>
            <w:r>
              <w:t xml:space="preserve">201 adolescents, semaglutide, 68 weeks</w:t>
            </w:r>
          </w:p>
        </w:tc>
        <w:tc>
          <w:tcPr/>
          <w:p>
            <w:pPr>
              <w:pStyle w:val="Compact"/>
              <w:jc w:val="left"/>
            </w:pPr>
            <w:r>
              <w:t xml:space="preserve">62% vs. 42%</w:t>
            </w:r>
          </w:p>
        </w:tc>
        <w:tc>
          <w:tcPr/>
          <w:p>
            <w:pPr>
              <w:pStyle w:val="Compact"/>
              <w:jc w:val="left"/>
            </w:pPr>
            <w:r>
              <w:t xml:space="preserve">gallstones in 4%; serious events 11% vs. 9%</w:t>
            </w:r>
          </w:p>
        </w:tc>
      </w:tr>
      <w:tr>
        <w:tc>
          <w:tcPr/>
          <w:p>
            <w:pPr>
              <w:pStyle w:val="Compact"/>
              <w:jc w:val="left"/>
            </w:pPr>
            <w:r>
              <w:t xml:space="preserve">SCALE Teens (Kelly 2020), PMID 32233338</w:t>
            </w:r>
          </w:p>
        </w:tc>
        <w:tc>
          <w:tcPr/>
          <w:p>
            <w:pPr>
              <w:pStyle w:val="Compact"/>
              <w:jc w:val="left"/>
            </w:pPr>
            <w:r>
              <w:t xml:space="preserve">251 adolescents, liraglutide, 56 weeks</w:t>
            </w:r>
          </w:p>
        </w:tc>
        <w:tc>
          <w:tcPr/>
          <w:p>
            <w:pPr>
              <w:pStyle w:val="Compact"/>
              <w:jc w:val="left"/>
            </w:pPr>
            <w:r>
              <w:t xml:space="preserve">64.8% vs. 36.5%</w:t>
            </w:r>
          </w:p>
        </w:tc>
        <w:tc>
          <w:tcPr/>
          <w:p>
            <w:pPr>
              <w:pStyle w:val="Compact"/>
              <w:jc w:val="left"/>
            </w:pPr>
            <w:r>
              <w:t xml:space="preserve">discontinuation due to side effects 10.4% vs. 0%</w:t>
            </w:r>
          </w:p>
        </w:tc>
      </w:tr>
    </w:tbl>
    <w:p>
      <w:pPr>
        <w:pStyle w:val="BodyText"/>
      </w:pPr>
      <w:r>
        <w:t xml:space="preserve">In the liraglutide study, BMI rose again more after stopping than with placebo, and there was one suicide in the liraglutide group, which the investigators classified as probably not treatment-related</w:t>
      </w:r>
      <w:r>
        <w:rPr>
          <w:rStyle w:val="FootnoteReference"/>
        </w:rPr>
        <w:footnoteReference w:id="2798"/>
      </w:r>
      <w:r>
        <w:t xml:space="preserve">. A meta-analysis of nine randomized and two observational studies in adolescents found no overall increase in suicidal behavior or depression</w:t>
      </w:r>
      <w:r>
        <w:rPr>
          <w:rStyle w:val="FootnoteReference"/>
        </w:rPr>
        <w:footnoteReference w:id="2799"/>
      </w:r>
      <w:r>
        <w:t xml:space="preserve">.</w:t>
      </w:r>
    </w:p>
    <w:p>
      <w:pPr>
        <w:pStyle w:val="BodyText"/>
      </w:pPr>
      <w:r>
        <w:t xml:space="preserve">The data from US poison control centers paint a different picture. Among children and adolescents between 6 and 17 years of age, reported cases involving GLP-1 drugs rose most sharply between 2017 and 2024. They were hospitalized more often than adults (relative risk 2.66), vomited more often, and their cases were about eight times as often due to intentional misuse</w:t>
      </w:r>
      <w:r>
        <w:rPr>
          <w:rStyle w:val="FootnoteReference"/>
        </w:rPr>
        <w:footnoteReference w:id="2800"/>
      </w:r>
      <w:r>
        <w:t xml:space="preserve">. This suggests that adolescents sometimes use these drugs outside of medical treatment.</w:t>
      </w:r>
    </w:p>
    <w:p>
      <w:pPr>
        <w:pStyle w:val="BodyText"/>
      </w:pPr>
      <w:r>
        <w:t xml:space="preserve">For the peptides from the fitness and bodybuilding scene, it is unclear how widespread they are among adolescents. A review points to advertising on social media and indications of growing use also by younger recreational athletes, but emphasizes that studies on prevalence are lacking</w:t>
      </w:r>
      <w:r>
        <w:rPr>
          <w:rStyle w:val="FootnoteReference"/>
        </w:rPr>
        <w:footnoteReference w:id="2801"/>
      </w:r>
      <w:r>
        <w:t xml:space="preserve">. For adolescents whose growth and hormonal system are not yet complete, intervening in the growth hormone or sex hormone axis with unapproved substances is particularly risky. The approved peptides for children – such as mecasermin for severe IGF-1 deficiency – are used exclusively under specialist supervision (chapter Mecasermin).</w:t>
      </w:r>
    </w:p>
    <w:bookmarkEnd w:id="2802"/>
    <w:bookmarkStart w:id="2805" w:name="older-people"/>
    <w:p>
      <w:pPr>
        <w:pStyle w:val="Heading3"/>
      </w:pPr>
      <w:r>
        <w:t xml:space="preserve">Older people</w:t>
      </w:r>
    </w:p>
    <w:p>
      <w:pPr>
        <w:pStyle w:val="FirstParagraph"/>
      </w:pPr>
      <w:r>
        <w:t xml:space="preserve">With age, the risk increases that side effects will be more severe. For older people, four points are particularly important with peptides:</w:t>
      </w:r>
    </w:p>
    <w:p>
      <w:pPr>
        <w:numPr>
          <w:ilvl w:val="0"/>
          <w:numId w:val="1349"/>
        </w:numPr>
        <w:pStyle w:val="Compact"/>
      </w:pPr>
      <w:r>
        <w:rPr>
          <w:bCs/>
          <w:b/>
        </w:rPr>
        <w:t xml:space="preserve">Fluid loss.</w:t>
      </w:r>
      <w:r>
        <w:t xml:space="preserve"> </w:t>
      </w:r>
      <w:r>
        <w:t xml:space="preserve">Vomiting and diarrhea with GLP-1 drugs can lead more quickly to dehydration and kidney problems in older people.</w:t>
      </w:r>
    </w:p>
    <w:p>
      <w:pPr>
        <w:numPr>
          <w:ilvl w:val="0"/>
          <w:numId w:val="1349"/>
        </w:numPr>
        <w:pStyle w:val="Compact"/>
      </w:pPr>
      <w:r>
        <w:rPr>
          <w:bCs/>
          <w:b/>
        </w:rPr>
        <w:t xml:space="preserve">Muscle mass.</w:t>
      </w:r>
      <w:r>
        <w:t xml:space="preserve"> </w:t>
      </w:r>
      <w:r>
        <w:t xml:space="preserve">Someone who already has little muscle copes poorly with further loss (see the following section).</w:t>
      </w:r>
    </w:p>
    <w:p>
      <w:pPr>
        <w:numPr>
          <w:ilvl w:val="0"/>
          <w:numId w:val="1349"/>
        </w:numPr>
        <w:pStyle w:val="Compact"/>
      </w:pPr>
      <w:r>
        <w:rPr>
          <w:bCs/>
          <w:b/>
        </w:rPr>
        <w:t xml:space="preserve">Fluid retention and the heart.</w:t>
      </w:r>
      <w:r>
        <w:t xml:space="preserve"> </w:t>
      </w:r>
      <w:r>
        <w:t xml:space="preserve">Growth hormone led more frequently to tissue swelling, joint pain, and carpal tunnel syndrome in healthy older people</w:t>
      </w:r>
      <w:r>
        <w:rPr>
          <w:rStyle w:val="FootnoteReference"/>
        </w:rPr>
        <w:footnoteReference w:id="2803"/>
      </w:r>
      <w:r>
        <w:t xml:space="preserve">. A study of ibutamoren in older people after hip fracture was stopped because of a signal for heart failure</w:t>
      </w:r>
      <w:r>
        <w:rPr>
          <w:rStyle w:val="FootnoteReference"/>
        </w:rPr>
        <w:footnoteReference w:id="2804"/>
      </w:r>
      <w:r>
        <w:t xml:space="preserve">. So precisely the peptides advertised as</w:t>
      </w:r>
      <w:r>
        <w:t xml:space="preserve"> </w:t>
      </w:r>
      <w:r>
        <w:t xml:space="preserve">“</w:t>
      </w:r>
      <w:r>
        <w:t xml:space="preserve">anti-aging</w:t>
      </w:r>
      <w:r>
        <w:t xml:space="preserve">”</w:t>
      </w:r>
      <w:r>
        <w:t xml:space="preserve"> </w:t>
      </w:r>
      <w:r>
        <w:t xml:space="preserve">agents tend to place a burden on older hearts.</w:t>
      </w:r>
    </w:p>
    <w:p>
      <w:pPr>
        <w:numPr>
          <w:ilvl w:val="0"/>
          <w:numId w:val="1349"/>
        </w:numPr>
        <w:pStyle w:val="Compact"/>
      </w:pPr>
      <w:r>
        <w:rPr>
          <w:bCs/>
          <w:b/>
        </w:rPr>
        <w:t xml:space="preserve">Multiple medications.</w:t>
      </w:r>
      <w:r>
        <w:t xml:space="preserve"> </w:t>
      </w:r>
      <w:r>
        <w:t xml:space="preserve">Older people often take many drugs at the same time. Delayed gastric emptying can alter their absorption, and combinations with blood sugar–lowering drugs increase the risk of hypoglycemia and falls.</w:t>
      </w:r>
    </w:p>
    <w:bookmarkEnd w:id="2805"/>
    <w:bookmarkStart w:id="2810" w:name="muscle-loss-with-substantial-weight-loss"/>
    <w:p>
      <w:pPr>
        <w:pStyle w:val="Heading3"/>
      </w:pPr>
      <w:r>
        <w:t xml:space="preserve">Muscle loss with substantial weight loss</w:t>
      </w:r>
    </w:p>
    <w:p>
      <w:pPr>
        <w:pStyle w:val="FirstParagraph"/>
      </w:pPr>
      <w:r>
        <w:t xml:space="preserve">With any weight loss, fat-free mass, which includes muscles, organs, and water, is lost in addition to fat. With the highly effective GLP-1 drugs, the question is whether this proportion is unusually high and whether it is harmful.</w:t>
      </w:r>
    </w:p>
    <w:p>
      <w:pPr>
        <w:numPr>
          <w:ilvl w:val="0"/>
          <w:numId w:val="1350"/>
        </w:numPr>
        <w:pStyle w:val="Compact"/>
      </w:pPr>
      <w:r>
        <w:t xml:space="preserve">In a substudy of SURMOUNT-1 with 160 participants, the weight lost with tirzepatide consisted of about 75% fat and 25% fat-free mass – in the same proportion as with placebo, only with a considerably larger total loss. These proportions remained similar in most subgroups, including when separated by age</w:t>
      </w:r>
      <w:r>
        <w:rPr>
          <w:rStyle w:val="FootnoteReference"/>
        </w:rPr>
        <w:footnoteReference w:id="2806"/>
      </w:r>
      <w:r>
        <w:t xml:space="preserve">.</w:t>
      </w:r>
    </w:p>
    <w:p>
      <w:pPr>
        <w:numPr>
          <w:ilvl w:val="0"/>
          <w:numId w:val="1350"/>
        </w:numPr>
        <w:pStyle w:val="Compact"/>
      </w:pPr>
      <w:r>
        <w:t xml:space="preserve">A network meta-analysis of 22 studies likewise found that around 25% of weight loss was fat-free mass. Semaglutide and tirzepatide led to the greatest weight loss, but were also among the agents with which the most fat-free mass was lost</w:t>
      </w:r>
      <w:r>
        <w:rPr>
          <w:rStyle w:val="FootnoteReference"/>
        </w:rPr>
        <w:footnoteReference w:id="2807"/>
      </w:r>
      <w:r>
        <w:t xml:space="preserve">.</w:t>
      </w:r>
    </w:p>
    <w:p>
      <w:pPr>
        <w:numPr>
          <w:ilvl w:val="0"/>
          <w:numId w:val="1350"/>
        </w:numPr>
        <w:pStyle w:val="Compact"/>
      </w:pPr>
      <w:r>
        <w:t xml:space="preserve">A systematic review of 35 studies arrived at a somewhat higher proportion: at the median, 28.3% of weight loss was accounted for by muscle-related measures, and in 65% of the studies the proportion was above a benchmark of about 25%. Not a single study had objectively measured physical performance</w:t>
      </w:r>
      <w:r>
        <w:rPr>
          <w:rStyle w:val="FootnoteReference"/>
        </w:rPr>
        <w:footnoteReference w:id="2808"/>
      </w:r>
      <w:r>
        <w:t xml:space="preserve">.</w:t>
      </w:r>
    </w:p>
    <w:p>
      <w:pPr>
        <w:numPr>
          <w:ilvl w:val="0"/>
          <w:numId w:val="1350"/>
        </w:numPr>
        <w:pStyle w:val="Compact"/>
      </w:pPr>
      <w:r>
        <w:t xml:space="preserve">Another meta-analysis emphasizes the other side: because fat decreases more than muscle, the</w:t>
      </w:r>
      <w:r>
        <w:t xml:space="preserve"> </w:t>
      </w:r>
      <w:r>
        <w:rPr>
          <w:iCs/>
          <w:i/>
        </w:rPr>
        <w:t xml:space="preserve">proportion</w:t>
      </w:r>
      <w:r>
        <w:t xml:space="preserve"> </w:t>
      </w:r>
      <w:r>
        <w:t xml:space="preserve">of fat-free mass in body weight rose by 1.81 percentage points. The authors recommend accompanying treatment with nutrition and exercise programs</w:t>
      </w:r>
      <w:r>
        <w:rPr>
          <w:rStyle w:val="FootnoteReference"/>
        </w:rPr>
        <w:footnoteReference w:id="2809"/>
      </w:r>
      <w:r>
        <w:t xml:space="preserve">.</w:t>
      </w:r>
    </w:p>
    <w:p>
      <w:pPr>
        <w:pStyle w:val="FirstParagraph"/>
      </w:pPr>
      <w:r>
        <w:t xml:space="preserve">In summary: muscle loss with GLP-1 drugs does not appear to be substantially greater relative to total weight loss than with other forms of weight reduction – but in absolute kilograms it is considerable because of the large loss. Whether this has consequences for strength, falls, or independence has not been studied. For older people, people with little muscle mass, and people with frailty, this is an open question. Whether cagrilintide combinations affect muscle loss is currently being studied (chapter Cagrilintide).</w:t>
      </w:r>
    </w:p>
    <w:bookmarkEnd w:id="2810"/>
    <w:bookmarkStart w:id="2815" w:name="eating-disorders"/>
    <w:p>
      <w:pPr>
        <w:pStyle w:val="Heading3"/>
      </w:pPr>
      <w:r>
        <w:t xml:space="preserve">Eating disorders</w:t>
      </w:r>
    </w:p>
    <w:p>
      <w:pPr>
        <w:pStyle w:val="FirstParagraph"/>
      </w:pPr>
      <w:r>
        <w:t xml:space="preserve">GLP-1 drugs dampen appetite and the sensation of hunger. For people with anorexia nervosa or bulimia, precisely this effect can be dangerous: it can reinforce restrictive eating behavior and worsen the illness. A case report describes the misuse of semaglutide in atypical anorexia</w:t>
      </w:r>
      <w:r>
        <w:rPr>
          <w:rStyle w:val="FootnoteReference"/>
        </w:rPr>
        <w:footnoteReference w:id="2811"/>
      </w:r>
      <w:r>
        <w:t xml:space="preserve">, and a US cross-sectional study examined how widespread use and misuse of GLP-1 drugs are among people with eating disorders</w:t>
      </w:r>
      <w:r>
        <w:rPr>
          <w:rStyle w:val="FootnoteReference"/>
        </w:rPr>
        <w:footnoteReference w:id="2812"/>
      </w:r>
      <w:r>
        <w:t xml:space="preserve">.</w:t>
      </w:r>
    </w:p>
    <w:p>
      <w:pPr>
        <w:pStyle w:val="BodyText"/>
      </w:pPr>
      <w:r>
        <w:t xml:space="preserve">In 2026, a panel of 45 experts and people with lived experience developed recommendations in a consensus process. According to these, before starting GLP-1 treatment, current and past eating disorders should be asked about using a short, validated questionnaire, symptoms should be monitored during treatment, and in active anorexia, atypical anorexia, or bulimia with severe food restriction, these drugs should as a rule not be used. Caution is also warranted with past eating disorders</w:t>
      </w:r>
      <w:r>
        <w:rPr>
          <w:rStyle w:val="FootnoteReference"/>
        </w:rPr>
        <w:footnoteReference w:id="2813"/>
      </w:r>
      <w:r>
        <w:t xml:space="preserve">.</w:t>
      </w:r>
    </w:p>
    <w:p>
      <w:pPr>
        <w:pStyle w:val="BodyText"/>
      </w:pPr>
      <w:r>
        <w:t xml:space="preserve">For binge-eating disorder, in which eating binges occur without compensatory behaviors, there are, by contrast, first indications that GLP-1 drugs could reduce binge episodes</w:t>
      </w:r>
      <w:r>
        <w:rPr>
          <w:rStyle w:val="FootnoteReference"/>
        </w:rPr>
        <w:footnoteReference w:id="2814"/>
      </w:r>
      <w:r>
        <w:t xml:space="preserve">. This shows how important an accurate diagnosis is. Via the gray market and via online providers with little medical supervision, precisely this inquiry is lost.</w:t>
      </w:r>
    </w:p>
    <w:bookmarkEnd w:id="2815"/>
    <w:bookmarkStart w:id="2821" w:name="competitive-sports-and-doping-controls"/>
    <w:p>
      <w:pPr>
        <w:pStyle w:val="Heading3"/>
      </w:pPr>
      <w:r>
        <w:t xml:space="preserve">Competitive sports and doping controls</w:t>
      </w:r>
    </w:p>
    <w:p>
      <w:pPr>
        <w:pStyle w:val="FirstParagraph"/>
      </w:pPr>
      <w:r>
        <w:t xml:space="preserve">For athletes who are subject to doping controls, the situation with peptides is particularly delicate. According to the Prohibited List of the World Anti-Doping Agency (WADA), roughly the following applies:</w:t>
      </w:r>
    </w:p>
    <w:p>
      <w:pPr>
        <w:numPr>
          <w:ilvl w:val="0"/>
          <w:numId w:val="1351"/>
        </w:numPr>
        <w:pStyle w:val="Compact"/>
      </w:pPr>
      <w:r>
        <w:rPr>
          <w:bCs/>
          <w:b/>
        </w:rPr>
        <w:t xml:space="preserve">Prohibited (S2, peptide hormones and growth factors):</w:t>
      </w:r>
      <w:r>
        <w:t xml:space="preserve"> </w:t>
      </w:r>
      <w:r>
        <w:t xml:space="preserve">all growth hormone secretagogues and IGF-1 variants, thymosin beta-4 and TB-500, ARA-290, and in men gonadorelin and LH releasers such as kisspeptin.</w:t>
      </w:r>
    </w:p>
    <w:p>
      <w:pPr>
        <w:numPr>
          <w:ilvl w:val="0"/>
          <w:numId w:val="1351"/>
        </w:numPr>
        <w:pStyle w:val="Compact"/>
      </w:pPr>
      <w:r>
        <w:rPr>
          <w:bCs/>
          <w:b/>
        </w:rPr>
        <w:t xml:space="preserve">Prohibited (S0, non-approved substances):</w:t>
      </w:r>
      <w:r>
        <w:t xml:space="preserve"> </w:t>
      </w:r>
      <w:r>
        <w:t xml:space="preserve">substances without approval as human medicines, such as BPC-157, Melanotan II, and the GLP-1 multi-agonists still in trials such as retatrutide.</w:t>
      </w:r>
    </w:p>
    <w:p>
      <w:pPr>
        <w:numPr>
          <w:ilvl w:val="0"/>
          <w:numId w:val="1351"/>
        </w:numPr>
        <w:pStyle w:val="Compact"/>
      </w:pPr>
      <w:r>
        <w:rPr>
          <w:bCs/>
          <w:b/>
        </w:rPr>
        <w:t xml:space="preserve">Prohibited (S4):</w:t>
      </w:r>
      <w:r>
        <w:t xml:space="preserve"> </w:t>
      </w:r>
      <w:r>
        <w:t xml:space="preserve">MOTS-c as an activator of the enzyme AMPK.</w:t>
      </w:r>
    </w:p>
    <w:p>
      <w:pPr>
        <w:numPr>
          <w:ilvl w:val="0"/>
          <w:numId w:val="1351"/>
        </w:numPr>
        <w:pStyle w:val="Compact"/>
      </w:pPr>
      <w:r>
        <w:rPr>
          <w:bCs/>
          <w:b/>
        </w:rPr>
        <w:t xml:space="preserve">Not prohibited:</w:t>
      </w:r>
      <w:r>
        <w:t xml:space="preserve"> </w:t>
      </w:r>
      <w:r>
        <w:t xml:space="preserve">the approved GLP-1 drugs. Semaglutide and tirzepatide have, however, been included in WADA’s monitoring program in order to detect possible misuse; laboratories have already developed detection methods for blood and dried blood spots</w:t>
      </w:r>
      <w:r>
        <w:rPr>
          <w:rStyle w:val="FootnoteReference"/>
        </w:rPr>
        <w:footnoteReference w:id="2816"/>
      </w:r>
      <w:r>
        <w:t xml:space="preserve">.</w:t>
      </w:r>
    </w:p>
    <w:p>
      <w:pPr>
        <w:pStyle w:val="FirstParagraph"/>
      </w:pPr>
      <w:r>
        <w:t xml:space="preserve">The details are given in the respective chapters. Three points are important across all peptides.</w:t>
      </w:r>
    </w:p>
    <w:p>
      <w:pPr>
        <w:pStyle w:val="BodyText"/>
      </w:pPr>
      <w:r>
        <w:rPr>
          <w:bCs/>
          <w:b/>
        </w:rPr>
        <w:t xml:space="preserve">Contaminated products.</w:t>
      </w:r>
      <w:r>
        <w:t xml:space="preserve"> </w:t>
      </w:r>
      <w:r>
        <w:t xml:space="preserve">An athlete is responsible for every prohibited substance in their body – even if it comes from a mislabeled product. The laboratory analyses in the chapter</w:t>
      </w:r>
      <w:r>
        <w:t xml:space="preserve"> </w:t>
      </w:r>
      <w:r>
        <w:t xml:space="preserve">“</w:t>
      </w:r>
      <w:r>
        <w:t xml:space="preserve">Gray-Market Products</w:t>
      </w:r>
      <w:r>
        <w:t xml:space="preserve">”</w:t>
      </w:r>
      <w:r>
        <w:t xml:space="preserve"> </w:t>
      </w:r>
      <w:r>
        <w:t xml:space="preserve">show that gray-market goods frequently contain different or additional substances and that prohibited agents also turn up in products presented as dietary supplements</w:t>
      </w:r>
      <w:r>
        <w:rPr>
          <w:rStyle w:val="FootnoteReference"/>
        </w:rPr>
        <w:footnoteReference w:id="2817"/>
      </w:r>
      <w:r>
        <w:t xml:space="preserve">.</w:t>
      </w:r>
    </w:p>
    <w:p>
      <w:pPr>
        <w:pStyle w:val="BodyText"/>
      </w:pPr>
      <w:r>
        <w:rPr>
          <w:bCs/>
          <w:b/>
        </w:rPr>
        <w:t xml:space="preserve">Designer variants.</w:t>
      </w:r>
      <w:r>
        <w:t xml:space="preserve"> </w:t>
      </w:r>
      <w:r>
        <w:t xml:space="preserve">Modified peptides such as Gly-GHRP-2 or Gly-ipamorelin are presumably intended to evade tests</w:t>
      </w:r>
      <w:r>
        <w:rPr>
          <w:rStyle w:val="FootnoteReference"/>
        </w:rPr>
        <w:footnoteReference w:id="2818"/>
      </w:r>
      <w:r>
        <w:t xml:space="preserve">. Their effect and safety are completely unknown. Experience shows that anti-doping laboratories update their methods; samples are also stored long-term and can be reanalyzed later.</w:t>
      </w:r>
    </w:p>
    <w:p>
      <w:pPr>
        <w:pStyle w:val="BodyText"/>
      </w:pPr>
      <w:r>
        <w:rPr>
          <w:bCs/>
          <w:b/>
        </w:rPr>
        <w:t xml:space="preserve">Questionable benefit.</w:t>
      </w:r>
      <w:r>
        <w:t xml:space="preserve"> </w:t>
      </w:r>
      <w:r>
        <w:t xml:space="preserve">A review of incretin drugs in sport concludes that clinical studies do not show a consistent improvement in physical performance in humans and that 20 to 30% of weight loss is accounted for by fat-free mass</w:t>
      </w:r>
      <w:r>
        <w:rPr>
          <w:rStyle w:val="FootnoteReference"/>
        </w:rPr>
        <w:footnoteReference w:id="2819"/>
      </w:r>
      <w:r>
        <w:t xml:space="preserve">. For the regenerative peptides and the growth hormone secretagogues, a sports medicine review concludes that they remain experimental, with an uncertain safety profile, questionable product quality, and far-reaching doping bans</w:t>
      </w:r>
      <w:r>
        <w:rPr>
          <w:rStyle w:val="FootnoteReference"/>
        </w:rPr>
        <w:footnoteReference w:id="2820"/>
      </w:r>
      <w:r>
        <w:t xml:space="preserve">.</w:t>
      </w:r>
    </w:p>
    <w:bookmarkEnd w:id="2821"/>
    <w:bookmarkStart w:id="2822" w:name="key-points-in-brief-7"/>
    <w:p>
      <w:pPr>
        <w:pStyle w:val="Heading3"/>
      </w:pPr>
      <w:r>
        <w:t xml:space="preserve">Key points in brief</w:t>
      </w:r>
    </w:p>
    <w:p>
      <w:pPr>
        <w:numPr>
          <w:ilvl w:val="0"/>
          <w:numId w:val="1352"/>
        </w:numPr>
        <w:pStyle w:val="Compact"/>
      </w:pPr>
      <w:r>
        <w:t xml:space="preserve">In pregnancy, almost all peptides have not been studied or are not indicated. For accidental exposure to GLP-1 drugs, the data are predominantly reassuring, but uncertain.</w:t>
      </w:r>
    </w:p>
    <w:p>
      <w:pPr>
        <w:numPr>
          <w:ilvl w:val="0"/>
          <w:numId w:val="1352"/>
        </w:numPr>
        <w:pStyle w:val="Compact"/>
      </w:pPr>
      <w:r>
        <w:t xml:space="preserve">Tirzepatide can reduce the absorption of the pill; this was not found with semaglutide. Vomiting and diarrhea impair the absorption of any tablet.</w:t>
      </w:r>
    </w:p>
    <w:p>
      <w:pPr>
        <w:numPr>
          <w:ilvl w:val="0"/>
          <w:numId w:val="1352"/>
        </w:numPr>
        <w:pStyle w:val="Compact"/>
      </w:pPr>
      <w:r>
        <w:t xml:space="preserve">With GLP-1 drugs, the stomach more often remains full. Before anesthesia and endoscopies, the treatment team must know about this.</w:t>
      </w:r>
    </w:p>
    <w:p>
      <w:pPr>
        <w:numPr>
          <w:ilvl w:val="0"/>
          <w:numId w:val="1352"/>
        </w:numPr>
        <w:pStyle w:val="Compact"/>
      </w:pPr>
      <w:r>
        <w:t xml:space="preserve">In combination with insulin or sulfonylureas, the risk of hypoglycemia rises.</w:t>
      </w:r>
    </w:p>
    <w:p>
      <w:pPr>
        <w:numPr>
          <w:ilvl w:val="0"/>
          <w:numId w:val="1352"/>
        </w:numPr>
        <w:pStyle w:val="Compact"/>
      </w:pPr>
      <w:r>
        <w:t xml:space="preserve">Adolescents stand out in poison control data because of intentional misuse; in eating disorders, GLP-1 drugs should as a rule not be used.</w:t>
      </w:r>
    </w:p>
    <w:p>
      <w:pPr>
        <w:numPr>
          <w:ilvl w:val="0"/>
          <w:numId w:val="1352"/>
        </w:numPr>
        <w:pStyle w:val="Compact"/>
      </w:pPr>
      <w:r>
        <w:t xml:space="preserve">Around a quarter of the weight lost with GLP-1 drugs is fat-free mass; whether this has functional consequences is open.</w:t>
      </w:r>
    </w:p>
    <w:p>
      <w:pPr>
        <w:numPr>
          <w:ilvl w:val="0"/>
          <w:numId w:val="1352"/>
        </w:numPr>
        <w:pStyle w:val="Compact"/>
      </w:pPr>
      <w:r>
        <w:t xml:space="preserve">For athletes, most peptides are prohibited, and gray-market products additionally carry the risk of undeclared doping agents.</w:t>
      </w:r>
    </w:p>
    <w:bookmarkEnd w:id="2822"/>
    <w:bookmarkEnd w:id="2823"/>
    <w:bookmarkEnd w:id="2824"/>
    <w:bookmarkStart w:id="2976" w:name="part-v-the-future"/>
    <w:p>
      <w:pPr>
        <w:pStyle w:val="Heading1"/>
      </w:pPr>
      <w:r>
        <w:t xml:space="preserve">Part V – The Future</w:t>
      </w:r>
    </w:p>
    <w:p>
      <w:pPr>
        <w:pStyle w:val="FirstParagraph"/>
      </w:pPr>
      <w:r>
        <w:t xml:space="preserve">The preceding parts have described what is known about peptides today. This final part looks ahead: Which agents are in the large trials that will end in the next few years? Will injections be replaced by tablets? What do expiring patents mean for prices and access? And what developments can be expected by 2035?</w:t>
      </w:r>
    </w:p>
    <w:p>
      <w:pPr>
        <w:pStyle w:val="BodyText"/>
      </w:pPr>
      <w:r>
        <w:t xml:space="preserve">Statements about the future are strictly separated in this book.</w:t>
      </w:r>
      <w:r>
        <w:t xml:space="preserve"> </w:t>
      </w:r>
      <w:r>
        <w:rPr>
          <w:bCs/>
          <w:b/>
        </w:rPr>
        <w:t xml:space="preserve">Established</w:t>
      </w:r>
      <w:r>
        <w:t xml:space="preserve"> </w:t>
      </w:r>
      <w:r>
        <w:t xml:space="preserve">is what has been entered in a trial registry, published in a peer-reviewed study, or decided by authorities. Even that is only a snapshot: trials are extended, scaled down, or terminated, and planned completion dates often shift by years. Everything else is the</w:t>
      </w:r>
      <w:r>
        <w:t xml:space="preserve"> </w:t>
      </w:r>
      <w:r>
        <w:rPr>
          <w:bCs/>
          <w:b/>
        </w:rPr>
        <w:t xml:space="preserve">author’s assessment</w:t>
      </w:r>
      <w:r>
        <w:t xml:space="preserve"> </w:t>
      </w:r>
      <w:r>
        <w:t xml:space="preserve">and is explicitly labeled as such. The research reflects the status as of October 2026.</w:t>
      </w:r>
    </w:p>
    <w:bookmarkStart w:id="2866" w:name="the-pipeline-what-is-in-phase-2-and-3"/>
    <w:p>
      <w:pPr>
        <w:pStyle w:val="Heading2"/>
      </w:pPr>
      <w:r>
        <w:t xml:space="preserve">The Pipeline: What Is in Phase 2 and 3</w:t>
      </w:r>
    </w:p>
    <w:p>
      <w:pPr>
        <w:pStyle w:val="FirstParagraph"/>
      </w:pPr>
      <w:r>
        <w:t xml:space="preserve">The pharmaceutical industry uses the term</w:t>
      </w:r>
      <w:r>
        <w:t xml:space="preserve"> </w:t>
      </w:r>
      <w:r>
        <w:t xml:space="preserve">“</w:t>
      </w:r>
      <w:r>
        <w:t xml:space="preserve">pipeline</w:t>
      </w:r>
      <w:r>
        <w:t xml:space="preserve">”</w:t>
      </w:r>
      <w:r>
        <w:t xml:space="preserve"> </w:t>
      </w:r>
      <w:r>
        <w:t xml:space="preserve">to refer to the totality of agents in development. The stages are explained in Part I: in</w:t>
      </w:r>
      <w:r>
        <w:t xml:space="preserve"> </w:t>
      </w:r>
      <w:r>
        <w:rPr>
          <w:bCs/>
          <w:b/>
        </w:rPr>
        <w:t xml:space="preserve">phase 1</w:t>
      </w:r>
      <w:r>
        <w:t xml:space="preserve">, an agent is usually tested for tolerability in a small number of healthy people; in</w:t>
      </w:r>
      <w:r>
        <w:t xml:space="preserve"> </w:t>
      </w:r>
      <w:r>
        <w:rPr>
          <w:bCs/>
          <w:b/>
        </w:rPr>
        <w:t xml:space="preserve">phase 2</w:t>
      </w:r>
      <w:r>
        <w:t xml:space="preserve">, in a few hundred patients for efficacy and appropriate dose; in</w:t>
      </w:r>
      <w:r>
        <w:t xml:space="preserve"> </w:t>
      </w:r>
      <w:r>
        <w:rPr>
          <w:bCs/>
          <w:b/>
        </w:rPr>
        <w:t xml:space="preserve">phase 3</w:t>
      </w:r>
      <w:r>
        <w:t xml:space="preserve">, in thousands for approval.</w:t>
      </w:r>
      <w:r>
        <w:t xml:space="preserve"> </w:t>
      </w:r>
      <w:r>
        <w:rPr>
          <w:bCs/>
          <w:b/>
        </w:rPr>
        <w:t xml:space="preserve">Phase 4</w:t>
      </w:r>
      <w:r>
        <w:t xml:space="preserve"> </w:t>
      </w:r>
      <w:r>
        <w:t xml:space="preserve">refers to studies of drugs that have already been approved. If you want to know what could come onto the market in the next five years, you need to look above all at phase 3.</w:t>
      </w:r>
    </w:p>
    <w:bookmarkStart w:id="2827" w:name="how-the-analysis-was-done"/>
    <w:p>
      <w:pPr>
        <w:pStyle w:val="Heading3"/>
      </w:pPr>
      <w:r>
        <w:t xml:space="preserve">How the analysis was done</w:t>
      </w:r>
    </w:p>
    <w:p>
      <w:pPr>
        <w:pStyle w:val="FirstParagraph"/>
      </w:pPr>
      <w:r>
        <w:t xml:space="preserve">The basis is the registry listings of ClinicalTrials.gov, which were queried for the 58 agents in this book in October 2026 (see Methodology in the appendix). A small analysis program filtered out all entries that</w:t>
      </w:r>
    </w:p>
    <w:p>
      <w:pPr>
        <w:numPr>
          <w:ilvl w:val="0"/>
          <w:numId w:val="1353"/>
        </w:numPr>
        <w:pStyle w:val="Compact"/>
      </w:pPr>
      <w:r>
        <w:t xml:space="preserve">describe an</w:t>
      </w:r>
      <w:r>
        <w:t xml:space="preserve"> </w:t>
      </w:r>
      <w:r>
        <w:rPr>
          <w:bCs/>
          <w:b/>
        </w:rPr>
        <w:t xml:space="preserve">interventional</w:t>
      </w:r>
      <w:r>
        <w:t xml:space="preserve"> </w:t>
      </w:r>
      <w:r>
        <w:t xml:space="preserve">study, that is, a study in which an agent is deliberately administered (not purely observational), and</w:t>
      </w:r>
    </w:p>
    <w:p>
      <w:pPr>
        <w:numPr>
          <w:ilvl w:val="0"/>
          <w:numId w:val="1353"/>
        </w:numPr>
        <w:pStyle w:val="Compact"/>
      </w:pPr>
      <w:r>
        <w:t xml:space="preserve">are marked as</w:t>
      </w:r>
      <w:r>
        <w:t xml:space="preserve"> </w:t>
      </w:r>
      <w:r>
        <w:rPr>
          <w:bCs/>
          <w:b/>
        </w:rPr>
        <w:t xml:space="preserve">ongoing</w:t>
      </w:r>
      <w:r>
        <w:t xml:space="preserve">: recruiting, active but not recruiting, not yet recruiting, or enrolling by invitation only.</w:t>
      </w:r>
    </w:p>
    <w:p>
      <w:pPr>
        <w:pStyle w:val="FirstParagraph"/>
      </w:pPr>
      <w:r>
        <w:t xml:space="preserve">Studies that appear under several agents – for example, a comparison of retatrutide with tirzepatide – were counted only once.</w:t>
      </w:r>
    </w:p>
    <w:p>
      <w:pPr>
        <w:pStyle w:val="BodyText"/>
      </w:pPr>
      <w:r>
        <w:rPr>
          <w:bCs/>
          <w:b/>
        </w:rPr>
        <w:t xml:space="preserve">What was excluded – and why:</w:t>
      </w:r>
    </w:p>
    <w:p>
      <w:pPr>
        <w:numPr>
          <w:ilvl w:val="0"/>
          <w:numId w:val="1354"/>
        </w:numPr>
        <w:pStyle w:val="Compact"/>
      </w:pPr>
      <w:r>
        <w:rPr>
          <w:bCs/>
          <w:b/>
        </w:rPr>
        <w:t xml:space="preserve">Eight entries from the sponsor</w:t>
      </w:r>
      <w:r>
        <w:rPr>
          <w:bCs/>
          <w:b/>
        </w:rPr>
        <w:t xml:space="preserve"> </w:t>
      </w:r>
      <w:r>
        <w:rPr>
          <w:bCs/>
          <w:b/>
        </w:rPr>
        <w:t xml:space="preserve">“</w:t>
      </w:r>
      <w:r>
        <w:rPr>
          <w:bCs/>
          <w:b/>
        </w:rPr>
        <w:t xml:space="preserve">Hudson Biotech</w:t>
      </w:r>
      <w:r>
        <w:rPr>
          <w:bCs/>
          <w:b/>
        </w:rPr>
        <w:t xml:space="preserve">”</w:t>
      </w:r>
      <w:r>
        <w:t xml:space="preserve"> </w:t>
      </w:r>
      <w:r>
        <w:t xml:space="preserve">(one each for BPC-157, GHK-Cu, Melanotan II, MOTS-c, retatrutide, TB-500, tesamorelin, and tirzepatide). One entry from this sponsor describes itself in its own description as a fictitious example (see the chapters BPC-157 and TB-500). None of these entries is counted as a genuine study in this book.</w:t>
      </w:r>
    </w:p>
    <w:p>
      <w:pPr>
        <w:numPr>
          <w:ilvl w:val="0"/>
          <w:numId w:val="1354"/>
        </w:numPr>
        <w:pStyle w:val="Compact"/>
      </w:pPr>
      <w:r>
        <w:rPr>
          <w:bCs/>
          <w:b/>
        </w:rPr>
        <w:t xml:space="preserve">All 1,000 hits for the search term</w:t>
      </w:r>
      <w:r>
        <w:rPr>
          <w:bCs/>
          <w:b/>
        </w:rPr>
        <w:t xml:space="preserve"> </w:t>
      </w:r>
      <w:r>
        <w:rPr>
          <w:bCs/>
          <w:b/>
        </w:rPr>
        <w:t xml:space="preserve">“</w:t>
      </w:r>
      <w:r>
        <w:rPr>
          <w:bCs/>
          <w:b/>
        </w:rPr>
        <w:t xml:space="preserve">gonadorelin.</w:t>
      </w:r>
      <w:r>
        <w:rPr>
          <w:bCs/>
          <w:b/>
        </w:rPr>
        <w:t xml:space="preserve">”</w:t>
      </w:r>
      <w:r>
        <w:t xml:space="preserve"> </w:t>
      </w:r>
      <w:r>
        <w:t xml:space="preserve">They overwhelmingly concern synthetic variants of the hormone GnRH (such as leuprorelin or triptorelin) in the treatment of prostate and breast cancer or in fertility medicine – that is, other drugs. The few entries on natural GnRH are discussed in the chapter Gonadorelin; none of them is an ongoing phase 3 trial.</w:t>
      </w:r>
    </w:p>
    <w:p>
      <w:pPr>
        <w:pStyle w:val="FirstParagraph"/>
      </w:pPr>
      <w:r>
        <w:rPr>
          <w:bCs/>
          <w:b/>
        </w:rPr>
        <w:t xml:space="preserve">What was not excluded, but checked:</w:t>
      </w:r>
      <w:r>
        <w:t xml:space="preserve"> </w:t>
      </w:r>
      <w:r>
        <w:t xml:space="preserve">For glutathione, collagen, and carnosine, the search terms are so general that many hits mention the substance only as a component of a mixture, as a comparator, or as a measured parameter. For example, a large dengue study appears under glutathione because it tests N-acetylcysteine – a precursor of glutathione</w:t>
      </w:r>
      <w:r>
        <w:rPr>
          <w:rStyle w:val="FootnoteReference"/>
        </w:rPr>
        <w:footnoteReference w:id="2825"/>
      </w:r>
      <w:r>
        <w:t xml:space="preserve">. Under larazotide, two studies on an entirely different agent for Fabry disease appear</w:t>
      </w:r>
      <w:r>
        <w:rPr>
          <w:rStyle w:val="FootnoteReference"/>
        </w:rPr>
        <w:footnoteReference w:id="2826"/>
      </w:r>
      <w:r>
        <w:t xml:space="preserve">. These hits are included in the total figures but are not counted as peptide studies in the assessment.</w:t>
      </w:r>
    </w:p>
    <w:p>
      <w:pPr>
        <w:pStyle w:val="BodyText"/>
      </w:pPr>
      <w:r>
        <w:rPr>
          <w:bCs/>
          <w:b/>
        </w:rPr>
        <w:t xml:space="preserve">Two limitations of the analysis:</w:t>
      </w:r>
      <w:r>
        <w:t xml:space="preserve"> </w:t>
      </w:r>
      <w:r>
        <w:t xml:space="preserve">First, not all sponsors report the completion of their study promptly; some entries with a completion date in 2025 are still listed as</w:t>
      </w:r>
      <w:r>
        <w:t xml:space="preserve"> </w:t>
      </w:r>
      <w:r>
        <w:t xml:space="preserve">“</w:t>
      </w:r>
      <w:r>
        <w:t xml:space="preserve">ongoing</w:t>
      </w:r>
      <w:r>
        <w:t xml:space="preserve">”</w:t>
      </w:r>
      <w:r>
        <w:t xml:space="preserve"> </w:t>
      </w:r>
      <w:r>
        <w:t xml:space="preserve">in the registry. Second, the query covers only the 58 agents in this book. New molecules without their own chapter appear only if they are tested against one of these agents. This is why a targeted additional search was carried out for the new mechanisms of action further below.</w:t>
      </w:r>
    </w:p>
    <w:bookmarkEnd w:id="2827"/>
    <w:bookmarkStart w:id="2835" w:name="the-result-in-figures"/>
    <w:p>
      <w:pPr>
        <w:pStyle w:val="Heading3"/>
      </w:pPr>
      <w:r>
        <w:t xml:space="preserve">The result in figures</w:t>
      </w:r>
    </w:p>
    <w:p>
      <w:pPr>
        <w:pStyle w:val="FirstParagraph"/>
      </w:pPr>
      <w:r>
        <w:t xml:space="preserve">After the exclusions, 730 ongoing interventional studies remained. Of these, 568 – a good three-quarters – concern agents in Group A (metabolism and weight).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Ongoing studies in total</w:t>
            </w:r>
          </w:p>
        </w:tc>
        <w:tc>
          <w:tcPr/>
          <w:p>
            <w:pPr>
              <w:pStyle w:val="Compact"/>
              <w:jc w:val="left"/>
            </w:pPr>
            <w:r>
              <w:t xml:space="preserve">Of which Group A</w:t>
            </w:r>
          </w:p>
        </w:tc>
      </w:tr>
      <w:tr>
        <w:tc>
          <w:tcPr/>
          <w:p>
            <w:pPr>
              <w:pStyle w:val="Compact"/>
              <w:jc w:val="left"/>
            </w:pPr>
            <w:r>
              <w:t xml:space="preserve">Phase 1</w:t>
            </w:r>
          </w:p>
        </w:tc>
        <w:tc>
          <w:tcPr/>
          <w:p>
            <w:pPr>
              <w:pStyle w:val="Compact"/>
              <w:jc w:val="left"/>
            </w:pPr>
            <w:r>
              <w:t xml:space="preserve">80</w:t>
            </w:r>
          </w:p>
        </w:tc>
        <w:tc>
          <w:tcPr/>
          <w:p>
            <w:pPr>
              <w:pStyle w:val="Compact"/>
              <w:jc w:val="left"/>
            </w:pPr>
            <w:r>
              <w:t xml:space="preserve">55</w:t>
            </w:r>
          </w:p>
        </w:tc>
      </w:tr>
      <w:tr>
        <w:tc>
          <w:tcPr/>
          <w:p>
            <w:pPr>
              <w:pStyle w:val="Compact"/>
              <w:jc w:val="left"/>
            </w:pPr>
            <w:r>
              <w:t xml:space="preserve">Phase 1/2</w:t>
            </w:r>
          </w:p>
        </w:tc>
        <w:tc>
          <w:tcPr/>
          <w:p>
            <w:pPr>
              <w:pStyle w:val="Compact"/>
              <w:jc w:val="left"/>
            </w:pPr>
            <w:r>
              <w:t xml:space="preserve">19</w:t>
            </w:r>
          </w:p>
        </w:tc>
        <w:tc>
          <w:tcPr/>
          <w:p>
            <w:pPr>
              <w:pStyle w:val="Compact"/>
              <w:jc w:val="left"/>
            </w:pPr>
            <w:r>
              <w:t xml:space="preserve">16</w:t>
            </w:r>
          </w:p>
        </w:tc>
      </w:tr>
      <w:tr>
        <w:tc>
          <w:tcPr/>
          <w:p>
            <w:pPr>
              <w:pStyle w:val="Compact"/>
              <w:jc w:val="left"/>
            </w:pPr>
            <w:r>
              <w:t xml:space="preserve">Phase 2</w:t>
            </w:r>
          </w:p>
        </w:tc>
        <w:tc>
          <w:tcPr/>
          <w:p>
            <w:pPr>
              <w:pStyle w:val="Compact"/>
              <w:jc w:val="left"/>
            </w:pPr>
            <w:r>
              <w:t xml:space="preserve">179</w:t>
            </w:r>
          </w:p>
        </w:tc>
        <w:tc>
          <w:tcPr/>
          <w:p>
            <w:pPr>
              <w:pStyle w:val="Compact"/>
              <w:jc w:val="left"/>
            </w:pPr>
            <w:r>
              <w:t xml:space="preserve">125</w:t>
            </w:r>
          </w:p>
        </w:tc>
      </w:tr>
      <w:tr>
        <w:tc>
          <w:tcPr/>
          <w:p>
            <w:pPr>
              <w:pStyle w:val="Compact"/>
              <w:jc w:val="left"/>
            </w:pPr>
            <w:r>
              <w:t xml:space="preserve">Phase 2/3</w:t>
            </w:r>
          </w:p>
        </w:tc>
        <w:tc>
          <w:tcPr/>
          <w:p>
            <w:pPr>
              <w:pStyle w:val="Compact"/>
              <w:jc w:val="left"/>
            </w:pPr>
            <w:r>
              <w:t xml:space="preserve">19</w:t>
            </w:r>
          </w:p>
        </w:tc>
        <w:tc>
          <w:tcPr/>
          <w:p>
            <w:pPr>
              <w:pStyle w:val="Compact"/>
              <w:jc w:val="left"/>
            </w:pPr>
            <w:r>
              <w:t xml:space="preserve">15</w:t>
            </w:r>
          </w:p>
        </w:tc>
      </w:tr>
      <w:tr>
        <w:tc>
          <w:tcPr/>
          <w:p>
            <w:pPr>
              <w:pStyle w:val="Compact"/>
              <w:jc w:val="left"/>
            </w:pPr>
            <w:r>
              <w:t xml:space="preserve">Phase 3</w:t>
            </w:r>
          </w:p>
        </w:tc>
        <w:tc>
          <w:tcPr/>
          <w:p>
            <w:pPr>
              <w:pStyle w:val="Compact"/>
              <w:jc w:val="left"/>
            </w:pPr>
            <w:r>
              <w:t xml:space="preserve">157</w:t>
            </w:r>
          </w:p>
        </w:tc>
        <w:tc>
          <w:tcPr/>
          <w:p>
            <w:pPr>
              <w:pStyle w:val="Compact"/>
              <w:jc w:val="left"/>
            </w:pPr>
            <w:r>
              <w:t xml:space="preserve">142</w:t>
            </w:r>
          </w:p>
        </w:tc>
      </w:tr>
      <w:tr>
        <w:tc>
          <w:tcPr/>
          <w:p>
            <w:pPr>
              <w:pStyle w:val="Compact"/>
              <w:jc w:val="left"/>
            </w:pPr>
            <w:r>
              <w:t xml:space="preserve">Phase 4</w:t>
            </w:r>
          </w:p>
        </w:tc>
        <w:tc>
          <w:tcPr/>
          <w:p>
            <w:pPr>
              <w:pStyle w:val="Compact"/>
              <w:jc w:val="left"/>
            </w:pPr>
            <w:r>
              <w:t xml:space="preserve">140</w:t>
            </w:r>
          </w:p>
        </w:tc>
        <w:tc>
          <w:tcPr/>
          <w:p>
            <w:pPr>
              <w:pStyle w:val="Compact"/>
              <w:jc w:val="left"/>
            </w:pPr>
            <w:r>
              <w:t xml:space="preserve">132</w:t>
            </w:r>
          </w:p>
        </w:tc>
      </w:tr>
      <w:tr>
        <w:tc>
          <w:tcPr/>
          <w:p>
            <w:pPr>
              <w:pStyle w:val="Compact"/>
              <w:jc w:val="left"/>
            </w:pPr>
            <w:r>
              <w:t xml:space="preserve">No phase specified</w:t>
            </w:r>
          </w:p>
        </w:tc>
        <w:tc>
          <w:tcPr/>
          <w:p>
            <w:pPr>
              <w:pStyle w:val="Compact"/>
              <w:jc w:val="left"/>
            </w:pPr>
            <w:r>
              <w:t xml:space="preserve">136</w:t>
            </w:r>
          </w:p>
        </w:tc>
        <w:tc>
          <w:tcPr/>
          <w:p>
            <w:pPr>
              <w:pStyle w:val="Compact"/>
              <w:jc w:val="left"/>
            </w:pPr>
            <w:r>
              <w:t xml:space="preserve">83</w:t>
            </w:r>
          </w:p>
        </w:tc>
      </w:tr>
      <w:tr>
        <w:tc>
          <w:tcPr/>
          <w:p>
            <w:pPr>
              <w:pStyle w:val="Compact"/>
              <w:jc w:val="left"/>
            </w:pPr>
            <w:r>
              <w:rPr>
                <w:bCs/>
                <w:b/>
              </w:rPr>
              <w:t xml:space="preserve">Total</w:t>
            </w:r>
          </w:p>
        </w:tc>
        <w:tc>
          <w:tcPr/>
          <w:p>
            <w:pPr>
              <w:pStyle w:val="Compact"/>
              <w:jc w:val="left"/>
            </w:pPr>
            <w:r>
              <w:rPr>
                <w:bCs/>
                <w:b/>
              </w:rPr>
              <w:t xml:space="preserve">730</w:t>
            </w:r>
          </w:p>
        </w:tc>
        <w:tc>
          <w:tcPr/>
          <w:p>
            <w:pPr>
              <w:pStyle w:val="Compact"/>
              <w:jc w:val="left"/>
            </w:pPr>
            <w:r>
              <w:rPr>
                <w:bCs/>
                <w:b/>
              </w:rPr>
              <w:t xml:space="preserve">568</w:t>
            </w:r>
          </w:p>
        </w:tc>
      </w:tr>
    </w:tbl>
    <w:p>
      <w:pPr>
        <w:pStyle w:val="BodyText"/>
      </w:pPr>
      <w:r>
        <w:t xml:space="preserve">Of the 157 ongoing phase 3 trials, 68 were still recruiting, 54 were active without further enrollment, and 35 had not yet started. Adding the combined phase 2/3 studies, there are 176 late-stage studies; 157 of them (142 in phase 3, 15 in phase 2/3) – almost nine out of ten – belong to Group A.</w:t>
      </w:r>
    </w:p>
    <w:p>
      <w:pPr>
        <w:pStyle w:val="BodyText"/>
      </w:pPr>
      <w:r>
        <w:t xml:space="preserve">In Group A, roughly one in three of these late-stage studies is run by universities and hospitals, the rest by companies. The planned completion dates are distributed as follows: 21 studies are scheduled to end in 2026, 49 in 2027, 41 in 2028, and 44 between 2029 and 2033. The real wave of new results is therefore still to come in 2027 and 2028.</w:t>
      </w:r>
    </w:p>
    <w:p>
      <w:pPr>
        <w:pStyle w:val="BodyText"/>
      </w:pPr>
      <w:r>
        <w:rPr>
          <w:bCs/>
          <w:b/>
        </w:rPr>
        <w:t xml:space="preserve">Groups B to F</w:t>
      </w:r>
      <w:r>
        <w:t xml:space="preserve"> </w:t>
      </w:r>
      <w:r>
        <w:t xml:space="preserve">look completely different. After reviewing the entries, only five ongoing phase 3 trials remain in which an agent from this book is actually the investigational product: thymosin alpha-1 after colorectal cancer surgery</w:t>
      </w:r>
      <w:r>
        <w:rPr>
          <w:rStyle w:val="FootnoteReference"/>
        </w:rPr>
        <w:footnoteReference w:id="2828"/>
      </w:r>
      <w:r>
        <w:t xml:space="preserve">, thymosin beta-4 eye drops for neurotrophic keratopathy</w:t>
      </w:r>
      <w:r>
        <w:rPr>
          <w:rStyle w:val="FootnoteReference"/>
        </w:rPr>
        <w:footnoteReference w:id="2829"/>
      </w:r>
      <w:r>
        <w:t xml:space="preserve">, elamipretide for dry macular degeneration</w:t>
      </w:r>
      <w:r>
        <w:rPr>
          <w:rStyle w:val="FootnoteReference"/>
        </w:rPr>
        <w:footnoteReference w:id="2830"/>
      </w:r>
      <w:r>
        <w:t xml:space="preserve">, afamelanotide for vitiligo</w:t>
      </w:r>
      <w:r>
        <w:rPr>
          <w:rStyle w:val="FootnoteReference"/>
        </w:rPr>
        <w:footnoteReference w:id="2831"/>
      </w:r>
      <w:r>
        <w:t xml:space="preserve">, and ibutamoren, which is not a peptide, in children with growth hormone deficiency</w:t>
      </w:r>
      <w:r>
        <w:rPr>
          <w:rStyle w:val="FootnoteReference"/>
        </w:rPr>
        <w:footnoteReference w:id="2832"/>
      </w:r>
      <w:r>
        <w:t xml:space="preserve">. In addition, there are some combined phase 2/3 studies, for example on oxytocin nasal spray for chronic pain</w:t>
      </w:r>
      <w:r>
        <w:rPr>
          <w:rStyle w:val="FootnoteReference"/>
        </w:rPr>
        <w:footnoteReference w:id="2833"/>
      </w:r>
      <w:r>
        <w:t xml:space="preserve"> </w:t>
      </w:r>
      <w:r>
        <w:t xml:space="preserve">and on thymosin alpha-1 for recurrent implantation failure after in vitro fertilization</w:t>
      </w:r>
      <w:r>
        <w:rPr>
          <w:rStyle w:val="FootnoteReference"/>
        </w:rPr>
        <w:footnoteReference w:id="2834"/>
      </w:r>
      <w:r>
        <w:t xml:space="preserve">. For the</w:t>
      </w:r>
      <w:r>
        <w:t xml:space="preserve"> </w:t>
      </w:r>
      <w:r>
        <w:t xml:space="preserve">“</w:t>
      </w:r>
      <w:r>
        <w:t xml:space="preserve">research peptides</w:t>
      </w:r>
      <w:r>
        <w:t xml:space="preserve">”</w:t>
      </w:r>
      <w:r>
        <w:t xml:space="preserve"> </w:t>
      </w:r>
      <w:r>
        <w:t xml:space="preserve">most popular on the internet – BPC-157, CJC-1295, ipamorelin, Epitalon, Semax, Selank – not a single phase 3 trial is ongoing.</w:t>
      </w:r>
    </w:p>
    <w:bookmarkEnd w:id="2835"/>
    <w:bookmarkStart w:id="2836" w:name="X0854cbdfbccb707544c438548b0a4332a85d8a4"/>
    <w:p>
      <w:pPr>
        <w:pStyle w:val="Heading3"/>
      </w:pPr>
      <w:r>
        <w:t xml:space="preserve">The most important ongoing phase 3 trials</w:t>
      </w:r>
    </w:p>
    <w:p>
      <w:pPr>
        <w:pStyle w:val="FirstParagraph"/>
      </w:pPr>
      <w:r>
        <w:t xml:space="preserve">The following tables show a selection by size and importance.</w:t>
      </w:r>
      <w:r>
        <w:t xml:space="preserve"> </w:t>
      </w:r>
      <w:r>
        <w:t xml:space="preserve">“</w:t>
      </w:r>
      <w:r>
        <w:t xml:space="preserve">Expected completion</w:t>
      </w:r>
      <w:r>
        <w:t xml:space="preserve">”</w:t>
      </w:r>
      <w:r>
        <w:t xml:space="preserve"> </w:t>
      </w:r>
      <w:r>
        <w:t xml:space="preserve">is the study completion date given in the registry (as of October 2026); the primary endpoint is often analyzed a few months earlier, and publications usually follow six months to a year later.</w:t>
      </w:r>
    </w:p>
    <w:p>
      <w:pPr>
        <w:pStyle w:val="BodyText"/>
      </w:pPr>
      <w:r>
        <w:rPr>
          <w:bCs/>
          <w:b/>
        </w:rPr>
        <w:t xml:space="preserve">Metabolism and weight (Group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 / NCT</w:t>
            </w:r>
          </w:p>
        </w:tc>
        <w:tc>
          <w:tcPr/>
          <w:p>
            <w:pPr>
              <w:pStyle w:val="Compact"/>
              <w:jc w:val="left"/>
            </w:pPr>
            <w:r>
              <w:t xml:space="preserve">Agent</w:t>
            </w:r>
          </w:p>
        </w:tc>
        <w:tc>
          <w:tcPr/>
          <w:p>
            <w:pPr>
              <w:pStyle w:val="Compact"/>
              <w:jc w:val="left"/>
            </w:pPr>
            <w:r>
              <w:t xml:space="preserve">Research question</w:t>
            </w:r>
          </w:p>
        </w:tc>
        <w:tc>
          <w:tcPr/>
          <w:p>
            <w:pPr>
              <w:pStyle w:val="Compact"/>
              <w:jc w:val="left"/>
            </w:pPr>
            <w:r>
              <w:t xml:space="preserve">Expected completion</w:t>
            </w:r>
          </w:p>
        </w:tc>
      </w:tr>
      <w:tr>
        <w:tc>
          <w:tcPr/>
          <w:p>
            <w:pPr>
              <w:pStyle w:val="Compact"/>
              <w:jc w:val="left"/>
            </w:pPr>
            <w:r>
              <w:t xml:space="preserve">TRIUMPH-5, NCT06662383</w:t>
            </w:r>
          </w:p>
        </w:tc>
        <w:tc>
          <w:tcPr/>
          <w:p>
            <w:pPr>
              <w:pStyle w:val="Compact"/>
              <w:jc w:val="left"/>
            </w:pPr>
            <w:r>
              <w:t xml:space="preserve">Retatrutide vs. tirzepatide</w:t>
            </w:r>
          </w:p>
        </w:tc>
        <w:tc>
          <w:tcPr/>
          <w:p>
            <w:pPr>
              <w:pStyle w:val="Compact"/>
              <w:jc w:val="left"/>
            </w:pPr>
            <w:r>
              <w:t xml:space="preserve">weight loss, 800 adults</w:t>
            </w:r>
          </w:p>
        </w:tc>
        <w:tc>
          <w:tcPr/>
          <w:p>
            <w:pPr>
              <w:pStyle w:val="Compact"/>
              <w:jc w:val="left"/>
            </w:pPr>
            <w:r>
              <w:t xml:space="preserve">December 2026</w:t>
            </w:r>
          </w:p>
        </w:tc>
      </w:tr>
      <w:tr>
        <w:tc>
          <w:tcPr/>
          <w:p>
            <w:pPr>
              <w:pStyle w:val="Compact"/>
              <w:jc w:val="left"/>
            </w:pPr>
            <w:r>
              <w:t xml:space="preserve">MARITIME-1, NCT06858839</w:t>
            </w:r>
          </w:p>
        </w:tc>
        <w:tc>
          <w:tcPr/>
          <w:p>
            <w:pPr>
              <w:pStyle w:val="Compact"/>
              <w:jc w:val="left"/>
            </w:pPr>
            <w:r>
              <w:t xml:space="preserve">Maridebart cafraglutide</w:t>
            </w:r>
          </w:p>
        </w:tc>
        <w:tc>
          <w:tcPr/>
          <w:p>
            <w:pPr>
              <w:pStyle w:val="Compact"/>
              <w:jc w:val="left"/>
            </w:pPr>
            <w:r>
              <w:t xml:space="preserve">weight loss without diabetes, 3,853 participants</w:t>
            </w:r>
          </w:p>
        </w:tc>
        <w:tc>
          <w:tcPr/>
          <w:p>
            <w:pPr>
              <w:pStyle w:val="Compact"/>
              <w:jc w:val="left"/>
            </w:pPr>
            <w:r>
              <w:t xml:space="preserve">April 2027</w:t>
            </w:r>
          </w:p>
        </w:tc>
      </w:tr>
      <w:tr>
        <w:tc>
          <w:tcPr/>
          <w:p>
            <w:pPr>
              <w:pStyle w:val="Compact"/>
              <w:jc w:val="left"/>
            </w:pPr>
            <w:r>
              <w:t xml:space="preserve">SURMOUNT-MMO, NCT05556512</w:t>
            </w:r>
          </w:p>
        </w:tc>
        <w:tc>
          <w:tcPr/>
          <w:p>
            <w:pPr>
              <w:pStyle w:val="Compact"/>
              <w:jc w:val="left"/>
            </w:pPr>
            <w:r>
              <w:t xml:space="preserve">Tirzepatide</w:t>
            </w:r>
          </w:p>
        </w:tc>
        <w:tc>
          <w:tcPr/>
          <w:p>
            <w:pPr>
              <w:pStyle w:val="Compact"/>
              <w:jc w:val="left"/>
            </w:pPr>
            <w:r>
              <w:t xml:space="preserve">cardiovascular events and death, 15,374 participants</w:t>
            </w:r>
          </w:p>
        </w:tc>
        <w:tc>
          <w:tcPr/>
          <w:p>
            <w:pPr>
              <w:pStyle w:val="Compact"/>
              <w:jc w:val="left"/>
            </w:pPr>
            <w:r>
              <w:t xml:space="preserve">October 2027</w:t>
            </w:r>
          </w:p>
        </w:tc>
      </w:tr>
      <w:tr>
        <w:tc>
          <w:tcPr/>
          <w:p>
            <w:pPr>
              <w:pStyle w:val="Compact"/>
              <w:jc w:val="left"/>
            </w:pPr>
            <w:r>
              <w:t xml:space="preserve">REDEFINE 3, NCT05669755</w:t>
            </w:r>
          </w:p>
        </w:tc>
        <w:tc>
          <w:tcPr/>
          <w:p>
            <w:pPr>
              <w:pStyle w:val="Compact"/>
              <w:jc w:val="left"/>
            </w:pPr>
            <w:r>
              <w:t xml:space="preserve">CagriSema</w:t>
            </w:r>
          </w:p>
        </w:tc>
        <w:tc>
          <w:tcPr/>
          <w:p>
            <w:pPr>
              <w:pStyle w:val="Compact"/>
              <w:jc w:val="left"/>
            </w:pPr>
            <w:r>
              <w:t xml:space="preserve">cardiovascular events, 7,101 participants</w:t>
            </w:r>
          </w:p>
        </w:tc>
        <w:tc>
          <w:tcPr/>
          <w:p>
            <w:pPr>
              <w:pStyle w:val="Compact"/>
              <w:jc w:val="left"/>
            </w:pPr>
            <w:r>
              <w:t xml:space="preserve">October 2027</w:t>
            </w:r>
          </w:p>
        </w:tc>
      </w:tr>
      <w:tr>
        <w:tc>
          <w:tcPr/>
          <w:p>
            <w:pPr>
              <w:pStyle w:val="Compact"/>
              <w:jc w:val="left"/>
            </w:pPr>
            <w:r>
              <w:t xml:space="preserve">NCT07564414</w:t>
            </w:r>
          </w:p>
        </w:tc>
        <w:tc>
          <w:tcPr/>
          <w:p>
            <w:pPr>
              <w:pStyle w:val="Compact"/>
              <w:jc w:val="left"/>
            </w:pPr>
            <w:r>
              <w:t xml:space="preserve">CagriSema (higher doses) vs. semaglutide</w:t>
            </w:r>
          </w:p>
        </w:tc>
        <w:tc>
          <w:tcPr/>
          <w:p>
            <w:pPr>
              <w:pStyle w:val="Compact"/>
              <w:jc w:val="left"/>
            </w:pPr>
            <w:r>
              <w:t xml:space="preserve">weight loss, 2,500 participants</w:t>
            </w:r>
          </w:p>
        </w:tc>
        <w:tc>
          <w:tcPr/>
          <w:p>
            <w:pPr>
              <w:pStyle w:val="Compact"/>
              <w:jc w:val="left"/>
            </w:pPr>
            <w:r>
              <w:t xml:space="preserve">April 2028</w:t>
            </w:r>
          </w:p>
        </w:tc>
      </w:tr>
      <w:tr>
        <w:tc>
          <w:tcPr/>
          <w:p>
            <w:pPr>
              <w:pStyle w:val="Compact"/>
              <w:jc w:val="left"/>
            </w:pPr>
            <w:r>
              <w:t xml:space="preserve">TRIUMPH-6, NCT06859268</w:t>
            </w:r>
          </w:p>
        </w:tc>
        <w:tc>
          <w:tcPr/>
          <w:p>
            <w:pPr>
              <w:pStyle w:val="Compact"/>
              <w:jc w:val="left"/>
            </w:pPr>
            <w:r>
              <w:t xml:space="preserve">Retatrutide</w:t>
            </w:r>
          </w:p>
        </w:tc>
        <w:tc>
          <w:tcPr/>
          <w:p>
            <w:pPr>
              <w:pStyle w:val="Compact"/>
              <w:jc w:val="left"/>
            </w:pPr>
            <w:r>
              <w:t xml:space="preserve">weight maintenance after loss, 643 participants</w:t>
            </w:r>
          </w:p>
        </w:tc>
        <w:tc>
          <w:tcPr/>
          <w:p>
            <w:pPr>
              <w:pStyle w:val="Compact"/>
              <w:jc w:val="left"/>
            </w:pPr>
            <w:r>
              <w:t xml:space="preserve">April 2028</w:t>
            </w:r>
          </w:p>
        </w:tc>
      </w:tr>
      <w:tr>
        <w:tc>
          <w:tcPr/>
          <w:p>
            <w:pPr>
              <w:pStyle w:val="Compact"/>
              <w:jc w:val="left"/>
            </w:pPr>
            <w:r>
              <w:t xml:space="preserve">TRIUMPH-Outcomes, NCT06383390</w:t>
            </w:r>
          </w:p>
        </w:tc>
        <w:tc>
          <w:tcPr/>
          <w:p>
            <w:pPr>
              <w:pStyle w:val="Compact"/>
              <w:jc w:val="left"/>
            </w:pPr>
            <w:r>
              <w:t xml:space="preserve">Retatrutide</w:t>
            </w:r>
          </w:p>
        </w:tc>
        <w:tc>
          <w:tcPr/>
          <w:p>
            <w:pPr>
              <w:pStyle w:val="Compact"/>
              <w:jc w:val="left"/>
            </w:pPr>
            <w:r>
              <w:t xml:space="preserve">cardiac and kidney events, 10,000 participants</w:t>
            </w:r>
          </w:p>
        </w:tc>
        <w:tc>
          <w:tcPr/>
          <w:p>
            <w:pPr>
              <w:pStyle w:val="Compact"/>
              <w:jc w:val="left"/>
            </w:pPr>
            <w:r>
              <w:t xml:space="preserve">February 2029</w:t>
            </w:r>
          </w:p>
        </w:tc>
      </w:tr>
      <w:tr>
        <w:tc>
          <w:tcPr/>
          <w:p>
            <w:pPr>
              <w:pStyle w:val="Compact"/>
              <w:jc w:val="left"/>
            </w:pPr>
            <w:r>
              <w:t xml:space="preserve">ESSENCE, NCT04822181</w:t>
            </w:r>
          </w:p>
        </w:tc>
        <w:tc>
          <w:tcPr/>
          <w:p>
            <w:pPr>
              <w:pStyle w:val="Compact"/>
              <w:jc w:val="left"/>
            </w:pPr>
            <w:r>
              <w:t xml:space="preserve">Semaglutide</w:t>
            </w:r>
          </w:p>
        </w:tc>
        <w:tc>
          <w:tcPr/>
          <w:p>
            <w:pPr>
              <w:pStyle w:val="Compact"/>
              <w:jc w:val="left"/>
            </w:pPr>
            <w:r>
              <w:t xml:space="preserve">fatty liver disease (MASH), 1,205 participants</w:t>
            </w:r>
          </w:p>
        </w:tc>
        <w:tc>
          <w:tcPr/>
          <w:p>
            <w:pPr>
              <w:pStyle w:val="Compact"/>
              <w:jc w:val="left"/>
            </w:pPr>
            <w:r>
              <w:t xml:space="preserve">April 2029</w:t>
            </w:r>
          </w:p>
        </w:tc>
      </w:tr>
      <w:tr>
        <w:tc>
          <w:tcPr/>
          <w:p>
            <w:pPr>
              <w:pStyle w:val="Compact"/>
              <w:jc w:val="left"/>
            </w:pPr>
            <w:r>
              <w:t xml:space="preserve">LIVERAGE-Cirrhosis, NCT06632457</w:t>
            </w:r>
          </w:p>
        </w:tc>
        <w:tc>
          <w:tcPr/>
          <w:p>
            <w:pPr>
              <w:pStyle w:val="Compact"/>
              <w:jc w:val="left"/>
            </w:pPr>
            <w:r>
              <w:t xml:space="preserve">Survodutide</w:t>
            </w:r>
          </w:p>
        </w:tc>
        <w:tc>
          <w:tcPr/>
          <w:p>
            <w:pPr>
              <w:pStyle w:val="Compact"/>
              <w:jc w:val="left"/>
            </w:pPr>
            <w:r>
              <w:t xml:space="preserve">liver complications in cirrhosis, 1,590 participants</w:t>
            </w:r>
          </w:p>
        </w:tc>
        <w:tc>
          <w:tcPr/>
          <w:p>
            <w:pPr>
              <w:pStyle w:val="Compact"/>
              <w:jc w:val="left"/>
            </w:pPr>
            <w:r>
              <w:t xml:space="preserve">June 2029</w:t>
            </w:r>
          </w:p>
        </w:tc>
      </w:tr>
      <w:tr>
        <w:tc>
          <w:tcPr/>
          <w:p>
            <w:pPr>
              <w:pStyle w:val="Compact"/>
              <w:jc w:val="left"/>
            </w:pPr>
            <w:r>
              <w:t xml:space="preserve">AMAZE 1, NCT07339423</w:t>
            </w:r>
          </w:p>
        </w:tc>
        <w:tc>
          <w:tcPr/>
          <w:p>
            <w:pPr>
              <w:pStyle w:val="Compact"/>
              <w:jc w:val="left"/>
            </w:pPr>
            <w:r>
              <w:t xml:space="preserve">Amycretin (zenagamtide)</w:t>
            </w:r>
          </w:p>
        </w:tc>
        <w:tc>
          <w:tcPr/>
          <w:p>
            <w:pPr>
              <w:pStyle w:val="Compact"/>
              <w:jc w:val="left"/>
            </w:pPr>
            <w:r>
              <w:t xml:space="preserve">weight loss, 1,150 participants</w:t>
            </w:r>
          </w:p>
        </w:tc>
        <w:tc>
          <w:tcPr/>
          <w:p>
            <w:pPr>
              <w:pStyle w:val="Compact"/>
              <w:jc w:val="left"/>
            </w:pPr>
            <w:r>
              <w:t xml:space="preserve">August 2029</w:t>
            </w:r>
          </w:p>
        </w:tc>
      </w:tr>
      <w:tr>
        <w:tc>
          <w:tcPr/>
          <w:p>
            <w:pPr>
              <w:pStyle w:val="Compact"/>
              <w:jc w:val="left"/>
            </w:pPr>
            <w:r>
              <w:t xml:space="preserve">MARITIME-CV, NCT07037433</w:t>
            </w:r>
          </w:p>
        </w:tc>
        <w:tc>
          <w:tcPr/>
          <w:p>
            <w:pPr>
              <w:pStyle w:val="Compact"/>
              <w:jc w:val="left"/>
            </w:pPr>
            <w:r>
              <w:t xml:space="preserve">Maridebart cafraglutide</w:t>
            </w:r>
          </w:p>
        </w:tc>
        <w:tc>
          <w:tcPr/>
          <w:p>
            <w:pPr>
              <w:pStyle w:val="Compact"/>
              <w:jc w:val="left"/>
            </w:pPr>
            <w:r>
              <w:t xml:space="preserve">cardiovascular events, 12,800 participants</w:t>
            </w:r>
          </w:p>
        </w:tc>
        <w:tc>
          <w:tcPr/>
          <w:p>
            <w:pPr>
              <w:pStyle w:val="Compact"/>
              <w:jc w:val="left"/>
            </w:pPr>
            <w:r>
              <w:t xml:space="preserve">September 2030</w:t>
            </w:r>
          </w:p>
        </w:tc>
      </w:tr>
      <w:tr>
        <w:tc>
          <w:tcPr/>
          <w:p>
            <w:pPr>
              <w:pStyle w:val="Compact"/>
              <w:jc w:val="left"/>
            </w:pPr>
            <w:r>
              <w:t xml:space="preserve">MARITIME-HF, NCT07037459</w:t>
            </w:r>
          </w:p>
        </w:tc>
        <w:tc>
          <w:tcPr/>
          <w:p>
            <w:pPr>
              <w:pStyle w:val="Compact"/>
              <w:jc w:val="left"/>
            </w:pPr>
            <w:r>
              <w:t xml:space="preserve">Maridebart cafraglutide</w:t>
            </w:r>
          </w:p>
        </w:tc>
        <w:tc>
          <w:tcPr/>
          <w:p>
            <w:pPr>
              <w:pStyle w:val="Compact"/>
              <w:jc w:val="left"/>
            </w:pPr>
            <w:r>
              <w:t xml:space="preserve">heart failure with obesity, 5,056 participants</w:t>
            </w:r>
          </w:p>
        </w:tc>
        <w:tc>
          <w:tcPr/>
          <w:p>
            <w:pPr>
              <w:pStyle w:val="Compact"/>
              <w:jc w:val="left"/>
            </w:pPr>
            <w:r>
              <w:t xml:space="preserve">September 2030</w:t>
            </w:r>
          </w:p>
        </w:tc>
      </w:tr>
      <w:tr>
        <w:tc>
          <w:tcPr/>
          <w:p>
            <w:pPr>
              <w:pStyle w:val="Compact"/>
              <w:jc w:val="left"/>
            </w:pPr>
            <w:r>
              <w:t xml:space="preserve">AMBIENCE, NCT07861100</w:t>
            </w:r>
          </w:p>
        </w:tc>
        <w:tc>
          <w:tcPr/>
          <w:p>
            <w:pPr>
              <w:pStyle w:val="Compact"/>
              <w:jc w:val="left"/>
            </w:pPr>
            <w:r>
              <w:t xml:space="preserve">Amycretin (zenagamtide)</w:t>
            </w:r>
          </w:p>
        </w:tc>
        <w:tc>
          <w:tcPr/>
          <w:p>
            <w:pPr>
              <w:pStyle w:val="Compact"/>
              <w:jc w:val="left"/>
            </w:pPr>
            <w:r>
              <w:t xml:space="preserve">cardiovascular events, 8,500 planned</w:t>
            </w:r>
          </w:p>
        </w:tc>
        <w:tc>
          <w:tcPr/>
          <w:p>
            <w:pPr>
              <w:pStyle w:val="Compact"/>
              <w:jc w:val="left"/>
            </w:pPr>
            <w:r>
              <w:t xml:space="preserve">September 2030</w:t>
            </w:r>
          </w:p>
        </w:tc>
      </w:tr>
      <w:tr>
        <w:tc>
          <w:tcPr/>
          <w:p>
            <w:pPr>
              <w:pStyle w:val="Compact"/>
              <w:jc w:val="left"/>
            </w:pPr>
            <w:r>
              <w:t xml:space="preserve">ATTAIN-Outcomes, NCT07241390</w:t>
            </w:r>
          </w:p>
        </w:tc>
        <w:tc>
          <w:tcPr/>
          <w:p>
            <w:pPr>
              <w:pStyle w:val="Compact"/>
              <w:jc w:val="left"/>
            </w:pPr>
            <w:r>
              <w:t xml:space="preserve">Orforglipron (not a peptide)</w:t>
            </w:r>
          </w:p>
        </w:tc>
        <w:tc>
          <w:tcPr/>
          <w:p>
            <w:pPr>
              <w:pStyle w:val="Compact"/>
              <w:jc w:val="left"/>
            </w:pPr>
            <w:r>
              <w:t xml:space="preserve">cardiovascular events, 7,140 participants</w:t>
            </w:r>
          </w:p>
        </w:tc>
        <w:tc>
          <w:tcPr/>
          <w:p>
            <w:pPr>
              <w:pStyle w:val="Compact"/>
              <w:jc w:val="left"/>
            </w:pPr>
            <w:r>
              <w:t xml:space="preserve">August 2031</w:t>
            </w:r>
          </w:p>
        </w:tc>
      </w:tr>
      <w:tr>
        <w:tc>
          <w:tcPr/>
          <w:p>
            <w:pPr>
              <w:pStyle w:val="Compact"/>
              <w:jc w:val="left"/>
            </w:pPr>
            <w:r>
              <w:t xml:space="preserve">LIVERAGE, NCT06632444</w:t>
            </w:r>
          </w:p>
        </w:tc>
        <w:tc>
          <w:tcPr/>
          <w:p>
            <w:pPr>
              <w:pStyle w:val="Compact"/>
              <w:jc w:val="left"/>
            </w:pPr>
            <w:r>
              <w:t xml:space="preserve">Survodutide</w:t>
            </w:r>
          </w:p>
        </w:tc>
        <w:tc>
          <w:tcPr/>
          <w:p>
            <w:pPr>
              <w:pStyle w:val="Compact"/>
              <w:jc w:val="left"/>
            </w:pPr>
            <w:r>
              <w:t xml:space="preserve">MASH with fibrosis, 1,800 participants</w:t>
            </w:r>
          </w:p>
        </w:tc>
        <w:tc>
          <w:tcPr/>
          <w:p>
            <w:pPr>
              <w:pStyle w:val="Compact"/>
              <w:jc w:val="left"/>
            </w:pPr>
            <w:r>
              <w:t xml:space="preserve">December 2031</w:t>
            </w:r>
          </w:p>
        </w:tc>
      </w:tr>
      <w:tr>
        <w:tc>
          <w:tcPr/>
          <w:p>
            <w:pPr>
              <w:pStyle w:val="Compact"/>
              <w:jc w:val="left"/>
            </w:pPr>
            <w:r>
              <w:t xml:space="preserve">SYNERGY-Outcomes, NCT07165028</w:t>
            </w:r>
          </w:p>
        </w:tc>
        <w:tc>
          <w:tcPr/>
          <w:p>
            <w:pPr>
              <w:pStyle w:val="Compact"/>
              <w:jc w:val="left"/>
            </w:pPr>
            <w:r>
              <w:t xml:space="preserve">Tirzepatide and retatrutide</w:t>
            </w:r>
          </w:p>
        </w:tc>
        <w:tc>
          <w:tcPr/>
          <w:p>
            <w:pPr>
              <w:pStyle w:val="Compact"/>
              <w:jc w:val="left"/>
            </w:pPr>
            <w:r>
              <w:t xml:space="preserve">major liver events, 4,500 participants</w:t>
            </w:r>
          </w:p>
        </w:tc>
        <w:tc>
          <w:tcPr/>
          <w:p>
            <w:pPr>
              <w:pStyle w:val="Compact"/>
              <w:jc w:val="left"/>
            </w:pPr>
            <w:r>
              <w:t xml:space="preserve">August 2032</w:t>
            </w:r>
          </w:p>
        </w:tc>
      </w:tr>
    </w:tbl>
    <w:p>
      <w:pPr>
        <w:pStyle w:val="BodyText"/>
      </w:pPr>
      <w:r>
        <w:rPr>
          <w:bCs/>
          <w:b/>
        </w:rPr>
        <w:t xml:space="preserve">Other groups: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 / NCT</w:t>
            </w:r>
          </w:p>
        </w:tc>
        <w:tc>
          <w:tcPr/>
          <w:p>
            <w:pPr>
              <w:pStyle w:val="Compact"/>
              <w:jc w:val="left"/>
            </w:pPr>
            <w:r>
              <w:t xml:space="preserve">Agent</w:t>
            </w:r>
          </w:p>
        </w:tc>
        <w:tc>
          <w:tcPr/>
          <w:p>
            <w:pPr>
              <w:pStyle w:val="Compact"/>
              <w:jc w:val="left"/>
            </w:pPr>
            <w:r>
              <w:t xml:space="preserve">Research question</w:t>
            </w:r>
          </w:p>
        </w:tc>
        <w:tc>
          <w:tcPr/>
          <w:p>
            <w:pPr>
              <w:pStyle w:val="Compact"/>
              <w:jc w:val="left"/>
            </w:pPr>
            <w:r>
              <w:t xml:space="preserve">Expected completion</w:t>
            </w:r>
          </w:p>
        </w:tc>
      </w:tr>
      <w:tr>
        <w:tc>
          <w:tcPr/>
          <w:p>
            <w:pPr>
              <w:pStyle w:val="Compact"/>
              <w:jc w:val="left"/>
            </w:pPr>
            <w:r>
              <w:t xml:space="preserve">SEER-2, NCT05555589</w:t>
            </w:r>
          </w:p>
        </w:tc>
        <w:tc>
          <w:tcPr/>
          <w:p>
            <w:pPr>
              <w:pStyle w:val="Compact"/>
              <w:jc w:val="left"/>
            </w:pPr>
            <w:r>
              <w:t xml:space="preserve">Thymosin beta-4 (eye drops)</w:t>
            </w:r>
          </w:p>
        </w:tc>
        <w:tc>
          <w:tcPr/>
          <w:p>
            <w:pPr>
              <w:pStyle w:val="Compact"/>
              <w:jc w:val="left"/>
            </w:pPr>
            <w:r>
              <w:t xml:space="preserve">corneal healing, 70 participants</w:t>
            </w:r>
          </w:p>
        </w:tc>
        <w:tc>
          <w:tcPr/>
          <w:p>
            <w:pPr>
              <w:pStyle w:val="Compact"/>
              <w:jc w:val="left"/>
            </w:pPr>
            <w:r>
              <w:t xml:space="preserve">May 2026 (result pending)</w:t>
            </w:r>
          </w:p>
        </w:tc>
      </w:tr>
      <w:tr>
        <w:tc>
          <w:tcPr/>
          <w:p>
            <w:pPr>
              <w:pStyle w:val="Compact"/>
              <w:jc w:val="left"/>
            </w:pPr>
            <w:r>
              <w:t xml:space="preserve">NCT06109649</w:t>
            </w:r>
          </w:p>
        </w:tc>
        <w:tc>
          <w:tcPr/>
          <w:p>
            <w:pPr>
              <w:pStyle w:val="Compact"/>
              <w:jc w:val="left"/>
            </w:pPr>
            <w:r>
              <w:t xml:space="preserve">Afamelanotide</w:t>
            </w:r>
          </w:p>
        </w:tc>
        <w:tc>
          <w:tcPr/>
          <w:p>
            <w:pPr>
              <w:pStyle w:val="Compact"/>
              <w:jc w:val="left"/>
            </w:pPr>
            <w:r>
              <w:t xml:space="preserve">vitiligo with phototherapy, 200 participants</w:t>
            </w:r>
          </w:p>
        </w:tc>
        <w:tc>
          <w:tcPr/>
          <w:p>
            <w:pPr>
              <w:pStyle w:val="Compact"/>
              <w:jc w:val="left"/>
            </w:pPr>
            <w:r>
              <w:t xml:space="preserve">June 2026 (result pending)</w:t>
            </w:r>
          </w:p>
        </w:tc>
      </w:tr>
      <w:tr>
        <w:tc>
          <w:tcPr/>
          <w:p>
            <w:pPr>
              <w:pStyle w:val="Compact"/>
              <w:jc w:val="left"/>
            </w:pPr>
            <w:r>
              <w:t xml:space="preserve">NCT05086614</w:t>
            </w:r>
          </w:p>
        </w:tc>
        <w:tc>
          <w:tcPr/>
          <w:p>
            <w:pPr>
              <w:pStyle w:val="Compact"/>
              <w:jc w:val="left"/>
            </w:pPr>
            <w:r>
              <w:t xml:space="preserve">Thymosin alpha-1</w:t>
            </w:r>
          </w:p>
        </w:tc>
        <w:tc>
          <w:tcPr/>
          <w:p>
            <w:pPr>
              <w:pStyle w:val="Compact"/>
              <w:jc w:val="left"/>
            </w:pPr>
            <w:r>
              <w:t xml:space="preserve">disease-free survival after colorectal cancer, 2,500 participants</w:t>
            </w:r>
          </w:p>
        </w:tc>
        <w:tc>
          <w:tcPr/>
          <w:p>
            <w:pPr>
              <w:pStyle w:val="Compact"/>
              <w:jc w:val="left"/>
            </w:pPr>
            <w:r>
              <w:t xml:space="preserve">March 2027</w:t>
            </w:r>
          </w:p>
        </w:tc>
      </w:tr>
      <w:tr>
        <w:tc>
          <w:tcPr/>
          <w:p>
            <w:pPr>
              <w:pStyle w:val="Compact"/>
              <w:jc w:val="left"/>
            </w:pPr>
            <w:r>
              <w:t xml:space="preserve">ReNEW, NCT06373731</w:t>
            </w:r>
          </w:p>
        </w:tc>
        <w:tc>
          <w:tcPr/>
          <w:p>
            <w:pPr>
              <w:pStyle w:val="Compact"/>
              <w:jc w:val="left"/>
            </w:pPr>
            <w:r>
              <w:t xml:space="preserve">Elamipretide (SS-31)</w:t>
            </w:r>
          </w:p>
        </w:tc>
        <w:tc>
          <w:tcPr/>
          <w:p>
            <w:pPr>
              <w:pStyle w:val="Compact"/>
              <w:jc w:val="left"/>
            </w:pPr>
            <w:r>
              <w:t xml:space="preserve">dry macular degeneration, 313 participants</w:t>
            </w:r>
          </w:p>
        </w:tc>
        <w:tc>
          <w:tcPr/>
          <w:p>
            <w:pPr>
              <w:pStyle w:val="Compact"/>
              <w:jc w:val="left"/>
            </w:pPr>
            <w:r>
              <w:t xml:space="preserve">September 2027</w:t>
            </w:r>
          </w:p>
        </w:tc>
      </w:tr>
      <w:tr>
        <w:tc>
          <w:tcPr/>
          <w:p>
            <w:pPr>
              <w:pStyle w:val="Compact"/>
              <w:jc w:val="left"/>
            </w:pPr>
            <w:r>
              <w:t xml:space="preserve">NCT06948214</w:t>
            </w:r>
          </w:p>
        </w:tc>
        <w:tc>
          <w:tcPr/>
          <w:p>
            <w:pPr>
              <w:pStyle w:val="Compact"/>
              <w:jc w:val="left"/>
            </w:pPr>
            <w:r>
              <w:t xml:space="preserve">Ibutamoren (LUM-201, not a peptide)</w:t>
            </w:r>
          </w:p>
        </w:tc>
        <w:tc>
          <w:tcPr/>
          <w:p>
            <w:pPr>
              <w:pStyle w:val="Compact"/>
              <w:jc w:val="left"/>
            </w:pPr>
            <w:r>
              <w:t xml:space="preserve">growth in children with hormone deficiency, 150 participants</w:t>
            </w:r>
          </w:p>
        </w:tc>
        <w:tc>
          <w:tcPr/>
          <w:p>
            <w:pPr>
              <w:pStyle w:val="Compact"/>
              <w:jc w:val="left"/>
            </w:pPr>
            <w:r>
              <w:t xml:space="preserve">January 2028</w:t>
            </w:r>
          </w:p>
        </w:tc>
      </w:tr>
    </w:tbl>
    <w:p>
      <w:pPr>
        <w:pStyle w:val="BodyText"/>
      </w:pPr>
      <w:r>
        <w:t xml:space="preserve">Details on each study are given in the section</w:t>
      </w:r>
      <w:r>
        <w:t xml:space="preserve"> </w:t>
      </w:r>
      <w:r>
        <w:t xml:space="preserve">“</w:t>
      </w:r>
      <w:r>
        <w:t xml:space="preserve">Ongoing studies and outlook</w:t>
      </w:r>
      <w:r>
        <w:t xml:space="preserve">”</w:t>
      </w:r>
      <w:r>
        <w:t xml:space="preserve"> </w:t>
      </w:r>
      <w:r>
        <w:t xml:space="preserve">of the respective chapter.</w:t>
      </w:r>
    </w:p>
    <w:bookmarkEnd w:id="2836"/>
    <w:bookmarkStart w:id="2846" w:name="X7f835002284688093b42e313eb9e494aaba08e6"/>
    <w:p>
      <w:pPr>
        <w:pStyle w:val="Heading3"/>
      </w:pPr>
      <w:r>
        <w:t xml:space="preserve">What the registry reveals about the direction</w:t>
      </w:r>
    </w:p>
    <w:p>
      <w:pPr>
        <w:pStyle w:val="FirstParagraph"/>
      </w:pPr>
      <w:r>
        <w:rPr>
          <w:bCs/>
          <w:b/>
        </w:rPr>
        <w:t xml:space="preserve">From the scale to hard endpoints.</w:t>
      </w:r>
      <w:r>
        <w:t xml:space="preserve"> </w:t>
      </w:r>
      <w:r>
        <w:t xml:space="preserve">The first generation of weight-loss trials mainly measured kilograms. The large trials of the coming years ask whether heart attacks, strokes, heart failure, kidney failure, or liver cirrhosis become less frequent. All six ongoing phase 3 trials in Group A with more than 5,000 participants each are such outcome trials. For health insurers deciding on reimbursement, these results are more important than any record in weight loss.</w:t>
      </w:r>
    </w:p>
    <w:p>
      <w:pPr>
        <w:pStyle w:val="BodyText"/>
      </w:pPr>
      <w:r>
        <w:rPr>
          <w:bCs/>
          <w:b/>
        </w:rPr>
        <w:t xml:space="preserve">Head-to-head comparisons.</w:t>
      </w:r>
      <w:r>
        <w:t xml:space="preserve"> </w:t>
      </w:r>
      <w:r>
        <w:t xml:space="preserve">New agents increasingly have to measure up against the established ones, not just against placebo: retatrutide against tirzepatide</w:t>
      </w:r>
      <w:r>
        <w:rPr>
          <w:rStyle w:val="FootnoteReference"/>
        </w:rPr>
        <w:footnoteReference w:id="2837"/>
      </w:r>
      <w:r>
        <w:t xml:space="preserve">, zenagamtide against semaglutide (AMAZE 7, NCT07668414), maridebart cafraglutide against semaglutide in type 2 diabetes (MARITIME-T2D-3, NCT07866066). New companies are also competing directly: Roche is testing the GLP-1/GIP dual agonist enicepatide against tirzepatide</w:t>
      </w:r>
      <w:r>
        <w:rPr>
          <w:rStyle w:val="FootnoteReference"/>
        </w:rPr>
        <w:footnoteReference w:id="2838"/>
      </w:r>
      <w:r>
        <w:t xml:space="preserve">, the company Kailera the agent ribupatide against semaglutide (KaiNETIC-3, NCT07284979), and AstraZeneca the once-daily oral agent elecoglipron against the semaglutide tablet (Eluminate-2, NCT07662213).</w:t>
      </w:r>
    </w:p>
    <w:p>
      <w:pPr>
        <w:pStyle w:val="BodyText"/>
      </w:pPr>
      <w:r>
        <w:rPr>
          <w:bCs/>
          <w:b/>
        </w:rPr>
        <w:t xml:space="preserve">Maintaining weight rather than just losing it.</w:t>
      </w:r>
      <w:r>
        <w:t xml:space="preserve"> </w:t>
      </w:r>
      <w:r>
        <w:t xml:space="preserve">Several studies explicitly examine the period after weight loss: retatrutide for weight maintenance (TRIUMPH-6, NCT06859268), a long-term CagriSema study over two years plus extension</w:t>
      </w:r>
      <w:r>
        <w:rPr>
          <w:rStyle w:val="FootnoteReference"/>
        </w:rPr>
        <w:footnoteReference w:id="2839"/>
      </w:r>
      <w:r>
        <w:t xml:space="preserve">, switching from other GLP-1 drugs to the monthly maridebart cafraglutide</w:t>
      </w:r>
      <w:r>
        <w:rPr>
          <w:rStyle w:val="FootnoteReference"/>
        </w:rPr>
        <w:footnoteReference w:id="2840"/>
      </w:r>
      <w:r>
        <w:t xml:space="preserve"> </w:t>
      </w:r>
      <w:r>
        <w:t xml:space="preserve">or to berobenatide, a monthly injectable investigational agent from Pfizer</w:t>
      </w:r>
      <w:r>
        <w:rPr>
          <w:rStyle w:val="FootnoteReference"/>
        </w:rPr>
        <w:footnoteReference w:id="2841"/>
      </w:r>
      <w:r>
        <w:t xml:space="preserve">. The background is studies such as SURMOUNT-4: those who stopped tirzepatide after 36 weeks regained an average of 14.0% in the following year, while weight fell by a further 5.5% with continued treatment</w:t>
      </w:r>
      <w:r>
        <w:rPr>
          <w:rStyle w:val="FootnoteReference"/>
        </w:rPr>
        <w:footnoteReference w:id="2842"/>
      </w:r>
      <w:r>
        <w:t xml:space="preserve">.</w:t>
      </w:r>
    </w:p>
    <w:p>
      <w:pPr>
        <w:pStyle w:val="BodyText"/>
      </w:pPr>
      <w:r>
        <w:rPr>
          <w:bCs/>
          <w:b/>
        </w:rPr>
        <w:t xml:space="preserve">New countries, new molecules.</w:t>
      </w:r>
      <w:r>
        <w:t xml:space="preserve"> </w:t>
      </w:r>
      <w:r>
        <w:t xml:space="preserve">A large proportion of the new phase 3 trials comes from Chinese companies testing their own GLP-1-based agents against semaglutide or dulaglutide – for example, bofanglutide, injected every two weeks (BALANCE-OBS, NCT07622810), or the exendin-4 fusion protein JY09</w:t>
      </w:r>
      <w:r>
        <w:rPr>
          <w:rStyle w:val="FootnoteReference"/>
        </w:rPr>
        <w:footnoteReference w:id="2843"/>
      </w:r>
      <w:r>
        <w:t xml:space="preserve">. The market is therefore becoming broader, not just stronger.</w:t>
      </w:r>
    </w:p>
    <w:p>
      <w:pPr>
        <w:pStyle w:val="BodyText"/>
      </w:pPr>
      <w:r>
        <w:rPr>
          <w:bCs/>
          <w:b/>
        </w:rPr>
        <w:t xml:space="preserve">Children and adolescents.</w:t>
      </w:r>
      <w:r>
        <w:t xml:space="preserve"> </w:t>
      </w:r>
      <w:r>
        <w:t xml:space="preserve">For almost all major agents, studies are ongoing in adolescents, and in some cases also in children, for example for tirzepatide</w:t>
      </w:r>
      <w:r>
        <w:rPr>
          <w:rStyle w:val="FootnoteReference"/>
        </w:rPr>
        <w:footnoteReference w:id="2844"/>
      </w:r>
      <w:r>
        <w:t xml:space="preserve">, orforglipron</w:t>
      </w:r>
      <w:r>
        <w:rPr>
          <w:rStyle w:val="FootnoteReference"/>
        </w:rPr>
        <w:footnoteReference w:id="2845"/>
      </w:r>
      <w:r>
        <w:t xml:space="preserve">, and CagriSema (NCT07253285, planned completion 2033).</w:t>
      </w:r>
    </w:p>
    <w:p>
      <w:pPr>
        <w:pStyle w:val="BodyText"/>
      </w:pPr>
      <w:r>
        <w:rPr>
          <w:bCs/>
          <w:b/>
        </w:rPr>
        <w:t xml:space="preserve">And outside metabolism?</w:t>
      </w:r>
      <w:r>
        <w:t xml:space="preserve"> </w:t>
      </w:r>
      <w:r>
        <w:t xml:space="preserve">Here the pipeline is thin. Where a peptide cannot be patented, is already sold as a dietary supplement, or exists only on the gray market, hardly anyone finances expensive approval trials. This explains why the very peptides most discussed on the internet are practically absent from the registries.</w:t>
      </w:r>
    </w:p>
    <w:bookmarkEnd w:id="2846"/>
    <w:bookmarkStart w:id="2864" w:name="new-mechanisms-of-action"/>
    <w:p>
      <w:pPr>
        <w:pStyle w:val="Heading3"/>
      </w:pPr>
      <w:r>
        <w:t xml:space="preserve">New mechanisms of action</w:t>
      </w:r>
    </w:p>
    <w:bookmarkStart w:id="2850" w:name="triple-agonists"/>
    <w:p>
      <w:pPr>
        <w:pStyle w:val="Heading4"/>
      </w:pPr>
      <w:r>
        <w:t xml:space="preserve">Triple agonists</w:t>
      </w:r>
    </w:p>
    <w:p>
      <w:pPr>
        <w:pStyle w:val="FirstParagraph"/>
      </w:pPr>
      <w:r>
        <w:t xml:space="preserve">Retatrutide activates three receptors at once: GLP-1, GIP, and glucagon. The glucagon component is intended to increase energy expenditure and fat breakdown in the liver. In the phase 2 trial with 338 adults, weight fell by 24.2% after 48 weeks at the highest dose studied, compared with 2.1% on placebo</w:t>
      </w:r>
      <w:r>
        <w:rPr>
          <w:rStyle w:val="FootnoteReference"/>
        </w:rPr>
        <w:footnoteReference w:id="2847"/>
      </w:r>
      <w:r>
        <w:t xml:space="preserve">. The first phase 3 trial, TRIUMPH-1, with 2,339 adults confirmed this: after 80 weeks, weight loss was 17.6 to 25.0% depending on dose, compared with 3.9% on placebo. In participants with knee osteoarthritis, pain decreased, and in those with sleep apnea, the number of breathing pauses</w:t>
      </w:r>
      <w:r>
        <w:rPr>
          <w:rStyle w:val="FootnoteReference"/>
        </w:rPr>
        <w:footnoteReference w:id="2848"/>
      </w:r>
      <w:r>
        <w:t xml:space="preserve">. Whether this additional weight loss also leads to fewer cardiac and kidney events is to be shown by TRIUMPH-Outcomes by 2029</w:t>
      </w:r>
      <w:r>
        <w:rPr>
          <w:rStyle w:val="FootnoteReference"/>
        </w:rPr>
        <w:footnoteReference w:id="2849"/>
      </w:r>
      <w:r>
        <w:t xml:space="preserve">. Details and side effects are described in the chapter Retatrutide.</w:t>
      </w:r>
    </w:p>
    <w:bookmarkEnd w:id="2850"/>
    <w:bookmarkStart w:id="2855" w:name="amylin-the-fourth-hormone-pathway"/>
    <w:p>
      <w:pPr>
        <w:pStyle w:val="Heading4"/>
      </w:pPr>
      <w:r>
        <w:t xml:space="preserve">Amylin: the fourth hormone pathway</w:t>
      </w:r>
    </w:p>
    <w:p>
      <w:pPr>
        <w:pStyle w:val="FirstParagraph"/>
      </w:pPr>
      <w:r>
        <w:t xml:space="preserve">Amylin is released together with insulin and acts in the brainstem to promote satiety. Three lines of development can be distinguished:</w:t>
      </w:r>
    </w:p>
    <w:p>
      <w:pPr>
        <w:numPr>
          <w:ilvl w:val="0"/>
          <w:numId w:val="1355"/>
        </w:numPr>
        <w:pStyle w:val="Compact"/>
      </w:pPr>
      <w:r>
        <w:rPr>
          <w:bCs/>
          <w:b/>
        </w:rPr>
        <w:t xml:space="preserve">Combination in one injection:</w:t>
      </w:r>
      <w:r>
        <w:t xml:space="preserve"> </w:t>
      </w:r>
      <w:r>
        <w:t xml:space="preserve">CagriSema combines the amylin analog cagrilintide with semaglutide. In REDEFINE 1 with 3,417 adults, weight fell by 20.4% after 68 weeks, compared with 3.0% on placebo; gastrointestinal complaints occurred in 79.6% versus 39.9%</w:t>
      </w:r>
      <w:r>
        <w:rPr>
          <w:rStyle w:val="FootnoteReference"/>
        </w:rPr>
        <w:footnoteReference w:id="2851"/>
      </w:r>
      <w:r>
        <w:t xml:space="preserve">.</w:t>
      </w:r>
    </w:p>
    <w:p>
      <w:pPr>
        <w:numPr>
          <w:ilvl w:val="0"/>
          <w:numId w:val="1355"/>
        </w:numPr>
        <w:pStyle w:val="Compact"/>
      </w:pPr>
      <w:r>
        <w:rPr>
          <w:bCs/>
          <w:b/>
        </w:rPr>
        <w:t xml:space="preserve">One molecule for two receptors:</w:t>
      </w:r>
      <w:r>
        <w:t xml:space="preserve"> </w:t>
      </w:r>
      <w:r>
        <w:t xml:space="preserve">Amycretin, since 2026 zenagamtide, activates GLP-1 and amylin receptors simultaneously. In a small phase 1b/2a study with 125 participants, weight fell by 24.3% after 36 weeks at the highest dose level</w:t>
      </w:r>
      <w:r>
        <w:rPr>
          <w:rStyle w:val="FootnoteReference"/>
        </w:rPr>
        <w:footnoteReference w:id="2852"/>
      </w:r>
      <w:r>
        <w:t xml:space="preserve">. The phase 3 program AMAZE has been running since 2026.</w:t>
      </w:r>
    </w:p>
    <w:p>
      <w:pPr>
        <w:numPr>
          <w:ilvl w:val="0"/>
          <w:numId w:val="1355"/>
        </w:numPr>
        <w:pStyle w:val="Compact"/>
      </w:pPr>
      <w:r>
        <w:rPr>
          <w:bCs/>
          <w:b/>
        </w:rPr>
        <w:t xml:space="preserve">Amylin alone:</w:t>
      </w:r>
      <w:r>
        <w:t xml:space="preserve"> </w:t>
      </w:r>
      <w:r>
        <w:t xml:space="preserve">Here the hope is better tolerability. Eloralintide, a selective amylin receptor agonist from Lilly, led to 9 to 20% weight loss after 48 weeks in a phase 2 trial with 263 adults, compared with 0.4% on placebo; nausea and fatigue were, depending on the dose, considerably more frequent than with placebo</w:t>
      </w:r>
      <w:r>
        <w:rPr>
          <w:rStyle w:val="FootnoteReference"/>
        </w:rPr>
        <w:footnoteReference w:id="2853"/>
      </w:r>
      <w:r>
        <w:t xml:space="preserve">. Petrelintide from Zealand Pharma lowered weight by 7.9 to 9.8% after 28 weeks in the phase 2 trial ZUPREME 1 with 493 participants (placebo 1.7%). Nausea occurred in 20% versus 6%, but vomiting was not more frequent than with placebo</w:t>
      </w:r>
      <w:r>
        <w:rPr>
          <w:rStyle w:val="FootnoteReference"/>
        </w:rPr>
        <w:footnoteReference w:id="2854"/>
      </w:r>
      <w:r>
        <w:t xml:space="preserve">.</w:t>
      </w:r>
    </w:p>
    <w:p>
      <w:pPr>
        <w:pStyle w:val="FirstParagraph"/>
      </w:pPr>
      <w:r>
        <w:t xml:space="preserve">Both pure amylin agents are now in phase 3: eloralintide in ENLIGHTEN-1 with 1,980 planned participants (NCT07321886, completion July 2030), petrelintide in ZUPREME-3 with 3,900 planned participants under the leadership of Roche (NCT07843498, completion March 2029). Lilly is also testing a combination of eloralintide and tirzepatide (AMPLIFY-1, NCT07881432, 2,115 planned participants).</w:t>
      </w:r>
    </w:p>
    <w:bookmarkEnd w:id="2855"/>
    <w:bookmarkStart w:id="2858" w:name="antibodypeptide-conjugates"/>
    <w:p>
      <w:pPr>
        <w:pStyle w:val="Heading4"/>
      </w:pPr>
      <w:r>
        <w:t xml:space="preserve">Antibody–peptide conjugates</w:t>
      </w:r>
    </w:p>
    <w:p>
      <w:pPr>
        <w:pStyle w:val="FirstParagraph"/>
      </w:pPr>
      <w:r>
        <w:t xml:space="preserve">Peptides are rapidly broken down in the body and excreted via the kidneys. One solution is to couple them to an antibody that remains in the blood for weeks. A review describes such antibody–peptide conjugates as a distinct new class of agents: unlike fusion proteins, the peptide is produced chemically and only then attached to the antibody, so that it can also contain unusual building blocks</w:t>
      </w:r>
      <w:r>
        <w:rPr>
          <w:rStyle w:val="FootnoteReference"/>
        </w:rPr>
        <w:footnoteReference w:id="2856"/>
      </w:r>
      <w:r>
        <w:t xml:space="preserve">.</w:t>
      </w:r>
    </w:p>
    <w:p>
      <w:pPr>
        <w:pStyle w:val="BodyText"/>
      </w:pPr>
      <w:r>
        <w:t xml:space="preserve">The best-known example is maridebart cafraglutide (MariTide). It combines an antibody that blocks the GIP receptor with GLP-1-like peptides that activate the GLP-1 receptor. In the phase 2 trial with 592 participants, it was injected every four or eight weeks. After 52 weeks, weight loss without diabetes was 12.3 to 16.2% (placebo 2.5%), and with type 2 diabetes 8.4 to 12.3% (placebo 1.7%). Gastrointestinal complaints were common, but less frequent when the dose was increased slowly</w:t>
      </w:r>
      <w:r>
        <w:rPr>
          <w:rStyle w:val="FootnoteReference"/>
        </w:rPr>
        <w:footnoteReference w:id="2857"/>
      </w:r>
      <w:r>
        <w:t xml:space="preserve">. The concept is: fewer injections rather than maximum effect.</w:t>
      </w:r>
    </w:p>
    <w:bookmarkEnd w:id="2858"/>
    <w:bookmarkStart w:id="2862" w:name="preserving-muscle-during-weight-loss"/>
    <w:p>
      <w:pPr>
        <w:pStyle w:val="Heading4"/>
      </w:pPr>
      <w:r>
        <w:t xml:space="preserve">Preserving muscle during weight loss</w:t>
      </w:r>
    </w:p>
    <w:p>
      <w:pPr>
        <w:pStyle w:val="FirstParagraph"/>
      </w:pPr>
      <w:r>
        <w:t xml:space="preserve">With any substantial weight loss, muscle and bone mass are also lost. One approach is the antibody</w:t>
      </w:r>
      <w:r>
        <w:t xml:space="preserve"> </w:t>
      </w:r>
      <w:r>
        <w:rPr>
          <w:bCs/>
          <w:b/>
        </w:rPr>
        <w:t xml:space="preserve">bimagrumab</w:t>
      </w:r>
      <w:r>
        <w:t xml:space="preserve">, which blocks activin type II receptors – switches that slow muscle growth. Bimagrumab is not a peptide, but it is being specifically combined with peptide drugs.</w:t>
      </w:r>
    </w:p>
    <w:p>
      <w:pPr>
        <w:numPr>
          <w:ilvl w:val="0"/>
          <w:numId w:val="1356"/>
        </w:numPr>
        <w:pStyle w:val="Compact"/>
      </w:pPr>
      <w:r>
        <w:t xml:space="preserve">In a phase 2 trial with 75 adults with type 2 diabetes and overweight, bimagrumab alone reduced fat mass by 20.5% after 48 weeks, while fat-free mass increased by 3.6% (placebo −0.5% and −0.8%)</w:t>
      </w:r>
      <w:r>
        <w:rPr>
          <w:rStyle w:val="FootnoteReference"/>
        </w:rPr>
        <w:footnoteReference w:id="2859"/>
      </w:r>
      <w:r>
        <w:t xml:space="preserve">.</w:t>
      </w:r>
    </w:p>
    <w:p>
      <w:pPr>
        <w:numPr>
          <w:ilvl w:val="0"/>
          <w:numId w:val="1356"/>
        </w:numPr>
        <w:pStyle w:val="Compact"/>
      </w:pPr>
      <w:r>
        <w:t xml:space="preserve">In a phase 2 trial with 507 adults with obesity, weight loss after 48 weeks was 9.3 kg with bimagrumab alone, 14.2 kg with semaglutide alone, and 17.8 kg with the combination (placebo 3.3 kg). Common side effects of bimagrumab were muscle cramps, diarrhea, and acne</w:t>
      </w:r>
      <w:r>
        <w:rPr>
          <w:rStyle w:val="FootnoteReference"/>
        </w:rPr>
        <w:footnoteReference w:id="2860"/>
      </w:r>
      <w:r>
        <w:t xml:space="preserve">.</w:t>
      </w:r>
    </w:p>
    <w:p>
      <w:pPr>
        <w:pStyle w:val="FirstParagraph"/>
      </w:pPr>
      <w:r>
        <w:t xml:space="preserve">Lilly is now testing bimagrumab with tirzepatide (NCT06643728, 252 participants, completion January 2027). A smaller study at Massachusetts General Hospital is examining the same combination with regard to body composition and bone</w:t>
      </w:r>
      <w:r>
        <w:rPr>
          <w:rStyle w:val="FootnoteReference"/>
        </w:rPr>
        <w:footnoteReference w:id="2861"/>
      </w:r>
      <w:r>
        <w:t xml:space="preserve">. Whether more muscle mass on a scan also means more strength, fewer falls, or fewer fractures has not yet been demonstrated. No phase 3 trials are listed in the registry.</w:t>
      </w:r>
    </w:p>
    <w:bookmarkEnd w:id="2862"/>
    <w:bookmarkStart w:id="2863" w:name="tablets"/>
    <w:p>
      <w:pPr>
        <w:pStyle w:val="Heading4"/>
      </w:pPr>
      <w:r>
        <w:t xml:space="preserve">Tablets</w:t>
      </w:r>
    </w:p>
    <w:p>
      <w:pPr>
        <w:pStyle w:val="FirstParagraph"/>
      </w:pPr>
      <w:r>
        <w:t xml:space="preserve">Perhaps the most consequential change concerns not the receptor but the route into the body: tablets containing peptides and small molecules that act like peptides. The next chapter is devoted to this topic.</w:t>
      </w:r>
    </w:p>
    <w:bookmarkEnd w:id="2863"/>
    <w:bookmarkEnd w:id="2864"/>
    <w:bookmarkStart w:id="2865" w:name="key-points-in-brief-8"/>
    <w:p>
      <w:pPr>
        <w:pStyle w:val="Heading3"/>
      </w:pPr>
      <w:r>
        <w:t xml:space="preserve">Key points in brief</w:t>
      </w:r>
    </w:p>
    <w:p>
      <w:pPr>
        <w:numPr>
          <w:ilvl w:val="0"/>
          <w:numId w:val="1357"/>
        </w:numPr>
        <w:pStyle w:val="Compact"/>
      </w:pPr>
      <w:r>
        <w:t xml:space="preserve">After excluding fictitious and unrelated entries, 730 interventional studies are ongoing on the agents in this book, including 157 in phase 3.</w:t>
      </w:r>
    </w:p>
    <w:p>
      <w:pPr>
        <w:numPr>
          <w:ilvl w:val="0"/>
          <w:numId w:val="1357"/>
        </w:numPr>
        <w:pStyle w:val="Compact"/>
      </w:pPr>
      <w:r>
        <w:t xml:space="preserve">Almost nine out of ten late-stage studies concern metabolism and weight. For the popular gray-market peptides, not a single phase 3 trial is ongoing.</w:t>
      </w:r>
    </w:p>
    <w:p>
      <w:pPr>
        <w:numPr>
          <w:ilvl w:val="0"/>
          <w:numId w:val="1357"/>
        </w:numPr>
        <w:pStyle w:val="Compact"/>
      </w:pPr>
      <w:r>
        <w:t xml:space="preserve">The large cardiovascular, kidney, and liver trials will end between 2027 and 2032. Only they will show whether the new agents achieve more than lowering weight.</w:t>
      </w:r>
    </w:p>
    <w:p>
      <w:pPr>
        <w:numPr>
          <w:ilvl w:val="0"/>
          <w:numId w:val="1357"/>
        </w:numPr>
        <w:pStyle w:val="Compact"/>
      </w:pPr>
      <w:r>
        <w:t xml:space="preserve">New mechanisms of action – triple agonists, amylin, antibody–peptide conjugates, muscle preservation – are supported by phase 2 trials, and most are in phase 3. Approval is not assured for any of these new agents.</w:t>
      </w:r>
    </w:p>
    <w:bookmarkEnd w:id="2865"/>
    <w:bookmarkEnd w:id="2866"/>
    <w:bookmarkStart w:id="2902" w:name="tablets-instead-of-injections"/>
    <w:p>
      <w:pPr>
        <w:pStyle w:val="Heading2"/>
      </w:pPr>
      <w:r>
        <w:t xml:space="preserve">Tablets Instead of Injections</w:t>
      </w:r>
    </w:p>
    <w:p>
      <w:pPr>
        <w:pStyle w:val="FirstParagraph"/>
      </w:pPr>
      <w:r>
        <w:t xml:space="preserve">Almost all peptide drugs in this book are injected. There is a simple reason for this: the gastrointestinal tract is designed to break down proteins and peptides into their building blocks. What makes sense for food renders a peptide useless as a drug before it reaches the blood. Part I described these obstacles in detail (chapter</w:t>
      </w:r>
      <w:r>
        <w:t xml:space="preserve"> </w:t>
      </w:r>
      <w:r>
        <w:t xml:space="preserve">“</w:t>
      </w:r>
      <w:r>
        <w:t xml:space="preserve">How Peptides Get into the Body</w:t>
      </w:r>
      <w:r>
        <w:t xml:space="preserve">”</w:t>
      </w:r>
      <w:r>
        <w:t xml:space="preserve">).</w:t>
      </w:r>
    </w:p>
    <w:p>
      <w:pPr>
        <w:pStyle w:val="BodyText"/>
      </w:pPr>
      <w:r>
        <w:t xml:space="preserve">There are several reasons why tablets are nevertheless being intensively researched. Many people do not like injecting themselves. Injections usually have to be refrigerated, and pens are complex to manufacture. And because, according to current knowledge, anti-obesity drugs have to be taken permanently to work, every simplification of long-term treatment counts. A review describes how oral forms of insulin, calcitonin, parathyroid hormone, and vasopressin had already been tested in clinical studies, and that only semaglutide brought the breakthrough for a widely used agent</w:t>
      </w:r>
      <w:r>
        <w:rPr>
          <w:rStyle w:val="FootnoteReference"/>
        </w:rPr>
        <w:footnoteReference w:id="2867"/>
      </w:r>
      <w:r>
        <w:t xml:space="preserve">.</w:t>
      </w:r>
    </w:p>
    <w:p>
      <w:pPr>
        <w:pStyle w:val="BodyText"/>
      </w:pPr>
      <w:r>
        <w:t xml:space="preserve">Today there are two fundamentally different routes to a tablet: either you protect a</w:t>
      </w:r>
      <w:r>
        <w:t xml:space="preserve"> </w:t>
      </w:r>
      <w:r>
        <w:rPr>
          <w:bCs/>
          <w:b/>
        </w:rPr>
        <w:t xml:space="preserve">peptide</w:t>
      </w:r>
      <w:r>
        <w:t xml:space="preserve"> </w:t>
      </w:r>
      <w:r>
        <w:t xml:space="preserve">so that at least a small part is absorbed – or you replace the peptide with a</w:t>
      </w:r>
      <w:r>
        <w:t xml:space="preserve"> </w:t>
      </w:r>
      <w:r>
        <w:rPr>
          <w:bCs/>
          <w:b/>
        </w:rPr>
        <w:t xml:space="preserve">small molecule</w:t>
      </w:r>
      <w:r>
        <w:t xml:space="preserve"> </w:t>
      </w:r>
      <w:r>
        <w:t xml:space="preserve">that passes from the gut into the blood like an ordinary drug and nevertheless acts on the same receptor.</w:t>
      </w:r>
    </w:p>
    <w:bookmarkStart w:id="2882" w:name="route-1-peptide-plus-absorption-enhancer"/>
    <w:p>
      <w:pPr>
        <w:pStyle w:val="Heading3"/>
      </w:pPr>
      <w:r>
        <w:t xml:space="preserve">Route 1: Peptide plus absorption enhancer</w:t>
      </w:r>
    </w:p>
    <w:bookmarkStart w:id="2869" w:name="the-principle"/>
    <w:p>
      <w:pPr>
        <w:pStyle w:val="Heading4"/>
      </w:pPr>
      <w:r>
        <w:t xml:space="preserve">The principle</w:t>
      </w:r>
    </w:p>
    <w:p>
      <w:pPr>
        <w:pStyle w:val="FirstParagraph"/>
      </w:pPr>
      <w:r>
        <w:t xml:space="preserve">An</w:t>
      </w:r>
      <w:r>
        <w:t xml:space="preserve"> </w:t>
      </w:r>
      <w:r>
        <w:rPr>
          <w:bCs/>
          <w:b/>
        </w:rPr>
        <w:t xml:space="preserve">absorption enhancer</w:t>
      </w:r>
      <w:r>
        <w:t xml:space="preserve"> </w:t>
      </w:r>
      <w:r>
        <w:t xml:space="preserve">(technical term: permeation enhancer) is an excipient that briefly makes the mucosa more permeable or protects the peptide from degradation. In the semaglutide tablet, this is the excipient</w:t>
      </w:r>
      <w:r>
        <w:t xml:space="preserve"> </w:t>
      </w:r>
      <w:r>
        <w:rPr>
          <w:bCs/>
          <w:b/>
        </w:rPr>
        <w:t xml:space="preserve">SNAC</w:t>
      </w:r>
      <w:r>
        <w:t xml:space="preserve">. It raises the pH in the immediate vicinity of the tablet, dampens the activation of the digestive enzyme pepsin, and ensures that semaglutide is present as a single molecule that is more easily absorbed. Nevertheless, according to a review, only about 0.4 to 1% of the active ingredient reaches the blood – and only when fasting and with little water. After a meal, practically no semaglutide is detectable in the blood</w:t>
      </w:r>
      <w:r>
        <w:rPr>
          <w:rStyle w:val="FootnoteReference"/>
        </w:rPr>
        <w:footnoteReference w:id="2868"/>
      </w:r>
      <w:r>
        <w:t xml:space="preserve">. This is the reason for the strict administration rules set out in the prescribing information.</w:t>
      </w:r>
    </w:p>
    <w:bookmarkEnd w:id="2869"/>
    <w:bookmarkStart w:id="2871" w:name="the-semaglutide-tablet-in-obesity"/>
    <w:p>
      <w:pPr>
        <w:pStyle w:val="Heading4"/>
      </w:pPr>
      <w:r>
        <w:t xml:space="preserve">The semaglutide tablet in obesity</w:t>
      </w:r>
    </w:p>
    <w:p>
      <w:pPr>
        <w:pStyle w:val="FirstParagraph"/>
      </w:pPr>
      <w:r>
        <w:t xml:space="preserve">For type 2 diabetes, the semaglutide tablet (Rybelsus) has been approved in the EU since 2020. For obesity, higher doses were tested: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Participants and design</w:t>
            </w:r>
          </w:p>
        </w:tc>
        <w:tc>
          <w:tcPr/>
          <w:p>
            <w:pPr>
              <w:pStyle w:val="Compact"/>
              <w:jc w:val="left"/>
            </w:pPr>
            <w:r>
              <w:t xml:space="preserve">Duration</w:t>
            </w:r>
          </w:p>
        </w:tc>
        <w:tc>
          <w:tcPr/>
          <w:p>
            <w:pPr>
              <w:pStyle w:val="Compact"/>
              <w:jc w:val="left"/>
            </w:pPr>
            <w:r>
              <w:t xml:space="preserve">Result</w:t>
            </w:r>
          </w:p>
        </w:tc>
      </w:tr>
      <w:tr>
        <w:tc>
          <w:tcPr/>
          <w:p>
            <w:pPr>
              <w:pStyle w:val="Compact"/>
              <w:jc w:val="left"/>
            </w:pPr>
            <w:r>
              <w:t xml:space="preserve">OASIS 1 (Knop 2023), PMID 37385278</w:t>
            </w:r>
          </w:p>
        </w:tc>
        <w:tc>
          <w:tcPr/>
          <w:p>
            <w:pPr>
              <w:pStyle w:val="Compact"/>
              <w:jc w:val="left"/>
            </w:pPr>
            <w:r>
              <w:t xml:space="preserve">667 adults without diabetes, tablet vs. placebo</w:t>
            </w:r>
          </w:p>
        </w:tc>
        <w:tc>
          <w:tcPr/>
          <w:p>
            <w:pPr>
              <w:pStyle w:val="Compact"/>
              <w:jc w:val="left"/>
            </w:pPr>
            <w:r>
              <w:t xml:space="preserve">68 weeks</w:t>
            </w:r>
          </w:p>
        </w:tc>
        <w:tc>
          <w:tcPr/>
          <w:p>
            <w:pPr>
              <w:pStyle w:val="Compact"/>
              <w:jc w:val="left"/>
            </w:pPr>
            <w:r>
              <w:t xml:space="preserve">−15.1% weight vs. −2.4%</w:t>
            </w:r>
          </w:p>
        </w:tc>
      </w:tr>
      <w:tr>
        <w:tc>
          <w:tcPr/>
          <w:p>
            <w:pPr>
              <w:pStyle w:val="Compact"/>
              <w:jc w:val="left"/>
            </w:pPr>
            <w:r>
              <w:t xml:space="preserve">OASIS 4 (Wharton 2025), PMID 40934115</w:t>
            </w:r>
          </w:p>
        </w:tc>
        <w:tc>
          <w:tcPr/>
          <w:p>
            <w:pPr>
              <w:pStyle w:val="Compact"/>
              <w:jc w:val="left"/>
            </w:pPr>
            <w:r>
              <w:t xml:space="preserve">307 adults without diabetes, lower tablet dose vs. placebo</w:t>
            </w:r>
          </w:p>
        </w:tc>
        <w:tc>
          <w:tcPr/>
          <w:p>
            <w:pPr>
              <w:pStyle w:val="Compact"/>
              <w:jc w:val="left"/>
            </w:pPr>
            <w:r>
              <w:t xml:space="preserve">64 weeks</w:t>
            </w:r>
          </w:p>
        </w:tc>
        <w:tc>
          <w:tcPr/>
          <w:p>
            <w:pPr>
              <w:pStyle w:val="Compact"/>
              <w:jc w:val="left"/>
            </w:pPr>
            <w:r>
              <w:t xml:space="preserve">−13.6% vs. −2.2%</w:t>
            </w:r>
          </w:p>
        </w:tc>
      </w:tr>
      <w:tr>
        <w:tc>
          <w:tcPr/>
          <w:p>
            <w:pPr>
              <w:pStyle w:val="Compact"/>
              <w:jc w:val="left"/>
            </w:pPr>
            <w:r>
              <w:t xml:space="preserve">For comparison: STEP 1 (Wilding 2021), PMID 33567185</w:t>
            </w:r>
          </w:p>
        </w:tc>
        <w:tc>
          <w:tcPr/>
          <w:p>
            <w:pPr>
              <w:pStyle w:val="Compact"/>
              <w:jc w:val="left"/>
            </w:pPr>
            <w:r>
              <w:t xml:space="preserve">1,961 adults without diabetes, weekly injection vs. placebo</w:t>
            </w:r>
          </w:p>
        </w:tc>
        <w:tc>
          <w:tcPr/>
          <w:p>
            <w:pPr>
              <w:pStyle w:val="Compact"/>
              <w:jc w:val="left"/>
            </w:pPr>
            <w:r>
              <w:t xml:space="preserve">68 weeks</w:t>
            </w:r>
          </w:p>
        </w:tc>
        <w:tc>
          <w:tcPr/>
          <w:p>
            <w:pPr>
              <w:pStyle w:val="Compact"/>
              <w:jc w:val="left"/>
            </w:pPr>
            <w:r>
              <w:t xml:space="preserve">−14.9% vs. −2.4%</w:t>
            </w:r>
          </w:p>
        </w:tc>
      </w:tr>
    </w:tbl>
    <w:p>
      <w:pPr>
        <w:pStyle w:val="BodyText"/>
      </w:pPr>
      <w:r>
        <w:t xml:space="preserve">In both tablet studies, gastrointestinal complaints were common: 80% versus 46% on placebo in OASIS 1, 74.0% versus 42.2% in OASIS 4. According to the chapter Semaglutide, the OASIS 4 study forms the basis of the Wegovy tablet approved in the US (please check current approval status). Another phase 3 trial of the tablet is ongoing (OASIS 5, NCT07770841, completion April 2028).</w:t>
      </w:r>
    </w:p>
    <w:p>
      <w:pPr>
        <w:pStyle w:val="BodyText"/>
      </w:pPr>
      <w:r>
        <w:t xml:space="preserve">The figures are close to those of the injection. A large direct comparison between tablet and injection in obesity is lacking, however, and cross-trial comparisons are only a rough guide.</w:t>
      </w:r>
    </w:p>
    <w:p>
      <w:pPr>
        <w:pStyle w:val="BodyText"/>
      </w:pPr>
      <w:r>
        <w:rPr>
          <w:bCs/>
          <w:b/>
        </w:rPr>
        <w:t xml:space="preserve">A disadvantage that is rarely mentioned:</w:t>
      </w:r>
      <w:r>
        <w:t xml:space="preserve"> </w:t>
      </w:r>
      <w:r>
        <w:t xml:space="preserve">because only a fraction is absorbed, the tablet needs many times more active ingredient. A cost estimate for generic versions after patent expiry arrived at 28 to 140 US dollars per person per year for injected semaglutide, and 186 to 380 US dollars for the tablet</w:t>
      </w:r>
      <w:r>
        <w:rPr>
          <w:rStyle w:val="FootnoteReference"/>
        </w:rPr>
        <w:footnoteReference w:id="2870"/>
      </w:r>
      <w:r>
        <w:t xml:space="preserve">. The tablet is therefore not automatically the cheaper solution (more on this in the chapter</w:t>
      </w:r>
      <w:r>
        <w:t xml:space="preserve"> </w:t>
      </w:r>
      <w:r>
        <w:t xml:space="preserve">“</w:t>
      </w:r>
      <w:r>
        <w:t xml:space="preserve">Patents, Generics, and Prices</w:t>
      </w:r>
      <w:r>
        <w:t xml:space="preserve">”</w:t>
      </w:r>
      <w:r>
        <w:t xml:space="preserve">).</w:t>
      </w:r>
    </w:p>
    <w:bookmarkEnd w:id="2871"/>
    <w:bookmarkStart w:id="2873" w:name="hard-endpoints-soul"/>
    <w:p>
      <w:pPr>
        <w:pStyle w:val="Heading4"/>
      </w:pPr>
      <w:r>
        <w:t xml:space="preserve">Hard endpoints: SOUL</w:t>
      </w:r>
    </w:p>
    <w:p>
      <w:pPr>
        <w:pStyle w:val="FirstParagraph"/>
      </w:pPr>
      <w:r>
        <w:t xml:space="preserve">For type 2 diabetes, the benefit of the semaglutide tablet beyond blood sugar has been demonstrated. In SOUL with 9,650 people with type 2 diabetes and vascular or kidney disease, major cardiovascular events over a mean observation period of about four years occurred in 12.0% on the tablet and in 13.8% on placebo (hazard ratio 0.86). The confirmatory kidney endpoints did not differ significantly</w:t>
      </w:r>
      <w:r>
        <w:rPr>
          <w:rStyle w:val="FootnoteReference"/>
        </w:rPr>
        <w:footnoteReference w:id="2872"/>
      </w:r>
      <w:r>
        <w:t xml:space="preserve">. For people with obesity without diabetes, there is as yet no such study with the tablet.</w:t>
      </w:r>
    </w:p>
    <w:bookmarkEnd w:id="2873"/>
    <w:bookmarkStart w:id="2876" w:name="amylin-and-glp-1-as-a-tablet"/>
    <w:p>
      <w:pPr>
        <w:pStyle w:val="Heading4"/>
      </w:pPr>
      <w:r>
        <w:t xml:space="preserve">Amylin and GLP-1 as a tablet</w:t>
      </w:r>
    </w:p>
    <w:p>
      <w:pPr>
        <w:pStyle w:val="FirstParagraph"/>
      </w:pPr>
      <w:r>
        <w:t xml:space="preserve">Novo Nordisk is also developing amycretin (since 2026 zenagamtide) as a tablet. According to the study publication, the peptide acts on GLP-1, amylin, and calcitonin receptors. In a phase 2 trial with 186 adults with type 2 diabetes, HbA1c fell after 36 weeks by 0.5 to 1.1 percentage points more in the three dose groups than with placebo. Gastrointestinal complaints occurred in 26 to 47% depending on dose (placebo 23%); serious adverse events affected 4% on zenagamtide and nobody on placebo</w:t>
      </w:r>
      <w:r>
        <w:rPr>
          <w:rStyle w:val="FootnoteReference"/>
        </w:rPr>
        <w:footnoteReference w:id="2874"/>
      </w:r>
      <w:r>
        <w:t xml:space="preserve">. The phase 3 trial AMAZE 9 is testing the tablet in overweight with 950 participants (NCT07720271, completion August 2028). A phase 1 study explicitly examines how the amount of water and the timing of meals affect absorption</w:t>
      </w:r>
      <w:r>
        <w:rPr>
          <w:rStyle w:val="FootnoteReference"/>
        </w:rPr>
        <w:footnoteReference w:id="2875"/>
      </w:r>
      <w:r>
        <w:t xml:space="preserve"> </w:t>
      </w:r>
      <w:r>
        <w:t xml:space="preserve">– an indication that this tablet, too, is likely to be subject to administration rules.</w:t>
      </w:r>
    </w:p>
    <w:bookmarkEnd w:id="2876"/>
    <w:bookmarkStart w:id="2881" w:name="oral-peptides-beyond-metabolism"/>
    <w:p>
      <w:pPr>
        <w:pStyle w:val="Heading4"/>
      </w:pPr>
      <w:r>
        <w:t xml:space="preserve">Oral peptides beyond metabolism</w:t>
      </w:r>
    </w:p>
    <w:p>
      <w:pPr>
        <w:pStyle w:val="FirstParagraph"/>
      </w:pPr>
      <w:r>
        <w:t xml:space="preserve">The breakthrough is not limited to weight-loss drugs. Two examples show that oral peptides are becoming a drug class of their own:</w:t>
      </w:r>
    </w:p>
    <w:p>
      <w:pPr>
        <w:numPr>
          <w:ilvl w:val="0"/>
          <w:numId w:val="1358"/>
        </w:numPr>
        <w:pStyle w:val="Compact"/>
      </w:pPr>
      <w:r>
        <w:rPr>
          <w:bCs/>
          <w:b/>
        </w:rPr>
        <w:t xml:space="preserve">Enlicitide</w:t>
      </w:r>
      <w:r>
        <w:t xml:space="preserve"> </w:t>
      </w:r>
      <w:r>
        <w:t xml:space="preserve">is a ring-shaped (macrocyclic) peptide that inhibits the protein PCSK9 and thus lowers LDL cholesterol. Until now, such inhibitors existed only as injections (antibodies). The agent was discovered using a method that searches very large peptide libraries for suitable binding partners, and was then specifically optimized chemically</w:t>
      </w:r>
      <w:r>
        <w:rPr>
          <w:rStyle w:val="FootnoteReference"/>
        </w:rPr>
        <w:footnoteReference w:id="2877"/>
      </w:r>
      <w:r>
        <w:t xml:space="preserve">. In the phase 3 trial CORALreef Lipids with 2,909 participants, LDL cholesterol fell by 57.1% after 24 weeks, while it rose by 3.0% on placebo. Adverse events occurred with similar frequency in both groups</w:t>
      </w:r>
      <w:r>
        <w:rPr>
          <w:rStyle w:val="FootnoteReference"/>
        </w:rPr>
        <w:footnoteReference w:id="2878"/>
      </w:r>
      <w:r>
        <w:t xml:space="preserve">. Whether this also prevents heart attacks and strokes is to be shown by CORALreef Outcomes with 14,550 participants (NCT06008756, completion November 2031).</w:t>
      </w:r>
    </w:p>
    <w:p>
      <w:pPr>
        <w:numPr>
          <w:ilvl w:val="0"/>
          <w:numId w:val="1358"/>
        </w:numPr>
        <w:pStyle w:val="Compact"/>
      </w:pPr>
      <w:r>
        <w:rPr>
          <w:bCs/>
          <w:b/>
        </w:rPr>
        <w:t xml:space="preserve">Icotrokinra</w:t>
      </w:r>
      <w:r>
        <w:t xml:space="preserve"> </w:t>
      </w:r>
      <w:r>
        <w:t xml:space="preserve">is an oral peptide that blocks the receptor for the inflammatory messenger interleukin-23. In the phase 3 trial ICONIC-LEAD with 684 adults and adolescents with moderate to severe psoriasis, 65% achieved (almost) clear skin after 16 weeks compared with 8% on placebo; adverse events were equally frequent in both groups (49%)</w:t>
      </w:r>
      <w:r>
        <w:rPr>
          <w:rStyle w:val="FootnoteReference"/>
        </w:rPr>
        <w:footnoteReference w:id="2879"/>
      </w:r>
      <w:r>
        <w:t xml:space="preserve">. In March 2026, icotrokinra was approved in the US, and the review in the EU was ongoing (Keam 2026, PMID 42243571; please check current status). The path there is remarkable: according to a pharmacological study, icotrokinra works</w:t>
      </w:r>
      <w:r>
        <w:t xml:space="preserve"> </w:t>
      </w:r>
      <w:r>
        <w:rPr>
          <w:bCs/>
          <w:b/>
        </w:rPr>
        <w:t xml:space="preserve">without</w:t>
      </w:r>
      <w:r>
        <w:t xml:space="preserve"> </w:t>
      </w:r>
      <w:r>
        <w:t xml:space="preserve">an absorption enhancer. In animal experiments, only 0.1 to 0.3% reached the blood, and yet a systemic effect was measurable, because the peptide is very stable and very potent</w:t>
      </w:r>
      <w:r>
        <w:rPr>
          <w:rStyle w:val="FootnoteReference"/>
        </w:rPr>
        <w:footnoteReference w:id="2880"/>
      </w:r>
      <w:r>
        <w:t xml:space="preserve">. Studies in ulcerative colitis are ongoing (ICONIC-UC, NCT07196748).</w:t>
      </w:r>
    </w:p>
    <w:p>
      <w:pPr>
        <w:pStyle w:val="FirstParagraph"/>
      </w:pPr>
      <w:r>
        <w:t xml:space="preserve">Neither agent is a gray-market peptide; both are molecules deliberately designed from scratch and tested over years in large trials. They have nothing in common with the</w:t>
      </w:r>
      <w:r>
        <w:t xml:space="preserve"> </w:t>
      </w:r>
      <w:r>
        <w:t xml:space="preserve">“</w:t>
      </w:r>
      <w:r>
        <w:t xml:space="preserve">oral</w:t>
      </w:r>
      <w:r>
        <w:t xml:space="preserve">”</w:t>
      </w:r>
      <w:r>
        <w:t xml:space="preserve"> </w:t>
      </w:r>
      <w:r>
        <w:t xml:space="preserve">peptides offered on the internet.</w:t>
      </w:r>
    </w:p>
    <w:bookmarkEnd w:id="2881"/>
    <w:bookmarkEnd w:id="2882"/>
    <w:bookmarkStart w:id="2891" w:name="X047821f39919933729d3e7003ab4f089ec04b5a"/>
    <w:p>
      <w:pPr>
        <w:pStyle w:val="Heading3"/>
      </w:pPr>
      <w:r>
        <w:t xml:space="preserve">Route 2: Small molecules instead of peptides</w:t>
      </w:r>
    </w:p>
    <w:bookmarkStart w:id="2888" w:name="orforglipron"/>
    <w:p>
      <w:pPr>
        <w:pStyle w:val="Heading4"/>
      </w:pPr>
      <w:r>
        <w:t xml:space="preserve">Orforglipron</w:t>
      </w:r>
    </w:p>
    <w:p>
      <w:pPr>
        <w:pStyle w:val="FirstParagraph"/>
      </w:pPr>
      <w:r>
        <w:t xml:space="preserve">Orforglipron is not a peptide but a small, chemically manufactured molecule that activates the GLP-1 receptor (described in detail in the chapter Orforglipron in Part II · A). It is taken once daily like an ordinary tablet, according to the studies without regard to meals or the amount of water</w:t>
      </w:r>
      <w:r>
        <w:rPr>
          <w:rStyle w:val="FootnoteReference"/>
        </w:rPr>
        <w:footnoteReference w:id="2883"/>
      </w:r>
      <w:r>
        <w:t xml:space="preserve">.</w:t>
      </w:r>
    </w:p>
    <w:p>
      <w:pPr>
        <w:numPr>
          <w:ilvl w:val="0"/>
          <w:numId w:val="1359"/>
        </w:numPr>
        <w:pStyle w:val="Compact"/>
      </w:pPr>
      <w:r>
        <w:rPr>
          <w:bCs/>
          <w:b/>
        </w:rPr>
        <w:t xml:space="preserve">Weight:</w:t>
      </w:r>
      <w:r>
        <w:t xml:space="preserve"> </w:t>
      </w:r>
      <w:r>
        <w:t xml:space="preserve">In ATTAIN-1 with 3,127 adults with obesity, weight fell by 11.2% after 72 weeks at the highest dose, compared with 2.1% on placebo. Between 5.3 and 10.3% discontinued due to side effects (placebo 2.7%)</w:t>
      </w:r>
      <w:r>
        <w:rPr>
          <w:rStyle w:val="FootnoteReference"/>
        </w:rPr>
        <w:footnoteReference w:id="2884"/>
      </w:r>
      <w:r>
        <w:t xml:space="preserve">.</w:t>
      </w:r>
    </w:p>
    <w:p>
      <w:pPr>
        <w:numPr>
          <w:ilvl w:val="0"/>
          <w:numId w:val="1359"/>
        </w:numPr>
        <w:pStyle w:val="Compact"/>
      </w:pPr>
      <w:r>
        <w:rPr>
          <w:bCs/>
          <w:b/>
        </w:rPr>
        <w:t xml:space="preserve">Blood sugar:</w:t>
      </w:r>
      <w:r>
        <w:t xml:space="preserve"> </w:t>
      </w:r>
      <w:r>
        <w:t xml:space="preserve">In an open-label comparison with the semaglutide tablet (ACHIEVE-3, 1,698 participants), orforglipron lowered HbA1c more after 52 weeks, at the higher dose of each by 1.91 versus 1.47 percentage points</w:t>
      </w:r>
      <w:r>
        <w:rPr>
          <w:rStyle w:val="FootnoteReference"/>
        </w:rPr>
        <w:footnoteReference w:id="2885"/>
      </w:r>
      <w:r>
        <w:t xml:space="preserve">.</w:t>
      </w:r>
    </w:p>
    <w:p>
      <w:pPr>
        <w:numPr>
          <w:ilvl w:val="0"/>
          <w:numId w:val="1359"/>
        </w:numPr>
        <w:pStyle w:val="Compact"/>
      </w:pPr>
      <w:r>
        <w:rPr>
          <w:bCs/>
          <w:b/>
        </w:rPr>
        <w:t xml:space="preserve">Maintaining weight:</w:t>
      </w:r>
      <w:r>
        <w:t xml:space="preserve"> </w:t>
      </w:r>
      <w:r>
        <w:t xml:space="preserve">In ATTAIN-MAINTAIN, participants switched to orforglipron or placebo after weight loss with injected tirzepatide or semaglutide. After 52 weeks, they maintained 74.7% and 79.3% of their weight loss, respectively, with orforglipron, and 49.2% and 37.6% with placebo. There was no group that simply continued to receive the injection; the authors themselves cite this as a limitation</w:t>
      </w:r>
      <w:r>
        <w:rPr>
          <w:rStyle w:val="FootnoteReference"/>
        </w:rPr>
        <w:footnoteReference w:id="2886"/>
      </w:r>
      <w:r>
        <w:t xml:space="preserve">.</w:t>
      </w:r>
    </w:p>
    <w:p>
      <w:pPr>
        <w:numPr>
          <w:ilvl w:val="0"/>
          <w:numId w:val="1359"/>
        </w:numPr>
        <w:pStyle w:val="Compact"/>
      </w:pPr>
      <w:r>
        <w:rPr>
          <w:bCs/>
          <w:b/>
        </w:rPr>
        <w:t xml:space="preserve">Liver:</w:t>
      </w:r>
      <w:r>
        <w:t xml:space="preserve"> </w:t>
      </w:r>
      <w:r>
        <w:t xml:space="preserve">With small GLP-1 molecules, liver values were a particular concern. A pooled analysis of seven phase 3 trials with 11,220 participants found no case with orforglipron that met the criteria for drug-induced liver injury</w:t>
      </w:r>
      <w:r>
        <w:rPr>
          <w:rStyle w:val="FootnoteReference"/>
        </w:rPr>
        <w:footnoteReference w:id="2887"/>
      </w:r>
      <w:r>
        <w:t xml:space="preserve">.</w:t>
      </w:r>
    </w:p>
    <w:bookmarkEnd w:id="2888"/>
    <w:bookmarkStart w:id="2890" w:name="not-every-small-molecule-makes-it"/>
    <w:p>
      <w:pPr>
        <w:pStyle w:val="Heading4"/>
      </w:pPr>
      <w:r>
        <w:t xml:space="preserve">Not every small molecule makes it</w:t>
      </w:r>
    </w:p>
    <w:p>
      <w:pPr>
        <w:pStyle w:val="FirstParagraph"/>
      </w:pPr>
      <w:r>
        <w:t xml:space="preserve">That the route is difficult is shown by</w:t>
      </w:r>
      <w:r>
        <w:t xml:space="preserve"> </w:t>
      </w:r>
      <w:r>
        <w:rPr>
          <w:bCs/>
          <w:b/>
        </w:rPr>
        <w:t xml:space="preserve">danuglipron</w:t>
      </w:r>
      <w:r>
        <w:t xml:space="preserve"> </w:t>
      </w:r>
      <w:r>
        <w:t xml:space="preserve">from Pfizer. In a phase 2b trial with 628 adults with obesity, in which the tablets were taken twice daily, weight did fall considerably more than with placebo, but only 39.3% completed treatment; about 38% discontinued due to side effects</w:t>
      </w:r>
      <w:r>
        <w:rPr>
          <w:rStyle w:val="FootnoteReference"/>
        </w:rPr>
        <w:footnoteReference w:id="2889"/>
      </w:r>
      <w:r>
        <w:t xml:space="preserve">. According to statements by the manufacturer, development was discontinued. Other companies are developing their own tablets; AstraZeneca, for example, is testing the agent elecoglipron in a phase 3 trial against the semaglutide tablet (Eluminate-2, NCT07662213).</w:t>
      </w:r>
    </w:p>
    <w:bookmarkEnd w:id="2890"/>
    <w:bookmarkEnd w:id="2891"/>
    <w:bookmarkStart w:id="2893" w:name="X436123d6f3de7177b34db24f9b7c6919017aea7"/>
    <w:p>
      <w:pPr>
        <w:pStyle w:val="Heading3"/>
      </w:pPr>
      <w:r>
        <w:t xml:space="preserve">Peptide tablet or small molecule: a comparison</w:t>
      </w:r>
    </w:p>
    <w:p>
      <w:pPr>
        <w:pStyle w:val="FirstParagraph"/>
      </w:pPr>
      <w:r>
        <w:t xml:space="preserve">A direct comparison of the semaglutide tablet with orforglipron in obesity is lacking. One analysis compared the two indirectly by matching the individual participant data of OASIS 4 with the published aggregate data of ATTAIN-1. According to this, weight loss with the semaglutide tablet was around 3 percentage points greater, and discontinuations due to side effects were more frequent with orforglipron</w:t>
      </w:r>
      <w:r>
        <w:rPr>
          <w:rStyle w:val="FootnoteReference"/>
        </w:rPr>
        <w:footnoteReference w:id="2892"/>
      </w:r>
      <w:r>
        <w:t xml:space="preserve">. Such indirect comparisons should be read with caution: individual data were available for only one of the two studies, namely those of the semaglutide program.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Peptide injection</w:t>
            </w:r>
          </w:p>
        </w:tc>
        <w:tc>
          <w:tcPr/>
          <w:p>
            <w:pPr>
              <w:pStyle w:val="Compact"/>
              <w:jc w:val="left"/>
            </w:pPr>
            <w:r>
              <w:t xml:space="preserve">Peptide tablet</w:t>
            </w:r>
          </w:p>
        </w:tc>
        <w:tc>
          <w:tcPr/>
          <w:p>
            <w:pPr>
              <w:pStyle w:val="Compact"/>
              <w:jc w:val="left"/>
            </w:pPr>
            <w:r>
              <w:t xml:space="preserve">Small molecule</w:t>
            </w:r>
          </w:p>
        </w:tc>
      </w:tr>
      <w:tr>
        <w:tc>
          <w:tcPr/>
          <w:p>
            <w:pPr>
              <w:pStyle w:val="Compact"/>
              <w:jc w:val="left"/>
            </w:pPr>
            <w:r>
              <w:t xml:space="preserve">Example</w:t>
            </w:r>
          </w:p>
        </w:tc>
        <w:tc>
          <w:tcPr/>
          <w:p>
            <w:pPr>
              <w:pStyle w:val="Compact"/>
              <w:jc w:val="left"/>
            </w:pPr>
            <w:r>
              <w:t xml:space="preserve">Semaglutide, tirzepatide</w:t>
            </w:r>
          </w:p>
        </w:tc>
        <w:tc>
          <w:tcPr/>
          <w:p>
            <w:pPr>
              <w:pStyle w:val="Compact"/>
              <w:jc w:val="left"/>
            </w:pPr>
            <w:r>
              <w:t xml:space="preserve">Semaglutide tablet, zenagamtide tablet</w:t>
            </w:r>
          </w:p>
        </w:tc>
        <w:tc>
          <w:tcPr/>
          <w:p>
            <w:pPr>
              <w:pStyle w:val="Compact"/>
              <w:jc w:val="left"/>
            </w:pPr>
            <w:r>
              <w:t xml:space="preserve">Orforglipron</w:t>
            </w:r>
          </w:p>
        </w:tc>
      </w:tr>
      <w:tr>
        <w:tc>
          <w:tcPr/>
          <w:p>
            <w:pPr>
              <w:pStyle w:val="Compact"/>
              <w:jc w:val="left"/>
            </w:pPr>
            <w:r>
              <w:t xml:space="preserve">Administration</w:t>
            </w:r>
          </w:p>
        </w:tc>
        <w:tc>
          <w:tcPr/>
          <w:p>
            <w:pPr>
              <w:pStyle w:val="Compact"/>
              <w:jc w:val="left"/>
            </w:pPr>
            <w:r>
              <w:t xml:space="preserve">weekly to monthly</w:t>
            </w:r>
          </w:p>
        </w:tc>
        <w:tc>
          <w:tcPr/>
          <w:p>
            <w:pPr>
              <w:pStyle w:val="Compact"/>
              <w:jc w:val="left"/>
            </w:pPr>
            <w:r>
              <w:t xml:space="preserve">daily, fasting, with administration rules</w:t>
            </w:r>
          </w:p>
        </w:tc>
        <w:tc>
          <w:tcPr/>
          <w:p>
            <w:pPr>
              <w:pStyle w:val="Compact"/>
              <w:jc w:val="left"/>
            </w:pPr>
            <w:r>
              <w:t xml:space="preserve">daily, no food rules</w:t>
            </w:r>
          </w:p>
        </w:tc>
      </w:tr>
      <w:tr>
        <w:tc>
          <w:tcPr/>
          <w:p>
            <w:pPr>
              <w:pStyle w:val="Compact"/>
              <w:jc w:val="left"/>
            </w:pPr>
            <w:r>
              <w:t xml:space="preserve">Amount of active ingredient needed</w:t>
            </w:r>
          </w:p>
        </w:tc>
        <w:tc>
          <w:tcPr/>
          <w:p>
            <w:pPr>
              <w:pStyle w:val="Compact"/>
              <w:jc w:val="left"/>
            </w:pPr>
            <w:r>
              <w:t xml:space="preserve">low</w:t>
            </w:r>
          </w:p>
        </w:tc>
        <w:tc>
          <w:tcPr/>
          <w:p>
            <w:pPr>
              <w:pStyle w:val="Compact"/>
              <w:jc w:val="left"/>
            </w:pPr>
            <w:r>
              <w:t xml:space="preserve">very high (absorption about 1%)</w:t>
            </w:r>
          </w:p>
        </w:tc>
        <w:tc>
          <w:tcPr/>
          <w:p>
            <w:pPr>
              <w:pStyle w:val="Compact"/>
              <w:jc w:val="left"/>
            </w:pPr>
            <w:r>
              <w:t xml:space="preserve">normal for tablets</w:t>
            </w:r>
          </w:p>
        </w:tc>
      </w:tr>
      <w:tr>
        <w:tc>
          <w:tcPr/>
          <w:p>
            <w:pPr>
              <w:pStyle w:val="Compact"/>
              <w:jc w:val="left"/>
            </w:pPr>
            <w:r>
              <w:t xml:space="preserve">Weight loss in studies</w:t>
            </w:r>
          </w:p>
        </w:tc>
        <w:tc>
          <w:tcPr/>
          <w:p>
            <w:pPr>
              <w:pStyle w:val="Compact"/>
              <w:jc w:val="left"/>
            </w:pPr>
            <w:r>
              <w:t xml:space="preserve">highest</w:t>
            </w:r>
          </w:p>
        </w:tc>
        <w:tc>
          <w:tcPr/>
          <w:p>
            <w:pPr>
              <w:pStyle w:val="Compact"/>
              <w:jc w:val="left"/>
            </w:pPr>
            <w:r>
              <w:t xml:space="preserve">similar to semaglutide injection</w:t>
            </w:r>
          </w:p>
        </w:tc>
        <w:tc>
          <w:tcPr/>
          <w:p>
            <w:pPr>
              <w:pStyle w:val="Compact"/>
              <w:jc w:val="left"/>
            </w:pPr>
            <w:r>
              <w:t xml:space="preserve">somewhat lower</w:t>
            </w:r>
          </w:p>
        </w:tc>
      </w:tr>
      <w:tr>
        <w:tc>
          <w:tcPr/>
          <w:p>
            <w:pPr>
              <w:pStyle w:val="Compact"/>
              <w:jc w:val="left"/>
            </w:pPr>
            <w:r>
              <w:t xml:space="preserve">Metabolism, interactions</w:t>
            </w:r>
          </w:p>
        </w:tc>
        <w:tc>
          <w:tcPr/>
          <w:p>
            <w:pPr>
              <w:pStyle w:val="Compact"/>
              <w:jc w:val="left"/>
            </w:pPr>
            <w:r>
              <w:t xml:space="preserve">like protein, hardly any interactions</w:t>
            </w:r>
          </w:p>
        </w:tc>
        <w:tc>
          <w:tcPr/>
          <w:p>
            <w:pPr>
              <w:pStyle w:val="Compact"/>
              <w:jc w:val="left"/>
            </w:pPr>
            <w:r>
              <w:t xml:space="preserve">like protein</w:t>
            </w:r>
          </w:p>
        </w:tc>
        <w:tc>
          <w:tcPr/>
          <w:p>
            <w:pPr>
              <w:pStyle w:val="Compact"/>
              <w:jc w:val="left"/>
            </w:pPr>
            <w:r>
              <w:t xml:space="preserve">via liver enzymes, interactions possible</w:t>
            </w:r>
          </w:p>
        </w:tc>
      </w:tr>
      <w:tr>
        <w:tc>
          <w:tcPr/>
          <w:p>
            <w:pPr>
              <w:pStyle w:val="Compact"/>
              <w:jc w:val="left"/>
            </w:pPr>
            <w:r>
              <w:t xml:space="preserve">Hard endpoints</w:t>
            </w:r>
          </w:p>
        </w:tc>
        <w:tc>
          <w:tcPr/>
          <w:p>
            <w:pPr>
              <w:pStyle w:val="Compact"/>
              <w:jc w:val="left"/>
            </w:pPr>
            <w:r>
              <w:t xml:space="preserve">demonstrated for several agents</w:t>
            </w:r>
          </w:p>
        </w:tc>
        <w:tc>
          <w:tcPr/>
          <w:p>
            <w:pPr>
              <w:pStyle w:val="Compact"/>
              <w:jc w:val="left"/>
            </w:pPr>
            <w:r>
              <w:t xml:space="preserve">demonstrated in type 2 diabetes (SOUL)</w:t>
            </w:r>
          </w:p>
        </w:tc>
        <w:tc>
          <w:tcPr/>
          <w:p>
            <w:pPr>
              <w:pStyle w:val="Compact"/>
              <w:jc w:val="left"/>
            </w:pPr>
            <w:r>
              <w:t xml:space="preserve">outcome trial running until 2031</w:t>
            </w:r>
          </w:p>
        </w:tc>
      </w:tr>
    </w:tbl>
    <w:p>
      <w:pPr>
        <w:pStyle w:val="BodyText"/>
      </w:pPr>
      <w:r>
        <w:t xml:space="preserve">The point</w:t>
      </w:r>
      <w:r>
        <w:t xml:space="preserve"> </w:t>
      </w:r>
      <w:r>
        <w:t xml:space="preserve">“</w:t>
      </w:r>
      <w:r>
        <w:t xml:space="preserve">interactions</w:t>
      </w:r>
      <w:r>
        <w:t xml:space="preserve">”</w:t>
      </w:r>
      <w:r>
        <w:t xml:space="preserve"> </w:t>
      </w:r>
      <w:r>
        <w:t xml:space="preserve">deserves an explanation: peptides are broken down in the body like other proteins. Small molecules such as orforglipron, by contrast, are metabolized by liver enzymes through which many other drugs also pass. For this reason, numerous interaction studies were carried out for orforglipron (see the chapter Orforglipron).</w:t>
      </w:r>
    </w:p>
    <w:bookmarkEnd w:id="2893"/>
    <w:bookmarkStart w:id="2899" w:name="open-questions-2"/>
    <w:p>
      <w:pPr>
        <w:pStyle w:val="Heading3"/>
      </w:pPr>
      <w:r>
        <w:t xml:space="preserve">Open questions</w:t>
      </w:r>
    </w:p>
    <w:p>
      <w:pPr>
        <w:pStyle w:val="FirstParagraph"/>
      </w:pPr>
      <w:r>
        <w:rPr>
          <w:bCs/>
          <w:b/>
        </w:rPr>
        <w:t xml:space="preserve">Do people take a daily tablet more reliably than a weekly injection?</w:t>
      </w:r>
      <w:r>
        <w:t xml:space="preserve"> </w:t>
      </w:r>
      <w:r>
        <w:t xml:space="preserve">That is by no means certain. Anyone who swaps one injection a week for seven tablets has seven opportunities a week to forget a dose. With the semaglutide tablet, there is the additional factor that even a meal taken too early can practically prevent absorption</w:t>
      </w:r>
      <w:r>
        <w:rPr>
          <w:rStyle w:val="FootnoteReference"/>
        </w:rPr>
        <w:footnoteReference w:id="2894"/>
      </w:r>
      <w:r>
        <w:t xml:space="preserve">. How this affects efficacy in everyday life is not shown by approval trials with their closely supervised participants.</w:t>
      </w:r>
    </w:p>
    <w:p>
      <w:pPr>
        <w:pStyle w:val="BodyText"/>
      </w:pPr>
      <w:r>
        <w:rPr>
          <w:bCs/>
          <w:b/>
        </w:rPr>
        <w:t xml:space="preserve">Are there hard endpoints for tablets in obesity?</w:t>
      </w:r>
      <w:r>
        <w:t xml:space="preserve"> </w:t>
      </w:r>
      <w:r>
        <w:t xml:space="preserve">Not yet. SOUL concerned people with type 2 diabetes. The cardiovascular trial of orforglipron runs until 2031</w:t>
      </w:r>
      <w:r>
        <w:rPr>
          <w:rStyle w:val="FootnoteReference"/>
        </w:rPr>
        <w:footnoteReference w:id="2895"/>
      </w:r>
      <w:r>
        <w:t xml:space="preserve">, and orforglipron is even being tested in people with overweight to prevent progression to obesity or to complications (ATTAIN-NOW, NCT07794579, 2,001 participants, completion September 2030).</w:t>
      </w:r>
    </w:p>
    <w:p>
      <w:pPr>
        <w:pStyle w:val="BodyText"/>
      </w:pPr>
      <w:r>
        <w:rPr>
          <w:bCs/>
          <w:b/>
        </w:rPr>
        <w:t xml:space="preserve">Is the tablet the drug for maintenance?</w:t>
      </w:r>
      <w:r>
        <w:t xml:space="preserve"> </w:t>
      </w:r>
      <w:r>
        <w:t xml:space="preserve">ATTAIN-MAINTAIN suggests that switching from the injection to a tablet can maintain a large part of the weight loss. Whether this is as good as continuing the injection was not tested.</w:t>
      </w:r>
    </w:p>
    <w:p>
      <w:pPr>
        <w:pStyle w:val="BodyText"/>
      </w:pPr>
      <w:r>
        <w:rPr>
          <w:bCs/>
          <w:b/>
        </w:rPr>
        <w:t xml:space="preserve">Will tablets become cheaper?</w:t>
      </w:r>
      <w:r>
        <w:t xml:space="preserve"> </w:t>
      </w:r>
      <w:r>
        <w:t xml:space="preserve">For small molecules this is plausible, because they are manufactured using standard chemical processes. For peptide tablets, the cost estimate tends to argue against it, because they need much more active ingredient</w:t>
      </w:r>
      <w:r>
        <w:rPr>
          <w:rStyle w:val="FootnoteReference"/>
        </w:rPr>
        <w:footnoteReference w:id="2896"/>
      </w:r>
      <w:r>
        <w:t xml:space="preserve">. Specific prices in Europe are open.</w:t>
      </w:r>
    </w:p>
    <w:p>
      <w:pPr>
        <w:pStyle w:val="BodyText"/>
      </w:pPr>
      <w:r>
        <w:rPr>
          <w:bCs/>
          <w:b/>
        </w:rPr>
        <w:t xml:space="preserve">What about drops, orally disintegrating tablets, and nasal sprays from the internet?</w:t>
      </w:r>
      <w:r>
        <w:t xml:space="preserve"> </w:t>
      </w:r>
      <w:r>
        <w:t xml:space="preserve">Caution is warranted here. A study of compounded pharmacy preparations made in the US found semaglutide or tirzepatide preparations for use under the tongue and as orally disintegrating tablets for which there is no evidence of efficacy and safety</w:t>
      </w:r>
      <w:r>
        <w:rPr>
          <w:rStyle w:val="FootnoteReference"/>
        </w:rPr>
        <w:footnoteReference w:id="2897"/>
      </w:r>
      <w:r>
        <w:t xml:space="preserve">. In a laboratory analysis, copies of oral semaglutide in some cases contained considerably less active ingredient than stated and released the active ingredient and SNAC differently from the original</w:t>
      </w:r>
      <w:r>
        <w:rPr>
          <w:rStyle w:val="FootnoteReference"/>
        </w:rPr>
        <w:footnoteReference w:id="2898"/>
      </w:r>
      <w:r>
        <w:t xml:space="preserve">. A peptide sold</w:t>
      </w:r>
      <w:r>
        <w:t xml:space="preserve"> </w:t>
      </w:r>
      <w:r>
        <w:t xml:space="preserve">“</w:t>
      </w:r>
      <w:r>
        <w:t xml:space="preserve">as a tablet</w:t>
      </w:r>
      <w:r>
        <w:t xml:space="preserve">”</w:t>
      </w:r>
      <w:r>
        <w:t xml:space="preserve"> </w:t>
      </w:r>
      <w:r>
        <w:t xml:space="preserve">is hardly absorbed without a tested formulation – this applies to semaglutide as much as to BPC-157 or other gray-market peptides.</w:t>
      </w:r>
    </w:p>
    <w:bookmarkEnd w:id="2899"/>
    <w:bookmarkStart w:id="2900" w:name="authors-assessment"/>
    <w:p>
      <w:pPr>
        <w:pStyle w:val="Heading3"/>
      </w:pPr>
      <w:r>
        <w:t xml:space="preserve">Author’s assessment</w:t>
      </w:r>
    </w:p>
    <w:p>
      <w:pPr>
        <w:pStyle w:val="FirstParagraph"/>
      </w:pPr>
      <w:r>
        <w:t xml:space="preserve">The injection will not disappear, but its monopoly is over. For the phase of substantial weight loss, injected agents are likely to remain ahead in the coming years, because they achieve the most in studies and the cardiovascular data have so far been available almost exclusively for them. For years-long maintenance, for people with a fear of needles, and for countries without a reliable cold chain, on the other hand, tablets are a real advance. Whether peptide tablets or small molecules will prevail will be decided less by efficacy than by price, convenience of administration, and long-term safety. This is an assessment; what is established is only that both routes are being tested in large phase 3 trials.</w:t>
      </w:r>
    </w:p>
    <w:bookmarkEnd w:id="2900"/>
    <w:bookmarkStart w:id="2901" w:name="key-points-in-brief-9"/>
    <w:p>
      <w:pPr>
        <w:pStyle w:val="Heading3"/>
      </w:pPr>
      <w:r>
        <w:t xml:space="preserve">Key points in brief</w:t>
      </w:r>
    </w:p>
    <w:p>
      <w:pPr>
        <w:numPr>
          <w:ilvl w:val="0"/>
          <w:numId w:val="1360"/>
        </w:numPr>
        <w:pStyle w:val="Compact"/>
      </w:pPr>
      <w:r>
        <w:t xml:space="preserve">Peptides as tablets work only with great technical effort. With the semaglutide tablet, about 1% of the active ingredient reaches the blood, yet in studies it achieves weight loss similar to that of the injection.</w:t>
      </w:r>
    </w:p>
    <w:p>
      <w:pPr>
        <w:numPr>
          <w:ilvl w:val="0"/>
          <w:numId w:val="1360"/>
        </w:numPr>
        <w:pStyle w:val="Compact"/>
      </w:pPr>
      <w:r>
        <w:t xml:space="preserve">Small molecules such as orforglipron circumvent the problem, but achieved somewhat less weight loss in studies and are metabolized by liver enzymes.</w:t>
      </w:r>
    </w:p>
    <w:p>
      <w:pPr>
        <w:numPr>
          <w:ilvl w:val="0"/>
          <w:numId w:val="1360"/>
        </w:numPr>
        <w:pStyle w:val="Compact"/>
      </w:pPr>
      <w:r>
        <w:t xml:space="preserve">Oral peptides are also becoming a drug class of their own outside metabolism, for example against high cholesterol (enlicitide) and psoriasis (icotrokinra).</w:t>
      </w:r>
    </w:p>
    <w:p>
      <w:pPr>
        <w:numPr>
          <w:ilvl w:val="0"/>
          <w:numId w:val="1360"/>
        </w:numPr>
        <w:pStyle w:val="Compact"/>
      </w:pPr>
      <w:r>
        <w:t xml:space="preserve">Long-term data, hard endpoints in obesity, adherence in everyday life, and prices remain open.</w:t>
      </w:r>
    </w:p>
    <w:p>
      <w:pPr>
        <w:numPr>
          <w:ilvl w:val="0"/>
          <w:numId w:val="1360"/>
        </w:numPr>
        <w:pStyle w:val="Compact"/>
      </w:pPr>
      <w:r>
        <w:t xml:space="preserve">Drugs should only be used under medical supervision and in accordance with the prescribing information;</w:t>
      </w:r>
      <w:r>
        <w:t xml:space="preserve"> </w:t>
      </w:r>
      <w:r>
        <w:t xml:space="preserve">“</w:t>
      </w:r>
      <w:r>
        <w:t xml:space="preserve">oral</w:t>
      </w:r>
      <w:r>
        <w:t xml:space="preserve">”</w:t>
      </w:r>
      <w:r>
        <w:t xml:space="preserve"> </w:t>
      </w:r>
      <w:r>
        <w:t xml:space="preserve">gray-market peptides have nothing to do with these developments.</w:t>
      </w:r>
    </w:p>
    <w:bookmarkEnd w:id="2901"/>
    <w:bookmarkEnd w:id="2902"/>
    <w:bookmarkStart w:id="2929" w:name="patents-generics-and-prices"/>
    <w:p>
      <w:pPr>
        <w:pStyle w:val="Heading2"/>
      </w:pPr>
      <w:r>
        <w:t xml:space="preserve">Patents, Generics, and Prices</w:t>
      </w:r>
    </w:p>
    <w:p>
      <w:pPr>
        <w:pStyle w:val="FirstParagraph"/>
      </w:pPr>
      <w:r>
        <w:t xml:space="preserve">Whether a drug works is decided by studies. Whether it reaches people is decided by patents, prices, supply chains, and health insurers. With the GLP-1 drugs, this second part of the story is almost as dramatic as the first: supply shortages, a market for pharmacy copies in the US, counterfeits worldwide – and in 2026 the expiry of the first semaglutide patents in large countries.</w:t>
      </w:r>
    </w:p>
    <w:p>
      <w:pPr>
        <w:pStyle w:val="BodyText"/>
      </w:pPr>
      <w:r>
        <w:rPr>
          <w:bCs/>
          <w:b/>
        </w:rPr>
        <w:t xml:space="preserve">An important note up front:</w:t>
      </w:r>
      <w:r>
        <w:t xml:space="preserve"> </w:t>
      </w:r>
      <w:r>
        <w:t xml:space="preserve">prices, patent terms, and reimbursement rules change quickly and are only partly documented in scientific publications. Where this chapter gives information without a study reference, it is marked “” Specific prices in euros are deliberately not given, because they differ depending on country, package, and point in time.</w:t>
      </w:r>
    </w:p>
    <w:bookmarkStart w:id="2904" w:name="X34cca4ec869829afe51b021e59a08b254d64bf7"/>
    <w:p>
      <w:pPr>
        <w:pStyle w:val="Heading3"/>
      </w:pPr>
      <w:r>
        <w:t xml:space="preserve">Patents, generics, and biosimilars: the terms</w:t>
      </w:r>
    </w:p>
    <w:p>
      <w:pPr>
        <w:pStyle w:val="FirstParagraph"/>
      </w:pPr>
      <w:r>
        <w:t xml:space="preserve">A</w:t>
      </w:r>
      <w:r>
        <w:t xml:space="preserve"> </w:t>
      </w:r>
      <w:r>
        <w:rPr>
          <w:bCs/>
          <w:b/>
        </w:rPr>
        <w:t xml:space="preserve">patent</w:t>
      </w:r>
      <w:r>
        <w:t xml:space="preserve"> </w:t>
      </w:r>
      <w:r>
        <w:t xml:space="preserve">gives the manufacturer the exclusive right to sell an active ingredient for a limited period. In the EU and the US, the basic term is 20 years from filing; because development takes many years, it can be extended for drugs by up to five years through a supplementary protection certificate. In addition to the patent on the active ingredient itself, there are often further patents on manufacturing processes, dosage forms, or pens.</w:t>
      </w:r>
    </w:p>
    <w:p>
      <w:pPr>
        <w:pStyle w:val="BodyText"/>
      </w:pPr>
      <w:r>
        <w:t xml:space="preserve">After protection expires, other manufacturers may offer copies:</w:t>
      </w:r>
    </w:p>
    <w:p>
      <w:pPr>
        <w:numPr>
          <w:ilvl w:val="0"/>
          <w:numId w:val="1361"/>
        </w:numPr>
        <w:pStyle w:val="Compact"/>
      </w:pPr>
      <w:r>
        <w:rPr>
          <w:bCs/>
          <w:b/>
        </w:rPr>
        <w:t xml:space="preserve">Generics</w:t>
      </w:r>
      <w:r>
        <w:t xml:space="preserve"> </w:t>
      </w:r>
      <w:r>
        <w:t xml:space="preserve">are copies of chemically manufactured active ingredients. They must show that they contain the same active ingredient and are equally available in the body; new large efficacy studies are not required.</w:t>
      </w:r>
    </w:p>
    <w:p>
      <w:pPr>
        <w:numPr>
          <w:ilvl w:val="0"/>
          <w:numId w:val="1361"/>
        </w:numPr>
        <w:pStyle w:val="Compact"/>
      </w:pPr>
      <w:r>
        <w:rPr>
          <w:bCs/>
          <w:b/>
        </w:rPr>
        <w:t xml:space="preserve">Biosimilars</w:t>
      </w:r>
      <w:r>
        <w:t xml:space="preserve"> </w:t>
      </w:r>
      <w:r>
        <w:t xml:space="preserve">are follow-on versions of biologically manufactured active ingredients, such as antibodies or fusion proteins. Because biological manufacturing never yields completely identical molecules, their approval is more complex.</w:t>
      </w:r>
    </w:p>
    <w:p>
      <w:pPr>
        <w:pStyle w:val="FirstParagraph"/>
      </w:pPr>
      <w:r>
        <w:t xml:space="preserve">Short peptides such as liraglutide or semaglutide are in between: they can be manufactured by genetic engineering or chemically. This has practical consequences. A laboratory analysis compared 16 injectable and 8 oral semaglutide copies as well as 2 liraglutide copies with the originals. It found new impurities, considerably less active ingredient than stated in several semaglutide tablets, and a greater tendency to aggregate with liraglutide</w:t>
      </w:r>
      <w:r>
        <w:rPr>
          <w:rStyle w:val="FootnoteReference"/>
        </w:rPr>
        <w:footnoteReference w:id="2903"/>
      </w:r>
      <w:r>
        <w:t xml:space="preserve">. Whether the differences mean anything clinically is unknown, according to the authors. But it shows why authorities look closely at peptide copies.</w:t>
      </w:r>
    </w:p>
    <w:bookmarkEnd w:id="2904"/>
    <w:bookmarkStart w:id="2906" w:name="liraglutide-the-first-glp-1-generic"/>
    <w:p>
      <w:pPr>
        <w:pStyle w:val="Heading3"/>
      </w:pPr>
      <w:r>
        <w:t xml:space="preserve">Liraglutide: the first GLP-1 generic</w:t>
      </w:r>
    </w:p>
    <w:p>
      <w:pPr>
        <w:pStyle w:val="FirstParagraph"/>
      </w:pPr>
      <w:r>
        <w:t xml:space="preserve">Liraglutide is the first GLP-1 agent whose protection has expired in large markets. In the US, generics of the diabetes form (Victoza) have been on the market since 2024, and of the obesity form (Saxenda) since 2025. In Europe, copies are gradually being added; the situation differs from country to country (see the chapter Liraglutide).</w:t>
      </w:r>
    </w:p>
    <w:p>
      <w:pPr>
        <w:pStyle w:val="BodyText"/>
      </w:pPr>
      <w:r>
        <w:t xml:space="preserve">For access to care, this has two sides. On the one hand, an agent with proven cardiovascular benefit in type 2 diabetes is becoming cheaper. On the other hand, liraglutide has to be injected daily and is considerably less effective for weight than semaglutide: in STEP 8, weight fell by an average of 15.8% with weekly semaglutide and by 6.4% with daily liraglutide; 38.5% versus 6.0% lost at least a fifth of their weight</w:t>
      </w:r>
      <w:r>
        <w:rPr>
          <w:rStyle w:val="FootnoteReference"/>
        </w:rPr>
        <w:footnoteReference w:id="2905"/>
      </w:r>
      <w:r>
        <w:t xml:space="preserve">. For people who cannot afford the newer drug, an inexpensive older drug may nevertheless be a better choice than none at all.</w:t>
      </w:r>
    </w:p>
    <w:bookmarkEnd w:id="2906"/>
    <w:bookmarkStart w:id="2911" w:name="semaglutide-2026-as-a-turning-point"/>
    <w:p>
      <w:pPr>
        <w:pStyle w:val="Heading3"/>
      </w:pPr>
      <w:r>
        <w:t xml:space="preserve">Semaglutide: 2026 as a turning point</w:t>
      </w:r>
    </w:p>
    <w:p>
      <w:pPr>
        <w:pStyle w:val="FirstParagraph"/>
      </w:pPr>
      <w:r>
        <w:t xml:space="preserve">For semaglutide, the patents expire in 2026 in several large countries outside the EU and the US, including, according to the chapter Semaglutide, Canada, China, India, and Brazil. An analysis of patent databases arrived at the following picture</w:t>
      </w:r>
      <w:r>
        <w:rPr>
          <w:rStyle w:val="FootnoteReference"/>
        </w:rPr>
        <w:footnoteReference w:id="2907"/>
      </w:r>
      <w:r>
        <w:t xml:space="preserve">:</w:t>
      </w:r>
    </w:p>
    <w:p>
      <w:pPr>
        <w:numPr>
          <w:ilvl w:val="0"/>
          <w:numId w:val="1362"/>
        </w:numPr>
        <w:pStyle w:val="Compact"/>
      </w:pPr>
      <w:r>
        <w:t xml:space="preserve">In twelve countries, patent protection ends in 2026. They account for 47% of people with obesity and 49% of people with type 2 diabetes worldwide.</w:t>
      </w:r>
    </w:p>
    <w:p>
      <w:pPr>
        <w:numPr>
          <w:ilvl w:val="0"/>
          <w:numId w:val="1362"/>
        </w:numPr>
        <w:pStyle w:val="Compact"/>
      </w:pPr>
      <w:r>
        <w:t xml:space="preserve">In 150 further countries, the authors found no patent filing at all.</w:t>
      </w:r>
    </w:p>
    <w:p>
      <w:pPr>
        <w:numPr>
          <w:ilvl w:val="0"/>
          <w:numId w:val="1362"/>
        </w:numPr>
        <w:pStyle w:val="Compact"/>
      </w:pPr>
      <w:r>
        <w:t xml:space="preserve">By the end of 2026, injectable semaglutide copies could thus be available in 162 countries, home to 69% of people with type 2 diabetes and 84% of people with clinical obesity.</w:t>
      </w:r>
    </w:p>
    <w:p>
      <w:pPr>
        <w:numPr>
          <w:ilvl w:val="0"/>
          <w:numId w:val="1362"/>
        </w:numPr>
        <w:pStyle w:val="Compact"/>
      </w:pPr>
      <w:r>
        <w:t xml:space="preserve">From data on active ingredient shipments from India, they estimated production costs: one year of injectable semaglutide could be offered as a generic for 28 to 140 US dollars per person, the tablet for 186 to 380 US dollars. The pen accounted for a disproportionately large share of the costs.</w:t>
      </w:r>
    </w:p>
    <w:p>
      <w:pPr>
        <w:pStyle w:val="FirstParagraph"/>
      </w:pPr>
      <w:r>
        <w:t xml:space="preserve">The authors themselves emphasize that pen costs, further patents, and weak health systems may nevertheless limit access. How strongly generics can push down prices is shown by an analysis from India: there, prices for SGLT2 inhibitors and GLP-1 receptor agonists fell by about 60 to 90% after patent expiry. Between Indian generic prices and US list prices, the authors found differences of 15- to 65-fold. They also point out, however, that generics from different manufacturers can differ in quality and absorption in the body</w:t>
      </w:r>
      <w:r>
        <w:rPr>
          <w:rStyle w:val="FootnoteReference"/>
        </w:rPr>
        <w:footnoteReference w:id="2908"/>
      </w:r>
      <w:r>
        <w:t xml:space="preserve">.</w:t>
      </w:r>
    </w:p>
    <w:p>
      <w:pPr>
        <w:pStyle w:val="BodyText"/>
      </w:pPr>
      <w:r>
        <w:rPr>
          <w:bCs/>
          <w:b/>
        </w:rPr>
        <w:t xml:space="preserve">In the EU and the US</w:t>
      </w:r>
      <w:r>
        <w:t xml:space="preserve">, semaglutide generics are not expected until around 2031/2032. For readers in Austria and Germany, this means: a semaglutide generic legally sold in Canada or India is not an approved drug here. The rules on importing for personal use are narrow (see the chapter</w:t>
      </w:r>
      <w:r>
        <w:t xml:space="preserve"> </w:t>
      </w:r>
      <w:r>
        <w:t xml:space="preserve">“</w:t>
      </w:r>
      <w:r>
        <w:t xml:space="preserve">Legal Framework</w:t>
      </w:r>
      <w:r>
        <w:t xml:space="preserve">”</w:t>
      </w:r>
      <w:r>
        <w:t xml:space="preserve"> </w:t>
      </w:r>
      <w:r>
        <w:t xml:space="preserve">in Part I), and online offers that refer to such generics are a typical gateway for counterfeits (see the chapter</w:t>
      </w:r>
      <w:r>
        <w:t xml:space="preserve"> </w:t>
      </w:r>
      <w:r>
        <w:t xml:space="preserve">“</w:t>
      </w:r>
      <w:r>
        <w:t xml:space="preserve">The Gray Market</w:t>
      </w:r>
      <w:r>
        <w:t xml:space="preserve">”</w:t>
      </w:r>
      <w:r>
        <w:t xml:space="preserve">).</w:t>
      </w:r>
    </w:p>
    <w:p>
      <w:pPr>
        <w:pStyle w:val="BodyText"/>
      </w:pPr>
      <w:r>
        <w:rPr>
          <w:bCs/>
          <w:b/>
        </w:rPr>
        <w:t xml:space="preserve">A political signal:</w:t>
      </w:r>
      <w:r>
        <w:t xml:space="preserve"> </w:t>
      </w:r>
      <w:r>
        <w:t xml:space="preserve">in September 2025, the World Health Organization added semaglutide, liraglutide, dulaglutide, and tirzepatide to its List of Essential Medicines. One commentary sees this as a step intended to facilitate price negotiations and the development of generics in low- and middle-income countries; at the same time, it names lack of funds, weak infrastructure, and the risk of uncritical use as hurdles</w:t>
      </w:r>
      <w:r>
        <w:rPr>
          <w:rStyle w:val="FootnoteReference"/>
        </w:rPr>
        <w:footnoteReference w:id="2909"/>
      </w:r>
      <w:r>
        <w:t xml:space="preserve">. In its first guideline on GLP-1 therapies for obesity, the WHO issues a conditional recommendation for long-term treatment together with intensive behavioral therapy. As reasons for the qualification, it cites, among other things, limited long-term data, costs, and the question of equitable access</w:t>
      </w:r>
      <w:r>
        <w:rPr>
          <w:rStyle w:val="FootnoteReference"/>
        </w:rPr>
        <w:footnoteReference w:id="2910"/>
      </w:r>
      <w:r>
        <w:t xml:space="preserve">.</w:t>
      </w:r>
    </w:p>
    <w:bookmarkEnd w:id="2911"/>
    <w:bookmarkStart w:id="2912" w:name="tirzepatide-and-the-successors"/>
    <w:p>
      <w:pPr>
        <w:pStyle w:val="Heading3"/>
      </w:pPr>
      <w:r>
        <w:t xml:space="preserve">Tirzepatide and the successors</w:t>
      </w:r>
    </w:p>
    <w:p>
      <w:pPr>
        <w:pStyle w:val="FirstParagraph"/>
      </w:pPr>
      <w:r>
        <w:t xml:space="preserve">For tirzepatide and all newer agents – retatrutide, CagriSema, amycretin, maridebart cafraglutide, orforglipron – patent expiry is not to be expected this decade. For tirzepatide, according to industry information, generics are expected in the second half of the 2030s at the earliest. This results in a foreseeable pattern: the older agents will become cheaper, the most potent will remain expensive.</w:t>
      </w:r>
    </w:p>
    <w:bookmarkEnd w:id="2912"/>
    <w:bookmarkStart w:id="2916" w:name="the-end-of-compounding-in-the-us"/>
    <w:p>
      <w:pPr>
        <w:pStyle w:val="Heading3"/>
      </w:pPr>
      <w:r>
        <w:t xml:space="preserve">The end of compounding in the US</w:t>
      </w:r>
    </w:p>
    <w:p>
      <w:pPr>
        <w:pStyle w:val="FirstParagraph"/>
      </w:pPr>
      <w:r>
        <w:t xml:space="preserve">During the official supply shortages, US pharmacies were allowed to prepare semaglutide and tirzepatide themselves (</w:t>
      </w:r>
      <w:r>
        <w:t xml:space="preserve">“</w:t>
      </w:r>
      <w:r>
        <w:t xml:space="preserve">compounding,</w:t>
      </w:r>
      <w:r>
        <w:t xml:space="preserve">”</w:t>
      </w:r>
      <w:r>
        <w:t xml:space="preserve"> </w:t>
      </w:r>
      <w:r>
        <w:t xml:space="preserve">see Part I). This gave rise to a large market. A study in the US state of Colorado found, in spring 2024, 93 companies with 188 locations advertising such preparations – mostly as medical spas or weight-loss services. Forty-one of these websites referred to FDA approval in their product descriptions, although the preparations had none. One provider advertised a mixture with BPC-157, a substance that the FDA has classified as unsuitable for compounding</w:t>
      </w:r>
      <w:r>
        <w:rPr>
          <w:rStyle w:val="FootnoteReference"/>
        </w:rPr>
        <w:footnoteReference w:id="2913"/>
      </w:r>
      <w:r>
        <w:t xml:space="preserve">.</w:t>
      </w:r>
    </w:p>
    <w:p>
      <w:pPr>
        <w:pStyle w:val="BodyText"/>
      </w:pPr>
      <w:r>
        <w:t xml:space="preserve">After the FDA declared the shortages over – for tirzepatide at the end of 2024, for semaglutide at the beginning of 2025 – the transition periods for copies of the approved products expired over the course of 2025. Since then, only preparations that differ from the approved products have been permitted. One analysis found 33 such products, including mixtures with vitamin B12, glycine, or a laxative, as well as drops and orally disintegrating tablets whose benefit and safety are largely unknown</w:t>
      </w:r>
      <w:r>
        <w:rPr>
          <w:rStyle w:val="FootnoteReference"/>
        </w:rPr>
        <w:footnoteReference w:id="2914"/>
      </w:r>
      <w:r>
        <w:t xml:space="preserve">. A laboratory found in tirzepatide–B12 mixtures from various providers a previously unknown impurity that arises from a chemical reaction between tirzepatide and certain forms of B12; what consequences it has for health is unknown</w:t>
      </w:r>
      <w:r>
        <w:rPr>
          <w:rStyle w:val="FootnoteReference"/>
        </w:rPr>
        <w:footnoteReference w:id="2915"/>
      </w:r>
      <w:r>
        <w:t xml:space="preserve">.</w:t>
      </w:r>
    </w:p>
    <w:p>
      <w:pPr>
        <w:pStyle w:val="BodyText"/>
      </w:pPr>
      <w:r>
        <w:t xml:space="preserve">Compounding has thus not disappeared but has shifted into a niche in which</w:t>
      </w:r>
      <w:r>
        <w:t xml:space="preserve"> </w:t>
      </w:r>
      <w:r>
        <w:t xml:space="preserve">“</w:t>
      </w:r>
      <w:r>
        <w:t xml:space="preserve">personalized</w:t>
      </w:r>
      <w:r>
        <w:t xml:space="preserve">”</w:t>
      </w:r>
      <w:r>
        <w:t xml:space="preserve"> </w:t>
      </w:r>
      <w:r>
        <w:t xml:space="preserve">additives provide the legal basis. In Europe, there is no comparable system.</w:t>
      </w:r>
    </w:p>
    <w:bookmarkEnd w:id="2916"/>
    <w:bookmarkStart w:id="2919" w:name="supply-shortages"/>
    <w:p>
      <w:pPr>
        <w:pStyle w:val="Heading3"/>
      </w:pPr>
      <w:r>
        <w:t xml:space="preserve">Supply shortages</w:t>
      </w:r>
    </w:p>
    <w:p>
      <w:pPr>
        <w:pStyle w:val="FirstParagraph"/>
      </w:pPr>
      <w:r>
        <w:t xml:space="preserve">From 2022 onward, demand for semaglutide and later tirzepatide exceeded production. People with type 2 diabetes were at times unable to obtain their medication. In Germany and Austria, authorities and professional societies called for Ozempic to be reserved for people with type 2 diabetes and not to be prescribed purely for weight loss.</w:t>
      </w:r>
    </w:p>
    <w:p>
      <w:pPr>
        <w:pStyle w:val="BodyText"/>
      </w:pPr>
      <w:r>
        <w:t xml:space="preserve">How large was the proportion of off-label prescriptions? A nationwide registry study from Denmark provides an answer. The number of new Ozempic users rose sharply from 2022, to a peak of 10 per 1,000 adults per year at the beginning of 2023. In 2022, a third of new users had no documented type 2 diabetes; in 2023 this proportion fell again. The authors conclude that prescriptions for weight loss explain only a smaller part of the shortage</w:t>
      </w:r>
      <w:r>
        <w:rPr>
          <w:rStyle w:val="FootnoteReference"/>
        </w:rPr>
        <w:footnoteReference w:id="2917"/>
      </w:r>
      <w:r>
        <w:t xml:space="preserve">.</w:t>
      </w:r>
    </w:p>
    <w:p>
      <w:pPr>
        <w:pStyle w:val="BodyText"/>
      </w:pPr>
      <w:r>
        <w:t xml:space="preserve">Shortages have direct consequences for treatment. In a US study of 288 people who stopped semaglutide or tirzepatide for weight loss within the first year, 11.8% cited supply shortages as the main reason. Most common, however, were cost or insurance problems (47.6%), followed by side effects (14.6%); 2.4% switched to a compounded product</w:t>
      </w:r>
      <w:r>
        <w:rPr>
          <w:rStyle w:val="FootnoteReference"/>
        </w:rPr>
        <w:footnoteReference w:id="2918"/>
      </w:r>
      <w:r>
        <w:t xml:space="preserve">.</w:t>
      </w:r>
    </w:p>
    <w:p>
      <w:pPr>
        <w:pStyle w:val="BodyText"/>
      </w:pPr>
      <w:r>
        <w:t xml:space="preserve">The manufacturers have since greatly expanded their production capacity, and the official shortages are considered over in the US. In Europe, the situation varies by product and country.</w:t>
      </w:r>
    </w:p>
    <w:bookmarkEnd w:id="2919"/>
    <w:bookmarkStart w:id="2924" w:name="prices-what-is-a-weight-loss-drug-worth"/>
    <w:p>
      <w:pPr>
        <w:pStyle w:val="Heading3"/>
      </w:pPr>
      <w:r>
        <w:t xml:space="preserve">Prices: What is a weight-loss drug worth?</w:t>
      </w:r>
    </w:p>
    <w:p>
      <w:pPr>
        <w:pStyle w:val="FirstParagraph"/>
      </w:pPr>
      <w:r>
        <w:t xml:space="preserve">In the US, list prices for GLP-1 drugs are considerably higher than in Europe. Health economic studies from the US therefore ask whether the benefit justifies the price:</w:t>
      </w:r>
    </w:p>
    <w:p>
      <w:pPr>
        <w:numPr>
          <w:ilvl w:val="0"/>
          <w:numId w:val="1363"/>
        </w:numPr>
        <w:pStyle w:val="Compact"/>
      </w:pPr>
      <w:r>
        <w:t xml:space="preserve">A modeling study for US adults found that tirzepatide and semaglutide would prevent many cases of diabetes and cardiovascular disease over a lifetime, but were not cost-effective at the net prices at the time. To reach a common threshold, prices would have had to fall by a further 30.5% (tirzepatide) and 81.9% (semaglutide), respectively</w:t>
      </w:r>
      <w:r>
        <w:rPr>
          <w:rStyle w:val="FootnoteReference"/>
        </w:rPr>
        <w:footnoteReference w:id="2920"/>
      </w:r>
      <w:r>
        <w:t xml:space="preserve">.</w:t>
      </w:r>
    </w:p>
    <w:p>
      <w:pPr>
        <w:numPr>
          <w:ilvl w:val="0"/>
          <w:numId w:val="1363"/>
        </w:numPr>
        <w:pStyle w:val="Compact"/>
      </w:pPr>
      <w:r>
        <w:t xml:space="preserve">A meta-analysis of nine health economic studies from high-income countries concluded that GLP-1 receptor agonists for the treatment of obesity without diabetes are generally not cost-effective from the payer’s perspective; this may be different in subgroups and over longer time horizons</w:t>
      </w:r>
      <w:r>
        <w:rPr>
          <w:rStyle w:val="FootnoteReference"/>
        </w:rPr>
        <w:footnoteReference w:id="2921"/>
      </w:r>
      <w:r>
        <w:t xml:space="preserve">.</w:t>
      </w:r>
    </w:p>
    <w:p>
      <w:pPr>
        <w:numPr>
          <w:ilvl w:val="0"/>
          <w:numId w:val="1363"/>
        </w:numPr>
        <w:pStyle w:val="Compact"/>
      </w:pPr>
      <w:r>
        <w:t xml:space="preserve">For people without diabetes who had already had a heart attack or stroke, a modeling study came out more favorably: at the price that self-paying patients in the US paid at the time of the analysis, semaglutide would be cost-effective in this group</w:t>
      </w:r>
      <w:r>
        <w:rPr>
          <w:rStyle w:val="FootnoteReference"/>
        </w:rPr>
        <w:footnoteReference w:id="2922"/>
      </w:r>
      <w:r>
        <w:t xml:space="preserve">.</w:t>
      </w:r>
    </w:p>
    <w:p>
      <w:pPr>
        <w:pStyle w:val="FirstParagraph"/>
      </w:pPr>
      <w:r>
        <w:t xml:space="preserve">Such calculations depend heavily on price assumptions, and prices are moving. In the US, the manufacturers have introduced considerably cheaper direct offers for self-paying patients since 2025 and have reached price agreements with the government; semaglutide is also the subject of government price negotiations for the Medicare program for older adults. How strongly coverage influences use is shown by a US analysis: after Wegovy was approved in March 2024 for reducing cardiovascular risk and covered by Medicare for this use, the number of Wegovy packages dispensed through Medicare rose by a relative 598.1%</w:t>
      </w:r>
      <w:r>
        <w:rPr>
          <w:rStyle w:val="FootnoteReference"/>
        </w:rPr>
        <w:footnoteReference w:id="2923"/>
      </w:r>
      <w:r>
        <w:t xml:space="preserve">.</w:t>
      </w:r>
    </w:p>
    <w:p>
      <w:pPr>
        <w:pStyle w:val="BodyText"/>
      </w:pPr>
      <w:r>
        <w:rPr>
          <w:bCs/>
          <w:b/>
        </w:rPr>
        <w:t xml:space="preserve">Author’s assessment:</w:t>
      </w:r>
      <w:r>
        <w:t xml:space="preserve"> </w:t>
      </w:r>
      <w:r>
        <w:t xml:space="preserve">prices for GLP-1-based drugs will fall in the coming years – through generics of older agents, through competition between manufacturers, through tablets made from small molecules, and through political pressure. This will be felt most strongly in countries with early patent expiry. In the EU, the big price drop is likely to come only with semaglutide generics at the beginning of the 2030s.</w:t>
      </w:r>
    </w:p>
    <w:bookmarkEnd w:id="2924"/>
    <w:bookmarkStart w:id="2925" w:name="reimbursement-in-germany-and-austria"/>
    <w:p>
      <w:pPr>
        <w:pStyle w:val="Heading3"/>
      </w:pPr>
      <w:r>
        <w:t xml:space="preserve">Reimbursement in Germany and Austria</w:t>
      </w:r>
    </w:p>
    <w:p>
      <w:pPr>
        <w:pStyle w:val="FirstParagraph"/>
      </w:pPr>
      <w:r>
        <w:rPr>
          <w:bCs/>
          <w:b/>
        </w:rPr>
        <w:t xml:space="preserve">Germany:</w:t>
      </w:r>
      <w:r>
        <w:t xml:space="preserve"> </w:t>
      </w:r>
      <w:r>
        <w:t xml:space="preserve">For type 2 diabetes, statutory health insurance covers the costs of approved GLP-1 drugs such as Ozempic, Rybelsus, Trulicity, or Mounjaro within the scope of their approval. Drugs that serve predominantly for weight reduction, by contrast, are excluded from reimbursement under § 34 SGB V; people with statutory insurance therefore usually have to pay for Wegovy, Saxenda, and Mounjaro for weight management themselves. Whether this rule will be changed for people with high cardiovascular risk is being discussed politically and within the self-governing bodies of the health system. Private health insurers decide according to their own policy terms.</w:t>
      </w:r>
    </w:p>
    <w:p>
      <w:pPr>
        <w:pStyle w:val="BodyText"/>
      </w:pPr>
      <w:r>
        <w:rPr>
          <w:bCs/>
          <w:b/>
        </w:rPr>
        <w:t xml:space="preserve">Austria:</w:t>
      </w:r>
      <w:r>
        <w:t xml:space="preserve"> </w:t>
      </w:r>
      <w:r>
        <w:t xml:space="preserve">For type 2 diabetes, GLP-1 drugs are reimbursable, but coverage is in some cases tied to conditions or to approval by the health insurance fund. For weight management alone, costs are as a rule not covered, or only in exceptional cases.</w:t>
      </w:r>
    </w:p>
    <w:p>
      <w:pPr>
        <w:pStyle w:val="BodyText"/>
      </w:pPr>
      <w:r>
        <w:t xml:space="preserve">In both countries: whether a treatment is reimbursed depends on the indication, the clinical findings, and the current legal situation. Your treating physician and your health insurer are the right people to ask. A prescription for weight loss with a product approved only for diabetes is off-label use and is not reimbursed.</w:t>
      </w:r>
    </w:p>
    <w:bookmarkEnd w:id="2925"/>
    <w:bookmarkStart w:id="2927" w:name="what-this-means-for-patients"/>
    <w:p>
      <w:pPr>
        <w:pStyle w:val="Heading3"/>
      </w:pPr>
      <w:r>
        <w:t xml:space="preserve">What this means for patients</w:t>
      </w:r>
    </w:p>
    <w:p>
      <w:pPr>
        <w:numPr>
          <w:ilvl w:val="0"/>
          <w:numId w:val="1364"/>
        </w:numPr>
        <w:pStyle w:val="Compact"/>
      </w:pPr>
      <w:r>
        <w:rPr>
          <w:bCs/>
          <w:b/>
        </w:rPr>
        <w:t xml:space="preserve">Cheaper does not mean gray market.</w:t>
      </w:r>
      <w:r>
        <w:t xml:space="preserve"> </w:t>
      </w:r>
      <w:r>
        <w:t xml:space="preserve">With patent expiry in other countries, offers referring to</w:t>
      </w:r>
      <w:r>
        <w:t xml:space="preserve"> </w:t>
      </w:r>
      <w:r>
        <w:t xml:space="preserve">“</w:t>
      </w:r>
      <w:r>
        <w:t xml:space="preserve">generics</w:t>
      </w:r>
      <w:r>
        <w:t xml:space="preserve">”</w:t>
      </w:r>
      <w:r>
        <w:t xml:space="preserve"> </w:t>
      </w:r>
      <w:r>
        <w:t xml:space="preserve">will increase. For Austria and Germany, only products approved here and obtained from pharmacies are tested drugs.</w:t>
      </w:r>
    </w:p>
    <w:p>
      <w:pPr>
        <w:numPr>
          <w:ilvl w:val="0"/>
          <w:numId w:val="1364"/>
        </w:numPr>
        <w:pStyle w:val="Compact"/>
      </w:pPr>
      <w:r>
        <w:rPr>
          <w:bCs/>
          <w:b/>
        </w:rPr>
        <w:t xml:space="preserve">Stopping for cost reasons is common – and has consequences.</w:t>
      </w:r>
      <w:r>
        <w:t xml:space="preserve"> </w:t>
      </w:r>
      <w:r>
        <w:t xml:space="preserve">In the STEP 1 extension, participants regained on average two-thirds of their weight loss one year after stopping semaglutide, and the improvements in blood pressure and blood values largely reversed</w:t>
      </w:r>
      <w:r>
        <w:rPr>
          <w:rStyle w:val="FootnoteReference"/>
        </w:rPr>
        <w:footnoteReference w:id="2926"/>
      </w:r>
      <w:r>
        <w:t xml:space="preserve">. Anyone considering stopping for cost reasons should discuss this with a physician.</w:t>
      </w:r>
    </w:p>
    <w:p>
      <w:pPr>
        <w:numPr>
          <w:ilvl w:val="0"/>
          <w:numId w:val="1364"/>
        </w:numPr>
        <w:pStyle w:val="Compact"/>
      </w:pPr>
      <w:r>
        <w:rPr>
          <w:bCs/>
          <w:b/>
        </w:rPr>
        <w:t xml:space="preserve">Older agents are not worthless.</w:t>
      </w:r>
      <w:r>
        <w:t xml:space="preserve"> </w:t>
      </w:r>
      <w:r>
        <w:t xml:space="preserve">Liraglutide or dulaglutide are well studied and have a proven cardiovascular benefit in type 2 diabetes. Which agent is suitable in an individual case is a medical decision.</w:t>
      </w:r>
    </w:p>
    <w:bookmarkEnd w:id="2927"/>
    <w:bookmarkStart w:id="2928" w:name="key-points-in-brief-10"/>
    <w:p>
      <w:pPr>
        <w:pStyle w:val="Heading3"/>
      </w:pPr>
      <w:r>
        <w:t xml:space="preserve">Key points in brief</w:t>
      </w:r>
    </w:p>
    <w:p>
      <w:pPr>
        <w:numPr>
          <w:ilvl w:val="0"/>
          <w:numId w:val="1365"/>
        </w:numPr>
        <w:pStyle w:val="Compact"/>
      </w:pPr>
      <w:r>
        <w:t xml:space="preserve">In 2026, patent protection for semaglutide ends in countries where almost half of the people with obesity live. Generics there could cost a fraction of today’s prices; in the EU and the US they are not expected until around 2031/2032 (please check).</w:t>
      </w:r>
    </w:p>
    <w:p>
      <w:pPr>
        <w:numPr>
          <w:ilvl w:val="0"/>
          <w:numId w:val="1365"/>
        </w:numPr>
        <w:pStyle w:val="Compact"/>
      </w:pPr>
      <w:r>
        <w:t xml:space="preserve">Generics already exist for liraglutide; tirzepatide and all newer agents are expected to remain patent-protected until well into the 2030s.</w:t>
      </w:r>
    </w:p>
    <w:p>
      <w:pPr>
        <w:numPr>
          <w:ilvl w:val="0"/>
          <w:numId w:val="1365"/>
        </w:numPr>
        <w:pStyle w:val="Compact"/>
      </w:pPr>
      <w:r>
        <w:t xml:space="preserve">US compounding of copies of approved products has largely ended since the shortages ended; what remains are modified preparations with untested additives.</w:t>
      </w:r>
    </w:p>
    <w:p>
      <w:pPr>
        <w:numPr>
          <w:ilvl w:val="0"/>
          <w:numId w:val="1365"/>
        </w:numPr>
        <w:pStyle w:val="Compact"/>
      </w:pPr>
      <w:r>
        <w:t xml:space="preserve">In studies, costs are the most common reason for stopping treatment. In Germany, weight-loss drugs are excluded from reimbursement; in Austria, reimbursement is only limited.</w:t>
      </w:r>
    </w:p>
    <w:bookmarkEnd w:id="2928"/>
    <w:bookmarkEnd w:id="2929"/>
    <w:bookmarkStart w:id="2975" w:name="forecasts-2030-to-2035"/>
    <w:p>
      <w:pPr>
        <w:pStyle w:val="Heading2"/>
      </w:pPr>
      <w:r>
        <w:t xml:space="preserve">Forecasts 2030 to 2035</w:t>
      </w:r>
    </w:p>
    <w:p>
      <w:pPr>
        <w:pStyle w:val="FirstParagraph"/>
      </w:pPr>
      <w:r>
        <w:t xml:space="preserve">Predictions in medicine have a poor track record. This book, too, contains examples: animal experiments and observational data raised hopes that GLP-1 drugs would slow cognitive decline in Alzheimer’s disease. In the two phase 3 trials evoke and evoke+ with a combined 3,808 participants, however, the disease progressed just as quickly with semaglutide tablets as with placebo</w:t>
      </w:r>
      <w:r>
        <w:rPr>
          <w:rStyle w:val="FootnoteReference"/>
        </w:rPr>
        <w:footnoteReference w:id="2930"/>
      </w:r>
      <w:r>
        <w:t xml:space="preserve">. In Parkinson’s disease, the phase 3 trial Exenatide-PD3 with 194 participants found no indication that exenatide slows progression</w:t>
      </w:r>
      <w:r>
        <w:rPr>
          <w:rStyle w:val="FootnoteReference"/>
        </w:rPr>
        <w:footnoteReference w:id="2931"/>
      </w:r>
      <w:r>
        <w:t xml:space="preserve">.</w:t>
      </w:r>
    </w:p>
    <w:p>
      <w:pPr>
        <w:pStyle w:val="BodyText"/>
      </w:pPr>
      <w:r>
        <w:t xml:space="preserve">This chapter therefore strictly separates, in every section:</w:t>
      </w:r>
    </w:p>
    <w:p>
      <w:pPr>
        <w:numPr>
          <w:ilvl w:val="0"/>
          <w:numId w:val="1366"/>
        </w:numPr>
        <w:pStyle w:val="Compact"/>
      </w:pPr>
      <w:r>
        <w:rPr>
          <w:bCs/>
          <w:b/>
        </w:rPr>
        <w:t xml:space="preserve">Established:</w:t>
      </w:r>
      <w:r>
        <w:t xml:space="preserve"> </w:t>
      </w:r>
      <w:r>
        <w:t xml:space="preserve">what is entered in trial registries (with a planned completion date), what has been published in peer-reviewed studies, and what authorities have decided. Even what is established can change – completion dates shift, trials are terminated.</w:t>
      </w:r>
    </w:p>
    <w:p>
      <w:pPr>
        <w:numPr>
          <w:ilvl w:val="0"/>
          <w:numId w:val="1366"/>
        </w:numPr>
        <w:pStyle w:val="Compact"/>
      </w:pPr>
      <w:r>
        <w:rPr>
          <w:bCs/>
          <w:b/>
        </w:rPr>
        <w:t xml:space="preserve">Author’s assessment:</w:t>
      </w:r>
      <w:r>
        <w:t xml:space="preserve"> </w:t>
      </w:r>
      <w:r>
        <w:t xml:space="preserve">a reasoned expectation that may be wrong. It is labeled as such and justified in each case.</w:t>
      </w:r>
    </w:p>
    <w:p>
      <w:pPr>
        <w:pStyle w:val="FirstParagraph"/>
      </w:pPr>
      <w:r>
        <w:t xml:space="preserve">The registry data reflect the status as of October 2026.</w:t>
      </w:r>
    </w:p>
    <w:bookmarkStart w:id="2941" w:name="group-a-metabolism-and-weight"/>
    <w:p>
      <w:pPr>
        <w:pStyle w:val="Heading3"/>
      </w:pPr>
      <w:r>
        <w:t xml:space="preserve">Group A – Metabolism and weight</w:t>
      </w:r>
    </w:p>
    <w:p>
      <w:pPr>
        <w:pStyle w:val="FirstParagraph"/>
      </w:pPr>
      <w:r>
        <w:rPr>
          <w:bCs/>
          <w:b/>
        </w:rPr>
        <w:t xml:space="preserve">Established:</w:t>
      </w:r>
    </w:p>
    <w:p>
      <w:pPr>
        <w:numPr>
          <w:ilvl w:val="0"/>
          <w:numId w:val="1367"/>
        </w:numPr>
        <w:pStyle w:val="Compact"/>
      </w:pPr>
      <w:r>
        <w:t xml:space="preserve">By 2032, at least nine large outcome and liver trials will end: SURMOUNT-MMO on tirzepatide</w:t>
      </w:r>
      <w:r>
        <w:rPr>
          <w:rStyle w:val="FootnoteReference"/>
        </w:rPr>
        <w:footnoteReference w:id="2932"/>
      </w:r>
      <w:r>
        <w:t xml:space="preserve"> </w:t>
      </w:r>
      <w:r>
        <w:t xml:space="preserve">and REDEFINE 3 on CagriSema</w:t>
      </w:r>
      <w:r>
        <w:rPr>
          <w:rStyle w:val="FootnoteReference"/>
        </w:rPr>
        <w:footnoteReference w:id="2933"/>
      </w:r>
      <w:r>
        <w:t xml:space="preserve"> </w:t>
      </w:r>
      <w:r>
        <w:t xml:space="preserve">in 2027, TRIUMPH-Outcomes on retatrutide</w:t>
      </w:r>
      <w:r>
        <w:rPr>
          <w:rStyle w:val="FootnoteReference"/>
        </w:rPr>
        <w:footnoteReference w:id="2934"/>
      </w:r>
      <w:r>
        <w:t xml:space="preserve"> </w:t>
      </w:r>
      <w:r>
        <w:t xml:space="preserve">and LIVERAGE-Cirrhosis on survodutide</w:t>
      </w:r>
      <w:r>
        <w:rPr>
          <w:rStyle w:val="FootnoteReference"/>
        </w:rPr>
        <w:footnoteReference w:id="2935"/>
      </w:r>
      <w:r>
        <w:t xml:space="preserve"> </w:t>
      </w:r>
      <w:r>
        <w:t xml:space="preserve">in 2029, MARITIME-CV and MARITIME-HF on maridebart cafraglutide</w:t>
      </w:r>
      <w:r>
        <w:rPr>
          <w:rStyle w:val="FootnoteReference"/>
        </w:rPr>
        <w:footnoteReference w:id="2936"/>
      </w:r>
      <w:r>
        <w:t xml:space="preserve"> </w:t>
      </w:r>
      <w:r>
        <w:t xml:space="preserve">as well as AMBIENCE on zenagamtide</w:t>
      </w:r>
      <w:r>
        <w:rPr>
          <w:rStyle w:val="FootnoteReference"/>
        </w:rPr>
        <w:footnoteReference w:id="2937"/>
      </w:r>
      <w:r>
        <w:t xml:space="preserve"> </w:t>
      </w:r>
      <w:r>
        <w:t xml:space="preserve">in 2030, ATTAIN-Outcomes on orforglipron</w:t>
      </w:r>
      <w:r>
        <w:rPr>
          <w:rStyle w:val="FootnoteReference"/>
        </w:rPr>
        <w:footnoteReference w:id="2938"/>
      </w:r>
      <w:r>
        <w:t xml:space="preserve"> </w:t>
      </w:r>
      <w:r>
        <w:t xml:space="preserve">in 2031, and SYNERGY-Outcomes on tirzepatide and retatrutide</w:t>
      </w:r>
      <w:r>
        <w:rPr>
          <w:rStyle w:val="FootnoteReference"/>
        </w:rPr>
        <w:footnoteReference w:id="2939"/>
      </w:r>
      <w:r>
        <w:t xml:space="preserve"> </w:t>
      </w:r>
      <w:r>
        <w:t xml:space="preserve">in 2032.</w:t>
      </w:r>
    </w:p>
    <w:p>
      <w:pPr>
        <w:numPr>
          <w:ilvl w:val="0"/>
          <w:numId w:val="1367"/>
        </w:numPr>
        <w:pStyle w:val="Compact"/>
      </w:pPr>
      <w:r>
        <w:t xml:space="preserve">Pure amylin agents are in phase 3: eloralintide (ENLIGHTEN-1, NCT07321886, completion 2030) and petrelintide (ZUPREME-3, NCT07843498, completion 2029).</w:t>
      </w:r>
    </w:p>
    <w:p>
      <w:pPr>
        <w:numPr>
          <w:ilvl w:val="0"/>
          <w:numId w:val="1367"/>
        </w:numPr>
        <w:pStyle w:val="Compact"/>
      </w:pPr>
      <w:r>
        <w:t xml:space="preserve">For CagriSema and orforglipron, according to the respective chapters, marketing applications have been submitted or announced; for retatrutide, they are expected after completion of TRIUMPH-1 and TRIUMPH-2 (as of October 2026, please check).</w:t>
      </w:r>
    </w:p>
    <w:p>
      <w:pPr>
        <w:numPr>
          <w:ilvl w:val="0"/>
          <w:numId w:val="1367"/>
        </w:numPr>
        <w:pStyle w:val="Compact"/>
      </w:pPr>
      <w:r>
        <w:t xml:space="preserve">In twelve countries, patent protection for semaglutide ends in 2026, including large markets outside the EU and the US</w:t>
      </w:r>
      <w:r>
        <w:rPr>
          <w:rStyle w:val="FootnoteReference"/>
        </w:rPr>
        <w:footnoteReference w:id="2940"/>
      </w:r>
      <w:r>
        <w:t xml:space="preserve">. In the EU and the US, generics are expected around 2031/2032.</w:t>
      </w:r>
    </w:p>
    <w:p>
      <w:pPr>
        <w:pStyle w:val="FirstParagraph"/>
      </w:pPr>
      <w:r>
        <w:rPr>
          <w:bCs/>
          <w:b/>
        </w:rPr>
        <w:t xml:space="preserve">Author’s assessment:</w:t>
      </w:r>
      <w:r>
        <w:t xml:space="preserve"> </w:t>
      </w:r>
      <w:r>
        <w:t xml:space="preserve">by 2030, several new classes of agents are likely to be approved in the EU – at least one amylin combination, one triple agonist, and one small molecule as a tablet. Reasoning: the phase 3 programs are well advanced, the results published so far are clearly positive, and the manufacturers have submitted or announced marketing applications. A mean weight loss of 20 to 25% in studies is then likely to be no longer the exception. More important than a new record, however, will be the question of which agent suits which person: who mainly needs heart protection, who has fatty liver disease, who wants to avoid injections, who tolerates side effects poorly. Between 2030 and 2035, I expect substantially falling prices for semaglutide in Europe due to generics, while the newest agents remain expensive. I consider the risk of two-tier care – the most potent drugs for those who pay out of pocket, older drugs for everyone else – to be real.</w:t>
      </w:r>
    </w:p>
    <w:bookmarkEnd w:id="2941"/>
    <w:bookmarkStart w:id="2944" w:name="Xc9d867f93d44f24fe89ad0a67bf22914317b384"/>
    <w:p>
      <w:pPr>
        <w:pStyle w:val="Heading3"/>
      </w:pPr>
      <w:r>
        <w:t xml:space="preserve">Group B – Healing, regeneration, and immune system</w:t>
      </w:r>
    </w:p>
    <w:p>
      <w:pPr>
        <w:pStyle w:val="FirstParagraph"/>
      </w:pPr>
      <w:r>
        <w:rPr>
          <w:bCs/>
          <w:b/>
        </w:rPr>
        <w:t xml:space="preserve">Established:</w:t>
      </w:r>
    </w:p>
    <w:p>
      <w:pPr>
        <w:numPr>
          <w:ilvl w:val="0"/>
          <w:numId w:val="1368"/>
        </w:numPr>
        <w:pStyle w:val="Compact"/>
      </w:pPr>
      <w:r>
        <w:t xml:space="preserve">The phase 3 trial of thymosin alpha-1 after colorectal cancer surgery with 2,500 participants is scheduled to end in March 2027</w:t>
      </w:r>
      <w:r>
        <w:rPr>
          <w:rStyle w:val="FootnoteReference"/>
        </w:rPr>
        <w:footnoteReference w:id="2942"/>
      </w:r>
      <w:r>
        <w:t xml:space="preserve">.</w:t>
      </w:r>
    </w:p>
    <w:p>
      <w:pPr>
        <w:numPr>
          <w:ilvl w:val="0"/>
          <w:numId w:val="1368"/>
        </w:numPr>
        <w:pStyle w:val="Compact"/>
      </w:pPr>
      <w:r>
        <w:t xml:space="preserve">The phase 3 trial SEER-2 with thymosin beta-4 eye drops for neurotrophic keratopathy was completed in May 2026 according to the registry; results were not available in October 2026</w:t>
      </w:r>
      <w:r>
        <w:rPr>
          <w:rStyle w:val="FootnoteReference"/>
        </w:rPr>
        <w:footnoteReference w:id="2943"/>
      </w:r>
      <w:r>
        <w:t xml:space="preserve">.</w:t>
      </w:r>
    </w:p>
    <w:p>
      <w:pPr>
        <w:numPr>
          <w:ilvl w:val="0"/>
          <w:numId w:val="1368"/>
        </w:numPr>
        <w:pStyle w:val="Compact"/>
      </w:pPr>
      <w:r>
        <w:t xml:space="preserve">A Chinese phase 2 trial with recombinant thymosin beta-4 after heart attack is planned (NCT07586865, 189 participants, completion May 2028).</w:t>
      </w:r>
    </w:p>
    <w:p>
      <w:pPr>
        <w:numPr>
          <w:ilvl w:val="0"/>
          <w:numId w:val="1368"/>
        </w:numPr>
        <w:pStyle w:val="Compact"/>
      </w:pPr>
      <w:r>
        <w:t xml:space="preserve">For BPC-157, a small randomized study with 30 participants after shoulder surgery is registered but has not yet started (NCT07803250, planned completion August 2027).</w:t>
      </w:r>
    </w:p>
    <w:p>
      <w:pPr>
        <w:pStyle w:val="FirstParagraph"/>
      </w:pPr>
      <w:r>
        <w:rPr>
          <w:bCs/>
          <w:b/>
        </w:rPr>
        <w:t xml:space="preserve">Author’s assessment:</w:t>
      </w:r>
      <w:r>
        <w:t xml:space="preserve"> </w:t>
      </w:r>
      <w:r>
        <w:t xml:space="preserve">I consider approval of BPC-157, TB-500, or KPV in the EU by 2035 to be very unlikely. Reasoning: there are no phase 2 or phase 3 programs and no manufacturer with a discernible interest in approval, and even a positive result from the small shoulder study would only be a first indication. More realistic is a niche approval for thymosin beta-4 eye drops for a rare corneal disease, provided SEER-2 turns out positive. Thymosin alpha-1 could play a greater role in cancer follow-up care in China if the colorectal cancer study is positive – but with reservations because of the lack of double-blinding.</w:t>
      </w:r>
    </w:p>
    <w:bookmarkEnd w:id="2944"/>
    <w:bookmarkStart w:id="2946" w:name="group-c-growth-hormone-axis"/>
    <w:p>
      <w:pPr>
        <w:pStyle w:val="Heading3"/>
      </w:pPr>
      <w:r>
        <w:t xml:space="preserve">Group C – Growth hormone axis</w:t>
      </w:r>
    </w:p>
    <w:p>
      <w:pPr>
        <w:pStyle w:val="FirstParagraph"/>
      </w:pPr>
      <w:r>
        <w:rPr>
          <w:bCs/>
          <w:b/>
        </w:rPr>
        <w:t xml:space="preserve">Established:</w:t>
      </w:r>
    </w:p>
    <w:p>
      <w:pPr>
        <w:numPr>
          <w:ilvl w:val="0"/>
          <w:numId w:val="1369"/>
        </w:numPr>
        <w:pStyle w:val="Compact"/>
      </w:pPr>
      <w:r>
        <w:t xml:space="preserve">Ibutamoren (not a peptide) is being tested as LUM-201 in a phase 3 trial with 150 children with growth hormone deficiency (NCT06948214, completion January 2028). A phase 2 trial with 202 older people with obesity is to study LUM-201 in addition to semaglutide (NCT07754045, completion February 2028).</w:t>
      </w:r>
    </w:p>
    <w:p>
      <w:pPr>
        <w:numPr>
          <w:ilvl w:val="0"/>
          <w:numId w:val="1369"/>
        </w:numPr>
        <w:pStyle w:val="Compact"/>
      </w:pPr>
      <w:r>
        <w:t xml:space="preserve">The long-term registry for mecasermin runs until the end of 2027</w:t>
      </w:r>
      <w:r>
        <w:rPr>
          <w:rStyle w:val="FootnoteReference"/>
        </w:rPr>
        <w:footnoteReference w:id="2945"/>
      </w:r>
      <w:r>
        <w:t xml:space="preserve">.</w:t>
      </w:r>
    </w:p>
    <w:p>
      <w:pPr>
        <w:numPr>
          <w:ilvl w:val="0"/>
          <w:numId w:val="1369"/>
        </w:numPr>
        <w:pStyle w:val="Compact"/>
      </w:pPr>
      <w:r>
        <w:t xml:space="preserve">For sermorelin, CJC-1295, ipamorelin, GHRP-2, GHRP-6, hexarelin, and IGF-1 LR3, no ongoing study is registered (see the respective chapters).</w:t>
      </w:r>
    </w:p>
    <w:p>
      <w:pPr>
        <w:pStyle w:val="FirstParagraph"/>
      </w:pPr>
      <w:r>
        <w:rPr>
          <w:bCs/>
          <w:b/>
        </w:rPr>
        <w:t xml:space="preserve">Author’s assessment:</w:t>
      </w:r>
      <w:r>
        <w:t xml:space="preserve"> </w:t>
      </w:r>
      <w:r>
        <w:t xml:space="preserve">I consider a new approval of a growth hormone–releasing peptide for adults by 2035 to be unlikely. Reasoning: the substances are old and hardly patentable, and the safety questions surrounding persistently elevated IGF-1 levels (see Part IV) make large studies expensive and risky. Another trend is interesting: because substantial weight loss also costs muscle, the growth hormone axis could receive new attention as a possible means of protecting muscle – the study of LUM-201 and semaglutide is a first example. Whether any benefit will result is completely open.</w:t>
      </w:r>
    </w:p>
    <w:bookmarkEnd w:id="2946"/>
    <w:bookmarkStart w:id="2950" w:name="group-d-brain-sleep-and-longevity"/>
    <w:p>
      <w:pPr>
        <w:pStyle w:val="Heading3"/>
      </w:pPr>
      <w:r>
        <w:t xml:space="preserve">Group D – Brain, sleep, and longevity</w:t>
      </w:r>
    </w:p>
    <w:p>
      <w:pPr>
        <w:pStyle w:val="FirstParagraph"/>
      </w:pPr>
      <w:r>
        <w:rPr>
          <w:bCs/>
          <w:b/>
        </w:rPr>
        <w:t xml:space="preserve">Established:</w:t>
      </w:r>
    </w:p>
    <w:p>
      <w:pPr>
        <w:numPr>
          <w:ilvl w:val="0"/>
          <w:numId w:val="1370"/>
        </w:numPr>
        <w:pStyle w:val="Compact"/>
      </w:pPr>
      <w:r>
        <w:t xml:space="preserve">Elamipretide (SS-31) has had accelerated approval in the US for Barth syndrome since September 2025, tied to a confirmatory study (4TAZPower, NCT07531251, completion November 2029). The phase 3 trial ReNEW in dry macular degeneration is scheduled to end in September 2027</w:t>
      </w:r>
      <w:r>
        <w:rPr>
          <w:rStyle w:val="FootnoteReference"/>
        </w:rPr>
        <w:footnoteReference w:id="2947"/>
      </w:r>
      <w:r>
        <w:t xml:space="preserve">.</w:t>
      </w:r>
    </w:p>
    <w:p>
      <w:pPr>
        <w:numPr>
          <w:ilvl w:val="0"/>
          <w:numId w:val="1370"/>
        </w:numPr>
        <w:pStyle w:val="Compact"/>
      </w:pPr>
      <w:r>
        <w:t xml:space="preserve">For Cerebrolysin, only smaller studies are ongoing, for example in CADASIL</w:t>
      </w:r>
      <w:r>
        <w:rPr>
          <w:rStyle w:val="FootnoteReference"/>
        </w:rPr>
        <w:footnoteReference w:id="2948"/>
      </w:r>
      <w:r>
        <w:t xml:space="preserve">.</w:t>
      </w:r>
    </w:p>
    <w:p>
      <w:pPr>
        <w:numPr>
          <w:ilvl w:val="0"/>
          <w:numId w:val="1370"/>
        </w:numPr>
        <w:pStyle w:val="Compact"/>
      </w:pPr>
      <w:r>
        <w:t xml:space="preserve">For Semax, Selank, Dihexa, DSIP, Pinealon, humanin, FOXO4-DRI, and MOTS-c, no reliably registered study administering the agent is listed. For Epitalon, there is only an uncontrolled study in which it is one of five components of a skin serum</w:t>
      </w:r>
      <w:r>
        <w:rPr>
          <w:rStyle w:val="FootnoteReference"/>
        </w:rPr>
        <w:footnoteReference w:id="2949"/>
      </w:r>
      <w:r>
        <w:t xml:space="preserve">.</w:t>
      </w:r>
    </w:p>
    <w:p>
      <w:pPr>
        <w:numPr>
          <w:ilvl w:val="0"/>
          <w:numId w:val="1370"/>
        </w:numPr>
        <w:pStyle w:val="Compact"/>
      </w:pPr>
      <w:r>
        <w:t xml:space="preserve">In the US, the classification of several of these peptides for pharmacy compounding is being reassessed (see the chapters Semax and Dihexa; Willis 2026, PMID 42752426).</w:t>
      </w:r>
    </w:p>
    <w:p>
      <w:pPr>
        <w:pStyle w:val="FirstParagraph"/>
      </w:pPr>
      <w:r>
        <w:rPr>
          <w:bCs/>
          <w:b/>
        </w:rPr>
        <w:t xml:space="preserve">Author’s assessment:</w:t>
      </w:r>
      <w:r>
        <w:t xml:space="preserve"> </w:t>
      </w:r>
      <w:r>
        <w:t xml:space="preserve">the longevity peptides are likely to remain by 2035 what they are today: substances with interesting animal data and great online demand, but without proof of benefit in humans. Reasoning: studies on</w:t>
      </w:r>
      <w:r>
        <w:t xml:space="preserve"> </w:t>
      </w:r>
      <w:r>
        <w:t xml:space="preserve">“</w:t>
      </w:r>
      <w:r>
        <w:t xml:space="preserve">healthy aging</w:t>
      </w:r>
      <w:r>
        <w:t xml:space="preserve">”</w:t>
      </w:r>
      <w:r>
        <w:t xml:space="preserve"> </w:t>
      </w:r>
      <w:r>
        <w:t xml:space="preserve">require many years and clear endpoints, which hardly exist yet; no manufacturer has a discernible program. Should US authorities approve individual peptides for compounding, this would increase their spread without improving the data. Elamipretide is the only agent in this group with a realistic path to broader approval, and even that only if ReNEW turns out positive.</w:t>
      </w:r>
    </w:p>
    <w:bookmarkEnd w:id="2950"/>
    <w:bookmarkStart w:id="2952" w:name="X2fa95bc23a99890689895bb43f98456aee39500"/>
    <w:p>
      <w:pPr>
        <w:pStyle w:val="Heading3"/>
      </w:pPr>
      <w:r>
        <w:t xml:space="preserve">Group E – Hormones, sexuality, and pigmentation</w:t>
      </w:r>
    </w:p>
    <w:p>
      <w:pPr>
        <w:pStyle w:val="FirstParagraph"/>
      </w:pPr>
      <w:r>
        <w:rPr>
          <w:bCs/>
          <w:b/>
        </w:rPr>
        <w:t xml:space="preserve">Established:</w:t>
      </w:r>
    </w:p>
    <w:p>
      <w:pPr>
        <w:numPr>
          <w:ilvl w:val="0"/>
          <w:numId w:val="1371"/>
        </w:numPr>
        <w:pStyle w:val="Compact"/>
      </w:pPr>
      <w:r>
        <w:t xml:space="preserve">The phase 3 trial of afamelanotide in vitiligo with 200 participants was completed in June 2026 according to the registry; peer-reviewed results were not available in October 2026</w:t>
      </w:r>
      <w:r>
        <w:rPr>
          <w:rStyle w:val="FootnoteReference"/>
        </w:rPr>
        <w:footnoteReference w:id="2951"/>
      </w:r>
      <w:r>
        <w:t xml:space="preserve">.</w:t>
      </w:r>
    </w:p>
    <w:p>
      <w:pPr>
        <w:numPr>
          <w:ilvl w:val="0"/>
          <w:numId w:val="1371"/>
        </w:numPr>
        <w:pStyle w:val="Compact"/>
      </w:pPr>
      <w:r>
        <w:t xml:space="preserve">Kisspeptin is being studied in small phase 2 trials in congenital hormone deficiency (NCT05896293, completion May 2028) and in hypothalamic amenorrhea (NCT07224438, completion May 2030).</w:t>
      </w:r>
    </w:p>
    <w:p>
      <w:pPr>
        <w:numPr>
          <w:ilvl w:val="0"/>
          <w:numId w:val="1371"/>
        </w:numPr>
        <w:pStyle w:val="Compact"/>
      </w:pPr>
      <w:r>
        <w:t xml:space="preserve">Oxytocin nasal spray is being tested as an adjunct to couples therapy for post-traumatic stress disorder with 240 participants (NCT06194851, completion September 2028).</w:t>
      </w:r>
    </w:p>
    <w:p>
      <w:pPr>
        <w:pStyle w:val="FirstParagraph"/>
      </w:pPr>
      <w:r>
        <w:rPr>
          <w:bCs/>
          <w:b/>
        </w:rPr>
        <w:t xml:space="preserve">Author’s assessment:</w:t>
      </w:r>
      <w:r>
        <w:t xml:space="preserve"> </w:t>
      </w:r>
      <w:r>
        <w:t xml:space="preserve">the most conceivable development by 2030 is an extension of the afamelanotide approval to vitiligo – if the phase 3 trial is positive. Kisspeptin is likely to remain a research and diagnostic tool; approval by 2035 would require larger comparative studies, which are lacking so far. For oxytocin nasal spray, I do not expect approval for autism or social anxiety, at most evidence for narrowly defined uses in combination with psychotherapy. Melanotan II will remain a gray-market product.</w:t>
      </w:r>
    </w:p>
    <w:bookmarkEnd w:id="2952"/>
    <w:bookmarkStart w:id="2953" w:name="group-f-collagen-nutrition-and-cosmetics"/>
    <w:p>
      <w:pPr>
        <w:pStyle w:val="Heading3"/>
      </w:pPr>
      <w:r>
        <w:t xml:space="preserve">Group F – Collagen, nutrition, and cosmetics</w:t>
      </w:r>
    </w:p>
    <w:p>
      <w:pPr>
        <w:pStyle w:val="FirstParagraph"/>
      </w:pPr>
      <w:r>
        <w:rPr>
          <w:bCs/>
          <w:b/>
        </w:rPr>
        <w:t xml:space="preserve">Established:</w:t>
      </w:r>
    </w:p>
    <w:p>
      <w:pPr>
        <w:numPr>
          <w:ilvl w:val="0"/>
          <w:numId w:val="1372"/>
        </w:numPr>
        <w:pStyle w:val="Compact"/>
      </w:pPr>
      <w:r>
        <w:t xml:space="preserve">A placebo-controlled study with 204 participants is testing collagen hydrolysate in knee osteoarthritis, with pain as the primary endpoint (NCT04998188, completion December 2027).</w:t>
      </w:r>
    </w:p>
    <w:p>
      <w:pPr>
        <w:numPr>
          <w:ilvl w:val="0"/>
          <w:numId w:val="1372"/>
        </w:numPr>
        <w:pStyle w:val="Compact"/>
      </w:pPr>
      <w:r>
        <w:t xml:space="preserve">A phase 1/2 study with 144 participants is examining carnosine in peripheral artery disease, with six-minute walking distance as the primary endpoint (NCT06480760, completion October 2028).</w:t>
      </w:r>
    </w:p>
    <w:p>
      <w:pPr>
        <w:numPr>
          <w:ilvl w:val="0"/>
          <w:numId w:val="1372"/>
        </w:numPr>
        <w:pStyle w:val="Compact"/>
      </w:pPr>
      <w:r>
        <w:t xml:space="preserve">For lactotripeptides, Matrixyl, and Argireline, no ongoing study is registered.</w:t>
      </w:r>
    </w:p>
    <w:p>
      <w:pPr>
        <w:pStyle w:val="FirstParagraph"/>
      </w:pPr>
      <w:r>
        <w:rPr>
          <w:bCs/>
          <w:b/>
        </w:rPr>
        <w:t xml:space="preserve">Author’s assessment:</w:t>
      </w:r>
      <w:r>
        <w:t xml:space="preserve"> </w:t>
      </w:r>
      <w:r>
        <w:t xml:space="preserve">this group will remain food and cosmetics; drug approvals are not to be expected, because the products are already freely available and nobody would want to bear the costs of an approval program. What could change is the quality of the evidence: independently funded, preregistered studies such as the one on knee osteoarthritis will show whether the small effects from manufacturer-funded studies hold up. I expect the effects in such studies to turn out smaller, if anything.</w:t>
      </w:r>
    </w:p>
    <w:bookmarkEnd w:id="2953"/>
    <w:bookmarkStart w:id="2972" w:name="cross-cutting-topics"/>
    <w:p>
      <w:pPr>
        <w:pStyle w:val="Heading3"/>
      </w:pPr>
      <w:r>
        <w:t xml:space="preserve">Cross-cutting topics</w:t>
      </w:r>
    </w:p>
    <w:bookmarkStart w:id="2955" w:name="long-term-data"/>
    <w:p>
      <w:pPr>
        <w:pStyle w:val="Heading4"/>
      </w:pPr>
      <w:r>
        <w:t xml:space="preserve">Long-term data</w:t>
      </w:r>
    </w:p>
    <w:p>
      <w:pPr>
        <w:pStyle w:val="FirstParagraph"/>
      </w:pPr>
      <w:r>
        <w:rPr>
          <w:bCs/>
          <w:b/>
        </w:rPr>
        <w:t xml:space="preserve">Established:</w:t>
      </w:r>
      <w:r>
        <w:t xml:space="preserve"> </w:t>
      </w:r>
      <w:r>
        <w:t xml:space="preserve">the WHO guideline on GLP-1 therapies for obesity issues only a conditional recommendation and cites limited long-term data as one of the reasons</w:t>
      </w:r>
      <w:r>
        <w:rPr>
          <w:rStyle w:val="FootnoteReference"/>
        </w:rPr>
        <w:footnoteReference w:id="2954"/>
      </w:r>
      <w:r>
        <w:t xml:space="preserve">. The ongoing outcome trials follow their participants for several years, but hardly any for more than ten years.</w:t>
      </w:r>
    </w:p>
    <w:p>
      <w:pPr>
        <w:pStyle w:val="BodyText"/>
      </w:pPr>
      <w:r>
        <w:rPr>
          <w:bCs/>
          <w:b/>
        </w:rPr>
        <w:t xml:space="preserve">Author’s assessment:</w:t>
      </w:r>
      <w:r>
        <w:t xml:space="preserve"> </w:t>
      </w:r>
      <w:r>
        <w:t xml:space="preserve">by 2035, ten-year data will come mainly from national registries and health insurance data, not from randomized trials. They will capture rare side effects better, but will be less able to separate cause and effect. For children and adolescents, for whom several studies run into the early 2030s, the question of long-term consequences is particularly urgent.</w:t>
      </w:r>
    </w:p>
    <w:bookmarkEnd w:id="2955"/>
    <w:bookmarkStart w:id="2960" w:name="maintenance-therapy"/>
    <w:p>
      <w:pPr>
        <w:pStyle w:val="Heading4"/>
      </w:pPr>
      <w:r>
        <w:t xml:space="preserve">Maintenance therapy</w:t>
      </w:r>
    </w:p>
    <w:p>
      <w:pPr>
        <w:pStyle w:val="FirstParagraph"/>
      </w:pPr>
      <w:r>
        <w:rPr>
          <w:bCs/>
          <w:b/>
        </w:rPr>
        <w:t xml:space="preserve">Established:</w:t>
      </w:r>
      <w:r>
        <w:t xml:space="preserve"> </w:t>
      </w:r>
      <w:r>
        <w:t xml:space="preserve">after stopping, a large part of the lost weight returns. In the STEP 1 extension, it was on average two-thirds one year after the end of semaglutide treatment</w:t>
      </w:r>
      <w:r>
        <w:rPr>
          <w:rStyle w:val="FootnoteReference"/>
        </w:rPr>
        <w:footnoteReference w:id="2956"/>
      </w:r>
      <w:r>
        <w:t xml:space="preserve">. In SURMOUNT-4, participants regained 14.0% in the following year after switching from tirzepatide to placebo</w:t>
      </w:r>
      <w:r>
        <w:rPr>
          <w:rStyle w:val="FootnoteReference"/>
        </w:rPr>
        <w:footnoteReference w:id="2957"/>
      </w:r>
      <w:r>
        <w:t xml:space="preserve">. Switching from the injection to orforglipron maintained a large part of the weight loss in ATTAIN-MAINTAIN</w:t>
      </w:r>
      <w:r>
        <w:rPr>
          <w:rStyle w:val="FootnoteReference"/>
        </w:rPr>
        <w:footnoteReference w:id="2958"/>
      </w:r>
      <w:r>
        <w:t xml:space="preserve">. Further studies on weight maintenance are ongoing (TRIUMPH-6, NCT06859268; switching to monthly agents, NCT07575399, NCT07845500). Modeling studies suggest that less frequent dosing could maintain part of the effect; this has not yet been tested in studies and is no basis for making changes to treatment on your own</w:t>
      </w:r>
      <w:r>
        <w:rPr>
          <w:rStyle w:val="FootnoteReference"/>
        </w:rPr>
        <w:footnoteReference w:id="2959"/>
      </w:r>
      <w:r>
        <w:t xml:space="preserve">.</w:t>
      </w:r>
    </w:p>
    <w:p>
      <w:pPr>
        <w:pStyle w:val="BodyText"/>
      </w:pPr>
      <w:r>
        <w:rPr>
          <w:bCs/>
          <w:b/>
        </w:rPr>
        <w:t xml:space="preserve">Author’s assessment:</w:t>
      </w:r>
      <w:r>
        <w:t xml:space="preserve"> </w:t>
      </w:r>
      <w:r>
        <w:t xml:space="preserve">by 2030, a stepped model will become established: first a phase with a highly effective agent, then maintenance with a tablet, a monthly product, or a lower intensity. Reasoning: several manufacturers are testing exactly this sequence, and it is attractive for payers. Whether maintenance is needed for life, or whether some people can stop without substantial weight regain, will remain one of the most important open questions.</w:t>
      </w:r>
    </w:p>
    <w:bookmarkEnd w:id="2960"/>
    <w:bookmarkStart w:id="2962" w:name="personalization"/>
    <w:p>
      <w:pPr>
        <w:pStyle w:val="Heading4"/>
      </w:pPr>
      <w:r>
        <w:t xml:space="preserve">Personalization</w:t>
      </w:r>
    </w:p>
    <w:p>
      <w:pPr>
        <w:pStyle w:val="FirstParagraph"/>
      </w:pPr>
      <w:r>
        <w:rPr>
          <w:bCs/>
          <w:b/>
        </w:rPr>
        <w:t xml:space="preserve">Established:</w:t>
      </w:r>
      <w:r>
        <w:t xml:space="preserve"> </w:t>
      </w:r>
      <w:r>
        <w:t xml:space="preserve">precision medicine in obesity already exists for rare genetic forms: setmelanotide is approved only for certain gene defects (see the chapter Setmelanotide). Orforglipron is being tested in a study with 2,001 participants with overweight to prevent progression to obesity or complications (ATTAIN-NOW, NCT07794579, completion September 2030). The WHO has announced that it will next develop criteria for who should be treated first when resources are limited</w:t>
      </w:r>
      <w:r>
        <w:rPr>
          <w:rStyle w:val="FootnoteReference"/>
        </w:rPr>
        <w:footnoteReference w:id="2961"/>
      </w:r>
      <w:r>
        <w:t xml:space="preserve">.</w:t>
      </w:r>
    </w:p>
    <w:p>
      <w:pPr>
        <w:pStyle w:val="BodyText"/>
      </w:pPr>
      <w:r>
        <w:rPr>
          <w:bCs/>
          <w:b/>
        </w:rPr>
        <w:t xml:space="preserve">Author’s assessment:</w:t>
      </w:r>
      <w:r>
        <w:t xml:space="preserve"> </w:t>
      </w:r>
      <w:r>
        <w:t xml:space="preserve">a reliable test that predicts in advance who will respond well to which agent is not in sight by 2030. Personalization will initially be pragmatic: according to coexisting conditions, tolerability, willingness to inject, and costs. The question of whether drugs should be used even before obesity develops will remain ethically and economically controversial.</w:t>
      </w:r>
    </w:p>
    <w:bookmarkEnd w:id="2962"/>
    <w:bookmarkStart w:id="2966" w:name="regulation-of-the-gray-market"/>
    <w:p>
      <w:pPr>
        <w:pStyle w:val="Heading4"/>
      </w:pPr>
      <w:r>
        <w:t xml:space="preserve">Regulation of the gray market</w:t>
      </w:r>
    </w:p>
    <w:p>
      <w:pPr>
        <w:pStyle w:val="FirstParagraph"/>
      </w:pPr>
      <w:r>
        <w:rPr>
          <w:bCs/>
          <w:b/>
        </w:rPr>
        <w:t xml:space="preserve">Established:</w:t>
      </w:r>
      <w:r>
        <w:t xml:space="preserve"> </w:t>
      </w:r>
      <w:r>
        <w:t xml:space="preserve">the laboratory analyses and case reports from Part I and Part IV show counterfeits, dosing errors, and impurities. Meanwhile, unapproved agents such as retatrutide and zenagamtide are also being sold online</w:t>
      </w:r>
      <w:r>
        <w:rPr>
          <w:rStyle w:val="FootnoteReference"/>
        </w:rPr>
        <w:footnoteReference w:id="2963"/>
      </w:r>
      <w:r>
        <w:t xml:space="preserve">. In the US, pharmacy copies of semaglutide and tirzepatide were largely ended after the shortages ended; modified preparations continue to exist</w:t>
      </w:r>
      <w:r>
        <w:rPr>
          <w:rStyle w:val="FootnoteReference"/>
        </w:rPr>
        <w:footnoteReference w:id="2964"/>
      </w:r>
      <w:r>
        <w:t xml:space="preserve">. The classification of peptides for compounding is being renegotiated in the US</w:t>
      </w:r>
      <w:r>
        <w:rPr>
          <w:rStyle w:val="FootnoteReference"/>
        </w:rPr>
        <w:footnoteReference w:id="2965"/>
      </w:r>
      <w:r>
        <w:t xml:space="preserve">.</w:t>
      </w:r>
    </w:p>
    <w:p>
      <w:pPr>
        <w:pStyle w:val="BodyText"/>
      </w:pPr>
      <w:r>
        <w:rPr>
          <w:bCs/>
          <w:b/>
        </w:rPr>
        <w:t xml:space="preserve">Author’s assessment:</w:t>
      </w:r>
      <w:r>
        <w:t xml:space="preserve"> </w:t>
      </w:r>
      <w:r>
        <w:t xml:space="preserve">the gray market will not disappear by 2035, but it will change. Falling prices for approved drugs are likely to reduce the incentive for counterfeiting semaglutide. At the same time, every new agent that causes a stir in studies will be offered as a</w:t>
      </w:r>
      <w:r>
        <w:t xml:space="preserve"> </w:t>
      </w:r>
      <w:r>
        <w:t xml:space="preserve">“</w:t>
      </w:r>
      <w:r>
        <w:t xml:space="preserve">research peptide</w:t>
      </w:r>
      <w:r>
        <w:t xml:space="preserve">”</w:t>
      </w:r>
      <w:r>
        <w:t xml:space="preserve"> </w:t>
      </w:r>
      <w:r>
        <w:t xml:space="preserve">even before its approval. I expect stricter controls on online sellers and payment channels in the EU, but no effective solution as long as orders from countries with weak oversight remain possible.</w:t>
      </w:r>
    </w:p>
    <w:bookmarkEnd w:id="2966"/>
    <w:bookmarkStart w:id="2971" w:name="X6b627fa936cec3af80923ef1b3ecb8d794e6a4f"/>
    <w:p>
      <w:pPr>
        <w:pStyle w:val="Heading4"/>
      </w:pPr>
      <w:r>
        <w:t xml:space="preserve">Artificial intelligence in peptide design</w:t>
      </w:r>
    </w:p>
    <w:p>
      <w:pPr>
        <w:pStyle w:val="FirstParagraph"/>
      </w:pPr>
      <w:r>
        <w:rPr>
          <w:bCs/>
          <w:b/>
        </w:rPr>
        <w:t xml:space="preserve">Established:</w:t>
      </w:r>
      <w:r>
        <w:t xml:space="preserve"> </w:t>
      </w:r>
      <w:r>
        <w:t xml:space="preserve">so far, all published evidence comes from laboratory and animal experiments. A research team used machine learning methods to design 10,000 new GLP-1 receptor agonists, selected 60 on the computer, and tested them in the laboratory; two candidates acted about three times as long as semaglutide in mice</w:t>
      </w:r>
      <w:r>
        <w:rPr>
          <w:rStyle w:val="FootnoteReference"/>
        </w:rPr>
        <w:footnoteReference w:id="2967"/>
      </w:r>
      <w:r>
        <w:t xml:space="preserve">. Another method designed ring-shaped peptides that bind specifically to predefined proteins; the structures determined in the laboratory closely matched the computer models</w:t>
      </w:r>
      <w:r>
        <w:rPr>
          <w:rStyle w:val="FootnoteReference"/>
        </w:rPr>
        <w:footnoteReference w:id="2968"/>
      </w:r>
      <w:r>
        <w:t xml:space="preserve">. Using a learning model, new antimicrobial peptides were derived from bacterial peptides, one of which reduced the bacterial load by more than 95% in mice with a thigh infection</w:t>
      </w:r>
      <w:r>
        <w:rPr>
          <w:rStyle w:val="FootnoteReference"/>
        </w:rPr>
        <w:footnoteReference w:id="2969"/>
      </w:r>
      <w:r>
        <w:t xml:space="preserve">. The oral PCSK9 peptide enlicitide was found using another high-throughput method and is already in phase 3</w:t>
      </w:r>
      <w:r>
        <w:rPr>
          <w:rStyle w:val="FootnoteReference"/>
        </w:rPr>
        <w:footnoteReference w:id="2970"/>
      </w:r>
      <w:r>
        <w:t xml:space="preserve">.</w:t>
      </w:r>
    </w:p>
    <w:p>
      <w:pPr>
        <w:pStyle w:val="BodyText"/>
      </w:pPr>
      <w:r>
        <w:rPr>
          <w:bCs/>
          <w:b/>
        </w:rPr>
        <w:t xml:space="preserve">Author’s assessment:</w:t>
      </w:r>
      <w:r>
        <w:t xml:space="preserve"> </w:t>
      </w:r>
      <w:r>
        <w:t xml:space="preserve">by 2030, the first peptides designed using AI methods will be in early human studies; approval by 2035 is possible but not likely, because even a quickly found molecule has to pass through all clinical phases. AI shortens the search for candidates, not testing in humans. For readers, this means: offers that promise</w:t>
      </w:r>
      <w:r>
        <w:t xml:space="preserve"> </w:t>
      </w:r>
      <w:r>
        <w:t xml:space="preserve">“</w:t>
      </w:r>
      <w:r>
        <w:t xml:space="preserve">AI-optimized peptides</w:t>
      </w:r>
      <w:r>
        <w:t xml:space="preserve">”</w:t>
      </w:r>
      <w:r>
        <w:t xml:space="preserve"> </w:t>
      </w:r>
      <w:r>
        <w:t xml:space="preserve">are advertising, not proof of efficacy.</w:t>
      </w:r>
    </w:p>
    <w:bookmarkEnd w:id="2971"/>
    <w:bookmarkEnd w:id="2972"/>
    <w:bookmarkStart w:id="2973" w:name="X2c5b863337c1721933859b9d4cf81bb0d8a1530"/>
    <w:p>
      <w:pPr>
        <w:pStyle w:val="Heading3"/>
      </w:pPr>
      <w:r>
        <w:t xml:space="preserve">Timeline: what is announced in the registry up to 2032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Expected event according to registry</w:t>
            </w:r>
          </w:p>
        </w:tc>
        <w:tc>
          <w:tcPr/>
          <w:p>
            <w:pPr>
              <w:pStyle w:val="Compact"/>
              <w:jc w:val="left"/>
            </w:pPr>
            <w:r>
              <w:t xml:space="preserve">Agent</w:t>
            </w:r>
          </w:p>
        </w:tc>
        <w:tc>
          <w:tcPr/>
          <w:p>
            <w:pPr>
              <w:pStyle w:val="Compact"/>
              <w:jc w:val="left"/>
            </w:pPr>
            <w:r>
              <w:t xml:space="preserve">Study</w:t>
            </w:r>
          </w:p>
        </w:tc>
      </w:tr>
      <w:tr>
        <w:tc>
          <w:tcPr/>
          <w:p>
            <w:pPr>
              <w:pStyle w:val="Compact"/>
              <w:jc w:val="left"/>
            </w:pPr>
            <w:r>
              <w:t xml:space="preserve">2026/2027</w:t>
            </w:r>
          </w:p>
        </w:tc>
        <w:tc>
          <w:tcPr/>
          <w:p>
            <w:pPr>
              <w:pStyle w:val="Compact"/>
              <w:jc w:val="left"/>
            </w:pPr>
            <w:r>
              <w:t xml:space="preserve">Results of head-to-head comparison with tirzepatide</w:t>
            </w:r>
          </w:p>
        </w:tc>
        <w:tc>
          <w:tcPr/>
          <w:p>
            <w:pPr>
              <w:pStyle w:val="Compact"/>
              <w:jc w:val="left"/>
            </w:pPr>
            <w:r>
              <w:t xml:space="preserve">Retatrutide</w:t>
            </w:r>
          </w:p>
        </w:tc>
        <w:tc>
          <w:tcPr/>
          <w:p>
            <w:pPr>
              <w:pStyle w:val="Compact"/>
              <w:jc w:val="left"/>
            </w:pPr>
            <w:r>
              <w:t xml:space="preserve">NCT06662383</w:t>
            </w:r>
          </w:p>
        </w:tc>
      </w:tr>
      <w:tr>
        <w:tc>
          <w:tcPr/>
          <w:p>
            <w:pPr>
              <w:pStyle w:val="Compact"/>
              <w:jc w:val="left"/>
            </w:pPr>
            <w:r>
              <w:t xml:space="preserve">2027</w:t>
            </w:r>
          </w:p>
        </w:tc>
        <w:tc>
          <w:tcPr/>
          <w:p>
            <w:pPr>
              <w:pStyle w:val="Compact"/>
              <w:jc w:val="left"/>
            </w:pPr>
            <w:r>
              <w:t xml:space="preserve">Cardiovascular results without diabetes</w:t>
            </w:r>
          </w:p>
        </w:tc>
        <w:tc>
          <w:tcPr/>
          <w:p>
            <w:pPr>
              <w:pStyle w:val="Compact"/>
              <w:jc w:val="left"/>
            </w:pPr>
            <w:r>
              <w:t xml:space="preserve">Tirzepatide</w:t>
            </w:r>
          </w:p>
        </w:tc>
        <w:tc>
          <w:tcPr/>
          <w:p>
            <w:pPr>
              <w:pStyle w:val="Compact"/>
              <w:jc w:val="left"/>
            </w:pPr>
            <w:r>
              <w:t xml:space="preserve">NCT05556512</w:t>
            </w:r>
          </w:p>
        </w:tc>
      </w:tr>
      <w:tr>
        <w:tc>
          <w:tcPr/>
          <w:p>
            <w:pPr>
              <w:pStyle w:val="Compact"/>
              <w:jc w:val="left"/>
            </w:pPr>
            <w:r>
              <w:t xml:space="preserve">2027</w:t>
            </w:r>
          </w:p>
        </w:tc>
        <w:tc>
          <w:tcPr/>
          <w:p>
            <w:pPr>
              <w:pStyle w:val="Compact"/>
              <w:jc w:val="left"/>
            </w:pPr>
            <w:r>
              <w:t xml:space="preserve">Cardiovascular results</w:t>
            </w:r>
          </w:p>
        </w:tc>
        <w:tc>
          <w:tcPr/>
          <w:p>
            <w:pPr>
              <w:pStyle w:val="Compact"/>
              <w:jc w:val="left"/>
            </w:pPr>
            <w:r>
              <w:t xml:space="preserve">CagriSema</w:t>
            </w:r>
          </w:p>
        </w:tc>
        <w:tc>
          <w:tcPr/>
          <w:p>
            <w:pPr>
              <w:pStyle w:val="Compact"/>
              <w:jc w:val="left"/>
            </w:pPr>
            <w:r>
              <w:t xml:space="preserve">NCT05669755</w:t>
            </w:r>
          </w:p>
        </w:tc>
      </w:tr>
      <w:tr>
        <w:tc>
          <w:tcPr/>
          <w:p>
            <w:pPr>
              <w:pStyle w:val="Compact"/>
              <w:jc w:val="left"/>
            </w:pPr>
            <w:r>
              <w:t xml:space="preserve">2027</w:t>
            </w:r>
          </w:p>
        </w:tc>
        <w:tc>
          <w:tcPr/>
          <w:p>
            <w:pPr>
              <w:pStyle w:val="Compact"/>
              <w:jc w:val="left"/>
            </w:pPr>
            <w:r>
              <w:t xml:space="preserve">Colorectal cancer follow-up</w:t>
            </w:r>
          </w:p>
        </w:tc>
        <w:tc>
          <w:tcPr/>
          <w:p>
            <w:pPr>
              <w:pStyle w:val="Compact"/>
              <w:jc w:val="left"/>
            </w:pPr>
            <w:r>
              <w:t xml:space="preserve">Thymosin alpha-1</w:t>
            </w:r>
          </w:p>
        </w:tc>
        <w:tc>
          <w:tcPr/>
          <w:p>
            <w:pPr>
              <w:pStyle w:val="Compact"/>
              <w:jc w:val="left"/>
            </w:pPr>
            <w:r>
              <w:t xml:space="preserve">NCT05086614</w:t>
            </w:r>
          </w:p>
        </w:tc>
      </w:tr>
      <w:tr>
        <w:tc>
          <w:tcPr/>
          <w:p>
            <w:pPr>
              <w:pStyle w:val="Compact"/>
              <w:jc w:val="left"/>
            </w:pPr>
            <w:r>
              <w:t xml:space="preserve">2027</w:t>
            </w:r>
          </w:p>
        </w:tc>
        <w:tc>
          <w:tcPr/>
          <w:p>
            <w:pPr>
              <w:pStyle w:val="Compact"/>
              <w:jc w:val="left"/>
            </w:pPr>
            <w:r>
              <w:t xml:space="preserve">Macular degeneration</w:t>
            </w:r>
          </w:p>
        </w:tc>
        <w:tc>
          <w:tcPr/>
          <w:p>
            <w:pPr>
              <w:pStyle w:val="Compact"/>
              <w:jc w:val="left"/>
            </w:pPr>
            <w:r>
              <w:t xml:space="preserve">Elamipretide</w:t>
            </w:r>
          </w:p>
        </w:tc>
        <w:tc>
          <w:tcPr/>
          <w:p>
            <w:pPr>
              <w:pStyle w:val="Compact"/>
              <w:jc w:val="left"/>
            </w:pPr>
            <w:r>
              <w:t xml:space="preserve">NCT06373731</w:t>
            </w:r>
          </w:p>
        </w:tc>
      </w:tr>
      <w:tr>
        <w:tc>
          <w:tcPr/>
          <w:p>
            <w:pPr>
              <w:pStyle w:val="Compact"/>
              <w:jc w:val="left"/>
            </w:pPr>
            <w:r>
              <w:t xml:space="preserve">2028</w:t>
            </w:r>
          </w:p>
        </w:tc>
        <w:tc>
          <w:tcPr/>
          <w:p>
            <w:pPr>
              <w:pStyle w:val="Compact"/>
              <w:jc w:val="left"/>
            </w:pPr>
            <w:r>
              <w:t xml:space="preserve">Growth in children</w:t>
            </w:r>
          </w:p>
        </w:tc>
        <w:tc>
          <w:tcPr/>
          <w:p>
            <w:pPr>
              <w:pStyle w:val="Compact"/>
              <w:jc w:val="left"/>
            </w:pPr>
            <w:r>
              <w:t xml:space="preserve">Ibutamoren (LUM-201)</w:t>
            </w:r>
          </w:p>
        </w:tc>
        <w:tc>
          <w:tcPr/>
          <w:p>
            <w:pPr>
              <w:pStyle w:val="Compact"/>
              <w:jc w:val="left"/>
            </w:pPr>
            <w:r>
              <w:t xml:space="preserve">NCT06948214</w:t>
            </w:r>
          </w:p>
        </w:tc>
      </w:tr>
      <w:tr>
        <w:tc>
          <w:tcPr/>
          <w:p>
            <w:pPr>
              <w:pStyle w:val="Compact"/>
              <w:jc w:val="left"/>
            </w:pPr>
            <w:r>
              <w:t xml:space="preserve">2029</w:t>
            </w:r>
          </w:p>
        </w:tc>
        <w:tc>
          <w:tcPr/>
          <w:p>
            <w:pPr>
              <w:pStyle w:val="Compact"/>
              <w:jc w:val="left"/>
            </w:pPr>
            <w:r>
              <w:t xml:space="preserve">Cardiac and kidney events</w:t>
            </w:r>
          </w:p>
        </w:tc>
        <w:tc>
          <w:tcPr/>
          <w:p>
            <w:pPr>
              <w:pStyle w:val="Compact"/>
              <w:jc w:val="left"/>
            </w:pPr>
            <w:r>
              <w:t xml:space="preserve">Retatrutide</w:t>
            </w:r>
          </w:p>
        </w:tc>
        <w:tc>
          <w:tcPr/>
          <w:p>
            <w:pPr>
              <w:pStyle w:val="Compact"/>
              <w:jc w:val="left"/>
            </w:pPr>
            <w:r>
              <w:t xml:space="preserve">NCT06383390</w:t>
            </w:r>
          </w:p>
        </w:tc>
      </w:tr>
      <w:tr>
        <w:tc>
          <w:tcPr/>
          <w:p>
            <w:pPr>
              <w:pStyle w:val="Compact"/>
              <w:jc w:val="left"/>
            </w:pPr>
            <w:r>
              <w:t xml:space="preserve">2030</w:t>
            </w:r>
          </w:p>
        </w:tc>
        <w:tc>
          <w:tcPr/>
          <w:p>
            <w:pPr>
              <w:pStyle w:val="Compact"/>
              <w:jc w:val="left"/>
            </w:pPr>
            <w:r>
              <w:t xml:space="preserve">Cardiovascular results, heart failure</w:t>
            </w:r>
          </w:p>
        </w:tc>
        <w:tc>
          <w:tcPr/>
          <w:p>
            <w:pPr>
              <w:pStyle w:val="Compact"/>
              <w:jc w:val="left"/>
            </w:pPr>
            <w:r>
              <w:t xml:space="preserve">Maridebart cafraglutide</w:t>
            </w:r>
          </w:p>
        </w:tc>
        <w:tc>
          <w:tcPr/>
          <w:p>
            <w:pPr>
              <w:pStyle w:val="Compact"/>
              <w:jc w:val="left"/>
            </w:pPr>
            <w:r>
              <w:t xml:space="preserve">NCT07037433, NCT07037459</w:t>
            </w:r>
          </w:p>
        </w:tc>
      </w:tr>
      <w:tr>
        <w:tc>
          <w:tcPr/>
          <w:p>
            <w:pPr>
              <w:pStyle w:val="Compact"/>
              <w:jc w:val="left"/>
            </w:pPr>
            <w:r>
              <w:t xml:space="preserve">2030</w:t>
            </w:r>
          </w:p>
        </w:tc>
        <w:tc>
          <w:tcPr/>
          <w:p>
            <w:pPr>
              <w:pStyle w:val="Compact"/>
              <w:jc w:val="left"/>
            </w:pPr>
            <w:r>
              <w:t xml:space="preserve">Cardiovascular results</w:t>
            </w:r>
          </w:p>
        </w:tc>
        <w:tc>
          <w:tcPr/>
          <w:p>
            <w:pPr>
              <w:pStyle w:val="Compact"/>
              <w:jc w:val="left"/>
            </w:pPr>
            <w:r>
              <w:t xml:space="preserve">Zenagamtide</w:t>
            </w:r>
          </w:p>
        </w:tc>
        <w:tc>
          <w:tcPr/>
          <w:p>
            <w:pPr>
              <w:pStyle w:val="Compact"/>
              <w:jc w:val="left"/>
            </w:pPr>
            <w:r>
              <w:t xml:space="preserve">NCT07861100</w:t>
            </w:r>
          </w:p>
        </w:tc>
      </w:tr>
      <w:tr>
        <w:tc>
          <w:tcPr/>
          <w:p>
            <w:pPr>
              <w:pStyle w:val="Compact"/>
              <w:jc w:val="left"/>
            </w:pPr>
            <w:r>
              <w:t xml:space="preserve">2031</w:t>
            </w:r>
          </w:p>
        </w:tc>
        <w:tc>
          <w:tcPr/>
          <w:p>
            <w:pPr>
              <w:pStyle w:val="Compact"/>
              <w:jc w:val="left"/>
            </w:pPr>
            <w:r>
              <w:t xml:space="preserve">Cardiovascular results</w:t>
            </w:r>
          </w:p>
        </w:tc>
        <w:tc>
          <w:tcPr/>
          <w:p>
            <w:pPr>
              <w:pStyle w:val="Compact"/>
              <w:jc w:val="left"/>
            </w:pPr>
            <w:r>
              <w:t xml:space="preserve">Orforglipron</w:t>
            </w:r>
          </w:p>
        </w:tc>
        <w:tc>
          <w:tcPr/>
          <w:p>
            <w:pPr>
              <w:pStyle w:val="Compact"/>
              <w:jc w:val="left"/>
            </w:pPr>
            <w:r>
              <w:t xml:space="preserve">NCT07241390</w:t>
            </w:r>
          </w:p>
        </w:tc>
      </w:tr>
      <w:tr>
        <w:tc>
          <w:tcPr/>
          <w:p>
            <w:pPr>
              <w:pStyle w:val="Compact"/>
              <w:jc w:val="left"/>
            </w:pPr>
            <w:r>
              <w:t xml:space="preserve">2031</w:t>
            </w:r>
          </w:p>
        </w:tc>
        <w:tc>
          <w:tcPr/>
          <w:p>
            <w:pPr>
              <w:pStyle w:val="Compact"/>
              <w:jc w:val="left"/>
            </w:pPr>
            <w:r>
              <w:t xml:space="preserve">Cardiovascular results</w:t>
            </w:r>
          </w:p>
        </w:tc>
        <w:tc>
          <w:tcPr/>
          <w:p>
            <w:pPr>
              <w:pStyle w:val="Compact"/>
              <w:jc w:val="left"/>
            </w:pPr>
            <w:r>
              <w:t xml:space="preserve">Enlicitide (oral peptide)</w:t>
            </w:r>
          </w:p>
        </w:tc>
        <w:tc>
          <w:tcPr/>
          <w:p>
            <w:pPr>
              <w:pStyle w:val="Compact"/>
              <w:jc w:val="left"/>
            </w:pPr>
            <w:r>
              <w:t xml:space="preserve">NCT06008756</w:t>
            </w:r>
          </w:p>
        </w:tc>
      </w:tr>
      <w:tr>
        <w:tc>
          <w:tcPr/>
          <w:p>
            <w:pPr>
              <w:pStyle w:val="Compact"/>
              <w:jc w:val="left"/>
            </w:pPr>
            <w:r>
              <w:t xml:space="preserve">2032</w:t>
            </w:r>
          </w:p>
        </w:tc>
        <w:tc>
          <w:tcPr/>
          <w:p>
            <w:pPr>
              <w:pStyle w:val="Compact"/>
              <w:jc w:val="left"/>
            </w:pPr>
            <w:r>
              <w:t xml:space="preserve">Major liver events</w:t>
            </w:r>
          </w:p>
        </w:tc>
        <w:tc>
          <w:tcPr/>
          <w:p>
            <w:pPr>
              <w:pStyle w:val="Compact"/>
              <w:jc w:val="left"/>
            </w:pPr>
            <w:r>
              <w:t xml:space="preserve">Tirzepatide, retatrutide</w:t>
            </w:r>
          </w:p>
        </w:tc>
        <w:tc>
          <w:tcPr/>
          <w:p>
            <w:pPr>
              <w:pStyle w:val="Compact"/>
              <w:jc w:val="left"/>
            </w:pPr>
            <w:r>
              <w:t xml:space="preserve">NCT07165028</w:t>
            </w:r>
          </w:p>
        </w:tc>
      </w:tr>
    </w:tbl>
    <w:p>
      <w:pPr>
        <w:pStyle w:val="BodyText"/>
      </w:pPr>
      <w:r>
        <w:t xml:space="preserve">The years are the study completion dates given in the registry. Publications usually follow later, and delays are common.</w:t>
      </w:r>
    </w:p>
    <w:bookmarkEnd w:id="2973"/>
    <w:bookmarkStart w:id="2974" w:name="the-books-conclusion"/>
    <w:p>
      <w:pPr>
        <w:pStyle w:val="Heading3"/>
      </w:pPr>
      <w:r>
        <w:t xml:space="preserve">The book’s conclusion</w:t>
      </w:r>
    </w:p>
    <w:p>
      <w:pPr>
        <w:pStyle w:val="FirstParagraph"/>
      </w:pPr>
      <w:r>
        <w:t xml:space="preserve">Of the peptides in this book, only a few have proven in large human studies what they can do – above all the GLP-1-based drugs, whose benefit extends to fewer cardiovascular events. For most of the peptides advertised on the internet as miracle cures for healing, muscle, or a long life, by contrast, there are only animal experiments, small studies, or no data at all – and no ongoing large study that would change this soon. The future of peptide medicine will therefore be decided not in online shops but in the outcome trials ending between 2027 and 2032. If you are interested in a peptide, you are best served by three questions: Are there randomized studies in humans? Is the product a tested drug? And is a physician supervising its use?</w:t>
      </w:r>
    </w:p>
    <w:bookmarkEnd w:id="2974"/>
    <w:bookmarkEnd w:id="2975"/>
    <w:bookmarkEnd w:id="2976"/>
    <w:bookmarkStart w:id="2995" w:name="glossary"/>
    <w:p>
      <w:pPr>
        <w:pStyle w:val="Heading1"/>
      </w:pPr>
      <w:r>
        <w:t xml:space="preserve">Glossary</w:t>
      </w:r>
    </w:p>
    <w:p>
      <w:pPr>
        <w:pStyle w:val="FirstParagraph"/>
      </w:pPr>
      <w:r>
        <w:t xml:space="preserve">The following explanations are deliberately kept short. More detailed accounts can be found in the chapters of Part I, especially in</w:t>
      </w:r>
      <w:r>
        <w:t xml:space="preserve"> </w:t>
      </w:r>
      <w:r>
        <w:t xml:space="preserve">“</w:t>
      </w:r>
      <w:r>
        <w:t xml:space="preserve">What Peptides Are – and What They Are Not</w:t>
      </w:r>
      <w:r>
        <w:t xml:space="preserve">”</w:t>
      </w:r>
      <w:r>
        <w:t xml:space="preserve"> </w:t>
      </w:r>
      <w:r>
        <w:t xml:space="preserve">and</w:t>
      </w:r>
      <w:r>
        <w:t xml:space="preserve"> </w:t>
      </w:r>
      <w:r>
        <w:t xml:space="preserve">“</w:t>
      </w:r>
      <w:r>
        <w:t xml:space="preserve">Reading Studies Correctly.</w:t>
      </w:r>
      <w:r>
        <w:t xml:space="preserve">”</w:t>
      </w:r>
    </w:p>
    <w:bookmarkStart w:id="2977" w:name="a"/>
    <w:p>
      <w:pPr>
        <w:pStyle w:val="Heading3"/>
      </w:pPr>
      <w:r>
        <w:t xml:space="preserve">A</w:t>
      </w:r>
    </w:p>
    <w:p>
      <w:pPr>
        <w:pStyle w:val="FirstParagraph"/>
      </w:pPr>
      <w:r>
        <w:rPr>
          <w:bCs/>
          <w:b/>
        </w:rPr>
        <w:t xml:space="preserve">Absolute risk reduction</w:t>
      </w:r>
      <w:r>
        <w:t xml:space="preserve">: The difference in the frequency of an event between two groups, expressed in percentage points. If a risk falls from 8% to 6.5%, the absolute risk reduction is 1.5 percentage points.</w:t>
      </w:r>
    </w:p>
    <w:p>
      <w:pPr>
        <w:pStyle w:val="BodyText"/>
      </w:pPr>
      <w:r>
        <w:rPr>
          <w:bCs/>
          <w:b/>
        </w:rPr>
        <w:t xml:space="preserve">Acromegaly</w:t>
      </w:r>
      <w:r>
        <w:t xml:space="preserve">: A disease caused by persistent overproduction of growth hormone in adulthood, usually due to a benign tumor of the pituitary gland. Enlarged hands, feet, and facial features are typical.</w:t>
      </w:r>
    </w:p>
    <w:p>
      <w:pPr>
        <w:pStyle w:val="BodyText"/>
      </w:pPr>
      <w:r>
        <w:rPr>
          <w:bCs/>
          <w:b/>
        </w:rPr>
        <w:t xml:space="preserve">Adverse event</w:t>
      </w:r>
      <w:r>
        <w:t xml:space="preserve">: Any health problem that occurs during a study, regardless of whether it was caused by the treatment. Only the comparison with the control group shows whether a connection is likely.</w:t>
      </w:r>
    </w:p>
    <w:p>
      <w:pPr>
        <w:pStyle w:val="BodyText"/>
      </w:pPr>
      <w:r>
        <w:rPr>
          <w:bCs/>
          <w:b/>
        </w:rPr>
        <w:t xml:space="preserve">Agonist</w:t>
      </w:r>
      <w:r>
        <w:t xml:space="preserve">: A substance that binds to a receptor and activates it, that is, triggers a signal. Semaglutide, for example, is an agonist at the GLP-1 receptor.</w:t>
      </w:r>
    </w:p>
    <w:p>
      <w:pPr>
        <w:pStyle w:val="BodyText"/>
      </w:pPr>
      <w:r>
        <w:rPr>
          <w:bCs/>
          <w:b/>
        </w:rPr>
        <w:t xml:space="preserve">Albumin</w:t>
      </w:r>
      <w:r>
        <w:t xml:space="preserve">: The most abundant protein in blood plasma. Some peptide drugs are designed to bind to albumin and thereby remain in the body longer.</w:t>
      </w:r>
    </w:p>
    <w:p>
      <w:pPr>
        <w:pStyle w:val="BodyText"/>
      </w:pPr>
      <w:r>
        <w:rPr>
          <w:bCs/>
          <w:b/>
        </w:rPr>
        <w:t xml:space="preserve">Amino acid</w:t>
      </w:r>
      <w:r>
        <w:t xml:space="preserve">: The basic building block of peptides and proteins. Humans essentially use 20 standard amino acids, which are linked into chains via peptide bonds.</w:t>
      </w:r>
    </w:p>
    <w:p>
      <w:pPr>
        <w:pStyle w:val="BodyText"/>
      </w:pPr>
      <w:r>
        <w:rPr>
          <w:bCs/>
          <w:b/>
        </w:rPr>
        <w:t xml:space="preserve">Amylin</w:t>
      </w:r>
      <w:r>
        <w:t xml:space="preserve">: A peptide hormone that is released from the pancreas together with insulin and influences, among other things, satiety and gastric emptying. Modified versions such as pramlintide and cagrilintide are used or being researched as drugs.</w:t>
      </w:r>
    </w:p>
    <w:p>
      <w:pPr>
        <w:pStyle w:val="BodyText"/>
      </w:pPr>
      <w:r>
        <w:rPr>
          <w:bCs/>
          <w:b/>
        </w:rPr>
        <w:t xml:space="preserve">Analog</w:t>
      </w:r>
      <w:r>
        <w:t xml:space="preserve">: A molecule modeled on a natural template but deliberately modified – for example, to make it more stable or longer-acting.</w:t>
      </w:r>
    </w:p>
    <w:p>
      <w:pPr>
        <w:pStyle w:val="BodyText"/>
      </w:pPr>
      <w:r>
        <w:rPr>
          <w:bCs/>
          <w:b/>
        </w:rPr>
        <w:t xml:space="preserve">Angiogenesis</w:t>
      </w:r>
      <w:r>
        <w:t xml:space="preserve">: The formation of new blood vessels. It is important for wound healing but can also promote the growth of tumors.</w:t>
      </w:r>
    </w:p>
    <w:p>
      <w:pPr>
        <w:pStyle w:val="BodyText"/>
      </w:pPr>
      <w:r>
        <w:rPr>
          <w:bCs/>
          <w:b/>
        </w:rPr>
        <w:t xml:space="preserve">Antagonist</w:t>
      </w:r>
      <w:r>
        <w:t xml:space="preserve">: A substance that binds to a receptor without activating it, thereby blocking the action of the body’s own messenger substances.</w:t>
      </w:r>
    </w:p>
    <w:p>
      <w:pPr>
        <w:pStyle w:val="BodyText"/>
      </w:pPr>
      <w:r>
        <w:rPr>
          <w:bCs/>
          <w:b/>
        </w:rPr>
        <w:t xml:space="preserve">Antibodies</w:t>
      </w:r>
      <w:r>
        <w:t xml:space="preserve">: Protein molecules of the immune system that bind specifically to foreign structures. Antibodies formed against peptide drugs can weaken their effect or trigger reactions.</w:t>
      </w:r>
    </w:p>
    <w:p>
      <w:pPr>
        <w:pStyle w:val="BodyText"/>
      </w:pPr>
      <w:r>
        <w:rPr>
          <w:bCs/>
          <w:b/>
        </w:rPr>
        <w:t xml:space="preserve">Antimicrobial peptides</w:t>
      </w:r>
      <w:r>
        <w:t xml:space="preserve">: Endogenous peptides that are part of the innate immune defense and can damage bacteria, fungi, or viruses. One example is LL-37.</w:t>
      </w:r>
    </w:p>
    <w:p>
      <w:pPr>
        <w:pStyle w:val="BodyText"/>
      </w:pPr>
      <w:r>
        <w:rPr>
          <w:bCs/>
          <w:b/>
        </w:rPr>
        <w:t xml:space="preserve">Approval (marketing authorization)</w:t>
      </w:r>
      <w:r>
        <w:t xml:space="preserve">: The official permission to place a drug on the market, granted after review of its quality, efficacy, and safety.</w:t>
      </w:r>
    </w:p>
    <w:bookmarkEnd w:id="2977"/>
    <w:bookmarkStart w:id="2978" w:name="b"/>
    <w:p>
      <w:pPr>
        <w:pStyle w:val="Heading3"/>
      </w:pPr>
      <w:r>
        <w:t xml:space="preserve">B</w:t>
      </w:r>
    </w:p>
    <w:p>
      <w:pPr>
        <w:pStyle w:val="FirstParagraph"/>
      </w:pPr>
      <w:r>
        <w:rPr>
          <w:bCs/>
          <w:b/>
        </w:rPr>
        <w:t xml:space="preserve">Bioavailability</w:t>
      </w:r>
      <w:r>
        <w:t xml:space="preserve">: The proportion of an administered active ingredient that reaches the bloodstream unchanged. With an intravenous infusion it is 100%; with peptide tablets it is often only a few percent or less.</w:t>
      </w:r>
    </w:p>
    <w:p>
      <w:pPr>
        <w:pStyle w:val="BodyText"/>
      </w:pPr>
      <w:r>
        <w:rPr>
          <w:bCs/>
          <w:b/>
        </w:rPr>
        <w:t xml:space="preserve">Biologic</w:t>
      </w:r>
      <w:r>
        <w:t xml:space="preserve">: A drug whose active ingredient is produced with the help of living cells, for example by genetic engineering in bacteria or mammalian cells. Many larger peptides and all antibody drugs belong to this category.</w:t>
      </w:r>
    </w:p>
    <w:p>
      <w:pPr>
        <w:pStyle w:val="BodyText"/>
      </w:pPr>
      <w:r>
        <w:rPr>
          <w:bCs/>
          <w:b/>
        </w:rPr>
        <w:t xml:space="preserve">Biosimilar</w:t>
      </w:r>
      <w:r>
        <w:t xml:space="preserve">: A follow-on version of a biological drug after patent protection has expired. It must be demonstrably very similar to the original in quality, efficacy, and safety.</w:t>
      </w:r>
    </w:p>
    <w:p>
      <w:pPr>
        <w:pStyle w:val="BodyText"/>
      </w:pPr>
      <w:r>
        <w:rPr>
          <w:bCs/>
          <w:b/>
        </w:rPr>
        <w:t xml:space="preserve">Blinding</w:t>
      </w:r>
      <w:r>
        <w:t xml:space="preserve">: Concealing group assignment from participants and/or study staff in order to avoid expectation effects.</w:t>
      </w:r>
    </w:p>
    <w:p>
      <w:pPr>
        <w:pStyle w:val="BodyText"/>
      </w:pPr>
      <w:r>
        <w:rPr>
          <w:bCs/>
          <w:b/>
        </w:rPr>
        <w:t xml:space="preserve">BMI (body mass index)</w:t>
      </w:r>
      <w:r>
        <w:t xml:space="preserve">: Body weight in kilograms divided by the square of height in meters. A rough measure of underweight, normal weight, and overweight.</w:t>
      </w:r>
    </w:p>
    <w:bookmarkEnd w:id="2978"/>
    <w:bookmarkStart w:id="2979" w:name="c"/>
    <w:p>
      <w:pPr>
        <w:pStyle w:val="Heading3"/>
      </w:pPr>
      <w:r>
        <w:t xml:space="preserve">C</w:t>
      </w:r>
    </w:p>
    <w:p>
      <w:pPr>
        <w:pStyle w:val="FirstParagraph"/>
      </w:pPr>
      <w:r>
        <w:rPr>
          <w:bCs/>
          <w:b/>
        </w:rPr>
        <w:t xml:space="preserve">Case report</w:t>
      </w:r>
      <w:r>
        <w:t xml:space="preserve">: The description of a single case of illness in a scientific journal. Case reports are important for detecting rare side effects but say little about efficacy.</w:t>
      </w:r>
    </w:p>
    <w:p>
      <w:pPr>
        <w:pStyle w:val="BodyText"/>
      </w:pPr>
      <w:r>
        <w:rPr>
          <w:bCs/>
          <w:b/>
        </w:rPr>
        <w:t xml:space="preserve">Cohort study</w:t>
      </w:r>
      <w:r>
        <w:t xml:space="preserve">: An observational study that follows a group of people over a long period and compares how often certain events occur with different characteristics or treatments.</w:t>
      </w:r>
    </w:p>
    <w:p>
      <w:pPr>
        <w:pStyle w:val="BodyText"/>
      </w:pPr>
      <w:r>
        <w:rPr>
          <w:bCs/>
          <w:b/>
        </w:rPr>
        <w:t xml:space="preserve">Compounding</w:t>
      </w:r>
      <w:r>
        <w:t xml:space="preserve">: In the US, the preparation of drugs by pharmacies themselves, for example during supply shortages. Such preparations are not approved finished drugs.</w:t>
      </w:r>
    </w:p>
    <w:p>
      <w:pPr>
        <w:pStyle w:val="BodyText"/>
      </w:pPr>
      <w:r>
        <w:rPr>
          <w:bCs/>
          <w:b/>
        </w:rPr>
        <w:t xml:space="preserve">Confidence interval</w:t>
      </w:r>
      <w:r>
        <w:t xml:space="preserve">: A range around a study result within which the true value lies with a certain probability (usually 95%). Wide intervals indicate an uncertain estimate.</w:t>
      </w:r>
    </w:p>
    <w:p>
      <w:pPr>
        <w:pStyle w:val="BodyText"/>
      </w:pPr>
      <w:r>
        <w:rPr>
          <w:bCs/>
          <w:b/>
        </w:rPr>
        <w:t xml:space="preserve">Conflict of interest</w:t>
      </w:r>
      <w:r>
        <w:t xml:space="preserve">: A situation in which financial or other interests could influence the judgment of researchers or authors, for example through funding of a study by the manufacturer.</w:t>
      </w:r>
    </w:p>
    <w:p>
      <w:pPr>
        <w:pStyle w:val="BodyText"/>
      </w:pPr>
      <w:r>
        <w:rPr>
          <w:bCs/>
          <w:b/>
        </w:rPr>
        <w:t xml:space="preserve">Confounding (confounder)</w:t>
      </w:r>
      <w:r>
        <w:t xml:space="preserve">: A factor that is associated with both a treatment and an outcome and can thus create an apparent association. A typical problem of observational studies.</w:t>
      </w:r>
    </w:p>
    <w:p>
      <w:pPr>
        <w:pStyle w:val="BodyText"/>
      </w:pPr>
      <w:r>
        <w:rPr>
          <w:bCs/>
          <w:b/>
        </w:rPr>
        <w:t xml:space="preserve">Control group</w:t>
      </w:r>
      <w:r>
        <w:t xml:space="preserve">: The comparison group in a study, which receives no active ingredient, a placebo, or a standard treatment.</w:t>
      </w:r>
    </w:p>
    <w:p>
      <w:pPr>
        <w:pStyle w:val="BodyText"/>
      </w:pPr>
      <w:r>
        <w:rPr>
          <w:bCs/>
          <w:b/>
        </w:rPr>
        <w:t xml:space="preserve">Cosmetic product</w:t>
      </w:r>
      <w:r>
        <w:t xml:space="preserve">: A product for external use that cleans, cares for, protects, or changes the appearance. It may not claim any medicinal effect and does not require approval in the EU.</w:t>
      </w:r>
    </w:p>
    <w:p>
      <w:pPr>
        <w:pStyle w:val="BodyText"/>
      </w:pPr>
      <w:r>
        <w:rPr>
          <w:bCs/>
          <w:b/>
        </w:rPr>
        <w:t xml:space="preserve">C-terminus</w:t>
      </w:r>
      <w:r>
        <w:t xml:space="preserve">: The end of a peptide chain with the free acid group. Peptide sequences are written from the N-terminus to the C-terminus.</w:t>
      </w:r>
    </w:p>
    <w:p>
      <w:pPr>
        <w:pStyle w:val="BodyText"/>
      </w:pPr>
      <w:r>
        <w:rPr>
          <w:bCs/>
          <w:b/>
        </w:rPr>
        <w:t xml:space="preserve">Cyclic peptide</w:t>
      </w:r>
      <w:r>
        <w:t xml:space="preserve">: A peptide whose chain is closed into a ring. Ring structures often make peptides more stable against enzymes.</w:t>
      </w:r>
    </w:p>
    <w:bookmarkEnd w:id="2979"/>
    <w:bookmarkStart w:id="2980" w:name="d"/>
    <w:p>
      <w:pPr>
        <w:pStyle w:val="Heading3"/>
      </w:pPr>
      <w:r>
        <w:t xml:space="preserve">D</w:t>
      </w:r>
    </w:p>
    <w:p>
      <w:pPr>
        <w:pStyle w:val="FirstParagraph"/>
      </w:pPr>
      <w:r>
        <w:rPr>
          <w:bCs/>
          <w:b/>
        </w:rPr>
        <w:t xml:space="preserve">Dalton</w:t>
      </w:r>
      <w:r>
        <w:t xml:space="preserve">: A unit of measurement for the mass of molecules. An amino acid in a peptide chain weighs on average slightly more than 100 daltons.</w:t>
      </w:r>
    </w:p>
    <w:p>
      <w:pPr>
        <w:pStyle w:val="BodyText"/>
      </w:pPr>
      <w:r>
        <w:rPr>
          <w:bCs/>
          <w:b/>
        </w:rPr>
        <w:t xml:space="preserve">Dietary supplement</w:t>
      </w:r>
      <w:r>
        <w:t xml:space="preserve">: A food intended to supplement the normal diet with nutrients or other substances. It does not require approval but may not have a pharmacological effect.</w:t>
      </w:r>
    </w:p>
    <w:p>
      <w:pPr>
        <w:pStyle w:val="BodyText"/>
      </w:pPr>
      <w:r>
        <w:rPr>
          <w:bCs/>
          <w:b/>
        </w:rPr>
        <w:t xml:space="preserve">Dipeptidyl peptidase-4 (DPP-4)</w:t>
      </w:r>
      <w:r>
        <w:t xml:space="preserve">: An enzyme that, among other things, rapidly breaks down the gut hormone GLP-1. Inhibitors of this enzyme (gliptins) are used as diabetes tablets.</w:t>
      </w:r>
    </w:p>
    <w:p>
      <w:pPr>
        <w:pStyle w:val="BodyText"/>
      </w:pPr>
      <w:r>
        <w:rPr>
          <w:bCs/>
          <w:b/>
        </w:rPr>
        <w:t xml:space="preserve">Double-blind</w:t>
      </w:r>
      <w:r>
        <w:t xml:space="preserve">: A study in which neither the participants nor the study staff know who receives the active ingredient and who receives placebo. This reduces the influence of expectations on the results.</w:t>
      </w:r>
    </w:p>
    <w:p>
      <w:pPr>
        <w:pStyle w:val="BodyText"/>
      </w:pPr>
      <w:r>
        <w:rPr>
          <w:bCs/>
          <w:b/>
        </w:rPr>
        <w:t xml:space="preserve">Drug (medicinal product)</w:t>
      </w:r>
      <w:r>
        <w:t xml:space="preserve">: A substance or preparation intended to cure, alleviate, or prevent diseases, or that influences bodily functions pharmacologically, immunologically, or metabolically. In the EU, a drug requires approval before it can be sold.</w:t>
      </w:r>
    </w:p>
    <w:bookmarkEnd w:id="2980"/>
    <w:bookmarkStart w:id="2981" w:name="e"/>
    <w:p>
      <w:pPr>
        <w:pStyle w:val="Heading3"/>
      </w:pPr>
      <w:r>
        <w:t xml:space="preserve">E</w:t>
      </w:r>
    </w:p>
    <w:p>
      <w:pPr>
        <w:pStyle w:val="FirstParagraph"/>
      </w:pPr>
      <w:r>
        <w:rPr>
          <w:bCs/>
          <w:b/>
        </w:rPr>
        <w:t xml:space="preserve">Endotoxins</w:t>
      </w:r>
      <w:r>
        <w:t xml:space="preserve">: Heat-stable components of the cell wall of certain bacteria. If they enter the blood, they can trigger fever, inflammation, and circulatory reactions; they remain active even after the bacteria have been killed.</w:t>
      </w:r>
    </w:p>
    <w:p>
      <w:pPr>
        <w:pStyle w:val="BodyText"/>
      </w:pPr>
      <w:r>
        <w:rPr>
          <w:bCs/>
          <w:b/>
        </w:rPr>
        <w:t xml:space="preserve">Endpoint</w:t>
      </w:r>
      <w:r>
        <w:t xml:space="preserve">: The characteristic by which the success of a treatment is measured in a study, for example weight loss, blood sugar, or heart attacks. The most important one is defined before the start of the study as the primary endpoint.</w:t>
      </w:r>
    </w:p>
    <w:p>
      <w:pPr>
        <w:pStyle w:val="BodyText"/>
      </w:pPr>
      <w:r>
        <w:rPr>
          <w:bCs/>
          <w:b/>
        </w:rPr>
        <w:t xml:space="preserve">Estimand</w:t>
      </w:r>
      <w:r>
        <w:t xml:space="preserve">: A precise description of which treatment effect is estimated in a study – for example, regardless of whether participants discontinue treatment, or only for the period of actual use.</w:t>
      </w:r>
    </w:p>
    <w:p>
      <w:pPr>
        <w:pStyle w:val="BodyText"/>
      </w:pPr>
      <w:r>
        <w:rPr>
          <w:bCs/>
          <w:b/>
        </w:rPr>
        <w:t xml:space="preserve">EudraVigilance</w:t>
      </w:r>
      <w:r>
        <w:t xml:space="preserve">: The European Medicines Agency’s database for reports of suspected side effects.</w:t>
      </w:r>
    </w:p>
    <w:p>
      <w:pPr>
        <w:pStyle w:val="BodyText"/>
      </w:pPr>
      <w:r>
        <w:rPr>
          <w:bCs/>
          <w:b/>
        </w:rPr>
        <w:t xml:space="preserve">Evidence level</w:t>
      </w:r>
      <w:r>
        <w:t xml:space="preserve">: In this book, a rating from A to D of how well the effect of a peptide in humans is supported. A stands for several large randomized trials and approval, D for exclusively animal and laboratory studies.</w:t>
      </w:r>
    </w:p>
    <w:p>
      <w:pPr>
        <w:pStyle w:val="BodyText"/>
      </w:pPr>
      <w:r>
        <w:rPr>
          <w:bCs/>
          <w:b/>
        </w:rPr>
        <w:t xml:space="preserve">Evidence pyramid</w:t>
      </w:r>
      <w:r>
        <w:t xml:space="preserve">: A ranking of study types according to their strength of evidence, from laboratory and animal studies at the bottom to meta-analyses of randomized trials at the top.</w:t>
      </w:r>
    </w:p>
    <w:bookmarkEnd w:id="2981"/>
    <w:bookmarkStart w:id="2982" w:name="f"/>
    <w:p>
      <w:pPr>
        <w:pStyle w:val="Heading3"/>
      </w:pPr>
      <w:r>
        <w:t xml:space="preserve">F</w:t>
      </w:r>
    </w:p>
    <w:p>
      <w:pPr>
        <w:pStyle w:val="FirstParagraph"/>
      </w:pPr>
      <w:r>
        <w:rPr>
          <w:bCs/>
          <w:b/>
        </w:rPr>
        <w:t xml:space="preserve">FAERS</w:t>
      </w:r>
      <w:r>
        <w:t xml:space="preserve">: The US Food and Drug Administration’s (FDA) reporting system for suspected side effects.</w:t>
      </w:r>
    </w:p>
    <w:bookmarkEnd w:id="2982"/>
    <w:bookmarkStart w:id="2983" w:name="g"/>
    <w:p>
      <w:pPr>
        <w:pStyle w:val="Heading3"/>
      </w:pPr>
      <w:r>
        <w:t xml:space="preserve">G</w:t>
      </w:r>
    </w:p>
    <w:p>
      <w:pPr>
        <w:pStyle w:val="FirstParagraph"/>
      </w:pPr>
      <w:r>
        <w:rPr>
          <w:bCs/>
          <w:b/>
        </w:rPr>
        <w:t xml:space="preserve">Ghrelin</w:t>
      </w:r>
      <w:r>
        <w:t xml:space="preserve">: A peptide hormone produced mainly in the stomach that triggers hunger and stimulates the release of growth hormone.</w:t>
      </w:r>
    </w:p>
    <w:p>
      <w:pPr>
        <w:pStyle w:val="BodyText"/>
      </w:pPr>
      <w:r>
        <w:rPr>
          <w:bCs/>
          <w:b/>
        </w:rPr>
        <w:t xml:space="preserve">GHRH (growth hormone–releasing hormone)</w:t>
      </w:r>
      <w:r>
        <w:t xml:space="preserve">: A hormone from the hypothalamus that stimulates the pituitary gland to release growth hormone. Sermorelin, tesamorelin, and CJC-1295 are derived from it.</w:t>
      </w:r>
    </w:p>
    <w:p>
      <w:pPr>
        <w:pStyle w:val="BodyText"/>
      </w:pPr>
      <w:r>
        <w:rPr>
          <w:bCs/>
          <w:b/>
        </w:rPr>
        <w:t xml:space="preserve">GHRP (growth hormone–releasing peptides)</w:t>
      </w:r>
      <w:r>
        <w:t xml:space="preserve">: A group of synthetic peptides that increase the release of growth hormone via the ghrelin receptor, for example GHRP-2, GHRP-6, hexarelin, and ipamorelin.</w:t>
      </w:r>
    </w:p>
    <w:p>
      <w:pPr>
        <w:pStyle w:val="BodyText"/>
      </w:pPr>
      <w:r>
        <w:rPr>
          <w:bCs/>
          <w:b/>
        </w:rPr>
        <w:t xml:space="preserve">GIP (glucose-dependent insulinotropic polypeptide)</w:t>
      </w:r>
      <w:r>
        <w:t xml:space="preserve">: A gut hormone from the incretin group. Tirzepatide activates the GIP receptor in addition to the GLP-1 receptor.</w:t>
      </w:r>
    </w:p>
    <w:p>
      <w:pPr>
        <w:pStyle w:val="BodyText"/>
      </w:pPr>
      <w:r>
        <w:rPr>
          <w:bCs/>
          <w:b/>
        </w:rPr>
        <w:t xml:space="preserve">GLP-1 (glucagon-like peptide-1)</w:t>
      </w:r>
      <w:r>
        <w:t xml:space="preserve">: A gut hormone released after eating that enhances insulin release depending on blood sugar, slows gastric emptying, and influences the feeling of satiety.</w:t>
      </w:r>
    </w:p>
    <w:p>
      <w:pPr>
        <w:pStyle w:val="BodyText"/>
      </w:pPr>
      <w:r>
        <w:rPr>
          <w:bCs/>
          <w:b/>
        </w:rPr>
        <w:t xml:space="preserve">GLP-1 receptor agonist</w:t>
      </w:r>
      <w:r>
        <w:t xml:space="preserve">: An agent that activates the GLP-1 receptor, for example exenatide, liraglutide, dulaglutide, or semaglutide.</w:t>
      </w:r>
    </w:p>
    <w:p>
      <w:pPr>
        <w:pStyle w:val="BodyText"/>
      </w:pPr>
      <w:r>
        <w:rPr>
          <w:bCs/>
          <w:b/>
        </w:rPr>
        <w:t xml:space="preserve">Glucagon</w:t>
      </w:r>
      <w:r>
        <w:t xml:space="preserve">: A peptide hormone of the pancreas that raises blood sugar. Some new agents additionally activate the glucagon receptor.</w:t>
      </w:r>
    </w:p>
    <w:p>
      <w:pPr>
        <w:pStyle w:val="BodyText"/>
      </w:pPr>
      <w:r>
        <w:rPr>
          <w:bCs/>
          <w:b/>
        </w:rPr>
        <w:t xml:space="preserve">GnRH (gonadotropin-releasing hormone)</w:t>
      </w:r>
      <w:r>
        <w:t xml:space="preserve">: A hormone from the hypothalamus that regulates the release of LH and FSH, the hormones that control the sex hormones. Gonadorelin is a synthetic form.</w:t>
      </w:r>
    </w:p>
    <w:p>
      <w:pPr>
        <w:pStyle w:val="BodyText"/>
      </w:pPr>
      <w:r>
        <w:rPr>
          <w:bCs/>
          <w:b/>
        </w:rPr>
        <w:t xml:space="preserve">Growth hormone (somatotropin)</w:t>
      </w:r>
      <w:r>
        <w:t xml:space="preserve">: A protein from the pituitary gland that influences growth, metabolism, and body composition. Many peptides in this book are intended to increase its release.</w:t>
      </w:r>
    </w:p>
    <w:bookmarkEnd w:id="2983"/>
    <w:bookmarkStart w:id="2984" w:name="h"/>
    <w:p>
      <w:pPr>
        <w:pStyle w:val="Heading3"/>
      </w:pPr>
      <w:r>
        <w:t xml:space="preserve">H</w:t>
      </w:r>
    </w:p>
    <w:p>
      <w:pPr>
        <w:pStyle w:val="FirstParagraph"/>
      </w:pPr>
      <w:r>
        <w:rPr>
          <w:bCs/>
          <w:b/>
        </w:rPr>
        <w:t xml:space="preserve">Half-life</w:t>
      </w:r>
      <w:r>
        <w:t xml:space="preserve">: The time after which half of an active ingredient has been broken down or excreted by the body. It largely determines how often a drug has to be given.</w:t>
      </w:r>
    </w:p>
    <w:p>
      <w:pPr>
        <w:pStyle w:val="BodyText"/>
      </w:pPr>
      <w:r>
        <w:rPr>
          <w:bCs/>
          <w:b/>
        </w:rPr>
        <w:t xml:space="preserve">Hard endpoint</w:t>
      </w:r>
      <w:r>
        <w:t xml:space="preserve">: A study outcome that matters directly to patients, for example death, heart attack, stroke, or bone fracture.</w:t>
      </w:r>
    </w:p>
    <w:p>
      <w:pPr>
        <w:pStyle w:val="BodyText"/>
      </w:pPr>
      <w:r>
        <w:rPr>
          <w:bCs/>
          <w:b/>
        </w:rPr>
        <w:t xml:space="preserve">Hazard ratio</w:t>
      </w:r>
      <w:r>
        <w:t xml:space="preserve">: A measure of how the risk of an event over time differs between two groups. A value of 0.80 means a relative risk that is about 20% lower.</w:t>
      </w:r>
    </w:p>
    <w:p>
      <w:pPr>
        <w:pStyle w:val="BodyText"/>
      </w:pPr>
      <w:r>
        <w:rPr>
          <w:bCs/>
          <w:b/>
        </w:rPr>
        <w:t xml:space="preserve">HbA1c</w:t>
      </w:r>
      <w:r>
        <w:t xml:space="preserve">: The proportion of hemoglobin (the red blood pigment) to which sugar is bound. It reflects the average blood sugar over the past two to three months and is an important surrogate endpoint in diabetes studies.</w:t>
      </w:r>
    </w:p>
    <w:p>
      <w:pPr>
        <w:pStyle w:val="BodyText"/>
      </w:pPr>
      <w:r>
        <w:rPr>
          <w:bCs/>
          <w:b/>
        </w:rPr>
        <w:t xml:space="preserve">HPLC (high-performance liquid chromatography)</w:t>
      </w:r>
      <w:r>
        <w:t xml:space="preserve">: A laboratory method with which mixtures of substances can be separated and the purity of peptides determined.</w:t>
      </w:r>
    </w:p>
    <w:p>
      <w:pPr>
        <w:pStyle w:val="BodyText"/>
      </w:pPr>
      <w:r>
        <w:rPr>
          <w:bCs/>
          <w:b/>
        </w:rPr>
        <w:t xml:space="preserve">Hydrolysate</w:t>
      </w:r>
      <w:r>
        <w:t xml:space="preserve">: A mixture of fragments produced when proteins are split with enzymes or acid. Collagen peptides are obtained in this way.</w:t>
      </w:r>
    </w:p>
    <w:p>
      <w:pPr>
        <w:pStyle w:val="BodyText"/>
      </w:pPr>
      <w:r>
        <w:rPr>
          <w:bCs/>
          <w:b/>
        </w:rPr>
        <w:t xml:space="preserve">Hypoglycemia</w:t>
      </w:r>
      <w:r>
        <w:t xml:space="preserve">: Low blood sugar, that is, a blood sugar level that is too low. It can lead to trembling, sweating, confusion, and loss of consciousness and is an emergency.</w:t>
      </w:r>
    </w:p>
    <w:p>
      <w:pPr>
        <w:pStyle w:val="BodyText"/>
      </w:pPr>
      <w:r>
        <w:rPr>
          <w:bCs/>
          <w:b/>
        </w:rPr>
        <w:t xml:space="preserve">Hypothalamus</w:t>
      </w:r>
      <w:r>
        <w:t xml:space="preserve">: A region of the brain that controls the pituitary gland via releasing hormones and is involved in hunger, thirst, sleep, and body temperature.</w:t>
      </w:r>
    </w:p>
    <w:bookmarkEnd w:id="2984"/>
    <w:bookmarkStart w:id="2985" w:name="i"/>
    <w:p>
      <w:pPr>
        <w:pStyle w:val="Heading3"/>
      </w:pPr>
      <w:r>
        <w:t xml:space="preserve">I</w:t>
      </w:r>
    </w:p>
    <w:p>
      <w:pPr>
        <w:pStyle w:val="FirstParagraph"/>
      </w:pPr>
      <w:r>
        <w:rPr>
          <w:bCs/>
          <w:b/>
        </w:rPr>
        <w:t xml:space="preserve">IGF-1 (insulin-like growth factor 1)</w:t>
      </w:r>
      <w:r>
        <w:t xml:space="preserve">: A growth factor produced mainly in the liver under the influence of growth hormone. It mediates many effects of growth hormone and serves as a laboratory value for assessing it.</w:t>
      </w:r>
    </w:p>
    <w:p>
      <w:pPr>
        <w:pStyle w:val="BodyText"/>
      </w:pPr>
      <w:r>
        <w:rPr>
          <w:bCs/>
          <w:b/>
        </w:rPr>
        <w:t xml:space="preserve">Immunogenicity</w:t>
      </w:r>
      <w:r>
        <w:t xml:space="preserve">: The property of a substance to trigger a reaction of the immune system, for example the formation of antibodies.</w:t>
      </w:r>
    </w:p>
    <w:p>
      <w:pPr>
        <w:pStyle w:val="BodyText"/>
      </w:pPr>
      <w:r>
        <w:rPr>
          <w:bCs/>
          <w:b/>
        </w:rPr>
        <w:t xml:space="preserve">Impurity</w:t>
      </w:r>
      <w:r>
        <w:t xml:space="preserve">: Unwanted components of a product, for example defective peptide chains from synthesis, solvent residues, metals, or bacterial components.</w:t>
      </w:r>
    </w:p>
    <w:p>
      <w:pPr>
        <w:pStyle w:val="BodyText"/>
      </w:pPr>
      <w:r>
        <w:rPr>
          <w:bCs/>
          <w:b/>
        </w:rPr>
        <w:t xml:space="preserve">Incretins</w:t>
      </w:r>
      <w:r>
        <w:t xml:space="preserve">: Gut hormones that enhance insulin release after a meal. The most important are GLP-1 and GIP.</w:t>
      </w:r>
    </w:p>
    <w:p>
      <w:pPr>
        <w:pStyle w:val="BodyText"/>
      </w:pPr>
      <w:r>
        <w:rPr>
          <w:bCs/>
          <w:b/>
        </w:rPr>
        <w:t xml:space="preserve">Insulin</w:t>
      </w:r>
      <w:r>
        <w:t xml:space="preserve">: A peptide hormone of the pancreas consisting of 51 amino acids that lowers blood sugar. In 1922 it was the first peptide used as a drug.</w:t>
      </w:r>
    </w:p>
    <w:p>
      <w:pPr>
        <w:pStyle w:val="BodyText"/>
      </w:pPr>
      <w:r>
        <w:rPr>
          <w:bCs/>
          <w:b/>
        </w:rPr>
        <w:t xml:space="preserve">Intention-to-treat analysis</w:t>
      </w:r>
      <w:r>
        <w:t xml:space="preserve">: An analysis of a study in which all participants are counted in the group to which they were assigned – even if they discontinued treatment. It is considered a more realistic estimate of the effect in everyday life.</w:t>
      </w:r>
    </w:p>
    <w:p>
      <w:pPr>
        <w:pStyle w:val="BodyText"/>
      </w:pPr>
      <w:r>
        <w:rPr>
          <w:bCs/>
          <w:b/>
        </w:rPr>
        <w:t xml:space="preserve">In vitro</w:t>
      </w:r>
      <w:r>
        <w:t xml:space="preserve">:</w:t>
      </w:r>
      <w:r>
        <w:t xml:space="preserve"> </w:t>
      </w:r>
      <w:r>
        <w:t xml:space="preserve">“</w:t>
      </w:r>
      <w:r>
        <w:t xml:space="preserve">In glass</w:t>
      </w:r>
      <w:r>
        <w:t xml:space="preserve">”</w:t>
      </w:r>
      <w:r>
        <w:t xml:space="preserve"> </w:t>
      </w:r>
      <w:r>
        <w:t xml:space="preserve">– experiments in the laboratory on cells, tissues, or isolated molecules outside a living organism.</w:t>
      </w:r>
    </w:p>
    <w:bookmarkEnd w:id="2985"/>
    <w:bookmarkStart w:id="2986" w:name="l"/>
    <w:p>
      <w:pPr>
        <w:pStyle w:val="Heading3"/>
      </w:pPr>
      <w:r>
        <w:t xml:space="preserve">L</w:t>
      </w:r>
    </w:p>
    <w:p>
      <w:pPr>
        <w:pStyle w:val="FirstParagraph"/>
      </w:pPr>
      <w:r>
        <w:rPr>
          <w:bCs/>
          <w:b/>
        </w:rPr>
        <w:t xml:space="preserve">Lyophilisate</w:t>
      </w:r>
      <w:r>
        <w:t xml:space="preserve">: A freeze-dried powder. Many peptides are stored in this form and have to be dissolved in a liquid before use.</w:t>
      </w:r>
    </w:p>
    <w:bookmarkEnd w:id="2986"/>
    <w:bookmarkStart w:id="2987" w:name="m"/>
    <w:p>
      <w:pPr>
        <w:pStyle w:val="Heading3"/>
      </w:pPr>
      <w:r>
        <w:t xml:space="preserve">M</w:t>
      </w:r>
    </w:p>
    <w:p>
      <w:pPr>
        <w:pStyle w:val="FirstParagraph"/>
      </w:pPr>
      <w:r>
        <w:rPr>
          <w:bCs/>
          <w:b/>
        </w:rPr>
        <w:t xml:space="preserve">Mass spectrometry</w:t>
      </w:r>
      <w:r>
        <w:t xml:space="preserve">: A measurement method that determines molecules by their mass. It can be used to identify peptides unambiguously in products and body fluids, for example in doping controls.</w:t>
      </w:r>
    </w:p>
    <w:p>
      <w:pPr>
        <w:pStyle w:val="BodyText"/>
      </w:pPr>
      <w:r>
        <w:rPr>
          <w:bCs/>
          <w:b/>
        </w:rPr>
        <w:t xml:space="preserve">Medicinal product by function</w:t>
      </w:r>
      <w:r>
        <w:t xml:space="preserve">: A legal term for a product that counts as a drug because of its pharmacological, immunological, or metabolic action – regardless of how it is advertised.</w:t>
      </w:r>
    </w:p>
    <w:p>
      <w:pPr>
        <w:pStyle w:val="BodyText"/>
      </w:pPr>
      <w:r>
        <w:rPr>
          <w:bCs/>
          <w:b/>
        </w:rPr>
        <w:t xml:space="preserve">Medicinal product by presentation</w:t>
      </w:r>
      <w:r>
        <w:t xml:space="preserve">: A legal term for a product that counts as a drug because it is presented or advertised as a remedy for diseases.</w:t>
      </w:r>
    </w:p>
    <w:p>
      <w:pPr>
        <w:pStyle w:val="BodyText"/>
      </w:pPr>
      <w:r>
        <w:rPr>
          <w:bCs/>
          <w:b/>
        </w:rPr>
        <w:t xml:space="preserve">Melanocortin receptors</w:t>
      </w:r>
      <w:r>
        <w:t xml:space="preserve">: A family of receptors that influence, among other things, skin pigmentation, appetite, and sexual function. Afamelanotide, bremelanotide, Melanotan II, and setmelanotide act on these receptors.</w:t>
      </w:r>
    </w:p>
    <w:p>
      <w:pPr>
        <w:pStyle w:val="BodyText"/>
      </w:pPr>
      <w:r>
        <w:rPr>
          <w:bCs/>
          <w:b/>
        </w:rPr>
        <w:t xml:space="preserve">Meta-analysis</w:t>
      </w:r>
      <w:r>
        <w:t xml:space="preserve">: A statistical summary of the results of several studies on the same question. It is only as good as the studies included in it.</w:t>
      </w:r>
    </w:p>
    <w:p>
      <w:pPr>
        <w:pStyle w:val="BodyText"/>
      </w:pPr>
      <w:r>
        <w:rPr>
          <w:bCs/>
          <w:b/>
        </w:rPr>
        <w:t xml:space="preserve">Mimetic</w:t>
      </w:r>
      <w:r>
        <w:t xml:space="preserve">: A substance that imitates the action of another without having its structure – for example, a small molecule that activates a receptor like a peptide hormone.</w:t>
      </w:r>
    </w:p>
    <w:bookmarkEnd w:id="2987"/>
    <w:bookmarkStart w:id="2988" w:name="n"/>
    <w:p>
      <w:pPr>
        <w:pStyle w:val="Heading3"/>
      </w:pPr>
      <w:r>
        <w:t xml:space="preserve">N</w:t>
      </w:r>
    </w:p>
    <w:p>
      <w:pPr>
        <w:pStyle w:val="FirstParagraph"/>
      </w:pPr>
      <w:r>
        <w:rPr>
          <w:bCs/>
          <w:b/>
        </w:rPr>
        <w:t xml:space="preserve">NCT number</w:t>
      </w:r>
      <w:r>
        <w:t xml:space="preserve">: The identification number of a study in the ClinicalTrials.gov registry, consisting of</w:t>
      </w:r>
      <w:r>
        <w:t xml:space="preserve"> </w:t>
      </w:r>
      <w:r>
        <w:t xml:space="preserve">“</w:t>
      </w:r>
      <w:r>
        <w:t xml:space="preserve">NCT</w:t>
      </w:r>
      <w:r>
        <w:t xml:space="preserve">”</w:t>
      </w:r>
      <w:r>
        <w:t xml:space="preserve"> </w:t>
      </w:r>
      <w:r>
        <w:t xml:space="preserve">and eight digits.</w:t>
      </w:r>
    </w:p>
    <w:p>
      <w:pPr>
        <w:pStyle w:val="BodyText"/>
      </w:pPr>
      <w:r>
        <w:rPr>
          <w:bCs/>
          <w:b/>
        </w:rPr>
        <w:t xml:space="preserve">Novel food</w:t>
      </w:r>
      <w:r>
        <w:t xml:space="preserve">: In the EU, a food or ingredient that was not consumed to a significant degree before May 15, 1997. Such products require authorization before they can be sold.</w:t>
      </w:r>
    </w:p>
    <w:p>
      <w:pPr>
        <w:pStyle w:val="BodyText"/>
      </w:pPr>
      <w:r>
        <w:rPr>
          <w:bCs/>
          <w:b/>
        </w:rPr>
        <w:t xml:space="preserve">N-terminus</w:t>
      </w:r>
      <w:r>
        <w:t xml:space="preserve">: The beginning of a peptide chain with the free amino group.</w:t>
      </w:r>
    </w:p>
    <w:p>
      <w:pPr>
        <w:pStyle w:val="BodyText"/>
      </w:pPr>
      <w:r>
        <w:rPr>
          <w:bCs/>
          <w:b/>
        </w:rPr>
        <w:t xml:space="preserve">Number needed to treat (NNT)</w:t>
      </w:r>
      <w:r>
        <w:t xml:space="preserve">: The number of people who have to be treated for a certain period so that one person avoids an event. It is calculated from the absolute risk reduction.</w:t>
      </w:r>
    </w:p>
    <w:bookmarkEnd w:id="2988"/>
    <w:bookmarkStart w:id="2989" w:name="o"/>
    <w:p>
      <w:pPr>
        <w:pStyle w:val="Heading3"/>
      </w:pPr>
      <w:r>
        <w:t xml:space="preserve">O</w:t>
      </w:r>
    </w:p>
    <w:p>
      <w:pPr>
        <w:pStyle w:val="FirstParagraph"/>
      </w:pPr>
      <w:r>
        <w:rPr>
          <w:bCs/>
          <w:b/>
        </w:rPr>
        <w:t xml:space="preserve">Obesity</w:t>
      </w:r>
      <w:r>
        <w:t xml:space="preserve">: Pathological overweight, usually defined as a body mass index of 30 or more. It is considered a chronic disease with an increased risk of diabetes, cardiovascular disease, and joint disease.</w:t>
      </w:r>
    </w:p>
    <w:p>
      <w:pPr>
        <w:pStyle w:val="BodyText"/>
      </w:pPr>
      <w:r>
        <w:rPr>
          <w:bCs/>
          <w:b/>
        </w:rPr>
        <w:t xml:space="preserve">Off-label use</w:t>
      </w:r>
      <w:r>
        <w:t xml:space="preserve">: The use of an approved drug outside the approved indications, doses, or groups of people.</w:t>
      </w:r>
    </w:p>
    <w:p>
      <w:pPr>
        <w:pStyle w:val="BodyText"/>
      </w:pPr>
      <w:r>
        <w:rPr>
          <w:bCs/>
          <w:b/>
        </w:rPr>
        <w:t xml:space="preserve">Oligopeptide</w:t>
      </w:r>
      <w:r>
        <w:t xml:space="preserve">: A short peptide of about two to ten amino acids.</w:t>
      </w:r>
    </w:p>
    <w:p>
      <w:pPr>
        <w:pStyle w:val="BodyText"/>
      </w:pPr>
      <w:r>
        <w:rPr>
          <w:bCs/>
          <w:b/>
        </w:rPr>
        <w:t xml:space="preserve">Open-label study</w:t>
      </w:r>
      <w:r>
        <w:t xml:space="preserve">: A study without blinding, in which participants and study staff know which treatment is being given.</w:t>
      </w:r>
    </w:p>
    <w:bookmarkEnd w:id="2989"/>
    <w:bookmarkStart w:id="2990" w:name="p"/>
    <w:p>
      <w:pPr>
        <w:pStyle w:val="Heading3"/>
      </w:pPr>
      <w:r>
        <w:t xml:space="preserve">P</w:t>
      </w:r>
    </w:p>
    <w:p>
      <w:pPr>
        <w:pStyle w:val="FirstParagraph"/>
      </w:pPr>
      <w:r>
        <w:rPr>
          <w:bCs/>
          <w:b/>
        </w:rPr>
        <w:t xml:space="preserve">Pancreatitis</w:t>
      </w:r>
      <w:r>
        <w:t xml:space="preserve">: Inflammation of the pancreas. It is discussed as a possible, rare side effect of GLP-1 drugs.</w:t>
      </w:r>
    </w:p>
    <w:p>
      <w:pPr>
        <w:pStyle w:val="BodyText"/>
      </w:pPr>
      <w:r>
        <w:rPr>
          <w:bCs/>
          <w:b/>
        </w:rPr>
        <w:t xml:space="preserve">Peptide</w:t>
      </w:r>
      <w:r>
        <w:t xml:space="preserve">: A chain of amino acids linked by peptide bonds. From about 50 amino acids upward, it is usually called a protein.</w:t>
      </w:r>
    </w:p>
    <w:p>
      <w:pPr>
        <w:pStyle w:val="BodyText"/>
      </w:pPr>
      <w:r>
        <w:rPr>
          <w:bCs/>
          <w:b/>
        </w:rPr>
        <w:t xml:space="preserve">Peptide bond</w:t>
      </w:r>
      <w:r>
        <w:t xml:space="preserve">: The chemical bond between the acid group of one amino acid and the amino group of the next, during whose formation water is split off.</w:t>
      </w:r>
    </w:p>
    <w:p>
      <w:pPr>
        <w:pStyle w:val="BodyText"/>
      </w:pPr>
      <w:r>
        <w:rPr>
          <w:bCs/>
          <w:b/>
        </w:rPr>
        <w:t xml:space="preserve">Pharmacodynamics</w:t>
      </w:r>
      <w:r>
        <w:t xml:space="preserve">: The study of what an active ingredient does in the body – that is, its effects and mechanisms of action.</w:t>
      </w:r>
    </w:p>
    <w:p>
      <w:pPr>
        <w:pStyle w:val="BodyText"/>
      </w:pPr>
      <w:r>
        <w:rPr>
          <w:bCs/>
          <w:b/>
        </w:rPr>
        <w:t xml:space="preserve">Pharmacokinetics</w:t>
      </w:r>
      <w:r>
        <w:t xml:space="preserve">: The study of what the body does with an active ingredient – absorption, distribution, breakdown, and excretion.</w:t>
      </w:r>
    </w:p>
    <w:p>
      <w:pPr>
        <w:pStyle w:val="BodyText"/>
      </w:pPr>
      <w:r>
        <w:rPr>
          <w:bCs/>
          <w:b/>
        </w:rPr>
        <w:t xml:space="preserve">Pharmacovigilance</w:t>
      </w:r>
      <w:r>
        <w:t xml:space="preserve">: The systematic monitoring of drugs after approval in order to detect and assess side effects.</w:t>
      </w:r>
    </w:p>
    <w:p>
      <w:pPr>
        <w:pStyle w:val="BodyText"/>
      </w:pPr>
      <w:r>
        <w:rPr>
          <w:bCs/>
          <w:b/>
        </w:rPr>
        <w:t xml:space="preserve">Pituitary gland (hypophysis)</w:t>
      </w:r>
      <w:r>
        <w:t xml:space="preserve">: A small hormone gland at the base of the skull that releases, among other things, growth hormone and the control hormones for the thyroid, adrenal glands, and gonads.</w:t>
      </w:r>
    </w:p>
    <w:p>
      <w:pPr>
        <w:pStyle w:val="BodyText"/>
      </w:pPr>
      <w:r>
        <w:rPr>
          <w:bCs/>
          <w:b/>
        </w:rPr>
        <w:t xml:space="preserve">Placebo</w:t>
      </w:r>
      <w:r>
        <w:t xml:space="preserve">: A dummy preparation without active ingredient that is used for comparison in studies.</w:t>
      </w:r>
    </w:p>
    <w:p>
      <w:pPr>
        <w:pStyle w:val="BodyText"/>
      </w:pPr>
      <w:r>
        <w:rPr>
          <w:bCs/>
          <w:b/>
        </w:rPr>
        <w:t xml:space="preserve">Placebo effect</w:t>
      </w:r>
      <w:r>
        <w:t xml:space="preserve">: An improvement in symptoms that is due not to an active ingredient but to expectations, attention, or the natural course of the condition.</w:t>
      </w:r>
    </w:p>
    <w:p>
      <w:pPr>
        <w:pStyle w:val="BodyText"/>
      </w:pPr>
      <w:r>
        <w:rPr>
          <w:bCs/>
          <w:b/>
        </w:rPr>
        <w:t xml:space="preserve">PMID</w:t>
      </w:r>
      <w:r>
        <w:t xml:space="preserve">: The PubMed identification number, a unique number for each entry in the PubMed literature database.</w:t>
      </w:r>
    </w:p>
    <w:p>
      <w:pPr>
        <w:pStyle w:val="BodyText"/>
      </w:pPr>
      <w:r>
        <w:rPr>
          <w:bCs/>
          <w:b/>
        </w:rPr>
        <w:t xml:space="preserve">Polypeptide</w:t>
      </w:r>
      <w:r>
        <w:t xml:space="preserve">: A longer peptide chain, usually with more than ten amino acids.</w:t>
      </w:r>
    </w:p>
    <w:p>
      <w:pPr>
        <w:pStyle w:val="BodyText"/>
      </w:pPr>
      <w:r>
        <w:rPr>
          <w:bCs/>
          <w:b/>
        </w:rPr>
        <w:t xml:space="preserve">Preclinical studies</w:t>
      </w:r>
      <w:r>
        <w:t xml:space="preserve">: Investigations in the laboratory and in animals that are carried out before the first studies in humans.</w:t>
      </w:r>
    </w:p>
    <w:p>
      <w:pPr>
        <w:pStyle w:val="BodyText"/>
      </w:pPr>
      <w:r>
        <w:rPr>
          <w:bCs/>
          <w:b/>
        </w:rPr>
        <w:t xml:space="preserve">Preprint</w:t>
      </w:r>
      <w:r>
        <w:t xml:space="preserve">: A scientific paper that is made public before review by experts (peer review).</w:t>
      </w:r>
    </w:p>
    <w:p>
      <w:pPr>
        <w:pStyle w:val="BodyText"/>
      </w:pPr>
      <w:r>
        <w:rPr>
          <w:bCs/>
          <w:b/>
        </w:rPr>
        <w:t xml:space="preserve">Prescribing information</w:t>
      </w:r>
      <w:r>
        <w:t xml:space="preserve">: The officially approved information on an approved drug intended for physicians and pharmacies, with indications, dosage, contraindications, and side effects (in the EU, the summary of product characteristics).</w:t>
      </w:r>
    </w:p>
    <w:p>
      <w:pPr>
        <w:pStyle w:val="BodyText"/>
      </w:pPr>
      <w:r>
        <w:rPr>
          <w:bCs/>
          <w:b/>
        </w:rPr>
        <w:t xml:space="preserve">Protease</w:t>
      </w:r>
      <w:r>
        <w:t xml:space="preserve">: An enzyme that cleaves peptide bonds and thus breaks down proteins and peptides. Also called peptidase.</w:t>
      </w:r>
    </w:p>
    <w:p>
      <w:pPr>
        <w:pStyle w:val="BodyText"/>
      </w:pPr>
      <w:r>
        <w:rPr>
          <w:bCs/>
          <w:b/>
        </w:rPr>
        <w:t xml:space="preserve">Protein</w:t>
      </w:r>
      <w:r>
        <w:t xml:space="preserve">: A large protein molecule usually consisting of more than 50 amino acids with a specific three-dimensional folding.</w:t>
      </w:r>
    </w:p>
    <w:p>
      <w:pPr>
        <w:pStyle w:val="BodyText"/>
      </w:pPr>
      <w:r>
        <w:rPr>
          <w:bCs/>
          <w:b/>
        </w:rPr>
        <w:t xml:space="preserve">Publication bias</w:t>
      </w:r>
      <w:r>
        <w:t xml:space="preserve">: The distortion of the overall picture when studies with positive results are published more often than those with negative results.</w:t>
      </w:r>
    </w:p>
    <w:p>
      <w:pPr>
        <w:pStyle w:val="BodyText"/>
      </w:pPr>
      <w:r>
        <w:rPr>
          <w:bCs/>
          <w:b/>
        </w:rPr>
        <w:t xml:space="preserve">PubMed</w:t>
      </w:r>
      <w:r>
        <w:t xml:space="preserve">: A freely accessible literature database of the US National Library of Medicine with millions of entries from biomedical research.</w:t>
      </w:r>
    </w:p>
    <w:p>
      <w:pPr>
        <w:pStyle w:val="BodyText"/>
      </w:pPr>
      <w:r>
        <w:rPr>
          <w:bCs/>
          <w:b/>
        </w:rPr>
        <w:t xml:space="preserve">p-value</w:t>
      </w:r>
      <w:r>
        <w:t xml:space="preserve">: A statistical measure of how likely a difference at least as large would be if there were in reality no effect. Values below 0.05 are usually considered statistically significant.</w:t>
      </w:r>
    </w:p>
    <w:bookmarkEnd w:id="2990"/>
    <w:bookmarkStart w:id="2991" w:name="r"/>
    <w:p>
      <w:pPr>
        <w:pStyle w:val="Heading3"/>
      </w:pPr>
      <w:r>
        <w:t xml:space="preserve">R</w:t>
      </w:r>
    </w:p>
    <w:p>
      <w:pPr>
        <w:pStyle w:val="FirstParagraph"/>
      </w:pPr>
      <w:r>
        <w:rPr>
          <w:bCs/>
          <w:b/>
        </w:rPr>
        <w:t xml:space="preserve">Randomization</w:t>
      </w:r>
      <w:r>
        <w:t xml:space="preserve">: The random assignment of participants to the groups of a study. It ensures that the groups differ systematically only in the treatment.</w:t>
      </w:r>
    </w:p>
    <w:p>
      <w:pPr>
        <w:pStyle w:val="BodyText"/>
      </w:pPr>
      <w:r>
        <w:rPr>
          <w:bCs/>
          <w:b/>
        </w:rPr>
        <w:t xml:space="preserve">RCT (randomized controlled trial)</w:t>
      </w:r>
      <w:r>
        <w:t xml:space="preserve">: A study with random assignment to a treatment group and a control group. It is considered the most reliable way to demonstrate the effect of a treatment.</w:t>
      </w:r>
    </w:p>
    <w:p>
      <w:pPr>
        <w:pStyle w:val="BodyText"/>
      </w:pPr>
      <w:r>
        <w:rPr>
          <w:bCs/>
          <w:b/>
        </w:rPr>
        <w:t xml:space="preserve">Receptor</w:t>
      </w:r>
      <w:r>
        <w:t xml:space="preserve">: A protein molecule, usually on the cell surface, to which a messenger substance binds, thereby triggering a signal in the cell.</w:t>
      </w:r>
    </w:p>
    <w:p>
      <w:pPr>
        <w:pStyle w:val="BodyText"/>
      </w:pPr>
      <w:r>
        <w:rPr>
          <w:bCs/>
          <w:b/>
        </w:rPr>
        <w:t xml:space="preserve">Recombinant</w:t>
      </w:r>
      <w:r>
        <w:t xml:space="preserve">: Produced by genetic engineering, by introducing the blueprint for a peptide or protein into bacteria, yeasts, or other cells.</w:t>
      </w:r>
    </w:p>
    <w:p>
      <w:pPr>
        <w:pStyle w:val="BodyText"/>
      </w:pPr>
      <w:r>
        <w:rPr>
          <w:bCs/>
          <w:b/>
        </w:rPr>
        <w:t xml:space="preserve">Relative risk</w:t>
      </w:r>
      <w:r>
        <w:t xml:space="preserve">: The ratio of event frequency in two groups. A relative risk of 0.5 means a halving – regardless of how common the event is overall.</w:t>
      </w:r>
    </w:p>
    <w:p>
      <w:pPr>
        <w:pStyle w:val="BodyText"/>
      </w:pPr>
      <w:r>
        <w:rPr>
          <w:bCs/>
          <w:b/>
        </w:rPr>
        <w:t xml:space="preserve">Research peptides</w:t>
      </w:r>
      <w:r>
        <w:t xml:space="preserve">: Peptides sold with the notice</w:t>
      </w:r>
      <w:r>
        <w:t xml:space="preserve"> </w:t>
      </w:r>
      <w:r>
        <w:t xml:space="preserve">“</w:t>
      </w:r>
      <w:r>
        <w:t xml:space="preserve">for research purposes only</w:t>
      </w:r>
      <w:r>
        <w:t xml:space="preserve">”</w:t>
      </w:r>
      <w:r>
        <w:t xml:space="preserve"> </w:t>
      </w:r>
      <w:r>
        <w:t xml:space="preserve">or</w:t>
      </w:r>
      <w:r>
        <w:t xml:space="preserve"> </w:t>
      </w:r>
      <w:r>
        <w:t xml:space="preserve">“</w:t>
      </w:r>
      <w:r>
        <w:t xml:space="preserve">not for human use,</w:t>
      </w:r>
      <w:r>
        <w:t xml:space="preserve">”</w:t>
      </w:r>
      <w:r>
        <w:t xml:space="preserve"> </w:t>
      </w:r>
      <w:r>
        <w:t xml:space="preserve">but often to private individuals. They are not tested drugs.</w:t>
      </w:r>
    </w:p>
    <w:p>
      <w:pPr>
        <w:pStyle w:val="BodyText"/>
      </w:pPr>
      <w:r>
        <w:rPr>
          <w:bCs/>
          <w:b/>
        </w:rPr>
        <w:t xml:space="preserve">Rhabdomyolysis</w:t>
      </w:r>
      <w:r>
        <w:t xml:space="preserve">: A breakdown of muscle tissue in which muscle components enter the blood and can damage the kidneys.</w:t>
      </w:r>
    </w:p>
    <w:bookmarkEnd w:id="2991"/>
    <w:bookmarkStart w:id="2992" w:name="s"/>
    <w:p>
      <w:pPr>
        <w:pStyle w:val="Heading3"/>
      </w:pPr>
      <w:r>
        <w:t xml:space="preserve">S</w:t>
      </w:r>
    </w:p>
    <w:p>
      <w:pPr>
        <w:pStyle w:val="FirstParagraph"/>
      </w:pPr>
      <w:r>
        <w:rPr>
          <w:bCs/>
          <w:b/>
        </w:rPr>
        <w:t xml:space="preserve">Secretagogue</w:t>
      </w:r>
      <w:r>
        <w:t xml:space="preserve">: A substance that stimulates the release of another substance. Growth hormone secretagogues increase the release of growth hormone.</w:t>
      </w:r>
    </w:p>
    <w:p>
      <w:pPr>
        <w:pStyle w:val="BodyText"/>
      </w:pPr>
      <w:r>
        <w:rPr>
          <w:bCs/>
          <w:b/>
        </w:rPr>
        <w:t xml:space="preserve">Sequence</w:t>
      </w:r>
      <w:r>
        <w:t xml:space="preserve">: The order of amino acids in a peptide chain. It determines the properties of the peptide.</w:t>
      </w:r>
    </w:p>
    <w:p>
      <w:pPr>
        <w:pStyle w:val="BodyText"/>
      </w:pPr>
      <w:r>
        <w:rPr>
          <w:bCs/>
          <w:b/>
        </w:rPr>
        <w:t xml:space="preserve">SNAC</w:t>
      </w:r>
      <w:r>
        <w:t xml:space="preserve">: An excipient (sodium N-[8-(2-hydroxybenzoyl)amino]caprylate) that enables absorption of the peptide in the stomach in the semaglutide tablet.</w:t>
      </w:r>
    </w:p>
    <w:p>
      <w:pPr>
        <w:pStyle w:val="BodyText"/>
      </w:pPr>
      <w:r>
        <w:rPr>
          <w:bCs/>
          <w:b/>
        </w:rPr>
        <w:t xml:space="preserve">Solid-phase peptide synthesis</w:t>
      </w:r>
      <w:r>
        <w:t xml:space="preserve">: A chemical process in which a peptide chain is built up building block by building block on a solid support material. The basis for manufacturing most short peptides.</w:t>
      </w:r>
    </w:p>
    <w:p>
      <w:pPr>
        <w:pStyle w:val="BodyText"/>
      </w:pPr>
      <w:r>
        <w:rPr>
          <w:bCs/>
          <w:b/>
        </w:rPr>
        <w:t xml:space="preserve">Statistical significance</w:t>
      </w:r>
      <w:r>
        <w:t xml:space="preserve">: The statement that an observed difference is probably not due to chance alone. It says nothing about whether the difference is large or meaningful.</w:t>
      </w:r>
    </w:p>
    <w:p>
      <w:pPr>
        <w:pStyle w:val="BodyText"/>
      </w:pPr>
      <w:r>
        <w:rPr>
          <w:bCs/>
          <w:b/>
        </w:rPr>
        <w:t xml:space="preserve">Sterility</w:t>
      </w:r>
      <w:r>
        <w:t xml:space="preserve">: Freedom from living microorganisms. A sterile product can nevertheless contain endotoxins.</w:t>
      </w:r>
    </w:p>
    <w:p>
      <w:pPr>
        <w:pStyle w:val="BodyText"/>
      </w:pPr>
      <w:r>
        <w:rPr>
          <w:bCs/>
          <w:b/>
        </w:rPr>
        <w:t xml:space="preserve">Study phases</w:t>
      </w:r>
      <w:r>
        <w:t xml:space="preserve">: The stages of drug testing in humans, from phase 1 (tolerability in a few people) to phase 3 (large comparative studies) and phase 4 (observation after approval).</w:t>
      </w:r>
    </w:p>
    <w:p>
      <w:pPr>
        <w:pStyle w:val="BodyText"/>
      </w:pPr>
      <w:r>
        <w:rPr>
          <w:bCs/>
          <w:b/>
        </w:rPr>
        <w:t xml:space="preserve">Study registry</w:t>
      </w:r>
      <w:r>
        <w:t xml:space="preserve">: Public databases in which clinical studies are entered before they begin, for example ClinicalTrials.gov or the EU registry.</w:t>
      </w:r>
    </w:p>
    <w:p>
      <w:pPr>
        <w:pStyle w:val="BodyText"/>
      </w:pPr>
      <w:r>
        <w:rPr>
          <w:bCs/>
          <w:b/>
        </w:rPr>
        <w:t xml:space="preserve">Subcutaneous</w:t>
      </w:r>
      <w:r>
        <w:t xml:space="preserve">: Injected under the skin, into the subcutaneous fat tissue. The most common route of administration for peptide drugs.</w:t>
      </w:r>
    </w:p>
    <w:p>
      <w:pPr>
        <w:pStyle w:val="BodyText"/>
      </w:pPr>
      <w:r>
        <w:rPr>
          <w:bCs/>
          <w:b/>
        </w:rPr>
        <w:t xml:space="preserve">Surrogate endpoint</w:t>
      </w:r>
      <w:r>
        <w:t xml:space="preserve">: A measured value used as a substitute for a clinically meaningful event, for example blood sugar instead of heart attack. Improvements in a surrogate do not automatically mean a benefit for patients.</w:t>
      </w:r>
    </w:p>
    <w:p>
      <w:pPr>
        <w:pStyle w:val="BodyText"/>
      </w:pPr>
      <w:r>
        <w:rPr>
          <w:bCs/>
          <w:b/>
        </w:rPr>
        <w:t xml:space="preserve">Systematic review</w:t>
      </w:r>
      <w:r>
        <w:t xml:space="preserve">: A paper that, according to predefined rules, searches for, assesses, and summarizes all available studies on a question.</w:t>
      </w:r>
    </w:p>
    <w:bookmarkEnd w:id="2992"/>
    <w:bookmarkStart w:id="2993" w:name="t"/>
    <w:p>
      <w:pPr>
        <w:pStyle w:val="Heading3"/>
      </w:pPr>
      <w:r>
        <w:t xml:space="preserve">T</w:t>
      </w:r>
    </w:p>
    <w:p>
      <w:pPr>
        <w:pStyle w:val="FirstParagraph"/>
      </w:pPr>
      <w:r>
        <w:rPr>
          <w:bCs/>
          <w:b/>
        </w:rPr>
        <w:t xml:space="preserve">Therapeutic Use Exemption (TUE)</w:t>
      </w:r>
      <w:r>
        <w:t xml:space="preserve">: A medical exemption in sport that permits the use of a prohibited but medically necessary drug.</w:t>
      </w:r>
    </w:p>
    <w:p>
      <w:pPr>
        <w:pStyle w:val="BodyText"/>
      </w:pPr>
      <w:r>
        <w:rPr>
          <w:bCs/>
          <w:b/>
        </w:rPr>
        <w:t xml:space="preserve">Type 2 diabetes</w:t>
      </w:r>
      <w:r>
        <w:t xml:space="preserve">: The most common form of diabetes, in which the body uses insulin less effectively and the pancreas does not produce enough to compensate. Often associated with overweight.</w:t>
      </w:r>
    </w:p>
    <w:bookmarkEnd w:id="2993"/>
    <w:bookmarkStart w:id="2994" w:name="w"/>
    <w:p>
      <w:pPr>
        <w:pStyle w:val="Heading3"/>
      </w:pPr>
      <w:r>
        <w:t xml:space="preserve">W</w:t>
      </w:r>
    </w:p>
    <w:p>
      <w:pPr>
        <w:pStyle w:val="FirstParagraph"/>
      </w:pPr>
      <w:r>
        <w:rPr>
          <w:bCs/>
          <w:b/>
        </w:rPr>
        <w:t xml:space="preserve">WADA (World Anti-Doping Agency)</w:t>
      </w:r>
      <w:r>
        <w:t xml:space="preserve">: The international organization that publishes the annual list of substances and methods prohibited in sport.</w:t>
      </w:r>
    </w:p>
    <w:bookmarkEnd w:id="2994"/>
    <w:bookmarkEnd w:id="2995"/>
    <w:bookmarkStart w:id="3011" w:name="methodology"/>
    <w:p>
      <w:pPr>
        <w:pStyle w:val="Heading1"/>
      </w:pPr>
      <w:r>
        <w:t xml:space="preserve">Methodology</w:t>
      </w:r>
    </w:p>
    <w:p>
      <w:pPr>
        <w:pStyle w:val="FirstParagraph"/>
      </w:pPr>
      <w:r>
        <w:t xml:space="preserve">This appendix describes how the studies for this book were searched for, selected, and checked. It is intended to enable you to follow the research and, if necessary, to repeat or update it yourself.</w:t>
      </w:r>
    </w:p>
    <w:bookmarkStart w:id="2996" w:name="databases"/>
    <w:p>
      <w:pPr>
        <w:pStyle w:val="Heading3"/>
      </w:pPr>
      <w:r>
        <w:t xml:space="preserve">Databases</w:t>
      </w:r>
    </w:p>
    <w:p>
      <w:pPr>
        <w:pStyle w:val="FirstParagraph"/>
      </w:pPr>
      <w:r>
        <w:t xml:space="preserve">The research is based on two freely accessible databases:</w:t>
      </w:r>
    </w:p>
    <w:p>
      <w:pPr>
        <w:numPr>
          <w:ilvl w:val="0"/>
          <w:numId w:val="1373"/>
        </w:numPr>
        <w:pStyle w:val="Compact"/>
      </w:pPr>
      <w:r>
        <w:rPr>
          <w:bCs/>
          <w:b/>
        </w:rPr>
        <w:t xml:space="preserve">PubMed</w:t>
      </w:r>
      <w:r>
        <w:t xml:space="preserve"> </w:t>
      </w:r>
      <w:r>
        <w:t xml:space="preserve">(pubmed.ncbi.nlm.nih.gov), the literature database of the US National Library of Medicine. It lists publications from biomedical journals with title, authors, summary (abstract), and keywords. Each entry has a unique number, the PMID.</w:t>
      </w:r>
    </w:p>
    <w:p>
      <w:pPr>
        <w:numPr>
          <w:ilvl w:val="0"/>
          <w:numId w:val="1373"/>
        </w:numPr>
        <w:pStyle w:val="Compact"/>
      </w:pPr>
      <w:r>
        <w:rPr>
          <w:bCs/>
          <w:b/>
        </w:rPr>
        <w:t xml:space="preserve">ClinicalTrials.gov</w:t>
      </w:r>
      <w:r>
        <w:t xml:space="preserve"> </w:t>
      </w:r>
      <w:r>
        <w:t xml:space="preserve">(clinicaltrials.gov), the trial registry of the US National Institutes of Health. Here, clinical studies from all over the world are registered before they begin, with design, planned number of participants, endpoints, and status. Each study has an NCT number.</w:t>
      </w:r>
    </w:p>
    <w:p>
      <w:pPr>
        <w:pStyle w:val="FirstParagraph"/>
      </w:pPr>
      <w:r>
        <w:t xml:space="preserve">Both databases were queried via their official, publicly accessible application programming interfaces: PubMed via the E-utilities of the National Center for Biotechnology Information, ClinicalTrials.gov via version 2 of its application programming interface. Other databases such as Embase, the Cochrane Library, Web of Science, the EU trial registry, or national registries were not systematically searched.</w:t>
      </w:r>
    </w:p>
    <w:bookmarkEnd w:id="2996"/>
    <w:bookmarkStart w:id="2997" w:name="search-period"/>
    <w:p>
      <w:pPr>
        <w:pStyle w:val="Heading3"/>
      </w:pPr>
      <w:r>
        <w:t xml:space="preserve">Search period</w:t>
      </w:r>
    </w:p>
    <w:p>
      <w:pPr>
        <w:pStyle w:val="FirstParagraph"/>
      </w:pPr>
      <w:r>
        <w:t xml:space="preserve">The systematic queries were carried out in</w:t>
      </w:r>
      <w:r>
        <w:t xml:space="preserve"> </w:t>
      </w:r>
      <w:r>
        <w:rPr>
          <w:bCs/>
          <w:b/>
        </w:rPr>
        <w:t xml:space="preserve">October 2026</w:t>
      </w:r>
      <w:r>
        <w:t xml:space="preserve">; the hit counts for all peptides date from October 28, 2026. Supplementary targeted searches for individual studies, case reports, and reviews were carried out during the same period. Studies published later are not taken into account. The book is current as of November 2026.</w:t>
      </w:r>
    </w:p>
    <w:bookmarkEnd w:id="2997"/>
    <w:bookmarkStart w:id="2998" w:name="search-strategy"/>
    <w:p>
      <w:pPr>
        <w:pStyle w:val="Heading3"/>
      </w:pPr>
      <w:r>
        <w:t xml:space="preserve">Search strategy</w:t>
      </w:r>
    </w:p>
    <w:p>
      <w:pPr>
        <w:pStyle w:val="FirstParagraph"/>
      </w:pPr>
      <w:r>
        <w:t xml:space="preserve">For each of the 58 peptides and comparator substances, a separate PubMed search term was defined. It includes the international nonproprietary name as well as common abbreviations, code names, and trade names, and searches in title and abstract (tag</w:t>
      </w:r>
      <w:r>
        <w:t xml:space="preserve"> </w:t>
      </w:r>
      <w:r>
        <w:rPr>
          <w:rStyle w:val="VerbatimChar"/>
        </w:rPr>
        <w:t xml:space="preserve">[tiab]</w:t>
      </w:r>
      <w:r>
        <w:t xml:space="preserve">) or in the title only (</w:t>
      </w:r>
      <w:r>
        <w:rPr>
          <w:rStyle w:val="VerbatimChar"/>
        </w:rPr>
        <w:t xml:space="preserve">[ti]</w:t>
      </w:r>
      <w:r>
        <w:t xml:space="preserve">). For ambiguous terms, the search term was restricted, for example for collagen peptides to papers on oral intake or for kisspeptin to papers on administration of the peptide.</w:t>
      </w:r>
    </w:p>
    <w:p>
      <w:pPr>
        <w:pStyle w:val="BodyText"/>
      </w:pPr>
      <w:r>
        <w:t xml:space="preserve">Three filters were applied to this search term:</w:t>
      </w:r>
    </w:p>
    <w:p>
      <w:pPr>
        <w:pStyle w:val="BodyText"/>
      </w:pPr>
      <w:r>
        <w:rPr>
          <w:bCs/>
          <w:b/>
        </w:rPr>
        <w:t xml:space="preserve">Human studies.</w:t>
      </w:r>
      <w:r>
        <w:t xml:space="preserve"> </w:t>
      </w:r>
      <w:r>
        <w:t xml:space="preserve">To find clinical studies in humans, the search term was combined with the following filter:</w:t>
      </w:r>
    </w:p>
    <w:p>
      <w:pPr>
        <w:pStyle w:val="BodyText"/>
      </w:pPr>
      <w:r>
        <w:rPr>
          <w:rStyle w:val="VerbatimChar"/>
        </w:rPr>
        <w:t xml:space="preserve">(clinical trial[pt] OR randomized controlled trial[pt]) AND humans[mh]</w:t>
      </w:r>
    </w:p>
    <w:p>
      <w:pPr>
        <w:pStyle w:val="BodyText"/>
      </w:pPr>
      <w:r>
        <w:t xml:space="preserve">The</w:t>
      </w:r>
      <w:r>
        <w:t xml:space="preserve"> </w:t>
      </w:r>
      <w:r>
        <w:rPr>
          <w:rStyle w:val="VerbatimChar"/>
        </w:rPr>
        <w:t xml:space="preserve">[pt]</w:t>
      </w:r>
      <w:r>
        <w:t xml:space="preserve"> </w:t>
      </w:r>
      <w:r>
        <w:t xml:space="preserve">part searches for the publication type that PubMed assigns to each article;</w:t>
      </w:r>
      <w:r>
        <w:t xml:space="preserve"> </w:t>
      </w:r>
      <w:r>
        <w:rPr>
          <w:rStyle w:val="VerbatimChar"/>
        </w:rPr>
        <w:t xml:space="preserve">humans[mh]</w:t>
      </w:r>
      <w:r>
        <w:t xml:space="preserve"> </w:t>
      </w:r>
      <w:r>
        <w:t xml:space="preserve">stands for the subject heading</w:t>
      </w:r>
      <w:r>
        <w:t xml:space="preserve"> </w:t>
      </w:r>
      <w:r>
        <w:t xml:space="preserve">“</w:t>
      </w:r>
      <w:r>
        <w:t xml:space="preserve">humans</w:t>
      </w:r>
      <w:r>
        <w:t xml:space="preserve">”</w:t>
      </w:r>
      <w:r>
        <w:t xml:space="preserve"> </w:t>
      </w:r>
      <w:r>
        <w:t xml:space="preserve">in the MeSH keyword system. This finds articles that are labeled as a clinical trial or as a randomized controlled trial and concern humans.</w:t>
      </w:r>
    </w:p>
    <w:p>
      <w:pPr>
        <w:pStyle w:val="BodyText"/>
      </w:pPr>
      <w:r>
        <w:rPr>
          <w:bCs/>
          <w:b/>
        </w:rPr>
        <w:t xml:space="preserve">Meta-analyses and reviews.</w:t>
      </w:r>
      <w:r>
        <w:t xml:space="preserve"> </w:t>
      </w:r>
      <w:r>
        <w:t xml:space="preserve">For summarizing papers, the search term was combined with this filter:</w:t>
      </w:r>
    </w:p>
    <w:p>
      <w:pPr>
        <w:pStyle w:val="BodyText"/>
      </w:pPr>
      <w:r>
        <w:rPr>
          <w:rStyle w:val="VerbatimChar"/>
        </w:rPr>
        <w:t xml:space="preserve">(meta-analysis[pt] OR systematic review[pt])</w:t>
      </w:r>
    </w:p>
    <w:p>
      <w:pPr>
        <w:pStyle w:val="BodyText"/>
      </w:pPr>
      <w:r>
        <w:rPr>
          <w:bCs/>
          <w:b/>
        </w:rPr>
        <w:t xml:space="preserve">Preclinical research.</w:t>
      </w:r>
      <w:r>
        <w:t xml:space="preserve"> </w:t>
      </w:r>
      <w:r>
        <w:t xml:space="preserve">For peptides with fewer than 25 human studies found, the most relevant remaining papers without the human studies filter were additionally evaluated in order to capture animal and laboratory studies, case reports, and analyses of gray-market products.</w:t>
      </w:r>
    </w:p>
    <w:p>
      <w:pPr>
        <w:pStyle w:val="BodyText"/>
      </w:pPr>
      <w:r>
        <w:rPr>
          <w:bCs/>
          <w:b/>
        </w:rPr>
        <w:t xml:space="preserve">Registered studies.</w:t>
      </w:r>
      <w:r>
        <w:t xml:space="preserve"> </w:t>
      </w:r>
      <w:r>
        <w:t xml:space="preserve">In ClinicalTrials.gov, a separate, usually simple search term with the name of the agent was used for each peptide. All entries were captured regardless of status and study phase.</w:t>
      </w:r>
    </w:p>
    <w:p>
      <w:pPr>
        <w:pStyle w:val="BodyText"/>
      </w:pPr>
      <w:r>
        <w:t xml:space="preserve">Beyond these automated searches, targeted searches were carried out for each chapter for the most important approval and outcome trials, large meta-analyses, trial programs (for example STEP, SURMOUNT, or SELECT), safety data, case reports, and laboratory analyses of gray-market products. For Part I, papers on the history of peptide medicine, dosage forms, study methodology, and the gray market were also researched.</w:t>
      </w:r>
    </w:p>
    <w:bookmarkEnd w:id="2998"/>
    <w:bookmarkStart w:id="3005" w:name="search-terms-per-peptide"/>
    <w:p>
      <w:pPr>
        <w:pStyle w:val="Heading3"/>
      </w:pPr>
      <w:r>
        <w:t xml:space="preserve">Search terms per peptide</w:t>
      </w:r>
    </w:p>
    <w:p>
      <w:pPr>
        <w:pStyle w:val="FirstParagraph"/>
      </w:pPr>
      <w:r>
        <w:t xml:space="preserve">The following tables show the PubMed search terms used for the systematic query. The filters described above were appended to each term. An asterisk at the end of a word stands for any word ending,</w:t>
      </w:r>
      <w:r>
        <w:t xml:space="preserve"> </w:t>
      </w:r>
      <w:r>
        <w:rPr>
          <w:rStyle w:val="VerbatimChar"/>
        </w:rPr>
        <w:t xml:space="preserve">OR</w:t>
      </w:r>
      <w:r>
        <w:t xml:space="preserve"> </w:t>
      </w:r>
      <w:r>
        <w:t xml:space="preserve">links alternative names,</w:t>
      </w:r>
      <w:r>
        <w:t xml:space="preserve"> </w:t>
      </w:r>
      <w:r>
        <w:rPr>
          <w:rStyle w:val="VerbatimChar"/>
        </w:rPr>
        <w:t xml:space="preserve">AND</w:t>
      </w:r>
      <w:r>
        <w:t xml:space="preserve"> </w:t>
      </w:r>
      <w:r>
        <w:t xml:space="preserve">restricts the search.</w:t>
      </w:r>
    </w:p>
    <w:bookmarkStart w:id="2999" w:name="a.-metabolism-and-weight-1"/>
    <w:p>
      <w:pPr>
        <w:pStyle w:val="Heading4"/>
      </w:pPr>
      <w:r>
        <w:t xml:space="preserve">A. Metabolism and weight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Exenatide</w:t>
            </w:r>
          </w:p>
        </w:tc>
        <w:tc>
          <w:tcPr/>
          <w:p>
            <w:pPr>
              <w:pStyle w:val="Compact"/>
              <w:jc w:val="left"/>
            </w:pPr>
            <w:r>
              <w:rPr>
                <w:rStyle w:val="VerbatimChar"/>
              </w:rPr>
              <w:t xml:space="preserve">exenatide[tiab]</w:t>
            </w:r>
          </w:p>
        </w:tc>
      </w:tr>
      <w:tr>
        <w:tc>
          <w:tcPr/>
          <w:p>
            <w:pPr>
              <w:pStyle w:val="Compact"/>
              <w:jc w:val="left"/>
            </w:pPr>
            <w:r>
              <w:t xml:space="preserve">Liraglutide</w:t>
            </w:r>
          </w:p>
        </w:tc>
        <w:tc>
          <w:tcPr/>
          <w:p>
            <w:pPr>
              <w:pStyle w:val="Compact"/>
              <w:jc w:val="left"/>
            </w:pPr>
            <w:r>
              <w:rPr>
                <w:rStyle w:val="VerbatimChar"/>
              </w:rPr>
              <w:t xml:space="preserve">liraglutide[tiab]</w:t>
            </w:r>
          </w:p>
        </w:tc>
      </w:tr>
      <w:tr>
        <w:tc>
          <w:tcPr/>
          <w:p>
            <w:pPr>
              <w:pStyle w:val="Compact"/>
              <w:jc w:val="left"/>
            </w:pPr>
            <w:r>
              <w:t xml:space="preserve">Dulaglutide</w:t>
            </w:r>
          </w:p>
        </w:tc>
        <w:tc>
          <w:tcPr/>
          <w:p>
            <w:pPr>
              <w:pStyle w:val="Compact"/>
              <w:jc w:val="left"/>
            </w:pPr>
            <w:r>
              <w:rPr>
                <w:rStyle w:val="VerbatimChar"/>
              </w:rPr>
              <w:t xml:space="preserve">dulaglutide[tiab]</w:t>
            </w:r>
          </w:p>
        </w:tc>
      </w:tr>
      <w:tr>
        <w:tc>
          <w:tcPr/>
          <w:p>
            <w:pPr>
              <w:pStyle w:val="Compact"/>
              <w:jc w:val="left"/>
            </w:pPr>
            <w:r>
              <w:t xml:space="preserve">Semaglutide</w:t>
            </w:r>
          </w:p>
        </w:tc>
        <w:tc>
          <w:tcPr/>
          <w:p>
            <w:pPr>
              <w:pStyle w:val="Compact"/>
              <w:jc w:val="left"/>
            </w:pPr>
            <w:r>
              <w:rPr>
                <w:rStyle w:val="VerbatimChar"/>
              </w:rPr>
              <w:t xml:space="preserve">semaglutide[tiab]</w:t>
            </w:r>
          </w:p>
        </w:tc>
      </w:tr>
      <w:tr>
        <w:tc>
          <w:tcPr/>
          <w:p>
            <w:pPr>
              <w:pStyle w:val="Compact"/>
              <w:jc w:val="left"/>
            </w:pPr>
            <w:r>
              <w:t xml:space="preserve">Tirzepatide</w:t>
            </w:r>
          </w:p>
        </w:tc>
        <w:tc>
          <w:tcPr/>
          <w:p>
            <w:pPr>
              <w:pStyle w:val="Compact"/>
              <w:jc w:val="left"/>
            </w:pPr>
            <w:r>
              <w:rPr>
                <w:rStyle w:val="VerbatimChar"/>
              </w:rPr>
              <w:t xml:space="preserve">tirzepatide[tiab]</w:t>
            </w:r>
          </w:p>
        </w:tc>
      </w:tr>
      <w:tr>
        <w:tc>
          <w:tcPr/>
          <w:p>
            <w:pPr>
              <w:pStyle w:val="Compact"/>
              <w:jc w:val="left"/>
            </w:pPr>
            <w:r>
              <w:t xml:space="preserve">Retatrutide</w:t>
            </w:r>
          </w:p>
        </w:tc>
        <w:tc>
          <w:tcPr/>
          <w:p>
            <w:pPr>
              <w:pStyle w:val="Compact"/>
              <w:jc w:val="left"/>
            </w:pPr>
            <w:r>
              <w:rPr>
                <w:rStyle w:val="VerbatimChar"/>
              </w:rPr>
              <w:t xml:space="preserve">retatrutide[tiab]</w:t>
            </w:r>
          </w:p>
        </w:tc>
      </w:tr>
      <w:tr>
        <w:tc>
          <w:tcPr/>
          <w:p>
            <w:pPr>
              <w:pStyle w:val="Compact"/>
              <w:jc w:val="left"/>
            </w:pPr>
            <w:r>
              <w:t xml:space="preserve">Survodutide</w:t>
            </w:r>
          </w:p>
        </w:tc>
        <w:tc>
          <w:tcPr/>
          <w:p>
            <w:pPr>
              <w:pStyle w:val="Compact"/>
              <w:jc w:val="left"/>
            </w:pPr>
            <w:r>
              <w:rPr>
                <w:rStyle w:val="VerbatimChar"/>
              </w:rPr>
              <w:t xml:space="preserve">survodutide[tiab]</w:t>
            </w:r>
          </w:p>
        </w:tc>
      </w:tr>
      <w:tr>
        <w:tc>
          <w:tcPr/>
          <w:p>
            <w:pPr>
              <w:pStyle w:val="Compact"/>
              <w:jc w:val="left"/>
            </w:pPr>
            <w:r>
              <w:t xml:space="preserve">Mazdutide</w:t>
            </w:r>
          </w:p>
        </w:tc>
        <w:tc>
          <w:tcPr/>
          <w:p>
            <w:pPr>
              <w:pStyle w:val="Compact"/>
              <w:jc w:val="left"/>
            </w:pPr>
            <w:r>
              <w:rPr>
                <w:rStyle w:val="VerbatimChar"/>
              </w:rPr>
              <w:t xml:space="preserve">mazdutide[tiab]</w:t>
            </w:r>
          </w:p>
        </w:tc>
      </w:tr>
      <w:tr>
        <w:tc>
          <w:tcPr/>
          <w:p>
            <w:pPr>
              <w:pStyle w:val="Compact"/>
              <w:jc w:val="left"/>
            </w:pPr>
            <w:r>
              <w:t xml:space="preserve">Cagrilintide or CagriSema</w:t>
            </w:r>
          </w:p>
        </w:tc>
        <w:tc>
          <w:tcPr/>
          <w:p>
            <w:pPr>
              <w:pStyle w:val="Compact"/>
              <w:jc w:val="left"/>
            </w:pPr>
            <w:r>
              <w:rPr>
                <w:rStyle w:val="VerbatimChar"/>
              </w:rPr>
              <w:t xml:space="preserve">cagrilintide[tiab]</w:t>
            </w:r>
          </w:p>
        </w:tc>
      </w:tr>
      <w:tr>
        <w:tc>
          <w:tcPr/>
          <w:p>
            <w:pPr>
              <w:pStyle w:val="Compact"/>
              <w:jc w:val="left"/>
            </w:pPr>
            <w:r>
              <w:t xml:space="preserve">Amycretin</w:t>
            </w:r>
          </w:p>
        </w:tc>
        <w:tc>
          <w:tcPr/>
          <w:p>
            <w:pPr>
              <w:pStyle w:val="Compact"/>
              <w:jc w:val="left"/>
            </w:pPr>
            <w:r>
              <w:rPr>
                <w:rStyle w:val="VerbatimChar"/>
              </w:rPr>
              <w:t xml:space="preserve">amycretin[tiab]</w:t>
            </w:r>
          </w:p>
        </w:tc>
      </w:tr>
      <w:tr>
        <w:tc>
          <w:tcPr/>
          <w:p>
            <w:pPr>
              <w:pStyle w:val="Compact"/>
              <w:jc w:val="left"/>
            </w:pPr>
            <w:r>
              <w:t xml:space="preserve">Maridebart cafraglutide (MariTide)</w:t>
            </w:r>
          </w:p>
        </w:tc>
        <w:tc>
          <w:tcPr/>
          <w:p>
            <w:pPr>
              <w:pStyle w:val="Compact"/>
              <w:jc w:val="left"/>
            </w:pPr>
            <w:r>
              <w:rPr>
                <w:rStyle w:val="VerbatimChar"/>
              </w:rPr>
              <w:t xml:space="preserve">maridebart[tiab] OR AMG 133[tiab]</w:t>
            </w:r>
          </w:p>
        </w:tc>
      </w:tr>
      <w:tr>
        <w:tc>
          <w:tcPr/>
          <w:p>
            <w:pPr>
              <w:pStyle w:val="Compact"/>
              <w:jc w:val="left"/>
            </w:pPr>
            <w:r>
              <w:t xml:space="preserve">Pramlintide</w:t>
            </w:r>
          </w:p>
        </w:tc>
        <w:tc>
          <w:tcPr/>
          <w:p>
            <w:pPr>
              <w:pStyle w:val="Compact"/>
              <w:jc w:val="left"/>
            </w:pPr>
            <w:r>
              <w:rPr>
                <w:rStyle w:val="VerbatimChar"/>
              </w:rPr>
              <w:t xml:space="preserve">pramlintide[tiab]</w:t>
            </w:r>
          </w:p>
        </w:tc>
      </w:tr>
      <w:tr>
        <w:tc>
          <w:tcPr/>
          <w:p>
            <w:pPr>
              <w:pStyle w:val="Compact"/>
              <w:jc w:val="left"/>
            </w:pPr>
            <w:r>
              <w:t xml:space="preserve">Setmelanotide</w:t>
            </w:r>
          </w:p>
        </w:tc>
        <w:tc>
          <w:tcPr/>
          <w:p>
            <w:pPr>
              <w:pStyle w:val="Compact"/>
              <w:jc w:val="left"/>
            </w:pPr>
            <w:r>
              <w:rPr>
                <w:rStyle w:val="VerbatimChar"/>
              </w:rPr>
              <w:t xml:space="preserve">setmelanotide[tiab]</w:t>
            </w:r>
          </w:p>
        </w:tc>
      </w:tr>
      <w:tr>
        <w:tc>
          <w:tcPr/>
          <w:p>
            <w:pPr>
              <w:pStyle w:val="Compact"/>
              <w:jc w:val="left"/>
            </w:pPr>
            <w:r>
              <w:t xml:space="preserve">AOD-9604</w:t>
            </w:r>
          </w:p>
        </w:tc>
        <w:tc>
          <w:tcPr/>
          <w:p>
            <w:pPr>
              <w:pStyle w:val="Compact"/>
              <w:jc w:val="left"/>
            </w:pPr>
            <w:r>
              <w:rPr>
                <w:rStyle w:val="VerbatimChar"/>
              </w:rPr>
              <w:t xml:space="preserve">AOD9604[tiab] OR AOD-9604[tiab]</w:t>
            </w:r>
          </w:p>
        </w:tc>
      </w:tr>
      <w:tr>
        <w:tc>
          <w:tcPr/>
          <w:p>
            <w:pPr>
              <w:pStyle w:val="Compact"/>
              <w:jc w:val="left"/>
            </w:pPr>
            <w:r>
              <w:t xml:space="preserve">Orforglipron (comparator)</w:t>
            </w:r>
          </w:p>
        </w:tc>
        <w:tc>
          <w:tcPr/>
          <w:p>
            <w:pPr>
              <w:pStyle w:val="Compact"/>
              <w:jc w:val="left"/>
            </w:pPr>
            <w:r>
              <w:rPr>
                <w:rStyle w:val="VerbatimChar"/>
              </w:rPr>
              <w:t xml:space="preserve">orforglipron[tiab]</w:t>
            </w:r>
          </w:p>
        </w:tc>
      </w:tr>
    </w:tbl>
    <w:bookmarkEnd w:id="2999"/>
    <w:bookmarkStart w:id="3000" w:name="X2091ad478552a18eb4966dfb8a6ff7fa8e7464f"/>
    <w:p>
      <w:pPr>
        <w:pStyle w:val="Heading4"/>
      </w:pPr>
      <w:r>
        <w:t xml:space="preserve">B. Healing, regeneration, and immune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BPC-157</w:t>
            </w:r>
          </w:p>
        </w:tc>
        <w:tc>
          <w:tcPr/>
          <w:p>
            <w:pPr>
              <w:pStyle w:val="Compact"/>
              <w:jc w:val="left"/>
            </w:pPr>
            <w:r>
              <w:rPr>
                <w:rStyle w:val="VerbatimChar"/>
              </w:rPr>
              <w:t xml:space="preserve">BPC 157[tiab] OR BPC-157[tiab] OR pentadecapeptide BPC[tiab]</w:t>
            </w:r>
          </w:p>
        </w:tc>
      </w:tr>
      <w:tr>
        <w:tc>
          <w:tcPr/>
          <w:p>
            <w:pPr>
              <w:pStyle w:val="Compact"/>
              <w:jc w:val="left"/>
            </w:pPr>
            <w:r>
              <w:t xml:space="preserve">TB-500 or thymosin beta-4</w:t>
            </w:r>
          </w:p>
        </w:tc>
        <w:tc>
          <w:tcPr/>
          <w:p>
            <w:pPr>
              <w:pStyle w:val="Compact"/>
              <w:jc w:val="left"/>
            </w:pPr>
            <w:r>
              <w:rPr>
                <w:rStyle w:val="VerbatimChar"/>
              </w:rPr>
              <w:t xml:space="preserve">thymosin beta-4[tiab] OR thymosin beta4[tiab] OR TB-500[tiab] OR TB500[tiab]</w:t>
            </w:r>
          </w:p>
        </w:tc>
      </w:tr>
      <w:tr>
        <w:tc>
          <w:tcPr/>
          <w:p>
            <w:pPr>
              <w:pStyle w:val="Compact"/>
              <w:jc w:val="left"/>
            </w:pPr>
            <w:r>
              <w:t xml:space="preserve">Thymosin alpha-1 (thymalfasin)</w:t>
            </w:r>
          </w:p>
        </w:tc>
        <w:tc>
          <w:tcPr/>
          <w:p>
            <w:pPr>
              <w:pStyle w:val="Compact"/>
              <w:jc w:val="left"/>
            </w:pPr>
            <w:r>
              <w:rPr>
                <w:rStyle w:val="VerbatimChar"/>
              </w:rPr>
              <w:t xml:space="preserve">thymosin alpha 1[tiab] OR thymalfasin[tiab] OR thymosin alpha1[tiab]</w:t>
            </w:r>
          </w:p>
        </w:tc>
      </w:tr>
      <w:tr>
        <w:tc>
          <w:tcPr/>
          <w:p>
            <w:pPr>
              <w:pStyle w:val="Compact"/>
              <w:jc w:val="left"/>
            </w:pPr>
            <w:r>
              <w:t xml:space="preserve">KPV</w:t>
            </w:r>
          </w:p>
        </w:tc>
        <w:tc>
          <w:tcPr/>
          <w:p>
            <w:pPr>
              <w:pStyle w:val="Compact"/>
              <w:jc w:val="left"/>
            </w:pPr>
            <w:r>
              <w:rPr>
                <w:rStyle w:val="VerbatimChar"/>
              </w:rPr>
              <w:t xml:space="preserve">KPV[tiab] AND (peptide[tiab] OR tripeptide[tiab])</w:t>
            </w:r>
          </w:p>
        </w:tc>
      </w:tr>
      <w:tr>
        <w:tc>
          <w:tcPr/>
          <w:p>
            <w:pPr>
              <w:pStyle w:val="Compact"/>
              <w:jc w:val="left"/>
            </w:pPr>
            <w:r>
              <w:t xml:space="preserve">LL-37</w:t>
            </w:r>
          </w:p>
        </w:tc>
        <w:tc>
          <w:tcPr/>
          <w:p>
            <w:pPr>
              <w:pStyle w:val="Compact"/>
              <w:jc w:val="left"/>
            </w:pPr>
            <w:r>
              <w:rPr>
                <w:rStyle w:val="VerbatimChar"/>
              </w:rPr>
              <w:t xml:space="preserve">LL-37[tiab] OR cathelicidin[tiab]</w:t>
            </w:r>
          </w:p>
        </w:tc>
      </w:tr>
      <w:tr>
        <w:tc>
          <w:tcPr/>
          <w:p>
            <w:pPr>
              <w:pStyle w:val="Compact"/>
              <w:jc w:val="left"/>
            </w:pPr>
            <w:r>
              <w:t xml:space="preserve">ARA-290 (cibinetide)</w:t>
            </w:r>
          </w:p>
        </w:tc>
        <w:tc>
          <w:tcPr/>
          <w:p>
            <w:pPr>
              <w:pStyle w:val="Compact"/>
              <w:jc w:val="left"/>
            </w:pPr>
            <w:r>
              <w:rPr>
                <w:rStyle w:val="VerbatimChar"/>
              </w:rPr>
              <w:t xml:space="preserve">ARA 290[tiab] OR ARA290[tiab] OR cibinetide[tiab]</w:t>
            </w:r>
          </w:p>
        </w:tc>
      </w:tr>
      <w:tr>
        <w:tc>
          <w:tcPr/>
          <w:p>
            <w:pPr>
              <w:pStyle w:val="Compact"/>
              <w:jc w:val="left"/>
            </w:pPr>
            <w:r>
              <w:t xml:space="preserve">Larazotide</w:t>
            </w:r>
          </w:p>
        </w:tc>
        <w:tc>
          <w:tcPr/>
          <w:p>
            <w:pPr>
              <w:pStyle w:val="Compact"/>
              <w:jc w:val="left"/>
            </w:pPr>
            <w:r>
              <w:rPr>
                <w:rStyle w:val="VerbatimChar"/>
              </w:rPr>
              <w:t xml:space="preserve">larazotide[tiab]</w:t>
            </w:r>
          </w:p>
        </w:tc>
      </w:tr>
      <w:tr>
        <w:tc>
          <w:tcPr/>
          <w:p>
            <w:pPr>
              <w:pStyle w:val="Compact"/>
              <w:jc w:val="left"/>
            </w:pPr>
            <w:r>
              <w:t xml:space="preserve">Thymalin or thymogen</w:t>
            </w:r>
          </w:p>
        </w:tc>
        <w:tc>
          <w:tcPr/>
          <w:p>
            <w:pPr>
              <w:pStyle w:val="Compact"/>
              <w:jc w:val="left"/>
            </w:pPr>
            <w:r>
              <w:rPr>
                <w:rStyle w:val="VerbatimChar"/>
              </w:rPr>
              <w:t xml:space="preserve">thymalin[tiab] OR thymogen[tiab]</w:t>
            </w:r>
          </w:p>
        </w:tc>
      </w:tr>
    </w:tbl>
    <w:bookmarkEnd w:id="3000"/>
    <w:bookmarkStart w:id="3001" w:name="c.-growth-hormone-axis-1"/>
    <w:p>
      <w:pPr>
        <w:pStyle w:val="Heading4"/>
      </w:pPr>
      <w:r>
        <w:t xml:space="preserve">C. Growth hormone axis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Sermorelin</w:t>
            </w:r>
          </w:p>
        </w:tc>
        <w:tc>
          <w:tcPr/>
          <w:p>
            <w:pPr>
              <w:pStyle w:val="Compact"/>
              <w:jc w:val="left"/>
            </w:pPr>
            <w:r>
              <w:rPr>
                <w:rStyle w:val="VerbatimChar"/>
              </w:rPr>
              <w:t xml:space="preserve">sermorelin[tiab]</w:t>
            </w:r>
          </w:p>
        </w:tc>
      </w:tr>
      <w:tr>
        <w:tc>
          <w:tcPr/>
          <w:p>
            <w:pPr>
              <w:pStyle w:val="Compact"/>
              <w:jc w:val="left"/>
            </w:pPr>
            <w:r>
              <w:t xml:space="preserve">Tesamorelin</w:t>
            </w:r>
          </w:p>
        </w:tc>
        <w:tc>
          <w:tcPr/>
          <w:p>
            <w:pPr>
              <w:pStyle w:val="Compact"/>
              <w:jc w:val="left"/>
            </w:pPr>
            <w:r>
              <w:rPr>
                <w:rStyle w:val="VerbatimChar"/>
              </w:rPr>
              <w:t xml:space="preserve">tesamorelin[tiab]</w:t>
            </w:r>
          </w:p>
        </w:tc>
      </w:tr>
      <w:tr>
        <w:tc>
          <w:tcPr/>
          <w:p>
            <w:pPr>
              <w:pStyle w:val="Compact"/>
              <w:jc w:val="left"/>
            </w:pPr>
            <w:r>
              <w:t xml:space="preserve">CJC-1295</w:t>
            </w:r>
          </w:p>
        </w:tc>
        <w:tc>
          <w:tcPr/>
          <w:p>
            <w:pPr>
              <w:pStyle w:val="Compact"/>
              <w:jc w:val="left"/>
            </w:pPr>
            <w:r>
              <w:rPr>
                <w:rStyle w:val="VerbatimChar"/>
              </w:rPr>
              <w:t xml:space="preserve">CJC-1295[tiab] OR CJC 1295[tiab]</w:t>
            </w:r>
          </w:p>
        </w:tc>
      </w:tr>
      <w:tr>
        <w:tc>
          <w:tcPr/>
          <w:p>
            <w:pPr>
              <w:pStyle w:val="Compact"/>
              <w:jc w:val="left"/>
            </w:pPr>
            <w:r>
              <w:t xml:space="preserve">Ipamorelin</w:t>
            </w:r>
          </w:p>
        </w:tc>
        <w:tc>
          <w:tcPr/>
          <w:p>
            <w:pPr>
              <w:pStyle w:val="Compact"/>
              <w:jc w:val="left"/>
            </w:pPr>
            <w:r>
              <w:rPr>
                <w:rStyle w:val="VerbatimChar"/>
              </w:rPr>
              <w:t xml:space="preserve">ipamorelin[tiab]</w:t>
            </w:r>
          </w:p>
        </w:tc>
      </w:tr>
      <w:tr>
        <w:tc>
          <w:tcPr/>
          <w:p>
            <w:pPr>
              <w:pStyle w:val="Compact"/>
              <w:jc w:val="left"/>
            </w:pPr>
            <w:r>
              <w:t xml:space="preserve">GHRP-2 (pralmorelin)</w:t>
            </w:r>
          </w:p>
        </w:tc>
        <w:tc>
          <w:tcPr/>
          <w:p>
            <w:pPr>
              <w:pStyle w:val="Compact"/>
              <w:jc w:val="left"/>
            </w:pPr>
            <w:r>
              <w:rPr>
                <w:rStyle w:val="VerbatimChar"/>
              </w:rPr>
              <w:t xml:space="preserve">GHRP-2[tiab] OR pralmorelin[tiab]</w:t>
            </w:r>
          </w:p>
        </w:tc>
      </w:tr>
      <w:tr>
        <w:tc>
          <w:tcPr/>
          <w:p>
            <w:pPr>
              <w:pStyle w:val="Compact"/>
              <w:jc w:val="left"/>
            </w:pPr>
            <w:r>
              <w:t xml:space="preserve">GHRP-6</w:t>
            </w:r>
          </w:p>
        </w:tc>
        <w:tc>
          <w:tcPr/>
          <w:p>
            <w:pPr>
              <w:pStyle w:val="Compact"/>
              <w:jc w:val="left"/>
            </w:pPr>
            <w:r>
              <w:rPr>
                <w:rStyle w:val="VerbatimChar"/>
              </w:rPr>
              <w:t xml:space="preserve">GHRP-6[tiab]</w:t>
            </w:r>
          </w:p>
        </w:tc>
      </w:tr>
      <w:tr>
        <w:tc>
          <w:tcPr/>
          <w:p>
            <w:pPr>
              <w:pStyle w:val="Compact"/>
              <w:jc w:val="left"/>
            </w:pPr>
            <w:r>
              <w:t xml:space="preserve">Hexarelin</w:t>
            </w:r>
          </w:p>
        </w:tc>
        <w:tc>
          <w:tcPr/>
          <w:p>
            <w:pPr>
              <w:pStyle w:val="Compact"/>
              <w:jc w:val="left"/>
            </w:pPr>
            <w:r>
              <w:rPr>
                <w:rStyle w:val="VerbatimChar"/>
              </w:rPr>
              <w:t xml:space="preserve">hexarelin[tiab]</w:t>
            </w:r>
          </w:p>
        </w:tc>
      </w:tr>
      <w:tr>
        <w:tc>
          <w:tcPr/>
          <w:p>
            <w:pPr>
              <w:pStyle w:val="Compact"/>
              <w:jc w:val="left"/>
            </w:pPr>
            <w:r>
              <w:t xml:space="preserve">Macimorelin</w:t>
            </w:r>
          </w:p>
        </w:tc>
        <w:tc>
          <w:tcPr/>
          <w:p>
            <w:pPr>
              <w:pStyle w:val="Compact"/>
              <w:jc w:val="left"/>
            </w:pPr>
            <w:r>
              <w:rPr>
                <w:rStyle w:val="VerbatimChar"/>
              </w:rPr>
              <w:t xml:space="preserve">macimorelin[tiab]</w:t>
            </w:r>
          </w:p>
        </w:tc>
      </w:tr>
      <w:tr>
        <w:tc>
          <w:tcPr/>
          <w:p>
            <w:pPr>
              <w:pStyle w:val="Compact"/>
              <w:jc w:val="left"/>
            </w:pPr>
            <w:r>
              <w:t xml:space="preserve">Mecasermin (IGF-1)</w:t>
            </w:r>
          </w:p>
        </w:tc>
        <w:tc>
          <w:tcPr/>
          <w:p>
            <w:pPr>
              <w:pStyle w:val="Compact"/>
              <w:jc w:val="left"/>
            </w:pPr>
            <w:r>
              <w:rPr>
                <w:rStyle w:val="VerbatimChar"/>
              </w:rPr>
              <w:t xml:space="preserve">mecasermin[tiab] OR rhIGF-1[tiab]</w:t>
            </w:r>
          </w:p>
        </w:tc>
      </w:tr>
      <w:tr>
        <w:tc>
          <w:tcPr/>
          <w:p>
            <w:pPr>
              <w:pStyle w:val="Compact"/>
              <w:jc w:val="left"/>
            </w:pPr>
            <w:r>
              <w:t xml:space="preserve">IGF-1 LR3</w:t>
            </w:r>
          </w:p>
        </w:tc>
        <w:tc>
          <w:tcPr/>
          <w:p>
            <w:pPr>
              <w:pStyle w:val="Compact"/>
              <w:jc w:val="left"/>
            </w:pPr>
            <w:r>
              <w:rPr>
                <w:rStyle w:val="VerbatimChar"/>
              </w:rPr>
              <w:t xml:space="preserve">LR3-IGF-1[tiab] OR IGF-1 LR3[tiab] OR "Long R3"[tiab]</w:t>
            </w:r>
          </w:p>
        </w:tc>
      </w:tr>
      <w:tr>
        <w:tc>
          <w:tcPr/>
          <w:p>
            <w:pPr>
              <w:pStyle w:val="Compact"/>
              <w:jc w:val="left"/>
            </w:pPr>
            <w:r>
              <w:t xml:space="preserve">Ibutamoren (MK-677) (comparator)</w:t>
            </w:r>
          </w:p>
        </w:tc>
        <w:tc>
          <w:tcPr/>
          <w:p>
            <w:pPr>
              <w:pStyle w:val="Compact"/>
              <w:jc w:val="left"/>
            </w:pPr>
            <w:r>
              <w:rPr>
                <w:rStyle w:val="VerbatimChar"/>
              </w:rPr>
              <w:t xml:space="preserve">ibutamoren[tiab] OR MK-677[tiab] OR MK-0677[tiab]</w:t>
            </w:r>
          </w:p>
        </w:tc>
      </w:tr>
    </w:tbl>
    <w:bookmarkEnd w:id="3001"/>
    <w:bookmarkStart w:id="3002" w:name="d.-brain-sleep-and-longevity-1"/>
    <w:p>
      <w:pPr>
        <w:pStyle w:val="Heading4"/>
      </w:pPr>
      <w:r>
        <w:t xml:space="preserve">D. Brain, sleep, and longevity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Semax</w:t>
            </w:r>
          </w:p>
        </w:tc>
        <w:tc>
          <w:tcPr/>
          <w:p>
            <w:pPr>
              <w:pStyle w:val="Compact"/>
              <w:jc w:val="left"/>
            </w:pPr>
            <w:r>
              <w:rPr>
                <w:rStyle w:val="VerbatimChar"/>
              </w:rPr>
              <w:t xml:space="preserve">semax[tiab]</w:t>
            </w:r>
          </w:p>
        </w:tc>
      </w:tr>
      <w:tr>
        <w:tc>
          <w:tcPr/>
          <w:p>
            <w:pPr>
              <w:pStyle w:val="Compact"/>
              <w:jc w:val="left"/>
            </w:pPr>
            <w:r>
              <w:t xml:space="preserve">Selank</w:t>
            </w:r>
          </w:p>
        </w:tc>
        <w:tc>
          <w:tcPr/>
          <w:p>
            <w:pPr>
              <w:pStyle w:val="Compact"/>
              <w:jc w:val="left"/>
            </w:pPr>
            <w:r>
              <w:rPr>
                <w:rStyle w:val="VerbatimChar"/>
              </w:rPr>
              <w:t xml:space="preserve">selank[tiab]</w:t>
            </w:r>
          </w:p>
        </w:tc>
      </w:tr>
      <w:tr>
        <w:tc>
          <w:tcPr/>
          <w:p>
            <w:pPr>
              <w:pStyle w:val="Compact"/>
              <w:jc w:val="left"/>
            </w:pPr>
            <w:r>
              <w:t xml:space="preserve">Cerebrolysin</w:t>
            </w:r>
          </w:p>
        </w:tc>
        <w:tc>
          <w:tcPr/>
          <w:p>
            <w:pPr>
              <w:pStyle w:val="Compact"/>
              <w:jc w:val="left"/>
            </w:pPr>
            <w:r>
              <w:rPr>
                <w:rStyle w:val="VerbatimChar"/>
              </w:rPr>
              <w:t xml:space="preserve">cerebrolysin[tiab]</w:t>
            </w:r>
          </w:p>
        </w:tc>
      </w:tr>
      <w:tr>
        <w:tc>
          <w:tcPr/>
          <w:p>
            <w:pPr>
              <w:pStyle w:val="Compact"/>
              <w:jc w:val="left"/>
            </w:pPr>
            <w:r>
              <w:t xml:space="preserve">Dihexa</w:t>
            </w:r>
          </w:p>
        </w:tc>
        <w:tc>
          <w:tcPr/>
          <w:p>
            <w:pPr>
              <w:pStyle w:val="Compact"/>
              <w:jc w:val="left"/>
            </w:pPr>
            <w:r>
              <w:rPr>
                <w:rStyle w:val="VerbatimChar"/>
              </w:rPr>
              <w:t xml:space="preserve">dihexa[tiab]</w:t>
            </w:r>
          </w:p>
        </w:tc>
      </w:tr>
      <w:tr>
        <w:tc>
          <w:tcPr/>
          <w:p>
            <w:pPr>
              <w:pStyle w:val="Compact"/>
              <w:jc w:val="left"/>
            </w:pPr>
            <w:r>
              <w:t xml:space="preserve">DSIP</w:t>
            </w:r>
          </w:p>
        </w:tc>
        <w:tc>
          <w:tcPr/>
          <w:p>
            <w:pPr>
              <w:pStyle w:val="Compact"/>
              <w:jc w:val="left"/>
            </w:pPr>
            <w:r>
              <w:rPr>
                <w:rStyle w:val="VerbatimChar"/>
              </w:rPr>
              <w:t xml:space="preserve">delta sleep-inducing peptide[tiab] OR DSIP[tiab]</w:t>
            </w:r>
          </w:p>
        </w:tc>
      </w:tr>
      <w:tr>
        <w:tc>
          <w:tcPr/>
          <w:p>
            <w:pPr>
              <w:pStyle w:val="Compact"/>
              <w:jc w:val="left"/>
            </w:pPr>
            <w:r>
              <w:t xml:space="preserve">Epitalon (Epithalon)</w:t>
            </w:r>
          </w:p>
        </w:tc>
        <w:tc>
          <w:tcPr/>
          <w:p>
            <w:pPr>
              <w:pStyle w:val="Compact"/>
              <w:jc w:val="left"/>
            </w:pPr>
            <w:r>
              <w:rPr>
                <w:rStyle w:val="VerbatimChar"/>
              </w:rPr>
              <w:t xml:space="preserve">epitalon[tiab] OR epithalon[tiab] OR epithalone[tiab]</w:t>
            </w:r>
          </w:p>
        </w:tc>
      </w:tr>
      <w:tr>
        <w:tc>
          <w:tcPr/>
          <w:p>
            <w:pPr>
              <w:pStyle w:val="Compact"/>
              <w:jc w:val="left"/>
            </w:pPr>
            <w:r>
              <w:t xml:space="preserve">Pinealon</w:t>
            </w:r>
          </w:p>
        </w:tc>
        <w:tc>
          <w:tcPr/>
          <w:p>
            <w:pPr>
              <w:pStyle w:val="Compact"/>
              <w:jc w:val="left"/>
            </w:pPr>
            <w:r>
              <w:rPr>
                <w:rStyle w:val="VerbatimChar"/>
              </w:rPr>
              <w:t xml:space="preserve">pinealon[tiab]</w:t>
            </w:r>
          </w:p>
        </w:tc>
      </w:tr>
      <w:tr>
        <w:tc>
          <w:tcPr/>
          <w:p>
            <w:pPr>
              <w:pStyle w:val="Compact"/>
              <w:jc w:val="left"/>
            </w:pPr>
            <w:r>
              <w:t xml:space="preserve">MOTS-c</w:t>
            </w:r>
          </w:p>
        </w:tc>
        <w:tc>
          <w:tcPr/>
          <w:p>
            <w:pPr>
              <w:pStyle w:val="Compact"/>
              <w:jc w:val="left"/>
            </w:pPr>
            <w:r>
              <w:rPr>
                <w:rStyle w:val="VerbatimChar"/>
              </w:rPr>
              <w:t xml:space="preserve">MOTS-c[tiab]</w:t>
            </w:r>
          </w:p>
        </w:tc>
      </w:tr>
      <w:tr>
        <w:tc>
          <w:tcPr/>
          <w:p>
            <w:pPr>
              <w:pStyle w:val="Compact"/>
              <w:jc w:val="left"/>
            </w:pPr>
            <w:r>
              <w:t xml:space="preserve">Humanin</w:t>
            </w:r>
          </w:p>
        </w:tc>
        <w:tc>
          <w:tcPr/>
          <w:p>
            <w:pPr>
              <w:pStyle w:val="Compact"/>
              <w:jc w:val="left"/>
            </w:pPr>
            <w:r>
              <w:rPr>
                <w:rStyle w:val="VerbatimChar"/>
              </w:rPr>
              <w:t xml:space="preserve">humanin[tiab]</w:t>
            </w:r>
          </w:p>
        </w:tc>
      </w:tr>
      <w:tr>
        <w:tc>
          <w:tcPr/>
          <w:p>
            <w:pPr>
              <w:pStyle w:val="Compact"/>
              <w:jc w:val="left"/>
            </w:pPr>
            <w:r>
              <w:t xml:space="preserve">SS-31 (elamipretide)</w:t>
            </w:r>
          </w:p>
        </w:tc>
        <w:tc>
          <w:tcPr/>
          <w:p>
            <w:pPr>
              <w:pStyle w:val="Compact"/>
              <w:jc w:val="left"/>
            </w:pPr>
            <w:r>
              <w:rPr>
                <w:rStyle w:val="VerbatimChar"/>
              </w:rPr>
              <w:t xml:space="preserve">elamipretide[tiab] OR SS-31[tiab]</w:t>
            </w:r>
          </w:p>
        </w:tc>
      </w:tr>
      <w:tr>
        <w:tc>
          <w:tcPr/>
          <w:p>
            <w:pPr>
              <w:pStyle w:val="Compact"/>
              <w:jc w:val="left"/>
            </w:pPr>
            <w:r>
              <w:t xml:space="preserve">FOXO4-DRI</w:t>
            </w:r>
          </w:p>
        </w:tc>
        <w:tc>
          <w:tcPr/>
          <w:p>
            <w:pPr>
              <w:pStyle w:val="Compact"/>
              <w:jc w:val="left"/>
            </w:pPr>
            <w:r>
              <w:rPr>
                <w:rStyle w:val="VerbatimChar"/>
              </w:rPr>
              <w:t xml:space="preserve">FOXO4-DRI[tiab]</w:t>
            </w:r>
          </w:p>
        </w:tc>
      </w:tr>
      <w:tr>
        <w:tc>
          <w:tcPr/>
          <w:p>
            <w:pPr>
              <w:pStyle w:val="Compact"/>
              <w:jc w:val="left"/>
            </w:pPr>
            <w:r>
              <w:t xml:space="preserve">Glutathione</w:t>
            </w:r>
          </w:p>
        </w:tc>
        <w:tc>
          <w:tcPr/>
          <w:p>
            <w:pPr>
              <w:pStyle w:val="Compact"/>
              <w:jc w:val="left"/>
            </w:pPr>
            <w:r>
              <w:rPr>
                <w:rStyle w:val="VerbatimChar"/>
              </w:rPr>
              <w:t xml:space="preserve">glutathione[ti] AND (supplementation[tiab] OR oral[tiab] OR intravenous[tiab])</w:t>
            </w:r>
          </w:p>
        </w:tc>
      </w:tr>
    </w:tbl>
    <w:bookmarkEnd w:id="3002"/>
    <w:bookmarkStart w:id="3003" w:name="e.-hormones-sexuality-and-pigmentation-1"/>
    <w:p>
      <w:pPr>
        <w:pStyle w:val="Heading4"/>
      </w:pPr>
      <w:r>
        <w:t xml:space="preserve">E. Hormones, sexuality, and pigmentation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Bremelanotide (PT-141)</w:t>
            </w:r>
          </w:p>
        </w:tc>
        <w:tc>
          <w:tcPr/>
          <w:p>
            <w:pPr>
              <w:pStyle w:val="Compact"/>
              <w:jc w:val="left"/>
            </w:pPr>
            <w:r>
              <w:rPr>
                <w:rStyle w:val="VerbatimChar"/>
              </w:rPr>
              <w:t xml:space="preserve">bremelanotide[tiab] OR PT-141[tiab]</w:t>
            </w:r>
          </w:p>
        </w:tc>
      </w:tr>
      <w:tr>
        <w:tc>
          <w:tcPr/>
          <w:p>
            <w:pPr>
              <w:pStyle w:val="Compact"/>
              <w:jc w:val="left"/>
            </w:pPr>
            <w:r>
              <w:t xml:space="preserve">Melanotan II</w:t>
            </w:r>
          </w:p>
        </w:tc>
        <w:tc>
          <w:tcPr/>
          <w:p>
            <w:pPr>
              <w:pStyle w:val="Compact"/>
              <w:jc w:val="left"/>
            </w:pPr>
            <w:r>
              <w:rPr>
                <w:rStyle w:val="VerbatimChar"/>
              </w:rPr>
              <w:t xml:space="preserve">melanotan[tiab]</w:t>
            </w:r>
          </w:p>
        </w:tc>
      </w:tr>
      <w:tr>
        <w:tc>
          <w:tcPr/>
          <w:p>
            <w:pPr>
              <w:pStyle w:val="Compact"/>
              <w:jc w:val="left"/>
            </w:pPr>
            <w:r>
              <w:t xml:space="preserve">Afamelanotide</w:t>
            </w:r>
          </w:p>
        </w:tc>
        <w:tc>
          <w:tcPr/>
          <w:p>
            <w:pPr>
              <w:pStyle w:val="Compact"/>
              <w:jc w:val="left"/>
            </w:pPr>
            <w:r>
              <w:rPr>
                <w:rStyle w:val="VerbatimChar"/>
              </w:rPr>
              <w:t xml:space="preserve">afamelanotide[tiab]</w:t>
            </w:r>
          </w:p>
        </w:tc>
      </w:tr>
      <w:tr>
        <w:tc>
          <w:tcPr/>
          <w:p>
            <w:pPr>
              <w:pStyle w:val="Compact"/>
              <w:jc w:val="left"/>
            </w:pPr>
            <w:r>
              <w:t xml:space="preserve">Kisspeptin</w:t>
            </w:r>
          </w:p>
        </w:tc>
        <w:tc>
          <w:tcPr/>
          <w:p>
            <w:pPr>
              <w:pStyle w:val="Compact"/>
              <w:jc w:val="left"/>
            </w:pPr>
            <w:r>
              <w:rPr>
                <w:rStyle w:val="VerbatimChar"/>
              </w:rPr>
              <w:t xml:space="preserve">kisspeptin[tiab] AND (administration[tiab] OR infusion[tiab] OR injection[tiab])</w:t>
            </w:r>
          </w:p>
        </w:tc>
      </w:tr>
      <w:tr>
        <w:tc>
          <w:tcPr/>
          <w:p>
            <w:pPr>
              <w:pStyle w:val="Compact"/>
              <w:jc w:val="left"/>
            </w:pPr>
            <w:r>
              <w:t xml:space="preserve">Oxytocin (intranasal)</w:t>
            </w:r>
          </w:p>
        </w:tc>
        <w:tc>
          <w:tcPr/>
          <w:p>
            <w:pPr>
              <w:pStyle w:val="Compact"/>
              <w:jc w:val="left"/>
            </w:pPr>
            <w:r>
              <w:rPr>
                <w:rStyle w:val="VerbatimChar"/>
              </w:rPr>
              <w:t xml:space="preserve">intranasal oxytocin[tiab]</w:t>
            </w:r>
          </w:p>
        </w:tc>
      </w:tr>
      <w:tr>
        <w:tc>
          <w:tcPr/>
          <w:p>
            <w:pPr>
              <w:pStyle w:val="Compact"/>
              <w:jc w:val="left"/>
            </w:pPr>
            <w:r>
              <w:t xml:space="preserve">Gonadorelin</w:t>
            </w:r>
          </w:p>
        </w:tc>
        <w:tc>
          <w:tcPr/>
          <w:p>
            <w:pPr>
              <w:pStyle w:val="Compact"/>
              <w:jc w:val="left"/>
            </w:pPr>
            <w:r>
              <w:rPr>
                <w:rStyle w:val="VerbatimChar"/>
              </w:rPr>
              <w:t xml:space="preserve">gonadorelin[tiab]</w:t>
            </w:r>
          </w:p>
        </w:tc>
      </w:tr>
    </w:tbl>
    <w:bookmarkEnd w:id="3003"/>
    <w:bookmarkStart w:id="3004" w:name="f.-collagen-nutrition-and-cosmetics-1"/>
    <w:p>
      <w:pPr>
        <w:pStyle w:val="Heading4"/>
      </w:pPr>
      <w:r>
        <w:t xml:space="preserve">F. Collagen, nutrition, and cosmetics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Peptide</w:t>
            </w:r>
          </w:p>
        </w:tc>
        <w:tc>
          <w:tcPr/>
          <w:p>
            <w:pPr>
              <w:pStyle w:val="Compact"/>
              <w:jc w:val="left"/>
            </w:pPr>
            <w:r>
              <w:t xml:space="preserve">PubMed search term</w:t>
            </w:r>
          </w:p>
        </w:tc>
      </w:tr>
      <w:tr>
        <w:tc>
          <w:tcPr/>
          <w:p>
            <w:pPr>
              <w:pStyle w:val="Compact"/>
              <w:jc w:val="left"/>
            </w:pPr>
            <w:r>
              <w:t xml:space="preserve">Collagen hydrolysate or collagen peptides</w:t>
            </w:r>
          </w:p>
        </w:tc>
        <w:tc>
          <w:tcPr/>
          <w:p>
            <w:pPr>
              <w:pStyle w:val="Compact"/>
              <w:jc w:val="left"/>
            </w:pPr>
            <w:r>
              <w:rPr>
                <w:rStyle w:val="VerbatimChar"/>
              </w:rPr>
              <w:t xml:space="preserve">(collagen hydrolysate[tiab] OR collagen peptide*[tiab]) AND (supplement*[tiab] OR oral[tiab] OR ingestion[tiab])</w:t>
            </w:r>
          </w:p>
        </w:tc>
      </w:tr>
      <w:tr>
        <w:tc>
          <w:tcPr/>
          <w:p>
            <w:pPr>
              <w:pStyle w:val="Compact"/>
              <w:jc w:val="left"/>
            </w:pPr>
            <w:r>
              <w:t xml:space="preserve">Lactotripeptides (VPP/IPP)</w:t>
            </w:r>
          </w:p>
        </w:tc>
        <w:tc>
          <w:tcPr/>
          <w:p>
            <w:pPr>
              <w:pStyle w:val="Compact"/>
              <w:jc w:val="left"/>
            </w:pPr>
            <w:r>
              <w:rPr>
                <w:rStyle w:val="VerbatimChar"/>
              </w:rPr>
              <w:t xml:space="preserve">lactotripeptide*[tiab] OR (valyl-prolyl-proline[tiab])</w:t>
            </w:r>
          </w:p>
        </w:tc>
      </w:tr>
      <w:tr>
        <w:tc>
          <w:tcPr/>
          <w:p>
            <w:pPr>
              <w:pStyle w:val="Compact"/>
              <w:jc w:val="left"/>
            </w:pPr>
            <w:r>
              <w:t xml:space="preserve">Carnosine</w:t>
            </w:r>
          </w:p>
        </w:tc>
        <w:tc>
          <w:tcPr/>
          <w:p>
            <w:pPr>
              <w:pStyle w:val="Compact"/>
              <w:jc w:val="left"/>
            </w:pPr>
            <w:r>
              <w:rPr>
                <w:rStyle w:val="VerbatimChar"/>
              </w:rPr>
              <w:t xml:space="preserve">carnosine[ti] AND (supplementation[tiab] OR oral[tiab])</w:t>
            </w:r>
          </w:p>
        </w:tc>
      </w:tr>
      <w:tr>
        <w:tc>
          <w:tcPr/>
          <w:p>
            <w:pPr>
              <w:pStyle w:val="Compact"/>
              <w:jc w:val="left"/>
            </w:pPr>
            <w:r>
              <w:t xml:space="preserve">GHK-Cu (copper peptide)</w:t>
            </w:r>
          </w:p>
        </w:tc>
        <w:tc>
          <w:tcPr/>
          <w:p>
            <w:pPr>
              <w:pStyle w:val="Compact"/>
              <w:jc w:val="left"/>
            </w:pPr>
            <w:r>
              <w:rPr>
                <w:rStyle w:val="VerbatimChar"/>
              </w:rPr>
              <w:t xml:space="preserve">GHK-Cu[tiab] OR copper tripeptide[tiab] OR copper peptide GHK[tiab]</w:t>
            </w:r>
          </w:p>
        </w:tc>
      </w:tr>
      <w:tr>
        <w:tc>
          <w:tcPr/>
          <w:p>
            <w:pPr>
              <w:pStyle w:val="Compact"/>
              <w:jc w:val="left"/>
            </w:pPr>
            <w:r>
              <w:t xml:space="preserve">Palmitoyl pentapeptide-4 (Matrixyl)</w:t>
            </w:r>
          </w:p>
        </w:tc>
        <w:tc>
          <w:tcPr/>
          <w:p>
            <w:pPr>
              <w:pStyle w:val="Compact"/>
              <w:jc w:val="left"/>
            </w:pPr>
            <w:r>
              <w:rPr>
                <w:rStyle w:val="VerbatimChar"/>
              </w:rPr>
              <w:t xml:space="preserve">palmitoyl pentapeptide[tiab] OR matrixyl[tiab]</w:t>
            </w:r>
          </w:p>
        </w:tc>
      </w:tr>
      <w:tr>
        <w:tc>
          <w:tcPr/>
          <w:p>
            <w:pPr>
              <w:pStyle w:val="Compact"/>
              <w:jc w:val="left"/>
            </w:pPr>
            <w:r>
              <w:t xml:space="preserve">Acetyl hexapeptide-8 (Argireline)</w:t>
            </w:r>
          </w:p>
        </w:tc>
        <w:tc>
          <w:tcPr/>
          <w:p>
            <w:pPr>
              <w:pStyle w:val="Compact"/>
              <w:jc w:val="left"/>
            </w:pPr>
            <w:r>
              <w:rPr>
                <w:rStyle w:val="VerbatimChar"/>
              </w:rPr>
              <w:t xml:space="preserve">acetyl hexapeptide[tiab] OR argireline[tiab]</w:t>
            </w:r>
          </w:p>
        </w:tc>
      </w:tr>
    </w:tbl>
    <w:bookmarkEnd w:id="3004"/>
    <w:bookmarkEnd w:id="3005"/>
    <w:bookmarkStart w:id="3006" w:name="number-of-hits"/>
    <w:p>
      <w:pPr>
        <w:pStyle w:val="Heading3"/>
      </w:pPr>
      <w:r>
        <w:t xml:space="preserve">Number of hits</w:t>
      </w:r>
    </w:p>
    <w:p>
      <w:pPr>
        <w:pStyle w:val="FirstParagraph"/>
      </w:pPr>
      <w:r>
        <w:t xml:space="preserve">In total, the 58 queries with the human studies filter yielded 3,216 hits, and with the filter for meta-analyses and reviews 1,739 hits. In ClinicalTrials.gov, 4,879 registry entries were found. These totals contain double counts, because some studies concern several peptides – for example, comparative studies between semaglutide and tirzepatide. The figures for each peptide are given at the beginning of the section</w:t>
      </w:r>
      <w:r>
        <w:t xml:space="preserve"> </w:t>
      </w:r>
      <w:r>
        <w:t xml:space="preserve">“</w:t>
      </w:r>
      <w:r>
        <w:t xml:space="preserve">Human studies</w:t>
      </w:r>
      <w:r>
        <w:t xml:space="preserve">”</w:t>
      </w:r>
      <w:r>
        <w:t xml:space="preserve"> </w:t>
      </w:r>
      <w:r>
        <w:t xml:space="preserve">in the respective chapter.</w:t>
      </w:r>
    </w:p>
    <w:p>
      <w:pPr>
        <w:pStyle w:val="BodyText"/>
      </w:pPr>
      <w:r>
        <w:t xml:space="preserve">The distribution is very uneven: the approved GLP-1 drugs account for hundreds of human studies, whereas for many gray-market peptides there are none or only a handful.</w:t>
      </w:r>
    </w:p>
    <w:bookmarkEnd w:id="3006"/>
    <w:bookmarkStart w:id="3007" w:name="selection-and-evaluation"/>
    <w:p>
      <w:pPr>
        <w:pStyle w:val="Heading3"/>
      </w:pPr>
      <w:r>
        <w:t xml:space="preserve">Selection and evaluation</w:t>
      </w:r>
    </w:p>
    <w:p>
      <w:pPr>
        <w:pStyle w:val="FirstParagraph"/>
      </w:pPr>
      <w:r>
        <w:t xml:space="preserve">For each peptide, all hits with the human studies filter were recorded as a short list (title, year, journal, first author); they form the basis of the study index in the appendix. The most important human studies and reviews according to PubMed relevance were read and evaluated with their abstracts, supplemented by the papers found through targeted searches.</w:t>
      </w:r>
    </w:p>
    <w:p>
      <w:pPr>
        <w:pStyle w:val="BodyText"/>
      </w:pPr>
      <w:r>
        <w:t xml:space="preserve">The following applies to the presentation in the text:</w:t>
      </w:r>
    </w:p>
    <w:p>
      <w:pPr>
        <w:numPr>
          <w:ilvl w:val="0"/>
          <w:numId w:val="1374"/>
        </w:numPr>
        <w:pStyle w:val="Compact"/>
      </w:pPr>
      <w:r>
        <w:t xml:space="preserve">Every study mentioned was read on the basis of its PubMed entry or registry entry.</w:t>
      </w:r>
    </w:p>
    <w:p>
      <w:pPr>
        <w:numPr>
          <w:ilvl w:val="0"/>
          <w:numId w:val="1374"/>
        </w:numPr>
        <w:pStyle w:val="Compact"/>
      </w:pPr>
      <w:r>
        <w:t xml:space="preserve">Figures – such as numbers of participants, percentages, weight changes, or p-values – come exclusively from the abstract of the publication or from the registry entry. Anything not documented there is not given as a figure.</w:t>
      </w:r>
    </w:p>
    <w:p>
      <w:pPr>
        <w:numPr>
          <w:ilvl w:val="0"/>
          <w:numId w:val="1374"/>
        </w:numPr>
        <w:pStyle w:val="Compact"/>
      </w:pPr>
      <w:r>
        <w:t xml:space="preserve">Full texts were not systematically evaluated. Details that appear only in the full text, such as individual side effect rates or subgroups, are therefore partly missing.</w:t>
      </w:r>
    </w:p>
    <w:p>
      <w:pPr>
        <w:numPr>
          <w:ilvl w:val="0"/>
          <w:numId w:val="1374"/>
        </w:numPr>
        <w:pStyle w:val="Compact"/>
      </w:pPr>
      <w:r>
        <w:t xml:space="preserve">Animal and laboratory results are explicitly labeled as such.</w:t>
      </w:r>
    </w:p>
    <w:p>
      <w:pPr>
        <w:numPr>
          <w:ilvl w:val="0"/>
          <w:numId w:val="1374"/>
        </w:numPr>
        <w:pStyle w:val="Compact"/>
      </w:pPr>
      <w:r>
        <w:t xml:space="preserve">For ongoing studies, only what is in the registry is reported. They are labeled as</w:t>
      </w:r>
      <w:r>
        <w:t xml:space="preserve"> </w:t>
      </w:r>
      <w:r>
        <w:rPr>
          <w:iCs/>
          <w:i/>
        </w:rPr>
        <w:t xml:space="preserve">established</w:t>
      </w:r>
      <w:r>
        <w:t xml:space="preserve"> </w:t>
      </w:r>
      <w:r>
        <w:t xml:space="preserve">(registered, ongoing), and the author’s own forecasts as</w:t>
      </w:r>
      <w:r>
        <w:t xml:space="preserve"> </w:t>
      </w:r>
      <w:r>
        <w:rPr>
          <w:iCs/>
          <w:i/>
        </w:rPr>
        <w:t xml:space="preserve">assessment</w:t>
      </w:r>
      <w:r>
        <w:t xml:space="preserve">.</w:t>
      </w:r>
    </w:p>
    <w:bookmarkEnd w:id="3007"/>
    <w:bookmarkStart w:id="3008" w:name="evidence-levels"/>
    <w:p>
      <w:pPr>
        <w:pStyle w:val="Heading3"/>
      </w:pPr>
      <w:r>
        <w:t xml:space="preserve">Evidence levels</w:t>
      </w:r>
    </w:p>
    <w:p>
      <w:pPr>
        <w:pStyle w:val="FirstParagraph"/>
      </w:pPr>
      <w:r>
        <w:t xml:space="preserve">Each peptide was assigned an evidence level according to the following criteria: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Criterion</w:t>
            </w:r>
          </w:p>
        </w:tc>
      </w:tr>
      <w:tr>
        <w:tc>
          <w:tcPr/>
          <w:p>
            <w:pPr>
              <w:pStyle w:val="Compact"/>
              <w:jc w:val="left"/>
            </w:pPr>
            <w:r>
              <w:t xml:space="preserve">A</w:t>
            </w:r>
          </w:p>
        </w:tc>
        <w:tc>
          <w:tcPr/>
          <w:p>
            <w:pPr>
              <w:pStyle w:val="Compact"/>
              <w:jc w:val="left"/>
            </w:pPr>
            <w:r>
              <w:t xml:space="preserve">several large randomized trials in humans, approval as a drug</w:t>
            </w:r>
          </w:p>
        </w:tc>
      </w:tr>
      <w:tr>
        <w:tc>
          <w:tcPr/>
          <w:p>
            <w:pPr>
              <w:pStyle w:val="Compact"/>
              <w:jc w:val="left"/>
            </w:pPr>
            <w:r>
              <w:t xml:space="preserve">B</w:t>
            </w:r>
          </w:p>
        </w:tc>
        <w:tc>
          <w:tcPr/>
          <w:p>
            <w:pPr>
              <w:pStyle w:val="Compact"/>
              <w:jc w:val="left"/>
            </w:pPr>
            <w:r>
              <w:t xml:space="preserve">individual randomized trials in humans</w:t>
            </w:r>
          </w:p>
        </w:tc>
      </w:tr>
      <w:tr>
        <w:tc>
          <w:tcPr/>
          <w:p>
            <w:pPr>
              <w:pStyle w:val="Compact"/>
              <w:jc w:val="left"/>
            </w:pPr>
            <w:r>
              <w:t xml:space="preserve">C</w:t>
            </w:r>
          </w:p>
        </w:tc>
        <w:tc>
          <w:tcPr/>
          <w:p>
            <w:pPr>
              <w:pStyle w:val="Compact"/>
              <w:jc w:val="left"/>
            </w:pPr>
            <w:r>
              <w:t xml:space="preserve">only small or uncontrolled studies in humans</w:t>
            </w:r>
          </w:p>
        </w:tc>
      </w:tr>
      <w:tr>
        <w:tc>
          <w:tcPr/>
          <w:p>
            <w:pPr>
              <w:pStyle w:val="Compact"/>
              <w:jc w:val="left"/>
            </w:pPr>
            <w:r>
              <w:t xml:space="preserve">D</w:t>
            </w:r>
          </w:p>
        </w:tc>
        <w:tc>
          <w:tcPr/>
          <w:p>
            <w:pPr>
              <w:pStyle w:val="Compact"/>
              <w:jc w:val="left"/>
            </w:pPr>
            <w:r>
              <w:t xml:space="preserve">only animal and laboratory studies</w:t>
            </w:r>
          </w:p>
        </w:tc>
      </w:tr>
    </w:tbl>
    <w:p>
      <w:pPr>
        <w:pStyle w:val="BodyText"/>
      </w:pPr>
      <w:r>
        <w:t xml:space="preserve">The rating refers to the overall data in humans and to the most important indication studied. It is the author’s assessment based on the studies evaluated and not an official classification.</w:t>
      </w:r>
    </w:p>
    <w:bookmarkEnd w:id="3008"/>
    <w:bookmarkStart w:id="3009" w:name="limitations-of-the-methodology"/>
    <w:p>
      <w:pPr>
        <w:pStyle w:val="Heading3"/>
      </w:pPr>
      <w:r>
        <w:t xml:space="preserve">Limitations of the methodology</w:t>
      </w:r>
    </w:p>
    <w:p>
      <w:pPr>
        <w:pStyle w:val="FirstParagraph"/>
      </w:pPr>
      <w:r>
        <w:t xml:space="preserve">Like any literature search, this one has limitations that you should keep in mind when reading:</w:t>
      </w:r>
    </w:p>
    <w:p>
      <w:pPr>
        <w:pStyle w:val="BodyText"/>
      </w:pPr>
      <w:r>
        <w:rPr>
          <w:bCs/>
          <w:b/>
        </w:rPr>
        <w:t xml:space="preserve">Hits are not the same as independent studies.</w:t>
      </w:r>
      <w:r>
        <w:t xml:space="preserve"> </w:t>
      </w:r>
      <w:r>
        <w:t xml:space="preserve">A large study is often published in several articles – main result, subgroups, follow-up, quality of life. Each of these articles is a separate hit. Conversely, studies can be combined in one article. The hit counts therefore reflect the order of magnitude of research, not the exact number of independent studies.</w:t>
      </w:r>
    </w:p>
    <w:p>
      <w:pPr>
        <w:pStyle w:val="BodyText"/>
      </w:pPr>
      <w:r>
        <w:rPr>
          <w:bCs/>
          <w:b/>
        </w:rPr>
        <w:t xml:space="preserve">Publication types are not always correct.</w:t>
      </w:r>
      <w:r>
        <w:t xml:space="preserve"> </w:t>
      </w:r>
      <w:r>
        <w:t xml:space="preserve">The human studies filter is based on PubMed’s indexing. Some studies are not labeled as clinical trials and are therefore missing; some papers labeled as clinical trials turn out on closer inspection to be observational studies or laboratory work with human material. Very recent articles are often not yet fully indexed.</w:t>
      </w:r>
    </w:p>
    <w:p>
      <w:pPr>
        <w:pStyle w:val="BodyText"/>
      </w:pPr>
      <w:r>
        <w:rPr>
          <w:bCs/>
          <w:b/>
        </w:rPr>
        <w:t xml:space="preserve">Search terms may have gaps.</w:t>
      </w:r>
      <w:r>
        <w:t xml:space="preserve"> </w:t>
      </w:r>
      <w:r>
        <w:t xml:space="preserve">A search term finds only what is described with the chosen words in the title or abstract. Studies that refer to a substance only by a code name or a different spelling may be missing. Conversely, ambiguous abbreviations such as</w:t>
      </w:r>
      <w:r>
        <w:t xml:space="preserve"> </w:t>
      </w:r>
      <w:r>
        <w:t xml:space="preserve">“</w:t>
      </w:r>
      <w:r>
        <w:t xml:space="preserve">KPV</w:t>
      </w:r>
      <w:r>
        <w:t xml:space="preserve">”</w:t>
      </w:r>
      <w:r>
        <w:t xml:space="preserve"> </w:t>
      </w:r>
      <w:r>
        <w:t xml:space="preserve">or</w:t>
      </w:r>
      <w:r>
        <w:t xml:space="preserve"> </w:t>
      </w:r>
      <w:r>
        <w:t xml:space="preserve">“</w:t>
      </w:r>
      <w:r>
        <w:t xml:space="preserve">SS-31</w:t>
      </w:r>
      <w:r>
        <w:t xml:space="preserve">”</w:t>
      </w:r>
      <w:r>
        <w:t xml:space="preserve"> </w:t>
      </w:r>
      <w:r>
        <w:t xml:space="preserve">may also capture papers on completely different topics. For the chapters, the hits were therefore screened and not adopted unchecked.</w:t>
      </w:r>
    </w:p>
    <w:p>
      <w:pPr>
        <w:pStyle w:val="BodyText"/>
      </w:pPr>
      <w:r>
        <w:rPr>
          <w:bCs/>
          <w:b/>
        </w:rPr>
        <w:t xml:space="preserve">Languages.</w:t>
      </w:r>
      <w:r>
        <w:t xml:space="preserve"> </w:t>
      </w:r>
      <w:r>
        <w:t xml:space="preserve">PubMed predominantly lists English-language journals. Papers published only in other languages and in journals that are not indexed are largely missing. This particularly affects some peptides that are researched and used mainly in Russia or other Eastern European countries, such as Semax, Selank, Epitalon, or thymalin. For these, the actual body of studies may be more extensive, but it is difficult for international readers to verify.</w:t>
      </w:r>
    </w:p>
    <w:p>
      <w:pPr>
        <w:pStyle w:val="BodyText"/>
      </w:pPr>
      <w:r>
        <w:rPr>
          <w:bCs/>
          <w:b/>
        </w:rPr>
        <w:t xml:space="preserve">Unpublished studies.</w:t>
      </w:r>
      <w:r>
        <w:t xml:space="preserve"> </w:t>
      </w:r>
      <w:r>
        <w:t xml:space="preserve">Studies that were never published are not included in PubMed. The ClinicalTrials.gov registry helps to identify such gaps but does not capture all studies worldwide.</w:t>
      </w:r>
    </w:p>
    <w:p>
      <w:pPr>
        <w:pStyle w:val="BodyText"/>
      </w:pPr>
      <w:r>
        <w:rPr>
          <w:bCs/>
          <w:b/>
        </w:rPr>
        <w:t xml:space="preserve">Abstracts only.</w:t>
      </w:r>
      <w:r>
        <w:t xml:space="preserve"> </w:t>
      </w:r>
      <w:r>
        <w:t xml:space="preserve">The evaluation is based on the abstracts. They reflect the main results but may present limitations, side effects, or methodological weaknesses in abbreviated form.</w:t>
      </w:r>
    </w:p>
    <w:p>
      <w:pPr>
        <w:pStyle w:val="BodyText"/>
      </w:pPr>
      <w:r>
        <w:rPr>
          <w:bCs/>
          <w:b/>
        </w:rPr>
        <w:t xml:space="preserve">Snapshot.</w:t>
      </w:r>
      <w:r>
        <w:t xml:space="preserve"> </w:t>
      </w:r>
      <w:r>
        <w:t xml:space="preserve">The research reflects the status as of October 2026. In rapidly growing fields such as GLP-1 drugs, new studies appear every week.</w:t>
      </w:r>
    </w:p>
    <w:bookmarkEnd w:id="3009"/>
    <w:bookmarkStart w:id="3010" w:name="ai-support-and-quality-control"/>
    <w:p>
      <w:pPr>
        <w:pStyle w:val="Heading3"/>
      </w:pPr>
      <w:r>
        <w:t xml:space="preserve">AI support and quality control</w:t>
      </w:r>
    </w:p>
    <w:p>
      <w:pPr>
        <w:pStyle w:val="FirstParagraph"/>
      </w:pPr>
      <w:r>
        <w:t xml:space="preserve">This book was researched and written with the support of artificial intelligence and revised by the author. The AI was used for the following tasks:</w:t>
      </w:r>
    </w:p>
    <w:p>
      <w:pPr>
        <w:numPr>
          <w:ilvl w:val="0"/>
          <w:numId w:val="1375"/>
        </w:numPr>
        <w:pStyle w:val="Compact"/>
      </w:pPr>
      <w:r>
        <w:t xml:space="preserve">carrying out the database queries via the interfaces mentioned, using purpose-written helper programs,</w:t>
      </w:r>
    </w:p>
    <w:p>
      <w:pPr>
        <w:numPr>
          <w:ilvl w:val="0"/>
          <w:numId w:val="1375"/>
        </w:numPr>
        <w:pStyle w:val="Compact"/>
      </w:pPr>
      <w:r>
        <w:t xml:space="preserve">reading and evaluating the abstracts and registry entries,</w:t>
      </w:r>
    </w:p>
    <w:p>
      <w:pPr>
        <w:numPr>
          <w:ilvl w:val="0"/>
          <w:numId w:val="1375"/>
        </w:numPr>
        <w:pStyle w:val="Compact"/>
      </w:pPr>
      <w:r>
        <w:t xml:space="preserve">producing draft texts according to fixed style and working rules.</w:t>
      </w:r>
    </w:p>
    <w:p>
      <w:pPr>
        <w:pStyle w:val="FirstParagraph"/>
      </w:pPr>
      <w:r>
        <w:t xml:space="preserve">To avoid the known risk that AI systems invent sources or figures, binding rules applied: every study in the text is cited with its PMID or NCT number; every figure must come from an abstract or registry entry that was actually retrieved; studies may be mentioned only if their entry was previously retrieved and read.</w:t>
      </w:r>
    </w:p>
    <w:p>
      <w:pPr>
        <w:pStyle w:val="BodyText"/>
      </w:pPr>
      <w:r>
        <w:t xml:space="preserve">In addition, each chapter was checked with a verification program. For every PMID and NCT number mentioned in the text, it retrieves the entry in PubMed or ClinicalTrials.gov and reports an error if a number does not exist. It also compares the first author and year of publication given in the text before the PMID with the database entry and flags discrepancies. Finally, it searches for impermissible wording such as promises of cure, dosage recommendations, or references to sources of supply. A chapter was considered finished only when this check ran without errors.</w:t>
      </w:r>
    </w:p>
    <w:p>
      <w:pPr>
        <w:pStyle w:val="BodyText"/>
      </w:pPr>
      <w:r>
        <w:t xml:space="preserve">This check ensures that every cited source exists and is correctly attributed. It cannot completely rule out that a result is presented in the text in abbreviated or misleading form. That is why all sources are given in such a way that you can look them up yourself – how to do this is explained in the section</w:t>
      </w:r>
      <w:r>
        <w:t xml:space="preserve"> </w:t>
      </w:r>
      <w:r>
        <w:t xml:space="preserve">“</w:t>
      </w:r>
      <w:r>
        <w:t xml:space="preserve">About This Book</w:t>
      </w:r>
      <w:r>
        <w:t xml:space="preserve">”</w:t>
      </w:r>
      <w:r>
        <w:t xml:space="preserve"> </w:t>
      </w:r>
      <w:r>
        <w:t xml:space="preserve">at the beginning.</w:t>
      </w:r>
    </w:p>
    <w:bookmarkEnd w:id="3010"/>
    <w:bookmarkEnd w:id="3011"/>
    <w:bookmarkStart w:id="3070" w:name="index-of-studies"/>
    <w:p>
      <w:pPr>
        <w:pStyle w:val="Heading1"/>
      </w:pPr>
      <w:r>
        <w:t xml:space="preserve">Index of Studies</w:t>
      </w:r>
    </w:p>
    <w:p>
      <w:pPr>
        <w:pStyle w:val="FirstParagraph"/>
      </w:pPr>
      <w:r>
        <w:t xml:space="preserve">This index lists every publication of a clinical study in humans that the research for each peptide found in PubMed (query October 2026; filters see Methodology). Titles and journals are given in the original language. Each study can be looked up by its PMID at pubmed.ncbi.nlm.nih.gov. Not every entry is a separate study: some studies were analysed and published more than once.</w:t>
      </w:r>
      <w:r>
        <w:t xml:space="preserve"> </w:t>
      </w:r>
      <w:r>
        <w:t xml:space="preserve">Total: 3,216 entries.</w:t>
      </w:r>
    </w:p>
    <w:bookmarkStart w:id="3012" w:name="exenatide-437"/>
    <w:p>
      <w:pPr>
        <w:pStyle w:val="Heading2"/>
      </w:pPr>
      <w:r>
        <w:t xml:space="preserve">Exenatide (437)</w:t>
      </w:r>
    </w:p>
    <w:p>
      <w:pPr>
        <w:numPr>
          <w:ilvl w:val="0"/>
          <w:numId w:val="1376"/>
        </w:numPr>
        <w:pStyle w:val="Compact"/>
      </w:pPr>
      <w:r>
        <w:t xml:space="preserve">2026 · Retnakaran R ·</w:t>
      </w:r>
      <w:r>
        <w:t xml:space="preserve"> </w:t>
      </w:r>
      <w:r>
        <w:rPr>
          <w:iCs/>
          <w:i/>
        </w:rPr>
        <w:t xml:space="preserve">Am J Physiol Endocrinol Metab</w:t>
      </w:r>
      <w:r>
        <w:t xml:space="preserve"> </w:t>
      </w:r>
      <w:r>
        <w:t xml:space="preserve">· Glucose-lowering in type 2 diabetes may be mediated by improved proinsulin processing without better β-cell compensation. PMID 42721371</w:t>
      </w:r>
    </w:p>
    <w:p>
      <w:pPr>
        <w:numPr>
          <w:ilvl w:val="0"/>
          <w:numId w:val="1376"/>
        </w:numPr>
        <w:pStyle w:val="Compact"/>
      </w:pPr>
      <w:r>
        <w:t xml:space="preserve">2026 · Corey KM ·</w:t>
      </w:r>
      <w:r>
        <w:t xml:space="preserve"> </w:t>
      </w:r>
      <w:r>
        <w:rPr>
          <w:iCs/>
          <w:i/>
        </w:rPr>
        <w:t xml:space="preserve">JCI Insight</w:t>
      </w:r>
      <w:r>
        <w:t xml:space="preserve"> </w:t>
      </w:r>
      <w:r>
        <w:t xml:space="preserve">· A validated, modifiable proteomic score from the EXSCEL trial predicts cardiovascular events in diabetes. PMID 42390946</w:t>
      </w:r>
    </w:p>
    <w:p>
      <w:pPr>
        <w:numPr>
          <w:ilvl w:val="0"/>
          <w:numId w:val="1376"/>
        </w:numPr>
        <w:pStyle w:val="Compact"/>
      </w:pPr>
      <w:r>
        <w:t xml:space="preserve">2026 · Mikkelsen AD ·</w:t>
      </w:r>
      <w:r>
        <w:t xml:space="preserve"> </w:t>
      </w:r>
      <w:r>
        <w:rPr>
          <w:iCs/>
          <w:i/>
        </w:rPr>
        <w:t xml:space="preserve">Acta Anaesthesiol Scand</w:t>
      </w:r>
      <w:r>
        <w:t xml:space="preserve"> </w:t>
      </w:r>
      <w:r>
        <w:t xml:space="preserve">· Glucagon-Like Peptide-1 Agonist vs. Placebo and Pulmonary Decline After Open-Heart Surgery: A Substudy of the GLORIOUS Randomised Clinical Trial. PMID 42318973</w:t>
      </w:r>
    </w:p>
    <w:p>
      <w:pPr>
        <w:numPr>
          <w:ilvl w:val="0"/>
          <w:numId w:val="1376"/>
        </w:numPr>
        <w:pStyle w:val="Compact"/>
      </w:pPr>
      <w:r>
        <w:t xml:space="preserve">2026 · Wu TH ·</w:t>
      </w:r>
      <w:r>
        <w:t xml:space="preserve"> </w:t>
      </w:r>
      <w:r>
        <w:rPr>
          <w:iCs/>
          <w:i/>
        </w:rPr>
        <w:t xml:space="preserve">J Chin Med Assoc</w:t>
      </w:r>
      <w:r>
        <w:t xml:space="preserve"> </w:t>
      </w:r>
      <w:r>
        <w:t xml:space="preserve">· Effects of insulin and exenatide therapy on glycemic control and β-cell function in patients newly diagnosed with type 2 diabetes and severe hyperglycemia. PMID 42290292</w:t>
      </w:r>
    </w:p>
    <w:p>
      <w:pPr>
        <w:numPr>
          <w:ilvl w:val="0"/>
          <w:numId w:val="1376"/>
        </w:numPr>
        <w:pStyle w:val="Compact"/>
      </w:pPr>
      <w:r>
        <w:t xml:space="preserve">2026 · Kittipibul V ·</w:t>
      </w:r>
      <w:r>
        <w:t xml:space="preserve"> </w:t>
      </w:r>
      <w:r>
        <w:rPr>
          <w:iCs/>
          <w:i/>
        </w:rPr>
        <w:t xml:space="preserve">Am Heart J</w:t>
      </w:r>
      <w:r>
        <w:t xml:space="preserve"> </w:t>
      </w:r>
      <w:r>
        <w:t xml:space="preserve">· Serial assessment of NT-proBNP and high-sensitivity cardiac troponin with glucagon-like peptide-1 receptor agonist therapy in type 2 diabetes: Insights from EXSCEL. PMID 42102896</w:t>
      </w:r>
    </w:p>
    <w:p>
      <w:pPr>
        <w:numPr>
          <w:ilvl w:val="0"/>
          <w:numId w:val="1376"/>
        </w:numPr>
        <w:pStyle w:val="Compact"/>
      </w:pPr>
      <w:r>
        <w:t xml:space="preserve">2026 · Parikh M ·</w:t>
      </w:r>
      <w:r>
        <w:t xml:space="preserve"> </w:t>
      </w:r>
      <w:r>
        <w:rPr>
          <w:iCs/>
          <w:i/>
        </w:rPr>
        <w:t xml:space="preserve">J Clin Endocrinol Metab</w:t>
      </w:r>
      <w:r>
        <w:t xml:space="preserve"> </w:t>
      </w:r>
      <w:r>
        <w:t xml:space="preserve">· Exenatide induces an enhanced endogenous glucagon-like peptide-1 secretory response in patients receiving basal insulin. PMID 41604435</w:t>
      </w:r>
    </w:p>
    <w:p>
      <w:pPr>
        <w:numPr>
          <w:ilvl w:val="0"/>
          <w:numId w:val="1376"/>
        </w:numPr>
        <w:pStyle w:val="Compact"/>
      </w:pPr>
      <w:r>
        <w:t xml:space="preserve">2026 · Goodman J ·</w:t>
      </w:r>
      <w:r>
        <w:t xml:space="preserve"> </w:t>
      </w:r>
      <w:r>
        <w:rPr>
          <w:iCs/>
          <w:i/>
        </w:rPr>
        <w:t xml:space="preserve">Br J Clin Pharmacol</w:t>
      </w:r>
      <w:r>
        <w:t xml:space="preserve"> </w:t>
      </w:r>
      <w:r>
        <w:t xml:space="preserve">· An experimental medicine protocol for exploring the haemodynamic effects of dual agonism at the glucagon-like peptide-1 and glucagon receptor in healthy subjects. PMID 41025322</w:t>
      </w:r>
    </w:p>
    <w:p>
      <w:pPr>
        <w:numPr>
          <w:ilvl w:val="0"/>
          <w:numId w:val="1376"/>
        </w:numPr>
        <w:pStyle w:val="Compact"/>
      </w:pPr>
      <w:r>
        <w:t xml:space="preserve">2025 · Almby KE ·</w:t>
      </w:r>
      <w:r>
        <w:t xml:space="preserve"> </w:t>
      </w:r>
      <w:r>
        <w:rPr>
          <w:iCs/>
          <w:i/>
        </w:rPr>
        <w:t xml:space="preserve">Endocrine</w:t>
      </w:r>
      <w:r>
        <w:t xml:space="preserve"> </w:t>
      </w:r>
      <w:r>
        <w:t xml:space="preserve">· Effects of acute GLP-1 analogue infusion on the glycemic and neurohormonal responses to meal test in non- hypoglycemic subjects after gastric bypass. PMID 41071533</w:t>
      </w:r>
    </w:p>
    <w:p>
      <w:pPr>
        <w:numPr>
          <w:ilvl w:val="0"/>
          <w:numId w:val="1376"/>
        </w:numPr>
        <w:pStyle w:val="Compact"/>
      </w:pPr>
      <w:r>
        <w:t xml:space="preserve">2025 · Coleman RL ·</w:t>
      </w:r>
      <w:r>
        <w:t xml:space="preserve"> </w:t>
      </w:r>
      <w:r>
        <w:rPr>
          <w:iCs/>
          <w:i/>
        </w:rPr>
        <w:t xml:space="preserve">Cardiovasc Diabetol</w:t>
      </w:r>
      <w:r>
        <w:t xml:space="preserve"> </w:t>
      </w:r>
      <w:r>
        <w:t xml:space="preserve">· Impact of changes in conventional risk factors induced by once-weekly GLP-1 receptor agonist exenatide on cardiovascular outcomes: an EXSCEL post hoc analysis. PMID 40849664</w:t>
      </w:r>
    </w:p>
    <w:p>
      <w:pPr>
        <w:numPr>
          <w:ilvl w:val="0"/>
          <w:numId w:val="1376"/>
        </w:numPr>
        <w:pStyle w:val="Compact"/>
      </w:pPr>
      <w:r>
        <w:t xml:space="preserve">2025 · Peters AE ·</w:t>
      </w:r>
      <w:r>
        <w:t xml:space="preserve"> </w:t>
      </w:r>
      <w:r>
        <w:rPr>
          <w:iCs/>
          <w:i/>
        </w:rPr>
        <w:t xml:space="preserve">Sci Rep</w:t>
      </w:r>
      <w:r>
        <w:t xml:space="preserve"> </w:t>
      </w:r>
      <w:r>
        <w:t xml:space="preserve">· Proteomic pathways across the ejection fraction spectrum in patients with heart failure and diabetes mellitus: an EXSCEL trial substudy. PMID 40825966</w:t>
      </w:r>
    </w:p>
    <w:p>
      <w:pPr>
        <w:numPr>
          <w:ilvl w:val="0"/>
          <w:numId w:val="1376"/>
        </w:numPr>
        <w:pStyle w:val="Compact"/>
      </w:pPr>
      <w:r>
        <w:t xml:space="preserve">2025 · Hepprich M ·</w:t>
      </w:r>
      <w:r>
        <w:t xml:space="preserve"> </w:t>
      </w:r>
      <w:r>
        <w:rPr>
          <w:iCs/>
          <w:i/>
        </w:rPr>
        <w:t xml:space="preserve">Eur J Endocrinol</w:t>
      </w:r>
      <w:r>
        <w:t xml:space="preserve"> </w:t>
      </w:r>
      <w:r>
        <w:t xml:space="preserve">· Exenatide for diagnosing endogenous hyperinsulinemic hypoglycemia: a randomized placebo-controlled, double-blind, cross-over proof-of-principle study. PMID 40747712</w:t>
      </w:r>
    </w:p>
    <w:p>
      <w:pPr>
        <w:numPr>
          <w:ilvl w:val="0"/>
          <w:numId w:val="1376"/>
        </w:numPr>
        <w:pStyle w:val="Compact"/>
      </w:pPr>
      <w:r>
        <w:t xml:space="preserve">2025 · Vijiaratnam N ·</w:t>
      </w:r>
      <w:r>
        <w:t xml:space="preserve"> </w:t>
      </w:r>
      <w:r>
        <w:rPr>
          <w:iCs/>
          <w:i/>
        </w:rPr>
        <w:t xml:space="preserve">Ann Neurol</w:t>
      </w:r>
      <w:r>
        <w:t xml:space="preserve"> </w:t>
      </w:r>
      <w:r>
        <w:t xml:space="preserve">· Exenatide Once Weekly in the Treatment of Patients with Multiple System Atrophy. PMID 40727970</w:t>
      </w:r>
    </w:p>
    <w:p>
      <w:pPr>
        <w:numPr>
          <w:ilvl w:val="0"/>
          <w:numId w:val="1376"/>
        </w:numPr>
        <w:pStyle w:val="Compact"/>
      </w:pPr>
      <w:r>
        <w:t xml:space="preserve">2025 · Hviid MEB ·</w:t>
      </w:r>
      <w:r>
        <w:t xml:space="preserve"> </w:t>
      </w:r>
      <w:r>
        <w:rPr>
          <w:iCs/>
          <w:i/>
        </w:rPr>
        <w:t xml:space="preserve">Alcohol Clin Exp Res (Hoboken)</w:t>
      </w:r>
      <w:r>
        <w:t xml:space="preserve"> </w:t>
      </w:r>
      <w:r>
        <w:t xml:space="preserve">· Effect of the GLP-1 receptor agonist exenatide on pro-inflammatory and metabolic biomarkers in individuals with alcohol use disorder: Post hoc results from a randomized, double-blinded, placebo-controlled clinical trial. PMID 40630018</w:t>
      </w:r>
    </w:p>
    <w:p>
      <w:pPr>
        <w:numPr>
          <w:ilvl w:val="0"/>
          <w:numId w:val="1376"/>
        </w:numPr>
        <w:pStyle w:val="Compact"/>
      </w:pPr>
      <w:r>
        <w:t xml:space="preserve">2025 · Triplitt C ·</w:t>
      </w:r>
      <w:r>
        <w:t xml:space="preserve"> </w:t>
      </w:r>
      <w:r>
        <w:rPr>
          <w:iCs/>
          <w:i/>
        </w:rPr>
        <w:t xml:space="preserve">Diabetes Care</w:t>
      </w:r>
      <w:r>
        <w:t xml:space="preserve"> </w:t>
      </w:r>
      <w:r>
        <w:t xml:space="preserve">· Changes in β-Cell Function and Insulin Sensitivity During Treatment With Dapagliflozin Alone or in Combination With Exenatide in Type 2 Diabetes. PMID 40627548</w:t>
      </w:r>
    </w:p>
    <w:p>
      <w:pPr>
        <w:numPr>
          <w:ilvl w:val="0"/>
          <w:numId w:val="1376"/>
        </w:numPr>
        <w:pStyle w:val="Compact"/>
      </w:pPr>
      <w:r>
        <w:t xml:space="preserve">2025 · Goodman J ·</w:t>
      </w:r>
      <w:r>
        <w:t xml:space="preserve"> </w:t>
      </w:r>
      <w:r>
        <w:rPr>
          <w:iCs/>
          <w:i/>
        </w:rPr>
        <w:t xml:space="preserve">Sci Rep</w:t>
      </w:r>
      <w:r>
        <w:t xml:space="preserve"> </w:t>
      </w:r>
      <w:r>
        <w:t xml:space="preserve">· Exenatide and glucagon co-infusion increases myocardial glucose uptake and improves markers of diastolic dysfunction in adults with type 2 diabetes. PMID 40593987</w:t>
      </w:r>
    </w:p>
    <w:p>
      <w:pPr>
        <w:numPr>
          <w:ilvl w:val="0"/>
          <w:numId w:val="1376"/>
        </w:numPr>
        <w:pStyle w:val="Compact"/>
      </w:pPr>
      <w:r>
        <w:t xml:space="preserve">2025 · Abdul-Ghani M ·</w:t>
      </w:r>
      <w:r>
        <w:t xml:space="preserve"> </w:t>
      </w:r>
      <w:r>
        <w:rPr>
          <w:iCs/>
          <w:i/>
        </w:rPr>
        <w:t xml:space="preserve">BMJ Open Diabetes Res Care</w:t>
      </w:r>
      <w:r>
        <w:t xml:space="preserve"> </w:t>
      </w:r>
      <w:r>
        <w:t xml:space="preserve">· Glycemic and non-glycemic benefits of initial triple therapy versus sequential add-on therapy in patients with new-onset diabetes: results from the EDICT study. PMID 40288809</w:t>
      </w:r>
    </w:p>
    <w:p>
      <w:pPr>
        <w:numPr>
          <w:ilvl w:val="0"/>
          <w:numId w:val="1376"/>
        </w:numPr>
        <w:pStyle w:val="Compact"/>
      </w:pPr>
      <w:r>
        <w:t xml:space="preserve">2025 · Kjaergaard J ·</w:t>
      </w:r>
      <w:r>
        <w:t xml:space="preserve"> </w:t>
      </w:r>
      <w:r>
        <w:rPr>
          <w:iCs/>
          <w:i/>
        </w:rPr>
        <w:t xml:space="preserve">Circ Cardiovasc Interv</w:t>
      </w:r>
      <w:r>
        <w:t xml:space="preserve"> </w:t>
      </w:r>
      <w:r>
        <w:t xml:space="preserve">· Efficacy of the Glucagon-Like Peptide-1 Agonist Exenatide in Patients Undergoing CABG or Aortic Valve Replacement: A Randomized Double-Blind Clinical Trial. PMID 40265262</w:t>
      </w:r>
    </w:p>
    <w:p>
      <w:pPr>
        <w:numPr>
          <w:ilvl w:val="0"/>
          <w:numId w:val="1376"/>
        </w:numPr>
        <w:pStyle w:val="Compact"/>
      </w:pPr>
      <w:r>
        <w:t xml:space="preserve">2025 · Patino LR ·</w:t>
      </w:r>
      <w:r>
        <w:t xml:space="preserve"> </w:t>
      </w:r>
      <w:r>
        <w:rPr>
          <w:iCs/>
          <w:i/>
        </w:rPr>
        <w:t xml:space="preserve">J Affect Disord</w:t>
      </w:r>
      <w:r>
        <w:t xml:space="preserve"> </w:t>
      </w:r>
      <w:r>
        <w:t xml:space="preserve">· A double-blind, placebo-controlled trial of exenatide for the treatment of olanzapine-related weight gain in obese and overweight adults. PMID 40203970</w:t>
      </w:r>
    </w:p>
    <w:p>
      <w:pPr>
        <w:numPr>
          <w:ilvl w:val="0"/>
          <w:numId w:val="1376"/>
        </w:numPr>
        <w:pStyle w:val="Compact"/>
      </w:pPr>
      <w:r>
        <w:t xml:space="preserve">2025 · Maddaloni E ·</w:t>
      </w:r>
      <w:r>
        <w:t xml:space="preserve"> </w:t>
      </w:r>
      <w:r>
        <w:rPr>
          <w:iCs/>
          <w:i/>
        </w:rPr>
        <w:t xml:space="preserve">Diabetes Res Clin Pract</w:t>
      </w:r>
      <w:r>
        <w:t xml:space="preserve"> </w:t>
      </w:r>
      <w:r>
        <w:t xml:space="preserve">· Risk factors for bone fractures in type 2 diabetes and the impact of once-weekly exenatide: insights from an EXSCEL post-hoc analysis. PMID 40154887</w:t>
      </w:r>
    </w:p>
    <w:p>
      <w:pPr>
        <w:numPr>
          <w:ilvl w:val="0"/>
          <w:numId w:val="1376"/>
        </w:numPr>
        <w:pStyle w:val="Compact"/>
      </w:pPr>
      <w:r>
        <w:t xml:space="preserve">2025 · Jensen ME ·</w:t>
      </w:r>
      <w:r>
        <w:t xml:space="preserve"> </w:t>
      </w:r>
      <w:r>
        <w:rPr>
          <w:iCs/>
          <w:i/>
        </w:rPr>
        <w:t xml:space="preserve">Alcohol Clin Exp Res (Hoboken)</w:t>
      </w:r>
      <w:r>
        <w:t xml:space="preserve"> </w:t>
      </w:r>
      <w:r>
        <w:t xml:space="preserve">· Blood phosphatidylethanol measurements indicate GLP-1 receptor stimulation causes delayed decreases in alcohol consumption. PMID 40123107</w:t>
      </w:r>
    </w:p>
    <w:p>
      <w:pPr>
        <w:numPr>
          <w:ilvl w:val="0"/>
          <w:numId w:val="1376"/>
        </w:numPr>
        <w:pStyle w:val="Compact"/>
      </w:pPr>
      <w:r>
        <w:t xml:space="preserve">2025 · Vijiaratnam N ·</w:t>
      </w:r>
      <w:r>
        <w:t xml:space="preserve"> </w:t>
      </w:r>
      <w:r>
        <w:rPr>
          <w:iCs/>
          <w:i/>
        </w:rPr>
        <w:t xml:space="preserve">Lancet</w:t>
      </w:r>
      <w:r>
        <w:t xml:space="preserve"> </w:t>
      </w:r>
      <w:r>
        <w:t xml:space="preserve">· Exenatide once a week versus placebo as a potential disease-modifying treatment for people with Parkinson’s disease in the UK: a phase 3, multicentre, double-blind, parallel-group, randomised, placebo-controlled trial. PMID 39919773</w:t>
      </w:r>
    </w:p>
    <w:p>
      <w:pPr>
        <w:numPr>
          <w:ilvl w:val="0"/>
          <w:numId w:val="1376"/>
        </w:numPr>
        <w:pStyle w:val="Compact"/>
      </w:pPr>
      <w:r>
        <w:t xml:space="preserve">2025 · Yammine L ·</w:t>
      </w:r>
      <w:r>
        <w:t xml:space="preserve"> </w:t>
      </w:r>
      <w:r>
        <w:rPr>
          <w:iCs/>
          <w:i/>
        </w:rPr>
        <w:t xml:space="preserve">Nicotine Tob Res</w:t>
      </w:r>
      <w:r>
        <w:t xml:space="preserve"> </w:t>
      </w:r>
      <w:r>
        <w:t xml:space="preserve">· Exploring Predictors of Treatment Response to GLP-1 Receptor Agonists for Smoking Cessation. PMID 39780397</w:t>
      </w:r>
    </w:p>
    <w:p>
      <w:pPr>
        <w:numPr>
          <w:ilvl w:val="0"/>
          <w:numId w:val="1376"/>
        </w:numPr>
        <w:pStyle w:val="Compact"/>
      </w:pPr>
      <w:r>
        <w:t xml:space="preserve">2025 · Maddaloni E ·</w:t>
      </w:r>
      <w:r>
        <w:t xml:space="preserve"> </w:t>
      </w:r>
      <w:r>
        <w:rPr>
          <w:iCs/>
          <w:i/>
        </w:rPr>
        <w:t xml:space="preserve">Diabetes Care</w:t>
      </w:r>
      <w:r>
        <w:t xml:space="preserve"> </w:t>
      </w:r>
      <w:r>
        <w:t xml:space="preserve">· Osteoprotegerin, Osteopontin, and Osteocalcin Are Associated With Cardiovascular Events in Type 2 Diabetes: Insights From EXSCEL. PMID 39576722</w:t>
      </w:r>
    </w:p>
    <w:p>
      <w:pPr>
        <w:numPr>
          <w:ilvl w:val="0"/>
          <w:numId w:val="1376"/>
        </w:numPr>
        <w:pStyle w:val="Compact"/>
      </w:pPr>
      <w:r>
        <w:t xml:space="preserve">2025 · Neves JS ·</w:t>
      </w:r>
      <w:r>
        <w:t xml:space="preserve"> </w:t>
      </w:r>
      <w:r>
        <w:rPr>
          <w:iCs/>
          <w:i/>
        </w:rPr>
        <w:t xml:space="preserve">Eur J Heart Fail</w:t>
      </w:r>
      <w:r>
        <w:t xml:space="preserve"> </w:t>
      </w:r>
      <w:r>
        <w:t xml:space="preserve">· Cardiovascular outcomes with exenatide in type 2 diabetes according to ejection fraction: The EXSCEL trial. PMID 39381950</w:t>
      </w:r>
    </w:p>
    <w:p>
      <w:pPr>
        <w:numPr>
          <w:ilvl w:val="0"/>
          <w:numId w:val="1376"/>
        </w:numPr>
        <w:pStyle w:val="Compact"/>
      </w:pPr>
      <w:r>
        <w:t xml:space="preserve">2024 · Koychev I ·</w:t>
      </w:r>
      <w:r>
        <w:t xml:space="preserve"> </w:t>
      </w:r>
      <w:r>
        <w:rPr>
          <w:iCs/>
          <w:i/>
        </w:rPr>
        <w:t xml:space="preserve">Alzheimers Res Ther</w:t>
      </w:r>
      <w:r>
        <w:t xml:space="preserve"> </w:t>
      </w:r>
      <w:r>
        <w:t xml:space="preserve">· Inflammatory proteins associated with Alzheimer’s disease reduced by a GLP1 receptor agonist: a post hoc analysis of the EXSCEL randomized placebo controlled trial. PMID 39358806</w:t>
      </w:r>
    </w:p>
    <w:p>
      <w:pPr>
        <w:numPr>
          <w:ilvl w:val="0"/>
          <w:numId w:val="1376"/>
        </w:numPr>
        <w:pStyle w:val="Compact"/>
      </w:pPr>
      <w:r>
        <w:t xml:space="preserve">2024 · Oulhaj A ·</w:t>
      </w:r>
      <w:r>
        <w:t xml:space="preserve"> </w:t>
      </w:r>
      <w:r>
        <w:rPr>
          <w:iCs/>
          <w:i/>
        </w:rPr>
        <w:t xml:space="preserve">Diabetes Obes Metab</w:t>
      </w:r>
      <w:r>
        <w:t xml:space="preserve"> </w:t>
      </w:r>
      <w:r>
        <w:t xml:space="preserve">· Estimated glomerular filtration rate slope and risk of primary and secondary major adverse cardiovascular events and heart failure hospitalization in people with type 2 diabetes: An analysis of the EXSCEL trial. PMID 39086032</w:t>
      </w:r>
    </w:p>
    <w:p>
      <w:pPr>
        <w:numPr>
          <w:ilvl w:val="0"/>
          <w:numId w:val="1376"/>
        </w:numPr>
        <w:pStyle w:val="Compact"/>
      </w:pPr>
      <w:r>
        <w:t xml:space="preserve">2024 · Gooding KM ·</w:t>
      </w:r>
      <w:r>
        <w:t xml:space="preserve"> </w:t>
      </w:r>
      <w:r>
        <w:rPr>
          <w:iCs/>
          <w:i/>
        </w:rPr>
        <w:t xml:space="preserve">Diabetes Res Clin Pract</w:t>
      </w:r>
      <w:r>
        <w:t xml:space="preserve"> </w:t>
      </w:r>
      <w:r>
        <w:t xml:space="preserve">· Are the cardiovascular properties of GLP-1 receptor agonists differentially modulated by sulfonylureas? Insights from post-hoc analysis of EXSCEL. PMID 38670496</w:t>
      </w:r>
    </w:p>
    <w:p>
      <w:pPr>
        <w:numPr>
          <w:ilvl w:val="0"/>
          <w:numId w:val="1376"/>
        </w:numPr>
        <w:pStyle w:val="Compact"/>
      </w:pPr>
      <w:r>
        <w:t xml:space="preserve">2024 · Dei Cas A ·</w:t>
      </w:r>
      <w:r>
        <w:t xml:space="preserve"> </w:t>
      </w:r>
      <w:r>
        <w:rPr>
          <w:iCs/>
          <w:i/>
        </w:rPr>
        <w:t xml:space="preserve">J Endocrinol Invest</w:t>
      </w:r>
      <w:r>
        <w:t xml:space="preserve"> </w:t>
      </w:r>
      <w:r>
        <w:t xml:space="preserve">· Long-acting exenatide does not prevent cognitive decline in mild cognitive impairment: a proof-of-concept clinical trial. PMID 38565814</w:t>
      </w:r>
    </w:p>
    <w:p>
      <w:pPr>
        <w:numPr>
          <w:ilvl w:val="0"/>
          <w:numId w:val="1376"/>
        </w:numPr>
        <w:pStyle w:val="Compact"/>
      </w:pPr>
      <w:r>
        <w:t xml:space="preserve">2024 · Gatta-Cherifi B ·</w:t>
      </w:r>
      <w:r>
        <w:t xml:space="preserve"> </w:t>
      </w:r>
      <w:r>
        <w:rPr>
          <w:iCs/>
          <w:i/>
        </w:rPr>
        <w:t xml:space="preserve">Eur J Endocrinol</w:t>
      </w:r>
      <w:r>
        <w:t xml:space="preserve"> </w:t>
      </w:r>
      <w:r>
        <w:t xml:space="preserve">· Impact of exenatide on weight loss and eating behavior in adults with craniopharyngioma-related obesity: the CRANIOEXE randomized placebo-controlled trial. PMID 38450721</w:t>
      </w:r>
    </w:p>
    <w:p>
      <w:pPr>
        <w:numPr>
          <w:ilvl w:val="0"/>
          <w:numId w:val="1376"/>
        </w:numPr>
        <w:pStyle w:val="Compact"/>
      </w:pPr>
      <w:r>
        <w:t xml:space="preserve">2024 · Bensignor MO ·</w:t>
      </w:r>
      <w:r>
        <w:t xml:space="preserve"> </w:t>
      </w:r>
      <w:r>
        <w:rPr>
          <w:iCs/>
          <w:i/>
        </w:rPr>
        <w:t xml:space="preserve">Pediatr Obes</w:t>
      </w:r>
      <w:r>
        <w:t xml:space="preserve"> </w:t>
      </w:r>
      <w:r>
        <w:t xml:space="preserve">· Evaluating appetite/satiety hormones and eating behaviours as predictors of weight loss maintenance with GLP-1RA therapy in adolescents with severe obesity. PMID 38339799</w:t>
      </w:r>
    </w:p>
    <w:p>
      <w:pPr>
        <w:numPr>
          <w:ilvl w:val="0"/>
          <w:numId w:val="1376"/>
        </w:numPr>
        <w:pStyle w:val="Compact"/>
      </w:pPr>
      <w:r>
        <w:t xml:space="preserve">2024 · Grech O ·</w:t>
      </w:r>
      <w:r>
        <w:t xml:space="preserve"> </w:t>
      </w:r>
      <w:r>
        <w:rPr>
          <w:iCs/>
          <w:i/>
        </w:rPr>
        <w:t xml:space="preserve">Eye (Lond)</w:t>
      </w:r>
      <w:r>
        <w:t xml:space="preserve"> </w:t>
      </w:r>
      <w:r>
        <w:t xml:space="preserve">· Effect of glucagon like peptide-1 receptor agonist exenatide, used as an intracranial pressure lowering agent, on cognition in Idiopathic Intracranial Hypertension. PMID 38212401</w:t>
      </w:r>
    </w:p>
    <w:p>
      <w:pPr>
        <w:numPr>
          <w:ilvl w:val="0"/>
          <w:numId w:val="1376"/>
        </w:numPr>
        <w:pStyle w:val="Compact"/>
      </w:pPr>
      <w:r>
        <w:t xml:space="preserve">2024 · McGarry A ·</w:t>
      </w:r>
      <w:r>
        <w:t xml:space="preserve"> </w:t>
      </w:r>
      <w:r>
        <w:rPr>
          <w:iCs/>
          <w:i/>
        </w:rPr>
        <w:t xml:space="preserve">Lancet Neurol</w:t>
      </w:r>
      <w:r>
        <w:t xml:space="preserve"> </w:t>
      </w:r>
      <w:r>
        <w:t xml:space="preserve">· Safety, tolerability, and efficacy of NLY01 in early untreated Parkinson’s disease: a randomised, double-blind, placebo-controlled trial. PMID 38101901</w:t>
      </w:r>
    </w:p>
    <w:p>
      <w:pPr>
        <w:numPr>
          <w:ilvl w:val="0"/>
          <w:numId w:val="1376"/>
        </w:numPr>
        <w:pStyle w:val="Compact"/>
      </w:pPr>
      <w:r>
        <w:t xml:space="preserve">2023 · Santos-Pardo I ·</w:t>
      </w:r>
      <w:r>
        <w:t xml:space="preserve"> </w:t>
      </w:r>
      <w:r>
        <w:rPr>
          <w:iCs/>
          <w:i/>
        </w:rPr>
        <w:t xml:space="preserve">Cardiovasc Diabetol</w:t>
      </w:r>
      <w:r>
        <w:t xml:space="preserve"> </w:t>
      </w:r>
      <w:r>
        <w:t xml:space="preserve">· Effects of exenatide on coronary stent’s endothelialization in subjects with type 2 diabetes: a randomized controlled trial. The Rebuild study. PMID 38066597</w:t>
      </w:r>
    </w:p>
    <w:p>
      <w:pPr>
        <w:numPr>
          <w:ilvl w:val="0"/>
          <w:numId w:val="1376"/>
        </w:numPr>
        <w:pStyle w:val="Compact"/>
      </w:pPr>
      <w:r>
        <w:t xml:space="preserve">2023 · Bladin CF ·</w:t>
      </w:r>
      <w:r>
        <w:t xml:space="preserve"> </w:t>
      </w:r>
      <w:r>
        <w:rPr>
          <w:iCs/>
          <w:i/>
        </w:rPr>
        <w:t xml:space="preserve">Stroke</w:t>
      </w:r>
      <w:r>
        <w:t xml:space="preserve"> </w:t>
      </w:r>
      <w:r>
        <w:t xml:space="preserve">· Management of Poststroke Hyperglycemia: Results of the TEXAIS Randomized Clinical Trial. PMID 38011235</w:t>
      </w:r>
    </w:p>
    <w:p>
      <w:pPr>
        <w:numPr>
          <w:ilvl w:val="0"/>
          <w:numId w:val="1376"/>
        </w:numPr>
        <w:pStyle w:val="Compact"/>
      </w:pPr>
      <w:r>
        <w:t xml:space="preserve">2023 · Stenlid R ·</w:t>
      </w:r>
      <w:r>
        <w:t xml:space="preserve"> </w:t>
      </w:r>
      <w:r>
        <w:rPr>
          <w:iCs/>
          <w:i/>
        </w:rPr>
        <w:t xml:space="preserve">Ann Nutr Metab</w:t>
      </w:r>
      <w:r>
        <w:t xml:space="preserve"> </w:t>
      </w:r>
      <w:r>
        <w:t xml:space="preserve">· Screening for Inflammatory Markers Identifies IL-18Rα as a Potential Link between Exenatide and Its Anti-Inflammatory Effect: New Results from the Combat-JUDO Randomized Controlled Trial. PMID 37883939</w:t>
      </w:r>
    </w:p>
    <w:p>
      <w:pPr>
        <w:numPr>
          <w:ilvl w:val="0"/>
          <w:numId w:val="1376"/>
        </w:numPr>
        <w:pStyle w:val="Compact"/>
      </w:pPr>
      <w:r>
        <w:t xml:space="preserve">2023 · Akyay OZ ·</w:t>
      </w:r>
      <w:r>
        <w:t xml:space="preserve"> </w:t>
      </w:r>
      <w:r>
        <w:rPr>
          <w:iCs/>
          <w:i/>
        </w:rPr>
        <w:t xml:space="preserve">Medicine (Baltimore)</w:t>
      </w:r>
      <w:r>
        <w:t xml:space="preserve"> </w:t>
      </w:r>
      <w:r>
        <w:t xml:space="preserve">· The effects of exenatide and insulin glargine treatments on bone turnover markers and bone mineral density in postmenopausal patients with type 2 diabetes mellitus. PMID 37773814</w:t>
      </w:r>
    </w:p>
    <w:p>
      <w:pPr>
        <w:numPr>
          <w:ilvl w:val="0"/>
          <w:numId w:val="1376"/>
        </w:numPr>
        <w:pStyle w:val="Compact"/>
      </w:pPr>
      <w:r>
        <w:t xml:space="preserve">2023 · Liu L ·</w:t>
      </w:r>
      <w:r>
        <w:t xml:space="preserve"> </w:t>
      </w:r>
      <w:r>
        <w:rPr>
          <w:iCs/>
          <w:i/>
        </w:rPr>
        <w:t xml:space="preserve">Exp Clin Endocrinol Diabetes</w:t>
      </w:r>
      <w:r>
        <w:t xml:space="preserve"> </w:t>
      </w:r>
      <w:r>
        <w:t xml:space="preserve">· Insulin Glargine is More Suitable Than Exenatide in Preventing Muscle Loss in Non-Obese Type 2 Diabetic Patients with NAFLD. PMID 37524110</w:t>
      </w:r>
    </w:p>
    <w:p>
      <w:pPr>
        <w:numPr>
          <w:ilvl w:val="0"/>
          <w:numId w:val="1376"/>
        </w:numPr>
        <w:pStyle w:val="Compact"/>
      </w:pPr>
      <w:r>
        <w:t xml:space="preserve">2023 · Retnakaran R ·</w:t>
      </w:r>
      <w:r>
        <w:t xml:space="preserve"> </w:t>
      </w:r>
      <w:r>
        <w:rPr>
          <w:iCs/>
          <w:i/>
        </w:rPr>
        <w:t xml:space="preserve">Diabetes Obes Metab</w:t>
      </w:r>
      <w:r>
        <w:t xml:space="preserve"> </w:t>
      </w:r>
      <w:r>
        <w:t xml:space="preserve">· Baseline determinants of remission of type 2 diabetes in response to short-term insulin-based therapy: The pivotal role of beta-cell function. PMID 37380623</w:t>
      </w:r>
    </w:p>
    <w:p>
      <w:pPr>
        <w:numPr>
          <w:ilvl w:val="0"/>
          <w:numId w:val="1376"/>
        </w:numPr>
        <w:pStyle w:val="Compact"/>
      </w:pPr>
      <w:r>
        <w:t xml:space="preserve">2023 · Mitchell JL ·</w:t>
      </w:r>
      <w:r>
        <w:t xml:space="preserve"> </w:t>
      </w:r>
      <w:r>
        <w:rPr>
          <w:iCs/>
          <w:i/>
        </w:rPr>
        <w:t xml:space="preserve">Brain</w:t>
      </w:r>
      <w:r>
        <w:t xml:space="preserve"> </w:t>
      </w:r>
      <w:r>
        <w:t xml:space="preserve">· The effect of GLP-1RA exenatide on idiopathic intracranial hypertension: a randomized clinical trial. PMID 36907221</w:t>
      </w:r>
    </w:p>
    <w:p>
      <w:pPr>
        <w:numPr>
          <w:ilvl w:val="0"/>
          <w:numId w:val="1376"/>
        </w:numPr>
        <w:pStyle w:val="Compact"/>
      </w:pPr>
      <w:r>
        <w:t xml:space="preserve">2023 · Retnakaran R ·</w:t>
      </w:r>
      <w:r>
        <w:t xml:space="preserve"> </w:t>
      </w:r>
      <w:r>
        <w:rPr>
          <w:iCs/>
          <w:i/>
        </w:rPr>
        <w:t xml:space="preserve">Cardiovasc Diabetol</w:t>
      </w:r>
      <w:r>
        <w:t xml:space="preserve"> </w:t>
      </w:r>
      <w:r>
        <w:t xml:space="preserve">· The vascular function effects of adding exenatide or meal insulin to basal insulin therapy in early type 2 diabetes. PMID 36894921</w:t>
      </w:r>
    </w:p>
    <w:p>
      <w:pPr>
        <w:numPr>
          <w:ilvl w:val="0"/>
          <w:numId w:val="1376"/>
        </w:numPr>
        <w:pStyle w:val="Compact"/>
      </w:pPr>
      <w:r>
        <w:t xml:space="preserve">2023 · van der Aart-van der Beek AB ·</w:t>
      </w:r>
      <w:r>
        <w:t xml:space="preserve"> </w:t>
      </w:r>
      <w:r>
        <w:rPr>
          <w:iCs/>
          <w:i/>
        </w:rPr>
        <w:t xml:space="preserve">Diabetes Obes Metab</w:t>
      </w:r>
      <w:r>
        <w:t xml:space="preserve"> </w:t>
      </w:r>
      <w:r>
        <w:t xml:space="preserve">· Albuminuria-lowering effect of dapagliflozin, exenatide, and their combination in patients with type 2 diabetes: A randomized cross-over clinical study. PMID 36843215</w:t>
      </w:r>
    </w:p>
    <w:p>
      <w:pPr>
        <w:numPr>
          <w:ilvl w:val="0"/>
          <w:numId w:val="1376"/>
        </w:numPr>
        <w:pStyle w:val="Compact"/>
      </w:pPr>
      <w:r>
        <w:t xml:space="preserve">2023 · Green JB ·</w:t>
      </w:r>
      <w:r>
        <w:t xml:space="preserve"> </w:t>
      </w:r>
      <w:r>
        <w:rPr>
          <w:iCs/>
          <w:i/>
        </w:rPr>
        <w:t xml:space="preserve">Diabetes Obes Metab</w:t>
      </w:r>
      <w:r>
        <w:t xml:space="preserve"> </w:t>
      </w:r>
      <w:r>
        <w:t xml:space="preserve">· Sex differences in the complications, care and clinical outcomes of patients with type 2 diabetes in the Exenatide Study of Cardiovascular Event Lowering (EXSCEL). PMID 36700460</w:t>
      </w:r>
    </w:p>
    <w:p>
      <w:pPr>
        <w:numPr>
          <w:ilvl w:val="0"/>
          <w:numId w:val="1376"/>
        </w:numPr>
        <w:pStyle w:val="Compact"/>
      </w:pPr>
      <w:r>
        <w:t xml:space="preserve">2023 · Oulhaj A ·</w:t>
      </w:r>
      <w:r>
        <w:t xml:space="preserve"> </w:t>
      </w:r>
      <w:r>
        <w:rPr>
          <w:iCs/>
          <w:i/>
        </w:rPr>
        <w:t xml:space="preserve">Diabetes Obes Metab</w:t>
      </w:r>
      <w:r>
        <w:t xml:space="preserve"> </w:t>
      </w:r>
      <w:r>
        <w:t xml:space="preserve">· Joint longitudinal and time-to-event modelling compared with standard Cox modelling in patients with type 2 diabetes with and without established cardiovascular disease: An analysis of the EXSCEL trial. PMID 36635232</w:t>
      </w:r>
    </w:p>
    <w:p>
      <w:pPr>
        <w:numPr>
          <w:ilvl w:val="0"/>
          <w:numId w:val="1376"/>
        </w:numPr>
        <w:pStyle w:val="Compact"/>
      </w:pPr>
      <w:r>
        <w:t xml:space="preserve">2022 · Zhang J ·</w:t>
      </w:r>
      <w:r>
        <w:t xml:space="preserve"> </w:t>
      </w:r>
      <w:r>
        <w:rPr>
          <w:iCs/>
          <w:i/>
        </w:rPr>
        <w:t xml:space="preserve">Int J Clin Pract</w:t>
      </w:r>
      <w:r>
        <w:t xml:space="preserve"> </w:t>
      </w:r>
      <w:r>
        <w:t xml:space="preserve">· Efficacy of Exenatide Administered Twice Daily in Body Mass Index Reduction in Patients with Type 2 Diabetes Mellitus. PMID 37214201</w:t>
      </w:r>
    </w:p>
    <w:p>
      <w:pPr>
        <w:numPr>
          <w:ilvl w:val="0"/>
          <w:numId w:val="1376"/>
        </w:numPr>
        <w:pStyle w:val="Compact"/>
      </w:pPr>
      <w:r>
        <w:t xml:space="preserve">2022 · Retnakaran R ·</w:t>
      </w:r>
      <w:r>
        <w:t xml:space="preserve"> </w:t>
      </w:r>
      <w:r>
        <w:rPr>
          <w:iCs/>
          <w:i/>
        </w:rPr>
        <w:t xml:space="preserve">Nat Commun</w:t>
      </w:r>
      <w:r>
        <w:t xml:space="preserve"> </w:t>
      </w:r>
      <w:r>
        <w:t xml:space="preserve">· The metabolic effects of adding exenatide to basal insulin therapy when targeting remission in early type 2 diabetes in a randomized clinical trial. PMID 36244997</w:t>
      </w:r>
    </w:p>
    <w:p>
      <w:pPr>
        <w:numPr>
          <w:ilvl w:val="0"/>
          <w:numId w:val="1376"/>
        </w:numPr>
        <w:pStyle w:val="Compact"/>
      </w:pPr>
      <w:r>
        <w:t xml:space="preserve">2022 · Klausen MK ·</w:t>
      </w:r>
      <w:r>
        <w:t xml:space="preserve"> </w:t>
      </w:r>
      <w:r>
        <w:rPr>
          <w:iCs/>
          <w:i/>
        </w:rPr>
        <w:t xml:space="preserve">JCI Insight</w:t>
      </w:r>
      <w:r>
        <w:t xml:space="preserve"> </w:t>
      </w:r>
      <w:r>
        <w:t xml:space="preserve">· Exenatide once weekly for alcohol use disorder investigated in a randomized, placebo-controlled clinical trial. PMID 36066977</w:t>
      </w:r>
    </w:p>
    <w:p>
      <w:pPr>
        <w:numPr>
          <w:ilvl w:val="0"/>
          <w:numId w:val="1376"/>
        </w:numPr>
        <w:pStyle w:val="Compact"/>
      </w:pPr>
      <w:r>
        <w:t xml:space="preserve">2022 · Akyay OZ ·</w:t>
      </w:r>
      <w:r>
        <w:t xml:space="preserve"> </w:t>
      </w:r>
      <w:r>
        <w:rPr>
          <w:iCs/>
          <w:i/>
        </w:rPr>
        <w:t xml:space="preserve">Niger J Clin Pract</w:t>
      </w:r>
      <w:r>
        <w:t xml:space="preserve"> </w:t>
      </w:r>
      <w:r>
        <w:t xml:space="preserve">· Comparison of the effects of exenatide and insulin glargine on right and left ventricular myocardial deformation as shown by 2D-speckle-tracking echocardiograms. PMID 35859471</w:t>
      </w:r>
    </w:p>
    <w:p>
      <w:pPr>
        <w:numPr>
          <w:ilvl w:val="0"/>
          <w:numId w:val="1376"/>
        </w:numPr>
        <w:pStyle w:val="Compact"/>
      </w:pPr>
      <w:r>
        <w:t xml:space="preserve">2022 · Li R ·</w:t>
      </w:r>
      <w:r>
        <w:t xml:space="preserve"> </w:t>
      </w:r>
      <w:r>
        <w:rPr>
          <w:iCs/>
          <w:i/>
        </w:rPr>
        <w:t xml:space="preserve">Arch Gynecol Obstet</w:t>
      </w:r>
      <w:r>
        <w:t xml:space="preserve"> </w:t>
      </w:r>
      <w:r>
        <w:t xml:space="preserve">· Effect of metformin and exenatide on pregnancy rate and pregnancy outcomes in overweight or obese infertility PCOS women: long-term follow-up of an RCT. PMID 35829765</w:t>
      </w:r>
    </w:p>
    <w:p>
      <w:pPr>
        <w:numPr>
          <w:ilvl w:val="0"/>
          <w:numId w:val="1376"/>
        </w:numPr>
        <w:pStyle w:val="Compact"/>
      </w:pPr>
      <w:r>
        <w:t xml:space="preserve">2022 · Davis TME ·</w:t>
      </w:r>
      <w:r>
        <w:t xml:space="preserve"> </w:t>
      </w:r>
      <w:r>
        <w:rPr>
          <w:iCs/>
          <w:i/>
        </w:rPr>
        <w:t xml:space="preserve">Cardiovasc Diabetol</w:t>
      </w:r>
      <w:r>
        <w:t xml:space="preserve"> </w:t>
      </w:r>
      <w:r>
        <w:t xml:space="preserve">· Effect of race on cardiometabolic responses to once-weekly exenatide: insights from the Exenatide Study of Cardiovascular Event Lowering (EXSCEL). PMID 35761271</w:t>
      </w:r>
    </w:p>
    <w:p>
      <w:pPr>
        <w:numPr>
          <w:ilvl w:val="0"/>
          <w:numId w:val="1376"/>
        </w:numPr>
        <w:pStyle w:val="Compact"/>
      </w:pPr>
      <w:r>
        <w:t xml:space="preserve">2022 · Zhang J ·</w:t>
      </w:r>
      <w:r>
        <w:t xml:space="preserve"> </w:t>
      </w:r>
      <w:r>
        <w:rPr>
          <w:iCs/>
          <w:i/>
        </w:rPr>
        <w:t xml:space="preserve">J Investig Med</w:t>
      </w:r>
      <w:r>
        <w:t xml:space="preserve"> </w:t>
      </w:r>
      <w:r>
        <w:t xml:space="preserve">· Comparing the effects of twice-daily exenatide and insulin on renal function in patients with type 2 diabetes mellitus: secondary analysis of a randomized controlled trial. PMID 35725020</w:t>
      </w:r>
    </w:p>
    <w:p>
      <w:pPr>
        <w:numPr>
          <w:ilvl w:val="0"/>
          <w:numId w:val="1376"/>
        </w:numPr>
        <w:pStyle w:val="Compact"/>
      </w:pPr>
      <w:r>
        <w:t xml:space="preserve">2022 · Samms RJ ·</w:t>
      </w:r>
      <w:r>
        <w:t xml:space="preserve"> </w:t>
      </w:r>
      <w:r>
        <w:rPr>
          <w:iCs/>
          <w:i/>
        </w:rPr>
        <w:t xml:space="preserve">Am J Physiol Endocrinol Metab</w:t>
      </w:r>
      <w:r>
        <w:t xml:space="preserve"> </w:t>
      </w:r>
      <w:r>
        <w:t xml:space="preserve">· FGF21 contributes to metabolic improvements elicited by combination therapy with exenatide and pioglitazone in patients with type 2 diabetes. PMID 35723225</w:t>
      </w:r>
    </w:p>
    <w:p>
      <w:pPr>
        <w:numPr>
          <w:ilvl w:val="0"/>
          <w:numId w:val="1376"/>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6"/>
        </w:numPr>
        <w:pStyle w:val="Compact"/>
      </w:pPr>
      <w:r>
        <w:t xml:space="preserve">2022 · van Ruiten CC ·</w:t>
      </w:r>
      <w:r>
        <w:t xml:space="preserve"> </w:t>
      </w:r>
      <w:r>
        <w:rPr>
          <w:iCs/>
          <w:i/>
        </w:rPr>
        <w:t xml:space="preserve">Front Endocrinol (Lausanne)</w:t>
      </w:r>
      <w:r>
        <w:t xml:space="preserve"> </w:t>
      </w:r>
      <w:r>
        <w:t xml:space="preserve">· Brain Activation in Response to Low-Calorie Food Pictures: An Explorative Analysis of a Randomized Trial With Dapagliflozin and Exenatide. PMID 35600575</w:t>
      </w:r>
    </w:p>
    <w:p>
      <w:pPr>
        <w:numPr>
          <w:ilvl w:val="0"/>
          <w:numId w:val="1376"/>
        </w:numPr>
        <w:pStyle w:val="Compact"/>
      </w:pPr>
      <w:r>
        <w:t xml:space="preserve">2022 · Toftgaard Pedersen A ·</w:t>
      </w:r>
      <w:r>
        <w:t xml:space="preserve"> </w:t>
      </w:r>
      <w:r>
        <w:rPr>
          <w:iCs/>
          <w:i/>
        </w:rPr>
        <w:t xml:space="preserve">Scand Cardiovasc J</w:t>
      </w:r>
      <w:r>
        <w:t xml:space="preserve"> </w:t>
      </w:r>
      <w:r>
        <w:t xml:space="preserve">· Association between inflammatory markers and survival in comatose, resuscitated out-of-hospital cardiac arrest patients. PMID 35546563</w:t>
      </w:r>
    </w:p>
    <w:p>
      <w:pPr>
        <w:numPr>
          <w:ilvl w:val="0"/>
          <w:numId w:val="1376"/>
        </w:numPr>
        <w:pStyle w:val="Compact"/>
      </w:pPr>
      <w:r>
        <w:t xml:space="preserve">2022 · van Ruiten CC ·</w:t>
      </w:r>
      <w:r>
        <w:t xml:space="preserve"> </w:t>
      </w:r>
      <w:r>
        <w:rPr>
          <w:iCs/>
          <w:i/>
        </w:rPr>
        <w:t xml:space="preserve">Diabetes Obes Metab</w:t>
      </w:r>
      <w:r>
        <w:t xml:space="preserve"> </w:t>
      </w:r>
      <w:r>
        <w:t xml:space="preserve">· Combination therapy with exenatide decreases the dapagliflozin-induced changes in brain responses to anticipation and consumption of palatable food in patients with type 2 diabetes: A randomized controlled trial. PMID 35491524</w:t>
      </w:r>
    </w:p>
    <w:p>
      <w:pPr>
        <w:numPr>
          <w:ilvl w:val="0"/>
          <w:numId w:val="1376"/>
        </w:numPr>
        <w:pStyle w:val="Compact"/>
      </w:pPr>
      <w:r>
        <w:t xml:space="preserve">2022 · van Ruiten CC ·</w:t>
      </w:r>
      <w:r>
        <w:t xml:space="preserve"> </w:t>
      </w:r>
      <w:r>
        <w:rPr>
          <w:iCs/>
          <w:i/>
        </w:rPr>
        <w:t xml:space="preserve">Cardiovasc Diabetol</w:t>
      </w:r>
      <w:r>
        <w:t xml:space="preserve"> </w:t>
      </w:r>
      <w:r>
        <w:t xml:space="preserve">· Mechanisms underlying the blood pressure lowering effects of dapagliflozin, exenatide, and their combination in people with type 2 diabetes: a secondary analysis of a randomized trial. PMID 35484607</w:t>
      </w:r>
    </w:p>
    <w:p>
      <w:pPr>
        <w:numPr>
          <w:ilvl w:val="0"/>
          <w:numId w:val="1376"/>
        </w:numPr>
        <w:pStyle w:val="Compact"/>
      </w:pPr>
      <w:r>
        <w:t xml:space="preserve">2022 · Fox CK ·</w:t>
      </w:r>
      <w:r>
        <w:t xml:space="preserve"> </w:t>
      </w:r>
      <w:r>
        <w:rPr>
          <w:iCs/>
          <w:i/>
        </w:rPr>
        <w:t xml:space="preserve">Obesity (Silver Spring)</w:t>
      </w:r>
      <w:r>
        <w:t xml:space="preserve"> </w:t>
      </w:r>
      <w:r>
        <w:t xml:space="preserve">· Exenatide for weight-loss maintenance in adolescents with severe obesity: A randomized, placebo-controlled trial. PMID 35403350</w:t>
      </w:r>
    </w:p>
    <w:p>
      <w:pPr>
        <w:numPr>
          <w:ilvl w:val="0"/>
          <w:numId w:val="1376"/>
        </w:numPr>
        <w:pStyle w:val="Compact"/>
      </w:pPr>
      <w:r>
        <w:t xml:space="preserve">2022 · López-Cano C ·</w:t>
      </w:r>
      <w:r>
        <w:t xml:space="preserve"> </w:t>
      </w:r>
      <w:r>
        <w:rPr>
          <w:iCs/>
          <w:i/>
        </w:rPr>
        <w:t xml:space="preserve">Sci Rep</w:t>
      </w:r>
      <w:r>
        <w:t xml:space="preserve"> </w:t>
      </w:r>
      <w:r>
        <w:t xml:space="preserve">· Dapagliflozin plus exenatide on patients with type 2 diabetes awaiting bariatric surgery in the DEXBASU study. PMID 35217772</w:t>
      </w:r>
    </w:p>
    <w:p>
      <w:pPr>
        <w:numPr>
          <w:ilvl w:val="0"/>
          <w:numId w:val="1376"/>
        </w:numPr>
        <w:pStyle w:val="Compact"/>
      </w:pPr>
      <w:r>
        <w:t xml:space="preserve">2022 · van Ruiten CC ·</w:t>
      </w:r>
      <w:r>
        <w:t xml:space="preserve"> </w:t>
      </w:r>
      <w:r>
        <w:rPr>
          <w:iCs/>
          <w:i/>
        </w:rPr>
        <w:t xml:space="preserve">J Clin Endocrinol Metab</w:t>
      </w:r>
      <w:r>
        <w:t xml:space="preserve"> </w:t>
      </w:r>
      <w:r>
        <w:t xml:space="preserve">· Effects of Dapagliflozin and Combination Therapy With Exenatide on Food-Cue Induced Brain Activation in Patients With Type 2 Diabetes. PMID 35134184</w:t>
      </w:r>
    </w:p>
    <w:p>
      <w:pPr>
        <w:numPr>
          <w:ilvl w:val="0"/>
          <w:numId w:val="1376"/>
        </w:numPr>
        <w:pStyle w:val="Compact"/>
      </w:pPr>
      <w:r>
        <w:t xml:space="preserve">2022 · Shoemaker AH ·</w:t>
      </w:r>
      <w:r>
        <w:t xml:space="preserve"> </w:t>
      </w:r>
      <w:r>
        <w:rPr>
          <w:iCs/>
          <w:i/>
        </w:rPr>
        <w:t xml:space="preserve">Int J Obes (Lond)</w:t>
      </w:r>
      <w:r>
        <w:t xml:space="preserve"> </w:t>
      </w:r>
      <w:r>
        <w:t xml:space="preserve">· Energy balance in hypothalamic obesity in response to treatment with a once-weekly GLP-1 receptor agonist. PMID 34975146</w:t>
      </w:r>
    </w:p>
    <w:p>
      <w:pPr>
        <w:numPr>
          <w:ilvl w:val="0"/>
          <w:numId w:val="1376"/>
        </w:numPr>
        <w:pStyle w:val="Compact"/>
      </w:pPr>
      <w:r>
        <w:t xml:space="preserve">2022 · Ruff CT ·</w:t>
      </w:r>
      <w:r>
        <w:t xml:space="preserve"> </w:t>
      </w:r>
      <w:r>
        <w:rPr>
          <w:iCs/>
          <w:i/>
        </w:rPr>
        <w:t xml:space="preserve">Nat Med</w:t>
      </w:r>
      <w:r>
        <w:t xml:space="preserve"> </w:t>
      </w:r>
      <w:r>
        <w:t xml:space="preserve">· Subcutaneous infusion of exenatide and cardiovascular outcomes in type 2 diabetes: a non-inferiority randomized controlled trial. PMID 34873344</w:t>
      </w:r>
    </w:p>
    <w:p>
      <w:pPr>
        <w:numPr>
          <w:ilvl w:val="0"/>
          <w:numId w:val="1376"/>
        </w:numPr>
        <w:pStyle w:val="Compact"/>
      </w:pPr>
      <w:r>
        <w:t xml:space="preserve">2022 · Johansen NJ ·</w:t>
      </w:r>
      <w:r>
        <w:t xml:space="preserve"> </w:t>
      </w:r>
      <w:r>
        <w:rPr>
          <w:iCs/>
          <w:i/>
        </w:rPr>
        <w:t xml:space="preserve">Diabetes Obes Metab</w:t>
      </w:r>
      <w:r>
        <w:t xml:space="preserve"> </w:t>
      </w:r>
      <w:r>
        <w:t xml:space="preserve">· Effects of short-acting exenatide added three times daily to insulin therapy on bone metabolism in type 1 diabetes. PMID 34617375</w:t>
      </w:r>
    </w:p>
    <w:p>
      <w:pPr>
        <w:numPr>
          <w:ilvl w:val="0"/>
          <w:numId w:val="1376"/>
        </w:numPr>
        <w:pStyle w:val="Compact"/>
      </w:pPr>
      <w:r>
        <w:t xml:space="preserve">2021 · Rodgers M ·</w:t>
      </w:r>
      <w:r>
        <w:t xml:space="preserve"> </w:t>
      </w:r>
      <w:r>
        <w:rPr>
          <w:iCs/>
          <w:i/>
        </w:rPr>
        <w:t xml:space="preserve">Front Endocrinol (Lausanne)</w:t>
      </w:r>
      <w:r>
        <w:t xml:space="preserve"> </w:t>
      </w:r>
      <w:r>
        <w:t xml:space="preserve">· Weight Loss Outcomes Among Early High Responders to Exenatide Treatment: A Randomized, Placebo Controlled Study in Overweight and Obese Women. PMID 34867786</w:t>
      </w:r>
    </w:p>
    <w:p>
      <w:pPr>
        <w:numPr>
          <w:ilvl w:val="0"/>
          <w:numId w:val="1376"/>
        </w:numPr>
        <w:pStyle w:val="Compact"/>
      </w:pPr>
      <w:r>
        <w:t xml:space="preserve">2021 · Ma RL ·</w:t>
      </w:r>
      <w:r>
        <w:t xml:space="preserve"> </w:t>
      </w:r>
      <w:r>
        <w:rPr>
          <w:iCs/>
          <w:i/>
        </w:rPr>
        <w:t xml:space="preserve">Chin Med J (Engl)</w:t>
      </w:r>
      <w:r>
        <w:t xml:space="preserve"> </w:t>
      </w:r>
      <w:r>
        <w:t xml:space="preserve">· Short-term combined treatment with exenatide and metformin for overweight/obese women with polycystic ovary syndrome. PMID 34732660</w:t>
      </w:r>
    </w:p>
    <w:p>
      <w:pPr>
        <w:numPr>
          <w:ilvl w:val="0"/>
          <w:numId w:val="1376"/>
        </w:numPr>
        <w:pStyle w:val="Compact"/>
      </w:pPr>
      <w:r>
        <w:t xml:space="preserve">2021 · Kang C ·</w:t>
      </w:r>
      <w:r>
        <w:t xml:space="preserve"> </w:t>
      </w:r>
      <w:r>
        <w:rPr>
          <w:iCs/>
          <w:i/>
        </w:rPr>
        <w:t xml:space="preserve">Sci Rep</w:t>
      </w:r>
      <w:r>
        <w:t xml:space="preserve"> </w:t>
      </w:r>
      <w:r>
        <w:t xml:space="preserve">· Effects of exenatide on urinary albumin in overweight/obese patients with T2DM: a randomized clinical trial. PMID 34625598</w:t>
      </w:r>
    </w:p>
    <w:p>
      <w:pPr>
        <w:numPr>
          <w:ilvl w:val="0"/>
          <w:numId w:val="1376"/>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6"/>
        </w:numPr>
        <w:pStyle w:val="Compact"/>
      </w:pPr>
      <w:r>
        <w:t xml:space="preserve">2021 · Abdelgani S ·</w:t>
      </w:r>
      <w:r>
        <w:t xml:space="preserve"> </w:t>
      </w:r>
      <w:r>
        <w:rPr>
          <w:iCs/>
          <w:i/>
        </w:rPr>
        <w:t xml:space="preserve">J Clin Endocrinol Metab</w:t>
      </w:r>
      <w:r>
        <w:t xml:space="preserve"> </w:t>
      </w:r>
      <w:r>
        <w:t xml:space="preserve">· Insulin Secretion Predicts the Response to Antidiabetic Therapy in Patients With New-onset Diabetes. PMID 34343296</w:t>
      </w:r>
    </w:p>
    <w:p>
      <w:pPr>
        <w:numPr>
          <w:ilvl w:val="0"/>
          <w:numId w:val="1376"/>
        </w:numPr>
        <w:pStyle w:val="Compact"/>
      </w:pPr>
      <w:r>
        <w:t xml:space="preserve">2021 · Ekinci EI ·</w:t>
      </w:r>
      <w:r>
        <w:t xml:space="preserve"> </w:t>
      </w:r>
      <w:r>
        <w:rPr>
          <w:iCs/>
          <w:i/>
        </w:rPr>
        <w:t xml:space="preserve">Intern Med J</w:t>
      </w:r>
      <w:r>
        <w:t xml:space="preserve"> </w:t>
      </w:r>
      <w:r>
        <w:t xml:space="preserve">· Feasibility of once weekly exenatide-LAR and enhanced diabetes care in Indigenous Australians with type 2 diabetes (Long-acting-Once-Weekly-Exenatide laR-SUGAR,</w:t>
      </w:r>
      <w:r>
        <w:t xml:space="preserve"> </w:t>
      </w:r>
      <w:r>
        <w:t xml:space="preserve">‘</w:t>
      </w:r>
      <w:r>
        <w:t xml:space="preserve">Lower SUGAR</w:t>
      </w:r>
      <w:r>
        <w:t xml:space="preserve">’</w:t>
      </w:r>
      <w:r>
        <w:t xml:space="preserve"> </w:t>
      </w:r>
      <w:r>
        <w:t xml:space="preserve">study). PMID 34142743</w:t>
      </w:r>
    </w:p>
    <w:p>
      <w:pPr>
        <w:numPr>
          <w:ilvl w:val="0"/>
          <w:numId w:val="1376"/>
        </w:numPr>
        <w:pStyle w:val="Compact"/>
      </w:pPr>
      <w:r>
        <w:t xml:space="preserve">2021 · Elkind-Hirsch KE ·</w:t>
      </w:r>
      <w:r>
        <w:t xml:space="preserve"> </w:t>
      </w:r>
      <w:r>
        <w:rPr>
          <w:iCs/>
          <w:i/>
        </w:rPr>
        <w:t xml:space="preserve">J Clin Endocrinol Metab</w:t>
      </w:r>
      <w:r>
        <w:t xml:space="preserve"> </w:t>
      </w:r>
      <w:r>
        <w:t xml:space="preserve">· Exenatide, Dapagliflozin, or Phentermine/Topiramate Differentially Affect Metabolic Profiles in Polycystic Ovary Syndrome. PMID 34097062</w:t>
      </w:r>
    </w:p>
    <w:p>
      <w:pPr>
        <w:numPr>
          <w:ilvl w:val="0"/>
          <w:numId w:val="1376"/>
        </w:numPr>
        <w:pStyle w:val="Compact"/>
      </w:pPr>
      <w:r>
        <w:t xml:space="preserve">2021 · Ponirakis G ·</w:t>
      </w:r>
      <w:r>
        <w:t xml:space="preserve"> </w:t>
      </w:r>
      <w:r>
        <w:rPr>
          <w:iCs/>
          <w:i/>
        </w:rPr>
        <w:t xml:space="preserve">J Diabetes Investig</w:t>
      </w:r>
      <w:r>
        <w:t xml:space="preserve"> </w:t>
      </w:r>
      <w:r>
        <w:t xml:space="preserve">· Insulin resistance limits corneal nerve regeneration in patients with type 2 diabetes undergoing intensive glycemic control. PMID 34002953</w:t>
      </w:r>
    </w:p>
    <w:p>
      <w:pPr>
        <w:numPr>
          <w:ilvl w:val="0"/>
          <w:numId w:val="1376"/>
        </w:numPr>
        <w:pStyle w:val="Compact"/>
      </w:pPr>
      <w:r>
        <w:t xml:space="preserve">2021 · van Ruiten CC ·</w:t>
      </w:r>
      <w:r>
        <w:t xml:space="preserve"> </w:t>
      </w:r>
      <w:r>
        <w:rPr>
          <w:iCs/>
          <w:i/>
        </w:rPr>
        <w:t xml:space="preserve">Diabetes Obes Metab</w:t>
      </w:r>
      <w:r>
        <w:t xml:space="preserve"> </w:t>
      </w:r>
      <w:r>
        <w:t xml:space="preserve">· Effect of exenatide twice daily and dapagliflozin, alone and in combination, on markers of kidney function in obese patients with type 2 diabetes: A prespecified secondary analysis of a randomized controlled clinical trial. PMID 33908691</w:t>
      </w:r>
    </w:p>
    <w:p>
      <w:pPr>
        <w:numPr>
          <w:ilvl w:val="0"/>
          <w:numId w:val="1376"/>
        </w:numPr>
        <w:pStyle w:val="Compact"/>
      </w:pPr>
      <w:r>
        <w:t xml:space="preserve">2021 · Barbery CE ·</w:t>
      </w:r>
      <w:r>
        <w:t xml:space="preserve"> </w:t>
      </w:r>
      <w:r>
        <w:rPr>
          <w:iCs/>
          <w:i/>
        </w:rPr>
        <w:t xml:space="preserve">Am Heart J</w:t>
      </w:r>
      <w:r>
        <w:t xml:space="preserve"> </w:t>
      </w:r>
      <w:r>
        <w:t xml:space="preserve">· Effect of once-weekly exenatide on hospitalization for acute coronary syndrome or coronary revascularization in patients with type 2 diabetes mellitus. PMID 33905751</w:t>
      </w:r>
    </w:p>
    <w:p>
      <w:pPr>
        <w:numPr>
          <w:ilvl w:val="0"/>
          <w:numId w:val="1376"/>
        </w:numPr>
        <w:pStyle w:val="Compact"/>
      </w:pPr>
      <w:r>
        <w:t xml:space="preserve">2021 · Abdelgani S ·</w:t>
      </w:r>
      <w:r>
        <w:t xml:space="preserve"> </w:t>
      </w:r>
      <w:r>
        <w:rPr>
          <w:iCs/>
          <w:i/>
        </w:rPr>
        <w:t xml:space="preserve">Diabetes Obes Metab</w:t>
      </w:r>
      <w:r>
        <w:t xml:space="preserve"> </w:t>
      </w:r>
      <w:r>
        <w:t xml:space="preserve">· Insulin secretion is a strong predictor for need of insulin therapy in patients with new-onset diabetes and HbA1c of more than 10%: A post hoc analysis of the EDICT study. PMID 33852204</w:t>
      </w:r>
    </w:p>
    <w:p>
      <w:pPr>
        <w:numPr>
          <w:ilvl w:val="0"/>
          <w:numId w:val="1376"/>
        </w:numPr>
        <w:pStyle w:val="Compact"/>
      </w:pPr>
      <w:r>
        <w:t xml:space="preserve">2021 · Chen X ·</w:t>
      </w:r>
      <w:r>
        <w:t xml:space="preserve"> </w:t>
      </w:r>
      <w:r>
        <w:rPr>
          <w:iCs/>
          <w:i/>
        </w:rPr>
        <w:t xml:space="preserve">Endocr Pract</w:t>
      </w:r>
      <w:r>
        <w:t xml:space="preserve"> </w:t>
      </w:r>
      <w:r>
        <w:t xml:space="preserve">· Exenatide Twice Daily Plus Glargine Versus Aspart 70/30 Twice Daily in Patients With Type 2 Diabetes With Inadequate Glycemic Control on Premixed Human Insulin and Metformin. PMID 33831552</w:t>
      </w:r>
    </w:p>
    <w:p>
      <w:pPr>
        <w:numPr>
          <w:ilvl w:val="0"/>
          <w:numId w:val="1376"/>
        </w:numPr>
        <w:pStyle w:val="Compact"/>
      </w:pPr>
      <w:r>
        <w:t xml:space="preserve">2021 · Yammine L ·</w:t>
      </w:r>
      <w:r>
        <w:t xml:space="preserve"> </w:t>
      </w:r>
      <w:r>
        <w:rPr>
          <w:iCs/>
          <w:i/>
        </w:rPr>
        <w:t xml:space="preserve">Nicotine Tob Res</w:t>
      </w:r>
      <w:r>
        <w:t xml:space="preserve"> </w:t>
      </w:r>
      <w:r>
        <w:t xml:space="preserve">· Exenatide Adjunct to Nicotine Patch Facilitates Smoking Cessation and May Reduce Post-Cessation Weight Gain: A Pilot Randomized Controlled Trial. PMID 33831213</w:t>
      </w:r>
    </w:p>
    <w:p>
      <w:pPr>
        <w:numPr>
          <w:ilvl w:val="0"/>
          <w:numId w:val="1376"/>
        </w:numPr>
        <w:pStyle w:val="Compact"/>
      </w:pPr>
      <w:r>
        <w:t xml:space="preserve">2021 · Ponirakis G ·</w:t>
      </w:r>
      <w:r>
        <w:t xml:space="preserve"> </w:t>
      </w:r>
      <w:r>
        <w:rPr>
          <w:iCs/>
          <w:i/>
        </w:rPr>
        <w:t xml:space="preserve">J Diabetes Investig</w:t>
      </w:r>
      <w:r>
        <w:t xml:space="preserve"> </w:t>
      </w:r>
      <w:r>
        <w:t xml:space="preserve">· Painful diabetic neuropathy is associated with increased nerve regeneration in patients with type 2 diabetes undergoing intensive glycemic control. PMID 33714226</w:t>
      </w:r>
    </w:p>
    <w:p>
      <w:pPr>
        <w:numPr>
          <w:ilvl w:val="0"/>
          <w:numId w:val="1376"/>
        </w:numPr>
        <w:pStyle w:val="Compact"/>
      </w:pPr>
      <w:r>
        <w:t xml:space="preserve">2021 · Ji L ·</w:t>
      </w:r>
      <w:r>
        <w:t xml:space="preserve"> </w:t>
      </w:r>
      <w:r>
        <w:rPr>
          <w:iCs/>
          <w:i/>
        </w:rPr>
        <w:t xml:space="preserve">Diabetologia</w:t>
      </w:r>
      <w:r>
        <w:t xml:space="preserve"> </w:t>
      </w:r>
      <w:r>
        <w:t xml:space="preserve">· Efficacy and safety of PEGylated exenatide injection (PB-119) in treatment-naive type 2 diabetes mellitus patients: a Phase II randomised, double-blind, parallel, placebo-controlled study. PMID 33687487</w:t>
      </w:r>
    </w:p>
    <w:p>
      <w:pPr>
        <w:numPr>
          <w:ilvl w:val="0"/>
          <w:numId w:val="1376"/>
        </w:numPr>
        <w:pStyle w:val="Compact"/>
      </w:pPr>
      <w:r>
        <w:t xml:space="preserve">2021 · Perez FA ·</w:t>
      </w:r>
      <w:r>
        <w:t xml:space="preserve"> </w:t>
      </w:r>
      <w:r>
        <w:rPr>
          <w:iCs/>
          <w:i/>
        </w:rPr>
        <w:t xml:space="preserve">Diabetes Obes Metab</w:t>
      </w:r>
      <w:r>
        <w:t xml:space="preserve"> </w:t>
      </w:r>
      <w:r>
        <w:t xml:space="preserve">· MRI measures of hypothalamic injury are associated with glucagon-like peptide-1 receptor agonist treatment response in people with hypothalamic obesity. PMID 33651438</w:t>
      </w:r>
    </w:p>
    <w:p>
      <w:pPr>
        <w:numPr>
          <w:ilvl w:val="0"/>
          <w:numId w:val="1376"/>
        </w:numPr>
        <w:pStyle w:val="Compact"/>
      </w:pPr>
      <w:r>
        <w:t xml:space="preserve">2021 · Angarita GA ·</w:t>
      </w:r>
      <w:r>
        <w:t xml:space="preserve"> </w:t>
      </w:r>
      <w:r>
        <w:rPr>
          <w:iCs/>
          <w:i/>
        </w:rPr>
        <w:t xml:space="preserve">Drug Alcohol Depend</w:t>
      </w:r>
      <w:r>
        <w:t xml:space="preserve"> </w:t>
      </w:r>
      <w:r>
        <w:t xml:space="preserve">· Testing the effects of the GLP-1 receptor agonist exenatide on cocaine self-administration and subjective responses in humans with cocaine use disorder. PMID 33621809</w:t>
      </w:r>
    </w:p>
    <w:p>
      <w:pPr>
        <w:numPr>
          <w:ilvl w:val="0"/>
          <w:numId w:val="1376"/>
        </w:numPr>
        <w:pStyle w:val="Compact"/>
      </w:pPr>
      <w:r>
        <w:t xml:space="preserve">2021 · Cui H ·</w:t>
      </w:r>
      <w:r>
        <w:t xml:space="preserve"> </w:t>
      </w:r>
      <w:r>
        <w:rPr>
          <w:iCs/>
          <w:i/>
        </w:rPr>
        <w:t xml:space="preserve">Eur J Drug Metab Pharmacokinet</w:t>
      </w:r>
      <w:r>
        <w:t xml:space="preserve"> </w:t>
      </w:r>
      <w:r>
        <w:t xml:space="preserve">· Safety, Pharmacokinetics and Pharmacodynamics of Multiple Escalating Doses of PEGylated Exenatide (PB-119) in Healthy Volunteers. PMID 33576936</w:t>
      </w:r>
    </w:p>
    <w:p>
      <w:pPr>
        <w:numPr>
          <w:ilvl w:val="0"/>
          <w:numId w:val="1376"/>
        </w:numPr>
        <w:pStyle w:val="Compact"/>
      </w:pPr>
      <w:r>
        <w:t xml:space="preserve">2021 · García Del Blanco B ·</w:t>
      </w:r>
      <w:r>
        <w:t xml:space="preserve"> </w:t>
      </w:r>
      <w:r>
        <w:rPr>
          <w:iCs/>
          <w:i/>
        </w:rPr>
        <w:t xml:space="preserve">Basic Res Cardiol</w:t>
      </w:r>
      <w:r>
        <w:t xml:space="preserve"> </w:t>
      </w:r>
      <w:r>
        <w:t xml:space="preserve">· Effect of COMBinAtion therapy with remote ischemic conditioning and exenatide on the Myocardial Infarct size: a two-by-two factorial randomized trial (COMBAT-MI). PMID 33495853</w:t>
      </w:r>
    </w:p>
    <w:p>
      <w:pPr>
        <w:numPr>
          <w:ilvl w:val="0"/>
          <w:numId w:val="1376"/>
        </w:numPr>
        <w:pStyle w:val="Compact"/>
      </w:pPr>
      <w:r>
        <w:t xml:space="preserve">2021 · Koska J ·</w:t>
      </w:r>
      <w:r>
        <w:t xml:space="preserve"> </w:t>
      </w:r>
      <w:r>
        <w:rPr>
          <w:iCs/>
          <w:i/>
        </w:rPr>
        <w:t xml:space="preserve">Diabetes Care</w:t>
      </w:r>
      <w:r>
        <w:t xml:space="preserve"> </w:t>
      </w:r>
      <w:r>
        <w:t xml:space="preserve">· The Effect of Exenatide Once Weekly on Carotid Atherosclerosis in Individuals With Type 2 Diabetes: An 18-Month Randomized Placebo-Controlled Study. PMID 33495294</w:t>
      </w:r>
    </w:p>
    <w:p>
      <w:pPr>
        <w:numPr>
          <w:ilvl w:val="0"/>
          <w:numId w:val="1376"/>
        </w:numPr>
        <w:pStyle w:val="Compact"/>
      </w:pPr>
      <w:r>
        <w:t xml:space="preserve">2021 · Harreiter J ·</w:t>
      </w:r>
      <w:r>
        <w:t xml:space="preserve"> </w:t>
      </w:r>
      <w:r>
        <w:rPr>
          <w:iCs/>
          <w:i/>
        </w:rPr>
        <w:t xml:space="preserve">Diabetes Obes Metab</w:t>
      </w:r>
      <w:r>
        <w:t xml:space="preserve"> </w:t>
      </w:r>
      <w:r>
        <w:t xml:space="preserve">· Combined exenatide and dapagliflozin has no additive effects on reduction of hepatocellular lipids despite better glycaemic control in patients with type 2 diabetes mellitus treated with metformin: EXENDA, a 24-week, prospective, randomized, placebo-controlled pilot trial. PMID 33464703</w:t>
      </w:r>
    </w:p>
    <w:p>
      <w:pPr>
        <w:numPr>
          <w:ilvl w:val="0"/>
          <w:numId w:val="1376"/>
        </w:numPr>
        <w:pStyle w:val="Compact"/>
      </w:pPr>
      <w:r>
        <w:t xml:space="preserve">2021 · Yang K ·</w:t>
      </w:r>
      <w:r>
        <w:t xml:space="preserve"> </w:t>
      </w:r>
      <w:r>
        <w:rPr>
          <w:iCs/>
          <w:i/>
        </w:rPr>
        <w:t xml:space="preserve">Acta Diabetol</w:t>
      </w:r>
      <w:r>
        <w:t xml:space="preserve"> </w:t>
      </w:r>
      <w:r>
        <w:t xml:space="preserve">· High baseline FGF21 levels are associated with poor glucose-lowering efficacy of exenatide in patients with type 2 diabetes. PMID 33452595</w:t>
      </w:r>
    </w:p>
    <w:p>
      <w:pPr>
        <w:numPr>
          <w:ilvl w:val="0"/>
          <w:numId w:val="1376"/>
        </w:numPr>
        <w:pStyle w:val="Compact"/>
      </w:pPr>
      <w:r>
        <w:t xml:space="preserve">2021 · Abdul-Ghani M ·</w:t>
      </w:r>
      <w:r>
        <w:t xml:space="preserve"> </w:t>
      </w:r>
      <w:r>
        <w:rPr>
          <w:iCs/>
          <w:i/>
        </w:rPr>
        <w:t xml:space="preserve">Diabetes Care</w:t>
      </w:r>
      <w:r>
        <w:t xml:space="preserve"> </w:t>
      </w:r>
      <w:r>
        <w:t xml:space="preserve">· Durability of Triple Combination Therapy Versus Stepwise Addition Therapy in Patients With New-Onset T2DM: 3-Year Follow-up of EDICT. PMID 33273042</w:t>
      </w:r>
    </w:p>
    <w:p>
      <w:pPr>
        <w:numPr>
          <w:ilvl w:val="0"/>
          <w:numId w:val="1376"/>
        </w:numPr>
        <w:pStyle w:val="Compact"/>
      </w:pPr>
      <w:r>
        <w:t xml:space="preserve">2021 · Östlund Papadogeorgos N ·</w:t>
      </w:r>
      <w:r>
        <w:t xml:space="preserve"> </w:t>
      </w:r>
      <w:r>
        <w:rPr>
          <w:iCs/>
          <w:i/>
        </w:rPr>
        <w:t xml:space="preserve">Microcirculation</w:t>
      </w:r>
      <w:r>
        <w:t xml:space="preserve"> </w:t>
      </w:r>
      <w:r>
        <w:t xml:space="preserve">· Effects of exenatide on microvascular reactivity in patients with type 2 diabetes and coronary artery disease: A randomized controlled study. PMID 33151597</w:t>
      </w:r>
    </w:p>
    <w:p>
      <w:pPr>
        <w:numPr>
          <w:ilvl w:val="0"/>
          <w:numId w:val="1376"/>
        </w:numPr>
        <w:pStyle w:val="Compact"/>
      </w:pPr>
      <w:r>
        <w:t xml:space="preserve">2021 · Joubert M ·</w:t>
      </w:r>
      <w:r>
        <w:t xml:space="preserve"> </w:t>
      </w:r>
      <w:r>
        <w:rPr>
          <w:iCs/>
          <w:i/>
        </w:rPr>
        <w:t xml:space="preserve">Diabetes Obes Metab</w:t>
      </w:r>
      <w:r>
        <w:t xml:space="preserve"> </w:t>
      </w:r>
      <w:r>
        <w:t xml:space="preserve">· Efficacy and safety of exenatide as add-on therapy for patients with type 2 diabetes with an intensive insulin regimen: A randomized double-blind trial. PMID 33043591</w:t>
      </w:r>
    </w:p>
    <w:p>
      <w:pPr>
        <w:numPr>
          <w:ilvl w:val="0"/>
          <w:numId w:val="1376"/>
        </w:numPr>
        <w:pStyle w:val="Compact"/>
      </w:pPr>
      <w:r>
        <w:t xml:space="preserve">2021 · Roth CL ·</w:t>
      </w:r>
      <w:r>
        <w:t xml:space="preserve"> </w:t>
      </w:r>
      <w:r>
        <w:rPr>
          <w:iCs/>
          <w:i/>
        </w:rPr>
        <w:t xml:space="preserve">Diabetes Obes Metab</w:t>
      </w:r>
      <w:r>
        <w:t xml:space="preserve"> </w:t>
      </w:r>
      <w:r>
        <w:t xml:space="preserve">· A phase 3 randomized clinical trial using a once-weekly glucagon-like peptide-1 receptor agonist in adolescents and young adults with hypothalamic obesity. PMID 33026160</w:t>
      </w:r>
    </w:p>
    <w:p>
      <w:pPr>
        <w:numPr>
          <w:ilvl w:val="0"/>
          <w:numId w:val="1376"/>
        </w:numPr>
        <w:pStyle w:val="Compact"/>
      </w:pPr>
      <w:r>
        <w:t xml:space="preserve">2021 · Tao T ·</w:t>
      </w:r>
      <w:r>
        <w:t xml:space="preserve"> </w:t>
      </w:r>
      <w:r>
        <w:rPr>
          <w:iCs/>
          <w:i/>
        </w:rPr>
        <w:t xml:space="preserve">J Clin Endocrinol Metab</w:t>
      </w:r>
      <w:r>
        <w:t xml:space="preserve"> </w:t>
      </w:r>
      <w:r>
        <w:t xml:space="preserve">· Exenatide, Metformin, or Both for Prediabetes in PCOS: A Randomized, Open-label, Parallel-group Controlled Study. PMID 32995892</w:t>
      </w:r>
    </w:p>
    <w:p>
      <w:pPr>
        <w:numPr>
          <w:ilvl w:val="0"/>
          <w:numId w:val="1376"/>
        </w:numPr>
        <w:pStyle w:val="Compact"/>
      </w:pPr>
      <w:r>
        <w:t xml:space="preserve">2020 · Wysham CH ·</w:t>
      </w:r>
      <w:r>
        <w:t xml:space="preserve"> </w:t>
      </w:r>
      <w:r>
        <w:rPr>
          <w:iCs/>
          <w:i/>
        </w:rPr>
        <w:t xml:space="preserve">BMJ Open Diabetes Res Care</w:t>
      </w:r>
      <w:r>
        <w:t xml:space="preserve"> </w:t>
      </w:r>
      <w:r>
        <w:t xml:space="preserve">· Further improvement in glycemic control after switching from exenatide two times per day to exenatide once-weekly autoinjected suspension in patients with type 2 diabetes: 52-week results from the DURATION-NEO-1 study. PMID 33037036</w:t>
      </w:r>
    </w:p>
    <w:p>
      <w:pPr>
        <w:numPr>
          <w:ilvl w:val="0"/>
          <w:numId w:val="1376"/>
        </w:numPr>
        <w:pStyle w:val="Compact"/>
      </w:pPr>
      <w:r>
        <w:t xml:space="preserve">2020 · Wang X ·</w:t>
      </w:r>
      <w:r>
        <w:t xml:space="preserve"> </w:t>
      </w:r>
      <w:r>
        <w:rPr>
          <w:iCs/>
          <w:i/>
        </w:rPr>
        <w:t xml:space="preserve">Am J Nephrol</w:t>
      </w:r>
      <w:r>
        <w:t xml:space="preserve"> </w:t>
      </w:r>
      <w:r>
        <w:t xml:space="preserve">· Exenatide and Renal Outcomes in Patients with Type 2 Diabetes and Diabetic Kidney Disease. PMID 32966971</w:t>
      </w:r>
    </w:p>
    <w:p>
      <w:pPr>
        <w:numPr>
          <w:ilvl w:val="0"/>
          <w:numId w:val="1376"/>
        </w:numPr>
        <w:pStyle w:val="Compact"/>
      </w:pPr>
      <w:r>
        <w:t xml:space="preserve">2020 · Jabbour SA ·</w:t>
      </w:r>
      <w:r>
        <w:t xml:space="preserve"> </w:t>
      </w:r>
      <w:r>
        <w:rPr>
          <w:iCs/>
          <w:i/>
        </w:rPr>
        <w:t xml:space="preserve">Diabetes Care</w:t>
      </w:r>
      <w:r>
        <w:t xml:space="preserve"> </w:t>
      </w:r>
      <w:r>
        <w:t xml:space="preserve">· Efficacy and Safety Over 2 Years of Exenatide Plus Dapagliflozin in the DURATION-8 Study: A Multicenter, Double-Blind, Phase 3, Randomized Controlled Trial. PMID 32816874</w:t>
      </w:r>
    </w:p>
    <w:p>
      <w:pPr>
        <w:numPr>
          <w:ilvl w:val="0"/>
          <w:numId w:val="1376"/>
        </w:numPr>
        <w:pStyle w:val="Compact"/>
      </w:pPr>
      <w:r>
        <w:t xml:space="preserve">2020 · Abdul-Ghani M ·</w:t>
      </w:r>
      <w:r>
        <w:t xml:space="preserve"> </w:t>
      </w:r>
      <w:r>
        <w:rPr>
          <w:iCs/>
          <w:i/>
        </w:rPr>
        <w:t xml:space="preserve">Diabetes Obes Metab</w:t>
      </w:r>
      <w:r>
        <w:t xml:space="preserve"> </w:t>
      </w:r>
      <w:r>
        <w:t xml:space="preserve">· Combination therapy with pioglitazone/exenatide improves beta-cell function and produces superior glycaemic control compared with basal/bolus insulin in poorly controlled type 2 diabetes: A 3-year follow-up of the Qatar study. PMID 32729222</w:t>
      </w:r>
    </w:p>
    <w:p>
      <w:pPr>
        <w:numPr>
          <w:ilvl w:val="0"/>
          <w:numId w:val="1376"/>
        </w:numPr>
        <w:pStyle w:val="Compact"/>
      </w:pPr>
      <w:r>
        <w:t xml:space="preserve">2020 · Ponirakis G ·</w:t>
      </w:r>
      <w:r>
        <w:t xml:space="preserve"> </w:t>
      </w:r>
      <w:r>
        <w:rPr>
          <w:iCs/>
          <w:i/>
        </w:rPr>
        <w:t xml:space="preserve">BMJ Open Diabetes Res Care</w:t>
      </w:r>
      <w:r>
        <w:t xml:space="preserve"> </w:t>
      </w:r>
      <w:r>
        <w:t xml:space="preserve">· Effect of treatment with exenatide and pioglitazone or basal-bolus insulin on diabetic neuropathy: a substudy of the Qatar Study. PMID 32576561</w:t>
      </w:r>
    </w:p>
    <w:p>
      <w:pPr>
        <w:numPr>
          <w:ilvl w:val="0"/>
          <w:numId w:val="1376"/>
        </w:numPr>
        <w:pStyle w:val="Compact"/>
      </w:pPr>
      <w:r>
        <w:t xml:space="preserve">2020 · Herold KC ·</w:t>
      </w:r>
      <w:r>
        <w:t xml:space="preserve"> </w:t>
      </w:r>
      <w:r>
        <w:rPr>
          <w:iCs/>
          <w:i/>
        </w:rPr>
        <w:t xml:space="preserve">Diabetes Obes Metab</w:t>
      </w:r>
      <w:r>
        <w:t xml:space="preserve"> </w:t>
      </w:r>
      <w:r>
        <w:t xml:space="preserve">· Exenatide extended release in patients with type 1 diabetes with and without residual insulin production. PMID 32573927</w:t>
      </w:r>
    </w:p>
    <w:p>
      <w:pPr>
        <w:numPr>
          <w:ilvl w:val="0"/>
          <w:numId w:val="1376"/>
        </w:numPr>
        <w:pStyle w:val="Compact"/>
      </w:pPr>
      <w:r>
        <w:t xml:space="preserve">2020 · Wang X ·</w:t>
      </w:r>
      <w:r>
        <w:t xml:space="preserve"> </w:t>
      </w:r>
      <w:r>
        <w:rPr>
          <w:iCs/>
          <w:i/>
        </w:rPr>
        <w:t xml:space="preserve">J Diabetes Res</w:t>
      </w:r>
      <w:r>
        <w:t xml:space="preserve"> </w:t>
      </w:r>
      <w:r>
        <w:t xml:space="preserve">· Effects of Exenatide and Humalog Mix25 on Fat Distribution, Insulin Sensitivity, and β-Cell Function in Normal BMI Patients with Type 2 Diabetes and Visceral Adiposity. PMID 32566685</w:t>
      </w:r>
    </w:p>
    <w:p>
      <w:pPr>
        <w:numPr>
          <w:ilvl w:val="0"/>
          <w:numId w:val="1376"/>
        </w:numPr>
        <w:pStyle w:val="Compact"/>
      </w:pPr>
      <w:r>
        <w:t xml:space="preserve">2020 · Johansen NJ ·</w:t>
      </w:r>
      <w:r>
        <w:t xml:space="preserve"> </w:t>
      </w:r>
      <w:r>
        <w:rPr>
          <w:iCs/>
          <w:i/>
        </w:rPr>
        <w:t xml:space="preserve">Diabetes Obes Metab</w:t>
      </w:r>
      <w:r>
        <w:t xml:space="preserve"> </w:t>
      </w:r>
      <w:r>
        <w:t xml:space="preserve">· Effect of short-acting exenatide administered three times daily on markers of cardiovascular disease in type 1 diabetes: A randomized double-blind placebo-controlled trial. PMID 32543021</w:t>
      </w:r>
    </w:p>
    <w:p>
      <w:pPr>
        <w:numPr>
          <w:ilvl w:val="0"/>
          <w:numId w:val="1376"/>
        </w:numPr>
        <w:pStyle w:val="Compact"/>
      </w:pPr>
      <w:r>
        <w:t xml:space="preserve">2020 · Li B ·</w:t>
      </w:r>
      <w:r>
        <w:t xml:space="preserve"> </w:t>
      </w:r>
      <w:r>
        <w:rPr>
          <w:iCs/>
          <w:i/>
        </w:rPr>
        <w:t xml:space="preserve">BMC Pharmacol Toxicol</w:t>
      </w:r>
      <w:r>
        <w:t xml:space="preserve"> </w:t>
      </w:r>
      <w:r>
        <w:t xml:space="preserve">· The effect of exenatide on fasting bile acids in newly diagnosed type 2 diabetes mellitus patients, a pilot study. PMID 32539783</w:t>
      </w:r>
    </w:p>
    <w:p>
      <w:pPr>
        <w:numPr>
          <w:ilvl w:val="0"/>
          <w:numId w:val="1376"/>
        </w:numPr>
        <w:pStyle w:val="Compact"/>
      </w:pPr>
      <w:r>
        <w:t xml:space="preserve">2020 · Zhang J ·</w:t>
      </w:r>
      <w:r>
        <w:t xml:space="preserve"> </w:t>
      </w:r>
      <w:r>
        <w:rPr>
          <w:iCs/>
          <w:i/>
        </w:rPr>
        <w:t xml:space="preserve">Cardiovasc Diabetol</w:t>
      </w:r>
      <w:r>
        <w:t xml:space="preserve"> </w:t>
      </w:r>
      <w:r>
        <w:t xml:space="preserve">· Comparison of the effects of twice-daily exenatide and insulin on carotid intima-media thickness in type 2 diabetes mellitus patients: a 52-week randomized, open-label, controlled trial. PMID 32334592</w:t>
      </w:r>
    </w:p>
    <w:p>
      <w:pPr>
        <w:numPr>
          <w:ilvl w:val="0"/>
          <w:numId w:val="1376"/>
        </w:numPr>
        <w:pStyle w:val="Compact"/>
      </w:pPr>
      <w:r>
        <w:t xml:space="preserve">2020 · van der Aart-van der Beek AB ·</w:t>
      </w:r>
      <w:r>
        <w:t xml:space="preserve"> </w:t>
      </w:r>
      <w:r>
        <w:rPr>
          <w:iCs/>
          <w:i/>
        </w:rPr>
        <w:t xml:space="preserve">Diabetes Obes Metab</w:t>
      </w:r>
      <w:r>
        <w:t xml:space="preserve"> </w:t>
      </w:r>
      <w:r>
        <w:t xml:space="preserve">· Exenatide once weekly decreases urinary albumin excretion in patients with type 2 diabetes and elevated albuminuria: Pooled analysis of randomized active controlled clinical trials. PMID 32329160</w:t>
      </w:r>
    </w:p>
    <w:p>
      <w:pPr>
        <w:numPr>
          <w:ilvl w:val="0"/>
          <w:numId w:val="1376"/>
        </w:numPr>
        <w:pStyle w:val="Compact"/>
      </w:pPr>
      <w:r>
        <w:t xml:space="preserve">2020 · Hamidi V ·</w:t>
      </w:r>
      <w:r>
        <w:t xml:space="preserve"> </w:t>
      </w:r>
      <w:r>
        <w:rPr>
          <w:iCs/>
          <w:i/>
        </w:rPr>
        <w:t xml:space="preserve">Metab Syndr Relat Disord</w:t>
      </w:r>
      <w:r>
        <w:t xml:space="preserve"> </w:t>
      </w:r>
      <w:r>
        <w:t xml:space="preserve">· Acute Exenatide Therapy Attenuates Postprandial Vasodilation in Humans with Prediabetes: A Randomized Controlled Trial. PMID 32228379</w:t>
      </w:r>
    </w:p>
    <w:p>
      <w:pPr>
        <w:numPr>
          <w:ilvl w:val="0"/>
          <w:numId w:val="1376"/>
        </w:numPr>
        <w:pStyle w:val="Compact"/>
      </w:pPr>
      <w:r>
        <w:t xml:space="preserve">2020 · Yang J ·</w:t>
      </w:r>
      <w:r>
        <w:t xml:space="preserve"> </w:t>
      </w:r>
      <w:r>
        <w:rPr>
          <w:iCs/>
          <w:i/>
        </w:rPr>
        <w:t xml:space="preserve">Acta Diabetol</w:t>
      </w:r>
      <w:r>
        <w:t xml:space="preserve"> </w:t>
      </w:r>
      <w:r>
        <w:t xml:space="preserve">· Efficacy and safety of generic exenatide injection in Chinese patients with type 2 diabetes: a multicenter, randomized, controlled, non-inferiority trial. PMID 32206903</w:t>
      </w:r>
    </w:p>
    <w:p>
      <w:pPr>
        <w:numPr>
          <w:ilvl w:val="0"/>
          <w:numId w:val="1376"/>
        </w:numPr>
        <w:pStyle w:val="Compact"/>
      </w:pPr>
      <w:r>
        <w:t xml:space="preserve">2020 · Johansen NJ ·</w:t>
      </w:r>
      <w:r>
        <w:t xml:space="preserve"> </w:t>
      </w:r>
      <w:r>
        <w:rPr>
          <w:iCs/>
          <w:i/>
        </w:rPr>
        <w:t xml:space="preserve">Lancet Diabetes Endocrinol</w:t>
      </w:r>
      <w:r>
        <w:t xml:space="preserve"> </w:t>
      </w:r>
      <w:r>
        <w:t xml:space="preserve">· Efficacy and safety of meal-time administration of short-acting exenatide for glycaemic control in type 1 diabetes (MAG1C): a randomised, double-blind, placebo-controlled trial. PMID 32135138</w:t>
      </w:r>
    </w:p>
    <w:p>
      <w:pPr>
        <w:numPr>
          <w:ilvl w:val="0"/>
          <w:numId w:val="1376"/>
        </w:numPr>
        <w:pStyle w:val="Compact"/>
      </w:pPr>
      <w:r>
        <w:t xml:space="preserve">2020 · Bethel MA ·</w:t>
      </w:r>
      <w:r>
        <w:t xml:space="preserve"> </w:t>
      </w:r>
      <w:r>
        <w:rPr>
          <w:iCs/>
          <w:i/>
        </w:rPr>
        <w:t xml:space="preserve">Circulation</w:t>
      </w:r>
      <w:r>
        <w:t xml:space="preserve"> </w:t>
      </w:r>
      <w:r>
        <w:t xml:space="preserve">· Exploring the Possible Impact of Unbalanced Open-Label Drop-In of Glucose-Lowering Medications on EXSCEL Outcomes. PMID 32098501</w:t>
      </w:r>
    </w:p>
    <w:p>
      <w:pPr>
        <w:numPr>
          <w:ilvl w:val="0"/>
          <w:numId w:val="1376"/>
        </w:numPr>
        <w:pStyle w:val="Compact"/>
      </w:pPr>
      <w:r>
        <w:t xml:space="preserve">2020 · Siskind D ·</w:t>
      </w:r>
      <w:r>
        <w:t xml:space="preserve"> </w:t>
      </w:r>
      <w:r>
        <w:rPr>
          <w:iCs/>
          <w:i/>
        </w:rPr>
        <w:t xml:space="preserve">J Psychiatr Res</w:t>
      </w:r>
      <w:r>
        <w:t xml:space="preserve"> </w:t>
      </w:r>
      <w:r>
        <w:t xml:space="preserve">· Metabolic measures 12 months after a randomised controlled trial of treatment of clozapine associated obesity and diabetes with exenatide (CODEX). PMID 32087425</w:t>
      </w:r>
    </w:p>
    <w:p>
      <w:pPr>
        <w:numPr>
          <w:ilvl w:val="0"/>
          <w:numId w:val="1376"/>
        </w:numPr>
        <w:pStyle w:val="Compact"/>
      </w:pPr>
      <w:r>
        <w:t xml:space="preserve">2020 · Weghuber D ·</w:t>
      </w:r>
      <w:r>
        <w:t xml:space="preserve"> </w:t>
      </w:r>
      <w:r>
        <w:rPr>
          <w:iCs/>
          <w:i/>
        </w:rPr>
        <w:t xml:space="preserve">Pediatr Obes</w:t>
      </w:r>
      <w:r>
        <w:t xml:space="preserve"> </w:t>
      </w:r>
      <w:r>
        <w:t xml:space="preserve">· A 6-month randomized, double-blind, placebo-controlled trial of weekly exenatide in adolescents with obesity. PMID 32062862</w:t>
      </w:r>
    </w:p>
    <w:p>
      <w:pPr>
        <w:numPr>
          <w:ilvl w:val="0"/>
          <w:numId w:val="1376"/>
        </w:numPr>
        <w:pStyle w:val="Compact"/>
      </w:pPr>
      <w:r>
        <w:t xml:space="preserve">2020 · Cui H ·</w:t>
      </w:r>
      <w:r>
        <w:t xml:space="preserve"> </w:t>
      </w:r>
      <w:r>
        <w:rPr>
          <w:iCs/>
          <w:i/>
        </w:rPr>
        <w:t xml:space="preserve">Eur J Drug Metab Pharmacokinet</w:t>
      </w:r>
      <w:r>
        <w:t xml:space="preserve"> </w:t>
      </w:r>
      <w:r>
        <w:t xml:space="preserve">· Safety, Tolerability and Pharmacokinetics of Single Dose Polyethylene Glycolated Exenatide Injection (PB-119) in Healthy Volunteers. PMID 32006325</w:t>
      </w:r>
    </w:p>
    <w:p>
      <w:pPr>
        <w:numPr>
          <w:ilvl w:val="0"/>
          <w:numId w:val="1376"/>
        </w:numPr>
        <w:pStyle w:val="Compact"/>
      </w:pPr>
      <w:r>
        <w:t xml:space="preserve">2020 · Janssen LGM ·</w:t>
      </w:r>
      <w:r>
        <w:t xml:space="preserve"> </w:t>
      </w:r>
      <w:r>
        <w:rPr>
          <w:iCs/>
          <w:i/>
        </w:rPr>
        <w:t xml:space="preserve">Metabolism</w:t>
      </w:r>
      <w:r>
        <w:t xml:space="preserve"> </w:t>
      </w:r>
      <w:r>
        <w:t xml:space="preserve">· Twelve weeks of exenatide treatment increases [(18)F]fluorodeoxyglucose uptake by brown adipose tissue without affecting oxidative resting energy expenditure in nondiabetic males. PMID 31982480</w:t>
      </w:r>
    </w:p>
    <w:p>
      <w:pPr>
        <w:numPr>
          <w:ilvl w:val="0"/>
          <w:numId w:val="1376"/>
        </w:numPr>
        <w:pStyle w:val="Compact"/>
      </w:pPr>
      <w:r>
        <w:t xml:space="preserve">2020 · Liu L ·</w:t>
      </w:r>
      <w:r>
        <w:t xml:space="preserve"> </w:t>
      </w:r>
      <w:r>
        <w:rPr>
          <w:iCs/>
          <w:i/>
        </w:rPr>
        <w:t xml:space="preserve">Diabetes Metab Res Rev</w:t>
      </w:r>
      <w:r>
        <w:t xml:space="preserve"> </w:t>
      </w:r>
      <w:r>
        <w:t xml:space="preserve">· Efficacy of exenatide and insulin glargine on nonalcoholic fatty liver disease in patients with type 2 diabetes. PMID 31955491</w:t>
      </w:r>
    </w:p>
    <w:p>
      <w:pPr>
        <w:numPr>
          <w:ilvl w:val="0"/>
          <w:numId w:val="1376"/>
        </w:numPr>
        <w:pStyle w:val="Compact"/>
      </w:pPr>
      <w:r>
        <w:t xml:space="preserve">2020 · Idzerda NMA ·</w:t>
      </w:r>
      <w:r>
        <w:t xml:space="preserve"> </w:t>
      </w:r>
      <w:r>
        <w:rPr>
          <w:iCs/>
          <w:i/>
        </w:rPr>
        <w:t xml:space="preserve">Diabetes Obes Metab</w:t>
      </w:r>
      <w:r>
        <w:t xml:space="preserve"> </w:t>
      </w:r>
      <w:r>
        <w:t xml:space="preserve">· Prediction and validation of exenatide risk marker effects on progression of renal disease: Insights from EXSCEL. PMID 31912603</w:t>
      </w:r>
    </w:p>
    <w:p>
      <w:pPr>
        <w:numPr>
          <w:ilvl w:val="0"/>
          <w:numId w:val="1376"/>
        </w:numPr>
        <w:pStyle w:val="Compact"/>
      </w:pPr>
      <w:r>
        <w:t xml:space="preserve">2020 · Jones KL ·</w:t>
      </w:r>
      <w:r>
        <w:t xml:space="preserve"> </w:t>
      </w:r>
      <w:r>
        <w:rPr>
          <w:iCs/>
          <w:i/>
        </w:rPr>
        <w:t xml:space="preserve">Diabetes Obes Metab</w:t>
      </w:r>
      <w:r>
        <w:t xml:space="preserve"> </w:t>
      </w:r>
      <w:r>
        <w:t xml:space="preserve">· Exenatide once weekly slows gastric emptying of solids and liquids in healthy, overweight people at steady-state concentrations. PMID 31903712</w:t>
      </w:r>
    </w:p>
    <w:p>
      <w:pPr>
        <w:numPr>
          <w:ilvl w:val="0"/>
          <w:numId w:val="1376"/>
        </w:numPr>
        <w:pStyle w:val="Compact"/>
      </w:pPr>
      <w:r>
        <w:t xml:space="preserve">2020 · Standl E ·</w:t>
      </w:r>
      <w:r>
        <w:t xml:space="preserve"> </w:t>
      </w:r>
      <w:r>
        <w:rPr>
          <w:iCs/>
          <w:i/>
        </w:rPr>
        <w:t xml:space="preserve">Diabetes Care</w:t>
      </w:r>
      <w:r>
        <w:t xml:space="preserve"> </w:t>
      </w:r>
      <w:r>
        <w:t xml:space="preserve">· Confirming the Bidirectional Nature of the Association Between Severe Hypoglycemic and Cardiovascular Events in Type 2 Diabetes: Insights From EXSCEL. PMID 31882409</w:t>
      </w:r>
    </w:p>
    <w:p>
      <w:pPr>
        <w:numPr>
          <w:ilvl w:val="0"/>
          <w:numId w:val="1376"/>
        </w:numPr>
        <w:pStyle w:val="Compact"/>
      </w:pPr>
      <w:r>
        <w:t xml:space="preserve">2020 · Reed SD ·</w:t>
      </w:r>
      <w:r>
        <w:t xml:space="preserve"> </w:t>
      </w:r>
      <w:r>
        <w:rPr>
          <w:iCs/>
          <w:i/>
        </w:rPr>
        <w:t xml:space="preserve">Diabetes Care</w:t>
      </w:r>
      <w:r>
        <w:t xml:space="preserve"> </w:t>
      </w:r>
      <w:r>
        <w:t xml:space="preserve">· Within-Trial Evaluation of Medical Resources, Costs, and Quality of Life Among Patients With Type 2 Diabetes Participating in the Exenatide Study of Cardiovascular Event Lowering (EXSCEL). PMID 31806653</w:t>
      </w:r>
    </w:p>
    <w:p>
      <w:pPr>
        <w:numPr>
          <w:ilvl w:val="0"/>
          <w:numId w:val="1376"/>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6"/>
        </w:numPr>
        <w:pStyle w:val="Compact"/>
      </w:pPr>
      <w:r>
        <w:t xml:space="preserve">2020 · Bethel MA ·</w:t>
      </w:r>
      <w:r>
        <w:t xml:space="preserve"> </w:t>
      </w:r>
      <w:r>
        <w:rPr>
          <w:iCs/>
          <w:i/>
        </w:rPr>
        <w:t xml:space="preserve">Diabetes Care</w:t>
      </w:r>
      <w:r>
        <w:t xml:space="preserve"> </w:t>
      </w:r>
      <w:r>
        <w:t xml:space="preserve">· Microvascular and Cardiovascular Outcomes According to Renal Function in Patients Treated With Once-Weekly Exenatide: Insights From the EXSCEL Trial. PMID 31757838</w:t>
      </w:r>
    </w:p>
    <w:p>
      <w:pPr>
        <w:numPr>
          <w:ilvl w:val="0"/>
          <w:numId w:val="1376"/>
        </w:numPr>
        <w:pStyle w:val="Compact"/>
      </w:pPr>
      <w:r>
        <w:t xml:space="preserve">2020 · Gastaldelli A ·</w:t>
      </w:r>
      <w:r>
        <w:t xml:space="preserve"> </w:t>
      </w:r>
      <w:r>
        <w:rPr>
          <w:iCs/>
          <w:i/>
        </w:rPr>
        <w:t xml:space="preserve">Diabetes Obes Metab</w:t>
      </w:r>
      <w:r>
        <w:t xml:space="preserve"> </w:t>
      </w:r>
      <w:r>
        <w:t xml:space="preserve">· Exenatide and dapagliflozin combination improves markers of liver steatosis and fibrosis in patients with type 2 diabetes. PMID 31692226</w:t>
      </w:r>
    </w:p>
    <w:p>
      <w:pPr>
        <w:numPr>
          <w:ilvl w:val="0"/>
          <w:numId w:val="1376"/>
        </w:numPr>
        <w:pStyle w:val="Compact"/>
      </w:pPr>
      <w:r>
        <w:t xml:space="preserve">2020 · Watanabe Y ·</w:t>
      </w:r>
      <w:r>
        <w:t xml:space="preserve"> </w:t>
      </w:r>
      <w:r>
        <w:rPr>
          <w:iCs/>
          <w:i/>
        </w:rPr>
        <w:t xml:space="preserve">J Diabetes Investig</w:t>
      </w:r>
      <w:r>
        <w:t xml:space="preserve"> </w:t>
      </w:r>
      <w:r>
        <w:t xml:space="preserve">· Efficacy and safety of once-weekly exenatide after switching from twice-daily exenatide in patients with type 2 diabetes. PMID 31518492</w:t>
      </w:r>
    </w:p>
    <w:p>
      <w:pPr>
        <w:numPr>
          <w:ilvl w:val="0"/>
          <w:numId w:val="1376"/>
        </w:numPr>
        <w:pStyle w:val="Compact"/>
      </w:pPr>
      <w:r>
        <w:t xml:space="preserve">2020 · Ferrannini E ·</w:t>
      </w:r>
      <w:r>
        <w:t xml:space="preserve"> </w:t>
      </w:r>
      <w:r>
        <w:rPr>
          <w:iCs/>
          <w:i/>
        </w:rPr>
        <w:t xml:space="preserve">Diabetes Obes Metab</w:t>
      </w:r>
      <w:r>
        <w:t xml:space="preserve"> </w:t>
      </w:r>
      <w:r>
        <w:t xml:space="preserve">· Hormone-substrate changes with exenatide plus dapagliflozin versus each drug alone: The randomized, active-controlled DURATION-8 study. PMID 31469220</w:t>
      </w:r>
    </w:p>
    <w:p>
      <w:pPr>
        <w:numPr>
          <w:ilvl w:val="0"/>
          <w:numId w:val="1376"/>
        </w:numPr>
        <w:pStyle w:val="Compact"/>
      </w:pPr>
      <w:r>
        <w:t xml:space="preserve">2019 · Badjatiya A ·</w:t>
      </w:r>
      <w:r>
        <w:t xml:space="preserve"> </w:t>
      </w:r>
      <w:r>
        <w:rPr>
          <w:iCs/>
          <w:i/>
        </w:rPr>
        <w:t xml:space="preserve">Circ Cardiovasc Interv</w:t>
      </w:r>
      <w:r>
        <w:t xml:space="preserve"> </w:t>
      </w:r>
      <w:r>
        <w:t xml:space="preserve">· Clinical Outcomes in Patients With Type 2 Diabetes Mellitus and Peripheral Artery Disease: Results From the EXSCEL Trial. PMID 31752517</w:t>
      </w:r>
    </w:p>
    <w:p>
      <w:pPr>
        <w:numPr>
          <w:ilvl w:val="0"/>
          <w:numId w:val="1376"/>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6"/>
        </w:numPr>
        <w:pStyle w:val="Compact"/>
      </w:pPr>
      <w:r>
        <w:t xml:space="preserve">2019 · Larsson M ·</w:t>
      </w:r>
      <w:r>
        <w:t xml:space="preserve"> </w:t>
      </w:r>
      <w:r>
        <w:rPr>
          <w:iCs/>
          <w:i/>
        </w:rPr>
        <w:t xml:space="preserve">Acta Neurol Scand</w:t>
      </w:r>
      <w:r>
        <w:t xml:space="preserve"> </w:t>
      </w:r>
      <w:r>
        <w:t xml:space="preserve">· Prehospital exenatide in hyperglycemic stroke-A randomized trial. PMID 31518433</w:t>
      </w:r>
    </w:p>
    <w:p>
      <w:pPr>
        <w:numPr>
          <w:ilvl w:val="0"/>
          <w:numId w:val="1376"/>
        </w:numPr>
        <w:pStyle w:val="Compact"/>
      </w:pPr>
      <w:r>
        <w:t xml:space="preserve">2019 · Mullins RJ ·</w:t>
      </w:r>
      <w:r>
        <w:t xml:space="preserve"> </w:t>
      </w:r>
      <w:r>
        <w:rPr>
          <w:iCs/>
          <w:i/>
        </w:rPr>
        <w:t xml:space="preserve">Curr Alzheimer Res</w:t>
      </w:r>
      <w:r>
        <w:t xml:space="preserve"> </w:t>
      </w:r>
      <w:r>
        <w:t xml:space="preserve">· A Pilot Study of Exenatide Actions in Alzheimer’s Disease. PMID 31518224</w:t>
      </w:r>
    </w:p>
    <w:p>
      <w:pPr>
        <w:numPr>
          <w:ilvl w:val="0"/>
          <w:numId w:val="1376"/>
        </w:numPr>
        <w:pStyle w:val="Compact"/>
      </w:pPr>
      <w:r>
        <w:t xml:space="preserve">2019 · Muskiet MHA ·</w:t>
      </w:r>
      <w:r>
        <w:t xml:space="preserve"> </w:t>
      </w:r>
      <w:r>
        <w:rPr>
          <w:iCs/>
          <w:i/>
        </w:rPr>
        <w:t xml:space="preserve">Microcirculation</w:t>
      </w:r>
      <w:r>
        <w:t xml:space="preserve"> </w:t>
      </w:r>
      <w:r>
        <w:t xml:space="preserve">· Assessment of real-time and quantitative changes in renal hemodynamics in healthy overweight males: Contrast-enhanced ultrasonography vs para-aminohippuric acid clearance. PMID 31313410</w:t>
      </w:r>
    </w:p>
    <w:p>
      <w:pPr>
        <w:numPr>
          <w:ilvl w:val="0"/>
          <w:numId w:val="1376"/>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6"/>
        </w:numPr>
        <w:pStyle w:val="Compact"/>
      </w:pPr>
      <w:r>
        <w:t xml:space="preserve">2019 · Almby KE ·</w:t>
      </w:r>
      <w:r>
        <w:t xml:space="preserve"> </w:t>
      </w:r>
      <w:r>
        <w:rPr>
          <w:iCs/>
          <w:i/>
        </w:rPr>
        <w:t xml:space="preserve">Eur J Endocrinol</w:t>
      </w:r>
      <w:r>
        <w:t xml:space="preserve"> </w:t>
      </w:r>
      <w:r>
        <w:t xml:space="preserve">· Effects of GLP-1 on counter-regulatory responses during hypoglycemia after GBP surgery. PMID 31176298</w:t>
      </w:r>
    </w:p>
    <w:p>
      <w:pPr>
        <w:numPr>
          <w:ilvl w:val="0"/>
          <w:numId w:val="1376"/>
        </w:numPr>
        <w:pStyle w:val="Compact"/>
      </w:pPr>
      <w:r>
        <w:t xml:space="preserve">2019 · Muskiet MHA ·</w:t>
      </w:r>
      <w:r>
        <w:t xml:space="preserve"> </w:t>
      </w:r>
      <w:r>
        <w:rPr>
          <w:iCs/>
          <w:i/>
        </w:rPr>
        <w:t xml:space="preserve">Diabetes Res Clin Pract</w:t>
      </w:r>
      <w:r>
        <w:t xml:space="preserve"> </w:t>
      </w:r>
      <w:r>
        <w:t xml:space="preserve">· Exenatide twice-daily does not affect renal function or albuminuria compared to titrated insulin glargine in patients with type 2 diabetes mellitus: A post-hoc analysis of a 52-week randomised trial. PMID 31078666</w:t>
      </w:r>
    </w:p>
    <w:p>
      <w:pPr>
        <w:numPr>
          <w:ilvl w:val="0"/>
          <w:numId w:val="1376"/>
        </w:numPr>
        <w:pStyle w:val="Compact"/>
      </w:pPr>
      <w:r>
        <w:t xml:space="preserve">2019 · Bethel MA ·</w:t>
      </w:r>
      <w:r>
        <w:t xml:space="preserve"> </w:t>
      </w:r>
      <w:r>
        <w:rPr>
          <w:iCs/>
          <w:i/>
        </w:rPr>
        <w:t xml:space="preserve">Diabetes Care</w:t>
      </w:r>
      <w:r>
        <w:t xml:space="preserve"> </w:t>
      </w:r>
      <w:r>
        <w:t xml:space="preserve">· Changes in Serum Calcitonin Concentrations, Incidence of Medullary Thyroid Carcinoma, and Impact of Routine Calcitonin Concentration Monitoring in the EXenatide Study of Cardiovascular Event Lowering (EXSCEL). PMID 31010875</w:t>
      </w:r>
    </w:p>
    <w:p>
      <w:pPr>
        <w:numPr>
          <w:ilvl w:val="0"/>
          <w:numId w:val="1376"/>
        </w:numPr>
        <w:pStyle w:val="Compact"/>
      </w:pPr>
      <w:r>
        <w:t xml:space="preserve">2019 · Carlson AL ·</w:t>
      </w:r>
      <w:r>
        <w:t xml:space="preserve"> </w:t>
      </w:r>
      <w:r>
        <w:rPr>
          <w:iCs/>
          <w:i/>
        </w:rPr>
        <w:t xml:space="preserve">Endocr Pract</w:t>
      </w:r>
      <w:r>
        <w:t xml:space="preserve"> </w:t>
      </w:r>
      <w:r>
        <w:t xml:space="preserve">· EVALUATION OF INSULIN GLARGINE AND EXENATIDE ALONE AND IN COMBINATION: A RANDOMIZED CLINICAL TRIAL WITH CONTINUOUS GLUCOSE MONITORING AND AMBULATORY GLUCOSE PROFILE ANALYSIS. PMID 30995433</w:t>
      </w:r>
    </w:p>
    <w:p>
      <w:pPr>
        <w:numPr>
          <w:ilvl w:val="0"/>
          <w:numId w:val="1376"/>
        </w:numPr>
        <w:pStyle w:val="Compact"/>
      </w:pPr>
      <w:r>
        <w:t xml:space="preserve">2019 · Zheng S ·</w:t>
      </w:r>
      <w:r>
        <w:t xml:space="preserve"> </w:t>
      </w:r>
      <w:r>
        <w:rPr>
          <w:iCs/>
          <w:i/>
        </w:rPr>
        <w:t xml:space="preserve">Endocr J</w:t>
      </w:r>
      <w:r>
        <w:t xml:space="preserve"> </w:t>
      </w:r>
      <w:r>
        <w:t xml:space="preserve">· Circulating zinc-α2-glycoprotein is reduced in women with polycystic ovary syndrome, but can be increased by exenatide or metformin treatment. PMID 30918134</w:t>
      </w:r>
    </w:p>
    <w:p>
      <w:pPr>
        <w:numPr>
          <w:ilvl w:val="0"/>
          <w:numId w:val="1376"/>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6"/>
        </w:numPr>
        <w:pStyle w:val="Compact"/>
      </w:pPr>
      <w:r>
        <w:t xml:space="preserve">2019 · Fayfman M ·</w:t>
      </w:r>
      <w:r>
        <w:t xml:space="preserve"> </w:t>
      </w:r>
      <w:r>
        <w:rPr>
          <w:iCs/>
          <w:i/>
        </w:rPr>
        <w:t xml:space="preserve">Diabetes Care</w:t>
      </w:r>
      <w:r>
        <w:t xml:space="preserve"> </w:t>
      </w:r>
      <w:r>
        <w:t xml:space="preserve">· A Randomized Controlled Trial on the Safety and Efficacy of Exenatide Therapy for the Inpatient Management of General Medicine and Surgery Patients With Type 2 Diabetes. PMID 30679302</w:t>
      </w:r>
    </w:p>
    <w:p>
      <w:pPr>
        <w:numPr>
          <w:ilvl w:val="0"/>
          <w:numId w:val="1376"/>
        </w:numPr>
        <w:pStyle w:val="Compact"/>
      </w:pPr>
      <w:r>
        <w:t xml:space="preserve">2019 · Athauda D ·</w:t>
      </w:r>
      <w:r>
        <w:t xml:space="preserve"> </w:t>
      </w:r>
      <w:r>
        <w:rPr>
          <w:iCs/>
          <w:i/>
        </w:rPr>
        <w:t xml:space="preserve">JAMA Neurol</w:t>
      </w:r>
      <w:r>
        <w:t xml:space="preserve"> </w:t>
      </w:r>
      <w:r>
        <w:t xml:space="preserve">· Utility of Neuronal-Derived Exosomes to Examine Molecular Mechanisms That Affect Motor Function in Patients With Parkinson Disease: A Secondary Analysis of the Exenatide-PD Trial. PMID 30640362</w:t>
      </w:r>
    </w:p>
    <w:p>
      <w:pPr>
        <w:numPr>
          <w:ilvl w:val="0"/>
          <w:numId w:val="1376"/>
        </w:numPr>
        <w:pStyle w:val="Compact"/>
      </w:pPr>
      <w:r>
        <w:t xml:space="preserve">2019 · Philis-Tsimikas A ·</w:t>
      </w:r>
      <w:r>
        <w:t xml:space="preserve"> </w:t>
      </w:r>
      <w:r>
        <w:rPr>
          <w:iCs/>
          <w:i/>
        </w:rPr>
        <w:t xml:space="preserve">J Diabetes Complications</w:t>
      </w:r>
      <w:r>
        <w:t xml:space="preserve"> </w:t>
      </w:r>
      <w:r>
        <w:t xml:space="preserve">· Efficacy and tolerability of exenatide once weekly over 7 years in patients with type 2 diabetes: An open-label extension of the DURATION-1 study. PMID 30600137</w:t>
      </w:r>
    </w:p>
    <w:p>
      <w:pPr>
        <w:numPr>
          <w:ilvl w:val="0"/>
          <w:numId w:val="1376"/>
        </w:numPr>
        <w:pStyle w:val="Compact"/>
      </w:pPr>
      <w:r>
        <w:t xml:space="preserve">2019 · Clegg LE ·</w:t>
      </w:r>
      <w:r>
        <w:t xml:space="preserve"> </w:t>
      </w:r>
      <w:r>
        <w:rPr>
          <w:iCs/>
          <w:i/>
        </w:rPr>
        <w:t xml:space="preserve">Diabetes Care</w:t>
      </w:r>
      <w:r>
        <w:t xml:space="preserve"> </w:t>
      </w:r>
      <w:r>
        <w:t xml:space="preserve">· Reduction of Cardiovascular Risk and Improved Estimated Glomerular Filtration Rate by SGLT2 Inhibitors, Including Dapagliflozin, Is Consistent Across the Class: An Analysis of the Placebo Arm of EXSCEL. PMID 30523029</w:t>
      </w:r>
    </w:p>
    <w:p>
      <w:pPr>
        <w:numPr>
          <w:ilvl w:val="0"/>
          <w:numId w:val="1376"/>
        </w:numPr>
        <w:pStyle w:val="Compact"/>
      </w:pPr>
      <w:r>
        <w:t xml:space="preserve">2019 · Guerci B ·</w:t>
      </w:r>
      <w:r>
        <w:t xml:space="preserve"> </w:t>
      </w:r>
      <w:r>
        <w:rPr>
          <w:iCs/>
          <w:i/>
        </w:rPr>
        <w:t xml:space="preserve">Diabetes Obes Metab</w:t>
      </w:r>
      <w:r>
        <w:t xml:space="preserve"> </w:t>
      </w:r>
      <w:r>
        <w:t xml:space="preserve">· Predictive factors associated with three years of response to HbA1c goals with exenatide QW or insulin glargine: Post-hoc analysis of the DURATION-3 study. PMID 30520252</w:t>
      </w:r>
    </w:p>
    <w:p>
      <w:pPr>
        <w:numPr>
          <w:ilvl w:val="0"/>
          <w:numId w:val="1376"/>
        </w:numPr>
        <w:pStyle w:val="Compact"/>
      </w:pPr>
      <w:r>
        <w:t xml:space="preserve">2019 · Deng H ·</w:t>
      </w:r>
      <w:r>
        <w:t xml:space="preserve"> </w:t>
      </w:r>
      <w:r>
        <w:rPr>
          <w:iCs/>
          <w:i/>
        </w:rPr>
        <w:t xml:space="preserve">J Diabetes</w:t>
      </w:r>
      <w:r>
        <w:t xml:space="preserve"> </w:t>
      </w:r>
      <w:r>
        <w:t xml:space="preserve">· Effect of baseline body mass index on glycemic control and weight change with exenatide monotherapy in Chinese drug-naïve type 2 diabetic patients. PMID 30520243</w:t>
      </w:r>
    </w:p>
    <w:p>
      <w:pPr>
        <w:numPr>
          <w:ilvl w:val="0"/>
          <w:numId w:val="1376"/>
        </w:numPr>
        <w:pStyle w:val="Compact"/>
      </w:pPr>
      <w:r>
        <w:t xml:space="preserve">2019 · Geyer MC ·</w:t>
      </w:r>
      <w:r>
        <w:t xml:space="preserve"> </w:t>
      </w:r>
      <w:r>
        <w:rPr>
          <w:iCs/>
          <w:i/>
        </w:rPr>
        <w:t xml:space="preserve">Diabetes Obes Metab</w:t>
      </w:r>
      <w:r>
        <w:t xml:space="preserve"> </w:t>
      </w:r>
      <w:r>
        <w:t xml:space="preserve">· Exenatide corrects postprandial hyperglycaemia in young people with cystic fibrosis and impaired glucose tolerance: A randomized crossover trial. PMID 30259623</w:t>
      </w:r>
    </w:p>
    <w:p>
      <w:pPr>
        <w:numPr>
          <w:ilvl w:val="0"/>
          <w:numId w:val="1376"/>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6"/>
        </w:numPr>
        <w:pStyle w:val="Compact"/>
      </w:pPr>
      <w:r>
        <w:t xml:space="preserve">2018 · Besch G ·</w:t>
      </w:r>
      <w:r>
        <w:t xml:space="preserve"> </w:t>
      </w:r>
      <w:r>
        <w:rPr>
          <w:iCs/>
          <w:i/>
        </w:rPr>
        <w:t xml:space="preserve">Cardiovasc Diabetol</w:t>
      </w:r>
      <w:r>
        <w:t xml:space="preserve"> </w:t>
      </w:r>
      <w:r>
        <w:t xml:space="preserve">· Impact of intravenous exenatide infusion for perioperative blood glucose control on myocardial ischemia-reperfusion injuries after coronary artery bypass graft surgery: sub study of the phase II/III ExSTRESS randomized trial. PMID 30384842</w:t>
      </w:r>
    </w:p>
    <w:p>
      <w:pPr>
        <w:numPr>
          <w:ilvl w:val="0"/>
          <w:numId w:val="1376"/>
        </w:numPr>
        <w:pStyle w:val="Compact"/>
      </w:pPr>
      <w:r>
        <w:t xml:space="preserve">2018 · Mentz RJ ·</w:t>
      </w:r>
      <w:r>
        <w:t xml:space="preserve"> </w:t>
      </w:r>
      <w:r>
        <w:rPr>
          <w:iCs/>
          <w:i/>
        </w:rPr>
        <w:t xml:space="preserve">J Am Heart Assoc</w:t>
      </w:r>
      <w:r>
        <w:t xml:space="preserve"> </w:t>
      </w:r>
      <w:r>
        <w:t xml:space="preserve">· Effect of Once-Weekly Exenatide on Clinical Outcomes According to Baseline Risk in Patients With Type 2 Diabetes Mellitus: Insights From the EXSCEL Trial. PMID 30371301</w:t>
      </w:r>
    </w:p>
    <w:p>
      <w:pPr>
        <w:numPr>
          <w:ilvl w:val="0"/>
          <w:numId w:val="1376"/>
        </w:numPr>
        <w:pStyle w:val="Compact"/>
      </w:pPr>
      <w:r>
        <w:t xml:space="preserve">2018 · Fifer S ·</w:t>
      </w:r>
      <w:r>
        <w:t xml:space="preserve"> </w:t>
      </w:r>
      <w:r>
        <w:rPr>
          <w:iCs/>
          <w:i/>
        </w:rPr>
        <w:t xml:space="preserve">BMC Health Serv Res</w:t>
      </w:r>
      <w:r>
        <w:t xml:space="preserve"> </w:t>
      </w:r>
      <w:r>
        <w:t xml:space="preserve">· Valuing injection frequency and other attributes of type 2 diabetes treatments in Australia: a discrete choice experiment. PMID 30165844</w:t>
      </w:r>
    </w:p>
    <w:p>
      <w:pPr>
        <w:numPr>
          <w:ilvl w:val="0"/>
          <w:numId w:val="1376"/>
        </w:numPr>
        <w:pStyle w:val="Compact"/>
      </w:pPr>
      <w:r>
        <w:t xml:space="preserve">2018 · Jabbour SA ·</w:t>
      </w:r>
      <w:r>
        <w:t xml:space="preserve"> </w:t>
      </w:r>
      <w:r>
        <w:rPr>
          <w:iCs/>
          <w:i/>
        </w:rPr>
        <w:t xml:space="preserve">Diabetes Care</w:t>
      </w:r>
      <w:r>
        <w:t xml:space="preserve"> </w:t>
      </w:r>
      <w:r>
        <w:t xml:space="preserve">· Safety and Efficacy of Exenatide Once Weekly Plus Dapagliflozin Once Daily Versus Exenatide or Dapagliflozin Alone in Patients With Type 2 Diabetes Inadequately Controlled With Metformin Monotherapy: 52-Week Results of the DURATION-8 Randomized Controlled Trial. PMID 30082326</w:t>
      </w:r>
    </w:p>
    <w:p>
      <w:pPr>
        <w:numPr>
          <w:ilvl w:val="0"/>
          <w:numId w:val="1376"/>
        </w:numPr>
        <w:pStyle w:val="Compact"/>
      </w:pPr>
      <w:r>
        <w:t xml:space="preserve">2018 · Muller C ·</w:t>
      </w:r>
      <w:r>
        <w:t xml:space="preserve"> </w:t>
      </w:r>
      <w:r>
        <w:rPr>
          <w:iCs/>
          <w:i/>
        </w:rPr>
        <w:t xml:space="preserve">Int J Stroke</w:t>
      </w:r>
      <w:r>
        <w:t xml:space="preserve"> </w:t>
      </w:r>
      <w:r>
        <w:t xml:space="preserve">· Treatment with exenatide in acute ischemic stroke trial protocol: A prospective, randomized, open label, blinded end-point study of exenatide vs. standard care in post stroke hyperglycemia. PMID 30019627</w:t>
      </w:r>
    </w:p>
    <w:p>
      <w:pPr>
        <w:numPr>
          <w:ilvl w:val="0"/>
          <w:numId w:val="1376"/>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6"/>
        </w:numPr>
        <w:pStyle w:val="Compact"/>
      </w:pPr>
      <w:r>
        <w:t xml:space="preserve">2018 · Athauda D ·</w:t>
      </w:r>
      <w:r>
        <w:t xml:space="preserve"> </w:t>
      </w:r>
      <w:r>
        <w:rPr>
          <w:iCs/>
          <w:i/>
        </w:rPr>
        <w:t xml:space="preserve">J Parkinsons Dis</w:t>
      </w:r>
      <w:r>
        <w:t xml:space="preserve"> </w:t>
      </w:r>
      <w:r>
        <w:t xml:space="preserve">· What Effects Might Exenatide have on Non-Motor Symptoms in Parkinson’s Disease: A Post Hoc Analysis. PMID 29843254</w:t>
      </w:r>
    </w:p>
    <w:p>
      <w:pPr>
        <w:numPr>
          <w:ilvl w:val="0"/>
          <w:numId w:val="1376"/>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6"/>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6"/>
        </w:numPr>
        <w:pStyle w:val="Compact"/>
      </w:pPr>
      <w:r>
        <w:t xml:space="preserve">2018 · Basolo A ·</w:t>
      </w:r>
      <w:r>
        <w:t xml:space="preserve"> </w:t>
      </w:r>
      <w:r>
        <w:rPr>
          <w:iCs/>
          <w:i/>
        </w:rPr>
        <w:t xml:space="preserve">Metabolism</w:t>
      </w:r>
      <w:r>
        <w:t xml:space="preserve"> </w:t>
      </w:r>
      <w:r>
        <w:t xml:space="preserve">· Exenatide has a pronounced effect on energy intake but not energy expenditure in non-diabetic subjects with obesity: A randomized, double-blind, placebo-controlled trial. PMID 29596853</w:t>
      </w:r>
    </w:p>
    <w:p>
      <w:pPr>
        <w:numPr>
          <w:ilvl w:val="0"/>
          <w:numId w:val="1376"/>
        </w:numPr>
        <w:pStyle w:val="Compact"/>
      </w:pPr>
      <w:r>
        <w:t xml:space="preserve">2018 · Frías JP ·</w:t>
      </w:r>
      <w:r>
        <w:t xml:space="preserve"> </w:t>
      </w:r>
      <w:r>
        <w:rPr>
          <w:iCs/>
          <w:i/>
        </w:rPr>
        <w:t xml:space="preserve">Diabetes Obes Metab</w:t>
      </w:r>
      <w:r>
        <w:t xml:space="preserve"> </w:t>
      </w:r>
      <w:r>
        <w:t xml:space="preserve">· Effects of exenatide once weekly plus dapagliflozin, exenatide once weekly alone, or dapagliflozin alone added to metformin monotherapy in subgroups of patients with type 2 diabetes in the DURATION-8 randomized controlled trial. PMID 29573139</w:t>
      </w:r>
    </w:p>
    <w:p>
      <w:pPr>
        <w:numPr>
          <w:ilvl w:val="0"/>
          <w:numId w:val="1376"/>
        </w:numPr>
        <w:pStyle w:val="Compact"/>
      </w:pPr>
      <w:r>
        <w:t xml:space="preserve">2018 · Du X ·</w:t>
      </w:r>
      <w:r>
        <w:t xml:space="preserve"> </w:t>
      </w:r>
      <w:r>
        <w:rPr>
          <w:iCs/>
          <w:i/>
        </w:rPr>
        <w:t xml:space="preserve">J Diabetes Res</w:t>
      </w:r>
      <w:r>
        <w:t xml:space="preserve"> </w:t>
      </w:r>
      <w:r>
        <w:t xml:space="preserve">· Exenatide with Metformin Ameliorated Visceral Adiposity and Insulin Resistance. PMID 29541641</w:t>
      </w:r>
    </w:p>
    <w:p>
      <w:pPr>
        <w:numPr>
          <w:ilvl w:val="0"/>
          <w:numId w:val="1376"/>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6"/>
        </w:numPr>
        <w:pStyle w:val="Compact"/>
      </w:pPr>
      <w:r>
        <w:t xml:space="preserve">2018 · Yammine L ·</w:t>
      </w:r>
      <w:r>
        <w:t xml:space="preserve"> </w:t>
      </w:r>
      <w:r>
        <w:rPr>
          <w:iCs/>
          <w:i/>
        </w:rPr>
        <w:t xml:space="preserve">Medicine (Baltimore)</w:t>
      </w:r>
      <w:r>
        <w:t xml:space="preserve"> </w:t>
      </w:r>
      <w:r>
        <w:t xml:space="preserve">· Exenatide once weekly for smoking cessation: study protocol for a randomized clinical trial. PMID 29480848</w:t>
      </w:r>
    </w:p>
    <w:p>
      <w:pPr>
        <w:numPr>
          <w:ilvl w:val="0"/>
          <w:numId w:val="1376"/>
        </w:numPr>
        <w:pStyle w:val="Compact"/>
      </w:pPr>
      <w:r>
        <w:t xml:space="preserve">2018 · Guja C ·</w:t>
      </w:r>
      <w:r>
        <w:t xml:space="preserve"> </w:t>
      </w:r>
      <w:r>
        <w:rPr>
          <w:iCs/>
          <w:i/>
        </w:rPr>
        <w:t xml:space="preserve">Diabetes Obes Metab</w:t>
      </w:r>
      <w:r>
        <w:t xml:space="preserve"> </w:t>
      </w:r>
      <w:r>
        <w:t xml:space="preserve">· Effect of exenatide QW or placebo, both added to titrated insulin glargine, in uncontrolled type 2 diabetes: The DURATION-7 randomized study. PMID 29473704</w:t>
      </w:r>
    </w:p>
    <w:p>
      <w:pPr>
        <w:numPr>
          <w:ilvl w:val="0"/>
          <w:numId w:val="1376"/>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6"/>
        </w:numPr>
        <w:pStyle w:val="Compact"/>
      </w:pPr>
      <w:r>
        <w:t xml:space="preserve">2018 · Dandona P ·</w:t>
      </w:r>
      <w:r>
        <w:t xml:space="preserve"> </w:t>
      </w:r>
      <w:r>
        <w:rPr>
          <w:iCs/>
          <w:i/>
        </w:rPr>
        <w:t xml:space="preserve">J Clin Endocrinol Metab</w:t>
      </w:r>
      <w:r>
        <w:t xml:space="preserve"> </w:t>
      </w:r>
      <w:r>
        <w:t xml:space="preserve">· Exenatide Increases IL-1RA Concentration and Induces Nrf-2‒Keap-1‒Regulated Antioxidant Enzymes: Relevance to β-Cell Function. PMID 29346597</w:t>
      </w:r>
    </w:p>
    <w:p>
      <w:pPr>
        <w:numPr>
          <w:ilvl w:val="0"/>
          <w:numId w:val="1376"/>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6"/>
        </w:numPr>
        <w:pStyle w:val="Compact"/>
      </w:pPr>
      <w:r>
        <w:t xml:space="preserve">2018 · Jabbour SA ·</w:t>
      </w:r>
      <w:r>
        <w:t xml:space="preserve"> </w:t>
      </w:r>
      <w:r>
        <w:rPr>
          <w:iCs/>
          <w:i/>
        </w:rPr>
        <w:t xml:space="preserve">Diabetes Obes Metab</w:t>
      </w:r>
      <w:r>
        <w:t xml:space="preserve"> </w:t>
      </w:r>
      <w:r>
        <w:t xml:space="preserve">· Effects of exenatide once weekly plus dapagliflozin, exenatide once weekly, or dapagliflozin, added to metformin monotherapy, on body weight, systolic blood pressure, and triglycerides in patients with type 2 diabetes in the DURATION-8 study. PMID 29316164</w:t>
      </w:r>
    </w:p>
    <w:p>
      <w:pPr>
        <w:numPr>
          <w:ilvl w:val="0"/>
          <w:numId w:val="1376"/>
        </w:numPr>
        <w:pStyle w:val="Compact"/>
      </w:pPr>
      <w:r>
        <w:t xml:space="preserve">2018 · Henry RR ·</w:t>
      </w:r>
      <w:r>
        <w:t xml:space="preserve"> </w:t>
      </w:r>
      <w:r>
        <w:rPr>
          <w:iCs/>
          <w:i/>
        </w:rPr>
        <w:t xml:space="preserve">Diabetes Care</w:t>
      </w:r>
      <w:r>
        <w:t xml:space="preserve"> </w:t>
      </w:r>
      <w:r>
        <w:t xml:space="preserve">· Clinical Impact of ITCA 650, a Novel Drug-Device GLP-1 Receptor Agonist, in Uncontrolled Type 2 Diabetes and Very High Baseline HbA(1c): The FREEDOM-1 HBL (High Baseline) Study. PMID 29301824</w:t>
      </w:r>
    </w:p>
    <w:p>
      <w:pPr>
        <w:numPr>
          <w:ilvl w:val="0"/>
          <w:numId w:val="1376"/>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6"/>
        </w:numPr>
        <w:pStyle w:val="Compact"/>
      </w:pPr>
      <w:r>
        <w:t xml:space="preserve">2018 · Rosenstock J ·</w:t>
      </w:r>
      <w:r>
        <w:t xml:space="preserve"> </w:t>
      </w:r>
      <w:r>
        <w:rPr>
          <w:iCs/>
          <w:i/>
        </w:rPr>
        <w:t xml:space="preserve">Diabetes Care</w:t>
      </w:r>
      <w:r>
        <w:t xml:space="preserve"> </w:t>
      </w:r>
      <w:r>
        <w:t xml:space="preserve">· Efficacy and Safety of ITCA 650, a Novel Drug-Device GLP-1 Receptor Agonist, in Type 2 Diabetes Uncontrolled With Oral Antidiabetes Drugs: The FREEDOM-1 Trial. PMID 29242349</w:t>
      </w:r>
    </w:p>
    <w:p>
      <w:pPr>
        <w:numPr>
          <w:ilvl w:val="0"/>
          <w:numId w:val="1376"/>
        </w:numPr>
        <w:pStyle w:val="Compact"/>
      </w:pPr>
      <w:r>
        <w:t xml:space="preserve">2018 · Abdul-Ghani M ·</w:t>
      </w:r>
      <w:r>
        <w:t xml:space="preserve"> </w:t>
      </w:r>
      <w:r>
        <w:rPr>
          <w:iCs/>
          <w:i/>
        </w:rPr>
        <w:t xml:space="preserve">Diabetes Obes Metab</w:t>
      </w:r>
      <w:r>
        <w:t xml:space="preserve"> </w:t>
      </w:r>
      <w:r>
        <w:t xml:space="preserve">· Insulin secretion predicts the response to therapy with exenatide plus pioglitazone, but not to basal/bolus insulin in poorly controlled T2DM patients: Results from the Qatar study. PMID 29227578</w:t>
      </w:r>
    </w:p>
    <w:p>
      <w:pPr>
        <w:numPr>
          <w:ilvl w:val="0"/>
          <w:numId w:val="1376"/>
        </w:numPr>
        <w:pStyle w:val="Compact"/>
      </w:pPr>
      <w:r>
        <w:t xml:space="preserve">2018 · Siskind DJ ·</w:t>
      </w:r>
      <w:r>
        <w:t xml:space="preserve"> </w:t>
      </w:r>
      <w:r>
        <w:rPr>
          <w:iCs/>
          <w:i/>
        </w:rPr>
        <w:t xml:space="preserve">Diabetes Obes Metab</w:t>
      </w:r>
      <w:r>
        <w:t xml:space="preserve"> </w:t>
      </w:r>
      <w:r>
        <w:t xml:space="preserve">· Treatment of clozapine-associated obesity and diabetes with exenatide in adults with schizophrenia: A randomized controlled trial (CODEX). PMID 29194917</w:t>
      </w:r>
    </w:p>
    <w:p>
      <w:pPr>
        <w:numPr>
          <w:ilvl w:val="0"/>
          <w:numId w:val="1376"/>
        </w:numPr>
        <w:pStyle w:val="Compact"/>
      </w:pPr>
      <w:r>
        <w:t xml:space="preserve">2018 · Wiberg S ·</w:t>
      </w:r>
      <w:r>
        <w:t xml:space="preserve"> </w:t>
      </w:r>
      <w:r>
        <w:rPr>
          <w:iCs/>
          <w:i/>
        </w:rPr>
        <w:t xml:space="preserve">Crit Care Med</w:t>
      </w:r>
      <w:r>
        <w:t xml:space="preserve"> </w:t>
      </w:r>
      <w:r>
        <w:t xml:space="preserve">· The Glucagon-Like Peptide-1 Analog Exenatide Increases Blood Glucose Clearance, Lactate Clearance, and Heart Rate in Comatose Patients After Out-of-Hospital Cardiac Arrest. PMID 29189347</w:t>
      </w:r>
    </w:p>
    <w:p>
      <w:pPr>
        <w:numPr>
          <w:ilvl w:val="0"/>
          <w:numId w:val="1376"/>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6"/>
        </w:numPr>
        <w:pStyle w:val="Compact"/>
      </w:pPr>
      <w:r>
        <w:t xml:space="preserve">2018 · Henry R ·</w:t>
      </w:r>
      <w:r>
        <w:t xml:space="preserve"> </w:t>
      </w:r>
      <w:r>
        <w:rPr>
          <w:iCs/>
          <w:i/>
        </w:rPr>
        <w:t xml:space="preserve">Diabetes Obes Metab</w:t>
      </w:r>
      <w:r>
        <w:t xml:space="preserve"> </w:t>
      </w:r>
      <w:r>
        <w:t xml:space="preserve">· Treatment satisfaction with ITCA 650, a novel drug-device delivering continuous exenatide, versus twice-daily injections of exenatide in type 2 diabetics using metformin. PMID 29053202</w:t>
      </w:r>
    </w:p>
    <w:p>
      <w:pPr>
        <w:numPr>
          <w:ilvl w:val="0"/>
          <w:numId w:val="1376"/>
        </w:numPr>
        <w:pStyle w:val="Compact"/>
      </w:pPr>
      <w:r>
        <w:t xml:space="preserve">2018 · Jiang LL ·</w:t>
      </w:r>
      <w:r>
        <w:t xml:space="preserve"> </w:t>
      </w:r>
      <w:r>
        <w:rPr>
          <w:iCs/>
          <w:i/>
        </w:rPr>
        <w:t xml:space="preserve">J Endocrinol Invest</w:t>
      </w:r>
      <w:r>
        <w:t xml:space="preserve"> </w:t>
      </w:r>
      <w:r>
        <w:t xml:space="preserve">· The effects of add-on exenatide to insulin on glycemic variability and hypoglycemia in patients with type 1 diabetes mellitus. PMID 29032494</w:t>
      </w:r>
    </w:p>
    <w:p>
      <w:pPr>
        <w:numPr>
          <w:ilvl w:val="0"/>
          <w:numId w:val="1376"/>
        </w:numPr>
        <w:pStyle w:val="Compact"/>
      </w:pPr>
      <w:r>
        <w:t xml:space="preserve">2018 · Wysham CH ·</w:t>
      </w:r>
      <w:r>
        <w:t xml:space="preserve"> </w:t>
      </w:r>
      <w:r>
        <w:rPr>
          <w:iCs/>
          <w:i/>
        </w:rPr>
        <w:t xml:space="preserve">Diabetes Obes Metab</w:t>
      </w:r>
      <w:r>
        <w:t xml:space="preserve"> </w:t>
      </w:r>
      <w:r>
        <w:t xml:space="preserve">· Efficacy and tolerability of the new autoinjected suspension of exenatide once weekly versus exenatide twice daily in patients with type 2 diabetes. PMID 28685973</w:t>
      </w:r>
    </w:p>
    <w:p>
      <w:pPr>
        <w:numPr>
          <w:ilvl w:val="0"/>
          <w:numId w:val="1376"/>
        </w:numPr>
        <w:pStyle w:val="Compact"/>
      </w:pPr>
      <w:r>
        <w:t xml:space="preserve">2018 · Su K ·</w:t>
      </w:r>
      <w:r>
        <w:t xml:space="preserve"> </w:t>
      </w:r>
      <w:r>
        <w:rPr>
          <w:iCs/>
          <w:i/>
        </w:rPr>
        <w:t xml:space="preserve">Am J Ther</w:t>
      </w:r>
      <w:r>
        <w:t xml:space="preserve"> </w:t>
      </w:r>
      <w:r>
        <w:t xml:space="preserve">· Phase III Study on Efficacy and Safety of Triple Combination (Exenatide/Metformin/Biphasic Insulin Aspart) Therapy for Type 2 Diabetes Mellitus. PMID 26844723</w:t>
      </w:r>
    </w:p>
    <w:p>
      <w:pPr>
        <w:numPr>
          <w:ilvl w:val="0"/>
          <w:numId w:val="1376"/>
        </w:numPr>
        <w:pStyle w:val="Compact"/>
      </w:pPr>
      <w:r>
        <w:t xml:space="preserve">2017 · Wang Y ·</w:t>
      </w:r>
      <w:r>
        <w:t xml:space="preserve"> </w:t>
      </w:r>
      <w:r>
        <w:rPr>
          <w:iCs/>
          <w:i/>
        </w:rPr>
        <w:t xml:space="preserve">Clin Drug Investig</w:t>
      </w:r>
      <w:r>
        <w:t xml:space="preserve"> </w:t>
      </w:r>
      <w:r>
        <w:t xml:space="preserve">· Pharmacokinetics and Preliminary Pharmacodynamics of Single- and Multiple-dose Lyophilized Recombinant Glucagon-like Peptide-1 Receptor Agonist (rE-4) in Chinese Patients with Type 2 Diabetes Mellitus. PMID 28932995</w:t>
      </w:r>
    </w:p>
    <w:p>
      <w:pPr>
        <w:numPr>
          <w:ilvl w:val="0"/>
          <w:numId w:val="1376"/>
        </w:numPr>
        <w:pStyle w:val="Compact"/>
      </w:pPr>
      <w:r>
        <w:t xml:space="preserve">2017 · Holman RR ·</w:t>
      </w:r>
      <w:r>
        <w:t xml:space="preserve"> </w:t>
      </w:r>
      <w:r>
        <w:rPr>
          <w:iCs/>
          <w:i/>
        </w:rPr>
        <w:t xml:space="preserve">N Engl J Med</w:t>
      </w:r>
      <w:r>
        <w:t xml:space="preserve"> </w:t>
      </w:r>
      <w:r>
        <w:t xml:space="preserve">· Effects of Once-Weekly Exenatide on Cardiovascular Outcomes in Type 2 Diabetes. PMID 28910237</w:t>
      </w:r>
    </w:p>
    <w:p>
      <w:pPr>
        <w:numPr>
          <w:ilvl w:val="0"/>
          <w:numId w:val="1376"/>
        </w:numPr>
        <w:pStyle w:val="Compact"/>
      </w:pPr>
      <w:r>
        <w:t xml:space="preserve">2017 · Liu X ·</w:t>
      </w:r>
      <w:r>
        <w:t xml:space="preserve"> </w:t>
      </w:r>
      <w:r>
        <w:rPr>
          <w:iCs/>
          <w:i/>
        </w:rPr>
        <w:t xml:space="preserve">Clin Endocrinol (Oxf)</w:t>
      </w:r>
      <w:r>
        <w:t xml:space="preserve"> </w:t>
      </w:r>
      <w:r>
        <w:t xml:space="preserve">· Efficacy of exenatide on weight loss, metabolic parameters and pregnancy in overweight/obese polycystic ovary syndrome. PMID 28834553</w:t>
      </w:r>
    </w:p>
    <w:p>
      <w:pPr>
        <w:numPr>
          <w:ilvl w:val="0"/>
          <w:numId w:val="1376"/>
        </w:numPr>
        <w:pStyle w:val="Compact"/>
      </w:pPr>
      <w:r>
        <w:t xml:space="preserve">2017 · Besch G ·</w:t>
      </w:r>
      <w:r>
        <w:t xml:space="preserve"> </w:t>
      </w:r>
      <w:r>
        <w:rPr>
          <w:iCs/>
          <w:i/>
        </w:rPr>
        <w:t xml:space="preserve">Anesthesiology</w:t>
      </w:r>
      <w:r>
        <w:t xml:space="preserve"> </w:t>
      </w:r>
      <w:r>
        <w:t xml:space="preserve">· Clinical Effectiveness of Intravenous Exenatide Infusion in Perioperative Glycemic Control after Coronary Artery Bypass Graft Surgery: A Phase II/III Randomized Trial. PMID 28820780</w:t>
      </w:r>
    </w:p>
    <w:p>
      <w:pPr>
        <w:numPr>
          <w:ilvl w:val="0"/>
          <w:numId w:val="1376"/>
        </w:numPr>
        <w:pStyle w:val="Compact"/>
      </w:pPr>
      <w:r>
        <w:t xml:space="preserve">2017 · Athauda D ·</w:t>
      </w:r>
      <w:r>
        <w:t xml:space="preserve"> </w:t>
      </w:r>
      <w:r>
        <w:rPr>
          <w:iCs/>
          <w:i/>
        </w:rPr>
        <w:t xml:space="preserve">Lancet</w:t>
      </w:r>
      <w:r>
        <w:t xml:space="preserve"> </w:t>
      </w:r>
      <w:r>
        <w:t xml:space="preserve">· Exenatide once weekly versus placebo in Parkinson’s disease: a randomised, double-blind, placebo-controlled trial. PMID 28781108</w:t>
      </w:r>
    </w:p>
    <w:p>
      <w:pPr>
        <w:numPr>
          <w:ilvl w:val="0"/>
          <w:numId w:val="1376"/>
        </w:numPr>
        <w:pStyle w:val="Compact"/>
      </w:pPr>
      <w:r>
        <w:t xml:space="preserve">2017 · Lipš M ·</w:t>
      </w:r>
      <w:r>
        <w:t xml:space="preserve"> </w:t>
      </w:r>
      <w:r>
        <w:rPr>
          <w:iCs/>
          <w:i/>
        </w:rPr>
        <w:t xml:space="preserve">Diabetes Obes Metab</w:t>
      </w:r>
      <w:r>
        <w:t xml:space="preserve"> </w:t>
      </w:r>
      <w:r>
        <w:t xml:space="preserve">· Effect of continuous exenatide infusion on cardiac function and peri-operative glucose control in patients undergoing cardiac surgery: A single-blind, randomized controlled trial. PMID 28581209</w:t>
      </w:r>
    </w:p>
    <w:p>
      <w:pPr>
        <w:numPr>
          <w:ilvl w:val="0"/>
          <w:numId w:val="1376"/>
        </w:numPr>
        <w:pStyle w:val="Compact"/>
      </w:pPr>
      <w:r>
        <w:t xml:space="preserve">2017 · Cirincione B ·</w:t>
      </w:r>
      <w:r>
        <w:t xml:space="preserve"> </w:t>
      </w:r>
      <w:r>
        <w:rPr>
          <w:iCs/>
          <w:i/>
        </w:rPr>
        <w:t xml:space="preserve">J Clin Pharmacol</w:t>
      </w:r>
      <w:r>
        <w:t xml:space="preserve"> </w:t>
      </w:r>
      <w:r>
        <w:t xml:space="preserve">· Model-Based Evaluation of Exenatide Effects on the QT Interval in Healthy Subjects Following Continuous IV Infusion. PMID 28543393</w:t>
      </w:r>
    </w:p>
    <w:p>
      <w:pPr>
        <w:numPr>
          <w:ilvl w:val="0"/>
          <w:numId w:val="1376"/>
        </w:numPr>
        <w:pStyle w:val="Compact"/>
      </w:pPr>
      <w:r>
        <w:t xml:space="preserve">2017 · Shaddinger BC ·</w:t>
      </w:r>
      <w:r>
        <w:t xml:space="preserve"> </w:t>
      </w:r>
      <w:r>
        <w:rPr>
          <w:iCs/>
          <w:i/>
        </w:rPr>
        <w:t xml:space="preserve">J Clin Pharmacol</w:t>
      </w:r>
      <w:r>
        <w:t xml:space="preserve"> </w:t>
      </w:r>
      <w:r>
        <w:t xml:space="preserve">· Effect of Albiglutide on Cholecystokinin-Induced Gallbladder Emptying in Healthy Individuals: A Randomized Crossover Study. PMID 28543352</w:t>
      </w:r>
    </w:p>
    <w:p>
      <w:pPr>
        <w:numPr>
          <w:ilvl w:val="0"/>
          <w:numId w:val="1376"/>
        </w:numPr>
        <w:pStyle w:val="Compact"/>
      </w:pPr>
      <w:r>
        <w:t xml:space="preserve">2017 · Shi X ·</w:t>
      </w:r>
      <w:r>
        <w:t xml:space="preserve"> </w:t>
      </w:r>
      <w:r>
        <w:rPr>
          <w:iCs/>
          <w:i/>
        </w:rPr>
        <w:t xml:space="preserve">Sci Rep</w:t>
      </w:r>
      <w:r>
        <w:t xml:space="preserve"> </w:t>
      </w:r>
      <w:r>
        <w:t xml:space="preserve">· Effect of exenatide after short-time intensive insulin therapy on glycaemic remission maintenance in type 2 diabetes patients: a randomized controlled trial. PMID 28539618</w:t>
      </w:r>
    </w:p>
    <w:p>
      <w:pPr>
        <w:numPr>
          <w:ilvl w:val="0"/>
          <w:numId w:val="1376"/>
        </w:numPr>
        <w:pStyle w:val="Compact"/>
      </w:pPr>
      <w:r>
        <w:t xml:space="preserve">2017 · Chen WJY ·</w:t>
      </w:r>
      <w:r>
        <w:t xml:space="preserve"> </w:t>
      </w:r>
      <w:r>
        <w:rPr>
          <w:iCs/>
          <w:i/>
        </w:rPr>
        <w:t xml:space="preserve">Cardiovasc Diabetol</w:t>
      </w:r>
      <w:r>
        <w:t xml:space="preserve"> </w:t>
      </w:r>
      <w:r>
        <w:t xml:space="preserve">· Effects of exenatide on cardiac function, perfusion, and energetics in type 2 diabetic patients with cardiomyopathy: a randomized controlled trial against insulin glargine. PMID 28526033</w:t>
      </w:r>
    </w:p>
    <w:p>
      <w:pPr>
        <w:numPr>
          <w:ilvl w:val="0"/>
          <w:numId w:val="1376"/>
        </w:numPr>
        <w:pStyle w:val="Compact"/>
      </w:pPr>
      <w:r>
        <w:t xml:space="preserve">2017 · Mentz RJ ·</w:t>
      </w:r>
      <w:r>
        <w:t xml:space="preserve"> </w:t>
      </w:r>
      <w:r>
        <w:rPr>
          <w:iCs/>
          <w:i/>
        </w:rPr>
        <w:t xml:space="preserve">Am Heart J</w:t>
      </w:r>
      <w:r>
        <w:t xml:space="preserve"> </w:t>
      </w:r>
      <w:r>
        <w:t xml:space="preserve">· Baseline characteristics of patients enrolled in the Exenatide Study of Cardiovascular Event Lowering (EXSCEL). PMID 28454792</w:t>
      </w:r>
    </w:p>
    <w:p>
      <w:pPr>
        <w:numPr>
          <w:ilvl w:val="0"/>
          <w:numId w:val="1376"/>
        </w:numPr>
        <w:pStyle w:val="Compact"/>
      </w:pPr>
      <w:r>
        <w:t xml:space="preserve">2017 · Wang X ·</w:t>
      </w:r>
      <w:r>
        <w:t xml:space="preserve"> </w:t>
      </w:r>
      <w:r>
        <w:rPr>
          <w:iCs/>
          <w:i/>
        </w:rPr>
        <w:t xml:space="preserve">Lipids Health Dis</w:t>
      </w:r>
      <w:r>
        <w:t xml:space="preserve"> </w:t>
      </w:r>
      <w:r>
        <w:t xml:space="preserve">· New association of bone morphogenetic protein 4 concentrations with fat distribution in obesity and Exenatide intervention on it. PMID 28376799</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 daily plus exenatide once weekly in obese adults without diabetes: Sustained reductions in body weight, glycaemia and blood pressure over 1 year. PMID 28345814</w:t>
      </w:r>
    </w:p>
    <w:p>
      <w:pPr>
        <w:numPr>
          <w:ilvl w:val="0"/>
          <w:numId w:val="1376"/>
        </w:numPr>
        <w:pStyle w:val="Compact"/>
      </w:pPr>
      <w:r>
        <w:t xml:space="preserve">2017 · Abdul-Ghani M ·</w:t>
      </w:r>
      <w:r>
        <w:t xml:space="preserve"> </w:t>
      </w:r>
      <w:r>
        <w:rPr>
          <w:iCs/>
          <w:i/>
        </w:rPr>
        <w:t xml:space="preserve">J Clin Endocrinol Metab</w:t>
      </w:r>
      <w:r>
        <w:t xml:space="preserve"> </w:t>
      </w:r>
      <w:r>
        <w:t xml:space="preserve">· Efficacy of Exenatide Plus Pioglitazone Vs Basal/Bolus Insulin in T2DM Patients With Very High HbA1c. PMID 28324038</w:t>
      </w:r>
    </w:p>
    <w:p>
      <w:pPr>
        <w:numPr>
          <w:ilvl w:val="0"/>
          <w:numId w:val="1376"/>
        </w:numPr>
        <w:pStyle w:val="Compact"/>
      </w:pPr>
      <w:r>
        <w:t xml:space="preserve">2017 · Ishøy PL ·</w:t>
      </w:r>
      <w:r>
        <w:t xml:space="preserve"> </w:t>
      </w:r>
      <w:r>
        <w:rPr>
          <w:iCs/>
          <w:i/>
        </w:rPr>
        <w:t xml:space="preserve">Acta Psychiatr Scand</w:t>
      </w:r>
      <w:r>
        <w:t xml:space="preserve"> </w:t>
      </w:r>
      <w:r>
        <w:t xml:space="preserve">· No cognitive-enhancing effect of GLP-1 receptor agonism in antipsychotic-treated, obese patients with schizophrenia. PMID 28260235</w:t>
      </w:r>
    </w:p>
    <w:p>
      <w:pPr>
        <w:numPr>
          <w:ilvl w:val="0"/>
          <w:numId w:val="1376"/>
        </w:numPr>
        <w:pStyle w:val="Compact"/>
      </w:pPr>
      <w:r>
        <w:t xml:space="preserve">2017 · Bremholm L ·</w:t>
      </w:r>
      <w:r>
        <w:t xml:space="preserve"> </w:t>
      </w:r>
      <w:r>
        <w:rPr>
          <w:iCs/>
          <w:i/>
        </w:rPr>
        <w:t xml:space="preserve">Physiol Rep</w:t>
      </w:r>
      <w:r>
        <w:t xml:space="preserve"> </w:t>
      </w:r>
      <w:r>
        <w:t xml:space="preserve">· Acute effects of glucagon-like peptide-1, GLP-1(9-36 amide), and exenatide on mesenteric blood flow, cardiovascular parameters, and biomarkers in healthy volunteers. PMID 28235974</w:t>
      </w:r>
    </w:p>
    <w:p>
      <w:pPr>
        <w:numPr>
          <w:ilvl w:val="0"/>
          <w:numId w:val="1376"/>
        </w:numPr>
        <w:pStyle w:val="Compact"/>
      </w:pPr>
      <w:r>
        <w:t xml:space="preserve">2017 · Gadde KM ·</w:t>
      </w:r>
      <w:r>
        <w:t xml:space="preserve"> </w:t>
      </w:r>
      <w:r>
        <w:rPr>
          <w:iCs/>
          <w:i/>
        </w:rPr>
        <w:t xml:space="preserve">Diabetes Obes Metab</w:t>
      </w:r>
      <w:r>
        <w:t xml:space="preserve"> </w:t>
      </w:r>
      <w:r>
        <w:t xml:space="preserve">· Efficacy and safety of autoinjected exenatide once-weekly suspension versus sitagliptin or placebo with metformin in patients with type 2 diabetes: The DURATION-NEO-2 randomized clinical study. PMID 28205322</w:t>
      </w:r>
    </w:p>
    <w:p>
      <w:pPr>
        <w:numPr>
          <w:ilvl w:val="0"/>
          <w:numId w:val="1376"/>
        </w:numPr>
        <w:pStyle w:val="Compact"/>
      </w:pPr>
      <w:r>
        <w:t xml:space="preserve">2017 · Shi L ·</w:t>
      </w:r>
      <w:r>
        <w:t xml:space="preserve"> </w:t>
      </w:r>
      <w:r>
        <w:rPr>
          <w:iCs/>
          <w:i/>
        </w:rPr>
        <w:t xml:space="preserve">Obes Res Clin Pract</w:t>
      </w:r>
      <w:r>
        <w:t xml:space="preserve"> </w:t>
      </w:r>
      <w:r>
        <w:t xml:space="preserve">· Comparison of exenatide and acarbose on intra-abdominal fat content in patients with obesity and type-2 diabetes: A randomized controlled trial. PMID 28161303</w:t>
      </w:r>
    </w:p>
    <w:p>
      <w:pPr>
        <w:numPr>
          <w:ilvl w:val="0"/>
          <w:numId w:val="1376"/>
        </w:numPr>
        <w:pStyle w:val="Compact"/>
      </w:pPr>
      <w:r>
        <w:t xml:space="preserve">2017 · Abdul-Ghani M ·</w:t>
      </w:r>
      <w:r>
        <w:t xml:space="preserve"> </w:t>
      </w:r>
      <w:r>
        <w:rPr>
          <w:iCs/>
          <w:i/>
        </w:rPr>
        <w:t xml:space="preserve">Diabetes Care</w:t>
      </w:r>
      <w:r>
        <w:t xml:space="preserve"> </w:t>
      </w:r>
      <w:r>
        <w:t xml:space="preserve">· Combination Therapy With Exenatide Plus Pioglitazone Versus Basal/Bolus Insulin in Patients With Poorly Controlled Type 2 Diabetes on Sulfonylurea Plus Metformin: The Qatar Study. PMID 28096223</w:t>
      </w:r>
    </w:p>
    <w:p>
      <w:pPr>
        <w:numPr>
          <w:ilvl w:val="0"/>
          <w:numId w:val="1376"/>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6"/>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6"/>
        </w:numPr>
        <w:pStyle w:val="Compact"/>
      </w:pPr>
      <w:r>
        <w:t xml:space="preserve">2017 · Thazhath SS ·</w:t>
      </w:r>
      <w:r>
        <w:t xml:space="preserve"> </w:t>
      </w:r>
      <w:r>
        <w:rPr>
          <w:iCs/>
          <w:i/>
        </w:rPr>
        <w:t xml:space="preserve">Diab Vasc Dis Res</w:t>
      </w:r>
      <w:r>
        <w:t xml:space="preserve"> </w:t>
      </w:r>
      <w:r>
        <w:t xml:space="preserve">· Acute effects of the glucagon-like peptide-1 receptor agonist, exenatide, on blood pressure and heart rate responses to intraduodenal glucose infusion in type 2 diabetes. PMID 27941058</w:t>
      </w:r>
    </w:p>
    <w:p>
      <w:pPr>
        <w:numPr>
          <w:ilvl w:val="0"/>
          <w:numId w:val="1376"/>
        </w:numPr>
        <w:pStyle w:val="Compact"/>
      </w:pPr>
      <w:r>
        <w:t xml:space="preserve">2017 · Camastra S ·</w:t>
      </w:r>
      <w:r>
        <w:t xml:space="preserve"> </w:t>
      </w:r>
      <w:r>
        <w:rPr>
          <w:iCs/>
          <w:i/>
        </w:rPr>
        <w:t xml:space="preserve">Diabetes Obes Metab</w:t>
      </w:r>
      <w:r>
        <w:t xml:space="preserve"> </w:t>
      </w:r>
      <w:r>
        <w:t xml:space="preserve">· Effect of exenatide on postprandial glucose fluxes, lipolysis, and ß-cell function in non-diabetic, morbidly obese patients. PMID 27898183</w:t>
      </w:r>
    </w:p>
    <w:p>
      <w:pPr>
        <w:numPr>
          <w:ilvl w:val="0"/>
          <w:numId w:val="1376"/>
        </w:numPr>
        <w:pStyle w:val="Compact"/>
      </w:pPr>
      <w:r>
        <w:t xml:space="preserve">2017 · Chaudhuri A ·</w:t>
      </w:r>
      <w:r>
        <w:t xml:space="preserve"> </w:t>
      </w:r>
      <w:r>
        <w:rPr>
          <w:iCs/>
          <w:i/>
        </w:rPr>
        <w:t xml:space="preserve">Diabetes Obes Metab</w:t>
      </w:r>
      <w:r>
        <w:t xml:space="preserve"> </w:t>
      </w:r>
      <w:r>
        <w:t xml:space="preserve">· Exenatide induces an increase in vasodilatory and a decrease in vasoconstrictive mediators. PMID 27891769</w:t>
      </w:r>
    </w:p>
    <w:p>
      <w:pPr>
        <w:numPr>
          <w:ilvl w:val="0"/>
          <w:numId w:val="1376"/>
        </w:numPr>
        <w:pStyle w:val="Compact"/>
      </w:pPr>
      <w:r>
        <w:t xml:space="preserve">2017 · Scalzo RL ·</w:t>
      </w:r>
      <w:r>
        <w:t xml:space="preserve"> </w:t>
      </w:r>
      <w:r>
        <w:rPr>
          <w:iCs/>
          <w:i/>
        </w:rPr>
        <w:t xml:space="preserve">J Diabetes Complications</w:t>
      </w:r>
      <w:r>
        <w:t xml:space="preserve"> </w:t>
      </w:r>
      <w:r>
        <w:t xml:space="preserve">· Exenatide improves diastolic function and attenuates arterial stiffness but does not alter exercise capacity in individuals with type 2 diabetes. PMID 27884660</w:t>
      </w:r>
    </w:p>
    <w:p>
      <w:pPr>
        <w:numPr>
          <w:ilvl w:val="0"/>
          <w:numId w:val="1376"/>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6"/>
        </w:numPr>
        <w:pStyle w:val="Compact"/>
      </w:pPr>
      <w:r>
        <w:t xml:space="preserve">2017 · Ishøy PL ·</w:t>
      </w:r>
      <w:r>
        <w:t xml:space="preserve"> </w:t>
      </w:r>
      <w:r>
        <w:rPr>
          <w:iCs/>
          <w:i/>
        </w:rPr>
        <w:t xml:space="preserve">Diabetes Obes Metab</w:t>
      </w:r>
      <w:r>
        <w:t xml:space="preserve"> </w:t>
      </w:r>
      <w:r>
        <w:t xml:space="preserve">· Effect of GLP-1 receptor agonist treatment on body weight in obese antipsychotic-treated patients with schizophrenia: a randomized, placebo-controlled trial. PMID 27717222</w:t>
      </w:r>
    </w:p>
    <w:p>
      <w:pPr>
        <w:numPr>
          <w:ilvl w:val="0"/>
          <w:numId w:val="1376"/>
        </w:numPr>
        <w:pStyle w:val="Compact"/>
      </w:pPr>
      <w:r>
        <w:t xml:space="preserve">2017 · Lundkvist P ·</w:t>
      </w:r>
      <w:r>
        <w:t xml:space="preserve"> </w:t>
      </w:r>
      <w:r>
        <w:rPr>
          <w:iCs/>
          <w:i/>
        </w:rPr>
        <w:t xml:space="preserve">Diabetes Obes Metab</w:t>
      </w:r>
      <w:r>
        <w:t xml:space="preserve"> </w:t>
      </w:r>
      <w:r>
        <w:t xml:space="preserve">· Dapagliflozin once-daily and exenatide once-weekly dual therapy: A 24-week randomized, placebo-controlled, phase II study examining effects on body weight and prediabetes in obese adults without diabetes. PMID 27550386</w:t>
      </w:r>
    </w:p>
    <w:p>
      <w:pPr>
        <w:numPr>
          <w:ilvl w:val="0"/>
          <w:numId w:val="1376"/>
        </w:numPr>
        <w:pStyle w:val="Compact"/>
      </w:pPr>
      <w:r>
        <w:t xml:space="preserve">2017 · Salehi P ·</w:t>
      </w:r>
      <w:r>
        <w:t xml:space="preserve"> </w:t>
      </w:r>
      <w:r>
        <w:rPr>
          <w:iCs/>
          <w:i/>
        </w:rPr>
        <w:t xml:space="preserve">Pediatr Obes</w:t>
      </w:r>
      <w:r>
        <w:t xml:space="preserve"> </w:t>
      </w:r>
      <w:r>
        <w:t xml:space="preserve">· Effects of exenatide on weight and appetite in overweight adolescents and young adults with Prader-Willi syndrome. PMID 27071367</w:t>
      </w:r>
    </w:p>
    <w:p>
      <w:pPr>
        <w:numPr>
          <w:ilvl w:val="0"/>
          <w:numId w:val="1376"/>
        </w:numPr>
        <w:pStyle w:val="Compact"/>
      </w:pPr>
      <w:r>
        <w:t xml:space="preserve">2016 · Wiberg S ·</w:t>
      </w:r>
      <w:r>
        <w:t xml:space="preserve"> </w:t>
      </w:r>
      <w:r>
        <w:rPr>
          <w:iCs/>
          <w:i/>
        </w:rPr>
        <w:t xml:space="preserve">Circulation</w:t>
      </w:r>
      <w:r>
        <w:t xml:space="preserve"> </w:t>
      </w:r>
      <w:r>
        <w:t xml:space="preserve">· Neuroprotective Effects of the Glucagon-Like Peptide-1 Analog Exenatide After Out-of-Hospital Cardiac Arrest: A Randomized Controlled Trial. PMID 27838646</w:t>
      </w:r>
    </w:p>
    <w:p>
      <w:pPr>
        <w:numPr>
          <w:ilvl w:val="0"/>
          <w:numId w:val="1376"/>
        </w:numPr>
        <w:pStyle w:val="Compact"/>
      </w:pPr>
      <w:r>
        <w:t xml:space="preserve">2016 · de Lapertosa SB ·</w:t>
      </w:r>
      <w:r>
        <w:t xml:space="preserve"> </w:t>
      </w:r>
      <w:r>
        <w:rPr>
          <w:iCs/>
          <w:i/>
        </w:rPr>
        <w:t xml:space="preserve">Diabetes Res Clin Pract</w:t>
      </w:r>
      <w:r>
        <w:t xml:space="preserve"> </w:t>
      </w:r>
      <w:r>
        <w:t xml:space="preserve">· The effects of exenatide twice daily compared to insulin lispro added to basal insulin in Latin American patients with type 2 diabetes: A retrospective analysis of the 4B trial. PMID 27776251</w:t>
      </w:r>
    </w:p>
    <w:p>
      <w:pPr>
        <w:numPr>
          <w:ilvl w:val="0"/>
          <w:numId w:val="1376"/>
        </w:numPr>
        <w:pStyle w:val="Compact"/>
      </w:pPr>
      <w:r>
        <w:t xml:space="preserve">2016 · Frías JP ·</w:t>
      </w:r>
      <w:r>
        <w:t xml:space="preserve"> </w:t>
      </w:r>
      <w:r>
        <w:rPr>
          <w:iCs/>
          <w:i/>
        </w:rPr>
        <w:t xml:space="preserve">Lancet Diabetes Endocrinol</w:t>
      </w:r>
      <w:r>
        <w:t xml:space="preserve"> </w:t>
      </w:r>
      <w:r>
        <w:t xml:space="preserve">· Exenatide once weekly plus dapagliflozin once daily versus exenatide or dapagliflozin alone in patients with type 2 diabetes inadequately controlled with metformin monotherapy (DURATION-8): a 28 week, multicentre, double-blind, phase 3, randomised controlled trial. PMID 27651331</w:t>
      </w:r>
    </w:p>
    <w:p>
      <w:pPr>
        <w:numPr>
          <w:ilvl w:val="0"/>
          <w:numId w:val="1376"/>
        </w:numPr>
        <w:pStyle w:val="Compact"/>
      </w:pPr>
      <w:r>
        <w:t xml:space="preserve">2016 · Gastaldelli A ·</w:t>
      </w:r>
      <w:r>
        <w:t xml:space="preserve"> </w:t>
      </w:r>
      <w:r>
        <w:rPr>
          <w:iCs/>
          <w:i/>
        </w:rPr>
        <w:t xml:space="preserve">Hepatology</w:t>
      </w:r>
      <w:r>
        <w:t xml:space="preserve"> </w:t>
      </w:r>
      <w:r>
        <w:t xml:space="preserve">· Exenatide improves both hepatic and adipose tissue insulin resistance: A dynamic positron emission tomography study. PMID 27639082</w:t>
      </w:r>
    </w:p>
    <w:p>
      <w:pPr>
        <w:numPr>
          <w:ilvl w:val="0"/>
          <w:numId w:val="1376"/>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6"/>
        </w:numPr>
        <w:pStyle w:val="Compact"/>
      </w:pPr>
      <w:r>
        <w:t xml:space="preserve">2016 · Henry RR ·</w:t>
      </w:r>
      <w:r>
        <w:t xml:space="preserve"> </w:t>
      </w:r>
      <w:r>
        <w:rPr>
          <w:iCs/>
          <w:i/>
        </w:rPr>
        <w:t xml:space="preserve">Diabetes Technol Ther</w:t>
      </w:r>
      <w:r>
        <w:t xml:space="preserve"> </w:t>
      </w:r>
      <w:r>
        <w:t xml:space="preserve">· Efficacy and Tolerability of Exenatide Once Weekly Over 6 Years in Patients with Type 2 Diabetes: An Uncontrolled Open-Label Extension of the DURATION-1 Study. PMID 27525540</w:t>
      </w:r>
    </w:p>
    <w:p>
      <w:pPr>
        <w:numPr>
          <w:ilvl w:val="0"/>
          <w:numId w:val="1376"/>
        </w:numPr>
        <w:pStyle w:val="Compact"/>
      </w:pPr>
      <w:r>
        <w:t xml:space="preserve">2016 · van Raalte DH ·</w:t>
      </w:r>
      <w:r>
        <w:t xml:space="preserve"> </w:t>
      </w:r>
      <w:r>
        <w:rPr>
          <w:iCs/>
          <w:i/>
        </w:rPr>
        <w:t xml:space="preserve">Eur J Endocrinol</w:t>
      </w:r>
      <w:r>
        <w:t xml:space="preserve"> </w:t>
      </w:r>
      <w:r>
        <w:t xml:space="preserve">· Exenatide improves β-cell function up to 3 years of treatment in patients with type 2 diabetes: a randomised controlled trial. PMID 27466218</w:t>
      </w:r>
    </w:p>
    <w:p>
      <w:pPr>
        <w:numPr>
          <w:ilvl w:val="0"/>
          <w:numId w:val="1376"/>
        </w:numPr>
        <w:pStyle w:val="Compact"/>
      </w:pPr>
      <w:r>
        <w:t xml:space="preserve">2016 · Wysham CH ·</w:t>
      </w:r>
      <w:r>
        <w:t xml:space="preserve"> </w:t>
      </w:r>
      <w:r>
        <w:rPr>
          <w:iCs/>
          <w:i/>
        </w:rPr>
        <w:t xml:space="preserve">Diabetes Care</w:t>
      </w:r>
      <w:r>
        <w:t xml:space="preserve"> </w:t>
      </w:r>
      <w:r>
        <w:t xml:space="preserve">· Efficacy and Safety of Multiple Doses of Exenatide Once-Monthly Suspension in Patients With Type 2 Diabetes: A Phase II Randomized Clinical Trial. PMID 27436275</w:t>
      </w:r>
    </w:p>
    <w:p>
      <w:pPr>
        <w:numPr>
          <w:ilvl w:val="0"/>
          <w:numId w:val="1376"/>
        </w:numPr>
        <w:pStyle w:val="Compact"/>
      </w:pPr>
      <w:r>
        <w:t xml:space="preserve">2016 · Roos ST ·</w:t>
      </w:r>
      <w:r>
        <w:t xml:space="preserve"> </w:t>
      </w:r>
      <w:r>
        <w:rPr>
          <w:iCs/>
          <w:i/>
        </w:rPr>
        <w:t xml:space="preserve">Int J Cardiol</w:t>
      </w:r>
      <w:r>
        <w:t xml:space="preserve"> </w:t>
      </w:r>
      <w:r>
        <w:t xml:space="preserve">· No benefit of additional treatment with exenatide in patients with an acute myocardial infarction. PMID 27394978</w:t>
      </w:r>
    </w:p>
    <w:p>
      <w:pPr>
        <w:numPr>
          <w:ilvl w:val="0"/>
          <w:numId w:val="1376"/>
        </w:numPr>
        <w:pStyle w:val="Compact"/>
      </w:pPr>
      <w:r>
        <w:t xml:space="preserve">2016 · Wiberg S ·</w:t>
      </w:r>
      <w:r>
        <w:t xml:space="preserve"> </w:t>
      </w:r>
      <w:r>
        <w:rPr>
          <w:iCs/>
          <w:i/>
        </w:rPr>
        <w:t xml:space="preserve">Trials</w:t>
      </w:r>
      <w:r>
        <w:t xml:space="preserve"> </w:t>
      </w:r>
      <w:r>
        <w:t xml:space="preserve">· GLP-1 analogues for neuroprotection after out-of-hospital cardiac arrest: study protocol for a randomized controlled trial. PMID 27363489</w:t>
      </w:r>
    </w:p>
    <w:p>
      <w:pPr>
        <w:numPr>
          <w:ilvl w:val="0"/>
          <w:numId w:val="1376"/>
        </w:numPr>
        <w:pStyle w:val="Compact"/>
      </w:pPr>
      <w:r>
        <w:t xml:space="preserve">2016 · Zoso A ·</w:t>
      </w:r>
      <w:r>
        <w:t xml:space="preserve"> </w:t>
      </w:r>
      <w:r>
        <w:rPr>
          <w:iCs/>
          <w:i/>
        </w:rPr>
        <w:t xml:space="preserve">PLoS One</w:t>
      </w:r>
      <w:r>
        <w:t xml:space="preserve"> </w:t>
      </w:r>
      <w:r>
        <w:t xml:space="preserve">· G-CSF and Exenatide Might Be Associated with Increased Long-Term Survival of Allogeneic Pancreatic Islet Grafts. PMID 27285580</w:t>
      </w:r>
    </w:p>
    <w:p>
      <w:pPr>
        <w:numPr>
          <w:ilvl w:val="0"/>
          <w:numId w:val="1376"/>
        </w:numPr>
        <w:pStyle w:val="Compact"/>
      </w:pPr>
      <w:r>
        <w:t xml:space="preserve">2016 · FLAT-SUGAR Trial Investigators ·</w:t>
      </w:r>
      <w:r>
        <w:t xml:space="preserve"> </w:t>
      </w:r>
      <w:r>
        <w:rPr>
          <w:iCs/>
          <w:i/>
        </w:rPr>
        <w:t xml:space="preserve">Diabetes Care</w:t>
      </w:r>
      <w:r>
        <w:t xml:space="preserve"> </w:t>
      </w:r>
      <w:r>
        <w:t xml:space="preserve">· Glucose Variability in a 26-Week Randomized Comparison of Mealtime Treatment With Rapid-Acting Insulin Versus GLP-1 Agonist in Participants With Type 2 Diabetes at High Cardiovascular Risk. PMID 27208320</w:t>
      </w:r>
    </w:p>
    <w:p>
      <w:pPr>
        <w:numPr>
          <w:ilvl w:val="0"/>
          <w:numId w:val="1376"/>
        </w:numPr>
        <w:pStyle w:val="Compact"/>
      </w:pPr>
      <w:r>
        <w:t xml:space="preserve">2016 · Dutour A ·</w:t>
      </w:r>
      <w:r>
        <w:t xml:space="preserve"> </w:t>
      </w:r>
      <w:r>
        <w:rPr>
          <w:iCs/>
          <w:i/>
        </w:rPr>
        <w:t xml:space="preserve">Diabetes Obes Metab</w:t>
      </w:r>
      <w:r>
        <w:t xml:space="preserve"> </w:t>
      </w:r>
      <w:r>
        <w:t xml:space="preserve">· Exenatide decreases liver fat content and epicardial adipose tissue in patients with obesity and type 2 diabetes: a prospective randomized clinical trial using magnetic resonance imaging and spectroscopy. PMID 27106272</w:t>
      </w:r>
    </w:p>
    <w:p>
      <w:pPr>
        <w:numPr>
          <w:ilvl w:val="0"/>
          <w:numId w:val="1376"/>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6"/>
        </w:numPr>
        <w:pStyle w:val="Compact"/>
      </w:pPr>
      <w:r>
        <w:t xml:space="preserve">2016 · Wei R ·</w:t>
      </w:r>
      <w:r>
        <w:t xml:space="preserve"> </w:t>
      </w:r>
      <w:r>
        <w:rPr>
          <w:iCs/>
          <w:i/>
        </w:rPr>
        <w:t xml:space="preserve">Am J Physiol Endocrinol Metab</w:t>
      </w:r>
      <w:r>
        <w:t xml:space="preserve"> </w:t>
      </w:r>
      <w:r>
        <w:t xml:space="preserve">· Exenatide exerts direct protective effects on endothelial cells through the AMPK/Akt/eNOS pathway in a GLP-1 receptor-dependent manner. PMID 27072494</w:t>
      </w:r>
    </w:p>
    <w:p>
      <w:pPr>
        <w:numPr>
          <w:ilvl w:val="0"/>
          <w:numId w:val="1376"/>
        </w:numPr>
        <w:pStyle w:val="Compact"/>
      </w:pPr>
      <w:r>
        <w:t xml:space="preserve">2016 · Tonneijck L ·</w:t>
      </w:r>
      <w:r>
        <w:t xml:space="preserve"> </w:t>
      </w:r>
      <w:r>
        <w:rPr>
          <w:iCs/>
          <w:i/>
        </w:rPr>
        <w:t xml:space="preserve">Diabetologia</w:t>
      </w:r>
      <w:r>
        <w:t xml:space="preserve"> </w:t>
      </w:r>
      <w:r>
        <w:t xml:space="preserve">· Acute renal effects of the GLP-1 receptor agonist exenatide in overweight type 2 diabetes patients: a randomised, double-blind, placebo-controlled trial. PMID 27038451</w:t>
      </w:r>
    </w:p>
    <w:p>
      <w:pPr>
        <w:numPr>
          <w:ilvl w:val="0"/>
          <w:numId w:val="1376"/>
        </w:numPr>
        <w:pStyle w:val="Compact"/>
      </w:pPr>
      <w:r>
        <w:t xml:space="preserve">2016 · Xu S ·</w:t>
      </w:r>
      <w:r>
        <w:t xml:space="preserve"> </w:t>
      </w:r>
      <w:r>
        <w:rPr>
          <w:iCs/>
          <w:i/>
        </w:rPr>
        <w:t xml:space="preserve">Trials</w:t>
      </w:r>
      <w:r>
        <w:t xml:space="preserve"> </w:t>
      </w:r>
      <w:r>
        <w:t xml:space="preserve">· Comparison of exenatide with biphasic insulin aspart 30 on glucose variability in type 2 diabetes: study protocol for a randomized controlled trial. PMID 27009108</w:t>
      </w:r>
    </w:p>
    <w:p>
      <w:pPr>
        <w:numPr>
          <w:ilvl w:val="0"/>
          <w:numId w:val="1376"/>
        </w:numPr>
        <w:pStyle w:val="Compact"/>
      </w:pPr>
      <w:r>
        <w:t xml:space="preserve">2016 · Topyildiz F ·</w:t>
      </w:r>
      <w:r>
        <w:t xml:space="preserve"> </w:t>
      </w:r>
      <w:r>
        <w:rPr>
          <w:iCs/>
          <w:i/>
        </w:rPr>
        <w:t xml:space="preserve">J Diabetes Res</w:t>
      </w:r>
      <w:r>
        <w:t xml:space="preserve"> </w:t>
      </w:r>
      <w:r>
        <w:t xml:space="preserve">· Exenatide Treatment Causes Suppression of Serum Ghrelin Levels following Mixed Meal Test in Obese Diabetic Women. PMID 26998491</w:t>
      </w:r>
    </w:p>
    <w:p>
      <w:pPr>
        <w:numPr>
          <w:ilvl w:val="0"/>
          <w:numId w:val="1376"/>
        </w:numPr>
        <w:pStyle w:val="Compact"/>
      </w:pPr>
      <w:r>
        <w:t xml:space="preserve">2016 · Holman RR ·</w:t>
      </w:r>
      <w:r>
        <w:t xml:space="preserve"> </w:t>
      </w:r>
      <w:r>
        <w:rPr>
          <w:iCs/>
          <w:i/>
        </w:rPr>
        <w:t xml:space="preserve">Am Heart J</w:t>
      </w:r>
      <w:r>
        <w:t xml:space="preserve"> </w:t>
      </w:r>
      <w:r>
        <w:t xml:space="preserve">· Rationale and design of the EXenatide Study of Cardiovascular Event Lowering (EXSCEL) trial. PMID 26995376</w:t>
      </w:r>
    </w:p>
    <w:p>
      <w:pPr>
        <w:numPr>
          <w:ilvl w:val="0"/>
          <w:numId w:val="1376"/>
        </w:numPr>
        <w:pStyle w:val="Compact"/>
      </w:pPr>
      <w:r>
        <w:t xml:space="preserve">2016 · McGrath RT ·</w:t>
      </w:r>
      <w:r>
        <w:t xml:space="preserve"> </w:t>
      </w:r>
      <w:r>
        <w:rPr>
          <w:iCs/>
          <w:i/>
        </w:rPr>
        <w:t xml:space="preserve">BMJ Open</w:t>
      </w:r>
      <w:r>
        <w:t xml:space="preserve"> </w:t>
      </w:r>
      <w:r>
        <w:t xml:space="preserve">· Rationale and design of Short-Term EXenatide therapy in Acute ischaemic Stroke (STEXAS): a randomised, open-label, parallel-group study. PMID 26911582</w:t>
      </w:r>
    </w:p>
    <w:p>
      <w:pPr>
        <w:numPr>
          <w:ilvl w:val="0"/>
          <w:numId w:val="1376"/>
        </w:numPr>
        <w:pStyle w:val="Compact"/>
      </w:pPr>
      <w:r>
        <w:t xml:space="preserve">2016 · Quan H ·</w:t>
      </w:r>
      <w:r>
        <w:t xml:space="preserve"> </w:t>
      </w:r>
      <w:r>
        <w:rPr>
          <w:iCs/>
          <w:i/>
        </w:rPr>
        <w:t xml:space="preserve">J Diabetes Complications</w:t>
      </w:r>
      <w:r>
        <w:t xml:space="preserve"> </w:t>
      </w:r>
      <w:r>
        <w:t xml:space="preserve">· Gender-related different effects of a combined therapy of Exenatide and Metformin on overweight or obesity patients with type 2 diabetes mellitus. PMID 26873871</w:t>
      </w:r>
    </w:p>
    <w:p>
      <w:pPr>
        <w:numPr>
          <w:ilvl w:val="0"/>
          <w:numId w:val="1376"/>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6"/>
        </w:numPr>
        <w:pStyle w:val="Compact"/>
      </w:pPr>
      <w:r>
        <w:t xml:space="preserve">2016 · Sheu WH ·</w:t>
      </w:r>
      <w:r>
        <w:t xml:space="preserve"> </w:t>
      </w:r>
      <w:r>
        <w:rPr>
          <w:iCs/>
          <w:i/>
        </w:rPr>
        <w:t xml:space="preserve">Diabetes Res Clin Pract</w:t>
      </w:r>
      <w:r>
        <w:t xml:space="preserve"> </w:t>
      </w:r>
      <w:r>
        <w:t xml:space="preserve">· Efficacy and tolerability of exenatide twice daily and exenatide once weekly in Asian versus White patients with type 2 diabetes mellitus: A pooled analysis. PMID 26827116</w:t>
      </w:r>
    </w:p>
    <w:p>
      <w:pPr>
        <w:numPr>
          <w:ilvl w:val="0"/>
          <w:numId w:val="1376"/>
        </w:numPr>
        <w:pStyle w:val="Compact"/>
      </w:pPr>
      <w:r>
        <w:t xml:space="preserve">2016 · Savvidou S ·</w:t>
      </w:r>
      <w:r>
        <w:t xml:space="preserve"> </w:t>
      </w:r>
      <w:r>
        <w:rPr>
          <w:iCs/>
          <w:i/>
        </w:rPr>
        <w:t xml:space="preserve">Diabetes Res Clin Pract</w:t>
      </w:r>
      <w:r>
        <w:t xml:space="preserve"> </w:t>
      </w:r>
      <w:r>
        <w:t xml:space="preserve">· Circulating adiponectin levels in type 2 diabetes mellitus patients with or without non-alcoholic fatty liver disease: Results of a small, open-label, randomized controlled intervention trial in a subgroup receiving short-term exenatide. PMID 26803355</w:t>
      </w:r>
    </w:p>
    <w:p>
      <w:pPr>
        <w:numPr>
          <w:ilvl w:val="0"/>
          <w:numId w:val="1376"/>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6"/>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6"/>
        </w:numPr>
        <w:pStyle w:val="Compact"/>
      </w:pPr>
      <w:r>
        <w:t xml:space="preserve">2016 · Nathan BM ·</w:t>
      </w:r>
      <w:r>
        <w:t xml:space="preserve"> </w:t>
      </w:r>
      <w:r>
        <w:rPr>
          <w:iCs/>
          <w:i/>
        </w:rPr>
        <w:t xml:space="preserve">Clin Obes</w:t>
      </w:r>
      <w:r>
        <w:t xml:space="preserve"> </w:t>
      </w:r>
      <w:r>
        <w:t xml:space="preserve">· Predictors of weight-loss response with glucagon-like peptide-1 receptor agonist treatment among adolescents with severe obesity. PMID 26683756</w:t>
      </w:r>
    </w:p>
    <w:p>
      <w:pPr>
        <w:numPr>
          <w:ilvl w:val="0"/>
          <w:numId w:val="1376"/>
        </w:numPr>
        <w:pStyle w:val="Compact"/>
      </w:pPr>
      <w:r>
        <w:t xml:space="preserve">2016 · Smits MM ·</w:t>
      </w:r>
      <w:r>
        <w:t xml:space="preserve"> </w:t>
      </w:r>
      <w:r>
        <w:rPr>
          <w:iCs/>
          <w:i/>
        </w:rPr>
        <w:t xml:space="preserve">Diabetes Obes Metab</w:t>
      </w:r>
      <w:r>
        <w:t xml:space="preserve"> </w:t>
      </w:r>
      <w:r>
        <w:t xml:space="preserve">· Glucagon-like peptide-1 receptor agonist exenatide has no acute effect on MRI-measured exocrine pancreatic function in patients with type 2 diabetes: a randomized trial. PMID 26640129</w:t>
      </w:r>
    </w:p>
    <w:p>
      <w:pPr>
        <w:numPr>
          <w:ilvl w:val="0"/>
          <w:numId w:val="1376"/>
        </w:numPr>
        <w:pStyle w:val="Compact"/>
      </w:pPr>
      <w:r>
        <w:t xml:space="preserve">2016 · Muskiet MH ·</w:t>
      </w:r>
      <w:r>
        <w:t xml:space="preserve"> </w:t>
      </w:r>
      <w:r>
        <w:rPr>
          <w:iCs/>
          <w:i/>
        </w:rPr>
        <w:t xml:space="preserve">Diabetes Obes Metab</w:t>
      </w:r>
      <w:r>
        <w:t xml:space="preserve"> </w:t>
      </w:r>
      <w:r>
        <w:t xml:space="preserve">· Acute renal haemodynamic effects of glucagon-like peptide-1 receptor agonist exenatide in healthy overweight men. PMID 26636423</w:t>
      </w:r>
    </w:p>
    <w:p>
      <w:pPr>
        <w:numPr>
          <w:ilvl w:val="0"/>
          <w:numId w:val="1376"/>
        </w:numPr>
        <w:pStyle w:val="Compact"/>
      </w:pPr>
      <w:r>
        <w:t xml:space="preserve">2016 · Smits MM ·</w:t>
      </w:r>
      <w:r>
        <w:t xml:space="preserve"> </w:t>
      </w:r>
      <w:r>
        <w:rPr>
          <w:iCs/>
          <w:i/>
        </w:rPr>
        <w:t xml:space="preserve">Br J Clin Pharmacol</w:t>
      </w:r>
      <w:r>
        <w:t xml:space="preserve"> </w:t>
      </w:r>
      <w:r>
        <w:t xml:space="preserve">· Exenatide acutely increases heart rate in parallel with augmented sympathetic nervous system activation in healthy overweight males. PMID 26609792</w:t>
      </w:r>
    </w:p>
    <w:p>
      <w:pPr>
        <w:numPr>
          <w:ilvl w:val="0"/>
          <w:numId w:val="1376"/>
        </w:numPr>
        <w:pStyle w:val="Compact"/>
      </w:pPr>
      <w:r>
        <w:t xml:space="preserve">2016 · Thazhath SS ·</w:t>
      </w:r>
      <w:r>
        <w:t xml:space="preserve"> </w:t>
      </w:r>
      <w:r>
        <w:rPr>
          <w:iCs/>
          <w:i/>
        </w:rPr>
        <w:t xml:space="preserve">Diabetes</w:t>
      </w:r>
      <w:r>
        <w:t xml:space="preserve"> </w:t>
      </w:r>
      <w:r>
        <w:t xml:space="preserve">· The Glucagon-Like Peptide 1 Receptor Agonist Exenatide Inhibits Small Intestinal Motility, Flow, Transit, and Absorption of Glucose in Healthy Subjects and Patients With Type 2 Diabetes: A Randomized Controlled Trial. PMID 26470783</w:t>
      </w:r>
    </w:p>
    <w:p>
      <w:pPr>
        <w:numPr>
          <w:ilvl w:val="0"/>
          <w:numId w:val="1376"/>
        </w:numPr>
        <w:pStyle w:val="Compact"/>
      </w:pPr>
      <w:r>
        <w:t xml:space="preserve">2015 · Lin CH ·</w:t>
      </w:r>
      <w:r>
        <w:t xml:space="preserve"> </w:t>
      </w:r>
      <w:r>
        <w:rPr>
          <w:iCs/>
          <w:i/>
        </w:rPr>
        <w:t xml:space="preserve">Sci Rep</w:t>
      </w:r>
      <w:r>
        <w:t xml:space="preserve"> </w:t>
      </w:r>
      <w:r>
        <w:t xml:space="preserve">· Glucose Variability and β- Cell Response by GLP-1 Analogue added-on CSII for Patients with Poorly Controlled Type 2 Diabetes. PMID 26607841</w:t>
      </w:r>
    </w:p>
    <w:p>
      <w:pPr>
        <w:numPr>
          <w:ilvl w:val="0"/>
          <w:numId w:val="1376"/>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6"/>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6"/>
        </w:numPr>
        <w:pStyle w:val="Compact"/>
      </w:pPr>
      <w:r>
        <w:t xml:space="preserve">2015 · Wang XH ·</w:t>
      </w:r>
      <w:r>
        <w:t xml:space="preserve"> </w:t>
      </w:r>
      <w:r>
        <w:rPr>
          <w:iCs/>
          <w:i/>
        </w:rPr>
        <w:t xml:space="preserve">Sichuan Da Xue Xue Bao Yi Xue Ban</w:t>
      </w:r>
      <w:r>
        <w:t xml:space="preserve"> </w:t>
      </w:r>
      <w:r>
        <w:t xml:space="preserve">· [Effects of GLP-1 Agonist Exenatide on Cardiac Diastolic Function and Vascular Endothelial Function in Diabetic Patients]. PMID 26480664</w:t>
      </w:r>
    </w:p>
    <w:p>
      <w:pPr>
        <w:numPr>
          <w:ilvl w:val="0"/>
          <w:numId w:val="1376"/>
        </w:numPr>
        <w:pStyle w:val="Compact"/>
      </w:pPr>
      <w:r>
        <w:t xml:space="preserve">2015 · Simó R ·</w:t>
      </w:r>
      <w:r>
        <w:t xml:space="preserve"> </w:t>
      </w:r>
      <w:r>
        <w:rPr>
          <w:iCs/>
          <w:i/>
        </w:rPr>
        <w:t xml:space="preserve">Cardiovasc Diabetol</w:t>
      </w:r>
      <w:r>
        <w:t xml:space="preserve"> </w:t>
      </w:r>
      <w:r>
        <w:t xml:space="preserve">· Long-term changes in cardiovascular risk markers during administration of exenatide twice daily or glimepiride: results from the European exenatide study. PMID 26338040</w:t>
      </w:r>
    </w:p>
    <w:p>
      <w:pPr>
        <w:numPr>
          <w:ilvl w:val="0"/>
          <w:numId w:val="1376"/>
        </w:numPr>
        <w:pStyle w:val="Compact"/>
      </w:pPr>
      <w:r>
        <w:t xml:space="preserve">2015 · van Bloemendaal L ·</w:t>
      </w:r>
      <w:r>
        <w:t xml:space="preserve"> </w:t>
      </w:r>
      <w:r>
        <w:rPr>
          <w:iCs/>
          <w:i/>
        </w:rPr>
        <w:t xml:space="preserve">Obesity (Silver Spring)</w:t>
      </w:r>
      <w:r>
        <w:t xml:space="preserve"> </w:t>
      </w:r>
      <w:r>
        <w:t xml:space="preserve">· Emotional eating is associated with increased brain responses to food-cues and reduced sensitivity to GLP-1 receptor activation. PMID 26331843</w:t>
      </w:r>
    </w:p>
    <w:p>
      <w:pPr>
        <w:numPr>
          <w:ilvl w:val="0"/>
          <w:numId w:val="1376"/>
        </w:numPr>
        <w:pStyle w:val="Compact"/>
      </w:pPr>
      <w:r>
        <w:t xml:space="preserve">2015 · Jaiswal M ·</w:t>
      </w:r>
      <w:r>
        <w:t xml:space="preserve"> </w:t>
      </w:r>
      <w:r>
        <w:rPr>
          <w:iCs/>
          <w:i/>
        </w:rPr>
        <w:t xml:space="preserve">J Diabetes Complications</w:t>
      </w:r>
      <w:r>
        <w:t xml:space="preserve"> </w:t>
      </w:r>
      <w:r>
        <w:t xml:space="preserve">· Effects of exenatide on measures of diabetic neuropathy in subjects with type 2 diabetes: results from an 18-month proof-of-concept open-label randomized study. PMID 26264399</w:t>
      </w:r>
    </w:p>
    <w:p>
      <w:pPr>
        <w:numPr>
          <w:ilvl w:val="0"/>
          <w:numId w:val="1376"/>
        </w:numPr>
        <w:pStyle w:val="Compact"/>
      </w:pPr>
      <w:r>
        <w:t xml:space="preserve">2015 · Li R ·</w:t>
      </w:r>
      <w:r>
        <w:t xml:space="preserve"> </w:t>
      </w:r>
      <w:r>
        <w:rPr>
          <w:iCs/>
          <w:i/>
        </w:rPr>
        <w:t xml:space="preserve">Acta Diabetol</w:t>
      </w:r>
      <w:r>
        <w:t xml:space="preserve"> </w:t>
      </w:r>
      <w:r>
        <w:t xml:space="preserve">· Effect of exenatide, insulin and pioglitazone on bone metabolism in patients with newly diagnosed type 2 diabetes. PMID 26249206</w:t>
      </w:r>
    </w:p>
    <w:p>
      <w:pPr>
        <w:numPr>
          <w:ilvl w:val="0"/>
          <w:numId w:val="1376"/>
        </w:numPr>
        <w:pStyle w:val="Compact"/>
      </w:pPr>
      <w:r>
        <w:t xml:space="preserve">2015 · Vlasakakis G ·</w:t>
      </w:r>
      <w:r>
        <w:t xml:space="preserve"> </w:t>
      </w:r>
      <w:r>
        <w:rPr>
          <w:iCs/>
          <w:i/>
        </w:rPr>
        <w:t xml:space="preserve">Adv Ther</w:t>
      </w:r>
      <w:r>
        <w:t xml:space="preserve"> </w:t>
      </w:r>
      <w:r>
        <w:t xml:space="preserve">· Pharmacokinetics and Tolerability of Exenatide Delivered by 7-Day Continuous Subcutaneous Infusion in Healthy Volunteers. PMID 26160357</w:t>
      </w:r>
    </w:p>
    <w:p>
      <w:pPr>
        <w:numPr>
          <w:ilvl w:val="0"/>
          <w:numId w:val="1376"/>
        </w:numPr>
        <w:pStyle w:val="Compact"/>
      </w:pPr>
      <w:r>
        <w:t xml:space="preserve">2015 · Daniele G ·</w:t>
      </w:r>
      <w:r>
        <w:t xml:space="preserve"> </w:t>
      </w:r>
      <w:r>
        <w:rPr>
          <w:iCs/>
          <w:i/>
        </w:rPr>
        <w:t xml:space="preserve">Diabetes</w:t>
      </w:r>
      <w:r>
        <w:t xml:space="preserve"> </w:t>
      </w:r>
      <w:r>
        <w:t xml:space="preserve">· Exenatide Regulates Cerebral Glucose Metabolism in Brain Areas Associated With Glucose Homeostasis and Reward System. PMID 26116695</w:t>
      </w:r>
    </w:p>
    <w:p>
      <w:pPr>
        <w:numPr>
          <w:ilvl w:val="0"/>
          <w:numId w:val="1376"/>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6"/>
        </w:numPr>
        <w:pStyle w:val="Compact"/>
      </w:pPr>
      <w:r>
        <w:t xml:space="preserve">2015 · van Bloemendaal L ·</w:t>
      </w:r>
      <w:r>
        <w:t xml:space="preserve"> </w:t>
      </w:r>
      <w:r>
        <w:rPr>
          <w:iCs/>
          <w:i/>
        </w:rPr>
        <w:t xml:space="preserve">Diabetes Obes Metab</w:t>
      </w:r>
      <w:r>
        <w:t xml:space="preserve"> </w:t>
      </w:r>
      <w:r>
        <w:t xml:space="preserve">· Brain reward-system activation in response to anticipation and consumption of palatable food is altered by glucagon-like peptide-1 receptor activation in humans. PMID 26094857</w:t>
      </w:r>
    </w:p>
    <w:p>
      <w:pPr>
        <w:numPr>
          <w:ilvl w:val="0"/>
          <w:numId w:val="1376"/>
        </w:numPr>
        <w:pStyle w:val="Compact"/>
      </w:pPr>
      <w:r>
        <w:t xml:space="preserve">2015 · Schernthaner G ·</w:t>
      </w:r>
      <w:r>
        <w:t xml:space="preserve"> </w:t>
      </w:r>
      <w:r>
        <w:rPr>
          <w:iCs/>
          <w:i/>
        </w:rPr>
        <w:t xml:space="preserve">Diabetes Obes Metab</w:t>
      </w:r>
      <w:r>
        <w:t xml:space="preserve"> </w:t>
      </w:r>
      <w:r>
        <w:t xml:space="preserve">· Treatment escalation options for patients with type 2 diabetes after failure of exenatide twice daily or glimepiride added to metformin: results from the prospective European Exenatide (EUREXA) study. PMID 25846577</w:t>
      </w:r>
    </w:p>
    <w:p>
      <w:pPr>
        <w:numPr>
          <w:ilvl w:val="0"/>
          <w:numId w:val="1376"/>
        </w:numPr>
        <w:pStyle w:val="Compact"/>
      </w:pPr>
      <w:r>
        <w:t xml:space="preserve">2015 · Wysham CH ·</w:t>
      </w:r>
      <w:r>
        <w:t xml:space="preserve"> </w:t>
      </w:r>
      <w:r>
        <w:rPr>
          <w:iCs/>
          <w:i/>
        </w:rPr>
        <w:t xml:space="preserve">Mayo Clin Proc</w:t>
      </w:r>
      <w:r>
        <w:t xml:space="preserve"> </w:t>
      </w:r>
      <w:r>
        <w:t xml:space="preserve">· Five-year efficacy and safety data of exenatide once weekly: long-term results from the DURATION-1 randomized clinical trial. PMID 25744115</w:t>
      </w:r>
    </w:p>
    <w:p>
      <w:pPr>
        <w:numPr>
          <w:ilvl w:val="0"/>
          <w:numId w:val="1376"/>
        </w:numPr>
        <w:pStyle w:val="Compact"/>
      </w:pPr>
      <w:r>
        <w:t xml:space="preserve">2015 · Koska J ·</w:t>
      </w:r>
      <w:r>
        <w:t xml:space="preserve"> </w:t>
      </w:r>
      <w:r>
        <w:rPr>
          <w:iCs/>
          <w:i/>
        </w:rPr>
        <w:t xml:space="preserve">Diabetes</w:t>
      </w:r>
      <w:r>
        <w:t xml:space="preserve"> </w:t>
      </w:r>
      <w:r>
        <w:t xml:space="preserve">· Exenatide Protects Against Glucose- and Lipid-Induced Endothelial Dysfunction: Evidence for Direct Vasodilation Effect of GLP-1 Receptor Agonists in Humans. PMID 25720388</w:t>
      </w:r>
    </w:p>
    <w:p>
      <w:pPr>
        <w:numPr>
          <w:ilvl w:val="0"/>
          <w:numId w:val="1376"/>
        </w:numPr>
        <w:pStyle w:val="Compact"/>
      </w:pPr>
      <w:r>
        <w:t xml:space="preserve">2015 · Blonde L ·</w:t>
      </w:r>
      <w:r>
        <w:t xml:space="preserve"> </w:t>
      </w:r>
      <w:r>
        <w:rPr>
          <w:iCs/>
          <w:i/>
        </w:rPr>
        <w:t xml:space="preserve">Cardiovasc Diabetol</w:t>
      </w:r>
      <w:r>
        <w:t xml:space="preserve"> </w:t>
      </w:r>
      <w:r>
        <w:t xml:space="preserve">· Association among weight change, glycemic control, and markers of cardiovascular risk with exenatide once weekly: a pooled analysis of patients with type 2 diabetes. PMID 25645567</w:t>
      </w:r>
    </w:p>
    <w:p>
      <w:pPr>
        <w:numPr>
          <w:ilvl w:val="0"/>
          <w:numId w:val="1376"/>
        </w:numPr>
        <w:pStyle w:val="Compact"/>
      </w:pPr>
      <w:r>
        <w:t xml:space="preserve">2015 · Iglesias P ·</w:t>
      </w:r>
      <w:r>
        <w:t xml:space="preserve"> </w:t>
      </w:r>
      <w:r>
        <w:rPr>
          <w:iCs/>
          <w:i/>
        </w:rPr>
        <w:t xml:space="preserve">Obes Surg</w:t>
      </w:r>
      <w:r>
        <w:t xml:space="preserve"> </w:t>
      </w:r>
      <w:r>
        <w:t xml:space="preserve">· Clinical effectiveness of exenatide in diabetic patients waiting for bariatric surgery. PMID 25589020</w:t>
      </w:r>
    </w:p>
    <w:p>
      <w:pPr>
        <w:numPr>
          <w:ilvl w:val="0"/>
          <w:numId w:val="1376"/>
        </w:numPr>
        <w:pStyle w:val="Compact"/>
      </w:pPr>
      <w:r>
        <w:t xml:space="preserve">2015 · Abdul-Ghani MA ·</w:t>
      </w:r>
      <w:r>
        <w:t xml:space="preserve"> </w:t>
      </w:r>
      <w:r>
        <w:rPr>
          <w:iCs/>
          <w:i/>
        </w:rPr>
        <w:t xml:space="preserve">Diabetes Obes Metab</w:t>
      </w:r>
      <w:r>
        <w:t xml:space="preserve"> </w:t>
      </w:r>
      <w:r>
        <w:t xml:space="preserve">· Initial combination therapy with metformin, pioglitazone and exenatide is more effective than sequential add-on therapy in subjects with new-onset diabetes. Results from the Efficacy and Durability of Initial Combination Therapy for Type 2 Diabetes (EDICT): a randomized trial. PMID 25425451</w:t>
      </w:r>
    </w:p>
    <w:p>
      <w:pPr>
        <w:numPr>
          <w:ilvl w:val="0"/>
          <w:numId w:val="1376"/>
        </w:numPr>
        <w:pStyle w:val="Compact"/>
      </w:pPr>
      <w:r>
        <w:t xml:space="preserve">2015 · Xu W ·</w:t>
      </w:r>
      <w:r>
        <w:t xml:space="preserve"> </w:t>
      </w:r>
      <w:r>
        <w:rPr>
          <w:iCs/>
          <w:i/>
        </w:rPr>
        <w:t xml:space="preserve">J Intern Med</w:t>
      </w:r>
      <w:r>
        <w:t xml:space="preserve"> </w:t>
      </w:r>
      <w:r>
        <w:t xml:space="preserve">· Comparison of the effects on glycaemic control and β-cell function in newly diagnosed type 2 diabetes patients of treatment with exenatide, insulin or pioglitazone: a multicentre randomized parallel-group trial (the CONFIDENCE study). PMID 25039675</w:t>
      </w:r>
    </w:p>
    <w:p>
      <w:pPr>
        <w:numPr>
          <w:ilvl w:val="0"/>
          <w:numId w:val="1376"/>
        </w:numPr>
        <w:pStyle w:val="Compact"/>
      </w:pPr>
      <w:r>
        <w:t xml:space="preserve">2014 · Gurkan E ·</w:t>
      </w:r>
      <w:r>
        <w:t xml:space="preserve"> </w:t>
      </w:r>
      <w:r>
        <w:rPr>
          <w:iCs/>
          <w:i/>
        </w:rPr>
        <w:t xml:space="preserve">Diabetes Res Clin Pract</w:t>
      </w:r>
      <w:r>
        <w:t xml:space="preserve"> </w:t>
      </w:r>
      <w:r>
        <w:t xml:space="preserve">· Evaluation of exenatide versus insulin glargine for the impact on endothelial functions and cardiovascular risk markers. PMID 25458329</w:t>
      </w:r>
    </w:p>
    <w:p>
      <w:pPr>
        <w:numPr>
          <w:ilvl w:val="0"/>
          <w:numId w:val="1376"/>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6"/>
        </w:numPr>
        <w:pStyle w:val="Compact"/>
      </w:pPr>
      <w:r>
        <w:t xml:space="preserve">2014 · Bi Y ·</w:t>
      </w:r>
      <w:r>
        <w:t xml:space="preserve"> </w:t>
      </w:r>
      <w:r>
        <w:rPr>
          <w:iCs/>
          <w:i/>
        </w:rPr>
        <w:t xml:space="preserve">Acta Diabetol</w:t>
      </w:r>
      <w:r>
        <w:t xml:space="preserve"> </w:t>
      </w:r>
      <w:r>
        <w:t xml:space="preserve">· Effects of exenatide, insulin, and pioglitazone on liver fat content and body fat distributions in drug-naive subjects with type 2 diabetes. PMID 25118999</w:t>
      </w:r>
    </w:p>
    <w:p>
      <w:pPr>
        <w:numPr>
          <w:ilvl w:val="0"/>
          <w:numId w:val="1376"/>
        </w:numPr>
        <w:pStyle w:val="Compact"/>
      </w:pPr>
      <w:r>
        <w:t xml:space="preserve">2014 · van Bloemendaal L ·</w:t>
      </w:r>
      <w:r>
        <w:t xml:space="preserve"> </w:t>
      </w:r>
      <w:r>
        <w:rPr>
          <w:iCs/>
          <w:i/>
        </w:rPr>
        <w:t xml:space="preserve">Diabetes</w:t>
      </w:r>
      <w:r>
        <w:t xml:space="preserve"> </w:t>
      </w:r>
      <w:r>
        <w:t xml:space="preserve">· GLP-1 receptor activation modulates appetite- and reward-related brain areas in humans. PMID 25071023</w:t>
      </w:r>
    </w:p>
    <w:p>
      <w:pPr>
        <w:numPr>
          <w:ilvl w:val="0"/>
          <w:numId w:val="1376"/>
        </w:numPr>
        <w:pStyle w:val="Compact"/>
      </w:pPr>
      <w:r>
        <w:t xml:space="preserve">2014 · Qi M ·</w:t>
      </w:r>
      <w:r>
        <w:t xml:space="preserve"> </w:t>
      </w:r>
      <w:r>
        <w:rPr>
          <w:iCs/>
          <w:i/>
        </w:rPr>
        <w:t xml:space="preserve">Acta Diabetol</w:t>
      </w:r>
      <w:r>
        <w:t xml:space="preserve"> </w:t>
      </w:r>
      <w:r>
        <w:t xml:space="preserve">· Five-year follow-up of patients with type 1 diabetes transplanted with allogeneic islets: the UIC experience. PMID 25034311</w:t>
      </w:r>
    </w:p>
    <w:p>
      <w:pPr>
        <w:numPr>
          <w:ilvl w:val="0"/>
          <w:numId w:val="1376"/>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76"/>
        </w:numPr>
        <w:pStyle w:val="Compact"/>
      </w:pPr>
      <w:r>
        <w:t xml:space="preserve">2014 · Diamant M ·</w:t>
      </w:r>
      <w:r>
        <w:t xml:space="preserve"> </w:t>
      </w:r>
      <w:r>
        <w:rPr>
          <w:iCs/>
          <w:i/>
        </w:rPr>
        <w:t xml:space="preserve">Diabetes Care</w:t>
      </w:r>
      <w:r>
        <w:t xml:space="preserve"> </w:t>
      </w:r>
      <w:r>
        <w:t xml:space="preserve">· Glucagon-like peptide 1 receptor agonist or bolus insulin with optimized basal insulin in type 2 diabetes. PMID 25011946</w:t>
      </w:r>
    </w:p>
    <w:p>
      <w:pPr>
        <w:numPr>
          <w:ilvl w:val="0"/>
          <w:numId w:val="1376"/>
        </w:numPr>
        <w:pStyle w:val="Compact"/>
      </w:pPr>
      <w:r>
        <w:t xml:space="preserve">2014 · Gudipaty L ·</w:t>
      </w:r>
      <w:r>
        <w:t xml:space="preserve"> </w:t>
      </w:r>
      <w:r>
        <w:rPr>
          <w:iCs/>
          <w:i/>
        </w:rPr>
        <w:t xml:space="preserve">Diabetes Care</w:t>
      </w:r>
      <w:r>
        <w:t xml:space="preserve"> </w:t>
      </w:r>
      <w:r>
        <w:t xml:space="preserve">· Effect of exenatide, sitagliptin, or glimepiride on β-cell secretory capacity in early type 2 diabetes. PMID 24969577</w:t>
      </w:r>
    </w:p>
    <w:p>
      <w:pPr>
        <w:numPr>
          <w:ilvl w:val="0"/>
          <w:numId w:val="1376"/>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6"/>
        </w:numPr>
        <w:pStyle w:val="Compact"/>
      </w:pPr>
      <w:r>
        <w:t xml:space="preserve">2014 · Holmberg FE ·</w:t>
      </w:r>
      <w:r>
        <w:t xml:space="preserve"> </w:t>
      </w:r>
      <w:r>
        <w:rPr>
          <w:iCs/>
          <w:i/>
        </w:rPr>
        <w:t xml:space="preserve">Scand Cardiovasc J</w:t>
      </w:r>
      <w:r>
        <w:t xml:space="preserve"> </w:t>
      </w:r>
      <w:r>
        <w:t xml:space="preserve">· Conditioning techniques and ischemic reperfusion injury in relation to on-pump cardiac surgery. PMID 24852515</w:t>
      </w:r>
    </w:p>
    <w:p>
      <w:pPr>
        <w:numPr>
          <w:ilvl w:val="0"/>
          <w:numId w:val="1376"/>
        </w:numPr>
        <w:pStyle w:val="Compact"/>
      </w:pPr>
      <w:r>
        <w:t xml:space="preserve">2014 · Shao N ·</w:t>
      </w:r>
      <w:r>
        <w:t xml:space="preserve"> </w:t>
      </w:r>
      <w:r>
        <w:rPr>
          <w:iCs/>
          <w:i/>
        </w:rPr>
        <w:t xml:space="preserve">Diabetes Metab Res Rev</w:t>
      </w:r>
      <w:r>
        <w:t xml:space="preserve"> </w:t>
      </w:r>
      <w:r>
        <w:t xml:space="preserve">· Benefits of exenatide on obesity and non-alcoholic fatty liver disease with elevated liver enzymes in patients with type 2 diabetes. PMID 24823873</w:t>
      </w:r>
    </w:p>
    <w:p>
      <w:pPr>
        <w:numPr>
          <w:ilvl w:val="0"/>
          <w:numId w:val="1376"/>
        </w:numPr>
        <w:pStyle w:val="Compact"/>
      </w:pPr>
      <w:r>
        <w:t xml:space="preserve">2014 · Diamant M ·</w:t>
      </w:r>
      <w:r>
        <w:t xml:space="preserve"> </w:t>
      </w:r>
      <w:r>
        <w:rPr>
          <w:iCs/>
          <w:i/>
        </w:rPr>
        <w:t xml:space="preserve">Lancet Diabetes Endocrinol</w:t>
      </w:r>
      <w:r>
        <w:t xml:space="preserve"> </w:t>
      </w:r>
      <w:r>
        <w:t xml:space="preserve">· Exenatide once weekly versus insulin glargine for type 2 diabetes (DURATION-3): 3-year results of an open-label randomised trial. PMID 24731672</w:t>
      </w:r>
    </w:p>
    <w:p>
      <w:pPr>
        <w:numPr>
          <w:ilvl w:val="0"/>
          <w:numId w:val="1376"/>
        </w:numPr>
        <w:pStyle w:val="Compact"/>
      </w:pPr>
      <w:r>
        <w:t xml:space="preserve">2014 · Aviles-Olmos I ·</w:t>
      </w:r>
      <w:r>
        <w:t xml:space="preserve"> </w:t>
      </w:r>
      <w:r>
        <w:rPr>
          <w:iCs/>
          <w:i/>
        </w:rPr>
        <w:t xml:space="preserve">J Parkinsons Dis</w:t>
      </w:r>
      <w:r>
        <w:t xml:space="preserve"> </w:t>
      </w:r>
      <w:r>
        <w:t xml:space="preserve">· Motor and cognitive advantages persist 12 months after exenatide exposure in Parkinson’s disease. PMID 24662192</w:t>
      </w:r>
    </w:p>
    <w:p>
      <w:pPr>
        <w:numPr>
          <w:ilvl w:val="0"/>
          <w:numId w:val="1376"/>
        </w:numPr>
        <w:pStyle w:val="Compact"/>
      </w:pPr>
      <w:r>
        <w:t xml:space="preserve">2014 · Henry RR ·</w:t>
      </w:r>
      <w:r>
        <w:t xml:space="preserve"> </w:t>
      </w:r>
      <w:r>
        <w:rPr>
          <w:iCs/>
          <w:i/>
        </w:rPr>
        <w:t xml:space="preserve">J Diabetes Complications</w:t>
      </w:r>
      <w:r>
        <w:t xml:space="preserve"> </w:t>
      </w:r>
      <w:r>
        <w:t xml:space="preserve">· Continuous subcutaneous delivery of exenatide via ITCA 650 leads to sustained glycemic control and weight loss for 48 weeks in metformin-treated subjects with type 2 diabetes. PMID 24631129</w:t>
      </w:r>
    </w:p>
    <w:p>
      <w:pPr>
        <w:numPr>
          <w:ilvl w:val="0"/>
          <w:numId w:val="1376"/>
        </w:numPr>
        <w:pStyle w:val="Compact"/>
      </w:pPr>
      <w:r>
        <w:t xml:space="preserve">2014 · Buse JB ·</w:t>
      </w:r>
      <w:r>
        <w:t xml:space="preserve"> </w:t>
      </w:r>
      <w:r>
        <w:rPr>
          <w:iCs/>
          <w:i/>
        </w:rPr>
        <w:t xml:space="preserve">Curr Med Res Opin</w:t>
      </w:r>
      <w:r>
        <w:t xml:space="preserve"> </w:t>
      </w:r>
      <w:r>
        <w:t xml:space="preserve">· Addition of exenatide BID to insulin glargine: a post-hoc analysis of the effect on glycemia and weight across a range of insulin titration. PMID 24621255</w:t>
      </w:r>
    </w:p>
    <w:p>
      <w:pPr>
        <w:numPr>
          <w:ilvl w:val="0"/>
          <w:numId w:val="1376"/>
        </w:numPr>
        <w:pStyle w:val="Compact"/>
      </w:pPr>
      <w:r>
        <w:t xml:space="preserve">2014 · Lønborg J ·</w:t>
      </w:r>
      <w:r>
        <w:t xml:space="preserve"> </w:t>
      </w:r>
      <w:r>
        <w:rPr>
          <w:iCs/>
          <w:i/>
        </w:rPr>
        <w:t xml:space="preserve">Diabetes</w:t>
      </w:r>
      <w:r>
        <w:t xml:space="preserve"> </w:t>
      </w:r>
      <w:r>
        <w:t xml:space="preserve">· Impact of acute hyperglycemia on myocardial infarct size, area at risk, and salvage in patients with STEMI and the association with exenatide treatment: results from a randomized study. PMID 24584550</w:t>
      </w:r>
    </w:p>
    <w:p>
      <w:pPr>
        <w:numPr>
          <w:ilvl w:val="0"/>
          <w:numId w:val="1376"/>
        </w:numPr>
        <w:pStyle w:val="Compact"/>
      </w:pPr>
      <w:r>
        <w:t xml:space="preserve">2014 · Ishøy PL ·</w:t>
      </w:r>
      <w:r>
        <w:t xml:space="preserve"> </w:t>
      </w:r>
      <w:r>
        <w:rPr>
          <w:iCs/>
          <w:i/>
        </w:rPr>
        <w:t xml:space="preserve">BMJ Open</w:t>
      </w:r>
      <w:r>
        <w:t xml:space="preserve"> </w:t>
      </w:r>
      <w:r>
        <w:t xml:space="preserve">· Treatment of antipsychotic-associated obesity with a GLP-1 receptor agonist–protocol for an investigator-initiated prospective, randomised, placebo-controlled, double-blinded intervention study: the TAO study protocol. PMID 24401727</w:t>
      </w:r>
    </w:p>
    <w:p>
      <w:pPr>
        <w:numPr>
          <w:ilvl w:val="0"/>
          <w:numId w:val="1376"/>
        </w:numPr>
        <w:pStyle w:val="Compact"/>
      </w:pPr>
      <w:r>
        <w:t xml:space="preserve">2014 · Gu N ·</w:t>
      </w:r>
      <w:r>
        <w:t xml:space="preserve"> </w:t>
      </w:r>
      <w:r>
        <w:rPr>
          <w:iCs/>
          <w:i/>
        </w:rPr>
        <w:t xml:space="preserve">Clin Ther</w:t>
      </w:r>
      <w:r>
        <w:t xml:space="preserve"> </w:t>
      </w:r>
      <w:r>
        <w:t xml:space="preserve">· Pharmacokinetic properties and effects of PT302 after repeated oral glucose loading tests in a dose-escalating study. PMID 24373998</w:t>
      </w:r>
    </w:p>
    <w:p>
      <w:pPr>
        <w:numPr>
          <w:ilvl w:val="0"/>
          <w:numId w:val="1376"/>
        </w:numPr>
        <w:pStyle w:val="Compact"/>
      </w:pPr>
      <w:r>
        <w:t xml:space="preserve">2014 · Arakaki RF ·</w:t>
      </w:r>
      <w:r>
        <w:t xml:space="preserve"> </w:t>
      </w:r>
      <w:r>
        <w:rPr>
          <w:iCs/>
          <w:i/>
        </w:rPr>
        <w:t xml:space="preserve">Diabetes Obes Metab</w:t>
      </w:r>
      <w:r>
        <w:t xml:space="preserve"> </w:t>
      </w:r>
      <w:r>
        <w:t xml:space="preserve">· Comparison of insulin lispro protamine suspension versus insulin glargine once daily added to oral antihyperglycaemic medications and exenatide in type 2 diabetes: a prospective randomized open-label trial. PMID 24298995</w:t>
      </w:r>
    </w:p>
    <w:p>
      <w:pPr>
        <w:numPr>
          <w:ilvl w:val="0"/>
          <w:numId w:val="1376"/>
        </w:numPr>
        <w:pStyle w:val="Compact"/>
      </w:pPr>
      <w:r>
        <w:t xml:space="preserve">2014 · Sarkar G ·</w:t>
      </w:r>
      <w:r>
        <w:t xml:space="preserve"> </w:t>
      </w:r>
      <w:r>
        <w:rPr>
          <w:iCs/>
          <w:i/>
        </w:rPr>
        <w:t xml:space="preserve">Diabetes Care</w:t>
      </w:r>
      <w:r>
        <w:t xml:space="preserve"> </w:t>
      </w:r>
      <w:r>
        <w:t xml:space="preserve">· Exenatide treatment for 6 months improves insulin sensitivity in adults with type 1 diabetes. PMID 24194508</w:t>
      </w:r>
    </w:p>
    <w:p>
      <w:pPr>
        <w:numPr>
          <w:ilvl w:val="0"/>
          <w:numId w:val="1376"/>
        </w:numPr>
        <w:pStyle w:val="Compact"/>
      </w:pPr>
      <w:r>
        <w:t xml:space="preserve">2014 · Ghazi T ·</w:t>
      </w:r>
      <w:r>
        <w:t xml:space="preserve"> </w:t>
      </w:r>
      <w:r>
        <w:rPr>
          <w:iCs/>
          <w:i/>
        </w:rPr>
        <w:t xml:space="preserve">Diabetes Care</w:t>
      </w:r>
      <w:r>
        <w:t xml:space="preserve"> </w:t>
      </w:r>
      <w:r>
        <w:t xml:space="preserve">· Acute metabolic effects of exenatide in patients with type 1 diabetes with and without residual insulin to oral and intravenous glucose challenges. PMID 23939544</w:t>
      </w:r>
    </w:p>
    <w:p>
      <w:pPr>
        <w:numPr>
          <w:ilvl w:val="0"/>
          <w:numId w:val="1376"/>
        </w:numPr>
        <w:pStyle w:val="Compact"/>
      </w:pPr>
      <w:r>
        <w:t xml:space="preserve">2014 · Gastaldelli A ·</w:t>
      </w:r>
      <w:r>
        <w:t xml:space="preserve"> </w:t>
      </w:r>
      <w:r>
        <w:rPr>
          <w:iCs/>
          <w:i/>
        </w:rPr>
        <w:t xml:space="preserve">Diabetes Obes Metab</w:t>
      </w:r>
      <w:r>
        <w:t xml:space="preserve"> </w:t>
      </w:r>
      <w:r>
        <w:t xml:space="preserve">· A direct comparison of long- and short-acting GLP-1 receptor agonists (taspoglutide once weekly and exenatide twice daily) on postprandial metabolism after 24 weeks of treatment. PMID 23911196</w:t>
      </w:r>
    </w:p>
    <w:p>
      <w:pPr>
        <w:numPr>
          <w:ilvl w:val="0"/>
          <w:numId w:val="1376"/>
        </w:numPr>
        <w:pStyle w:val="Compact"/>
      </w:pPr>
      <w:r>
        <w:t xml:space="preserve">2014 · Gastaldelli A ·</w:t>
      </w:r>
      <w:r>
        <w:t xml:space="preserve"> </w:t>
      </w:r>
      <w:r>
        <w:rPr>
          <w:iCs/>
          <w:i/>
        </w:rPr>
        <w:t xml:space="preserve">Clin Endocrinol (Oxf)</w:t>
      </w:r>
      <w:r>
        <w:t xml:space="preserve"> </w:t>
      </w:r>
      <w:r>
        <w:t xml:space="preserve">· The effect of chronic twice daily exenatide treatment on β-cell function in new onset type 2 diabetes. PMID 23574529</w:t>
      </w:r>
    </w:p>
    <w:p>
      <w:pPr>
        <w:numPr>
          <w:ilvl w:val="0"/>
          <w:numId w:val="1376"/>
        </w:numPr>
        <w:pStyle w:val="Compact"/>
      </w:pPr>
      <w:r>
        <w:t xml:space="preserve">2013 · Fan H ·</w:t>
      </w:r>
      <w:r>
        <w:t xml:space="preserve"> </w:t>
      </w:r>
      <w:r>
        <w:rPr>
          <w:iCs/>
          <w:i/>
        </w:rPr>
        <w:t xml:space="preserve">Arq Bras Endocrinol Metabol</w:t>
      </w:r>
      <w:r>
        <w:t xml:space="preserve"> </w:t>
      </w:r>
      <w:r>
        <w:t xml:space="preserve">· Exenatide improves type 2 diabetes concomitant with non-alcoholic fatty liver disease. PMID 24402015</w:t>
      </w:r>
    </w:p>
    <w:p>
      <w:pPr>
        <w:numPr>
          <w:ilvl w:val="0"/>
          <w:numId w:val="1376"/>
        </w:numPr>
        <w:pStyle w:val="Compact"/>
      </w:pPr>
      <w:r>
        <w:t xml:space="preserve">2013 · Matyjaszek-Matuszek B ·</w:t>
      </w:r>
      <w:r>
        <w:t xml:space="preserve"> </w:t>
      </w:r>
      <w:r>
        <w:rPr>
          <w:iCs/>
          <w:i/>
        </w:rPr>
        <w:t xml:space="preserve">Endokrynol Pol</w:t>
      </w:r>
      <w:r>
        <w:t xml:space="preserve"> </w:t>
      </w:r>
      <w:r>
        <w:t xml:space="preserve">· Exenatide twice daily versus insulin glargine for the treatment of type 2 diabetes in Poland - subgroup data from a randomised multinational trial GWAA. PMID 24186595</w:t>
      </w:r>
    </w:p>
    <w:p>
      <w:pPr>
        <w:numPr>
          <w:ilvl w:val="0"/>
          <w:numId w:val="1376"/>
        </w:numPr>
        <w:pStyle w:val="Compact"/>
      </w:pPr>
      <w:r>
        <w:t xml:space="preserve">2013 · Grimm M ·</w:t>
      </w:r>
      <w:r>
        <w:t xml:space="preserve"> </w:t>
      </w:r>
      <w:r>
        <w:rPr>
          <w:iCs/>
          <w:i/>
        </w:rPr>
        <w:t xml:space="preserve">Postgrad Med</w:t>
      </w:r>
      <w:r>
        <w:t xml:space="preserve"> </w:t>
      </w:r>
      <w:r>
        <w:t xml:space="preserve">· Exenatide once weekly versus daily basal insulin as add-on treatment to metformin with or without a sulfonylurea: a retrospective pooled analysis in patients with poor glycemic control. PMID 24113668</w:t>
      </w:r>
    </w:p>
    <w:p>
      <w:pPr>
        <w:numPr>
          <w:ilvl w:val="0"/>
          <w:numId w:val="1376"/>
        </w:numPr>
        <w:pStyle w:val="Compact"/>
      </w:pPr>
      <w:r>
        <w:t xml:space="preserve">2013 · Daly SC ·</w:t>
      </w:r>
      <w:r>
        <w:t xml:space="preserve"> </w:t>
      </w:r>
      <w:r>
        <w:rPr>
          <w:iCs/>
          <w:i/>
        </w:rPr>
        <w:t xml:space="preserve">Int J Stroke</w:t>
      </w:r>
      <w:r>
        <w:t xml:space="preserve"> </w:t>
      </w:r>
      <w:r>
        <w:t xml:space="preserve">· Exenatide in acute ischemic stroke. PMID 24024920</w:t>
      </w:r>
    </w:p>
    <w:p>
      <w:pPr>
        <w:numPr>
          <w:ilvl w:val="0"/>
          <w:numId w:val="1376"/>
        </w:numPr>
        <w:pStyle w:val="Compact"/>
      </w:pPr>
      <w:r>
        <w:t xml:space="preserve">2013 · Derosa G ·</w:t>
      </w:r>
      <w:r>
        <w:t xml:space="preserve"> </w:t>
      </w:r>
      <w:r>
        <w:rPr>
          <w:iCs/>
          <w:i/>
        </w:rPr>
        <w:t xml:space="preserve">Can J Physiol Pharmacol</w:t>
      </w:r>
      <w:r>
        <w:t xml:space="preserve"> </w:t>
      </w:r>
      <w:r>
        <w:t xml:space="preserve">· Effects of exenatide and metformin in combination on some adipocytokine levels: a comparison with metformin monotherapy. PMID 23984793</w:t>
      </w:r>
    </w:p>
    <w:p>
      <w:pPr>
        <w:numPr>
          <w:ilvl w:val="0"/>
          <w:numId w:val="1376"/>
        </w:numPr>
        <w:pStyle w:val="Compact"/>
      </w:pPr>
      <w:r>
        <w:t xml:space="preserve">2013 · Woo JS ·</w:t>
      </w:r>
      <w:r>
        <w:t xml:space="preserve"> </w:t>
      </w:r>
      <w:r>
        <w:rPr>
          <w:iCs/>
          <w:i/>
        </w:rPr>
        <w:t xml:space="preserve">Arterioscler Thromb Vasc Biol</w:t>
      </w:r>
      <w:r>
        <w:t xml:space="preserve"> </w:t>
      </w:r>
      <w:r>
        <w:t xml:space="preserve">· Cardioprotective effects of exenatide in patients with ST-segment-elevation myocardial infarction undergoing primary percutaneous coronary intervention: results of exenatide myocardial protection in revascularization study. PMID 23868944</w:t>
      </w:r>
    </w:p>
    <w:p>
      <w:pPr>
        <w:numPr>
          <w:ilvl w:val="0"/>
          <w:numId w:val="1376"/>
        </w:numPr>
        <w:pStyle w:val="Compact"/>
      </w:pPr>
      <w:r>
        <w:t xml:space="preserve">2013 · Malloy J ·</w:t>
      </w:r>
      <w:r>
        <w:t xml:space="preserve"> </w:t>
      </w:r>
      <w:r>
        <w:rPr>
          <w:iCs/>
          <w:i/>
        </w:rPr>
        <w:t xml:space="preserve">Postgrad Med</w:t>
      </w:r>
      <w:r>
        <w:t xml:space="preserve"> </w:t>
      </w:r>
      <w:r>
        <w:t xml:space="preserve">· Efficacy and tolerability of exenatide once weekly versus sitagliptin in patients with type 2 diabetes mellitus: a retrospective analysis of pooled clinical trial data. PMID 23748507</w:t>
      </w:r>
    </w:p>
    <w:p>
      <w:pPr>
        <w:numPr>
          <w:ilvl w:val="0"/>
          <w:numId w:val="1376"/>
        </w:numPr>
        <w:pStyle w:val="Compact"/>
      </w:pPr>
      <w:r>
        <w:t xml:space="preserve">2013 · Grimm M ·</w:t>
      </w:r>
      <w:r>
        <w:t xml:space="preserve"> </w:t>
      </w:r>
      <w:r>
        <w:rPr>
          <w:iCs/>
          <w:i/>
        </w:rPr>
        <w:t xml:space="preserve">Postgrad Med</w:t>
      </w:r>
      <w:r>
        <w:t xml:space="preserve"> </w:t>
      </w:r>
      <w:r>
        <w:t xml:space="preserve">· Efficacy, safety, and tolerability of exenatide once weekly in patients with type 2 diabetes mellitus: an integrated analysis of the DURATION trials. PMID 23748506</w:t>
      </w:r>
    </w:p>
    <w:p>
      <w:pPr>
        <w:numPr>
          <w:ilvl w:val="0"/>
          <w:numId w:val="1376"/>
        </w:numPr>
        <w:pStyle w:val="Compact"/>
      </w:pPr>
      <w:r>
        <w:t xml:space="preserve">2013 · Derosa G ·</w:t>
      </w:r>
      <w:r>
        <w:t xml:space="preserve"> </w:t>
      </w:r>
      <w:r>
        <w:rPr>
          <w:iCs/>
          <w:i/>
        </w:rPr>
        <w:t xml:space="preserve">Pharmacotherapy</w:t>
      </w:r>
      <w:r>
        <w:t xml:space="preserve"> </w:t>
      </w:r>
      <w:r>
        <w:t xml:space="preserve">· Variation in inflammatory markers and glycemic parameters after 12 months of exenatide plus metformin treatment compared with metformin alone: a randomized placebo-controlled trial. PMID 23744726</w:t>
      </w:r>
    </w:p>
    <w:p>
      <w:pPr>
        <w:numPr>
          <w:ilvl w:val="0"/>
          <w:numId w:val="1376"/>
        </w:numPr>
        <w:pStyle w:val="Compact"/>
      </w:pPr>
      <w:r>
        <w:t xml:space="preserve">2013 · Aviles-Olmos I ·</w:t>
      </w:r>
      <w:r>
        <w:t xml:space="preserve"> </w:t>
      </w:r>
      <w:r>
        <w:rPr>
          <w:iCs/>
          <w:i/>
        </w:rPr>
        <w:t xml:space="preserve">J Clin Invest</w:t>
      </w:r>
      <w:r>
        <w:t xml:space="preserve"> </w:t>
      </w:r>
      <w:r>
        <w:t xml:space="preserve">· Exenatide and the treatment of patients with Parkinson’s disease. PMID 23728174</w:t>
      </w:r>
    </w:p>
    <w:p>
      <w:pPr>
        <w:numPr>
          <w:ilvl w:val="0"/>
          <w:numId w:val="1376"/>
        </w:numPr>
        <w:pStyle w:val="Compact"/>
      </w:pPr>
      <w:r>
        <w:t xml:space="preserve">2013 · Liang Z ·</w:t>
      </w:r>
      <w:r>
        <w:t xml:space="preserve"> </w:t>
      </w:r>
      <w:r>
        <w:rPr>
          <w:iCs/>
          <w:i/>
        </w:rPr>
        <w:t xml:space="preserve">Diabetes Res Clin Pract</w:t>
      </w:r>
      <w:r>
        <w:t xml:space="preserve"> </w:t>
      </w:r>
      <w:r>
        <w:t xml:space="preserve">· Effect of laparoscopic Roux-en-Y gastric bypass surgery on type 2 diabetes mellitus with hypertension: a randomized controlled trial. PMID 23706413</w:t>
      </w:r>
    </w:p>
    <w:p>
      <w:pPr>
        <w:numPr>
          <w:ilvl w:val="0"/>
          <w:numId w:val="1376"/>
        </w:numPr>
        <w:pStyle w:val="Compact"/>
      </w:pPr>
      <w:r>
        <w:t xml:space="preserve">2013 · Rosenstock J ·</w:t>
      </w:r>
      <w:r>
        <w:t xml:space="preserve"> </w:t>
      </w:r>
      <w:r>
        <w:rPr>
          <w:iCs/>
          <w:i/>
        </w:rPr>
        <w:t xml:space="preserve">Diabetes Care</w:t>
      </w:r>
      <w:r>
        <w:t xml:space="preserve"> </w:t>
      </w:r>
      <w:r>
        <w:t xml:space="preserve">· Efficacy and safety of lixisenatide once daily versus exenatide twice daily in type 2 diabetes inadequately controlled on metformin: a 24-week, randomized, open-label, active-controlled study (GetGoal-X). PMID 23698396</w:t>
      </w:r>
    </w:p>
    <w:p>
      <w:pPr>
        <w:numPr>
          <w:ilvl w:val="0"/>
          <w:numId w:val="1376"/>
        </w:numPr>
        <w:pStyle w:val="Compact"/>
      </w:pPr>
      <w:r>
        <w:t xml:space="preserve">2013 · Henry RR ·</w:t>
      </w:r>
      <w:r>
        <w:t xml:space="preserve"> </w:t>
      </w:r>
      <w:r>
        <w:rPr>
          <w:iCs/>
          <w:i/>
        </w:rPr>
        <w:t xml:space="preserve">Diabetes Care</w:t>
      </w:r>
      <w:r>
        <w:t xml:space="preserve"> </w:t>
      </w:r>
      <w:r>
        <w:t xml:space="preserve">· Randomized trial of continuous subcutaneous delivery of exenatide by ITCA 650 versus twice-daily exenatide injections in metformin-treated type 2 diabetes. PMID 23645886</w:t>
      </w:r>
    </w:p>
    <w:p>
      <w:pPr>
        <w:numPr>
          <w:ilvl w:val="0"/>
          <w:numId w:val="1376"/>
        </w:numPr>
        <w:pStyle w:val="Compact"/>
      </w:pPr>
      <w:r>
        <w:t xml:space="preserve">2013 · Karagianni P ·</w:t>
      </w:r>
      <w:r>
        <w:t xml:space="preserve"> </w:t>
      </w:r>
      <w:r>
        <w:rPr>
          <w:iCs/>
          <w:i/>
        </w:rPr>
        <w:t xml:space="preserve">Adv Med Sci</w:t>
      </w:r>
      <w:r>
        <w:t xml:space="preserve"> </w:t>
      </w:r>
      <w:r>
        <w:t xml:space="preserve">· Comparative efficacy of exenatide versus insulin glargine on glycemic control in type 2 diabetes mellitus patients inadequately treated with metformin monotherapy. PMID 23640946</w:t>
      </w:r>
    </w:p>
    <w:p>
      <w:pPr>
        <w:numPr>
          <w:ilvl w:val="0"/>
          <w:numId w:val="1376"/>
        </w:numPr>
        <w:pStyle w:val="Compact"/>
      </w:pPr>
      <w:r>
        <w:t xml:space="preserve">2013 · Henry RR ·</w:t>
      </w:r>
      <w:r>
        <w:t xml:space="preserve"> </w:t>
      </w:r>
      <w:r>
        <w:rPr>
          <w:iCs/>
          <w:i/>
        </w:rPr>
        <w:t xml:space="preserve">Clin Ther</w:t>
      </w:r>
      <w:r>
        <w:t xml:space="preserve"> </w:t>
      </w:r>
      <w:r>
        <w:t xml:space="preserve">· A randomized, open-label, multicenter, 4-week study to evaluate the tolerability and pharmacokinetics of ITCA 650 in patients with type 2 diabetes. PMID 23578605</w:t>
      </w:r>
    </w:p>
    <w:p>
      <w:pPr>
        <w:numPr>
          <w:ilvl w:val="0"/>
          <w:numId w:val="1376"/>
        </w:numPr>
        <w:pStyle w:val="Compact"/>
      </w:pPr>
      <w:r>
        <w:t xml:space="preserve">2013 · Meloni AR ·</w:t>
      </w:r>
      <w:r>
        <w:t xml:space="preserve"> </w:t>
      </w:r>
      <w:r>
        <w:rPr>
          <w:iCs/>
          <w:i/>
        </w:rPr>
        <w:t xml:space="preserve">Cardiovasc Diabetol</w:t>
      </w:r>
      <w:r>
        <w:t xml:space="preserve"> </w:t>
      </w:r>
      <w:r>
        <w:t xml:space="preserve">· Treatment of patients with type 2 diabetes with exenatide once weekly versus oral glucose-lowering medications or insulin glargine: achievement of glycemic and cardiovascular goals. PMID 23522121</w:t>
      </w:r>
    </w:p>
    <w:p>
      <w:pPr>
        <w:numPr>
          <w:ilvl w:val="0"/>
          <w:numId w:val="1376"/>
        </w:numPr>
        <w:pStyle w:val="Compact"/>
      </w:pPr>
      <w:r>
        <w:t xml:space="preserve">2013 · Hari Kumar KV ·</w:t>
      </w:r>
      <w:r>
        <w:t xml:space="preserve"> </w:t>
      </w:r>
      <w:r>
        <w:rPr>
          <w:iCs/>
          <w:i/>
        </w:rPr>
        <w:t xml:space="preserve">Diabetes Res Clin Pract</w:t>
      </w:r>
      <w:r>
        <w:t xml:space="preserve"> </w:t>
      </w:r>
      <w:r>
        <w:t xml:space="preserve">· Addition of exenatide or sitagliptin to insulin in new onset type 1 diabetes: a randomized, open label study. PMID 23490599</w:t>
      </w:r>
    </w:p>
    <w:p>
      <w:pPr>
        <w:numPr>
          <w:ilvl w:val="0"/>
          <w:numId w:val="1376"/>
        </w:numPr>
        <w:pStyle w:val="Compact"/>
      </w:pPr>
      <w:r>
        <w:t xml:space="preserve">2013 · Lu CH ·</w:t>
      </w:r>
      <w:r>
        <w:t xml:space="preserve"> </w:t>
      </w:r>
      <w:r>
        <w:rPr>
          <w:iCs/>
          <w:i/>
        </w:rPr>
        <w:t xml:space="preserve">J Formos Med Assoc</w:t>
      </w:r>
      <w:r>
        <w:t xml:space="preserve"> </w:t>
      </w:r>
      <w:r>
        <w:t xml:space="preserve">· Safety and efficacy of twice-daily exenatide in Taiwanese patients with inadequately controlled type 2 diabetes mellitus. PMID 23473527</w:t>
      </w:r>
    </w:p>
    <w:p>
      <w:pPr>
        <w:numPr>
          <w:ilvl w:val="0"/>
          <w:numId w:val="1376"/>
        </w:numPr>
        <w:pStyle w:val="Compact"/>
      </w:pPr>
      <w:r>
        <w:t xml:space="preserve">2013 · Schlögl H ·</w:t>
      </w:r>
      <w:r>
        <w:t xml:space="preserve"> </w:t>
      </w:r>
      <w:r>
        <w:rPr>
          <w:iCs/>
          <w:i/>
        </w:rPr>
        <w:t xml:space="preserve">Diabetes Care</w:t>
      </w:r>
      <w:r>
        <w:t xml:space="preserve"> </w:t>
      </w:r>
      <w:r>
        <w:t xml:space="preserve">· Exenatide-induced reduction in energy intake is associated with increase in hypothalamic connectivity. PMID 23462665</w:t>
      </w:r>
    </w:p>
    <w:p>
      <w:pPr>
        <w:numPr>
          <w:ilvl w:val="0"/>
          <w:numId w:val="1376"/>
        </w:numPr>
        <w:pStyle w:val="Compact"/>
      </w:pPr>
      <w:r>
        <w:t xml:space="preserve">2013 · Kelly AS ·</w:t>
      </w:r>
      <w:r>
        <w:t xml:space="preserve"> </w:t>
      </w:r>
      <w:r>
        <w:rPr>
          <w:iCs/>
          <w:i/>
        </w:rPr>
        <w:t xml:space="preserve">JAMA Pediatr</w:t>
      </w:r>
      <w:r>
        <w:t xml:space="preserve"> </w:t>
      </w:r>
      <w:r>
        <w:t xml:space="preserve">· The effect of glucagon-like peptide-1 receptor agonist therapy on body mass index in adolescents with severe obesity: a randomized, placebo-controlled, clinical trial. PMID 23380890</w:t>
      </w:r>
    </w:p>
    <w:p>
      <w:pPr>
        <w:numPr>
          <w:ilvl w:val="0"/>
          <w:numId w:val="1376"/>
        </w:numPr>
        <w:pStyle w:val="Compact"/>
      </w:pPr>
      <w:r>
        <w:t xml:space="preserve">2013 · Davies M ·</w:t>
      </w:r>
      <w:r>
        <w:t xml:space="preserve"> </w:t>
      </w:r>
      <w:r>
        <w:rPr>
          <w:iCs/>
          <w:i/>
        </w:rPr>
        <w:t xml:space="preserve">Diabetes Care</w:t>
      </w:r>
      <w:r>
        <w:t xml:space="preserve"> </w:t>
      </w:r>
      <w:r>
        <w:t xml:space="preserve">· Once-weekly exenatide versus once- or twice-daily insulin detemir: randomized, open-label, clinical trial of efficacy and safety in patients with type 2 diabetes treated with metformin alone or in combination with sulfonylureas. PMID 23275363</w:t>
      </w:r>
    </w:p>
    <w:p>
      <w:pPr>
        <w:numPr>
          <w:ilvl w:val="0"/>
          <w:numId w:val="1376"/>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6"/>
        </w:numPr>
        <w:pStyle w:val="Compact"/>
      </w:pPr>
      <w:r>
        <w:t xml:space="preserve">2013 · Rosenstock J ·</w:t>
      </w:r>
      <w:r>
        <w:t xml:space="preserve"> </w:t>
      </w:r>
      <w:r>
        <w:rPr>
          <w:iCs/>
          <w:i/>
        </w:rPr>
        <w:t xml:space="preserve">Diabetes Care</w:t>
      </w:r>
      <w:r>
        <w:t xml:space="preserve"> </w:t>
      </w:r>
      <w:r>
        <w:t xml:space="preserve">· The fate of taspoglutide, a weekly GLP-1 receptor agonist, versus twice-daily exenatide for type 2 diabetes: the T-emerge 2 trial. PMID 23139373</w:t>
      </w:r>
    </w:p>
    <w:p>
      <w:pPr>
        <w:numPr>
          <w:ilvl w:val="0"/>
          <w:numId w:val="1376"/>
        </w:numPr>
        <w:pStyle w:val="Compact"/>
      </w:pPr>
      <w:r>
        <w:t xml:space="preserve">2013 · Bernink FJ ·</w:t>
      </w:r>
      <w:r>
        <w:t xml:space="preserve"> </w:t>
      </w:r>
      <w:r>
        <w:rPr>
          <w:iCs/>
          <w:i/>
        </w:rPr>
        <w:t xml:space="preserve">Int J Cardiol</w:t>
      </w:r>
      <w:r>
        <w:t xml:space="preserve"> </w:t>
      </w:r>
      <w:r>
        <w:t xml:space="preserve">· Effect of additional treatment with EXenatide in patients with an Acute Myocardial Infarction: the EXAMI study. PMID 23084550</w:t>
      </w:r>
    </w:p>
    <w:p>
      <w:pPr>
        <w:numPr>
          <w:ilvl w:val="0"/>
          <w:numId w:val="1376"/>
        </w:numPr>
        <w:pStyle w:val="Compact"/>
      </w:pPr>
      <w:r>
        <w:t xml:space="preserve">2013 · Darpö B ·</w:t>
      </w:r>
      <w:r>
        <w:t xml:space="preserve"> </w:t>
      </w:r>
      <w:r>
        <w:rPr>
          <w:iCs/>
          <w:i/>
        </w:rPr>
        <w:t xml:space="preserve">Br J Clin Pharmacol</w:t>
      </w:r>
      <w:r>
        <w:t xml:space="preserve"> </w:t>
      </w:r>
      <w:r>
        <w:t xml:space="preserve">· Exenatide at therapeutic and supratherapeutic concentrations does not prolong the QTc interval in healthy subjects. PMID 22882281</w:t>
      </w:r>
    </w:p>
    <w:p>
      <w:pPr>
        <w:numPr>
          <w:ilvl w:val="0"/>
          <w:numId w:val="1376"/>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6"/>
        </w:numPr>
        <w:pStyle w:val="Compact"/>
      </w:pPr>
      <w:r>
        <w:t xml:space="preserve">2013 · Irace C ·</w:t>
      </w:r>
      <w:r>
        <w:t xml:space="preserve"> </w:t>
      </w:r>
      <w:r>
        <w:rPr>
          <w:iCs/>
          <w:i/>
        </w:rPr>
        <w:t xml:space="preserve">Diab Vasc Dis Res</w:t>
      </w:r>
      <w:r>
        <w:t xml:space="preserve"> </w:t>
      </w:r>
      <w:r>
        <w:t xml:space="preserve">· Exenatide improves endothelial function assessed by flow mediated dilation technique in subjects with type 2 diabetes: results from an observational research. PMID 22732108</w:t>
      </w:r>
    </w:p>
    <w:p>
      <w:pPr>
        <w:numPr>
          <w:ilvl w:val="0"/>
          <w:numId w:val="1376"/>
        </w:numPr>
        <w:pStyle w:val="Compact"/>
      </w:pPr>
      <w:r>
        <w:t xml:space="preserve">2013 · Idris I ·</w:t>
      </w:r>
      <w:r>
        <w:t xml:space="preserve"> </w:t>
      </w:r>
      <w:r>
        <w:rPr>
          <w:iCs/>
          <w:i/>
        </w:rPr>
        <w:t xml:space="preserve">J Sleep Res</w:t>
      </w:r>
      <w:r>
        <w:t xml:space="preserve"> </w:t>
      </w:r>
      <w:r>
        <w:t xml:space="preserve">· Exenatide improves excessive daytime sleepiness and wakefulness in obese patients with type 2 diabetes without obstructive sleep apnoea. PMID 22716195</w:t>
      </w:r>
    </w:p>
    <w:p>
      <w:pPr>
        <w:numPr>
          <w:ilvl w:val="0"/>
          <w:numId w:val="1376"/>
        </w:numPr>
        <w:pStyle w:val="Compact"/>
      </w:pPr>
      <w:r>
        <w:t xml:space="preserve">2012 · Chiquette E ·</w:t>
      </w:r>
      <w:r>
        <w:t xml:space="preserve"> </w:t>
      </w:r>
      <w:r>
        <w:rPr>
          <w:iCs/>
          <w:i/>
        </w:rPr>
        <w:t xml:space="preserve">Vasc Health Risk Manag</w:t>
      </w:r>
      <w:r>
        <w:t xml:space="preserve"> </w:t>
      </w:r>
      <w:r>
        <w:t xml:space="preserve">· Treatment with exenatide once weekly or twice daily for 30 weeks is associated with changes in several cardiovascular risk markers. PMID 23166441</w:t>
      </w:r>
    </w:p>
    <w:p>
      <w:pPr>
        <w:numPr>
          <w:ilvl w:val="0"/>
          <w:numId w:val="1376"/>
        </w:numPr>
        <w:pStyle w:val="Compact"/>
      </w:pPr>
      <w:r>
        <w:t xml:space="preserve">2012 · Shakhmatova EI ·</w:t>
      </w:r>
      <w:r>
        <w:t xml:space="preserve"> </w:t>
      </w:r>
      <w:r>
        <w:rPr>
          <w:iCs/>
          <w:i/>
        </w:rPr>
        <w:t xml:space="preserve">Ross Fiziol Zh Im I M Sechenova</w:t>
      </w:r>
      <w:r>
        <w:t xml:space="preserve"> </w:t>
      </w:r>
      <w:r>
        <w:t xml:space="preserve">· [Exenatide stimulated solute-free water excretion by human kidney]. PMID 23155627</w:t>
      </w:r>
    </w:p>
    <w:p>
      <w:pPr>
        <w:numPr>
          <w:ilvl w:val="0"/>
          <w:numId w:val="1376"/>
        </w:numPr>
        <w:pStyle w:val="Compact"/>
      </w:pPr>
      <w:r>
        <w:t xml:space="preserve">2012 · Norwood P ·</w:t>
      </w:r>
      <w:r>
        <w:t xml:space="preserve"> </w:t>
      </w:r>
      <w:r>
        <w:rPr>
          <w:iCs/>
          <w:i/>
        </w:rPr>
        <w:t xml:space="preserve">Clin Ther</w:t>
      </w:r>
      <w:r>
        <w:t xml:space="preserve"> </w:t>
      </w:r>
      <w:r>
        <w:t xml:space="preserve">· Safety of exenatide once weekly in patients with type 2 diabetes mellitus treated with a thiazolidinedione alone or in combination with metformin for 2 years. PMID 23031623</w:t>
      </w:r>
    </w:p>
    <w:p>
      <w:pPr>
        <w:numPr>
          <w:ilvl w:val="0"/>
          <w:numId w:val="1376"/>
        </w:numPr>
        <w:pStyle w:val="Compact"/>
      </w:pPr>
      <w:r>
        <w:t xml:space="preserve">2012 · Keller J ·</w:t>
      </w:r>
      <w:r>
        <w:t xml:space="preserve"> </w:t>
      </w:r>
      <w:r>
        <w:rPr>
          <w:iCs/>
          <w:i/>
        </w:rPr>
        <w:t xml:space="preserve">Regul Pept</w:t>
      </w:r>
      <w:r>
        <w:t xml:space="preserve"> </w:t>
      </w:r>
      <w:r>
        <w:t xml:space="preserve">· Effect of exenatide on cholecystokinin-induced gallbladder emptying in fasting healthy subjects. PMID 22960288</w:t>
      </w:r>
    </w:p>
    <w:p>
      <w:pPr>
        <w:numPr>
          <w:ilvl w:val="0"/>
          <w:numId w:val="1376"/>
        </w:numPr>
        <w:pStyle w:val="Compact"/>
      </w:pPr>
      <w:r>
        <w:t xml:space="preserve">2012 · Yuan GH ·</w:t>
      </w:r>
      <w:r>
        <w:t xml:space="preserve"> </w:t>
      </w:r>
      <w:r>
        <w:rPr>
          <w:iCs/>
          <w:i/>
        </w:rPr>
        <w:t xml:space="preserve">Chin Med J (Engl)</w:t>
      </w:r>
      <w:r>
        <w:t xml:space="preserve"> </w:t>
      </w:r>
      <w:r>
        <w:t xml:space="preserve">· Efficacy and tolerability of exenatide monotherapy in obese patients with newly diagnosed type 2 diabetes: a randomized, 26 weeks metformin-controlled, parallel-group study. PMID 22931974</w:t>
      </w:r>
    </w:p>
    <w:p>
      <w:pPr>
        <w:numPr>
          <w:ilvl w:val="0"/>
          <w:numId w:val="1376"/>
        </w:numPr>
        <w:pStyle w:val="Compact"/>
      </w:pPr>
      <w:r>
        <w:t xml:space="preserve">2012 · Inagaki N ·</w:t>
      </w:r>
      <w:r>
        <w:t xml:space="preserve"> </w:t>
      </w:r>
      <w:r>
        <w:rPr>
          <w:iCs/>
          <w:i/>
        </w:rPr>
        <w:t xml:space="preserve">Clin Ther</w:t>
      </w:r>
      <w:r>
        <w:t xml:space="preserve"> </w:t>
      </w:r>
      <w:r>
        <w:t xml:space="preserve">· Efficacy and safety profile of exenatide once weekly compared with insulin once daily in Japanese patients with type 2 diabetes treated with oral antidiabetes drug(s): results from a 26-week, randomized, open-label, parallel-group, multicenter, noninferiority study. PMID 22884767</w:t>
      </w:r>
    </w:p>
    <w:p>
      <w:pPr>
        <w:numPr>
          <w:ilvl w:val="0"/>
          <w:numId w:val="1376"/>
        </w:numPr>
        <w:pStyle w:val="Compact"/>
      </w:pPr>
      <w:r>
        <w:t xml:space="preserve">2012 · Bradley DP ·</w:t>
      </w:r>
      <w:r>
        <w:t xml:space="preserve"> </w:t>
      </w:r>
      <w:r>
        <w:rPr>
          <w:iCs/>
          <w:i/>
        </w:rPr>
        <w:t xml:space="preserve">Appl Physiol Nutr Metab</w:t>
      </w:r>
      <w:r>
        <w:t xml:space="preserve"> </w:t>
      </w:r>
      <w:r>
        <w:t xml:space="preserve">· Alterations in energy balance following exenatide administration. PMID 22735035</w:t>
      </w:r>
    </w:p>
    <w:p>
      <w:pPr>
        <w:numPr>
          <w:ilvl w:val="0"/>
          <w:numId w:val="1376"/>
        </w:numPr>
        <w:pStyle w:val="Compact"/>
      </w:pPr>
      <w:r>
        <w:t xml:space="preserve">2012 · Zhang H ·</w:t>
      </w:r>
      <w:r>
        <w:t xml:space="preserve"> </w:t>
      </w:r>
      <w:r>
        <w:rPr>
          <w:iCs/>
          <w:i/>
        </w:rPr>
        <w:t xml:space="preserve">Kidney Blood Press Res</w:t>
      </w:r>
      <w:r>
        <w:t xml:space="preserve"> </w:t>
      </w:r>
      <w:r>
        <w:t xml:space="preserve">· Exenatide reduces urinary transforming growth factor-β1 and type IV collagen excretion in patients with type 2 diabetes and microalbuminuria. PMID 22687869</w:t>
      </w:r>
    </w:p>
    <w:p>
      <w:pPr>
        <w:numPr>
          <w:ilvl w:val="0"/>
          <w:numId w:val="1376"/>
        </w:numPr>
        <w:pStyle w:val="Compact"/>
      </w:pPr>
      <w:r>
        <w:t xml:space="preserve">2012 · Gallwitz B ·</w:t>
      </w:r>
      <w:r>
        <w:t xml:space="preserve"> </w:t>
      </w:r>
      <w:r>
        <w:rPr>
          <w:iCs/>
          <w:i/>
        </w:rPr>
        <w:t xml:space="preserve">Lancet</w:t>
      </w:r>
      <w:r>
        <w:t xml:space="preserve"> </w:t>
      </w:r>
      <w:r>
        <w:t xml:space="preserve">· Exenatide twice daily versus glimepiride for prevention of glycaemic deterioration in patients with type 2 diabetes with metformin failure (EUREXA): an open-label, randomised controlled trial. PMID 22683137</w:t>
      </w:r>
    </w:p>
    <w:p>
      <w:pPr>
        <w:numPr>
          <w:ilvl w:val="0"/>
          <w:numId w:val="1376"/>
        </w:numPr>
        <w:pStyle w:val="Compact"/>
      </w:pPr>
      <w:r>
        <w:t xml:space="preserve">2012 · Kelly AS ·</w:t>
      </w:r>
      <w:r>
        <w:t xml:space="preserve"> </w:t>
      </w:r>
      <w:r>
        <w:rPr>
          <w:iCs/>
          <w:i/>
        </w:rPr>
        <w:t xml:space="preserve">Cardiovasc Diabetol</w:t>
      </w:r>
      <w:r>
        <w:t xml:space="preserve"> </w:t>
      </w:r>
      <w:r>
        <w:t xml:space="preserve">· Effects of exenatide vs. metformin on endothelial function in obese patients with pre-diabetes: a randomized trial. PMID 22681705</w:t>
      </w:r>
    </w:p>
    <w:p>
      <w:pPr>
        <w:numPr>
          <w:ilvl w:val="0"/>
          <w:numId w:val="1376"/>
        </w:numPr>
        <w:pStyle w:val="Compact"/>
      </w:pPr>
      <w:r>
        <w:t xml:space="preserve">2012 · Iványi T ·</w:t>
      </w:r>
      <w:r>
        <w:t xml:space="preserve"> </w:t>
      </w:r>
      <w:r>
        <w:rPr>
          <w:iCs/>
          <w:i/>
        </w:rPr>
        <w:t xml:space="preserve">Clin Ther</w:t>
      </w:r>
      <w:r>
        <w:t xml:space="preserve"> </w:t>
      </w:r>
      <w:r>
        <w:t xml:space="preserve">· Long-term effects of adding exenatide to a regimen of metformin and/or sulfonylurea in type 2 diabetes: an uncontrolled, open-label trial in Hungary. PMID 22608106</w:t>
      </w:r>
    </w:p>
    <w:p>
      <w:pPr>
        <w:numPr>
          <w:ilvl w:val="0"/>
          <w:numId w:val="1376"/>
        </w:numPr>
        <w:pStyle w:val="Compact"/>
      </w:pPr>
      <w:r>
        <w:t xml:space="preserve">2012 · Gejl M ·</w:t>
      </w:r>
      <w:r>
        <w:t xml:space="preserve"> </w:t>
      </w:r>
      <w:r>
        <w:rPr>
          <w:iCs/>
          <w:i/>
        </w:rPr>
        <w:t xml:space="preserve">J Clin Endocrinol Metab</w:t>
      </w:r>
      <w:r>
        <w:t xml:space="preserve"> </w:t>
      </w:r>
      <w:r>
        <w:t xml:space="preserve">· Exenatide alters myocardial glucose transport and uptake depending on insulin resistance and increases myocardial blood flow in patients with type 2 diabetes. PMID 22544917</w:t>
      </w:r>
    </w:p>
    <w:p>
      <w:pPr>
        <w:numPr>
          <w:ilvl w:val="0"/>
          <w:numId w:val="1376"/>
        </w:numPr>
        <w:pStyle w:val="Compact"/>
      </w:pPr>
      <w:r>
        <w:t xml:space="preserve">2012 · Derosa G ·</w:t>
      </w:r>
      <w:r>
        <w:t xml:space="preserve"> </w:t>
      </w:r>
      <w:r>
        <w:rPr>
          <w:iCs/>
          <w:i/>
        </w:rPr>
        <w:t xml:space="preserve">Diabet Med</w:t>
      </w:r>
      <w:r>
        <w:t xml:space="preserve"> </w:t>
      </w:r>
      <w:r>
        <w:t xml:space="preserve">· Exenatide plus metformin compared with metformin alone on β-cell function in patients with Type 2 diabetes. PMID 22540883</w:t>
      </w:r>
    </w:p>
    <w:p>
      <w:pPr>
        <w:numPr>
          <w:ilvl w:val="0"/>
          <w:numId w:val="1376"/>
        </w:numPr>
        <w:pStyle w:val="Compact"/>
      </w:pPr>
      <w:r>
        <w:t xml:space="preserve">2012 · Paul S ·</w:t>
      </w:r>
      <w:r>
        <w:t xml:space="preserve"> </w:t>
      </w:r>
      <w:r>
        <w:rPr>
          <w:iCs/>
          <w:i/>
        </w:rPr>
        <w:t xml:space="preserve">Diabetes Obes Metab</w:t>
      </w:r>
      <w:r>
        <w:t xml:space="preserve"> </w:t>
      </w:r>
      <w:r>
        <w:t xml:space="preserve">· Effects of HbA1c and weight reduction on blood pressure in patients with type 2 diabetes mellitus treated with exenatide*. PMID 22510305</w:t>
      </w:r>
    </w:p>
    <w:p>
      <w:pPr>
        <w:numPr>
          <w:ilvl w:val="0"/>
          <w:numId w:val="1376"/>
        </w:numPr>
        <w:pStyle w:val="Compact"/>
      </w:pPr>
      <w:r>
        <w:t xml:space="preserve">2012 · Lønborg J ·</w:t>
      </w:r>
      <w:r>
        <w:t xml:space="preserve"> </w:t>
      </w:r>
      <w:r>
        <w:rPr>
          <w:iCs/>
          <w:i/>
        </w:rPr>
        <w:t xml:space="preserve">Circ Cardiovasc Interv</w:t>
      </w:r>
      <w:r>
        <w:t xml:space="preserve"> </w:t>
      </w:r>
      <w:r>
        <w:t xml:space="preserve">· Exenatide reduces final infarct size in patients with ST-segment-elevation myocardial infarction and short-duration of ischemia. PMID 22496084</w:t>
      </w:r>
    </w:p>
    <w:p>
      <w:pPr>
        <w:numPr>
          <w:ilvl w:val="0"/>
          <w:numId w:val="1376"/>
        </w:numPr>
        <w:pStyle w:val="Compact"/>
      </w:pPr>
      <w:r>
        <w:t xml:space="preserve">2012 · Xiao C ·</w:t>
      </w:r>
      <w:r>
        <w:t xml:space="preserve"> </w:t>
      </w:r>
      <w:r>
        <w:rPr>
          <w:iCs/>
          <w:i/>
        </w:rPr>
        <w:t xml:space="preserve">Arterioscler Thromb Vasc Biol</w:t>
      </w:r>
      <w:r>
        <w:t xml:space="preserve"> </w:t>
      </w:r>
      <w:r>
        <w:t xml:space="preserve">· Exenatide, a glucagon-like peptide-1 receptor agonist, acutely inhibits intestinal lipoprotein production in healthy humans. PMID 22492091</w:t>
      </w:r>
    </w:p>
    <w:p>
      <w:pPr>
        <w:numPr>
          <w:ilvl w:val="0"/>
          <w:numId w:val="1376"/>
        </w:numPr>
        <w:pStyle w:val="Compact"/>
      </w:pPr>
      <w:r>
        <w:t xml:space="preserve">2012 · Rosenstock J ·</w:t>
      </w:r>
      <w:r>
        <w:t xml:space="preserve"> </w:t>
      </w:r>
      <w:r>
        <w:rPr>
          <w:iCs/>
          <w:i/>
        </w:rPr>
        <w:t xml:space="preserve">Diabetes Care</w:t>
      </w:r>
      <w:r>
        <w:t xml:space="preserve"> </w:t>
      </w:r>
      <w:r>
        <w:t xml:space="preserve">· Baseline factors associated with glycemic control and weight loss when exenatide twice daily is added to optimized insulin glargine in patients with type 2 diabetes. PMID 22432107</w:t>
      </w:r>
    </w:p>
    <w:p>
      <w:pPr>
        <w:numPr>
          <w:ilvl w:val="0"/>
          <w:numId w:val="1376"/>
        </w:numPr>
        <w:pStyle w:val="Compact"/>
      </w:pPr>
      <w:r>
        <w:t xml:space="preserve">2012 · Kothare PA ·</w:t>
      </w:r>
      <w:r>
        <w:t xml:space="preserve"> </w:t>
      </w:r>
      <w:r>
        <w:rPr>
          <w:iCs/>
          <w:i/>
        </w:rPr>
        <w:t xml:space="preserve">BMC Clin Pharmacol</w:t>
      </w:r>
      <w:r>
        <w:t xml:space="preserve"> </w:t>
      </w:r>
      <w:r>
        <w:t xml:space="preserve">· Effect of exenatide on the pharmacokinetics of a combination oral contraceptive in healthy women: an open-label, randomised, crossover trial. PMID 22429273</w:t>
      </w:r>
    </w:p>
    <w:p>
      <w:pPr>
        <w:numPr>
          <w:ilvl w:val="0"/>
          <w:numId w:val="1376"/>
        </w:numPr>
        <w:pStyle w:val="Compact"/>
      </w:pPr>
      <w:r>
        <w:t xml:space="preserve">2012 · Violante R ·</w:t>
      </w:r>
      <w:r>
        <w:t xml:space="preserve"> </w:t>
      </w:r>
      <w:r>
        <w:rPr>
          <w:iCs/>
          <w:i/>
        </w:rPr>
        <w:t xml:space="preserve">Diabet Med</w:t>
      </w:r>
      <w:r>
        <w:t xml:space="preserve"> </w:t>
      </w:r>
      <w:r>
        <w:t xml:space="preserve">· A randomized non-inferiority study comparing the addition of exenatide twice daily to sitagliptin or switching from sitagliptin to exenatide twice daily in patients with type 2 diabetes experiencing inadequate glycaemic control on metformin and sitagliptin. PMID 22375612</w:t>
      </w:r>
    </w:p>
    <w:p>
      <w:pPr>
        <w:numPr>
          <w:ilvl w:val="0"/>
          <w:numId w:val="1376"/>
        </w:numPr>
        <w:pStyle w:val="Compact"/>
      </w:pPr>
      <w:r>
        <w:t xml:space="preserve">2012 · Diamant M ·</w:t>
      </w:r>
      <w:r>
        <w:t xml:space="preserve"> </w:t>
      </w:r>
      <w:r>
        <w:rPr>
          <w:iCs/>
          <w:i/>
        </w:rPr>
        <w:t xml:space="preserve">Diabetes Care</w:t>
      </w:r>
      <w:r>
        <w:t xml:space="preserve"> </w:t>
      </w:r>
      <w:r>
        <w:t xml:space="preserve">· Safety and efficacy of once-weekly exenatide compared with insulin glargine titrated to target in patients with type 2 diabetes over 84 weeks. PMID 22357185</w:t>
      </w:r>
    </w:p>
    <w:p>
      <w:pPr>
        <w:numPr>
          <w:ilvl w:val="0"/>
          <w:numId w:val="1376"/>
        </w:numPr>
        <w:pStyle w:val="Compact"/>
      </w:pPr>
      <w:r>
        <w:t xml:space="preserve">2012 · Yoon SB ·</w:t>
      </w:r>
      <w:r>
        <w:t xml:space="preserve"> </w:t>
      </w:r>
      <w:r>
        <w:rPr>
          <w:iCs/>
          <w:i/>
        </w:rPr>
        <w:t xml:space="preserve">Digestion</w:t>
      </w:r>
      <w:r>
        <w:t xml:space="preserve"> </w:t>
      </w:r>
      <w:r>
        <w:t xml:space="preserve">· The effect of exenatide and erythromycin on postprandial symptoms and their relation to gastric functions. PMID 22354133</w:t>
      </w:r>
    </w:p>
    <w:p>
      <w:pPr>
        <w:numPr>
          <w:ilvl w:val="0"/>
          <w:numId w:val="1376"/>
        </w:numPr>
        <w:pStyle w:val="Compact"/>
      </w:pPr>
      <w:r>
        <w:t xml:space="preserve">2012 · Shi S ·</w:t>
      </w:r>
      <w:r>
        <w:t xml:space="preserve"> </w:t>
      </w:r>
      <w:r>
        <w:rPr>
          <w:iCs/>
          <w:i/>
        </w:rPr>
        <w:t xml:space="preserve">Arzneimittelforschung</w:t>
      </w:r>
      <w:r>
        <w:t xml:space="preserve"> </w:t>
      </w:r>
      <w:r>
        <w:t xml:space="preserve">· Pharmacokinetics, pharmacodynamics, and tolerability of a generic formulation of exenatide: a randomized, open-label, single- and multiple-dose study in healthy Chinese volunteers. PMID 22344551</w:t>
      </w:r>
    </w:p>
    <w:p>
      <w:pPr>
        <w:numPr>
          <w:ilvl w:val="0"/>
          <w:numId w:val="1376"/>
        </w:numPr>
        <w:pStyle w:val="Compact"/>
      </w:pPr>
      <w:r>
        <w:t xml:space="preserve">2012 · Mendis B ·</w:t>
      </w:r>
      <w:r>
        <w:t xml:space="preserve"> </w:t>
      </w:r>
      <w:r>
        <w:rPr>
          <w:iCs/>
          <w:i/>
        </w:rPr>
        <w:t xml:space="preserve">Br J Clin Pharmacol</w:t>
      </w:r>
      <w:r>
        <w:t xml:space="preserve"> </w:t>
      </w:r>
      <w:r>
        <w:t xml:space="preserve">· Investigation of the haemodynamic effects of exenatide in healthy male subjects. PMID 22320349</w:t>
      </w:r>
    </w:p>
    <w:p>
      <w:pPr>
        <w:numPr>
          <w:ilvl w:val="0"/>
          <w:numId w:val="1376"/>
        </w:numPr>
        <w:pStyle w:val="Compact"/>
      </w:pPr>
      <w:r>
        <w:t xml:space="preserve">2012 · Nathanson D ·</w:t>
      </w:r>
      <w:r>
        <w:t xml:space="preserve"> </w:t>
      </w:r>
      <w:r>
        <w:rPr>
          <w:iCs/>
          <w:i/>
        </w:rPr>
        <w:t xml:space="preserve">Diabetologia</w:t>
      </w:r>
      <w:r>
        <w:t xml:space="preserve"> </w:t>
      </w:r>
      <w:r>
        <w:t xml:space="preserve">· Effects of intravenous exenatide in type 2 diabetic patients with congestive heart failure: a double-blind, randomised controlled clinical trial of efficacy and safety. PMID 22246377</w:t>
      </w:r>
    </w:p>
    <w:p>
      <w:pPr>
        <w:numPr>
          <w:ilvl w:val="0"/>
          <w:numId w:val="1376"/>
        </w:numPr>
        <w:pStyle w:val="Compact"/>
      </w:pPr>
      <w:r>
        <w:t xml:space="preserve">2012 · Levin P ·</w:t>
      </w:r>
      <w:r>
        <w:t xml:space="preserve"> </w:t>
      </w:r>
      <w:r>
        <w:rPr>
          <w:iCs/>
          <w:i/>
        </w:rPr>
        <w:t xml:space="preserve">Curr Med Res Opin</w:t>
      </w:r>
      <w:r>
        <w:t xml:space="preserve"> </w:t>
      </w:r>
      <w:r>
        <w:t xml:space="preserve">· Combination therapy with insulin glargine and exenatide: real-world outcomes in patients with type 2 diabetes. PMID 22216894</w:t>
      </w:r>
    </w:p>
    <w:p>
      <w:pPr>
        <w:numPr>
          <w:ilvl w:val="0"/>
          <w:numId w:val="1376"/>
        </w:numPr>
        <w:pStyle w:val="Compact"/>
      </w:pPr>
      <w:r>
        <w:t xml:space="preserve">2012 · Russell-Jones D ·</w:t>
      </w:r>
      <w:r>
        <w:t xml:space="preserve"> </w:t>
      </w:r>
      <w:r>
        <w:rPr>
          <w:iCs/>
          <w:i/>
        </w:rPr>
        <w:t xml:space="preserve">Diabetes Care</w:t>
      </w:r>
      <w:r>
        <w:t xml:space="preserve"> </w:t>
      </w:r>
      <w:r>
        <w:t xml:space="preserve">· Efficacy and safety of exenatide once weekly versus metformin, pioglitazone, and sitagliptin used as monotherapy in drug-naive patients with type 2 diabetes (DURATION-4): a 26-week double-blind study. PMID 22210563</w:t>
      </w:r>
    </w:p>
    <w:p>
      <w:pPr>
        <w:numPr>
          <w:ilvl w:val="0"/>
          <w:numId w:val="1376"/>
        </w:numPr>
        <w:pStyle w:val="Compact"/>
      </w:pPr>
      <w:r>
        <w:t xml:space="preserve">2012 · Pujante Alarcón P ·</w:t>
      </w:r>
      <w:r>
        <w:t xml:space="preserve"> </w:t>
      </w:r>
      <w:r>
        <w:rPr>
          <w:iCs/>
          <w:i/>
        </w:rPr>
        <w:t xml:space="preserve">Med Clin (Barc)</w:t>
      </w:r>
      <w:r>
        <w:t xml:space="preserve"> </w:t>
      </w:r>
      <w:r>
        <w:t xml:space="preserve">· [Metabolic control and weight loss in patients with obesity and type 2 diabetes mellitus, treated with exenatide]. PMID 22209597</w:t>
      </w:r>
    </w:p>
    <w:p>
      <w:pPr>
        <w:numPr>
          <w:ilvl w:val="0"/>
          <w:numId w:val="1376"/>
        </w:numPr>
        <w:pStyle w:val="Compact"/>
      </w:pPr>
      <w:r>
        <w:t xml:space="preserve">2012 · Ha SJ ·</w:t>
      </w:r>
      <w:r>
        <w:t xml:space="preserve"> </w:t>
      </w:r>
      <w:r>
        <w:rPr>
          <w:iCs/>
          <w:i/>
        </w:rPr>
        <w:t xml:space="preserve">Arterioscler Thromb Vasc Biol</w:t>
      </w:r>
      <w:r>
        <w:t xml:space="preserve"> </w:t>
      </w:r>
      <w:r>
        <w:t xml:space="preserve">· Preventive effects of exenatide on endothelial dysfunction induced by ischemia-reperfusion injury via KATP channels. PMID 22155457</w:t>
      </w:r>
    </w:p>
    <w:p>
      <w:pPr>
        <w:numPr>
          <w:ilvl w:val="0"/>
          <w:numId w:val="1376"/>
        </w:numPr>
        <w:pStyle w:val="Compact"/>
      </w:pPr>
      <w:r>
        <w:t xml:space="preserve">2012 · Kelly AS ·</w:t>
      </w:r>
      <w:r>
        <w:t xml:space="preserve"> </w:t>
      </w:r>
      <w:r>
        <w:rPr>
          <w:iCs/>
          <w:i/>
        </w:rPr>
        <w:t xml:space="preserve">Obesity (Silver Spring)</w:t>
      </w:r>
      <w:r>
        <w:t xml:space="preserve"> </w:t>
      </w:r>
      <w:r>
        <w:t xml:space="preserve">· Exenatide as a weight-loss therapy in extreme pediatric obesity: a randomized, controlled pilot study. PMID 22076596</w:t>
      </w:r>
    </w:p>
    <w:p>
      <w:pPr>
        <w:numPr>
          <w:ilvl w:val="0"/>
          <w:numId w:val="1376"/>
        </w:numPr>
        <w:pStyle w:val="Compact"/>
      </w:pPr>
      <w:r>
        <w:t xml:space="preserve">2012 · Dushay J ·</w:t>
      </w:r>
      <w:r>
        <w:t xml:space="preserve"> </w:t>
      </w:r>
      <w:r>
        <w:rPr>
          <w:iCs/>
          <w:i/>
        </w:rPr>
        <w:t xml:space="preserve">Diabetes Care</w:t>
      </w:r>
      <w:r>
        <w:t xml:space="preserve"> </w:t>
      </w:r>
      <w:r>
        <w:t xml:space="preserve">· Short-term exenatide treatment leads to significant weight loss in a subset of obese women without diabetes. PMID 22040840</w:t>
      </w:r>
    </w:p>
    <w:p>
      <w:pPr>
        <w:numPr>
          <w:ilvl w:val="0"/>
          <w:numId w:val="1376"/>
        </w:numPr>
        <w:pStyle w:val="Compact"/>
      </w:pPr>
      <w:r>
        <w:t xml:space="preserve">2012 · Chaudhuri A ·</w:t>
      </w:r>
      <w:r>
        <w:t xml:space="preserve"> </w:t>
      </w:r>
      <w:r>
        <w:rPr>
          <w:iCs/>
          <w:i/>
        </w:rPr>
        <w:t xml:space="preserve">J Clin Endocrinol Metab</w:t>
      </w:r>
      <w:r>
        <w:t xml:space="preserve"> </w:t>
      </w:r>
      <w:r>
        <w:t xml:space="preserve">· Exenatide exerts a potent antiinflammatory effect. PMID 22013105</w:t>
      </w:r>
    </w:p>
    <w:p>
      <w:pPr>
        <w:numPr>
          <w:ilvl w:val="0"/>
          <w:numId w:val="1376"/>
        </w:numPr>
        <w:pStyle w:val="Compact"/>
      </w:pPr>
      <w:r>
        <w:t xml:space="preserve">2012 · Lønborg J ·</w:t>
      </w:r>
      <w:r>
        <w:t xml:space="preserve"> </w:t>
      </w:r>
      <w:r>
        <w:rPr>
          <w:iCs/>
          <w:i/>
        </w:rPr>
        <w:t xml:space="preserve">Eur Heart J</w:t>
      </w:r>
      <w:r>
        <w:t xml:space="preserve"> </w:t>
      </w:r>
      <w:r>
        <w:t xml:space="preserve">· Exenatide reduces reperfusion injury in patients with ST-segment elevation myocardial infarction. PMID 21920963</w:t>
      </w:r>
    </w:p>
    <w:p>
      <w:pPr>
        <w:numPr>
          <w:ilvl w:val="0"/>
          <w:numId w:val="1376"/>
        </w:numPr>
        <w:pStyle w:val="Compact"/>
      </w:pPr>
      <w:r>
        <w:t xml:space="preserve">2011 · Bergenstal RM ·</w:t>
      </w:r>
      <w:r>
        <w:t xml:space="preserve"> </w:t>
      </w:r>
      <w:r>
        <w:rPr>
          <w:iCs/>
          <w:i/>
        </w:rPr>
        <w:t xml:space="preserve">Curr Med Res Opin</w:t>
      </w:r>
      <w:r>
        <w:t xml:space="preserve"> </w:t>
      </w:r>
      <w:r>
        <w:t xml:space="preserve">· Exenatide BID Observational Study (ExOS): results for primary and secondary endpoints of a prospective research study to evaluate the clinical effectiveness of exenatide BID use in patients with type 2 diabetes in a real-world setting. PMID 22085180</w:t>
      </w:r>
    </w:p>
    <w:p>
      <w:pPr>
        <w:numPr>
          <w:ilvl w:val="0"/>
          <w:numId w:val="1376"/>
        </w:numPr>
        <w:pStyle w:val="Compact"/>
      </w:pPr>
      <w:r>
        <w:t xml:space="preserve">2011 · Scholte M ·</w:t>
      </w:r>
      <w:r>
        <w:t xml:space="preserve"> </w:t>
      </w:r>
      <w:r>
        <w:rPr>
          <w:iCs/>
          <w:i/>
        </w:rPr>
        <w:t xml:space="preserve">Trials</w:t>
      </w:r>
      <w:r>
        <w:t xml:space="preserve"> </w:t>
      </w:r>
      <w:r>
        <w:t xml:space="preserve">· Effect of additional treatment with EXenatide in patients with an Acute Myocardial Infarction (EXAMI): study protocol for a randomized controlled trial. PMID 22067476</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A thorough QT study to evaluate the effects of singledose exenatide 10 μg on cardiac repolarization in healthy subjects. PMID 21961484</w:t>
      </w:r>
    </w:p>
    <w:p>
      <w:pPr>
        <w:numPr>
          <w:ilvl w:val="0"/>
          <w:numId w:val="1376"/>
        </w:numPr>
        <w:pStyle w:val="Compact"/>
      </w:pPr>
      <w:r>
        <w:t xml:space="preserve">2011 · Samson SL ·</w:t>
      </w:r>
      <w:r>
        <w:t xml:space="preserve"> </w:t>
      </w:r>
      <w:r>
        <w:rPr>
          <w:iCs/>
          <w:i/>
        </w:rPr>
        <w:t xml:space="preserve">Diabetologia</w:t>
      </w:r>
      <w:r>
        <w:t xml:space="preserve"> </w:t>
      </w:r>
      <w:r>
        <w:t xml:space="preserve">· Exenatide decreases hepatic fibroblast growth factor 21 resistance in non-alcoholic fatty liver disease in a mouse model of obesity and in a randomised controlled trial. PMID 21956711</w:t>
      </w:r>
    </w:p>
    <w:p>
      <w:pPr>
        <w:numPr>
          <w:ilvl w:val="0"/>
          <w:numId w:val="1376"/>
        </w:numPr>
        <w:pStyle w:val="Compact"/>
      </w:pPr>
      <w:r>
        <w:t xml:space="preserve">2011 · Bunck MC ·</w:t>
      </w:r>
      <w:r>
        <w:t xml:space="preserve"> </w:t>
      </w:r>
      <w:r>
        <w:rPr>
          <w:iCs/>
          <w:i/>
        </w:rPr>
        <w:t xml:space="preserve">Diabetes Care</w:t>
      </w:r>
      <w:r>
        <w:t xml:space="preserve"> </w:t>
      </w:r>
      <w:r>
        <w:t xml:space="preserve">· Effects of exenatide on measures of β-cell function after 3 years in metformin-treated patients with type 2 diabetes. PMID 21868779</w:t>
      </w:r>
    </w:p>
    <w:p>
      <w:pPr>
        <w:numPr>
          <w:ilvl w:val="0"/>
          <w:numId w:val="1376"/>
        </w:numPr>
        <w:pStyle w:val="Compact"/>
      </w:pPr>
      <w:r>
        <w:t xml:space="preserve">2011 · Irace C ·</w:t>
      </w:r>
      <w:r>
        <w:t xml:space="preserve"> </w:t>
      </w:r>
      <w:r>
        <w:rPr>
          <w:iCs/>
          <w:i/>
        </w:rPr>
        <w:t xml:space="preserve">Diabetes Technol Ther</w:t>
      </w:r>
      <w:r>
        <w:t xml:space="preserve"> </w:t>
      </w:r>
      <w:r>
        <w:t xml:space="preserve">· Exenatide improves glycemic variability assessed by continuous glucose monitoring in subjects with type 2 diabetes. PMID 21751893</w:t>
      </w:r>
    </w:p>
    <w:p>
      <w:pPr>
        <w:numPr>
          <w:ilvl w:val="0"/>
          <w:numId w:val="1376"/>
        </w:numPr>
        <w:pStyle w:val="Compact"/>
      </w:pPr>
      <w:r>
        <w:t xml:space="preserve">2011 · Sathyanarayana P ·</w:t>
      </w:r>
      <w:r>
        <w:t xml:space="preserve"> </w:t>
      </w:r>
      <w:r>
        <w:rPr>
          <w:iCs/>
          <w:i/>
        </w:rPr>
        <w:t xml:space="preserve">Obesity (Silver Spring)</w:t>
      </w:r>
      <w:r>
        <w:t xml:space="preserve"> </w:t>
      </w:r>
      <w:r>
        <w:t xml:space="preserve">· Effects of combined exenatide and pioglitazone therapy on hepatic fat content in type 2 diabetes. PMID 21660077</w:t>
      </w:r>
    </w:p>
    <w:p>
      <w:pPr>
        <w:numPr>
          <w:ilvl w:val="0"/>
          <w:numId w:val="1376"/>
        </w:numPr>
        <w:pStyle w:val="Compact"/>
      </w:pPr>
      <w:r>
        <w:t xml:space="preserve">2011 · Derosa G ·</w:t>
      </w:r>
      <w:r>
        <w:t xml:space="preserve"> </w:t>
      </w:r>
      <w:r>
        <w:rPr>
          <w:iCs/>
          <w:i/>
        </w:rPr>
        <w:t xml:space="preserve">Eur J Pharmacol</w:t>
      </w:r>
      <w:r>
        <w:t xml:space="preserve"> </w:t>
      </w:r>
      <w:r>
        <w:t xml:space="preserve">· Exenatide or glimepiride added to metformin on metabolic control and on insulin resistance in type 2 diabetic patients. PMID 21645507</w:t>
      </w:r>
    </w:p>
    <w:p>
      <w:pPr>
        <w:numPr>
          <w:ilvl w:val="0"/>
          <w:numId w:val="1376"/>
        </w:numPr>
        <w:pStyle w:val="Compact"/>
      </w:pPr>
      <w:r>
        <w:t xml:space="preserve">2011 · Sze L ·</w:t>
      </w:r>
      <w:r>
        <w:t xml:space="preserve"> </w:t>
      </w:r>
      <w:r>
        <w:rPr>
          <w:iCs/>
          <w:i/>
        </w:rPr>
        <w:t xml:space="preserve">J Clin Endocrinol Metab</w:t>
      </w:r>
      <w:r>
        <w:t xml:space="preserve"> </w:t>
      </w:r>
      <w:r>
        <w:t xml:space="preserve">· Effects of a single dose of exenatide on appetite, gut hormones, and glucose homeostasis in adults with Prader-Willi syndrome. PMID 21632815</w:t>
      </w:r>
    </w:p>
    <w:p>
      <w:pPr>
        <w:numPr>
          <w:ilvl w:val="0"/>
          <w:numId w:val="1376"/>
        </w:numPr>
        <w:pStyle w:val="Compact"/>
      </w:pPr>
      <w:r>
        <w:t xml:space="preserve">2011 · Berg JK ·</w:t>
      </w:r>
      <w:r>
        <w:t xml:space="preserve"> </w:t>
      </w:r>
      <w:r>
        <w:rPr>
          <w:iCs/>
          <w:i/>
        </w:rPr>
        <w:t xml:space="preserve">Diabetes Obes Metab</w:t>
      </w:r>
      <w:r>
        <w:t xml:space="preserve"> </w:t>
      </w:r>
      <w:r>
        <w:t xml:space="preserve">· Effects of exenatide twice daily versus sitagliptin on 24-h glucose, glucoregulatory and hormonal measures: a randomized, double-blind, crossover study. PMID 21615670</w:t>
      </w:r>
    </w:p>
    <w:p>
      <w:pPr>
        <w:numPr>
          <w:ilvl w:val="0"/>
          <w:numId w:val="1376"/>
        </w:numPr>
        <w:pStyle w:val="Compact"/>
      </w:pPr>
      <w:r>
        <w:t xml:space="preserve">2011 · Grant P ·</w:t>
      </w:r>
      <w:r>
        <w:t xml:space="preserve"> </w:t>
      </w:r>
      <w:r>
        <w:rPr>
          <w:iCs/>
          <w:i/>
        </w:rPr>
        <w:t xml:space="preserve">J Diabetes Complications</w:t>
      </w:r>
      <w:r>
        <w:t xml:space="preserve"> </w:t>
      </w:r>
      <w:r>
        <w:t xml:space="preserve">· Psychological and quality of life changes in patients using GLP-1 analogues. PMID 21601480</w:t>
      </w:r>
    </w:p>
    <w:p>
      <w:pPr>
        <w:numPr>
          <w:ilvl w:val="0"/>
          <w:numId w:val="1376"/>
        </w:numPr>
        <w:pStyle w:val="Compact"/>
      </w:pPr>
      <w:r>
        <w:t xml:space="preserve">2011 · Fadini GP ·</w:t>
      </w:r>
      <w:r>
        <w:t xml:space="preserve"> </w:t>
      </w:r>
      <w:r>
        <w:rPr>
          <w:iCs/>
          <w:i/>
        </w:rPr>
        <w:t xml:space="preserve">Acta Diabetol</w:t>
      </w:r>
      <w:r>
        <w:t xml:space="preserve"> </w:t>
      </w:r>
      <w:r>
        <w:t xml:space="preserve">· The metabolic syndrome influences the response to incretin-based therapies. PMID 21574000</w:t>
      </w:r>
    </w:p>
    <w:p>
      <w:pPr>
        <w:numPr>
          <w:ilvl w:val="0"/>
          <w:numId w:val="1376"/>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6"/>
        </w:numPr>
        <w:pStyle w:val="Compact"/>
      </w:pPr>
      <w:r>
        <w:t xml:space="preserve">2011 · Wysham C ·</w:t>
      </w:r>
      <w:r>
        <w:t xml:space="preserve"> </w:t>
      </w:r>
      <w:r>
        <w:rPr>
          <w:iCs/>
          <w:i/>
        </w:rPr>
        <w:t xml:space="preserve">Diabet Med</w:t>
      </w:r>
      <w:r>
        <w:t xml:space="preserve"> </w:t>
      </w:r>
      <w:r>
        <w:t xml:space="preserve">· DURATION-2: efficacy and safety of switching from maximum daily sitagliptin or pioglitazone to once-weekly exenatide. PMID 21434995</w:t>
      </w:r>
    </w:p>
    <w:p>
      <w:pPr>
        <w:numPr>
          <w:ilvl w:val="0"/>
          <w:numId w:val="1376"/>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6"/>
        </w:numPr>
        <w:pStyle w:val="Compact"/>
      </w:pPr>
      <w:r>
        <w:t xml:space="preserve">2011 · Blevins T ·</w:t>
      </w:r>
      <w:r>
        <w:t xml:space="preserve"> </w:t>
      </w:r>
      <w:r>
        <w:rPr>
          <w:iCs/>
          <w:i/>
        </w:rPr>
        <w:t xml:space="preserve">J Clin Endocrinol Metab</w:t>
      </w:r>
      <w:r>
        <w:t xml:space="preserve"> </w:t>
      </w:r>
      <w:r>
        <w:t xml:space="preserve">· DURATION-5: exenatide once weekly resulted in greater improvements in glycemic control compared with exenatide twice daily in patients with type 2 diabetes. PMID 21307137</w:t>
      </w:r>
    </w:p>
    <w:p>
      <w:pPr>
        <w:numPr>
          <w:ilvl w:val="0"/>
          <w:numId w:val="1376"/>
        </w:numPr>
        <w:pStyle w:val="Compact"/>
      </w:pPr>
      <w:r>
        <w:t xml:space="preserve">2011 · Gallwitz B ·</w:t>
      </w:r>
      <w:r>
        <w:t xml:space="preserve"> </w:t>
      </w:r>
      <w:r>
        <w:rPr>
          <w:iCs/>
          <w:i/>
        </w:rPr>
        <w:t xml:space="preserve">Diabetes Care</w:t>
      </w:r>
      <w:r>
        <w:t xml:space="preserve"> </w:t>
      </w:r>
      <w:r>
        <w:t xml:space="preserve">· Exenatide twice daily versus premixed insulin aspart 70/30 in metformin-treated patients with type 2 diabetes: a randomized 26-week study on glycemic control and hypoglycemia. PMID 21285388</w:t>
      </w:r>
    </w:p>
    <w:p>
      <w:pPr>
        <w:numPr>
          <w:ilvl w:val="0"/>
          <w:numId w:val="1376"/>
        </w:numPr>
        <w:pStyle w:val="Compact"/>
      </w:pPr>
      <w:r>
        <w:t xml:space="preserve">2011 · Wu JD ·</w:t>
      </w:r>
      <w:r>
        <w:t xml:space="preserve"> </w:t>
      </w:r>
      <w:r>
        <w:rPr>
          <w:iCs/>
          <w:i/>
        </w:rPr>
        <w:t xml:space="preserve">Diabetes Technol Ther</w:t>
      </w:r>
      <w:r>
        <w:t xml:space="preserve"> </w:t>
      </w:r>
      <w:r>
        <w:t xml:space="preserve">· Effect of exenatide on inflammatory and oxidative stress markers in patients with type 2 diabetes mellitus. PMID 21284481</w:t>
      </w:r>
    </w:p>
    <w:p>
      <w:pPr>
        <w:numPr>
          <w:ilvl w:val="0"/>
          <w:numId w:val="1376"/>
        </w:numPr>
        <w:pStyle w:val="Compact"/>
      </w:pPr>
      <w:r>
        <w:t xml:space="preserve">2011 · Best JH ·</w:t>
      </w:r>
      <w:r>
        <w:t xml:space="preserve"> </w:t>
      </w:r>
      <w:r>
        <w:rPr>
          <w:iCs/>
          <w:i/>
        </w:rPr>
        <w:t xml:space="preserve">Diabetes Care</w:t>
      </w:r>
      <w:r>
        <w:t xml:space="preserve"> </w:t>
      </w:r>
      <w:r>
        <w:t xml:space="preserve">· Weight-related quality of life, health utility, psychological well-being, and satisfaction with exenatide once weekly compared with sitagliptin or pioglitazone after 26 weeks of treatment. PMID 21270189</w:t>
      </w:r>
    </w:p>
    <w:p>
      <w:pPr>
        <w:numPr>
          <w:ilvl w:val="0"/>
          <w:numId w:val="1376"/>
        </w:numPr>
        <w:pStyle w:val="Compact"/>
      </w:pPr>
      <w:r>
        <w:t xml:space="preserve">2011 · Linnebjerg H ·</w:t>
      </w:r>
      <w:r>
        <w:t xml:space="preserve"> </w:t>
      </w:r>
      <w:r>
        <w:rPr>
          <w:iCs/>
          <w:i/>
        </w:rPr>
        <w:t xml:space="preserve">Int J Clin Pharmacol Ther</w:t>
      </w:r>
      <w:r>
        <w:t xml:space="preserve"> </w:t>
      </w:r>
      <w:r>
        <w:t xml:space="preserve">· Exenatide - pharmacokinetics, pharmacodynamics, safety and tolerability in patients ≥ 75 years of age with Type 2 diabetes. PMID 21255526</w:t>
      </w:r>
    </w:p>
    <w:p>
      <w:pPr>
        <w:numPr>
          <w:ilvl w:val="0"/>
          <w:numId w:val="1376"/>
        </w:numPr>
        <w:pStyle w:val="Compact"/>
      </w:pPr>
      <w:r>
        <w:t xml:space="preserve">2011 · van Raalte DH ·</w:t>
      </w:r>
      <w:r>
        <w:t xml:space="preserve"> </w:t>
      </w:r>
      <w:r>
        <w:rPr>
          <w:iCs/>
          <w:i/>
        </w:rPr>
        <w:t xml:space="preserve">Diabetes Care</w:t>
      </w:r>
      <w:r>
        <w:t xml:space="preserve"> </w:t>
      </w:r>
      <w:r>
        <w:t xml:space="preserve">· Glucagon-like peptide-1 receptor agonist treatment prevents glucocorticoid-induced glucose intolerance and islet-cell dysfunction in humans. PMID 21216851</w:t>
      </w:r>
    </w:p>
    <w:p>
      <w:pPr>
        <w:numPr>
          <w:ilvl w:val="0"/>
          <w:numId w:val="1376"/>
        </w:numPr>
        <w:pStyle w:val="Compact"/>
      </w:pPr>
      <w:r>
        <w:t xml:space="preserve">2011 · Buse JB ·</w:t>
      </w:r>
      <w:r>
        <w:t xml:space="preserve"> </w:t>
      </w:r>
      <w:r>
        <w:rPr>
          <w:iCs/>
          <w:i/>
        </w:rPr>
        <w:t xml:space="preserve">Ann Intern Med</w:t>
      </w:r>
      <w:r>
        <w:t xml:space="preserve"> </w:t>
      </w:r>
      <w:r>
        <w:t xml:space="preserve">· Use of twice-daily exenatide in Basal insulin-treated patients with type 2 diabetes: a randomized, controlled trial. PMID 21138825</w:t>
      </w:r>
    </w:p>
    <w:p>
      <w:pPr>
        <w:numPr>
          <w:ilvl w:val="0"/>
          <w:numId w:val="1376"/>
        </w:numPr>
        <w:pStyle w:val="Compact"/>
      </w:pPr>
      <w:r>
        <w:t xml:space="preserve">2011 · González-Ortiz M ·</w:t>
      </w:r>
      <w:r>
        <w:t xml:space="preserve"> </w:t>
      </w:r>
      <w:r>
        <w:rPr>
          <w:iCs/>
          <w:i/>
        </w:rPr>
        <w:t xml:space="preserve">Metab Syndr Relat Disord</w:t>
      </w:r>
      <w:r>
        <w:t xml:space="preserve"> </w:t>
      </w:r>
      <w:r>
        <w:t xml:space="preserve">· Effect of exenatide on fat deposition and a metabolic profile in patients with metabolic syndrome. PMID 20874425</w:t>
      </w:r>
    </w:p>
    <w:p>
      <w:pPr>
        <w:numPr>
          <w:ilvl w:val="0"/>
          <w:numId w:val="1376"/>
        </w:numPr>
        <w:pStyle w:val="Compact"/>
      </w:pPr>
      <w:r>
        <w:t xml:space="preserve">2011 · Pinelli NR ·</w:t>
      </w:r>
      <w:r>
        <w:t xml:space="preserve"> </w:t>
      </w:r>
      <w:r>
        <w:rPr>
          <w:iCs/>
          <w:i/>
        </w:rPr>
        <w:t xml:space="preserve">J Clin Pharmacol</w:t>
      </w:r>
      <w:r>
        <w:t xml:space="preserve"> </w:t>
      </w:r>
      <w:r>
        <w:t xml:space="preserve">· Effect of administration time of exenatide on satiety responses, blood glucose, and adverse events in healthy volunteers. PMID 20484613</w:t>
      </w:r>
    </w:p>
    <w:p>
      <w:pPr>
        <w:numPr>
          <w:ilvl w:val="0"/>
          <w:numId w:val="1376"/>
        </w:numPr>
        <w:pStyle w:val="Compact"/>
      </w:pPr>
      <w:r>
        <w:t xml:space="preserve">2010 · Liutkus J ·</w:t>
      </w:r>
      <w:r>
        <w:t xml:space="preserve"> </w:t>
      </w:r>
      <w:r>
        <w:rPr>
          <w:iCs/>
          <w:i/>
        </w:rPr>
        <w:t xml:space="preserve">Diabetes Obes Metab</w:t>
      </w:r>
      <w:r>
        <w:t xml:space="preserve"> </w:t>
      </w:r>
      <w:r>
        <w:t xml:space="preserve">· A placebo-controlled trial of exenatide twice-daily added to thiazolidinediones alone or in combination with metformin. PMID 20977576</w:t>
      </w:r>
    </w:p>
    <w:p>
      <w:pPr>
        <w:numPr>
          <w:ilvl w:val="0"/>
          <w:numId w:val="1376"/>
        </w:numPr>
        <w:pStyle w:val="Compact"/>
      </w:pPr>
      <w:r>
        <w:t xml:space="preserve">2010 · Ellero C ·</w:t>
      </w:r>
      <w:r>
        <w:t xml:space="preserve"> </w:t>
      </w:r>
      <w:r>
        <w:rPr>
          <w:iCs/>
          <w:i/>
        </w:rPr>
        <w:t xml:space="preserve">Diabet Med</w:t>
      </w:r>
      <w:r>
        <w:t xml:space="preserve"> </w:t>
      </w:r>
      <w:r>
        <w:t xml:space="preserve">· Prophylactic use of anti-emetic medications reduced nausea and vomiting associated with exenatide treatment: a retrospective analysis of an open-label, parallel-group, single-dose study in healthy subjects. PMID 20854385</w:t>
      </w:r>
    </w:p>
    <w:p>
      <w:pPr>
        <w:numPr>
          <w:ilvl w:val="0"/>
          <w:numId w:val="1376"/>
        </w:numPr>
        <w:pStyle w:val="Compact"/>
      </w:pPr>
      <w:r>
        <w:t xml:space="preserve">2010 · Mecott GA ·</w:t>
      </w:r>
      <w:r>
        <w:t xml:space="preserve"> </w:t>
      </w:r>
      <w:r>
        <w:rPr>
          <w:iCs/>
          <w:i/>
        </w:rPr>
        <w:t xml:space="preserve">Crit Care</w:t>
      </w:r>
      <w:r>
        <w:t xml:space="preserve"> </w:t>
      </w:r>
      <w:r>
        <w:t xml:space="preserve">· The use of exenatide in severely burned pediatric patients. PMID 20701787</w:t>
      </w:r>
    </w:p>
    <w:p>
      <w:pPr>
        <w:numPr>
          <w:ilvl w:val="0"/>
          <w:numId w:val="1376"/>
        </w:numPr>
        <w:pStyle w:val="Compact"/>
      </w:pPr>
      <w:r>
        <w:t xml:space="preserve">2010 · Diamant M ·</w:t>
      </w:r>
      <w:r>
        <w:t xml:space="preserve"> </w:t>
      </w:r>
      <w:r>
        <w:rPr>
          <w:iCs/>
          <w:i/>
        </w:rPr>
        <w:t xml:space="preserve">Lancet</w:t>
      </w:r>
      <w:r>
        <w:t xml:space="preserve"> </w:t>
      </w:r>
      <w:r>
        <w:t xml:space="preserve">· Once weekly exenatide compared with insulin glargine titrated to target in patients with type 2 diabetes (DURATION-3): an open-label randomised trial. PMID 20609969</w:t>
      </w:r>
    </w:p>
    <w:p>
      <w:pPr>
        <w:numPr>
          <w:ilvl w:val="0"/>
          <w:numId w:val="1376"/>
        </w:numPr>
        <w:pStyle w:val="Compact"/>
      </w:pPr>
      <w:r>
        <w:t xml:space="preserve">2010 · Schernthaner G ·</w:t>
      </w:r>
      <w:r>
        <w:t xml:space="preserve"> </w:t>
      </w:r>
      <w:r>
        <w:rPr>
          <w:iCs/>
          <w:i/>
        </w:rPr>
        <w:t xml:space="preserve">Diabetes Metab</w:t>
      </w:r>
      <w:r>
        <w:t xml:space="preserve"> </w:t>
      </w:r>
      <w:r>
        <w:t xml:space="preserve">· Impact of postprandial and fasting glucose concentrations on HbA1c in patients with type 2 diabetes. PMID 20598608</w:t>
      </w:r>
    </w:p>
    <w:p>
      <w:pPr>
        <w:numPr>
          <w:ilvl w:val="0"/>
          <w:numId w:val="1376"/>
        </w:numPr>
        <w:pStyle w:val="Compact"/>
      </w:pPr>
      <w:r>
        <w:t xml:space="preserve">2010 · Bergenstal RM ·</w:t>
      </w:r>
      <w:r>
        <w:t xml:space="preserve"> </w:t>
      </w:r>
      <w:r>
        <w:rPr>
          <w:iCs/>
          <w:i/>
        </w:rPr>
        <w:t xml:space="preserve">Lancet</w:t>
      </w:r>
      <w:r>
        <w:t xml:space="preserve"> </w:t>
      </w:r>
      <w:r>
        <w:t xml:space="preserve">· Efficacy and safety of exenatide once weekly versus sitagliptin or pioglitazone as an adjunct to metformin for treatment of type 2 diabetes (DURATION-2): a randomised trial. PMID 20580422</w:t>
      </w:r>
    </w:p>
    <w:p>
      <w:pPr>
        <w:numPr>
          <w:ilvl w:val="0"/>
          <w:numId w:val="1376"/>
        </w:numPr>
        <w:pStyle w:val="Compact"/>
      </w:pPr>
      <w:r>
        <w:t xml:space="preserve">2010 · Schwartz EA ·</w:t>
      </w:r>
      <w:r>
        <w:t xml:space="preserve"> </w:t>
      </w:r>
      <w:r>
        <w:rPr>
          <w:iCs/>
          <w:i/>
        </w:rPr>
        <w:t xml:space="preserve">Atherosclerosis</w:t>
      </w:r>
      <w:r>
        <w:t xml:space="preserve"> </w:t>
      </w:r>
      <w:r>
        <w:t xml:space="preserve">· Exenatide suppresses postprandial elevations in lipids and lipoproteins in individuals with impaired glucose tolerance and recent onset type 2 diabetes mellitus. PMID 20557887</w:t>
      </w:r>
    </w:p>
    <w:p>
      <w:pPr>
        <w:numPr>
          <w:ilvl w:val="0"/>
          <w:numId w:val="1376"/>
        </w:numPr>
        <w:pStyle w:val="Compact"/>
      </w:pPr>
      <w:r>
        <w:t xml:space="preserve">2010 · Bunck MC ·</w:t>
      </w:r>
      <w:r>
        <w:t xml:space="preserve"> </w:t>
      </w:r>
      <w:r>
        <w:rPr>
          <w:iCs/>
          <w:i/>
        </w:rPr>
        <w:t xml:space="preserve">Atherosclerosis</w:t>
      </w:r>
      <w:r>
        <w:t xml:space="preserve"> </w:t>
      </w:r>
      <w:r>
        <w:t xml:space="preserve">· One-year treatment with exenatide vs. insulin glargine: effects on postprandial glycemia, lipid profiles, and oxidative stress. PMID 20494360</w:t>
      </w:r>
    </w:p>
    <w:p>
      <w:pPr>
        <w:numPr>
          <w:ilvl w:val="0"/>
          <w:numId w:val="1376"/>
        </w:numPr>
        <w:pStyle w:val="Compact"/>
      </w:pPr>
      <w:r>
        <w:t xml:space="preserve">2010 · Bunck MC ·</w:t>
      </w:r>
      <w:r>
        <w:t xml:space="preserve"> </w:t>
      </w:r>
      <w:r>
        <w:rPr>
          <w:iCs/>
          <w:i/>
        </w:rPr>
        <w:t xml:space="preserve">Diabetes Care</w:t>
      </w:r>
      <w:r>
        <w:t xml:space="preserve"> </w:t>
      </w:r>
      <w:r>
        <w:t xml:space="preserve">· Exenatide affects circulating cardiovascular risk biomarkers independently of changes in body composition. PMID 20424219</w:t>
      </w:r>
    </w:p>
    <w:p>
      <w:pPr>
        <w:numPr>
          <w:ilvl w:val="0"/>
          <w:numId w:val="1376"/>
        </w:numPr>
        <w:pStyle w:val="Compact"/>
      </w:pPr>
      <w:r>
        <w:t xml:space="preserve">2010 · Apovian CM ·</w:t>
      </w:r>
      <w:r>
        <w:t xml:space="preserve"> </w:t>
      </w:r>
      <w:r>
        <w:rPr>
          <w:iCs/>
          <w:i/>
        </w:rPr>
        <w:t xml:space="preserve">Am J Med</w:t>
      </w:r>
      <w:r>
        <w:t xml:space="preserve"> </w:t>
      </w:r>
      <w:r>
        <w:t xml:space="preserve">· Effects of exenatide combined with lifestyle modification in patients with type 2 diabetes. PMID 20399326</w:t>
      </w:r>
    </w:p>
    <w:p>
      <w:pPr>
        <w:numPr>
          <w:ilvl w:val="0"/>
          <w:numId w:val="1376"/>
        </w:numPr>
        <w:pStyle w:val="Compact"/>
      </w:pPr>
      <w:r>
        <w:t xml:space="preserve">2010 · Arnolds S ·</w:t>
      </w:r>
      <w:r>
        <w:t xml:space="preserve"> </w:t>
      </w:r>
      <w:r>
        <w:rPr>
          <w:iCs/>
          <w:i/>
        </w:rPr>
        <w:t xml:space="preserve">Diabetes Care</w:t>
      </w:r>
      <w:r>
        <w:t xml:space="preserve"> </w:t>
      </w:r>
      <w:r>
        <w:t xml:space="preserve">· Further improvement in postprandial glucose control with addition of exenatide or sitagliptin to combination therapy with insulin glargine and metformin: a proof-of-concept study. PMID 20357372</w:t>
      </w:r>
    </w:p>
    <w:p>
      <w:pPr>
        <w:numPr>
          <w:ilvl w:val="0"/>
          <w:numId w:val="1376"/>
        </w:numPr>
        <w:pStyle w:val="Compact"/>
      </w:pPr>
      <w:r>
        <w:t xml:space="preserve">2010 · Raman VS ·</w:t>
      </w:r>
      <w:r>
        <w:t xml:space="preserve"> </w:t>
      </w:r>
      <w:r>
        <w:rPr>
          <w:iCs/>
          <w:i/>
        </w:rPr>
        <w:t xml:space="preserve">Diabetes Care</w:t>
      </w:r>
      <w:r>
        <w:t xml:space="preserve"> </w:t>
      </w:r>
      <w:r>
        <w:t xml:space="preserve">· The role of adjunctive exenatide therapy in pediatric type 1 diabetes. PMID 20332358</w:t>
      </w:r>
    </w:p>
    <w:p>
      <w:pPr>
        <w:numPr>
          <w:ilvl w:val="0"/>
          <w:numId w:val="1376"/>
        </w:numPr>
        <w:pStyle w:val="Compact"/>
      </w:pPr>
      <w:r>
        <w:t xml:space="preserve">2010 · Rosenstock J ·</w:t>
      </w:r>
      <w:r>
        <w:t xml:space="preserve"> </w:t>
      </w:r>
      <w:r>
        <w:rPr>
          <w:iCs/>
          <w:i/>
        </w:rPr>
        <w:t xml:space="preserve">Diabetes Care</w:t>
      </w:r>
      <w:r>
        <w:t xml:space="preserve"> </w:t>
      </w:r>
      <w:r>
        <w:t xml:space="preserve">· Effects of exenatide and lifestyle modification on body weight and glucose tolerance in obese subjects with and without pre-diabetes. PMID 20332357</w:t>
      </w:r>
    </w:p>
    <w:p>
      <w:pPr>
        <w:numPr>
          <w:ilvl w:val="0"/>
          <w:numId w:val="1376"/>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6"/>
        </w:numPr>
        <w:pStyle w:val="Compact"/>
      </w:pPr>
      <w:r>
        <w:t xml:space="preserve">2010 · Buse JB ·</w:t>
      </w:r>
      <w:r>
        <w:t xml:space="preserve"> </w:t>
      </w:r>
      <w:r>
        <w:rPr>
          <w:iCs/>
          <w:i/>
        </w:rPr>
        <w:t xml:space="preserve">Diabetes Care</w:t>
      </w:r>
      <w:r>
        <w:t xml:space="preserve"> </w:t>
      </w:r>
      <w:r>
        <w:t xml:space="preserve">· DURATION-1: exenatide once weekly produces sustained glycemic control and weight loss over 52 weeks. PMID 20215461</w:t>
      </w:r>
    </w:p>
    <w:p>
      <w:pPr>
        <w:numPr>
          <w:ilvl w:val="0"/>
          <w:numId w:val="1376"/>
        </w:numPr>
        <w:pStyle w:val="Compact"/>
      </w:pPr>
      <w:r>
        <w:t xml:space="preserve">2010 · Koska J ·</w:t>
      </w:r>
      <w:r>
        <w:t xml:space="preserve"> </w:t>
      </w:r>
      <w:r>
        <w:rPr>
          <w:iCs/>
          <w:i/>
        </w:rPr>
        <w:t xml:space="preserve">Diabetes Care</w:t>
      </w:r>
      <w:r>
        <w:t xml:space="preserve"> </w:t>
      </w:r>
      <w:r>
        <w:t xml:space="preserve">· Improvement of postprandial endothelial function after a single dose of exenatide in individuals with impaired glucose tolerance and recent-onset type 2 diabetes. PMID 20200309</w:t>
      </w:r>
    </w:p>
    <w:p>
      <w:pPr>
        <w:numPr>
          <w:ilvl w:val="0"/>
          <w:numId w:val="1376"/>
        </w:numPr>
        <w:pStyle w:val="Compact"/>
      </w:pPr>
      <w:r>
        <w:t xml:space="preserve">2010 · Roubícek T ·</w:t>
      </w:r>
      <w:r>
        <w:t xml:space="preserve"> </w:t>
      </w:r>
      <w:r>
        <w:rPr>
          <w:iCs/>
          <w:i/>
        </w:rPr>
        <w:t xml:space="preserve">Vnitr Lek</w:t>
      </w:r>
      <w:r>
        <w:t xml:space="preserve"> </w:t>
      </w:r>
      <w:r>
        <w:t xml:space="preserve">· [The influence of 6-months treatment with exenatide on type 2 diabetes mellitus compensation, anthropometric and biochemical parameters]. PMID 20184107</w:t>
      </w:r>
    </w:p>
    <w:p>
      <w:pPr>
        <w:numPr>
          <w:ilvl w:val="0"/>
          <w:numId w:val="1376"/>
        </w:numPr>
        <w:pStyle w:val="Compact"/>
      </w:pPr>
      <w:r>
        <w:t xml:space="preserve">2010 · Derosa G ·</w:t>
      </w:r>
      <w:r>
        <w:t xml:space="preserve"> </w:t>
      </w:r>
      <w:r>
        <w:rPr>
          <w:iCs/>
          <w:i/>
        </w:rPr>
        <w:t xml:space="preserve">Diabetes Technol Ther</w:t>
      </w:r>
      <w:r>
        <w:t xml:space="preserve"> </w:t>
      </w:r>
      <w:r>
        <w:t xml:space="preserve">· Exenatide versus glibenclamide in patients with diabetes. PMID 20151774</w:t>
      </w:r>
    </w:p>
    <w:p>
      <w:pPr>
        <w:numPr>
          <w:ilvl w:val="0"/>
          <w:numId w:val="1376"/>
        </w:numPr>
        <w:pStyle w:val="Compact"/>
      </w:pPr>
      <w:r>
        <w:t xml:space="preserve">2010 · Gill A ·</w:t>
      </w:r>
      <w:r>
        <w:t xml:space="preserve"> </w:t>
      </w:r>
      <w:r>
        <w:rPr>
          <w:iCs/>
          <w:i/>
        </w:rPr>
        <w:t xml:space="preserve">Cardiovasc Diabetol</w:t>
      </w:r>
      <w:r>
        <w:t xml:space="preserve"> </w:t>
      </w:r>
      <w:r>
        <w:t xml:space="preserve">· Effect of exenatide on heart rate and blood pressure in subjects with type 2 diabetes mellitus: a double-blind, placebo-controlled, randomized pilot study. PMID 20109208</w:t>
      </w:r>
    </w:p>
    <w:p>
      <w:pPr>
        <w:numPr>
          <w:ilvl w:val="0"/>
          <w:numId w:val="1376"/>
        </w:numPr>
        <w:pStyle w:val="Compact"/>
      </w:pPr>
      <w:r>
        <w:t xml:space="preserve">2010 · DeFronzo RA ·</w:t>
      </w:r>
      <w:r>
        <w:t xml:space="preserve"> </w:t>
      </w:r>
      <w:r>
        <w:rPr>
          <w:iCs/>
          <w:i/>
        </w:rPr>
        <w:t xml:space="preserve">Diabetes Care</w:t>
      </w:r>
      <w:r>
        <w:t xml:space="preserve"> </w:t>
      </w:r>
      <w:r>
        <w:t xml:space="preserve">· Effects of exenatide plus rosiglitazone on beta-cell function and insulin sensitivity in subjects with type 2 diabetes on metformin. PMID 20107105</w:t>
      </w:r>
    </w:p>
    <w:p>
      <w:pPr>
        <w:numPr>
          <w:ilvl w:val="0"/>
          <w:numId w:val="1376"/>
        </w:numPr>
        <w:pStyle w:val="Compact"/>
      </w:pPr>
      <w:r>
        <w:t xml:space="preserve">2009 · Faradji RN ·</w:t>
      </w:r>
      <w:r>
        <w:t xml:space="preserve"> </w:t>
      </w:r>
      <w:r>
        <w:rPr>
          <w:iCs/>
          <w:i/>
        </w:rPr>
        <w:t xml:space="preserve">Cell Transplant</w:t>
      </w:r>
      <w:r>
        <w:t xml:space="preserve"> </w:t>
      </w:r>
      <w:r>
        <w:t xml:space="preserve">· Long-term metabolic and hormonal effects of exenatide on islet transplant recipients with allograft dysfunction. PMID 20003758</w:t>
      </w:r>
    </w:p>
    <w:p>
      <w:pPr>
        <w:numPr>
          <w:ilvl w:val="0"/>
          <w:numId w:val="1376"/>
        </w:numPr>
        <w:pStyle w:val="Compact"/>
      </w:pPr>
      <w:r>
        <w:t xml:space="preserve">2009 · Davies MJ ·</w:t>
      </w:r>
      <w:r>
        <w:t xml:space="preserve"> </w:t>
      </w:r>
      <w:r>
        <w:rPr>
          <w:iCs/>
          <w:i/>
        </w:rPr>
        <w:t xml:space="preserve">Diabetes Obes Metab</w:t>
      </w:r>
      <w:r>
        <w:t xml:space="preserve"> </w:t>
      </w:r>
      <w:r>
        <w:t xml:space="preserve">· Exenatide compared with long-acting insulin to achieve glycaemic control with minimal weight gain in patients with type 2 diabetes: results of the Helping Evaluate Exenatide in patients with diabetes compared with Long-Acting insulin (HEELA) study. PMID 19930005</w:t>
      </w:r>
    </w:p>
    <w:p>
      <w:pPr>
        <w:numPr>
          <w:ilvl w:val="0"/>
          <w:numId w:val="1376"/>
        </w:numPr>
        <w:pStyle w:val="Compact"/>
      </w:pPr>
      <w:r>
        <w:t xml:space="preserve">2009 · Linnebjerg H ·</w:t>
      </w:r>
      <w:r>
        <w:t xml:space="preserve"> </w:t>
      </w:r>
      <w:r>
        <w:rPr>
          <w:iCs/>
          <w:i/>
        </w:rPr>
        <w:t xml:space="preserve">Int J Clin Pharmacol Ther</w:t>
      </w:r>
      <w:r>
        <w:t xml:space="preserve"> </w:t>
      </w:r>
      <w:r>
        <w:t xml:space="preserve">· The effect of exenatide on lisinopril pharmacodynamics and pharmacokinetics in patients with hypertension. PMID 19840529</w:t>
      </w:r>
    </w:p>
    <w:p>
      <w:pPr>
        <w:numPr>
          <w:ilvl w:val="0"/>
          <w:numId w:val="1376"/>
        </w:numPr>
        <w:pStyle w:val="Compact"/>
      </w:pPr>
      <w:r>
        <w:t xml:space="preserve">2009 · Rother KI ·</w:t>
      </w:r>
      <w:r>
        <w:t xml:space="preserve"> </w:t>
      </w:r>
      <w:r>
        <w:rPr>
          <w:iCs/>
          <w:i/>
        </w:rPr>
        <w:t xml:space="preserve">Diabetes Care</w:t>
      </w:r>
      <w:r>
        <w:t xml:space="preserve"> </w:t>
      </w:r>
      <w:r>
        <w:t xml:space="preserve">· Effects of exenatide alone and in combination with daclizumab on beta-cell function in long-standing type 1 diabetes. PMID 19808924</w:t>
      </w:r>
    </w:p>
    <w:p>
      <w:pPr>
        <w:numPr>
          <w:ilvl w:val="0"/>
          <w:numId w:val="1376"/>
        </w:numPr>
        <w:pStyle w:val="Compact"/>
      </w:pPr>
      <w:r>
        <w:t xml:space="preserve">2009 · Iwamoto K ·</w:t>
      </w:r>
      <w:r>
        <w:t xml:space="preserve"> </w:t>
      </w:r>
      <w:r>
        <w:rPr>
          <w:iCs/>
          <w:i/>
        </w:rPr>
        <w:t xml:space="preserve">Endocr J</w:t>
      </w:r>
      <w:r>
        <w:t xml:space="preserve"> </w:t>
      </w:r>
      <w:r>
        <w:t xml:space="preserve">· Safety, tolerability, pharmacokinetics, and pharmacodynamics of exenatide once weekly in Japanese patients with type 2 diabetes. PMID 19706990</w:t>
      </w:r>
    </w:p>
    <w:p>
      <w:pPr>
        <w:numPr>
          <w:ilvl w:val="0"/>
          <w:numId w:val="1376"/>
        </w:numPr>
        <w:pStyle w:val="Compact"/>
      </w:pPr>
      <w:r>
        <w:t xml:space="preserve">2009 · Brändle M ·</w:t>
      </w:r>
      <w:r>
        <w:t xml:space="preserve"> </w:t>
      </w:r>
      <w:r>
        <w:rPr>
          <w:iCs/>
          <w:i/>
        </w:rPr>
        <w:t xml:space="preserve">Int J Clin Pharmacol Ther</w:t>
      </w:r>
      <w:r>
        <w:t xml:space="preserve"> </w:t>
      </w:r>
      <w:r>
        <w:t xml:space="preserve">· Exenatide versus insulin glargine: a cost-effectiveness evaluation in patients with Type 2 diabetes in Switzerland. PMID 19640359</w:t>
      </w:r>
    </w:p>
    <w:p>
      <w:pPr>
        <w:numPr>
          <w:ilvl w:val="0"/>
          <w:numId w:val="1376"/>
        </w:numPr>
        <w:pStyle w:val="Compact"/>
      </w:pPr>
      <w:r>
        <w:t xml:space="preserve">2009 · Rosenstock J ·</w:t>
      </w:r>
      <w:r>
        <w:t xml:space="preserve"> </w:t>
      </w:r>
      <w:r>
        <w:rPr>
          <w:iCs/>
          <w:i/>
        </w:rPr>
        <w:t xml:space="preserve">Diabetes Care</w:t>
      </w:r>
      <w:r>
        <w:t xml:space="preserve"> </w:t>
      </w:r>
      <w:r>
        <w:t xml:space="preserve">· Potential of albiglutide, a long-acting GLP-1 receptor agonist, in type 2 diabetes: a randomized controlled trial exploring weekly, biweekly, and monthly dosing. PMID 19592625</w:t>
      </w:r>
    </w:p>
    <w:p>
      <w:pPr>
        <w:numPr>
          <w:ilvl w:val="0"/>
          <w:numId w:val="1376"/>
        </w:numPr>
        <w:pStyle w:val="Compact"/>
      </w:pPr>
      <w:r>
        <w:t xml:space="preserve">2009 · Faludi P ·</w:t>
      </w:r>
      <w:r>
        <w:t xml:space="preserve"> </w:t>
      </w:r>
      <w:r>
        <w:rPr>
          <w:iCs/>
          <w:i/>
        </w:rPr>
        <w:t xml:space="preserve">Peptides</w:t>
      </w:r>
      <w:r>
        <w:t xml:space="preserve"> </w:t>
      </w:r>
      <w:r>
        <w:t xml:space="preserve">· The effect of exenatide re-exposure on safety and efficacy. PMID 19576255</w:t>
      </w:r>
    </w:p>
    <w:p>
      <w:pPr>
        <w:numPr>
          <w:ilvl w:val="0"/>
          <w:numId w:val="1376"/>
        </w:numPr>
        <w:pStyle w:val="Compact"/>
      </w:pPr>
      <w:r>
        <w:t xml:space="preserve">2009 · Best JH ·</w:t>
      </w:r>
      <w:r>
        <w:t xml:space="preserve"> </w:t>
      </w:r>
      <w:r>
        <w:rPr>
          <w:iCs/>
          <w:i/>
        </w:rPr>
        <w:t xml:space="preserve">Diabet Med</w:t>
      </w:r>
      <w:r>
        <w:t xml:space="preserve"> </w:t>
      </w:r>
      <w:r>
        <w:t xml:space="preserve">· Improved treatment satisfaction and weight-related quality of life with exenatide once weekly or twice daily. PMID 19573122</w:t>
      </w:r>
    </w:p>
    <w:p>
      <w:pPr>
        <w:numPr>
          <w:ilvl w:val="0"/>
          <w:numId w:val="1376"/>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6"/>
        </w:numPr>
        <w:pStyle w:val="Compact"/>
      </w:pPr>
      <w:r>
        <w:t xml:space="preserve">2009 · Mazze R ·</w:t>
      </w:r>
      <w:r>
        <w:t xml:space="preserve"> </w:t>
      </w:r>
      <w:r>
        <w:rPr>
          <w:iCs/>
          <w:i/>
        </w:rPr>
        <w:t xml:space="preserve">Endocr Pract</w:t>
      </w:r>
      <w:r>
        <w:t xml:space="preserve"> </w:t>
      </w:r>
      <w:r>
        <w:t xml:space="preserve">· Diurnal glucose patterns of exenatide once weekly: a 1-year study using continuous glucose monitoring with ambulatory glucose profile analysis. PMID 19454385</w:t>
      </w:r>
    </w:p>
    <w:p>
      <w:pPr>
        <w:numPr>
          <w:ilvl w:val="0"/>
          <w:numId w:val="1376"/>
        </w:numPr>
        <w:pStyle w:val="Compact"/>
      </w:pPr>
      <w:r>
        <w:t xml:space="preserve">2009 · Malloy J ·</w:t>
      </w:r>
      <w:r>
        <w:t xml:space="preserve"> </w:t>
      </w:r>
      <w:r>
        <w:rPr>
          <w:iCs/>
          <w:i/>
        </w:rPr>
        <w:t xml:space="preserve">Clin Ther</w:t>
      </w:r>
      <w:r>
        <w:t xml:space="preserve"> </w:t>
      </w:r>
      <w:r>
        <w:t xml:space="preserve">· Pharmacology and tolerability of a single dose of exenatide in adolescent patients with type 2 diabetes mellitus being treated with metformin: a randomized, placebo-controlled, single-blind, dose-escalation, crossover study. PMID 19446153</w:t>
      </w:r>
    </w:p>
    <w:p>
      <w:pPr>
        <w:numPr>
          <w:ilvl w:val="0"/>
          <w:numId w:val="1376"/>
        </w:numPr>
        <w:pStyle w:val="Compact"/>
      </w:pPr>
      <w:r>
        <w:t xml:space="preserve">2009 · Bergenstal R ·</w:t>
      </w:r>
      <w:r>
        <w:t xml:space="preserve"> </w:t>
      </w:r>
      <w:r>
        <w:rPr>
          <w:iCs/>
          <w:i/>
        </w:rPr>
        <w:t xml:space="preserve">Curr Med Res Opin</w:t>
      </w:r>
      <w:r>
        <w:t xml:space="preserve"> </w:t>
      </w:r>
      <w:r>
        <w:t xml:space="preserve">· Efficacy and safety of biphasic insulin aspart 70/30 versus exenatide in subjects with type 2 diabetes failing to achieve glycemic control with metformin and a sulfonylurea. PMID 19210140</w:t>
      </w:r>
    </w:p>
    <w:p>
      <w:pPr>
        <w:numPr>
          <w:ilvl w:val="0"/>
          <w:numId w:val="1376"/>
        </w:numPr>
        <w:pStyle w:val="Compact"/>
      </w:pPr>
      <w:r>
        <w:t xml:space="preserve">2009 · Bunck MC ·</w:t>
      </w:r>
      <w:r>
        <w:t xml:space="preserve"> </w:t>
      </w:r>
      <w:r>
        <w:rPr>
          <w:iCs/>
          <w:i/>
        </w:rPr>
        <w:t xml:space="preserve">Diabetes Care</w:t>
      </w:r>
      <w:r>
        <w:t xml:space="preserve"> </w:t>
      </w:r>
      <w:r>
        <w:t xml:space="preserve">· One-year treatment with exenatide improves beta-cell function, compared with insulin glargine, in metformin-treated type 2 diabetic patients: a randomized, controlled trial. PMID 19196887</w:t>
      </w:r>
    </w:p>
    <w:p>
      <w:pPr>
        <w:numPr>
          <w:ilvl w:val="0"/>
          <w:numId w:val="1376"/>
        </w:numPr>
        <w:pStyle w:val="Compact"/>
      </w:pPr>
      <w:r>
        <w:t xml:space="preserve">2009 · Kadowaki T ·</w:t>
      </w:r>
      <w:r>
        <w:t xml:space="preserve"> </w:t>
      </w:r>
      <w:r>
        <w:rPr>
          <w:iCs/>
          <w:i/>
        </w:rPr>
        <w:t xml:space="preserve">Endocr J</w:t>
      </w:r>
      <w:r>
        <w:t xml:space="preserve"> </w:t>
      </w:r>
      <w:r>
        <w:t xml:space="preserve">· Exenatide exhibits dose-dependent effects on glycemic control over 12 weeks in Japanese patients with suboptimally controlled type 2 diabetes. PMID 19194050</w:t>
      </w:r>
    </w:p>
    <w:p>
      <w:pPr>
        <w:numPr>
          <w:ilvl w:val="0"/>
          <w:numId w:val="1376"/>
        </w:numPr>
        <w:pStyle w:val="Compact"/>
      </w:pPr>
      <w:r>
        <w:t xml:space="preserve">2009 · Gao Y ·</w:t>
      </w:r>
      <w:r>
        <w:t xml:space="preserve"> </w:t>
      </w:r>
      <w:r>
        <w:rPr>
          <w:iCs/>
          <w:i/>
        </w:rPr>
        <w:t xml:space="preserve">Diabetes Res Clin Pract</w:t>
      </w:r>
      <w:r>
        <w:t xml:space="preserve"> </w:t>
      </w:r>
      <w:r>
        <w:t xml:space="preserve">· Efficacy and safety of exenatide in patients of Asian descent with type 2 diabetes inadequately controlled with metformin or metformin and a sulphonylurea. PMID 19019476</w:t>
      </w:r>
    </w:p>
    <w:p>
      <w:pPr>
        <w:numPr>
          <w:ilvl w:val="0"/>
          <w:numId w:val="1376"/>
        </w:numPr>
        <w:pStyle w:val="Compact"/>
      </w:pPr>
      <w:r>
        <w:t xml:space="preserve">2008 · Kothare PA ·</w:t>
      </w:r>
      <w:r>
        <w:t xml:space="preserve"> </w:t>
      </w:r>
      <w:r>
        <w:rPr>
          <w:iCs/>
          <w:i/>
        </w:rPr>
        <w:t xml:space="preserve">J Clin Pharmacol</w:t>
      </w:r>
      <w:r>
        <w:t xml:space="preserve"> </w:t>
      </w:r>
      <w:r>
        <w:t xml:space="preserve">· Pharmacokinetics, pharmacodynamics, tolerability, and safety of exenatide in Japanese patients with type 2 diabetes mellitus. PMID 19047364</w:t>
      </w:r>
    </w:p>
    <w:p>
      <w:pPr>
        <w:numPr>
          <w:ilvl w:val="0"/>
          <w:numId w:val="1376"/>
        </w:numPr>
        <w:pStyle w:val="Compact"/>
      </w:pPr>
      <w:r>
        <w:t xml:space="preserve">2008 · Moretto TJ ·</w:t>
      </w:r>
      <w:r>
        <w:t xml:space="preserve"> </w:t>
      </w:r>
      <w:r>
        <w:rPr>
          <w:iCs/>
          <w:i/>
        </w:rPr>
        <w:t xml:space="preserve">Clin Ther</w:t>
      </w:r>
      <w:r>
        <w:t xml:space="preserve"> </w:t>
      </w:r>
      <w:r>
        <w:t xml:space="preserve">· Efficacy and tolerability of exenatide monotherapy over 24 weeks in antidiabetic drug-naive patients with type 2 diabetes: a randomized, double-blind, placebo-controlled, parallel-group study. PMID 18803987</w:t>
      </w:r>
    </w:p>
    <w:p>
      <w:pPr>
        <w:numPr>
          <w:ilvl w:val="0"/>
          <w:numId w:val="1376"/>
        </w:numPr>
        <w:pStyle w:val="Compact"/>
      </w:pPr>
      <w:r>
        <w:t xml:space="preserve">2008 · Zhao X ·</w:t>
      </w:r>
      <w:r>
        <w:t xml:space="preserve"> </w:t>
      </w:r>
      <w:r>
        <w:rPr>
          <w:iCs/>
          <w:i/>
        </w:rPr>
        <w:t xml:space="preserve">Int J Clin Pharmacol Ther</w:t>
      </w:r>
      <w:r>
        <w:t xml:space="preserve"> </w:t>
      </w:r>
      <w:r>
        <w:t xml:space="preserve">· Exenatide pharmacokinetics in healthy Chinese subjects. PMID 18793576</w:t>
      </w:r>
    </w:p>
    <w:p>
      <w:pPr>
        <w:numPr>
          <w:ilvl w:val="0"/>
          <w:numId w:val="1376"/>
        </w:numPr>
        <w:pStyle w:val="Compact"/>
      </w:pPr>
      <w:r>
        <w:t xml:space="preserve">2008 · DeFronzo RA ·</w:t>
      </w:r>
      <w:r>
        <w:t xml:space="preserve"> </w:t>
      </w:r>
      <w:r>
        <w:rPr>
          <w:iCs/>
          <w:i/>
        </w:rPr>
        <w:t xml:space="preserve">Curr Med Res Opin</w:t>
      </w:r>
      <w:r>
        <w:t xml:space="preserve"> </w:t>
      </w:r>
      <w:r>
        <w:t xml:space="preserve">· Effects of exenatide versus sitagliptin on postprandial glucose, insulin and glucagon secretion, gastric emptying, and caloric intake: a randomized, cross-over study. PMID 18786299</w:t>
      </w:r>
    </w:p>
    <w:p>
      <w:pPr>
        <w:numPr>
          <w:ilvl w:val="0"/>
          <w:numId w:val="1376"/>
        </w:numPr>
        <w:pStyle w:val="Compact"/>
      </w:pPr>
      <w:r>
        <w:t xml:space="preserve">2008 · Drucker DJ ·</w:t>
      </w:r>
      <w:r>
        <w:t xml:space="preserve"> </w:t>
      </w:r>
      <w:r>
        <w:rPr>
          <w:iCs/>
          <w:i/>
        </w:rPr>
        <w:t xml:space="preserve">Lancet</w:t>
      </w:r>
      <w:r>
        <w:t xml:space="preserve"> </w:t>
      </w:r>
      <w:r>
        <w:t xml:space="preserve">· Exenatide once weekly versus twice daily for the treatment of type 2 diabetes: a randomised, open-label, non-inferiority study. PMID 18782641</w:t>
      </w:r>
    </w:p>
    <w:p>
      <w:pPr>
        <w:numPr>
          <w:ilvl w:val="0"/>
          <w:numId w:val="1376"/>
        </w:numPr>
        <w:pStyle w:val="Compact"/>
      </w:pPr>
      <w:r>
        <w:t xml:space="preserve">2008 · Linnebjerg H ·</w:t>
      </w:r>
      <w:r>
        <w:t xml:space="preserve"> </w:t>
      </w:r>
      <w:r>
        <w:rPr>
          <w:iCs/>
          <w:i/>
        </w:rPr>
        <w:t xml:space="preserve">Regul Pept</w:t>
      </w:r>
      <w:r>
        <w:t xml:space="preserve"> </w:t>
      </w:r>
      <w:r>
        <w:t xml:space="preserve">· Effect of exenatide on gastric emptying and relationship to postprandial glycemia in type 2 diabetes. PMID 18675854</w:t>
      </w:r>
    </w:p>
    <w:p>
      <w:pPr>
        <w:numPr>
          <w:ilvl w:val="0"/>
          <w:numId w:val="1376"/>
        </w:numPr>
        <w:pStyle w:val="Compact"/>
      </w:pPr>
      <w:r>
        <w:t xml:space="preserve">2008 · Forti A ·</w:t>
      </w:r>
      <w:r>
        <w:t xml:space="preserve"> </w:t>
      </w:r>
      <w:r>
        <w:rPr>
          <w:iCs/>
          <w:i/>
        </w:rPr>
        <w:t xml:space="preserve">Curr Med Res Opin</w:t>
      </w:r>
      <w:r>
        <w:t xml:space="preserve"> </w:t>
      </w:r>
      <w:r>
        <w:t xml:space="preserve">· Efficacy and safety of exenatide administered before the two largest daily meals of Latin American patients with type 2 diabetes. PMID 18662495</w:t>
      </w:r>
    </w:p>
    <w:p>
      <w:pPr>
        <w:numPr>
          <w:ilvl w:val="0"/>
          <w:numId w:val="1376"/>
        </w:numPr>
        <w:pStyle w:val="Compact"/>
      </w:pPr>
      <w:r>
        <w:t xml:space="preserve">2008 · Schwartz SL ·</w:t>
      </w:r>
      <w:r>
        <w:t xml:space="preserve"> </w:t>
      </w:r>
      <w:r>
        <w:rPr>
          <w:iCs/>
          <w:i/>
        </w:rPr>
        <w:t xml:space="preserve">Clin Ther</w:t>
      </w:r>
      <w:r>
        <w:t xml:space="preserve"> </w:t>
      </w:r>
      <w:r>
        <w:t xml:space="preserve">· Effect of exenatide on 24-hour blood glucose profile compared with placebo in patients with type 2 diabetes: a randomized, double-blind, two-arm, parallel-group, placebo-controlled, 2-week study. PMID 18555933</w:t>
      </w:r>
    </w:p>
    <w:p>
      <w:pPr>
        <w:numPr>
          <w:ilvl w:val="0"/>
          <w:numId w:val="1376"/>
        </w:numPr>
        <w:pStyle w:val="Compact"/>
      </w:pPr>
      <w:r>
        <w:t xml:space="preserve">2008 · Elkind-Hirsch K ·</w:t>
      </w:r>
      <w:r>
        <w:t xml:space="preserve"> </w:t>
      </w:r>
      <w:r>
        <w:rPr>
          <w:iCs/>
          <w:i/>
        </w:rPr>
        <w:t xml:space="preserve">J Clin Endocrinol Metab</w:t>
      </w:r>
      <w:r>
        <w:t xml:space="preserve"> </w:t>
      </w:r>
      <w:r>
        <w:t xml:space="preserve">· Comparison of single and combined treatment with exenatide and metformin on menstrual cyclicity in overweight women with polycystic ovary syndrome. PMID 18460557</w:t>
      </w:r>
    </w:p>
    <w:p>
      <w:pPr>
        <w:numPr>
          <w:ilvl w:val="0"/>
          <w:numId w:val="1376"/>
        </w:numPr>
        <w:pStyle w:val="Compact"/>
      </w:pPr>
      <w:r>
        <w:t xml:space="preserve">2008 · Gangemi A ·</w:t>
      </w:r>
      <w:r>
        <w:t xml:space="preserve"> </w:t>
      </w:r>
      <w:r>
        <w:rPr>
          <w:iCs/>
          <w:i/>
        </w:rPr>
        <w:t xml:space="preserve">Am J Transplant</w:t>
      </w:r>
      <w:r>
        <w:t xml:space="preserve"> </w:t>
      </w:r>
      <w:r>
        <w:t xml:space="preserve">· Islet transplantation for brittle type 1 diabetes: the UIC protocol. PMID 18444920</w:t>
      </w:r>
    </w:p>
    <w:p>
      <w:pPr>
        <w:numPr>
          <w:ilvl w:val="0"/>
          <w:numId w:val="1376"/>
        </w:numPr>
        <w:pStyle w:val="Compact"/>
      </w:pPr>
      <w:r>
        <w:t xml:space="preserve">2008 · Brodows RG ·</w:t>
      </w:r>
      <w:r>
        <w:t xml:space="preserve"> </w:t>
      </w:r>
      <w:r>
        <w:rPr>
          <w:iCs/>
          <w:i/>
        </w:rPr>
        <w:t xml:space="preserve">Curr Med Res Opin</w:t>
      </w:r>
      <w:r>
        <w:t xml:space="preserve"> </w:t>
      </w:r>
      <w:r>
        <w:t xml:space="preserve">· Quantifying the effect of exenatide and insulin glargine on postprandial glucose excursions in patients with type 2 diabetes. PMID 18394265</w:t>
      </w:r>
    </w:p>
    <w:p>
      <w:pPr>
        <w:numPr>
          <w:ilvl w:val="0"/>
          <w:numId w:val="1376"/>
        </w:numPr>
        <w:pStyle w:val="Compact"/>
      </w:pPr>
      <w:r>
        <w:t xml:space="preserve">2008 · Minshall ME ·</w:t>
      </w:r>
      <w:r>
        <w:t xml:space="preserve"> </w:t>
      </w:r>
      <w:r>
        <w:rPr>
          <w:iCs/>
          <w:i/>
        </w:rPr>
        <w:t xml:space="preserve">Value Health</w:t>
      </w:r>
      <w:r>
        <w:t xml:space="preserve"> </w:t>
      </w:r>
      <w:r>
        <w:t xml:space="preserve">· Estimating the long-term cost-effectiveness of exenatide in the United States: an adjunctive treatment for type 2 diabetes mellitus. PMID 18237357</w:t>
      </w:r>
    </w:p>
    <w:p>
      <w:pPr>
        <w:numPr>
          <w:ilvl w:val="0"/>
          <w:numId w:val="1376"/>
        </w:numPr>
        <w:pStyle w:val="Compact"/>
      </w:pPr>
      <w:r>
        <w:t xml:space="preserve">2008 · Glass LC ·</w:t>
      </w:r>
      <w:r>
        <w:t xml:space="preserve"> </w:t>
      </w:r>
      <w:r>
        <w:rPr>
          <w:iCs/>
          <w:i/>
        </w:rPr>
        <w:t xml:space="preserve">Curr Med Res Opin</w:t>
      </w:r>
      <w:r>
        <w:t xml:space="preserve"> </w:t>
      </w:r>
      <w:r>
        <w:t xml:space="preserve">· Effects of exenatide versus insulin analogues on weight change in subjects with type 2 diabetes: a pooled post-hoc analysis. PMID 18218179</w:t>
      </w:r>
    </w:p>
    <w:p>
      <w:pPr>
        <w:numPr>
          <w:ilvl w:val="0"/>
          <w:numId w:val="1376"/>
        </w:numPr>
        <w:pStyle w:val="Compact"/>
      </w:pPr>
      <w:r>
        <w:t xml:space="preserve">2008 · Klonoff DC ·</w:t>
      </w:r>
      <w:r>
        <w:t xml:space="preserve"> </w:t>
      </w:r>
      <w:r>
        <w:rPr>
          <w:iCs/>
          <w:i/>
        </w:rPr>
        <w:t xml:space="preserve">Curr Med Res Opin</w:t>
      </w:r>
      <w:r>
        <w:t xml:space="preserve"> </w:t>
      </w:r>
      <w:r>
        <w:t xml:space="preserve">· Exenatide effects on diabetes, obesity, cardiovascular risk factors and hepatic biomarkers in patients with type 2 diabetes treated for at least 3 years. PMID 18053320</w:t>
      </w:r>
    </w:p>
    <w:p>
      <w:pPr>
        <w:numPr>
          <w:ilvl w:val="0"/>
          <w:numId w:val="1376"/>
        </w:numPr>
        <w:pStyle w:val="Compact"/>
      </w:pPr>
      <w:r>
        <w:t xml:space="preserve">2007 · Barnett AH ·</w:t>
      </w:r>
      <w:r>
        <w:t xml:space="preserve"> </w:t>
      </w:r>
      <w:r>
        <w:rPr>
          <w:iCs/>
          <w:i/>
        </w:rPr>
        <w:t xml:space="preserve">Clin Ther</w:t>
      </w:r>
      <w:r>
        <w:t xml:space="preserve"> </w:t>
      </w:r>
      <w:r>
        <w:t xml:space="preserve">· Tolerability and efficacy of exenatide and titrated insulin glargine in adult patients with type 2 diabetes previously uncontrolled with metformin or a sulfonylurea: a multinational, randomized, open-label, two-period, crossover noninferiority trial. PMID 18158075</w:t>
      </w:r>
    </w:p>
    <w:p>
      <w:pPr>
        <w:numPr>
          <w:ilvl w:val="0"/>
          <w:numId w:val="1376"/>
        </w:numPr>
        <w:pStyle w:val="Compact"/>
      </w:pPr>
      <w:r>
        <w:t xml:space="preserve">2007 · Nelson P ·</w:t>
      </w:r>
      <w:r>
        <w:t xml:space="preserve"> </w:t>
      </w:r>
      <w:r>
        <w:rPr>
          <w:iCs/>
          <w:i/>
        </w:rPr>
        <w:t xml:space="preserve">Diabetes Technol Ther</w:t>
      </w:r>
      <w:r>
        <w:t xml:space="preserve"> </w:t>
      </w:r>
      <w:r>
        <w:t xml:space="preserve">· The incretin mimetic exenatide as a monotherapy in patients with type 2 diabetes. PMID 17705687</w:t>
      </w:r>
    </w:p>
    <w:p>
      <w:pPr>
        <w:numPr>
          <w:ilvl w:val="0"/>
          <w:numId w:val="1376"/>
        </w:numPr>
        <w:pStyle w:val="Compact"/>
      </w:pPr>
      <w:r>
        <w:t xml:space="preserve">2007 · Davis SN ·</w:t>
      </w:r>
      <w:r>
        <w:t xml:space="preserve"> </w:t>
      </w:r>
      <w:r>
        <w:rPr>
          <w:iCs/>
          <w:i/>
        </w:rPr>
        <w:t xml:space="preserve">Diabetes Care</w:t>
      </w:r>
      <w:r>
        <w:t xml:space="preserve"> </w:t>
      </w:r>
      <w:r>
        <w:t xml:space="preserve">· Exploring the substitution of exenatide for insulin in patients with type 2 diabetes treated with insulin in combination with oral antidiabetes agents. PMID 17595353</w:t>
      </w:r>
    </w:p>
    <w:p>
      <w:pPr>
        <w:numPr>
          <w:ilvl w:val="0"/>
          <w:numId w:val="1376"/>
        </w:numPr>
        <w:pStyle w:val="Compact"/>
      </w:pPr>
      <w:r>
        <w:t xml:space="preserve">2007 · Linnebjerg H ·</w:t>
      </w:r>
      <w:r>
        <w:t xml:space="preserve"> </w:t>
      </w:r>
      <w:r>
        <w:rPr>
          <w:iCs/>
          <w:i/>
        </w:rPr>
        <w:t xml:space="preserve">Br J Clin Pharmacol</w:t>
      </w:r>
      <w:r>
        <w:t xml:space="preserve"> </w:t>
      </w:r>
      <w:r>
        <w:t xml:space="preserve">· Effect of renal impairment on the pharmacokinetics of exenatide. PMID 17425627</w:t>
      </w:r>
    </w:p>
    <w:p>
      <w:pPr>
        <w:numPr>
          <w:ilvl w:val="0"/>
          <w:numId w:val="1376"/>
        </w:numPr>
        <w:pStyle w:val="Compact"/>
      </w:pPr>
      <w:r>
        <w:t xml:space="preserve">2007 · Zinman B ·</w:t>
      </w:r>
      <w:r>
        <w:t xml:space="preserve"> </w:t>
      </w:r>
      <w:r>
        <w:rPr>
          <w:iCs/>
          <w:i/>
        </w:rPr>
        <w:t xml:space="preserve">Ann Intern Med</w:t>
      </w:r>
      <w:r>
        <w:t xml:space="preserve"> </w:t>
      </w:r>
      <w:r>
        <w:t xml:space="preserve">· The effect of adding exenatide to a thiazolidinedione in suboptimally controlled type 2 diabetes: a randomized trial. PMID 17404349</w:t>
      </w:r>
    </w:p>
    <w:p>
      <w:pPr>
        <w:numPr>
          <w:ilvl w:val="0"/>
          <w:numId w:val="1376"/>
        </w:numPr>
        <w:pStyle w:val="Compact"/>
      </w:pPr>
      <w:r>
        <w:t xml:space="preserve">2007 · Buse JB ·</w:t>
      </w:r>
      <w:r>
        <w:t xml:space="preserve"> </w:t>
      </w:r>
      <w:r>
        <w:rPr>
          <w:iCs/>
          <w:i/>
        </w:rPr>
        <w:t xml:space="preserve">Clin Ther</w:t>
      </w:r>
      <w:r>
        <w:t xml:space="preserve"> </w:t>
      </w:r>
      <w:r>
        <w:t xml:space="preserve">· Metabolic effects of two years of exenatide treatment on diabetes, obesity, and hepatic biomarkers in patients with type 2 diabetes: an interim analysis of data from the open-label, uncontrolled extension of three double-blind, placebo-controlled trials. PMID 17379054</w:t>
      </w:r>
    </w:p>
    <w:p>
      <w:pPr>
        <w:numPr>
          <w:ilvl w:val="0"/>
          <w:numId w:val="1376"/>
        </w:numPr>
        <w:pStyle w:val="Compact"/>
      </w:pPr>
      <w:r>
        <w:t xml:space="preserve">2007 · Ray JA ·</w:t>
      </w:r>
      <w:r>
        <w:t xml:space="preserve"> </w:t>
      </w:r>
      <w:r>
        <w:rPr>
          <w:iCs/>
          <w:i/>
        </w:rPr>
        <w:t xml:space="preserve">Curr Med Res Opin</w:t>
      </w:r>
      <w:r>
        <w:t xml:space="preserve"> </w:t>
      </w:r>
      <w:r>
        <w:t xml:space="preserve">· Exenatide versus insulin glargine in patients with type 2 diabetes in the UK: a model of long-term clinical and cost outcomes. PMID 17355742</w:t>
      </w:r>
    </w:p>
    <w:p>
      <w:pPr>
        <w:numPr>
          <w:ilvl w:val="0"/>
          <w:numId w:val="1376"/>
        </w:numPr>
        <w:pStyle w:val="Compact"/>
      </w:pPr>
      <w:r>
        <w:t xml:space="preserve">2007 · Kim D ·</w:t>
      </w:r>
      <w:r>
        <w:t xml:space="preserve"> </w:t>
      </w:r>
      <w:r>
        <w:rPr>
          <w:iCs/>
          <w:i/>
        </w:rPr>
        <w:t xml:space="preserve">Diabetes Care</w:t>
      </w:r>
      <w:r>
        <w:t xml:space="preserve"> </w:t>
      </w:r>
      <w:r>
        <w:t xml:space="preserve">· Effects of once-weekly dosing of a long-acting release formulation of exenatide on glucose control and body weight in subjects with type 2 diabetes. PMID 17353504</w:t>
      </w:r>
    </w:p>
    <w:p>
      <w:pPr>
        <w:numPr>
          <w:ilvl w:val="0"/>
          <w:numId w:val="1376"/>
        </w:numPr>
        <w:pStyle w:val="Compact"/>
      </w:pPr>
      <w:r>
        <w:t xml:space="preserve">2007 · Kothare PA ·</w:t>
      </w:r>
      <w:r>
        <w:t xml:space="preserve"> </w:t>
      </w:r>
      <w:r>
        <w:rPr>
          <w:iCs/>
          <w:i/>
        </w:rPr>
        <w:t xml:space="preserve">Int J Clin Pharmacol Ther</w:t>
      </w:r>
      <w:r>
        <w:t xml:space="preserve"> </w:t>
      </w:r>
      <w:r>
        <w:t xml:space="preserve">· Exenatide effects on statin pharmacokinetics and lipid response. PMID 17323791</w:t>
      </w:r>
    </w:p>
    <w:p>
      <w:pPr>
        <w:numPr>
          <w:ilvl w:val="0"/>
          <w:numId w:val="1376"/>
        </w:numPr>
        <w:pStyle w:val="Compact"/>
      </w:pPr>
      <w:r>
        <w:t xml:space="preserve">2007 · Ghofaili KA ·</w:t>
      </w:r>
      <w:r>
        <w:t xml:space="preserve"> </w:t>
      </w:r>
      <w:r>
        <w:rPr>
          <w:iCs/>
          <w:i/>
        </w:rPr>
        <w:t xml:space="preserve">Transplantation</w:t>
      </w:r>
      <w:r>
        <w:t xml:space="preserve"> </w:t>
      </w:r>
      <w:r>
        <w:t xml:space="preserve">· Effect of exenatide on beta cell function after islet transplantation in type 1 diabetes. PMID 17220786</w:t>
      </w:r>
    </w:p>
    <w:p>
      <w:pPr>
        <w:numPr>
          <w:ilvl w:val="0"/>
          <w:numId w:val="1376"/>
        </w:numPr>
        <w:pStyle w:val="Compact"/>
      </w:pPr>
      <w:r>
        <w:t xml:space="preserve">2007 · Nauck MA ·</w:t>
      </w:r>
      <w:r>
        <w:t xml:space="preserve"> </w:t>
      </w:r>
      <w:r>
        <w:rPr>
          <w:iCs/>
          <w:i/>
        </w:rPr>
        <w:t xml:space="preserve">Diabetologia</w:t>
      </w:r>
      <w:r>
        <w:t xml:space="preserve"> </w:t>
      </w:r>
      <w:r>
        <w:t xml:space="preserve">· A comparison of twice-daily exenatide and biphasic insulin aspart in patients with type 2 diabetes who were suboptimally controlled with sulfonylurea and metformin: a non-inferiority study. PMID 17160407</w:t>
      </w:r>
    </w:p>
    <w:p>
      <w:pPr>
        <w:numPr>
          <w:ilvl w:val="0"/>
          <w:numId w:val="1376"/>
        </w:numPr>
        <w:pStyle w:val="Compact"/>
      </w:pPr>
      <w:r>
        <w:t xml:space="preserve">2006 · Mari A ·</w:t>
      </w:r>
      <w:r>
        <w:t xml:space="preserve"> </w:t>
      </w:r>
      <w:r>
        <w:rPr>
          <w:iCs/>
          <w:i/>
        </w:rPr>
        <w:t xml:space="preserve">Horm Metab Res</w:t>
      </w:r>
      <w:r>
        <w:t xml:space="preserve"> </w:t>
      </w:r>
      <w:r>
        <w:t xml:space="preserve">· Mathematical modeling shows exenatide improved beta-cell function in patients with type 2 diabetes treated with metformin or metformin and a sulfonylurea. PMID 17163361</w:t>
      </w:r>
    </w:p>
    <w:p>
      <w:pPr>
        <w:numPr>
          <w:ilvl w:val="0"/>
          <w:numId w:val="1376"/>
        </w:numPr>
        <w:pStyle w:val="Compact"/>
      </w:pPr>
      <w:r>
        <w:t xml:space="preserve">2006 · Secnik Boye K ·</w:t>
      </w:r>
      <w:r>
        <w:t xml:space="preserve"> </w:t>
      </w:r>
      <w:r>
        <w:rPr>
          <w:iCs/>
          <w:i/>
        </w:rPr>
        <w:t xml:space="preserve">Health Qual Life Outcomes</w:t>
      </w:r>
      <w:r>
        <w:t xml:space="preserve"> </w:t>
      </w:r>
      <w:r>
        <w:t xml:space="preserve">· Patient-reported outcomes in a trial of exenatide and insulin glargine for the treatment of type 2 diabetes. PMID 17034640</w:t>
      </w:r>
    </w:p>
    <w:p>
      <w:pPr>
        <w:numPr>
          <w:ilvl w:val="0"/>
          <w:numId w:val="1376"/>
        </w:numPr>
        <w:pStyle w:val="Compact"/>
      </w:pPr>
      <w:r>
        <w:t xml:space="preserve">2006 · Soon D ·</w:t>
      </w:r>
      <w:r>
        <w:t xml:space="preserve"> </w:t>
      </w:r>
      <w:r>
        <w:rPr>
          <w:iCs/>
          <w:i/>
        </w:rPr>
        <w:t xml:space="preserve">J Clin Pharmacol</w:t>
      </w:r>
      <w:r>
        <w:t xml:space="preserve"> </w:t>
      </w:r>
      <w:r>
        <w:t xml:space="preserve">· Effect of exenatide on the pharmacokinetics and pharmacodynamics of warfarin in healthy Asian men. PMID 16988207</w:t>
      </w:r>
    </w:p>
    <w:p>
      <w:pPr>
        <w:numPr>
          <w:ilvl w:val="0"/>
          <w:numId w:val="1376"/>
        </w:numPr>
        <w:pStyle w:val="Compact"/>
      </w:pPr>
      <w:r>
        <w:t xml:space="preserve">2006 · Blonde L ·</w:t>
      </w:r>
      <w:r>
        <w:t xml:space="preserve"> </w:t>
      </w:r>
      <w:r>
        <w:rPr>
          <w:iCs/>
          <w:i/>
        </w:rPr>
        <w:t xml:space="preserve">Diabetes Obes Metab</w:t>
      </w:r>
      <w:r>
        <w:t xml:space="preserve"> </w:t>
      </w:r>
      <w:r>
        <w:t xml:space="preserve">· Interim analysis of the effects of exenatide treatment on A1C, weight and cardiovascular risk factors over 82 weeks in 314 overweight patients with type 2 diabetes. PMID 16776751</w:t>
      </w:r>
    </w:p>
    <w:p>
      <w:pPr>
        <w:numPr>
          <w:ilvl w:val="0"/>
          <w:numId w:val="1376"/>
        </w:numPr>
        <w:pStyle w:val="Compact"/>
      </w:pPr>
      <w:r>
        <w:t xml:space="preserve">2006 · Ratner RE ·</w:t>
      </w:r>
      <w:r>
        <w:t xml:space="preserve"> </w:t>
      </w:r>
      <w:r>
        <w:rPr>
          <w:iCs/>
          <w:i/>
        </w:rPr>
        <w:t xml:space="preserve">Diabetes Obes Metab</w:t>
      </w:r>
      <w:r>
        <w:t xml:space="preserve"> </w:t>
      </w:r>
      <w:r>
        <w:t xml:space="preserve">· Long-term effects of exenatide therapy over 82 weeks on glycaemic control and weight in over-weight metformin-treated patients with type 2 diabetes mellitus. PMID 16776749</w:t>
      </w:r>
    </w:p>
    <w:p>
      <w:pPr>
        <w:numPr>
          <w:ilvl w:val="0"/>
          <w:numId w:val="1376"/>
        </w:numPr>
        <w:pStyle w:val="Compact"/>
      </w:pPr>
      <w:r>
        <w:t xml:space="preserve">2006 · Riddle MC ·</w:t>
      </w:r>
      <w:r>
        <w:t xml:space="preserve"> </w:t>
      </w:r>
      <w:r>
        <w:rPr>
          <w:iCs/>
          <w:i/>
        </w:rPr>
        <w:t xml:space="preserve">Diabetes Metab Res Rev</w:t>
      </w:r>
      <w:r>
        <w:t xml:space="preserve"> </w:t>
      </w:r>
      <w:r>
        <w:t xml:space="preserve">· Exenatide elicits sustained glycaemic control and progressive reduction of body weight in patients with type 2 diabetes inadequately controlled by sulphonylureas with or without metformin. PMID 16634116</w:t>
      </w:r>
    </w:p>
    <w:p>
      <w:pPr>
        <w:numPr>
          <w:ilvl w:val="0"/>
          <w:numId w:val="1376"/>
        </w:numPr>
        <w:pStyle w:val="Compact"/>
      </w:pPr>
      <w:r>
        <w:t xml:space="preserve">2006 · Linnebjerg H ·</w:t>
      </w:r>
      <w:r>
        <w:t xml:space="preserve"> </w:t>
      </w:r>
      <w:r>
        <w:rPr>
          <w:iCs/>
          <w:i/>
        </w:rPr>
        <w:t xml:space="preserve">Diabet Med</w:t>
      </w:r>
      <w:r>
        <w:t xml:space="preserve"> </w:t>
      </w:r>
      <w:r>
        <w:t xml:space="preserve">· Exenatide: effect of injection time on postprandial glucose in patients with Type 2 diabetes. PMID 16492205</w:t>
      </w:r>
    </w:p>
    <w:p>
      <w:pPr>
        <w:numPr>
          <w:ilvl w:val="0"/>
          <w:numId w:val="1376"/>
        </w:numPr>
        <w:pStyle w:val="Compact"/>
      </w:pPr>
      <w:r>
        <w:t xml:space="preserve">2005 · Taylor K ·</w:t>
      </w:r>
      <w:r>
        <w:t xml:space="preserve"> </w:t>
      </w:r>
      <w:r>
        <w:rPr>
          <w:iCs/>
          <w:i/>
        </w:rPr>
        <w:t xml:space="preserve">Horm Metab Res</w:t>
      </w:r>
      <w:r>
        <w:t xml:space="preserve"> </w:t>
      </w:r>
      <w:r>
        <w:t xml:space="preserve">· Day-long subcutaneous infusion of exenatide lowers glycemia in patients with type 2 diabetes. PMID 16278786</w:t>
      </w:r>
    </w:p>
    <w:p>
      <w:pPr>
        <w:numPr>
          <w:ilvl w:val="0"/>
          <w:numId w:val="1376"/>
        </w:numPr>
        <w:pStyle w:val="Compact"/>
      </w:pPr>
      <w:r>
        <w:t xml:space="preserve">2005 · Heine RJ ·</w:t>
      </w:r>
      <w:r>
        <w:t xml:space="preserve"> </w:t>
      </w:r>
      <w:r>
        <w:rPr>
          <w:iCs/>
          <w:i/>
        </w:rPr>
        <w:t xml:space="preserve">Ann Intern Med</w:t>
      </w:r>
      <w:r>
        <w:t xml:space="preserve"> </w:t>
      </w:r>
      <w:r>
        <w:t xml:space="preserve">· Exenatide versus insulin glargine in patients with suboptimally controlled type 2 diabetes: a randomized trial. PMID 16230722</w:t>
      </w:r>
    </w:p>
    <w:p>
      <w:pPr>
        <w:numPr>
          <w:ilvl w:val="0"/>
          <w:numId w:val="1376"/>
        </w:numPr>
        <w:pStyle w:val="Compact"/>
      </w:pPr>
      <w:r>
        <w:t xml:space="preserve">2005 · Fehse F ·</w:t>
      </w:r>
      <w:r>
        <w:t xml:space="preserve"> </w:t>
      </w:r>
      <w:r>
        <w:rPr>
          <w:iCs/>
          <w:i/>
        </w:rPr>
        <w:t xml:space="preserve">J Clin Endocrinol Metab</w:t>
      </w:r>
      <w:r>
        <w:t xml:space="preserve"> </w:t>
      </w:r>
      <w:r>
        <w:t xml:space="preserve">· Exenatide augments first- and second-phase insulin secretion in response to intravenous glucose in subjects with type 2 diabetes. PMID 16144950</w:t>
      </w:r>
    </w:p>
    <w:p>
      <w:pPr>
        <w:numPr>
          <w:ilvl w:val="0"/>
          <w:numId w:val="1376"/>
        </w:numPr>
        <w:pStyle w:val="Compact"/>
      </w:pPr>
      <w:r>
        <w:t xml:space="preserve">2005 · Kothare PA ·</w:t>
      </w:r>
      <w:r>
        <w:t xml:space="preserve"> </w:t>
      </w:r>
      <w:r>
        <w:rPr>
          <w:iCs/>
          <w:i/>
        </w:rPr>
        <w:t xml:space="preserve">J Clin Pharmacol</w:t>
      </w:r>
      <w:r>
        <w:t xml:space="preserve"> </w:t>
      </w:r>
      <w:r>
        <w:t xml:space="preserve">· Effect of exenatide on the steady-state pharmacokinetics of digoxin. PMID 16100297</w:t>
      </w:r>
    </w:p>
    <w:p>
      <w:pPr>
        <w:numPr>
          <w:ilvl w:val="0"/>
          <w:numId w:val="1376"/>
        </w:numPr>
        <w:pStyle w:val="Compact"/>
      </w:pPr>
      <w:r>
        <w:t xml:space="preserve">2005 · Poon T ·</w:t>
      </w:r>
      <w:r>
        <w:t xml:space="preserve"> </w:t>
      </w:r>
      <w:r>
        <w:rPr>
          <w:iCs/>
          <w:i/>
        </w:rPr>
        <w:t xml:space="preserve">Diabetes Technol Ther</w:t>
      </w:r>
      <w:r>
        <w:t xml:space="preserve"> </w:t>
      </w:r>
      <w:r>
        <w:t xml:space="preserve">· Exenatide improves glycemic control and reduces body weight in subjects with type 2 diabetes: a dose-ranging study. PMID 15929678</w:t>
      </w:r>
    </w:p>
    <w:p>
      <w:pPr>
        <w:numPr>
          <w:ilvl w:val="0"/>
          <w:numId w:val="1376"/>
        </w:numPr>
        <w:pStyle w:val="Compact"/>
      </w:pPr>
      <w:r>
        <w:t xml:space="preserve">2005 · DeFronzo RA ·</w:t>
      </w:r>
      <w:r>
        <w:t xml:space="preserve"> </w:t>
      </w:r>
      <w:r>
        <w:rPr>
          <w:iCs/>
          <w:i/>
        </w:rPr>
        <w:t xml:space="preserve">Diabetes Care</w:t>
      </w:r>
      <w:r>
        <w:t xml:space="preserve"> </w:t>
      </w:r>
      <w:r>
        <w:t xml:space="preserve">· Effects of exenatide (exendin-4) on glycemic control and weight over 30 weeks in metformin-treated patients with type 2 diabetes. PMID 15855572</w:t>
      </w:r>
    </w:p>
    <w:p>
      <w:pPr>
        <w:numPr>
          <w:ilvl w:val="0"/>
          <w:numId w:val="1376"/>
        </w:numPr>
        <w:pStyle w:val="Compact"/>
      </w:pPr>
      <w:r>
        <w:t xml:space="preserve">2005 · Kendall DM ·</w:t>
      </w:r>
      <w:r>
        <w:t xml:space="preserve"> </w:t>
      </w:r>
      <w:r>
        <w:rPr>
          <w:iCs/>
          <w:i/>
        </w:rPr>
        <w:t xml:space="preserve">Diabetes Care</w:t>
      </w:r>
      <w:r>
        <w:t xml:space="preserve"> </w:t>
      </w:r>
      <w:r>
        <w:t xml:space="preserve">· Effects of exenatide (exendin-4) on glycemic control over 30 weeks in patients with type 2 diabetes treated with metformin and a sulfonylurea. PMID 15855571</w:t>
      </w:r>
    </w:p>
    <w:p>
      <w:pPr>
        <w:numPr>
          <w:ilvl w:val="0"/>
          <w:numId w:val="1376"/>
        </w:numPr>
        <w:pStyle w:val="Compact"/>
      </w:pPr>
      <w:r>
        <w:t xml:space="preserve">2005 · Blase E ·</w:t>
      </w:r>
      <w:r>
        <w:t xml:space="preserve"> </w:t>
      </w:r>
      <w:r>
        <w:rPr>
          <w:iCs/>
          <w:i/>
        </w:rPr>
        <w:t xml:space="preserve">J Clin Pharmacol</w:t>
      </w:r>
      <w:r>
        <w:t xml:space="preserve"> </w:t>
      </w:r>
      <w:r>
        <w:t xml:space="preserve">· Pharmacokinetics of an oral drug (acetaminophen) administered at various times in relation to subcutaneous injection of exenatide (exendin-4) in healthy subjects. PMID 15831781</w:t>
      </w:r>
    </w:p>
    <w:p>
      <w:pPr>
        <w:numPr>
          <w:ilvl w:val="0"/>
          <w:numId w:val="1376"/>
        </w:numPr>
        <w:pStyle w:val="Compact"/>
      </w:pPr>
      <w:r>
        <w:t xml:space="preserve">2005 · Calara F ·</w:t>
      </w:r>
      <w:r>
        <w:t xml:space="preserve"> </w:t>
      </w:r>
      <w:r>
        <w:rPr>
          <w:iCs/>
          <w:i/>
        </w:rPr>
        <w:t xml:space="preserve">Clin Ther</w:t>
      </w:r>
      <w:r>
        <w:t xml:space="preserve"> </w:t>
      </w:r>
      <w:r>
        <w:t xml:space="preserve">· A randomized, open-label, crossover study examining the effect of injection site on bioavailability of exenatide (synthetic exendin-4). PMID 15811484</w:t>
      </w:r>
    </w:p>
    <w:p>
      <w:pPr>
        <w:numPr>
          <w:ilvl w:val="0"/>
          <w:numId w:val="1376"/>
        </w:numPr>
        <w:pStyle w:val="Compact"/>
      </w:pPr>
      <w:r>
        <w:t xml:space="preserve">2005 · Kolterman OG ·</w:t>
      </w:r>
      <w:r>
        <w:t xml:space="preserve"> </w:t>
      </w:r>
      <w:r>
        <w:rPr>
          <w:iCs/>
          <w:i/>
        </w:rPr>
        <w:t xml:space="preserve">Am J Health Syst Pharm</w:t>
      </w:r>
      <w:r>
        <w:t xml:space="preserve"> </w:t>
      </w:r>
      <w:r>
        <w:t xml:space="preserve">· Pharmacokinetics, pharmacodynamics, and safety of exenatide in patients with type 2 diabetes mellitus. PMID 15700891</w:t>
      </w:r>
    </w:p>
    <w:p>
      <w:pPr>
        <w:numPr>
          <w:ilvl w:val="0"/>
          <w:numId w:val="1376"/>
        </w:numPr>
        <w:pStyle w:val="Compact"/>
      </w:pPr>
      <w:r>
        <w:t xml:space="preserve">2004 · Buse JB ·</w:t>
      </w:r>
      <w:r>
        <w:t xml:space="preserve"> </w:t>
      </w:r>
      <w:r>
        <w:rPr>
          <w:iCs/>
          <w:i/>
        </w:rPr>
        <w:t xml:space="preserve">Diabetes Care</w:t>
      </w:r>
      <w:r>
        <w:t xml:space="preserve"> </w:t>
      </w:r>
      <w:r>
        <w:t xml:space="preserve">· Effects of exenatide (exendin-4) on glycemic control over 30 weeks in sulfonylurea-treated patients with type 2 diabetes. PMID 15504997</w:t>
      </w:r>
    </w:p>
    <w:p>
      <w:pPr>
        <w:numPr>
          <w:ilvl w:val="0"/>
          <w:numId w:val="1376"/>
        </w:numPr>
        <w:pStyle w:val="Compact"/>
      </w:pPr>
      <w:r>
        <w:t xml:space="preserve">2004 · Fineman MS ·</w:t>
      </w:r>
      <w:r>
        <w:t xml:space="preserve"> </w:t>
      </w:r>
      <w:r>
        <w:rPr>
          <w:iCs/>
          <w:i/>
        </w:rPr>
        <w:t xml:space="preserve">Diabetes Metab Res Rev</w:t>
      </w:r>
      <w:r>
        <w:t xml:space="preserve"> </w:t>
      </w:r>
      <w:r>
        <w:t xml:space="preserve">· Effectiveness of progressive dose-escalation of exenatide (exendin-4) in reducing dose-limiting side effects in subjects with type 2 diabetes. PMID 15343588</w:t>
      </w:r>
    </w:p>
    <w:p>
      <w:pPr>
        <w:numPr>
          <w:ilvl w:val="0"/>
          <w:numId w:val="1376"/>
        </w:numPr>
        <w:pStyle w:val="Compact"/>
      </w:pPr>
      <w:r>
        <w:t xml:space="preserve">2004 · Degn KB ·</w:t>
      </w:r>
      <w:r>
        <w:t xml:space="preserve"> </w:t>
      </w:r>
      <w:r>
        <w:rPr>
          <w:iCs/>
          <w:i/>
        </w:rPr>
        <w:t xml:space="preserve">Diabetes</w:t>
      </w:r>
      <w:r>
        <w:t xml:space="preserve"> </w:t>
      </w:r>
      <w:r>
        <w:t xml:space="preserve">· Effect of intravenous infusion of exenatide (synthetic exendin-4) on glucose-dependent insulin secretion and counterregulation during hypoglycemia. PMID 15331551</w:t>
      </w:r>
    </w:p>
    <w:p>
      <w:pPr>
        <w:numPr>
          <w:ilvl w:val="0"/>
          <w:numId w:val="1376"/>
        </w:numPr>
        <w:pStyle w:val="Compact"/>
      </w:pPr>
      <w:r>
        <w:t xml:space="preserve">2003 · Fineman MS ·</w:t>
      </w:r>
      <w:r>
        <w:t xml:space="preserve"> </w:t>
      </w:r>
      <w:r>
        <w:rPr>
          <w:iCs/>
          <w:i/>
        </w:rPr>
        <w:t xml:space="preserve">Diabetes Care</w:t>
      </w:r>
      <w:r>
        <w:t xml:space="preserve"> </w:t>
      </w:r>
      <w:r>
        <w:t xml:space="preserve">· Effect on glycemic control of exenatide (synthetic exendin-4) additive to existing metformin and/or sulfonylurea treatment in patients with type 2 diabetes. PMID 12882864</w:t>
      </w:r>
    </w:p>
    <w:p>
      <w:pPr>
        <w:numPr>
          <w:ilvl w:val="0"/>
          <w:numId w:val="1376"/>
        </w:numPr>
        <w:pStyle w:val="Compact"/>
      </w:pPr>
      <w:r>
        <w:t xml:space="preserve">2003 · Kolterman OG ·</w:t>
      </w:r>
      <w:r>
        <w:t xml:space="preserve"> </w:t>
      </w:r>
      <w:r>
        <w:rPr>
          <w:iCs/>
          <w:i/>
        </w:rPr>
        <w:t xml:space="preserve">J Clin Endocrinol Metab</w:t>
      </w:r>
      <w:r>
        <w:t xml:space="preserve"> </w:t>
      </w:r>
      <w:r>
        <w:t xml:space="preserve">· Synthetic exendin-4 (exenatide) significantly reduces postprandial and fasting plasma glucose in subjects with type 2 diabetes. PMID 12843147</w:t>
      </w:r>
    </w:p>
    <w:bookmarkEnd w:id="3012"/>
    <w:bookmarkStart w:id="3013" w:name="liraglutide-613"/>
    <w:p>
      <w:pPr>
        <w:pStyle w:val="Heading2"/>
      </w:pPr>
      <w:r>
        <w:t xml:space="preserve">Liraglutide (613)</w:t>
      </w:r>
    </w:p>
    <w:p>
      <w:pPr>
        <w:numPr>
          <w:ilvl w:val="0"/>
          <w:numId w:val="1377"/>
        </w:numPr>
        <w:pStyle w:val="Compact"/>
      </w:pPr>
      <w:r>
        <w:t xml:space="preserve">2026 · Caballero-Corbalán J ·</w:t>
      </w:r>
      <w:r>
        <w:t xml:space="preserve"> </w:t>
      </w:r>
      <w:r>
        <w:rPr>
          <w:iCs/>
          <w:i/>
        </w:rPr>
        <w:t xml:space="preserve">Diabetes Obes Metab</w:t>
      </w:r>
      <w:r>
        <w:t xml:space="preserve"> </w:t>
      </w:r>
      <w:r>
        <w:t xml:space="preserve">· Liraglutide and Βeta-Cell Function in Young Adults With Long-Standing Type 1 Diabetes and Residual C-Peptide: A Blinded, Randomized Controlled Trial. PMID 42595732</w:t>
      </w:r>
    </w:p>
    <w:p>
      <w:pPr>
        <w:numPr>
          <w:ilvl w:val="0"/>
          <w:numId w:val="1377"/>
        </w:numPr>
        <w:pStyle w:val="Compact"/>
      </w:pPr>
      <w:r>
        <w:t xml:space="preserve">2026 · Sun Y ·</w:t>
      </w:r>
      <w:r>
        <w:t xml:space="preserve"> </w:t>
      </w:r>
      <w:r>
        <w:rPr>
          <w:iCs/>
          <w:i/>
        </w:rPr>
        <w:t xml:space="preserve">Endocrine</w:t>
      </w:r>
      <w:r>
        <w:t xml:space="preserve"> </w:t>
      </w:r>
      <w:r>
        <w:t xml:space="preserve">· Comparative analysis of IDegLira versus insulin glargine in short-term intensive therapy for overweight or obese patients with type 2 diabetes mellitus. PMID 42439957</w:t>
      </w:r>
    </w:p>
    <w:p>
      <w:pPr>
        <w:numPr>
          <w:ilvl w:val="0"/>
          <w:numId w:val="1377"/>
        </w:numPr>
        <w:pStyle w:val="Compact"/>
      </w:pPr>
      <w:r>
        <w:t xml:space="preserve">2026 · Friedman MI ·</w:t>
      </w:r>
      <w:r>
        <w:t xml:space="preserve"> </w:t>
      </w:r>
      <w:r>
        <w:rPr>
          <w:iCs/>
          <w:i/>
        </w:rPr>
        <w:t xml:space="preserve">Obesity (Silver Spring)</w:t>
      </w:r>
      <w:r>
        <w:t xml:space="preserve"> </w:t>
      </w:r>
      <w:r>
        <w:t xml:space="preserve">· Appetite Suppression by GLP-1 Receptor Agonists: Role of Delayed Gastric Emptying. PMID 42392577</w:t>
      </w:r>
    </w:p>
    <w:p>
      <w:pPr>
        <w:numPr>
          <w:ilvl w:val="0"/>
          <w:numId w:val="1377"/>
        </w:numPr>
        <w:pStyle w:val="Compact"/>
      </w:pPr>
      <w:r>
        <w:t xml:space="preserve">2026 · Sandsdal RM ·</w:t>
      </w:r>
      <w:r>
        <w:t xml:space="preserve"> </w:t>
      </w:r>
      <w:r>
        <w:rPr>
          <w:iCs/>
          <w:i/>
        </w:rPr>
        <w:t xml:space="preserve">Nat Metab</w:t>
      </w:r>
      <w:r>
        <w:t xml:space="preserve"> </w:t>
      </w:r>
      <w:r>
        <w:t xml:space="preserve">· Effects of exercise and liraglutide on vascular health and inflammation during weight loss maintenance: a prespecified secondary analysis of the S-LiTE trial. PMID 42342869</w:t>
      </w:r>
    </w:p>
    <w:p>
      <w:pPr>
        <w:numPr>
          <w:ilvl w:val="0"/>
          <w:numId w:val="1377"/>
        </w:numPr>
        <w:pStyle w:val="Compact"/>
      </w:pPr>
      <w:r>
        <w:t xml:space="preserve">2026 · Sørensen KK ·</w:t>
      </w:r>
      <w:r>
        <w:t xml:space="preserve"> </w:t>
      </w:r>
      <w:r>
        <w:rPr>
          <w:iCs/>
          <w:i/>
        </w:rPr>
        <w:t xml:space="preserve">Clin Trials</w:t>
      </w:r>
      <w:r>
        <w:t xml:space="preserve"> </w:t>
      </w:r>
      <w:r>
        <w:t xml:space="preserve">· Accounting for non-adherence: A re-analysis of the Liraglutide Effect and Action in Diabetes: Evaluation of Cardiovascular Outcome Results trial. PMID 42227113</w:t>
      </w:r>
    </w:p>
    <w:p>
      <w:pPr>
        <w:numPr>
          <w:ilvl w:val="0"/>
          <w:numId w:val="1377"/>
        </w:numPr>
        <w:pStyle w:val="Compact"/>
      </w:pPr>
      <w:r>
        <w:t xml:space="preserve">2026 · Goldberger JJ ·</w:t>
      </w:r>
      <w:r>
        <w:t xml:space="preserve"> </w:t>
      </w:r>
      <w:r>
        <w:rPr>
          <w:iCs/>
          <w:i/>
        </w:rPr>
        <w:t xml:space="preserve">JACC Clin Electrophysiol</w:t>
      </w:r>
      <w:r>
        <w:t xml:space="preserve"> </w:t>
      </w:r>
      <w:r>
        <w:t xml:space="preserve">· The Liraglutide Effects in Atrial Fibrillation (LEAF) Study. PMID 42159524</w:t>
      </w:r>
    </w:p>
    <w:p>
      <w:pPr>
        <w:numPr>
          <w:ilvl w:val="0"/>
          <w:numId w:val="1377"/>
        </w:numPr>
        <w:pStyle w:val="Compact"/>
      </w:pPr>
      <w:r>
        <w:t xml:space="preserve">2026 · Lu L ·</w:t>
      </w:r>
      <w:r>
        <w:t xml:space="preserve"> </w:t>
      </w:r>
      <w:r>
        <w:rPr>
          <w:iCs/>
          <w:i/>
        </w:rPr>
        <w:t xml:space="preserve">Stroke</w:t>
      </w:r>
      <w:r>
        <w:t xml:space="preserve"> </w:t>
      </w:r>
      <w:r>
        <w:t xml:space="preserve">· Liraglutide and Recurrent Stroke by Baseline Insulin Resistance: A Post Hoc Analysis of the LAMP Trial. PMID 42145088</w:t>
      </w:r>
    </w:p>
    <w:p>
      <w:pPr>
        <w:numPr>
          <w:ilvl w:val="0"/>
          <w:numId w:val="1377"/>
        </w:numPr>
        <w:pStyle w:val="Compact"/>
      </w:pPr>
      <w:r>
        <w:t xml:space="preserve">2026 · Cherniavskyi V ·</w:t>
      </w:r>
      <w:r>
        <w:t xml:space="preserve"> </w:t>
      </w:r>
      <w:r>
        <w:rPr>
          <w:iCs/>
          <w:i/>
        </w:rPr>
        <w:t xml:space="preserve">Wiad Lek</w:t>
      </w:r>
      <w:r>
        <w:t xml:space="preserve"> </w:t>
      </w:r>
      <w:r>
        <w:t xml:space="preserve">· Six-month effects of liraglutide and dapagliflozin on lipid profile, cardiovascular risk, and NT-proBNP levels in patients with metabolic dysfunction-associated steatotic liver disease. PMID 42139606</w:t>
      </w:r>
    </w:p>
    <w:p>
      <w:pPr>
        <w:numPr>
          <w:ilvl w:val="0"/>
          <w:numId w:val="1377"/>
        </w:numPr>
        <w:pStyle w:val="Compact"/>
      </w:pPr>
      <w:r>
        <w:t xml:space="preserve">2026 · Evers A ·</w:t>
      </w:r>
      <w:r>
        <w:t xml:space="preserve"> </w:t>
      </w:r>
      <w:r>
        <w:rPr>
          <w:iCs/>
          <w:i/>
        </w:rPr>
        <w:t xml:space="preserve">J Clin Endocrinol Metab</w:t>
      </w:r>
      <w:r>
        <w:t xml:space="preserve"> </w:t>
      </w:r>
      <w:r>
        <w:t xml:space="preserve">· Insights from changes in NDEV biomarkers of metabolism: effects of PPARγ and GLP1 receptor agonists on brain metabolism. PMID 41992726</w:t>
      </w:r>
    </w:p>
    <w:p>
      <w:pPr>
        <w:numPr>
          <w:ilvl w:val="0"/>
          <w:numId w:val="1377"/>
        </w:numPr>
        <w:pStyle w:val="Compact"/>
      </w:pPr>
      <w:r>
        <w:t xml:space="preserve">2026 · Bergenstal RM ·</w:t>
      </w:r>
      <w:r>
        <w:t xml:space="preserve"> </w:t>
      </w:r>
      <w:r>
        <w:rPr>
          <w:iCs/>
          <w:i/>
        </w:rPr>
        <w:t xml:space="preserve">Diabetes Care</w:t>
      </w:r>
      <w:r>
        <w:t xml:space="preserve"> </w:t>
      </w:r>
      <w:r>
        <w:t xml:space="preserve">· Comparison of the Continuous Glucose Monitoring Profiles of Four Glucose-Lowering Medications in the GRADE Randomized Trial. PMID 41925680</w:t>
      </w:r>
    </w:p>
    <w:p>
      <w:pPr>
        <w:numPr>
          <w:ilvl w:val="0"/>
          <w:numId w:val="1377"/>
        </w:numPr>
        <w:pStyle w:val="Compact"/>
      </w:pPr>
      <w:r>
        <w:t xml:space="preserve">2026 · Baldassarre MPA ·</w:t>
      </w:r>
      <w:r>
        <w:t xml:space="preserve"> </w:t>
      </w:r>
      <w:r>
        <w:rPr>
          <w:iCs/>
          <w:i/>
        </w:rPr>
        <w:t xml:space="preserve">J Diabetes Complications</w:t>
      </w:r>
      <w:r>
        <w:t xml:space="preserve"> </w:t>
      </w:r>
      <w:r>
        <w:t xml:space="preserve">· Modulation of circulating extracellular vesicles by antihyperglycemic therapies: A pilot randomized controlled trial. PMID 41621217</w:t>
      </w:r>
    </w:p>
    <w:p>
      <w:pPr>
        <w:numPr>
          <w:ilvl w:val="0"/>
          <w:numId w:val="1377"/>
        </w:numPr>
        <w:pStyle w:val="Compact"/>
      </w:pPr>
      <w:r>
        <w:t xml:space="preserve">2026 · Jensen SBK ·</w:t>
      </w:r>
      <w:r>
        <w:t xml:space="preserve"> </w:t>
      </w:r>
      <w:r>
        <w:rPr>
          <w:iCs/>
          <w:i/>
        </w:rPr>
        <w:t xml:space="preserve">Sports Med</w:t>
      </w:r>
      <w:r>
        <w:t xml:space="preserve"> </w:t>
      </w:r>
      <w:r>
        <w:t xml:space="preserve">· Physical Fitness with Exercise and GLP-1 Receptor Agonist Treatment Alone or Combined After Diet-Induced Weight Loss: A Secondary Analysis of a Randomized Controlled Trial in Adults with Obesity. PMID 41579235</w:t>
      </w:r>
    </w:p>
    <w:p>
      <w:pPr>
        <w:numPr>
          <w:ilvl w:val="0"/>
          <w:numId w:val="1377"/>
        </w:numPr>
        <w:pStyle w:val="Compact"/>
      </w:pPr>
      <w:r>
        <w:t xml:space="preserve">2026 · Gutierrez de Piñeres V ·</w:t>
      </w:r>
      <w:r>
        <w:t xml:space="preserve"> </w:t>
      </w:r>
      <w:r>
        <w:rPr>
          <w:iCs/>
          <w:i/>
        </w:rPr>
        <w:t xml:space="preserve">Diabetes Res Clin Pract</w:t>
      </w:r>
      <w:r>
        <w:t xml:space="preserve"> </w:t>
      </w:r>
      <w:r>
        <w:t xml:space="preserve">· Effects of liraglutide treatment for 35-days on total and regional fat free, lean, and bone mass, and on the Myostatin-Activin-Follistatin-IGF-1 axes: a secondary analysis of a randomized placebo-controlled crossover study. PMID 41571048</w:t>
      </w:r>
    </w:p>
    <w:p>
      <w:pPr>
        <w:numPr>
          <w:ilvl w:val="0"/>
          <w:numId w:val="1377"/>
        </w:numPr>
        <w:pStyle w:val="Compact"/>
      </w:pPr>
      <w:r>
        <w:t xml:space="preserve">2026 · Gonzalez JS ·</w:t>
      </w:r>
      <w:r>
        <w:t xml:space="preserve"> </w:t>
      </w:r>
      <w:r>
        <w:rPr>
          <w:iCs/>
          <w:i/>
        </w:rPr>
        <w:t xml:space="preserve">Diabetes Care</w:t>
      </w:r>
      <w:r>
        <w:t xml:space="preserve"> </w:t>
      </w:r>
      <w:r>
        <w:t xml:space="preserve">· Medication Adherence in the Glycemia Reduction Approaches in Diabetes: A Comparative Effectiveness Study (GRADE). PMID 41557987</w:t>
      </w:r>
    </w:p>
    <w:p>
      <w:pPr>
        <w:numPr>
          <w:ilvl w:val="0"/>
          <w:numId w:val="1377"/>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7"/>
        </w:numPr>
        <w:pStyle w:val="Compact"/>
      </w:pPr>
      <w:r>
        <w:t xml:space="preserve">2026 · Kahn SE ·</w:t>
      </w:r>
      <w:r>
        <w:t xml:space="preserve"> </w:t>
      </w:r>
      <w:r>
        <w:rPr>
          <w:iCs/>
          <w:i/>
        </w:rPr>
        <w:t xml:space="preserve">Diabetes Care</w:t>
      </w:r>
      <w:r>
        <w:t xml:space="preserve"> </w:t>
      </w:r>
      <w:r>
        <w:t xml:space="preserve">· Differential Longitudinal Effects of Glucose-Lowering Medications on Glucagon and C-peptide Responses in the Glycemia Reduction Approaches in Diabetes: A Comparative Effectiveness Study (GRADE). PMID 41432725</w:t>
      </w:r>
    </w:p>
    <w:p>
      <w:pPr>
        <w:numPr>
          <w:ilvl w:val="0"/>
          <w:numId w:val="1377"/>
        </w:numPr>
        <w:pStyle w:val="Compact"/>
      </w:pPr>
      <w:r>
        <w:t xml:space="preserve">2026 · Edison P ·</w:t>
      </w:r>
      <w:r>
        <w:t xml:space="preserve"> </w:t>
      </w:r>
      <w:r>
        <w:rPr>
          <w:iCs/>
          <w:i/>
        </w:rPr>
        <w:t xml:space="preserve">Nat Med</w:t>
      </w:r>
      <w:r>
        <w:t xml:space="preserve"> </w:t>
      </w:r>
      <w:r>
        <w:t xml:space="preserve">· Liraglutide in mild to moderate Alzheimer’s disease: a phase 2b clinical trial. PMID 41326666</w:t>
      </w:r>
    </w:p>
    <w:p>
      <w:pPr>
        <w:numPr>
          <w:ilvl w:val="0"/>
          <w:numId w:val="1377"/>
        </w:numPr>
        <w:pStyle w:val="Compact"/>
      </w:pPr>
      <w:r>
        <w:t xml:space="preserve">2026 · Gutierrez de Piñeres V ·</w:t>
      </w:r>
      <w:r>
        <w:t xml:space="preserve"> </w:t>
      </w:r>
      <w:r>
        <w:rPr>
          <w:iCs/>
          <w:i/>
        </w:rPr>
        <w:t xml:space="preserve">Diabetes Obes Metab</w:t>
      </w:r>
      <w:r>
        <w:t xml:space="preserve"> </w:t>
      </w:r>
      <w:r>
        <w:t xml:space="preserve">· Effects of liraglutide treatment for 18 days on metabolic parameters, regional body composition and the myostatin-activin-follistatin-IGF-1 axis: Results from an exploratory, randomized, placebo-controlled, crossover study. PMID 41287185</w:t>
      </w:r>
    </w:p>
    <w:p>
      <w:pPr>
        <w:numPr>
          <w:ilvl w:val="0"/>
          <w:numId w:val="1377"/>
        </w:numPr>
        <w:pStyle w:val="Compact"/>
      </w:pPr>
      <w:r>
        <w:t xml:space="preserve">2026 · Zhu H ·</w:t>
      </w:r>
      <w:r>
        <w:t xml:space="preserve"> </w:t>
      </w:r>
      <w:r>
        <w:rPr>
          <w:iCs/>
          <w:i/>
        </w:rPr>
        <w:t xml:space="preserve">JAMA Intern Med</w:t>
      </w:r>
      <w:r>
        <w:t xml:space="preserve"> </w:t>
      </w:r>
      <w:r>
        <w:t xml:space="preserve">· Liraglutide in Acute Minor Ischemic Stroke or High-Risk Transient Ischemic Attack With Type 2 Diabetes: The LAMP Randomized Clinical Trial. PMID 41182740</w:t>
      </w:r>
    </w:p>
    <w:p>
      <w:pPr>
        <w:numPr>
          <w:ilvl w:val="0"/>
          <w:numId w:val="1377"/>
        </w:numPr>
        <w:pStyle w:val="Compact"/>
      </w:pPr>
      <w:r>
        <w:t xml:space="preserve">2026 · Holt J ·</w:t>
      </w:r>
      <w:r>
        <w:t xml:space="preserve"> </w:t>
      </w:r>
      <w:r>
        <w:rPr>
          <w:iCs/>
          <w:i/>
        </w:rPr>
        <w:t xml:space="preserve">Obesity (Silver Spring)</w:t>
      </w:r>
      <w:r>
        <w:t xml:space="preserve"> </w:t>
      </w:r>
      <w:r>
        <w:t xml:space="preserve">· One Year of Exercise After Weight Loss Increases Postprandial GLP-1 Secretion in Contrast to Usual Activity or GLP-1 Receptor Agonist Treatment. PMID 40998556</w:t>
      </w:r>
    </w:p>
    <w:p>
      <w:pPr>
        <w:numPr>
          <w:ilvl w:val="0"/>
          <w:numId w:val="1377"/>
        </w:numPr>
        <w:pStyle w:val="Compact"/>
      </w:pPr>
      <w:r>
        <w:t xml:space="preserve">2025 · Long XF ·</w:t>
      </w:r>
      <w:r>
        <w:t xml:space="preserve"> </w:t>
      </w:r>
      <w:r>
        <w:rPr>
          <w:iCs/>
          <w:i/>
        </w:rPr>
        <w:t xml:space="preserve">Front Endocrinol (Lausanne)</w:t>
      </w:r>
      <w:r>
        <w:t xml:space="preserve"> </w:t>
      </w:r>
      <w:r>
        <w:t xml:space="preserve">· Combination metformin and liraglutide in PCOS: clinical efficacy in women and preclinical insights from gut microbiome modulation in rats. PMID 41384017</w:t>
      </w:r>
    </w:p>
    <w:p>
      <w:pPr>
        <w:numPr>
          <w:ilvl w:val="0"/>
          <w:numId w:val="1377"/>
        </w:numPr>
        <w:pStyle w:val="Compact"/>
      </w:pPr>
      <w:r>
        <w:t xml:space="preserve">2025 · Brown WA ·</w:t>
      </w:r>
      <w:r>
        <w:t xml:space="preserve"> </w:t>
      </w:r>
      <w:r>
        <w:rPr>
          <w:iCs/>
          <w:i/>
        </w:rPr>
        <w:t xml:space="preserve">JAMA Netw Open</w:t>
      </w:r>
      <w:r>
        <w:t xml:space="preserve"> </w:t>
      </w:r>
      <w:r>
        <w:t xml:space="preserve">· Liraglutide and Weight Loss Among Suboptimal Responders to Metabolic Bariatric Surgery: A Randomized Clinical Trial. PMID 41160027</w:t>
      </w:r>
    </w:p>
    <w:p>
      <w:pPr>
        <w:numPr>
          <w:ilvl w:val="0"/>
          <w:numId w:val="1377"/>
        </w:numPr>
        <w:pStyle w:val="Compact"/>
      </w:pPr>
      <w:r>
        <w:t xml:space="preserve">2025 · Mashayekhi M ·</w:t>
      </w:r>
      <w:r>
        <w:t xml:space="preserve"> </w:t>
      </w:r>
      <w:r>
        <w:rPr>
          <w:iCs/>
          <w:i/>
        </w:rPr>
        <w:t xml:space="preserve">J Endocrinol</w:t>
      </w:r>
      <w:r>
        <w:t xml:space="preserve"> </w:t>
      </w:r>
      <w:r>
        <w:t xml:space="preserve">· RISING STARS: Effects of a GLP-1 receptor polymorphism on responses to liraglutide. PMID 41042549</w:t>
      </w:r>
    </w:p>
    <w:p>
      <w:pPr>
        <w:numPr>
          <w:ilvl w:val="0"/>
          <w:numId w:val="1377"/>
        </w:numPr>
        <w:pStyle w:val="Compact"/>
      </w:pPr>
      <w:r>
        <w:t xml:space="preserve">2025 · Glaros SB ·</w:t>
      </w:r>
      <w:r>
        <w:t xml:space="preserve"> </w:t>
      </w:r>
      <w:r>
        <w:rPr>
          <w:iCs/>
          <w:i/>
        </w:rPr>
        <w:t xml:space="preserve">Gut Microbes</w:t>
      </w:r>
      <w:r>
        <w:t xml:space="preserve"> </w:t>
      </w:r>
      <w:r>
        <w:t xml:space="preserve">· Systemic and gut microbiome changes with metformin and liraglutide in youth-onset type 2 diabetes: the MIGHTY study. PMID 41020378</w:t>
      </w:r>
    </w:p>
    <w:p>
      <w:pPr>
        <w:numPr>
          <w:ilvl w:val="0"/>
          <w:numId w:val="1377"/>
        </w:numPr>
        <w:pStyle w:val="Compact"/>
      </w:pPr>
      <w:r>
        <w:t xml:space="preserve">2025 · Pop-Busui R ·</w:t>
      </w:r>
      <w:r>
        <w:t xml:space="preserve"> </w:t>
      </w:r>
      <w:r>
        <w:rPr>
          <w:iCs/>
          <w:i/>
        </w:rPr>
        <w:t xml:space="preserve">Diabetes Care</w:t>
      </w:r>
      <w:r>
        <w:t xml:space="preserve"> </w:t>
      </w:r>
      <w:r>
        <w:t xml:space="preserve">· Differences in Prevalence and Incidence of Electrocardiogram Abnormalities and Cardiovascular Autonomic Neuropathy Among Randomized Glucose-Lowering Treatments in Early Type 2 Diabetes: The Glycemia Reduction Approaches in Diabetes (GRADE) Cohort. PMID 40986645</w:t>
      </w:r>
    </w:p>
    <w:p>
      <w:pPr>
        <w:numPr>
          <w:ilvl w:val="0"/>
          <w:numId w:val="1377"/>
        </w:numPr>
        <w:pStyle w:val="Compact"/>
      </w:pPr>
      <w:r>
        <w:t xml:space="preserve">2025 · Li X ·</w:t>
      </w:r>
      <w:r>
        <w:t xml:space="preserve"> </w:t>
      </w:r>
      <w:r>
        <w:rPr>
          <w:iCs/>
          <w:i/>
        </w:rPr>
        <w:t xml:space="preserve">Diabetes Obes Metab</w:t>
      </w:r>
      <w:r>
        <w:t xml:space="preserve"> </w:t>
      </w:r>
      <w:r>
        <w:t xml:space="preserve">· Dapagliflozin restores odour-induced functional integration of primary olfactory cortex circuit but not olfactory-related regional brain activation in patients with type 2 diabetes: A 16-week randomised comparative study. PMID 40954925</w:t>
      </w:r>
    </w:p>
    <w:p>
      <w:pPr>
        <w:numPr>
          <w:ilvl w:val="0"/>
          <w:numId w:val="1377"/>
        </w:numPr>
        <w:pStyle w:val="Compact"/>
      </w:pPr>
      <w:r>
        <w:t xml:space="preserve">2025 · Brosnahan N ·</w:t>
      </w:r>
      <w:r>
        <w:t xml:space="preserve"> </w:t>
      </w:r>
      <w:r>
        <w:rPr>
          <w:iCs/>
          <w:i/>
        </w:rPr>
        <w:t xml:space="preserve">Clin Nutr</w:t>
      </w:r>
      <w:r>
        <w:t xml:space="preserve"> </w:t>
      </w:r>
      <w:r>
        <w:t xml:space="preserve">· Diet strategies for maintaining substantial therapeutic weight loss: 78-week mixed methods randomised trial. PMID 40934815</w:t>
      </w:r>
    </w:p>
    <w:p>
      <w:pPr>
        <w:numPr>
          <w:ilvl w:val="0"/>
          <w:numId w:val="1377"/>
        </w:numPr>
        <w:pStyle w:val="Compact"/>
      </w:pPr>
      <w:r>
        <w:t xml:space="preserve">2025 · Guerdjikova AI ·</w:t>
      </w:r>
      <w:r>
        <w:t xml:space="preserve"> </w:t>
      </w:r>
      <w:r>
        <w:rPr>
          <w:iCs/>
          <w:i/>
        </w:rPr>
        <w:t xml:space="preserve">Int J Psychiatry Clin Pract</w:t>
      </w:r>
      <w:r>
        <w:t xml:space="preserve"> </w:t>
      </w:r>
      <w:r>
        <w:t xml:space="preserve">· Features of binge eating disorder in obese or overweight individuals with stable bipolar disorder participating in a weight loss trial - a post hoc analysis. PMID 40849800</w:t>
      </w:r>
    </w:p>
    <w:p>
      <w:pPr>
        <w:numPr>
          <w:ilvl w:val="0"/>
          <w:numId w:val="1377"/>
        </w:numPr>
        <w:pStyle w:val="Compact"/>
      </w:pPr>
      <w:r>
        <w:t xml:space="preserve">2025 · Nigro S ·</w:t>
      </w:r>
      <w:r>
        <w:t xml:space="preserve"> </w:t>
      </w:r>
      <w:r>
        <w:rPr>
          <w:iCs/>
          <w:i/>
        </w:rPr>
        <w:t xml:space="preserve">Obes Surg</w:t>
      </w:r>
      <w:r>
        <w:t xml:space="preserve"> </w:t>
      </w:r>
      <w:r>
        <w:t xml:space="preserve">· Comparative Efficacy of Endoscopic Sleeve Gastroplasty (Esg) Versus Liraglutide in Weight Loss and Remission Of Obesity-Related Comorbidities: Twelve Months Follow-Up Results. PMID 40779281</w:t>
      </w:r>
    </w:p>
    <w:p>
      <w:pPr>
        <w:numPr>
          <w:ilvl w:val="0"/>
          <w:numId w:val="1377"/>
        </w:numPr>
        <w:pStyle w:val="Compact"/>
      </w:pPr>
      <w:r>
        <w:t xml:space="preserve">2025 · Gómez-Medina AM ·</w:t>
      </w:r>
      <w:r>
        <w:t xml:space="preserve"> </w:t>
      </w:r>
      <w:r>
        <w:rPr>
          <w:iCs/>
          <w:i/>
        </w:rPr>
        <w:t xml:space="preserve">Diabetologia</w:t>
      </w:r>
      <w:r>
        <w:t xml:space="preserve"> </w:t>
      </w:r>
      <w:r>
        <w:t xml:space="preserve">· Insulin DEgludec/LIraglutide versus multiple daily insulin injections in the transition from hospital to outpatient management assessed by continuous glucose monitoring: the DELI transition trial. PMID 40760249</w:t>
      </w:r>
    </w:p>
    <w:p>
      <w:pPr>
        <w:numPr>
          <w:ilvl w:val="0"/>
          <w:numId w:val="1377"/>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77"/>
        </w:numPr>
        <w:pStyle w:val="Compact"/>
      </w:pPr>
      <w:r>
        <w:t xml:space="preserve">2025 · Simeone PG ·</w:t>
      </w:r>
      <w:r>
        <w:t xml:space="preserve"> </w:t>
      </w:r>
      <w:r>
        <w:rPr>
          <w:iCs/>
          <w:i/>
        </w:rPr>
        <w:t xml:space="preserve">Cardiovasc Diabetol</w:t>
      </w:r>
      <w:r>
        <w:t xml:space="preserve"> </w:t>
      </w:r>
      <w:r>
        <w:t xml:space="preserve">· Interleukin-1β in circulating mononuclear cells predicts steatotic liver disease improvement after weight loss in subjects with obesity and prediabetes or type 2 diabetes. PMID 40514652</w:t>
      </w:r>
    </w:p>
    <w:p>
      <w:pPr>
        <w:numPr>
          <w:ilvl w:val="0"/>
          <w:numId w:val="1377"/>
        </w:numPr>
        <w:pStyle w:val="Compact"/>
      </w:pPr>
      <w:r>
        <w:t xml:space="preserve">2025 · Cifuentes L ·</w:t>
      </w:r>
      <w:r>
        <w:t xml:space="preserve"> </w:t>
      </w:r>
      <w:r>
        <w:rPr>
          <w:iCs/>
          <w:i/>
        </w:rPr>
        <w:t xml:space="preserve">Cell Metab</w:t>
      </w:r>
      <w:r>
        <w:t xml:space="preserve"> </w:t>
      </w:r>
      <w:r>
        <w:t xml:space="preserve">· Genetic and physiological insights into satiation variability predict responses to obesity treatment. PMID 40482646</w:t>
      </w:r>
    </w:p>
    <w:p>
      <w:pPr>
        <w:numPr>
          <w:ilvl w:val="0"/>
          <w:numId w:val="1377"/>
        </w:numPr>
        <w:pStyle w:val="Compact"/>
      </w:pPr>
      <w:r>
        <w:t xml:space="preserve">2025 · Hsia DS ·</w:t>
      </w:r>
      <w:r>
        <w:t xml:space="preserve"> </w:t>
      </w:r>
      <w:r>
        <w:rPr>
          <w:iCs/>
          <w:i/>
        </w:rPr>
        <w:t xml:space="preserve">Diabetes Care</w:t>
      </w:r>
      <w:r>
        <w:t xml:space="preserve"> </w:t>
      </w:r>
      <w:r>
        <w:t xml:space="preserve">· Association of Hospitalizations With Randomized Glycemia-Lowering Treatment in GRADE. PMID 40424051</w:t>
      </w:r>
    </w:p>
    <w:p>
      <w:pPr>
        <w:numPr>
          <w:ilvl w:val="0"/>
          <w:numId w:val="1377"/>
        </w:numPr>
        <w:pStyle w:val="Compact"/>
      </w:pPr>
      <w:r>
        <w:t xml:space="preserve">2025 · Luchsinger JA ·</w:t>
      </w:r>
      <w:r>
        <w:t xml:space="preserve"> </w:t>
      </w:r>
      <w:r>
        <w:rPr>
          <w:iCs/>
          <w:i/>
        </w:rPr>
        <w:t xml:space="preserve">JAMA Intern Med</w:t>
      </w:r>
      <w:r>
        <w:t xml:space="preserve"> </w:t>
      </w:r>
      <w:r>
        <w:t xml:space="preserve">· Glucose-Lowering Medications, Glycemia, and Cognitive Outcomes: The GRADE Randomized Clinical Trial. PMID 40388190</w:t>
      </w:r>
    </w:p>
    <w:p>
      <w:pPr>
        <w:numPr>
          <w:ilvl w:val="0"/>
          <w:numId w:val="1377"/>
        </w:numPr>
        <w:pStyle w:val="Compact"/>
      </w:pPr>
      <w:r>
        <w:t xml:space="preserve">2025 · Caruso P ·</w:t>
      </w:r>
      <w:r>
        <w:t xml:space="preserve"> </w:t>
      </w:r>
      <w:r>
        <w:rPr>
          <w:iCs/>
          <w:i/>
        </w:rPr>
        <w:t xml:space="preserve">Diabetes Obes Metab</w:t>
      </w:r>
      <w:r>
        <w:t xml:space="preserve"> </w:t>
      </w:r>
      <w:r>
        <w:t xml:space="preserve">· Liraglutide improves peripheral perfusion and markers of angiogenesis and inflammation in people with type 2 diabetes and peripheral artery disease: An 18-month follow-up of a randomized clinical trial. PMID 40276845</w:t>
      </w:r>
    </w:p>
    <w:p>
      <w:pPr>
        <w:numPr>
          <w:ilvl w:val="0"/>
          <w:numId w:val="1377"/>
        </w:numPr>
        <w:pStyle w:val="Compact"/>
      </w:pPr>
      <w:r>
        <w:t xml:space="preserve">2025 · Wexler DJ ·</w:t>
      </w:r>
      <w:r>
        <w:t xml:space="preserve"> </w:t>
      </w:r>
      <w:r>
        <w:rPr>
          <w:iCs/>
          <w:i/>
        </w:rPr>
        <w:t xml:space="preserve">Diabetes Care</w:t>
      </w:r>
      <w:r>
        <w:t xml:space="preserve"> </w:t>
      </w:r>
      <w:r>
        <w:t xml:space="preserve">· Weight Gain Was Associated With Worsening Glycemia and Cardiovascular and Kidney Outcomes in Patients With Type 2 Diabetes Independent of Diabetes Medication in the GRADE Randomized Controlled Trial. PMID 40267365</w:t>
      </w:r>
    </w:p>
    <w:p>
      <w:pPr>
        <w:numPr>
          <w:ilvl w:val="0"/>
          <w:numId w:val="1377"/>
        </w:numPr>
        <w:pStyle w:val="Compact"/>
      </w:pPr>
      <w:r>
        <w:t xml:space="preserve">2025 · Richardson KM ·</w:t>
      </w:r>
      <w:r>
        <w:t xml:space="preserve"> </w:t>
      </w:r>
      <w:r>
        <w:rPr>
          <w:iCs/>
          <w:i/>
        </w:rPr>
        <w:t xml:space="preserve">Diabetes Obes Metab</w:t>
      </w:r>
      <w:r>
        <w:t xml:space="preserve"> </w:t>
      </w:r>
      <w:r>
        <w:t xml:space="preserve">· The influence of the glucagon-like peptide-1 receptor agonist, liraglutide, on dietary patterns and nutrient intakes in patients with obesity and prediabetes: A secondary analysis of a randomized controlled trial. PMID 40259488</w:t>
      </w:r>
    </w:p>
    <w:p>
      <w:pPr>
        <w:numPr>
          <w:ilvl w:val="0"/>
          <w:numId w:val="1377"/>
        </w:numPr>
        <w:pStyle w:val="Compact"/>
      </w:pPr>
      <w:r>
        <w:t xml:space="preserve">2025 · Utzschneider KM ·</w:t>
      </w:r>
      <w:r>
        <w:t xml:space="preserve"> </w:t>
      </w:r>
      <w:r>
        <w:rPr>
          <w:iCs/>
          <w:i/>
        </w:rPr>
        <w:t xml:space="preserve">Diabetes Care</w:t>
      </w:r>
      <w:r>
        <w:t xml:space="preserve"> </w:t>
      </w:r>
      <w:r>
        <w:t xml:space="preserve">· Differential Treatment Effects on β-Cell Function Using Model-Based Parameters in Type 2 Diabetes: Results From the Glycemia Reduction Approaches in Diabetes: A Comparative Effectiveness Study (GRADE). PMID 39998948</w:t>
      </w:r>
    </w:p>
    <w:p>
      <w:pPr>
        <w:numPr>
          <w:ilvl w:val="0"/>
          <w:numId w:val="1377"/>
        </w:numPr>
        <w:pStyle w:val="Compact"/>
      </w:pPr>
      <w:r>
        <w:t xml:space="preserve">2025 · Lahooti A ·</w:t>
      </w:r>
      <w:r>
        <w:t xml:space="preserve"> </w:t>
      </w:r>
      <w:r>
        <w:rPr>
          <w:iCs/>
          <w:i/>
        </w:rPr>
        <w:t xml:space="preserve">Obes Surg</w:t>
      </w:r>
      <w:r>
        <w:t xml:space="preserve"> </w:t>
      </w:r>
      <w:r>
        <w:t xml:space="preserve">· A Randomized, Double-Blind, Two-Way Cross-over Study to Evaluate the Efficacy of Liraglutide Treatment in Patients Undergoing Transoral Outlet Reduction Endoscopy for Weight Regain Post Roux-en-Y Gastric Bypass. PMID 39885064</w:t>
      </w:r>
    </w:p>
    <w:p>
      <w:pPr>
        <w:numPr>
          <w:ilvl w:val="0"/>
          <w:numId w:val="1377"/>
        </w:numPr>
        <w:pStyle w:val="Compact"/>
      </w:pPr>
      <w:r>
        <w:t xml:space="preserve">2025 · Shah VN ·</w:t>
      </w:r>
      <w:r>
        <w:t xml:space="preserve"> </w:t>
      </w:r>
      <w:r>
        <w:rPr>
          <w:iCs/>
          <w:i/>
        </w:rPr>
        <w:t xml:space="preserve">J Diabetes Sci Technol</w:t>
      </w:r>
      <w:r>
        <w:t xml:space="preserve"> </w:t>
      </w:r>
      <w:r>
        <w:t xml:space="preserve">· Determinants of Liraglutide Treatment Discontinuation in Type 1 Diabetes: A Post Hoc Analysis of ADJUNCT ONE and ADJUNCT TWO Randomized Placebo-Controlled Clinical Studies. PMID 39717993</w:t>
      </w:r>
    </w:p>
    <w:p>
      <w:pPr>
        <w:numPr>
          <w:ilvl w:val="0"/>
          <w:numId w:val="1377"/>
        </w:numPr>
        <w:pStyle w:val="Compact"/>
      </w:pPr>
      <w:r>
        <w:t xml:space="preserve">2025 · Holt R ·</w:t>
      </w:r>
      <w:r>
        <w:t xml:space="preserve"> </w:t>
      </w:r>
      <w:r>
        <w:rPr>
          <w:iCs/>
          <w:i/>
        </w:rPr>
        <w:t xml:space="preserve">J Clin Endocrinol Metab</w:t>
      </w:r>
      <w:r>
        <w:t xml:space="preserve"> </w:t>
      </w:r>
      <w:r>
        <w:t xml:space="preserve">· Weight Loss Induces Changes in Vitamin D Status in Women With Obesity But Not in Men: A Randomized Clinical Trial. PMID 39530599</w:t>
      </w:r>
    </w:p>
    <w:p>
      <w:pPr>
        <w:numPr>
          <w:ilvl w:val="0"/>
          <w:numId w:val="1377"/>
        </w:numPr>
        <w:pStyle w:val="Compact"/>
      </w:pPr>
      <w:r>
        <w:t xml:space="preserve">2025 · Lofton HF ·</w:t>
      </w:r>
      <w:r>
        <w:t xml:space="preserve"> </w:t>
      </w:r>
      <w:r>
        <w:rPr>
          <w:iCs/>
          <w:i/>
        </w:rPr>
        <w:t xml:space="preserve">Surg Obes Relat Dis</w:t>
      </w:r>
      <w:r>
        <w:t xml:space="preserve"> </w:t>
      </w:r>
      <w:r>
        <w:t xml:space="preserve">· A randomized, double-blind, placebo-controlled trial of weight loss using liraglutide 3.0 mg for weight recurrence after Roux-en-Y gastric bypass. PMID 39401933</w:t>
      </w:r>
    </w:p>
    <w:p>
      <w:pPr>
        <w:numPr>
          <w:ilvl w:val="0"/>
          <w:numId w:val="1377"/>
        </w:numPr>
        <w:pStyle w:val="Compact"/>
      </w:pPr>
      <w:r>
        <w:t xml:space="preserve">2025 · Beetz N ·</w:t>
      </w:r>
      <w:r>
        <w:t xml:space="preserve"> </w:t>
      </w:r>
      <w:r>
        <w:rPr>
          <w:iCs/>
          <w:i/>
        </w:rPr>
        <w:t xml:space="preserve">Diabetes Obes Metab</w:t>
      </w:r>
      <w:r>
        <w:t xml:space="preserve"> </w:t>
      </w:r>
      <w:r>
        <w:t xml:space="preserve">· A randomized phase I study of BI 1820237, a novel neuropeptide Y receptor type 2 agonist, alone or in combination with low-dose liraglutide in otherwise healthy men with overweight or obesity. PMID 39373311</w:t>
      </w:r>
    </w:p>
    <w:p>
      <w:pPr>
        <w:numPr>
          <w:ilvl w:val="0"/>
          <w:numId w:val="1377"/>
        </w:numPr>
        <w:pStyle w:val="Compact"/>
      </w:pPr>
      <w:r>
        <w:t xml:space="preserve">2025 · Iacobellis G ·</w:t>
      </w:r>
      <w:r>
        <w:t xml:space="preserve"> </w:t>
      </w:r>
      <w:r>
        <w:rPr>
          <w:iCs/>
          <w:i/>
        </w:rPr>
        <w:t xml:space="preserve">Nutr Metab Cardiovasc Dis</w:t>
      </w:r>
      <w:r>
        <w:t xml:space="preserve"> </w:t>
      </w:r>
      <w:r>
        <w:t xml:space="preserve">· Liraglutide effects on epicardial adipose tissue micro-RNAs and intra-operative glucose control. PMID 39277531</w:t>
      </w:r>
    </w:p>
    <w:p>
      <w:pPr>
        <w:numPr>
          <w:ilvl w:val="0"/>
          <w:numId w:val="1377"/>
        </w:numPr>
        <w:pStyle w:val="Compact"/>
      </w:pPr>
      <w:r>
        <w:t xml:space="preserve">2025 · Fox CK ·</w:t>
      </w:r>
      <w:r>
        <w:t xml:space="preserve"> </w:t>
      </w:r>
      <w:r>
        <w:rPr>
          <w:iCs/>
          <w:i/>
        </w:rPr>
        <w:t xml:space="preserve">N Engl J Med</w:t>
      </w:r>
      <w:r>
        <w:t xml:space="preserve"> </w:t>
      </w:r>
      <w:r>
        <w:t xml:space="preserve">· Liraglutide for Children 6 to &lt;12 Years of Age with Obesity - A Randomized Trial. PMID 39258838</w:t>
      </w:r>
    </w:p>
    <w:p>
      <w:pPr>
        <w:numPr>
          <w:ilvl w:val="0"/>
          <w:numId w:val="1377"/>
        </w:numPr>
        <w:pStyle w:val="Compact"/>
      </w:pPr>
      <w:r>
        <w:t xml:space="preserve">2025 · Jin Y ·</w:t>
      </w:r>
      <w:r>
        <w:t xml:space="preserve"> </w:t>
      </w:r>
      <w:r>
        <w:rPr>
          <w:iCs/>
          <w:i/>
        </w:rPr>
        <w:t xml:space="preserve">Altern Ther Health Med</w:t>
      </w:r>
      <w:r>
        <w:t xml:space="preserve"> </w:t>
      </w:r>
      <w:r>
        <w:t xml:space="preserve">· Analysis of the Efficacy of Polyenyl Phosphatidylcholine in Combination with Liraglutide in Nonalcoholic Fatty Liver Disease and the Effect of Omentin-1 and Vaspin Expression. PMID 38814610</w:t>
      </w:r>
    </w:p>
    <w:p>
      <w:pPr>
        <w:numPr>
          <w:ilvl w:val="0"/>
          <w:numId w:val="1377"/>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7"/>
        </w:numPr>
        <w:pStyle w:val="Compact"/>
      </w:pPr>
      <w:r>
        <w:t xml:space="preserve">2024 · Ellegaard AM ·</w:t>
      </w:r>
      <w:r>
        <w:t xml:space="preserve"> </w:t>
      </w:r>
      <w:r>
        <w:rPr>
          <w:iCs/>
          <w:i/>
        </w:rPr>
        <w:t xml:space="preserve">Clin Transl Gastroenterol</w:t>
      </w:r>
      <w:r>
        <w:t xml:space="preserve"> </w:t>
      </w:r>
      <w:r>
        <w:t xml:space="preserve">· Liraglutide and Colesevelam Change Serum and Fecal Bile Acid Levels in a Randomized Trial With Patients With Bile Acid Diarrhea. PMID 39602188</w:t>
      </w:r>
    </w:p>
    <w:p>
      <w:pPr>
        <w:numPr>
          <w:ilvl w:val="0"/>
          <w:numId w:val="1377"/>
        </w:numPr>
        <w:pStyle w:val="Compact"/>
      </w:pPr>
      <w:r>
        <w:t xml:space="preserve">2024 · Seaquist ER ·</w:t>
      </w:r>
      <w:r>
        <w:t xml:space="preserve"> </w:t>
      </w:r>
      <w:r>
        <w:rPr>
          <w:iCs/>
          <w:i/>
        </w:rPr>
        <w:t xml:space="preserve">PLoS One</w:t>
      </w:r>
      <w:r>
        <w:t xml:space="preserve"> </w:t>
      </w:r>
      <w:r>
        <w:t xml:space="preserve">· Glycemia reduction in type 2 diabetes-Hypoglycemia outcomes: A randomized clinical trial. PMID 39546502</w:t>
      </w:r>
    </w:p>
    <w:p>
      <w:pPr>
        <w:numPr>
          <w:ilvl w:val="0"/>
          <w:numId w:val="1377"/>
        </w:numPr>
        <w:pStyle w:val="Compact"/>
      </w:pPr>
      <w:r>
        <w:t xml:space="preserve">2024 · Punthakee Z ·</w:t>
      </w:r>
      <w:r>
        <w:t xml:space="preserve"> </w:t>
      </w:r>
      <w:r>
        <w:rPr>
          <w:iCs/>
          <w:i/>
        </w:rPr>
        <w:t xml:space="preserve">Diabetes Obes Metab</w:t>
      </w:r>
      <w:r>
        <w:t xml:space="preserve"> </w:t>
      </w:r>
      <w:r>
        <w:t xml:space="preserve">· Evaluating remission of type 2 diabetes using a metabolic intervention including fixed-ratio insulin degludec and liraglutide: A randomized controlled trial. PMID 39239702</w:t>
      </w:r>
    </w:p>
    <w:p>
      <w:pPr>
        <w:numPr>
          <w:ilvl w:val="0"/>
          <w:numId w:val="1377"/>
        </w:numPr>
        <w:pStyle w:val="Compact"/>
      </w:pPr>
      <w:r>
        <w:t xml:space="preserve">2024 · Dejgaard TF ·</w:t>
      </w:r>
      <w:r>
        <w:t xml:space="preserve"> </w:t>
      </w:r>
      <w:r>
        <w:rPr>
          <w:iCs/>
          <w:i/>
        </w:rPr>
        <w:t xml:space="preserve">Diabetes Obes Metab</w:t>
      </w:r>
      <w:r>
        <w:t xml:space="preserve"> </w:t>
      </w:r>
      <w:r>
        <w:t xml:space="preserve">· Liraglutide enhances insulin secretion and prolongs the remission period in adults with newly diagnosed type 1 diabetes (the NewLira study): A randomized, double-blind, placebo-controlled trial. PMID 39192527</w:t>
      </w:r>
    </w:p>
    <w:p>
      <w:pPr>
        <w:numPr>
          <w:ilvl w:val="0"/>
          <w:numId w:val="1377"/>
        </w:numPr>
        <w:pStyle w:val="Compact"/>
      </w:pPr>
      <w:r>
        <w:t xml:space="preserve">2024 · Chowdhary A ·</w:t>
      </w:r>
      <w:r>
        <w:t xml:space="preserve"> </w:t>
      </w:r>
      <w:r>
        <w:rPr>
          <w:iCs/>
          <w:i/>
        </w:rPr>
        <w:t xml:space="preserve">J Am Coll Cardiol</w:t>
      </w:r>
      <w:r>
        <w:t xml:space="preserve"> </w:t>
      </w:r>
      <w:r>
        <w:t xml:space="preserve">· Liraglutide Improves Myocardial Perfusion and Energetics and Exercise Tolerance in Patients With Type 2 Diabetes. PMID 39084829</w:t>
      </w:r>
    </w:p>
    <w:p>
      <w:pPr>
        <w:numPr>
          <w:ilvl w:val="0"/>
          <w:numId w:val="1377"/>
        </w:numPr>
        <w:pStyle w:val="Compact"/>
      </w:pPr>
      <w:r>
        <w:t xml:space="preserve">2024 · Oosterom-Eijmael MJP ·</w:t>
      </w:r>
      <w:r>
        <w:t xml:space="preserve"> </w:t>
      </w:r>
      <w:r>
        <w:rPr>
          <w:iCs/>
          <w:i/>
        </w:rPr>
        <w:t xml:space="preserve">J Cardiothorac Vasc Anesth</w:t>
      </w:r>
      <w:r>
        <w:t xml:space="preserve"> </w:t>
      </w:r>
      <w:r>
        <w:t xml:space="preserve">· Continuous Glucose Monitoring and the Effect of Liraglutide in Cardiac Surgery Patients: A Substudy of the Randomized Controlled GLOBE Trial. PMID 38977382</w:t>
      </w:r>
    </w:p>
    <w:p>
      <w:pPr>
        <w:numPr>
          <w:ilvl w:val="0"/>
          <w:numId w:val="1377"/>
        </w:numPr>
        <w:pStyle w:val="Compact"/>
      </w:pPr>
      <w:r>
        <w:t xml:space="preserve">2024 · Hoekx CA ·</w:t>
      </w:r>
      <w:r>
        <w:t xml:space="preserve"> </w:t>
      </w:r>
      <w:r>
        <w:rPr>
          <w:iCs/>
          <w:i/>
        </w:rPr>
        <w:t xml:space="preserve">Exp Physiol</w:t>
      </w:r>
      <w:r>
        <w:t xml:space="preserve"> </w:t>
      </w:r>
      <w:r>
        <w:t xml:space="preserve">· Growth differentiation factor 15 is not modified after weight loss induced by liraglutide in South Asians and Europids with type 2 diabetes mellitus. PMID 38965822</w:t>
      </w:r>
    </w:p>
    <w:p>
      <w:pPr>
        <w:numPr>
          <w:ilvl w:val="0"/>
          <w:numId w:val="1377"/>
        </w:numPr>
        <w:pStyle w:val="Compact"/>
      </w:pPr>
      <w:r>
        <w:t xml:space="preserve">2024 · Jensen SBK ·</w:t>
      </w:r>
      <w:r>
        <w:t xml:space="preserve"> </w:t>
      </w:r>
      <w:r>
        <w:rPr>
          <w:iCs/>
          <w:i/>
        </w:rPr>
        <w:t xml:space="preserve">JAMA Netw Open</w:t>
      </w:r>
      <w:r>
        <w:t xml:space="preserve"> </w:t>
      </w:r>
      <w:r>
        <w:t xml:space="preserve">· Bone Health After Exercise Alone, GLP-1 Receptor Agonist Treatment, or Combination Treatment: A Secondary Analysis of a Randomized Clinical Trial. PMID 38916894</w:t>
      </w:r>
    </w:p>
    <w:p>
      <w:pPr>
        <w:numPr>
          <w:ilvl w:val="0"/>
          <w:numId w:val="1377"/>
        </w:numPr>
        <w:pStyle w:val="Compact"/>
      </w:pPr>
      <w:r>
        <w:t xml:space="preserve">2024 · Dogan ADA ·</w:t>
      </w:r>
      <w:r>
        <w:t xml:space="preserve"> </w:t>
      </w:r>
      <w:r>
        <w:rPr>
          <w:iCs/>
          <w:i/>
        </w:rPr>
        <w:t xml:space="preserve">BMC Res Notes</w:t>
      </w:r>
      <w:r>
        <w:t xml:space="preserve"> </w:t>
      </w:r>
      <w:r>
        <w:t xml:space="preserve">· FDG-PET/CT-based respiration-gated lung segmentation and quantification of lung inflammation in COPD patients. PMID 38902794</w:t>
      </w:r>
    </w:p>
    <w:p>
      <w:pPr>
        <w:numPr>
          <w:ilvl w:val="0"/>
          <w:numId w:val="1377"/>
        </w:numPr>
        <w:pStyle w:val="Compact"/>
      </w:pPr>
      <w:r>
        <w:t xml:space="preserve">2024 · Konstantinidou SK ·</w:t>
      </w:r>
      <w:r>
        <w:t xml:space="preserve"> </w:t>
      </w:r>
      <w:r>
        <w:rPr>
          <w:iCs/>
          <w:i/>
        </w:rPr>
        <w:t xml:space="preserve">Diabetes Obes Metab</w:t>
      </w:r>
      <w:r>
        <w:t xml:space="preserve"> </w:t>
      </w:r>
      <w:r>
        <w:t xml:space="preserve">· Total and H-specific growth/differentiation factor 15 levels are unaffected by liraglutide or naltrexone/bupropion administration. PMID 38757729</w:t>
      </w:r>
    </w:p>
    <w:p>
      <w:pPr>
        <w:numPr>
          <w:ilvl w:val="0"/>
          <w:numId w:val="1377"/>
        </w:numPr>
        <w:pStyle w:val="Compact"/>
      </w:pPr>
      <w:r>
        <w:t xml:space="preserve">2024 · Herfarth H ·</w:t>
      </w:r>
      <w:r>
        <w:t xml:space="preserve"> </w:t>
      </w:r>
      <w:r>
        <w:rPr>
          <w:iCs/>
          <w:i/>
        </w:rPr>
        <w:t xml:space="preserve">Am J Gastroenterol</w:t>
      </w:r>
      <w:r>
        <w:t xml:space="preserve"> </w:t>
      </w:r>
      <w:r>
        <w:t xml:space="preserve">· Efficacy and Safety of Liraglutide in Patients With an Ileal Pouch-Anal Anastomosis and Chronic High Bowel Frequency: A Placebo-Controlled, Crossover, Proof-of-Concept Study. PMID 38668926</w:t>
      </w:r>
    </w:p>
    <w:p>
      <w:pPr>
        <w:numPr>
          <w:ilvl w:val="0"/>
          <w:numId w:val="1377"/>
        </w:numPr>
        <w:pStyle w:val="Compact"/>
      </w:pPr>
      <w:r>
        <w:t xml:space="preserve">2024 · Pandey A ·</w:t>
      </w:r>
      <w:r>
        <w:t xml:space="preserve"> </w:t>
      </w:r>
      <w:r>
        <w:rPr>
          <w:iCs/>
          <w:i/>
        </w:rPr>
        <w:t xml:space="preserve">J Cachexia Sarcopenia Muscle</w:t>
      </w:r>
      <w:r>
        <w:t xml:space="preserve"> </w:t>
      </w:r>
      <w:r>
        <w:t xml:space="preserve">· Effect of liraglutide on thigh muscle fat and muscle composition in adults with overweight or obesity: Results from a randomized clinical trial. PMID 38561962</w:t>
      </w:r>
    </w:p>
    <w:p>
      <w:pPr>
        <w:numPr>
          <w:ilvl w:val="0"/>
          <w:numId w:val="1377"/>
        </w:numPr>
        <w:pStyle w:val="Compact"/>
      </w:pPr>
      <w:r>
        <w:t xml:space="preserve">2024 · Katogiannis K ·</w:t>
      </w:r>
      <w:r>
        <w:t xml:space="preserve"> </w:t>
      </w:r>
      <w:r>
        <w:rPr>
          <w:iCs/>
          <w:i/>
        </w:rPr>
        <w:t xml:space="preserve">Medicina (Kaunas)</w:t>
      </w:r>
      <w:r>
        <w:t xml:space="preserve"> </w:t>
      </w:r>
      <w:r>
        <w:t xml:space="preserve">· Effects of Liraglutide, Empagliflozin and Their Combination on Left Atrial Strain and Arterial Function. PMID 38541121</w:t>
      </w:r>
    </w:p>
    <w:p>
      <w:pPr>
        <w:numPr>
          <w:ilvl w:val="0"/>
          <w:numId w:val="1377"/>
        </w:numPr>
        <w:pStyle w:val="Compact"/>
      </w:pPr>
      <w:r>
        <w:t xml:space="preserve">2024 · Caruso P ·</w:t>
      </w:r>
      <w:r>
        <w:t xml:space="preserve"> </w:t>
      </w:r>
      <w:r>
        <w:rPr>
          <w:iCs/>
          <w:i/>
        </w:rPr>
        <w:t xml:space="preserve">JAMA Netw Open</w:t>
      </w:r>
      <w:r>
        <w:t xml:space="preserve"> </w:t>
      </w:r>
      <w:r>
        <w:t xml:space="preserve">· Liraglutide for Lower Limb Perfusion in People With Type 2 Diabetes and Peripheral Artery Disease: The STARDUST Randomized Clinical Trial. PMID 38470420</w:t>
      </w:r>
    </w:p>
    <w:p>
      <w:pPr>
        <w:numPr>
          <w:ilvl w:val="0"/>
          <w:numId w:val="1377"/>
        </w:numPr>
        <w:pStyle w:val="Compact"/>
      </w:pPr>
      <w:r>
        <w:t xml:space="preserve">2024 · Dearos Sanchis M ·</w:t>
      </w:r>
      <w:r>
        <w:t xml:space="preserve"> </w:t>
      </w:r>
      <w:r>
        <w:rPr>
          <w:iCs/>
          <w:i/>
        </w:rPr>
        <w:t xml:space="preserve">Nutr Hosp</w:t>
      </w:r>
      <w:r>
        <w:t xml:space="preserve"> </w:t>
      </w:r>
      <w:r>
        <w:t xml:space="preserve">· [Impact on weight loss and body composition of a food education intervention associated with Liraglutide treatment to address obesity]. PMID 38450509</w:t>
      </w:r>
    </w:p>
    <w:p>
      <w:pPr>
        <w:numPr>
          <w:ilvl w:val="0"/>
          <w:numId w:val="1377"/>
        </w:numPr>
        <w:pStyle w:val="Compact"/>
      </w:pPr>
      <w:r>
        <w:t xml:space="preserve">2024 · Green JB ·</w:t>
      </w:r>
      <w:r>
        <w:t xml:space="preserve"> </w:t>
      </w:r>
      <w:r>
        <w:rPr>
          <w:iCs/>
          <w:i/>
        </w:rPr>
        <w:t xml:space="preserve">Circulation</w:t>
      </w:r>
      <w:r>
        <w:t xml:space="preserve"> </w:t>
      </w:r>
      <w:r>
        <w:t xml:space="preserve">· Cardiovascular Outcomes in GRADE (Glycemia Reduction Approaches in Type 2 Diabetes: A Comparative Effectiveness Study). PMID 38344820</w:t>
      </w:r>
    </w:p>
    <w:p>
      <w:pPr>
        <w:numPr>
          <w:ilvl w:val="0"/>
          <w:numId w:val="1377"/>
        </w:numPr>
        <w:pStyle w:val="Compact"/>
      </w:pPr>
      <w:r>
        <w:t xml:space="preserve">2024 · Ma J ·</w:t>
      </w:r>
      <w:r>
        <w:t xml:space="preserve"> </w:t>
      </w:r>
      <w:r>
        <w:rPr>
          <w:iCs/>
          <w:i/>
        </w:rPr>
        <w:t xml:space="preserve">Altern Ther Health Med</w:t>
      </w:r>
      <w:r>
        <w:t xml:space="preserve"> </w:t>
      </w:r>
      <w:r>
        <w:t xml:space="preserve">· Clinical Efficacy and Safety of Liraglutide and Dapagliflozin on Glucose and Lipid Metabolism and Insulin Function in Patients with Type 2 Diabetes Mellitus. PMID 38294744</w:t>
      </w:r>
    </w:p>
    <w:p>
      <w:pPr>
        <w:numPr>
          <w:ilvl w:val="0"/>
          <w:numId w:val="1377"/>
        </w:numPr>
        <w:pStyle w:val="Compact"/>
      </w:pPr>
      <w:r>
        <w:t xml:space="preserve">2024 · Garvey WT ·</w:t>
      </w:r>
      <w:r>
        <w:t xml:space="preserve"> </w:t>
      </w:r>
      <w:r>
        <w:rPr>
          <w:iCs/>
          <w:i/>
        </w:rPr>
        <w:t xml:space="preserve">Diabetes Care</w:t>
      </w:r>
      <w:r>
        <w:t xml:space="preserve"> </w:t>
      </w:r>
      <w:r>
        <w:t xml:space="preserve">· Association of Baseline Factors With Glycemic Outcomes in GRADE: A Comparative Effectiveness Randomized Clinical Trial. PMID 38285957</w:t>
      </w:r>
    </w:p>
    <w:p>
      <w:pPr>
        <w:numPr>
          <w:ilvl w:val="0"/>
          <w:numId w:val="1377"/>
        </w:numPr>
        <w:pStyle w:val="Compact"/>
      </w:pPr>
      <w:r>
        <w:t xml:space="preserve">2024 · Kawaguchi Y ·</w:t>
      </w:r>
      <w:r>
        <w:t xml:space="preserve"> </w:t>
      </w:r>
      <w:r>
        <w:rPr>
          <w:iCs/>
          <w:i/>
        </w:rPr>
        <w:t xml:space="preserve">J Diabetes Investig</w:t>
      </w:r>
      <w:r>
        <w:t xml:space="preserve"> </w:t>
      </w:r>
      <w:r>
        <w:t xml:space="preserve">· Comparison of efficacy and safety of insulin degludec/liraglutide and insulin glargine U-100/lixisenatide in individuals with type 2 diabetes mellitus using professional continuous glucose monitoring. PMID 38258482</w:t>
      </w:r>
    </w:p>
    <w:p>
      <w:pPr>
        <w:numPr>
          <w:ilvl w:val="0"/>
          <w:numId w:val="1377"/>
        </w:numPr>
        <w:pStyle w:val="Compact"/>
      </w:pPr>
      <w:r>
        <w:t xml:space="preserve">2024 · McElroy SL ·</w:t>
      </w:r>
      <w:r>
        <w:t xml:space="preserve"> </w:t>
      </w:r>
      <w:r>
        <w:rPr>
          <w:iCs/>
          <w:i/>
        </w:rPr>
        <w:t xml:space="preserve">J Clin Psychopharmacol</w:t>
      </w:r>
      <w:r>
        <w:t xml:space="preserve"> </w:t>
      </w:r>
      <w:r>
        <w:t xml:space="preserve">· Liraglutide in Obese or Overweight Individuals With Stable Bipolar Disorder. PMID 38227621</w:t>
      </w:r>
    </w:p>
    <w:p>
      <w:pPr>
        <w:numPr>
          <w:ilvl w:val="0"/>
          <w:numId w:val="1377"/>
        </w:numPr>
        <w:pStyle w:val="Compact"/>
      </w:pPr>
      <w:r>
        <w:t xml:space="preserve">2024 · Rasouli N ·</w:t>
      </w:r>
      <w:r>
        <w:t xml:space="preserve"> </w:t>
      </w:r>
      <w:r>
        <w:rPr>
          <w:iCs/>
          <w:i/>
        </w:rPr>
        <w:t xml:space="preserve">Diabetes Care</w:t>
      </w:r>
      <w:r>
        <w:t xml:space="preserve"> </w:t>
      </w:r>
      <w:r>
        <w:t xml:space="preserve">· Longitudinal Effects of Glucose-Lowering Medications on β-Cell Responses and Insulin Sensitivity in Type 2 Diabetes: The GRADE Randomized Clinical Trial. PMID 38211595</w:t>
      </w:r>
    </w:p>
    <w:p>
      <w:pPr>
        <w:numPr>
          <w:ilvl w:val="0"/>
          <w:numId w:val="1377"/>
        </w:numPr>
        <w:pStyle w:val="Compact"/>
      </w:pPr>
      <w:r>
        <w:t xml:space="preserve">2024 · Kirkman MS ·</w:t>
      </w:r>
      <w:r>
        <w:t xml:space="preserve"> </w:t>
      </w:r>
      <w:r>
        <w:rPr>
          <w:iCs/>
          <w:i/>
        </w:rPr>
        <w:t xml:space="preserve">Diabetes Care</w:t>
      </w:r>
      <w:r>
        <w:t xml:space="preserve"> </w:t>
      </w:r>
      <w:r>
        <w:t xml:space="preserve">· Comparative Effects of Randomized Second-line Therapy for Type 2 Diabetes on a Composite Outcome Incorporating Glycemic Control, Body Weight, and Hypoglycemia: An Analysis of the Glycemia Reduction Approaches in Diabetes: A Comparative Effectiveness Study (GRADE). PMID 38194519</w:t>
      </w:r>
    </w:p>
    <w:p>
      <w:pPr>
        <w:numPr>
          <w:ilvl w:val="0"/>
          <w:numId w:val="1377"/>
        </w:numPr>
        <w:pStyle w:val="Compact"/>
      </w:pPr>
      <w:r>
        <w:t xml:space="preserve">2024 · Cherrington AL ·</w:t>
      </w:r>
      <w:r>
        <w:t xml:space="preserve"> </w:t>
      </w:r>
      <w:r>
        <w:rPr>
          <w:iCs/>
          <w:i/>
        </w:rPr>
        <w:t xml:space="preserve">Diabetes Care</w:t>
      </w:r>
      <w:r>
        <w:t xml:space="preserve"> </w:t>
      </w:r>
      <w:r>
        <w:t xml:space="preserve">· Impact of Glucose-Lowering Medications on Health-Related Quality of Life in the Glycemia Reduction Approaches in Diabetes: A Comparative Effectiveness Study (GRADE). PMID 38190625</w:t>
      </w:r>
    </w:p>
    <w:p>
      <w:pPr>
        <w:numPr>
          <w:ilvl w:val="0"/>
          <w:numId w:val="1377"/>
        </w:numPr>
        <w:pStyle w:val="Compact"/>
      </w:pPr>
      <w:r>
        <w:t xml:space="preserve">2024 · Utzschneider KM ·</w:t>
      </w:r>
      <w:r>
        <w:t xml:space="preserve"> </w:t>
      </w:r>
      <w:r>
        <w:rPr>
          <w:iCs/>
          <w:i/>
        </w:rPr>
        <w:t xml:space="preserve">Diabetes Care</w:t>
      </w:r>
      <w:r>
        <w:t xml:space="preserve"> </w:t>
      </w:r>
      <w:r>
        <w:t xml:space="preserve">· Impact of Insulin Sensitivity and β-Cell Function Over Time on Glycemic Outcomes in the Glycemia Reduction Approaches in Diabetes: A Comparative Effectiveness Study (GRADE): Differential Treatment Effects of Dual Therapy. PMID 38190619</w:t>
      </w:r>
    </w:p>
    <w:p>
      <w:pPr>
        <w:numPr>
          <w:ilvl w:val="0"/>
          <w:numId w:val="1377"/>
        </w:numPr>
        <w:pStyle w:val="Compact"/>
      </w:pPr>
      <w:r>
        <w:t xml:space="preserve">2024 · Eghbali M ·</w:t>
      </w:r>
      <w:r>
        <w:t xml:space="preserve"> </w:t>
      </w:r>
      <w:r>
        <w:rPr>
          <w:iCs/>
          <w:i/>
        </w:rPr>
        <w:t xml:space="preserve">Adv Ther</w:t>
      </w:r>
      <w:r>
        <w:t xml:space="preserve"> </w:t>
      </w:r>
      <w:r>
        <w:t xml:space="preserve">· Glucagon-Like Peptide 1 (GLP-1) Receptor Variants and Glycemic Response to Liraglutide: A Pharmacogenetics Study in Iranian People with Type 2 Diabetes Mellitus. PMID 38172377</w:t>
      </w:r>
    </w:p>
    <w:p>
      <w:pPr>
        <w:numPr>
          <w:ilvl w:val="0"/>
          <w:numId w:val="1377"/>
        </w:numPr>
        <w:pStyle w:val="Compact"/>
      </w:pPr>
      <w:r>
        <w:t xml:space="preserve">2024 · Hany M ·</w:t>
      </w:r>
      <w:r>
        <w:t xml:space="preserve"> </w:t>
      </w:r>
      <w:r>
        <w:rPr>
          <w:iCs/>
          <w:i/>
        </w:rPr>
        <w:t xml:space="preserve">Int J Surg</w:t>
      </w:r>
      <w:r>
        <w:t xml:space="preserve"> </w:t>
      </w:r>
      <w:r>
        <w:t xml:space="preserve">· Boosting weight loss after conversional Roux-en-Y Gastric Bypass with liraglutide and placebo use. A double-blind-randomized controlled trial. PMID 38100630</w:t>
      </w:r>
    </w:p>
    <w:p>
      <w:pPr>
        <w:numPr>
          <w:ilvl w:val="0"/>
          <w:numId w:val="1377"/>
        </w:numPr>
        <w:pStyle w:val="Compact"/>
      </w:pPr>
      <w:r>
        <w:t xml:space="preserve">2024 · O’Donnell C ·</w:t>
      </w:r>
      <w:r>
        <w:t xml:space="preserve"> </w:t>
      </w:r>
      <w:r>
        <w:rPr>
          <w:iCs/>
          <w:i/>
        </w:rPr>
        <w:t xml:space="preserve">Ann Am Thorac Soc</w:t>
      </w:r>
      <w:r>
        <w:t xml:space="preserve"> </w:t>
      </w:r>
      <w:r>
        <w:t xml:space="preserve">· Continuous Positive Airway Pressure but Not GLP1-mediated Weight Loss Improves Early Cardiovascular Disease in Obstructive Sleep Apnea: A Randomized Proof-of-Concept Study. PMID 38096106</w:t>
      </w:r>
    </w:p>
    <w:p>
      <w:pPr>
        <w:numPr>
          <w:ilvl w:val="0"/>
          <w:numId w:val="1377"/>
        </w:numPr>
        <w:pStyle w:val="Compact"/>
      </w:pPr>
      <w:r>
        <w:t xml:space="preserve">2024 · Krishnan K ·</w:t>
      </w:r>
      <w:r>
        <w:t xml:space="preserve"> </w:t>
      </w:r>
      <w:r>
        <w:rPr>
          <w:iCs/>
          <w:i/>
        </w:rPr>
        <w:t xml:space="preserve">Diabetes Res Clin Pract</w:t>
      </w:r>
      <w:r>
        <w:t xml:space="preserve"> </w:t>
      </w:r>
      <w:r>
        <w:t xml:space="preserve">· Phase 3 efficacy and safety trial of proposed liraglutide biosimilar for reduction of glycosylated hemoglobin (HbA1c) in patients with Type 2 diabetes mellitus. PMID 38061446</w:t>
      </w:r>
    </w:p>
    <w:p>
      <w:pPr>
        <w:numPr>
          <w:ilvl w:val="0"/>
          <w:numId w:val="1377"/>
        </w:numPr>
        <w:pStyle w:val="Compact"/>
      </w:pPr>
      <w:r>
        <w:t xml:space="preserve">2024 · Dietsche KB ·</w:t>
      </w:r>
      <w:r>
        <w:t xml:space="preserve"> </w:t>
      </w:r>
      <w:r>
        <w:rPr>
          <w:iCs/>
          <w:i/>
        </w:rPr>
        <w:t xml:space="preserve">J Clin Endocrinol Metab</w:t>
      </w:r>
      <w:r>
        <w:t xml:space="preserve"> </w:t>
      </w:r>
      <w:r>
        <w:t xml:space="preserve">· Glycemia and Gluconeogenesis With Metformin and Liraglutide: A Randomized Trial in Youth-onset Type 2 Diabetes. PMID 37967247</w:t>
      </w:r>
    </w:p>
    <w:p>
      <w:pPr>
        <w:numPr>
          <w:ilvl w:val="0"/>
          <w:numId w:val="1377"/>
        </w:numPr>
        <w:pStyle w:val="Compact"/>
      </w:pPr>
      <w:r>
        <w:t xml:space="preserve">2024 · Custódio G ·</w:t>
      </w:r>
      <w:r>
        <w:t xml:space="preserve"> </w:t>
      </w:r>
      <w:r>
        <w:rPr>
          <w:iCs/>
          <w:i/>
        </w:rPr>
        <w:t xml:space="preserve">Liver Transpl</w:t>
      </w:r>
      <w:r>
        <w:t xml:space="preserve"> </w:t>
      </w:r>
      <w:r>
        <w:t xml:space="preserve">· Does liraglutide alleviate inflammation in brain-dead donors? A randomized clinical trial. PMID 37938130</w:t>
      </w:r>
    </w:p>
    <w:p>
      <w:pPr>
        <w:numPr>
          <w:ilvl w:val="0"/>
          <w:numId w:val="1377"/>
        </w:numPr>
        <w:pStyle w:val="Compact"/>
      </w:pPr>
      <w:r>
        <w:t xml:space="preserve">2024 · Mashayekhi M ·</w:t>
      </w:r>
      <w:r>
        <w:t xml:space="preserve"> </w:t>
      </w:r>
      <w:r>
        <w:rPr>
          <w:iCs/>
          <w:i/>
        </w:rPr>
        <w:t xml:space="preserve">Diabetes</w:t>
      </w:r>
      <w:r>
        <w:t xml:space="preserve"> </w:t>
      </w:r>
      <w:r>
        <w:t xml:space="preserve">· Weight Loss-Independent Effect of Liraglutide on Insulin Sensitivity in Individuals With Obesity and Prediabetes. PMID 37874653</w:t>
      </w:r>
    </w:p>
    <w:p>
      <w:pPr>
        <w:numPr>
          <w:ilvl w:val="0"/>
          <w:numId w:val="1377"/>
        </w:numPr>
        <w:pStyle w:val="Compact"/>
      </w:pPr>
      <w:r>
        <w:t xml:space="preserve">2024 · Foghsgaard S ·</w:t>
      </w:r>
      <w:r>
        <w:t xml:space="preserve"> </w:t>
      </w:r>
      <w:r>
        <w:rPr>
          <w:iCs/>
          <w:i/>
        </w:rPr>
        <w:t xml:space="preserve">Diabetes Obes Metab</w:t>
      </w:r>
      <w:r>
        <w:t xml:space="preserve"> </w:t>
      </w:r>
      <w:r>
        <w:t xml:space="preserve">· Liraglutide treatment for the prevention of glucose tolerance deterioration in women with prior gestational diabetes mellitus: A 52-week randomized controlled clinical trial. PMID 37846555</w:t>
      </w:r>
    </w:p>
    <w:p>
      <w:pPr>
        <w:numPr>
          <w:ilvl w:val="0"/>
          <w:numId w:val="1377"/>
        </w:numPr>
        <w:pStyle w:val="Compact"/>
      </w:pPr>
      <w:r>
        <w:t xml:space="preserve">2024 · Hollander PA ·</w:t>
      </w:r>
      <w:r>
        <w:t xml:space="preserve"> </w:t>
      </w:r>
      <w:r>
        <w:rPr>
          <w:iCs/>
          <w:i/>
        </w:rPr>
        <w:t xml:space="preserve">Diabetes Care</w:t>
      </w:r>
      <w:r>
        <w:t xml:space="preserve"> </w:t>
      </w:r>
      <w:r>
        <w:t xml:space="preserve">· The Use of Rescue Insulin in the Glycemia Reduction Approaches in Diabetes: A Comparative Effectiveness Study (GRADE). PMID 37756542</w:t>
      </w:r>
    </w:p>
    <w:p>
      <w:pPr>
        <w:numPr>
          <w:ilvl w:val="0"/>
          <w:numId w:val="1377"/>
        </w:numPr>
        <w:pStyle w:val="Compact"/>
      </w:pPr>
      <w:r>
        <w:t xml:space="preserve">2024 · Liao M ·</w:t>
      </w:r>
      <w:r>
        <w:t xml:space="preserve"> </w:t>
      </w:r>
      <w:r>
        <w:rPr>
          <w:iCs/>
          <w:i/>
        </w:rPr>
        <w:t xml:space="preserve">Endocrine</w:t>
      </w:r>
      <w:r>
        <w:t xml:space="preserve"> </w:t>
      </w:r>
      <w:r>
        <w:t xml:space="preserve">· Effects and plasma proteomic analysis of GLP-1RA versus CPA/EE, in combination with metformin, on overweight PCOS women: a randomized controlled trial. PMID 37653215</w:t>
      </w:r>
    </w:p>
    <w:p>
      <w:pPr>
        <w:numPr>
          <w:ilvl w:val="0"/>
          <w:numId w:val="1377"/>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7"/>
        </w:numPr>
        <w:pStyle w:val="Compact"/>
      </w:pPr>
      <w:r>
        <w:t xml:space="preserve">2024 · Philis-Tsimikas A ·</w:t>
      </w:r>
      <w:r>
        <w:t xml:space="preserve"> </w:t>
      </w:r>
      <w:r>
        <w:rPr>
          <w:iCs/>
          <w:i/>
        </w:rPr>
        <w:t xml:space="preserve">J Diabetes Sci Technol</w:t>
      </w:r>
      <w:r>
        <w:t xml:space="preserve"> </w:t>
      </w:r>
      <w:r>
        <w:t xml:space="preserve">· Higher Derived Time in Range With IDegLira Versus Insulin Glargine U100 in People With Type 2 Diabetes. PMID 36710452</w:t>
      </w:r>
    </w:p>
    <w:p>
      <w:pPr>
        <w:numPr>
          <w:ilvl w:val="0"/>
          <w:numId w:val="1377"/>
        </w:numPr>
        <w:pStyle w:val="Compact"/>
      </w:pPr>
      <w:r>
        <w:t xml:space="preserve">2023 · Parker VER ·</w:t>
      </w:r>
      <w:r>
        <w:t xml:space="preserve"> </w:t>
      </w:r>
      <w:r>
        <w:rPr>
          <w:iCs/>
          <w:i/>
        </w:rPr>
        <w:t xml:space="preserve">Nat Metab</w:t>
      </w:r>
      <w:r>
        <w:t xml:space="preserve"> </w:t>
      </w:r>
      <w:r>
        <w:t xml:space="preserve">· Cotadutide promotes glycogenolysis in people with overweight or obesity diagnosed with type 2 diabetes. PMID 38066113</w:t>
      </w:r>
    </w:p>
    <w:p>
      <w:pPr>
        <w:numPr>
          <w:ilvl w:val="0"/>
          <w:numId w:val="1377"/>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7"/>
        </w:numPr>
        <w:pStyle w:val="Compact"/>
      </w:pPr>
      <w:r>
        <w:t xml:space="preserve">2023 · Coppin G ·</w:t>
      </w:r>
      <w:r>
        <w:t xml:space="preserve"> </w:t>
      </w:r>
      <w:r>
        <w:rPr>
          <w:iCs/>
          <w:i/>
        </w:rPr>
        <w:t xml:space="preserve">Int J Obes (Lond)</w:t>
      </w:r>
      <w:r>
        <w:t xml:space="preserve"> </w:t>
      </w:r>
      <w:r>
        <w:t xml:space="preserve">· A randomized controlled trial investigating the effect of liraglutide on self-reported liking and neural responses to food stimuli in participants with obesity. PMID 37626125</w:t>
      </w:r>
    </w:p>
    <w:p>
      <w:pPr>
        <w:numPr>
          <w:ilvl w:val="0"/>
          <w:numId w:val="1377"/>
        </w:numPr>
        <w:pStyle w:val="Compact"/>
      </w:pPr>
      <w:r>
        <w:t xml:space="preserve">2023 · Hanssen R ·</w:t>
      </w:r>
      <w:r>
        <w:t xml:space="preserve"> </w:t>
      </w:r>
      <w:r>
        <w:rPr>
          <w:iCs/>
          <w:i/>
        </w:rPr>
        <w:t xml:space="preserve">Nat Metab</w:t>
      </w:r>
      <w:r>
        <w:t xml:space="preserve"> </w:t>
      </w:r>
      <w:r>
        <w:t xml:space="preserve">· Liraglutide restores impaired associative learning in individuals with obesity. PMID 37592007</w:t>
      </w:r>
    </w:p>
    <w:p>
      <w:pPr>
        <w:numPr>
          <w:ilvl w:val="0"/>
          <w:numId w:val="1377"/>
        </w:numPr>
        <w:pStyle w:val="Compact"/>
      </w:pPr>
      <w:r>
        <w:t xml:space="preserve">2023 · Freitas FPC ·</w:t>
      </w:r>
      <w:r>
        <w:t xml:space="preserve"> </w:t>
      </w:r>
      <w:r>
        <w:rPr>
          <w:iCs/>
          <w:i/>
        </w:rPr>
        <w:t xml:space="preserve">Sci Rep</w:t>
      </w:r>
      <w:r>
        <w:t xml:space="preserve"> </w:t>
      </w:r>
      <w:r>
        <w:t xml:space="preserve">· Effect of liraglutide on cardiometabolic profile and on bioelectrical impedance analysis in patients with obesity and metabolic syndrome. PMID 37567946</w:t>
      </w:r>
    </w:p>
    <w:p>
      <w:pPr>
        <w:numPr>
          <w:ilvl w:val="0"/>
          <w:numId w:val="1377"/>
        </w:numPr>
        <w:pStyle w:val="Compact"/>
      </w:pPr>
      <w:r>
        <w:t xml:space="preserve">2023 · Mok J ·</w:t>
      </w:r>
      <w:r>
        <w:t xml:space="preserve"> </w:t>
      </w:r>
      <w:r>
        <w:rPr>
          <w:iCs/>
          <w:i/>
        </w:rPr>
        <w:t xml:space="preserve">JAMA Surg</w:t>
      </w:r>
      <w:r>
        <w:t xml:space="preserve"> </w:t>
      </w:r>
      <w:r>
        <w:t xml:space="preserve">· Safety and Efficacy of Liraglutide, 3.0 mg, Once Daily vs Placebo in Patients With Poor Weight Loss Following Metabolic Surgery: The BARI-OPTIMISE Randomized Clinical Trial. PMID 37494014</w:t>
      </w:r>
    </w:p>
    <w:p>
      <w:pPr>
        <w:numPr>
          <w:ilvl w:val="0"/>
          <w:numId w:val="1377"/>
        </w:numPr>
        <w:pStyle w:val="Compact"/>
      </w:pPr>
      <w:r>
        <w:t xml:space="preserve">2023 · Galindo RJ ·</w:t>
      </w:r>
      <w:r>
        <w:t xml:space="preserve"> </w:t>
      </w:r>
      <w:r>
        <w:rPr>
          <w:iCs/>
          <w:i/>
        </w:rPr>
        <w:t xml:space="preserve">Diabetes Care</w:t>
      </w:r>
      <w:r>
        <w:t xml:space="preserve"> </w:t>
      </w:r>
      <w:r>
        <w:t xml:space="preserve">· A Randomized Controlled Trial Comparing the Efficacy and Safety of IDegLira Versus Basal-Bolus in Patients With Poorly Controlled Type 2 Diabetes and Very High HbA1c ≥9-15%: DUAL HIGH Trial. PMID 37459574</w:t>
      </w:r>
    </w:p>
    <w:p>
      <w:pPr>
        <w:numPr>
          <w:ilvl w:val="0"/>
          <w:numId w:val="1377"/>
        </w:numPr>
        <w:pStyle w:val="Compact"/>
      </w:pPr>
      <w:r>
        <w:t xml:space="preserve">2023 · Scherbak NN ·</w:t>
      </w:r>
      <w:r>
        <w:t xml:space="preserve"> </w:t>
      </w:r>
      <w:r>
        <w:rPr>
          <w:iCs/>
          <w:i/>
        </w:rPr>
        <w:t xml:space="preserve">Diabetes Metab J</w:t>
      </w:r>
      <w:r>
        <w:t xml:space="preserve"> </w:t>
      </w:r>
      <w:r>
        <w:t xml:space="preserve">· Glimepiride Compared to Liraglutide Increases Plasma Levels of miR-206, miR-182-5p, and miR-766-3p in Type 2 Diabetes Mellitus: A Randomized Controlled Trial. PMID 37349083</w:t>
      </w:r>
    </w:p>
    <w:p>
      <w:pPr>
        <w:numPr>
          <w:ilvl w:val="0"/>
          <w:numId w:val="1377"/>
        </w:numPr>
        <w:pStyle w:val="Compact"/>
      </w:pPr>
      <w:r>
        <w:t xml:space="preserve">2023 · Bensignor MO ·</w:t>
      </w:r>
      <w:r>
        <w:t xml:space="preserve"> </w:t>
      </w:r>
      <w:r>
        <w:rPr>
          <w:iCs/>
          <w:i/>
        </w:rPr>
        <w:t xml:space="preserve">Pediatr Obes</w:t>
      </w:r>
      <w:r>
        <w:t xml:space="preserve"> </w:t>
      </w:r>
      <w:r>
        <w:t xml:space="preserve">· Evaluating potential predictors of weight loss response to liraglutide in adolescents with obesity: A post hoc analysis of the randomized, placebo-controlled SCALE Teens trial. PMID 37264767</w:t>
      </w:r>
    </w:p>
    <w:p>
      <w:pPr>
        <w:numPr>
          <w:ilvl w:val="0"/>
          <w:numId w:val="1377"/>
        </w:numPr>
        <w:pStyle w:val="Compact"/>
      </w:pPr>
      <w:r>
        <w:t xml:space="preserve">2023 · Wexler DJ ·</w:t>
      </w:r>
      <w:r>
        <w:t xml:space="preserve"> </w:t>
      </w:r>
      <w:r>
        <w:rPr>
          <w:iCs/>
          <w:i/>
        </w:rPr>
        <w:t xml:space="preserve">JAMA Intern Med</w:t>
      </w:r>
      <w:r>
        <w:t xml:space="preserve"> </w:t>
      </w:r>
      <w:r>
        <w:t xml:space="preserve">· Comparative Effects of Glucose-Lowering Medications on Kidney Outcomes in Type 2 Diabetes: The GRADE Randomized Clinical Trial. PMID 37213109</w:t>
      </w:r>
    </w:p>
    <w:p>
      <w:pPr>
        <w:numPr>
          <w:ilvl w:val="0"/>
          <w:numId w:val="1377"/>
        </w:numPr>
        <w:pStyle w:val="Compact"/>
      </w:pPr>
      <w:r>
        <w:t xml:space="preserve">2023 · Silver HJ ·</w:t>
      </w:r>
      <w:r>
        <w:t xml:space="preserve"> </w:t>
      </w:r>
      <w:r>
        <w:rPr>
          <w:iCs/>
          <w:i/>
        </w:rPr>
        <w:t xml:space="preserve">Diabetes Obes Metab</w:t>
      </w:r>
      <w:r>
        <w:t xml:space="preserve"> </w:t>
      </w:r>
      <w:r>
        <w:t xml:space="preserve">· Effect of the glucagon-like peptide-1 receptor agonist liraglutide, compared to caloric restriction, on appetite, dietary intake, body fat distribution and cardiometabolic biomarkers: A randomized trial in adults with obesity and prediabetes. PMID 37188932</w:t>
      </w:r>
    </w:p>
    <w:p>
      <w:pPr>
        <w:numPr>
          <w:ilvl w:val="0"/>
          <w:numId w:val="1377"/>
        </w:numPr>
        <w:pStyle w:val="Compact"/>
      </w:pPr>
      <w:r>
        <w:t xml:space="preserve">2023 · Meng XM ·</w:t>
      </w:r>
      <w:r>
        <w:t xml:space="preserve"> </w:t>
      </w:r>
      <w:r>
        <w:rPr>
          <w:iCs/>
          <w:i/>
        </w:rPr>
        <w:t xml:space="preserve">Zhonghua Yi Xue Za Zhi</w:t>
      </w:r>
      <w:r>
        <w:t xml:space="preserve"> </w:t>
      </w:r>
      <w:r>
        <w:t xml:space="preserve">· [Effect of Liraglutide on platelet distribution width and carotid intima-media thickness in type 2 diabetic mellitus patients with obesity]. PMID 37150681</w:t>
      </w:r>
    </w:p>
    <w:p>
      <w:pPr>
        <w:numPr>
          <w:ilvl w:val="0"/>
          <w:numId w:val="1377"/>
        </w:numPr>
        <w:pStyle w:val="Compact"/>
      </w:pPr>
      <w:r>
        <w:t xml:space="preserve">2023 · Jensen SBK ·</w:t>
      </w:r>
      <w:r>
        <w:t xml:space="preserve"> </w:t>
      </w:r>
      <w:r>
        <w:rPr>
          <w:iCs/>
          <w:i/>
        </w:rPr>
        <w:t xml:space="preserve">Obesity (Silver Spring)</w:t>
      </w:r>
      <w:r>
        <w:t xml:space="preserve"> </w:t>
      </w:r>
      <w:r>
        <w:t xml:space="preserve">· Weight loss maintenance with exercise and liraglutide improves glucose tolerance, glucagon response, and beta cell function. PMID 36942420</w:t>
      </w:r>
    </w:p>
    <w:p>
      <w:pPr>
        <w:numPr>
          <w:ilvl w:val="0"/>
          <w:numId w:val="1377"/>
        </w:numPr>
        <w:pStyle w:val="Compact"/>
      </w:pPr>
      <w:r>
        <w:t xml:space="preserve">2023 · Xu Z ·</w:t>
      </w:r>
      <w:r>
        <w:t xml:space="preserve"> </w:t>
      </w:r>
      <w:r>
        <w:rPr>
          <w:iCs/>
          <w:i/>
        </w:rPr>
        <w:t xml:space="preserve">Expert Rev Clin Pharmacol</w:t>
      </w:r>
      <w:r>
        <w:t xml:space="preserve"> </w:t>
      </w:r>
      <w:r>
        <w:t xml:space="preserve">· Comparing the bioequivalence and safety of liraglutide in healthy Chinese subjects: an open, single-dose, randomized, repeated, two-sequence, two-cycle phase I clinical trial. PMID 36883362</w:t>
      </w:r>
    </w:p>
    <w:p>
      <w:pPr>
        <w:numPr>
          <w:ilvl w:val="0"/>
          <w:numId w:val="1377"/>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7"/>
        </w:numPr>
        <w:pStyle w:val="Compact"/>
      </w:pPr>
      <w:r>
        <w:t xml:space="preserve">2023 · Bechlioulis A ·</w:t>
      </w:r>
      <w:r>
        <w:t xml:space="preserve"> </w:t>
      </w:r>
      <w:r>
        <w:rPr>
          <w:iCs/>
          <w:i/>
        </w:rPr>
        <w:t xml:space="preserve">J Diabetes Complications</w:t>
      </w:r>
      <w:r>
        <w:t xml:space="preserve"> </w:t>
      </w:r>
      <w:r>
        <w:t xml:space="preserve">· The effect of SGLT2 inhibitors, GLP1 agonists, and their sequential combination on cardiometabolic parameters: A randomized, prospective, intervention study. PMID 36842186</w:t>
      </w:r>
    </w:p>
    <w:p>
      <w:pPr>
        <w:numPr>
          <w:ilvl w:val="0"/>
          <w:numId w:val="1377"/>
        </w:numPr>
        <w:pStyle w:val="Compact"/>
      </w:pPr>
      <w:r>
        <w:t xml:space="preserve">2023 · Sandsdal RM ·</w:t>
      </w:r>
      <w:r>
        <w:t xml:space="preserve"> </w:t>
      </w:r>
      <w:r>
        <w:rPr>
          <w:iCs/>
          <w:i/>
        </w:rPr>
        <w:t xml:space="preserve">Cardiovasc Diabetol</w:t>
      </w:r>
      <w:r>
        <w:t xml:space="preserve"> </w:t>
      </w:r>
      <w:r>
        <w:t xml:space="preserve">· Combination of exercise and GLP-1 receptor agonist treatment reduces severity of metabolic syndrome, abdominal obesity, and inflammation: a randomized controlled trial. PMID 36841762</w:t>
      </w:r>
    </w:p>
    <w:p>
      <w:pPr>
        <w:numPr>
          <w:ilvl w:val="0"/>
          <w:numId w:val="1377"/>
        </w:numPr>
        <w:pStyle w:val="Compact"/>
      </w:pPr>
      <w:r>
        <w:t xml:space="preserve">2023 · Nerild HH ·</w:t>
      </w:r>
      <w:r>
        <w:t xml:space="preserve"> </w:t>
      </w:r>
      <w:r>
        <w:rPr>
          <w:iCs/>
          <w:i/>
        </w:rPr>
        <w:t xml:space="preserve">Diabetes Obes Metab</w:t>
      </w:r>
      <w:r>
        <w:t xml:space="preserve"> </w:t>
      </w:r>
      <w:r>
        <w:t xml:space="preserve">· Liraglutide changes postprandial responses of gut hormones involved in the regulation of gallbladder motility. PMID 36781820</w:t>
      </w:r>
    </w:p>
    <w:p>
      <w:pPr>
        <w:numPr>
          <w:ilvl w:val="0"/>
          <w:numId w:val="1377"/>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7"/>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7"/>
        </w:numPr>
        <w:pStyle w:val="Compact"/>
      </w:pPr>
      <w:r>
        <w:t xml:space="preserve">2023 · Sindhvananda W ·</w:t>
      </w:r>
      <w:r>
        <w:t xml:space="preserve"> </w:t>
      </w:r>
      <w:r>
        <w:rPr>
          <w:iCs/>
          <w:i/>
        </w:rPr>
        <w:t xml:space="preserve">Ann Card Anaesth</w:t>
      </w:r>
      <w:r>
        <w:t xml:space="preserve"> </w:t>
      </w:r>
      <w:r>
        <w:t xml:space="preserve">· Comparison of glucose control by added liraglutide to only insulin infusion in diabetic patient undergoing cardiac surgery: A preliminary randomized-controlled trial. PMID 36722590</w:t>
      </w:r>
    </w:p>
    <w:p>
      <w:pPr>
        <w:numPr>
          <w:ilvl w:val="0"/>
          <w:numId w:val="1377"/>
        </w:numPr>
        <w:pStyle w:val="Compact"/>
      </w:pPr>
      <w:r>
        <w:t xml:space="preserve">2023 · Feng S ·</w:t>
      </w:r>
      <w:r>
        <w:t xml:space="preserve"> </w:t>
      </w:r>
      <w:r>
        <w:rPr>
          <w:iCs/>
          <w:i/>
        </w:rPr>
        <w:t xml:space="preserve">Clin Pharmacol Drug Dev</w:t>
      </w:r>
      <w:r>
        <w:t xml:space="preserve"> </w:t>
      </w:r>
      <w:r>
        <w:t xml:space="preserve">· A Single-dose, Two-Period Crossover Bioequivalence Study Comparing Two Liraglutide Formulations in Healthy Chinese Subjects. PMID 36648126</w:t>
      </w:r>
    </w:p>
    <w:p>
      <w:pPr>
        <w:numPr>
          <w:ilvl w:val="0"/>
          <w:numId w:val="1377"/>
        </w:numPr>
        <w:pStyle w:val="Compact"/>
      </w:pPr>
      <w:r>
        <w:t xml:space="preserve">2023 · Jiang W ·</w:t>
      </w:r>
      <w:r>
        <w:t xml:space="preserve"> </w:t>
      </w:r>
      <w:r>
        <w:rPr>
          <w:iCs/>
          <w:i/>
        </w:rPr>
        <w:t xml:space="preserve">Sleep Breath</w:t>
      </w:r>
      <w:r>
        <w:t xml:space="preserve"> </w:t>
      </w:r>
      <w:r>
        <w:t xml:space="preserve">· Efficacy and safety of liraglutide in patients with type 2 diabetes mellitus and severe obstructive sleep apnea. PMID 36542275</w:t>
      </w:r>
    </w:p>
    <w:p>
      <w:pPr>
        <w:numPr>
          <w:ilvl w:val="0"/>
          <w:numId w:val="1377"/>
        </w:numPr>
        <w:pStyle w:val="Compact"/>
      </w:pPr>
      <w:r>
        <w:t xml:space="preserve">2023 · Bogh AF ·</w:t>
      </w:r>
      <w:r>
        <w:t xml:space="preserve"> </w:t>
      </w:r>
      <w:r>
        <w:rPr>
          <w:iCs/>
          <w:i/>
        </w:rPr>
        <w:t xml:space="preserve">Sleep</w:t>
      </w:r>
      <w:r>
        <w:t xml:space="preserve"> </w:t>
      </w:r>
      <w:r>
        <w:t xml:space="preserve">· Insufficient sleep predicts poor weight loss maintenance after 1 year. PMID 36472579</w:t>
      </w:r>
    </w:p>
    <w:p>
      <w:pPr>
        <w:numPr>
          <w:ilvl w:val="0"/>
          <w:numId w:val="1377"/>
        </w:numPr>
        <w:pStyle w:val="Compact"/>
      </w:pPr>
      <w:r>
        <w:t xml:space="preserve">2023 · Angelidi AM ·</w:t>
      </w:r>
      <w:r>
        <w:t xml:space="preserve"> </w:t>
      </w:r>
      <w:r>
        <w:rPr>
          <w:iCs/>
          <w:i/>
        </w:rPr>
        <w:t xml:space="preserve">Metabolism</w:t>
      </w:r>
      <w:r>
        <w:t xml:space="preserve"> </w:t>
      </w:r>
      <w:r>
        <w:t xml:space="preserve">· Early metabolomic, lipid and lipoprotein changes in response to medical and surgical therapeutic approaches to obesity. PMID 36375643</w:t>
      </w:r>
    </w:p>
    <w:p>
      <w:pPr>
        <w:numPr>
          <w:ilvl w:val="0"/>
          <w:numId w:val="1377"/>
        </w:numPr>
        <w:pStyle w:val="Compact"/>
      </w:pPr>
      <w:r>
        <w:t xml:space="preserve">2023 · Mashayekhi M ·</w:t>
      </w:r>
      <w:r>
        <w:t xml:space="preserve"> </w:t>
      </w:r>
      <w:r>
        <w:rPr>
          <w:iCs/>
          <w:i/>
        </w:rPr>
        <w:t xml:space="preserve">Diabetes Obes Metab</w:t>
      </w:r>
      <w:r>
        <w:t xml:space="preserve"> </w:t>
      </w:r>
      <w:r>
        <w:t xml:space="preserve">· Comparative effects of weight loss and incretin-based therapies on vascular endothelial function, fibrinolysis and inflammation in individuals with obesity and prediabetes: A randomized controlled trial. PMID 36306151</w:t>
      </w:r>
    </w:p>
    <w:p>
      <w:pPr>
        <w:numPr>
          <w:ilvl w:val="0"/>
          <w:numId w:val="1377"/>
        </w:numPr>
        <w:pStyle w:val="Compact"/>
      </w:pPr>
      <w:r>
        <w:t xml:space="preserve">2023 · Sannaa W ·</w:t>
      </w:r>
      <w:r>
        <w:t xml:space="preserve"> </w:t>
      </w:r>
      <w:r>
        <w:rPr>
          <w:iCs/>
          <w:i/>
        </w:rPr>
        <w:t xml:space="preserve">Diabetes Obes Metab</w:t>
      </w:r>
      <w:r>
        <w:t xml:space="preserve"> </w:t>
      </w:r>
      <w:r>
        <w:t xml:space="preserve">· Factors associated with successful weight loss after liraglutide treatment for obesity. PMID 36193713</w:t>
      </w:r>
    </w:p>
    <w:p>
      <w:pPr>
        <w:numPr>
          <w:ilvl w:val="0"/>
          <w:numId w:val="1377"/>
        </w:numPr>
        <w:pStyle w:val="Compact"/>
      </w:pPr>
      <w:r>
        <w:t xml:space="preserve">2023 · Neves JS ·</w:t>
      </w:r>
      <w:r>
        <w:t xml:space="preserve"> </w:t>
      </w:r>
      <w:r>
        <w:rPr>
          <w:iCs/>
          <w:i/>
        </w:rPr>
        <w:t xml:space="preserve">Diabetes Obes Metab</w:t>
      </w:r>
      <w:r>
        <w:t xml:space="preserve"> </w:t>
      </w:r>
      <w:r>
        <w:t xml:space="preserve">· Risk of adverse events with liraglutide in heart failure with reduced ejection fraction: A post hoc analysis of the FIGHT trial. PMID 36082522</w:t>
      </w:r>
    </w:p>
    <w:p>
      <w:pPr>
        <w:numPr>
          <w:ilvl w:val="0"/>
          <w:numId w:val="1377"/>
        </w:numPr>
        <w:pStyle w:val="Compact"/>
      </w:pPr>
      <w:r>
        <w:t xml:space="preserve">2022 · Diene G ·</w:t>
      </w:r>
      <w:r>
        <w:t xml:space="preserve"> </w:t>
      </w:r>
      <w:r>
        <w:rPr>
          <w:iCs/>
          <w:i/>
        </w:rPr>
        <w:t xml:space="preserve">J Clin Endocrinol Metab</w:t>
      </w:r>
      <w:r>
        <w:t xml:space="preserve"> </w:t>
      </w:r>
      <w:r>
        <w:t xml:space="preserve">· Liraglutide for Weight Management in Children and Adolescents With Prader-Willi Syndrome and Obesity. PMID 36181471</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Microvascular and Cardiovascular Outcomes. PMID 36129997</w:t>
      </w:r>
    </w:p>
    <w:p>
      <w:pPr>
        <w:numPr>
          <w:ilvl w:val="0"/>
          <w:numId w:val="1377"/>
        </w:numPr>
        <w:pStyle w:val="Compact"/>
      </w:pPr>
      <w:r>
        <w:t xml:space="preserve">2022 · GRADE Study Research Group ·</w:t>
      </w:r>
      <w:r>
        <w:t xml:space="preserve"> </w:t>
      </w:r>
      <w:r>
        <w:rPr>
          <w:iCs/>
          <w:i/>
        </w:rPr>
        <w:t xml:space="preserve">N Engl J Med</w:t>
      </w:r>
      <w:r>
        <w:t xml:space="preserve"> </w:t>
      </w:r>
      <w:r>
        <w:t xml:space="preserve">· Glycemia Reduction in Type 2 Diabetes - Glycemic Outcomes. PMID 36129996</w:t>
      </w:r>
    </w:p>
    <w:p>
      <w:pPr>
        <w:numPr>
          <w:ilvl w:val="0"/>
          <w:numId w:val="1377"/>
        </w:numPr>
        <w:pStyle w:val="Compact"/>
      </w:pPr>
      <w:r>
        <w:t xml:space="preserve">2022 · Yu D ·</w:t>
      </w:r>
      <w:r>
        <w:t xml:space="preserve"> </w:t>
      </w:r>
      <w:r>
        <w:rPr>
          <w:iCs/>
          <w:i/>
        </w:rPr>
        <w:t xml:space="preserve">Front Endocrinol (Lausanne)</w:t>
      </w:r>
      <w:r>
        <w:t xml:space="preserve"> </w:t>
      </w:r>
      <w:r>
        <w:t xml:space="preserve">· Effects of liraglutide or lifestyle interventions combined with other antidiabetic drugs on abdominal fat distribution in people with obesity and type 2 diabetes mellitus evaluated by the energy spectrum ct: A prospective randomized controlled study. PMID 36093105</w:t>
      </w:r>
    </w:p>
    <w:p>
      <w:pPr>
        <w:numPr>
          <w:ilvl w:val="0"/>
          <w:numId w:val="1377"/>
        </w:numPr>
        <w:pStyle w:val="Compact"/>
      </w:pPr>
      <w:r>
        <w:t xml:space="preserve">2022 · Xing C ·</w:t>
      </w:r>
      <w:r>
        <w:t xml:space="preserve"> </w:t>
      </w:r>
      <w:r>
        <w:rPr>
          <w:iCs/>
          <w:i/>
        </w:rPr>
        <w:t xml:space="preserve">Front Endocrinol (Lausanne)</w:t>
      </w:r>
      <w:r>
        <w:t xml:space="preserve"> </w:t>
      </w:r>
      <w:r>
        <w:t xml:space="preserve">· Effect of metformin versus metformin plus liraglutide on gonadal and metabolic profiles in overweight patients with polycystic ovary syndrome. PMID 36060969</w:t>
      </w:r>
    </w:p>
    <w:p>
      <w:pPr>
        <w:numPr>
          <w:ilvl w:val="0"/>
          <w:numId w:val="1377"/>
        </w:numPr>
        <w:pStyle w:val="Compact"/>
      </w:pPr>
      <w:r>
        <w:t xml:space="preserve">2022 · Zhaohu H ·</w:t>
      </w:r>
      <w:r>
        <w:t xml:space="preserve"> </w:t>
      </w:r>
      <w:r>
        <w:rPr>
          <w:iCs/>
          <w:i/>
        </w:rPr>
        <w:t xml:space="preserve">J Diabetes Res</w:t>
      </w:r>
      <w:r>
        <w:t xml:space="preserve"> </w:t>
      </w:r>
      <w:r>
        <w:t xml:space="preserve">· Efficacy and Safety of Dapagliflozin versus Liraglutide in Patients with Overweight or Obesity and Type 2 Diabetes Mellitus: A Randomised Controlled Clinical Trial in Tianjin, China. PMID 35990242</w:t>
      </w:r>
    </w:p>
    <w:p>
      <w:pPr>
        <w:numPr>
          <w:ilvl w:val="0"/>
          <w:numId w:val="1377"/>
        </w:numPr>
        <w:pStyle w:val="Compact"/>
      </w:pPr>
      <w:r>
        <w:t xml:space="preserve">2022 · Jensen SBK ·</w:t>
      </w:r>
      <w:r>
        <w:t xml:space="preserve"> </w:t>
      </w:r>
      <w:r>
        <w:rPr>
          <w:iCs/>
          <w:i/>
        </w:rPr>
        <w:t xml:space="preserve">Nat Commun</w:t>
      </w:r>
      <w:r>
        <w:t xml:space="preserve"> </w:t>
      </w:r>
      <w:r>
        <w:t xml:space="preserve">· Exploratory analysis of eating- and physical activity-related outcomes from a randomized controlled trial for weight loss maintenance with exercise and liraglutide single or combination treatment. PMID 35970829</w:t>
      </w:r>
    </w:p>
    <w:p>
      <w:pPr>
        <w:numPr>
          <w:ilvl w:val="0"/>
          <w:numId w:val="1377"/>
        </w:numPr>
        <w:pStyle w:val="Compact"/>
      </w:pPr>
      <w:r>
        <w:t xml:space="preserve">2022 · Xiao Y ·</w:t>
      </w:r>
      <w:r>
        <w:t xml:space="preserve"> </w:t>
      </w:r>
      <w:r>
        <w:rPr>
          <w:iCs/>
          <w:i/>
        </w:rPr>
        <w:t xml:space="preserve">Metab Syndr Relat Disord</w:t>
      </w:r>
      <w:r>
        <w:t xml:space="preserve"> </w:t>
      </w:r>
      <w:r>
        <w:t xml:space="preserve">· Effect of 5:2 Fasting Diet on Liver Fat Content in Patients with Type 2 Diabetic with Nonalcoholic Fatty Liver Disease. PMID 35925752</w:t>
      </w:r>
    </w:p>
    <w:p>
      <w:pPr>
        <w:numPr>
          <w:ilvl w:val="0"/>
          <w:numId w:val="1377"/>
        </w:numPr>
        <w:pStyle w:val="Compact"/>
      </w:pPr>
      <w:r>
        <w:t xml:space="preserve">2022 · Maselli D ·</w:t>
      </w:r>
      <w:r>
        <w:t xml:space="preserve"> </w:t>
      </w:r>
      <w:r>
        <w:rPr>
          <w:iCs/>
          <w:i/>
        </w:rPr>
        <w:t xml:space="preserve">Obesity (Silver Spring)</w:t>
      </w:r>
      <w:r>
        <w:t xml:space="preserve"> </w:t>
      </w:r>
      <w:r>
        <w:t xml:space="preserve">· Effects of liraglutide on gastrointestinal functions and weight in obesity: A randomized clinical and pharmacogenomic trial. PMID 35894080</w:t>
      </w:r>
    </w:p>
    <w:p>
      <w:pPr>
        <w:numPr>
          <w:ilvl w:val="0"/>
          <w:numId w:val="1377"/>
        </w:numPr>
        <w:pStyle w:val="Compact"/>
      </w:pPr>
      <w:r>
        <w:t xml:space="preserve">2022 · Utzschneider KM ·</w:t>
      </w:r>
      <w:r>
        <w:t xml:space="preserve"> </w:t>
      </w:r>
      <w:r>
        <w:rPr>
          <w:iCs/>
          <w:i/>
        </w:rPr>
        <w:t xml:space="preserve">Obesity (Silver Spring)</w:t>
      </w:r>
      <w:r>
        <w:t xml:space="preserve"> </w:t>
      </w:r>
      <w:r>
        <w:t xml:space="preserve">· Weight loss and β-cell responses following gastric banding or pharmacotherapy in adults with impaired glucose tolerance or type 2 diabetes: a randomized trial. PMID 35894078</w:t>
      </w:r>
    </w:p>
    <w:p>
      <w:pPr>
        <w:numPr>
          <w:ilvl w:val="0"/>
          <w:numId w:val="1377"/>
        </w:numPr>
        <w:pStyle w:val="Compact"/>
      </w:pPr>
      <w:r>
        <w:t xml:space="preserve">2022 · Stier C ·</w:t>
      </w:r>
      <w:r>
        <w:t xml:space="preserve"> </w:t>
      </w:r>
      <w:r>
        <w:rPr>
          <w:iCs/>
          <w:i/>
        </w:rPr>
        <w:t xml:space="preserve">Clin Nutr ESPEN</w:t>
      </w:r>
      <w:r>
        <w:t xml:space="preserve"> </w:t>
      </w:r>
      <w:r>
        <w:t xml:space="preserve">· Fast-track rescue weight reduction therapy to achieve rapid technical operability for emergency bariatric surgery in patients with life-threatening inoperable severe obesity - A proof of concept study. PMID 35871930</w:t>
      </w:r>
    </w:p>
    <w:p>
      <w:pPr>
        <w:numPr>
          <w:ilvl w:val="0"/>
          <w:numId w:val="1377"/>
        </w:numPr>
        <w:pStyle w:val="Compact"/>
      </w:pPr>
      <w:r>
        <w:t xml:space="preserve">2022 · Zhou R ·</w:t>
      </w:r>
      <w:r>
        <w:t xml:space="preserve"> </w:t>
      </w:r>
      <w:r>
        <w:rPr>
          <w:iCs/>
          <w:i/>
        </w:rPr>
        <w:t xml:space="preserve">Clin Transl Sci</w:t>
      </w:r>
      <w:r>
        <w:t xml:space="preserve"> </w:t>
      </w:r>
      <w:r>
        <w:t xml:space="preserve">· A phase I study comparing the pharmacokinetics of the biosimilar (RD12014) with liraglutide (Victoza) in healthy Chinese male subjects. PMID 35871497</w:t>
      </w:r>
    </w:p>
    <w:p>
      <w:pPr>
        <w:numPr>
          <w:ilvl w:val="0"/>
          <w:numId w:val="1377"/>
        </w:numPr>
        <w:pStyle w:val="Compact"/>
      </w:pPr>
      <w:r>
        <w:t xml:space="preserve">2022 · Kårhus ML ·</w:t>
      </w:r>
      <w:r>
        <w:t xml:space="preserve"> </w:t>
      </w:r>
      <w:r>
        <w:rPr>
          <w:iCs/>
          <w:i/>
        </w:rPr>
        <w:t xml:space="preserve">Lancet Gastroenterol Hepatol</w:t>
      </w:r>
      <w:r>
        <w:t xml:space="preserve"> </w:t>
      </w:r>
      <w:r>
        <w:t xml:space="preserve">· Safety and efficacy of liraglutide versus colesevelam for the treatment of bile acid diarrhoea: a randomised, double-blind, active-comparator, non-inferiority clinical trial. PMID 35868334</w:t>
      </w:r>
    </w:p>
    <w:p>
      <w:pPr>
        <w:numPr>
          <w:ilvl w:val="0"/>
          <w:numId w:val="1377"/>
        </w:numPr>
        <w:pStyle w:val="Compact"/>
      </w:pPr>
      <w:r>
        <w:t xml:space="preserve">2022 · Zenz S ·</w:t>
      </w:r>
      <w:r>
        <w:t xml:space="preserve"> </w:t>
      </w:r>
      <w:r>
        <w:rPr>
          <w:iCs/>
          <w:i/>
        </w:rPr>
        <w:t xml:space="preserve">J Clin Endocrinol Metab</w:t>
      </w:r>
      <w:r>
        <w:t xml:space="preserve"> </w:t>
      </w:r>
      <w:r>
        <w:t xml:space="preserve">· Effect of Liraglutide Treatment on Whole-body Glucose Fluxes in C-peptide-Positive Type 1 Diabetes During Hypoglycemia. PMID 35833597</w:t>
      </w:r>
    </w:p>
    <w:p>
      <w:pPr>
        <w:numPr>
          <w:ilvl w:val="0"/>
          <w:numId w:val="1377"/>
        </w:numPr>
        <w:pStyle w:val="Compact"/>
      </w:pPr>
      <w:r>
        <w:t xml:space="preserve">2022 · Lin K ·</w:t>
      </w:r>
      <w:r>
        <w:t xml:space="preserve"> </w:t>
      </w:r>
      <w:r>
        <w:rPr>
          <w:iCs/>
          <w:i/>
        </w:rPr>
        <w:t xml:space="preserve">Comput Intell Neurosci</w:t>
      </w:r>
      <w:r>
        <w:t xml:space="preserve"> </w:t>
      </w:r>
      <w:r>
        <w:t xml:space="preserve">· Evaluation of the Clinical Efficacy of the Treatment of Overweight and Obesity in Type 2 Diabetes Mellitus by the Telemedicine Management System Based on the Internet of Things Technology. PMID 35785080</w:t>
      </w:r>
    </w:p>
    <w:p>
      <w:pPr>
        <w:numPr>
          <w:ilvl w:val="0"/>
          <w:numId w:val="1377"/>
        </w:numPr>
        <w:pStyle w:val="Compact"/>
      </w:pPr>
      <w:r>
        <w:t xml:space="preserve">2022 · Wang W ·</w:t>
      </w:r>
      <w:r>
        <w:t xml:space="preserve"> </w:t>
      </w:r>
      <w:r>
        <w:rPr>
          <w:iCs/>
          <w:i/>
        </w:rPr>
        <w:t xml:space="preserve">J Diabetes</w:t>
      </w:r>
      <w:r>
        <w:t xml:space="preserve"> </w:t>
      </w:r>
      <w:r>
        <w:t xml:space="preserve">· DUAL I China: Improved glycemic control with IDegLira versus its individual components in a randomized trial with Chinese participants with type 2 diabetes uncontrolled on oral antidiabetic drugs. PMID 35762390</w:t>
      </w:r>
    </w:p>
    <w:p>
      <w:pPr>
        <w:numPr>
          <w:ilvl w:val="0"/>
          <w:numId w:val="1377"/>
        </w:numPr>
        <w:pStyle w:val="Compact"/>
      </w:pPr>
      <w:r>
        <w:t xml:space="preserve">2022 · Ou T ·</w:t>
      </w:r>
      <w:r>
        <w:t xml:space="preserve"> </w:t>
      </w:r>
      <w:r>
        <w:rPr>
          <w:iCs/>
          <w:i/>
        </w:rPr>
        <w:t xml:space="preserve">Altern Ther Health Med</w:t>
      </w:r>
      <w:r>
        <w:t xml:space="preserve"> </w:t>
      </w:r>
      <w:r>
        <w:t xml:space="preserve">· Liraglutide Plus Dapagliflozin for High Uric Acid and Microalbuminuria in Diabetes Mellitus Complicated With Metabolic Syndrome. PMID 35751892</w:t>
      </w:r>
    </w:p>
    <w:p>
      <w:pPr>
        <w:numPr>
          <w:ilvl w:val="0"/>
          <w:numId w:val="1377"/>
        </w:numPr>
        <w:pStyle w:val="Compact"/>
      </w:pPr>
      <w:r>
        <w:t xml:space="preserve">2022 · Elkind-Hirsch KE ·</w:t>
      </w:r>
      <w:r>
        <w:t xml:space="preserve"> </w:t>
      </w:r>
      <w:r>
        <w:rPr>
          <w:iCs/>
          <w:i/>
        </w:rPr>
        <w:t xml:space="preserve">Fertil Steril</w:t>
      </w:r>
      <w:r>
        <w:t xml:space="preserve"> </w:t>
      </w:r>
      <w:r>
        <w:t xml:space="preserve">· Liraglutide 3 mg on weight, body composition, and hormonal and metabolic parameters in women with obesity and polycystic ovary syndrome: a randomized placebo-controlled-phase 3 study. PMID 35710599</w:t>
      </w:r>
    </w:p>
    <w:p>
      <w:pPr>
        <w:numPr>
          <w:ilvl w:val="0"/>
          <w:numId w:val="1377"/>
        </w:numPr>
        <w:pStyle w:val="Compact"/>
      </w:pPr>
      <w:r>
        <w:t xml:space="preserve">2022 · Valenzuela-Vallejo L ·</w:t>
      </w:r>
      <w:r>
        <w:t xml:space="preserve"> </w:t>
      </w:r>
      <w:r>
        <w:rPr>
          <w:iCs/>
          <w:i/>
        </w:rPr>
        <w:t xml:space="preserve">Metabolism</w:t>
      </w:r>
      <w:r>
        <w:t xml:space="preserve"> </w:t>
      </w:r>
      <w:r>
        <w:t xml:space="preserve">· Circulating total and intact GDF-15 levels are not altered in response to weight loss induced by liraglutide or lorcaserin treatment in humans with obesity. PMID 35700837</w:t>
      </w:r>
    </w:p>
    <w:p>
      <w:pPr>
        <w:numPr>
          <w:ilvl w:val="0"/>
          <w:numId w:val="1377"/>
        </w:numPr>
        <w:pStyle w:val="Compact"/>
      </w:pPr>
      <w:r>
        <w:t xml:space="preserve">2022 · Tamborlane WV ·</w:t>
      </w:r>
      <w:r>
        <w:t xml:space="preserve"> </w:t>
      </w:r>
      <w:r>
        <w:rPr>
          <w:iCs/>
          <w:i/>
        </w:rPr>
        <w:t xml:space="preserve">Diabetes Care</w:t>
      </w:r>
      <w:r>
        <w:t xml:space="preserve"> </w:t>
      </w:r>
      <w:r>
        <w:t xml:space="preserve">· Once-Weekly Exenatide in Youth With Type 2 Diabetes. PMID 35679098</w:t>
      </w:r>
    </w:p>
    <w:p>
      <w:pPr>
        <w:numPr>
          <w:ilvl w:val="0"/>
          <w:numId w:val="1377"/>
        </w:numPr>
        <w:pStyle w:val="Compact"/>
      </w:pPr>
      <w:r>
        <w:t xml:space="preserve">2022 · Lerman JB ·</w:t>
      </w:r>
      <w:r>
        <w:t xml:space="preserve"> </w:t>
      </w:r>
      <w:r>
        <w:rPr>
          <w:iCs/>
          <w:i/>
        </w:rPr>
        <w:t xml:space="preserve">Sci Rep</w:t>
      </w:r>
      <w:r>
        <w:t xml:space="preserve"> </w:t>
      </w:r>
      <w:r>
        <w:t xml:space="preserve">· Plasma metabolites associated with functional and clinical outcomes in heart failure with reduced ejection fraction with and without type 2 diabetes. PMID 35654972</w:t>
      </w:r>
    </w:p>
    <w:p>
      <w:pPr>
        <w:numPr>
          <w:ilvl w:val="0"/>
          <w:numId w:val="1377"/>
        </w:numPr>
        <w:pStyle w:val="Compact"/>
      </w:pPr>
      <w:r>
        <w:t xml:space="preserve">2022 · Andersen E ·</w:t>
      </w:r>
      <w:r>
        <w:t xml:space="preserve"> </w:t>
      </w:r>
      <w:r>
        <w:rPr>
          <w:iCs/>
          <w:i/>
        </w:rPr>
        <w:t xml:space="preserve">Hum Reprod</w:t>
      </w:r>
      <w:r>
        <w:t xml:space="preserve"> </w:t>
      </w:r>
      <w:r>
        <w:t xml:space="preserve">· Sperm count is increased by diet-induced weight loss and maintained by exercise or GLP-1 analogue treatment: a randomized controlled trial. PMID 35580859</w:t>
      </w:r>
    </w:p>
    <w:p>
      <w:pPr>
        <w:numPr>
          <w:ilvl w:val="0"/>
          <w:numId w:val="1377"/>
        </w:numPr>
        <w:pStyle w:val="Compact"/>
      </w:pPr>
      <w:r>
        <w:t xml:space="preserve">2022 · Sivalingam S ·</w:t>
      </w:r>
      <w:r>
        <w:t xml:space="preserve"> </w:t>
      </w:r>
      <w:r>
        <w:rPr>
          <w:iCs/>
          <w:i/>
        </w:rPr>
        <w:t xml:space="preserve">Diabetes Obes Metab</w:t>
      </w:r>
      <w:r>
        <w:t xml:space="preserve"> </w:t>
      </w:r>
      <w:r>
        <w:t xml:space="preserve">· The effect of liraglutide on cardiac autonomic function in type 2 diabetes: A prespecified secondary analysis from the LIRAFLAME randomized, double-blinded, placebo-controlled trial. PMID 35415938</w:t>
      </w:r>
    </w:p>
    <w:p>
      <w:pPr>
        <w:numPr>
          <w:ilvl w:val="0"/>
          <w:numId w:val="1377"/>
        </w:numPr>
        <w:pStyle w:val="Compact"/>
      </w:pPr>
      <w:r>
        <w:t xml:space="preserve">2022 · Kawaguchi Y ·</w:t>
      </w:r>
      <w:r>
        <w:t xml:space="preserve"> </w:t>
      </w:r>
      <w:r>
        <w:rPr>
          <w:iCs/>
          <w:i/>
        </w:rPr>
        <w:t xml:space="preserve">Adv Ther</w:t>
      </w:r>
      <w:r>
        <w:t xml:space="preserve"> </w:t>
      </w:r>
      <w:r>
        <w:t xml:space="preserve">· Efficacy of IDegLira Versus IDegAsp Therapy in Patients with Type 2 Diabetes: A Randomized Crossover Study by isCGM. PMID 35403949</w:t>
      </w:r>
    </w:p>
    <w:p>
      <w:pPr>
        <w:numPr>
          <w:ilvl w:val="0"/>
          <w:numId w:val="1377"/>
        </w:numPr>
        <w:pStyle w:val="Compact"/>
      </w:pPr>
      <w:r>
        <w:t xml:space="preserve">2022 · Loganathan J ·</w:t>
      </w:r>
      <w:r>
        <w:t xml:space="preserve"> </w:t>
      </w:r>
      <w:r>
        <w:rPr>
          <w:iCs/>
          <w:i/>
        </w:rPr>
        <w:t xml:space="preserve">J Diabetes Complications</w:t>
      </w:r>
      <w:r>
        <w:t xml:space="preserve"> </w:t>
      </w:r>
      <w:r>
        <w:t xml:space="preserve">· A pilot clinical study to Evaluate Liraglutide-mediated Anti-platelet activity in patients with type-2 Diabetes (ELAID study). PMID 35382966</w:t>
      </w:r>
    </w:p>
    <w:p>
      <w:pPr>
        <w:numPr>
          <w:ilvl w:val="0"/>
          <w:numId w:val="1377"/>
        </w:numPr>
        <w:pStyle w:val="Compact"/>
      </w:pPr>
      <w:r>
        <w:t xml:space="preserve">2022 · Seino Y ·</w:t>
      </w:r>
      <w:r>
        <w:t xml:space="preserve"> </w:t>
      </w:r>
      <w:r>
        <w:rPr>
          <w:iCs/>
          <w:i/>
        </w:rPr>
        <w:t xml:space="preserve">J Diabetes Investig</w:t>
      </w:r>
      <w:r>
        <w:t xml:space="preserve"> </w:t>
      </w:r>
      <w:r>
        <w:t xml:space="preserve">· A randomized trial to investigate the efficacy and safety of once-daily liraglutide 1.8 mg in Japanese adults with type 2 diabetes exhibiting an inadequate response to liraglutide 0.9 mg. PMID 35285173</w:t>
      </w:r>
    </w:p>
    <w:p>
      <w:pPr>
        <w:numPr>
          <w:ilvl w:val="0"/>
          <w:numId w:val="1377"/>
        </w:numPr>
        <w:pStyle w:val="Compact"/>
      </w:pPr>
      <w:r>
        <w:t xml:space="preserve">2022 · Simeone P ·</w:t>
      </w:r>
      <w:r>
        <w:t xml:space="preserve"> </w:t>
      </w:r>
      <w:r>
        <w:rPr>
          <w:iCs/>
          <w:i/>
        </w:rPr>
        <w:t xml:space="preserve">Cardiovasc Diabetol</w:t>
      </w:r>
      <w:r>
        <w:t xml:space="preserve"> </w:t>
      </w:r>
      <w:r>
        <w:t xml:space="preserve">· Effects of liraglutide vs. lifestyle changes on soluble suppression of tumorigenesis-2 (sST2) and galectin-3 in obese subjects with prediabetes or type 2 diabetes after comparable weight loss. PMID 35277168</w:t>
      </w:r>
    </w:p>
    <w:p>
      <w:pPr>
        <w:numPr>
          <w:ilvl w:val="0"/>
          <w:numId w:val="1377"/>
        </w:numPr>
        <w:pStyle w:val="Compact"/>
      </w:pPr>
      <w:r>
        <w:t xml:space="preserve">2022 · Cheng H ·</w:t>
      </w:r>
      <w:r>
        <w:t xml:space="preserve"> </w:t>
      </w:r>
      <w:r>
        <w:rPr>
          <w:iCs/>
          <w:i/>
        </w:rPr>
        <w:t xml:space="preserve">Diabetes Care</w:t>
      </w:r>
      <w:r>
        <w:t xml:space="preserve"> </w:t>
      </w:r>
      <w:r>
        <w:t xml:space="preserve">· Enhancement of Impaired Olfactory Neural Activation and Cognitive Capacity by Liraglutide, but Not Dapagliflozin or Acarbose, in Patients With Type 2 Diabetes: A 16-Week Randomized Parallel Comparative Study. PMID 35263425</w:t>
      </w:r>
    </w:p>
    <w:p>
      <w:pPr>
        <w:numPr>
          <w:ilvl w:val="0"/>
          <w:numId w:val="1377"/>
        </w:numPr>
        <w:pStyle w:val="Compact"/>
      </w:pPr>
      <w:r>
        <w:t xml:space="preserve">2022 · Altintas Dogan AD ·</w:t>
      </w:r>
      <w:r>
        <w:t xml:space="preserve"> </w:t>
      </w:r>
      <w:r>
        <w:rPr>
          <w:iCs/>
          <w:i/>
        </w:rPr>
        <w:t xml:space="preserve">Int J Chron Obstruct Pulmon Dis</w:t>
      </w:r>
      <w:r>
        <w:t xml:space="preserve"> </w:t>
      </w:r>
      <w:r>
        <w:t xml:space="preserve">· Respiratory Effects of Treatment with a Glucagon-Like Peptide-1 Receptor Agonist in Patients Suffering from Obesity and Chronic Obstructive Pulmonary Disease. PMID 35237033</w:t>
      </w:r>
    </w:p>
    <w:p>
      <w:pPr>
        <w:numPr>
          <w:ilvl w:val="0"/>
          <w:numId w:val="1377"/>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7"/>
        </w:numPr>
        <w:pStyle w:val="Compact"/>
      </w:pPr>
      <w:r>
        <w:t xml:space="preserve">2022 · Westman K ·</w:t>
      </w:r>
      <w:r>
        <w:t xml:space="preserve"> </w:t>
      </w:r>
      <w:r>
        <w:rPr>
          <w:iCs/>
          <w:i/>
        </w:rPr>
        <w:t xml:space="preserve">J Diabetes Complications</w:t>
      </w:r>
      <w:r>
        <w:t xml:space="preserve"> </w:t>
      </w:r>
      <w:r>
        <w:t xml:space="preserve">· Effect of liraglutide on markers of insulin production in persons with type 2 diabetes treated with multiple daily insulin injections. PMID 35101325</w:t>
      </w:r>
    </w:p>
    <w:p>
      <w:pPr>
        <w:numPr>
          <w:ilvl w:val="0"/>
          <w:numId w:val="1377"/>
        </w:numPr>
        <w:pStyle w:val="Compact"/>
      </w:pPr>
      <w:r>
        <w:t xml:space="preserve">2022 · Takeshita Y ·</w:t>
      </w:r>
      <w:r>
        <w:t xml:space="preserve"> </w:t>
      </w:r>
      <w:r>
        <w:rPr>
          <w:iCs/>
          <w:i/>
        </w:rPr>
        <w:t xml:space="preserve">J Diabetes Investig</w:t>
      </w:r>
      <w:r>
        <w:t xml:space="preserve"> </w:t>
      </w:r>
      <w:r>
        <w:t xml:space="preserve">· Insulin-glucagon-like peptide-1 receptor agonist relay and glucagon-like peptide-1 receptor agonist first regimens in individuals with type 2 diabetes: A randomized, open-label trial study. PMID 35034428</w:t>
      </w:r>
    </w:p>
    <w:p>
      <w:pPr>
        <w:numPr>
          <w:ilvl w:val="0"/>
          <w:numId w:val="1377"/>
        </w:numPr>
        <w:pStyle w:val="Compact"/>
      </w:pPr>
      <w:r>
        <w:t xml:space="preserve">2022 · van Ruiten CC ·</w:t>
      </w:r>
      <w:r>
        <w:t xml:space="preserve"> </w:t>
      </w:r>
      <w:r>
        <w:rPr>
          <w:iCs/>
          <w:i/>
        </w:rPr>
        <w:t xml:space="preserve">Psychoneuroendocrinology</w:t>
      </w:r>
      <w:r>
        <w:t xml:space="preserve"> </w:t>
      </w:r>
      <w:r>
        <w:t xml:space="preserve">· Eating behavior modulates the sensitivity to the central effects of GLP-1 receptor agonist treatment: a secondary analysis of a randomized trial. PMID 35033928</w:t>
      </w:r>
    </w:p>
    <w:p>
      <w:pPr>
        <w:numPr>
          <w:ilvl w:val="0"/>
          <w:numId w:val="1377"/>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7"/>
        </w:numPr>
        <w:pStyle w:val="Compact"/>
      </w:pPr>
      <w:r>
        <w:t xml:space="preserve">2022 · Barnard-Kelly K ·</w:t>
      </w:r>
      <w:r>
        <w:t xml:space="preserve"> </w:t>
      </w:r>
      <w:r>
        <w:rPr>
          <w:iCs/>
          <w:i/>
        </w:rPr>
        <w:t xml:space="preserve">BMC Psychiatry</w:t>
      </w:r>
      <w:r>
        <w:t xml:space="preserve"> </w:t>
      </w:r>
      <w:r>
        <w:t xml:space="preserve">· Liraglutide and the management of overweight and obesity in people with severe mental illness: qualitative sub-study. PMID 34996406</w:t>
      </w:r>
    </w:p>
    <w:p>
      <w:pPr>
        <w:numPr>
          <w:ilvl w:val="0"/>
          <w:numId w:val="1377"/>
        </w:numPr>
        <w:pStyle w:val="Compact"/>
      </w:pPr>
      <w:r>
        <w:t xml:space="preserve">2022 · Arendt Nielsen T ·</w:t>
      </w:r>
      <w:r>
        <w:t xml:space="preserve"> </w:t>
      </w:r>
      <w:r>
        <w:rPr>
          <w:iCs/>
          <w:i/>
        </w:rPr>
        <w:t xml:space="preserve">J Ocul Pharmacol Ther</w:t>
      </w:r>
      <w:r>
        <w:t xml:space="preserve"> </w:t>
      </w:r>
      <w:r>
        <w:t xml:space="preserve">· Liraglutide Treatment Does Not Induce Changes in the Peripapillary Retinal Nerve Fiber Layer Thickness in Patients with Diabetic Retinopathy. PMID 34918951</w:t>
      </w:r>
    </w:p>
    <w:p>
      <w:pPr>
        <w:numPr>
          <w:ilvl w:val="0"/>
          <w:numId w:val="1377"/>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7"/>
        </w:numPr>
        <w:pStyle w:val="Compact"/>
      </w:pPr>
      <w:r>
        <w:t xml:space="preserve">2022 · Middleton TL ·</w:t>
      </w:r>
      <w:r>
        <w:t xml:space="preserve"> </w:t>
      </w:r>
      <w:r>
        <w:rPr>
          <w:iCs/>
          <w:i/>
        </w:rPr>
        <w:t xml:space="preserve">Diabetes Obes Metab</w:t>
      </w:r>
      <w:r>
        <w:t xml:space="preserve"> </w:t>
      </w:r>
      <w:r>
        <w:t xml:space="preserve">· Improving beta-cell secretory function and glycaemia in young-onset type 2 diabetes: A pilot, 12-month, randomized trial of a novel, continuous glucose monitor-guided, rapid treatment intensification strategy incorporating empagliflozin and liraglutide. PMID 34882926</w:t>
      </w:r>
    </w:p>
    <w:p>
      <w:pPr>
        <w:numPr>
          <w:ilvl w:val="0"/>
          <w:numId w:val="1377"/>
        </w:numPr>
        <w:pStyle w:val="Compact"/>
      </w:pPr>
      <w:r>
        <w:t xml:space="preserve">2022 · Liu H ·</w:t>
      </w:r>
      <w:r>
        <w:t xml:space="preserve"> </w:t>
      </w:r>
      <w:r>
        <w:rPr>
          <w:iCs/>
          <w:i/>
        </w:rPr>
        <w:t xml:space="preserve">J Diabetes Investig</w:t>
      </w:r>
      <w:r>
        <w:t xml:space="preserve"> </w:t>
      </w:r>
      <w:r>
        <w:t xml:space="preserve">· Preserved pharmacokinetics and pharmacodynamics of insulin degludec and liraglutide when administered as insulin degludec/liraglutide in a Chinese population. PMID 34797962</w:t>
      </w:r>
    </w:p>
    <w:p>
      <w:pPr>
        <w:numPr>
          <w:ilvl w:val="0"/>
          <w:numId w:val="1377"/>
        </w:numPr>
        <w:pStyle w:val="Compact"/>
      </w:pPr>
      <w:r>
        <w:t xml:space="preserve">2022 · López-Cano C ·</w:t>
      </w:r>
      <w:r>
        <w:t xml:space="preserve"> </w:t>
      </w:r>
      <w:r>
        <w:rPr>
          <w:iCs/>
          <w:i/>
        </w:rPr>
        <w:t xml:space="preserve">Diabetes</w:t>
      </w:r>
      <w:r>
        <w:t xml:space="preserve"> </w:t>
      </w:r>
      <w:r>
        <w:t xml:space="preserve">· Liraglutide Improves Forced Vital Capacity in Individuals With Type 2 Diabetes: Data From the Randomized Crossover LIRALUNG Study. PMID 34737187</w:t>
      </w:r>
    </w:p>
    <w:p>
      <w:pPr>
        <w:numPr>
          <w:ilvl w:val="0"/>
          <w:numId w:val="1377"/>
        </w:numPr>
        <w:pStyle w:val="Compact"/>
      </w:pPr>
      <w:r>
        <w:t xml:space="preserve">2022 · Heller SR ·</w:t>
      </w:r>
      <w:r>
        <w:t xml:space="preserve"> </w:t>
      </w:r>
      <w:r>
        <w:rPr>
          <w:iCs/>
          <w:i/>
        </w:rPr>
        <w:t xml:space="preserve">Diabetologia</w:t>
      </w:r>
      <w:r>
        <w:t xml:space="preserve"> </w:t>
      </w:r>
      <w:r>
        <w:t xml:space="preserve">· A higher non-severe hypoglycaemia rate is associated with an increased risk of subsequent severe hypoglycaemia and major adverse cardiovascular events in individuals with type 2 diabetes in the LEADER study. PMID 34704120</w:t>
      </w:r>
    </w:p>
    <w:p>
      <w:pPr>
        <w:numPr>
          <w:ilvl w:val="0"/>
          <w:numId w:val="1377"/>
        </w:numPr>
        <w:pStyle w:val="Compact"/>
      </w:pPr>
      <w:r>
        <w:t xml:space="preserve">2022 · Unger J ·</w:t>
      </w:r>
      <w:r>
        <w:t xml:space="preserve"> </w:t>
      </w:r>
      <w:r>
        <w:rPr>
          <w:iCs/>
          <w:i/>
        </w:rPr>
        <w:t xml:space="preserve">Diabetes Obes Metab</w:t>
      </w:r>
      <w:r>
        <w:t xml:space="preserve"> </w:t>
      </w:r>
      <w:r>
        <w:t xml:space="preserve">· Maintenance of glycaemic control with liraglutide versus oral antidiabetic drugs as add-on therapies in patients with type 2 diabetes uncontrolled with metformin alone: A randomized clinical trial in primary care (LIRA-PRIME). PMID 34622567</w:t>
      </w:r>
    </w:p>
    <w:p>
      <w:pPr>
        <w:numPr>
          <w:ilvl w:val="0"/>
          <w:numId w:val="1377"/>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7"/>
        </w:numPr>
        <w:pStyle w:val="Compact"/>
      </w:pPr>
      <w:r>
        <w:t xml:space="preserve">2022 · Schmidt S ·</w:t>
      </w:r>
      <w:r>
        <w:t xml:space="preserve"> </w:t>
      </w:r>
      <w:r>
        <w:rPr>
          <w:iCs/>
          <w:i/>
        </w:rPr>
        <w:t xml:space="preserve">Diabetes Obes Metab</w:t>
      </w:r>
      <w:r>
        <w:t xml:space="preserve"> </w:t>
      </w:r>
      <w:r>
        <w:t xml:space="preserve">· Liraglutide changes body composition and lowers added sugar intake in overweight persons with insulin pump-treated type 1 diabetes. PMID 34595827</w:t>
      </w:r>
    </w:p>
    <w:p>
      <w:pPr>
        <w:numPr>
          <w:ilvl w:val="0"/>
          <w:numId w:val="1377"/>
        </w:numPr>
        <w:pStyle w:val="Compact"/>
      </w:pPr>
      <w:r>
        <w:t xml:space="preserve">2022 · Møller M ·</w:t>
      </w:r>
      <w:r>
        <w:t xml:space="preserve"> </w:t>
      </w:r>
      <w:r>
        <w:rPr>
          <w:iCs/>
          <w:i/>
        </w:rPr>
        <w:t xml:space="preserve">CNS Spectr</w:t>
      </w:r>
      <w:r>
        <w:t xml:space="preserve"> </w:t>
      </w:r>
      <w:r>
        <w:t xml:space="preserve">· Proinflammatory biomarkers are associated with prediabetes in patients with schizophrenia. PMID 33308348</w:t>
      </w:r>
    </w:p>
    <w:p>
      <w:pPr>
        <w:numPr>
          <w:ilvl w:val="0"/>
          <w:numId w:val="1377"/>
        </w:numPr>
        <w:pStyle w:val="Compact"/>
      </w:pPr>
      <w:r>
        <w:t xml:space="preserve">2022 · Lin L ·</w:t>
      </w:r>
      <w:r>
        <w:t xml:space="preserve"> </w:t>
      </w:r>
      <w:r>
        <w:rPr>
          <w:iCs/>
          <w:i/>
        </w:rPr>
        <w:t xml:space="preserve">J Dermatolog Treat</w:t>
      </w:r>
      <w:r>
        <w:t xml:space="preserve"> </w:t>
      </w:r>
      <w:r>
        <w:t xml:space="preserve">· Glucagon-like peptide-1 receptor agonist liraglutide therapy for psoriasis patients with type 2 diabetes: a randomized-controlled trial. PMID 32962477</w:t>
      </w:r>
    </w:p>
    <w:p>
      <w:pPr>
        <w:numPr>
          <w:ilvl w:val="0"/>
          <w:numId w:val="1377"/>
        </w:numPr>
        <w:pStyle w:val="Compact"/>
      </w:pPr>
      <w:r>
        <w:t xml:space="preserve">2021 · Jendle J ·</w:t>
      </w:r>
      <w:r>
        <w:t xml:space="preserve"> </w:t>
      </w:r>
      <w:r>
        <w:rPr>
          <w:iCs/>
          <w:i/>
        </w:rPr>
        <w:t xml:space="preserve">Cardiovasc Diabetol</w:t>
      </w:r>
      <w:r>
        <w:t xml:space="preserve"> </w:t>
      </w:r>
      <w:r>
        <w:t xml:space="preserve">· Pharmacometabolomic profiles in type 2 diabetic subjects treated with liraglutide or glimepiride. PMID 34920733</w:t>
      </w:r>
    </w:p>
    <w:p>
      <w:pPr>
        <w:numPr>
          <w:ilvl w:val="0"/>
          <w:numId w:val="1377"/>
        </w:numPr>
        <w:pStyle w:val="Compact"/>
      </w:pPr>
      <w:r>
        <w:t xml:space="preserve">2021 · Jensen JK ·</w:t>
      </w:r>
      <w:r>
        <w:t xml:space="preserve"> </w:t>
      </w:r>
      <w:r>
        <w:rPr>
          <w:iCs/>
          <w:i/>
        </w:rPr>
        <w:t xml:space="preserve">Front Endocrinol (Lausanne)</w:t>
      </w:r>
      <w:r>
        <w:t xml:space="preserve"> </w:t>
      </w:r>
      <w:r>
        <w:t xml:space="preserve">· Effect of 26 Weeks of Liraglutide Treatment on Coronary Artery Inflammation in Type 2 Diabetes Quantified by [(64)Cu]Cu-DOTATATE PET/CT: Results from the LIRAFLAME Trial. PMID 34917038</w:t>
      </w:r>
    </w:p>
    <w:p>
      <w:pPr>
        <w:numPr>
          <w:ilvl w:val="0"/>
          <w:numId w:val="1377"/>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77"/>
        </w:numPr>
        <w:pStyle w:val="Compact"/>
      </w:pPr>
      <w:r>
        <w:t xml:space="preserve">2021 · Yu DN ·</w:t>
      </w:r>
      <w:r>
        <w:t xml:space="preserve"> </w:t>
      </w:r>
      <w:r>
        <w:rPr>
          <w:iCs/>
          <w:i/>
        </w:rPr>
        <w:t xml:space="preserve">Zhonghua Nei Ke Za Zhi</w:t>
      </w:r>
      <w:r>
        <w:t xml:space="preserve"> </w:t>
      </w:r>
      <w:r>
        <w:t xml:space="preserve">· [The effects of liraglutide on body composition and muscle strength in adult obese patients with type 2 diabetes mellitus]. PMID 34689519</w:t>
      </w:r>
    </w:p>
    <w:p>
      <w:pPr>
        <w:numPr>
          <w:ilvl w:val="0"/>
          <w:numId w:val="1377"/>
        </w:numPr>
        <w:pStyle w:val="Compact"/>
      </w:pPr>
      <w:r>
        <w:t xml:space="preserve">2021 · Zobel EH ·</w:t>
      </w:r>
      <w:r>
        <w:t xml:space="preserve"> </w:t>
      </w:r>
      <w:r>
        <w:rPr>
          <w:iCs/>
          <w:i/>
        </w:rPr>
        <w:t xml:space="preserve">Sci Rep</w:t>
      </w:r>
      <w:r>
        <w:t xml:space="preserve"> </w:t>
      </w:r>
      <w:r>
        <w:t xml:space="preserve">· Effect of liraglutide on expression of inflammatory genes in type 2 diabetes. PMID 34535716</w:t>
      </w:r>
    </w:p>
    <w:p>
      <w:pPr>
        <w:numPr>
          <w:ilvl w:val="0"/>
          <w:numId w:val="1377"/>
        </w:numPr>
        <w:pStyle w:val="Compact"/>
      </w:pPr>
      <w:r>
        <w:t xml:space="preserve">2021 · Zobel EH ·</w:t>
      </w:r>
      <w:r>
        <w:t xml:space="preserve"> </w:t>
      </w:r>
      <w:r>
        <w:rPr>
          <w:iCs/>
          <w:i/>
        </w:rPr>
        <w:t xml:space="preserve">BMJ Open Diabetes Res Care</w:t>
      </w:r>
      <w:r>
        <w:t xml:space="preserve"> </w:t>
      </w:r>
      <w:r>
        <w:t xml:space="preserve">· Ceramides and phospholipids are downregulated with liraglutide treatment: results from the LiraFlame randomized controlled trial. PMID 34518158</w:t>
      </w:r>
    </w:p>
    <w:p>
      <w:pPr>
        <w:numPr>
          <w:ilvl w:val="0"/>
          <w:numId w:val="1377"/>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7"/>
        </w:numPr>
        <w:pStyle w:val="Compact"/>
      </w:pPr>
      <w:r>
        <w:t xml:space="preserve">2021 · Dejgaard TF ·</w:t>
      </w:r>
      <w:r>
        <w:t xml:space="preserve"> </w:t>
      </w:r>
      <w:r>
        <w:rPr>
          <w:iCs/>
          <w:i/>
        </w:rPr>
        <w:t xml:space="preserve">Diabetes Obes Metab</w:t>
      </w:r>
      <w:r>
        <w:t xml:space="preserve"> </w:t>
      </w:r>
      <w:r>
        <w:t xml:space="preserve">· Efficacy and safety of liraglutide in type 1 diabetes by baseline characteristics in the ADJUNCT ONE and ADJUNCT TWO randomized controlled trials. PMID 34463425</w:t>
      </w:r>
    </w:p>
    <w:p>
      <w:pPr>
        <w:numPr>
          <w:ilvl w:val="0"/>
          <w:numId w:val="1377"/>
        </w:numPr>
        <w:pStyle w:val="Compact"/>
      </w:pPr>
      <w:r>
        <w:t xml:space="preserve">2021 · Pei Y ·</w:t>
      </w:r>
      <w:r>
        <w:t xml:space="preserve"> </w:t>
      </w:r>
      <w:r>
        <w:rPr>
          <w:iCs/>
          <w:i/>
        </w:rPr>
        <w:t xml:space="preserve">Diabetes Obes Metab</w:t>
      </w:r>
      <w:r>
        <w:t xml:space="preserve"> </w:t>
      </w:r>
      <w:r>
        <w:t xml:space="preserve">· DUAL II China: Superior HbA1c reductions and weight loss with insulin degludec/liraglutide (IDegLira) versus insulin degludec in a randomized trial of Chinese people with type 2 diabetes inadequately controlled on basal insulin. PMID 34387411</w:t>
      </w:r>
    </w:p>
    <w:p>
      <w:pPr>
        <w:numPr>
          <w:ilvl w:val="0"/>
          <w:numId w:val="1377"/>
        </w:numPr>
        <w:pStyle w:val="Compact"/>
      </w:pPr>
      <w:r>
        <w:t xml:space="preserve">2021 · Rasmussen IKB ·</w:t>
      </w:r>
      <w:r>
        <w:t xml:space="preserve"> </w:t>
      </w:r>
      <w:r>
        <w:rPr>
          <w:iCs/>
          <w:i/>
        </w:rPr>
        <w:t xml:space="preserve">Diabetes Obes Metab</w:t>
      </w:r>
      <w:r>
        <w:t xml:space="preserve"> </w:t>
      </w:r>
      <w:r>
        <w:t xml:space="preserve">· Liraglutide reduces cardiac adipose tissue in type 2 diabetes: A secondary analysis of the LIRAFLAME randomized placebo-controlled trial. PMID 34387408</w:t>
      </w:r>
    </w:p>
    <w:p>
      <w:pPr>
        <w:numPr>
          <w:ilvl w:val="0"/>
          <w:numId w:val="1377"/>
        </w:numPr>
        <w:pStyle w:val="Compact"/>
      </w:pPr>
      <w:r>
        <w:t xml:space="preserve">2021 · Neeland IJ ·</w:t>
      </w:r>
      <w:r>
        <w:t xml:space="preserve"> </w:t>
      </w:r>
      <w:r>
        <w:rPr>
          <w:iCs/>
          <w:i/>
        </w:rPr>
        <w:t xml:space="preserve">Lancet Diabetes Endocrinol</w:t>
      </w:r>
      <w:r>
        <w:t xml:space="preserve"> </w:t>
      </w:r>
      <w:r>
        <w:t xml:space="preserve">· Effects of liraglutide on visceral and ectopic fat in adults with overweight and obesity at high cardiovascular risk: a randomised, double-blind, placebo-controlled, clinical trial. PMID 34358471</w:t>
      </w:r>
    </w:p>
    <w:p>
      <w:pPr>
        <w:numPr>
          <w:ilvl w:val="0"/>
          <w:numId w:val="1377"/>
        </w:numPr>
        <w:pStyle w:val="Compact"/>
      </w:pPr>
      <w:r>
        <w:t xml:space="preserve">2021 · Samson SL ·</w:t>
      </w:r>
      <w:r>
        <w:t xml:space="preserve"> </w:t>
      </w:r>
      <w:r>
        <w:rPr>
          <w:iCs/>
          <w:i/>
        </w:rPr>
        <w:t xml:space="preserve">Pituitary</w:t>
      </w:r>
      <w:r>
        <w:t xml:space="preserve"> </w:t>
      </w:r>
      <w:r>
        <w:t xml:space="preserve">· Managing pasireotide-associated hyperglycemia: a randomized, open-label, Phase IV study. PMID 34275099</w:t>
      </w:r>
    </w:p>
    <w:p>
      <w:pPr>
        <w:numPr>
          <w:ilvl w:val="0"/>
          <w:numId w:val="1377"/>
        </w:numPr>
        <w:pStyle w:val="Compact"/>
      </w:pPr>
      <w:r>
        <w:t xml:space="preserve">2021 · Pantalone KM ·</w:t>
      </w:r>
      <w:r>
        <w:t xml:space="preserve"> </w:t>
      </w:r>
      <w:r>
        <w:rPr>
          <w:iCs/>
          <w:i/>
        </w:rPr>
        <w:t xml:space="preserve">JAMA Netw Open</w:t>
      </w:r>
      <w:r>
        <w:t xml:space="preserve"> </w:t>
      </w:r>
      <w:r>
        <w:t xml:space="preserve">· Effectiveness of Combining Antiobesity Medication With an Employer-Based Weight Management Program for Treatment of Obesity: A Randomized Clinical Trial. PMID 34255049</w:t>
      </w:r>
    </w:p>
    <w:p>
      <w:pPr>
        <w:numPr>
          <w:ilvl w:val="0"/>
          <w:numId w:val="1377"/>
        </w:numPr>
        <w:pStyle w:val="Compact"/>
      </w:pPr>
      <w:r>
        <w:t xml:space="preserve">2021 · Li Q ·</w:t>
      </w:r>
      <w:r>
        <w:t xml:space="preserve"> </w:t>
      </w:r>
      <w:r>
        <w:rPr>
          <w:iCs/>
          <w:i/>
        </w:rPr>
        <w:t xml:space="preserve">J Am Heart Assoc</w:t>
      </w:r>
      <w:r>
        <w:t xml:space="preserve"> </w:t>
      </w:r>
      <w:r>
        <w:t xml:space="preserve">· Activation of Glucagon-Like Peptide-1 Receptor Ameliorates Cognitive Decline in Type 2 Diabetes Mellitus Through a Metabolism-Independent Pathway. PMID 34250817</w:t>
      </w:r>
    </w:p>
    <w:p>
      <w:pPr>
        <w:numPr>
          <w:ilvl w:val="0"/>
          <w:numId w:val="1377"/>
        </w:numPr>
        <w:pStyle w:val="Compact"/>
      </w:pPr>
      <w:r>
        <w:t xml:space="preserve">2021 · Quast DR ·</w:t>
      </w:r>
      <w:r>
        <w:t xml:space="preserve"> </w:t>
      </w:r>
      <w:r>
        <w:rPr>
          <w:iCs/>
          <w:i/>
        </w:rPr>
        <w:t xml:space="preserve">Diabetes Obes Metab</w:t>
      </w:r>
      <w:r>
        <w:t xml:space="preserve"> </w:t>
      </w:r>
      <w:r>
        <w:t xml:space="preserve">· Macronutrient intake, appetite, food preferences and exocrine pancreas function after treatment with short- and long-acting glucagon-like peptide-1 receptor agonists in type 2 diabetes. PMID 34189834</w:t>
      </w:r>
    </w:p>
    <w:p>
      <w:pPr>
        <w:numPr>
          <w:ilvl w:val="0"/>
          <w:numId w:val="1377"/>
        </w:numPr>
        <w:pStyle w:val="Compact"/>
      </w:pPr>
      <w:r>
        <w:t xml:space="preserve">2021 · Bojer AS ·</w:t>
      </w:r>
      <w:r>
        <w:t xml:space="preserve"> </w:t>
      </w:r>
      <w:r>
        <w:rPr>
          <w:iCs/>
          <w:i/>
        </w:rPr>
        <w:t xml:space="preserve">Diabetes Obes Metab</w:t>
      </w:r>
      <w:r>
        <w:t xml:space="preserve"> </w:t>
      </w:r>
      <w:r>
        <w:t xml:space="preserve">· Metabolic improvement with short-term, glucagon-like peptide-1 receptor agonist treatment does not improve cardiac diastolic dysfunction in patients with type 2 diabetes: A randomized, double-blind, placebo-controlled trial. PMID 34189832</w:t>
      </w:r>
    </w:p>
    <w:p>
      <w:pPr>
        <w:numPr>
          <w:ilvl w:val="0"/>
          <w:numId w:val="1377"/>
        </w:numPr>
        <w:pStyle w:val="Compact"/>
      </w:pPr>
      <w:r>
        <w:t xml:space="preserve">2021 · Ripa RS ·</w:t>
      </w:r>
      <w:r>
        <w:t xml:space="preserve"> </w:t>
      </w:r>
      <w:r>
        <w:rPr>
          <w:iCs/>
          <w:i/>
        </w:rPr>
        <w:t xml:space="preserve">Circ Cardiovasc Imaging</w:t>
      </w:r>
      <w:r>
        <w:t xml:space="preserve"> </w:t>
      </w:r>
      <w:r>
        <w:t xml:space="preserve">· Effect of Liraglutide on Arterial Inflammation Assessed as [(18)F]FDG Uptake in Patients With Type 2 Diabetes: A Randomized, Double-Blind, Placebo-Controlled Trial. PMID 34187185</w:t>
      </w:r>
    </w:p>
    <w:p>
      <w:pPr>
        <w:numPr>
          <w:ilvl w:val="0"/>
          <w:numId w:val="1377"/>
        </w:numPr>
        <w:pStyle w:val="Compact"/>
      </w:pPr>
      <w:r>
        <w:t xml:space="preserve">2021 · Hompesch M ·</w:t>
      </w:r>
      <w:r>
        <w:t xml:space="preserve"> </w:t>
      </w:r>
      <w:r>
        <w:rPr>
          <w:iCs/>
          <w:i/>
        </w:rPr>
        <w:t xml:space="preserve">BMJ Open Diabetes Res Care</w:t>
      </w:r>
      <w:r>
        <w:t xml:space="preserve"> </w:t>
      </w:r>
      <w:r>
        <w:t xml:space="preserve">· Effects of efpeglenatide versus liraglutide on gastric emptying, glucose metabolism and beta-cell function in people with type 2 diabetes: an exploratory, randomized phase Ib study. PMID 34172436</w:t>
      </w:r>
    </w:p>
    <w:p>
      <w:pPr>
        <w:numPr>
          <w:ilvl w:val="0"/>
          <w:numId w:val="1377"/>
        </w:numPr>
        <w:pStyle w:val="Compact"/>
      </w:pPr>
      <w:r>
        <w:t xml:space="preserve">2021 · Kahn SE ·</w:t>
      </w:r>
      <w:r>
        <w:t xml:space="preserve"> </w:t>
      </w:r>
      <w:r>
        <w:rPr>
          <w:iCs/>
          <w:i/>
        </w:rPr>
        <w:t xml:space="preserve">Diabetes Care</w:t>
      </w:r>
      <w:r>
        <w:t xml:space="preserve"> </w:t>
      </w:r>
      <w:r>
        <w:t xml:space="preserve">· Effect of Medical and Surgical Interventions on α-Cell Function in Dysglycemic Youth and Adults in the RISE Study. PMID 34135015</w:t>
      </w:r>
    </w:p>
    <w:p>
      <w:pPr>
        <w:numPr>
          <w:ilvl w:val="0"/>
          <w:numId w:val="1377"/>
        </w:numPr>
        <w:pStyle w:val="Compact"/>
      </w:pPr>
      <w:r>
        <w:t xml:space="preserve">2021 · Blonde L ·</w:t>
      </w:r>
      <w:r>
        <w:t xml:space="preserve"> </w:t>
      </w:r>
      <w:r>
        <w:rPr>
          <w:iCs/>
          <w:i/>
        </w:rPr>
        <w:t xml:space="preserve">Diabetes Obes Metab</w:t>
      </w:r>
      <w:r>
        <w:t xml:space="preserve"> </w:t>
      </w:r>
      <w:r>
        <w:t xml:space="preserve">· Efficacy of liraglutide added to sodium-glucose cotransporter-2 inhibitors in type 2 diabetes, stratified by baseline characteristics: Post-hoc analysis of LIRA-ADD2SGLT2i. PMID 34132018</w:t>
      </w:r>
    </w:p>
    <w:p>
      <w:pPr>
        <w:numPr>
          <w:ilvl w:val="0"/>
          <w:numId w:val="1377"/>
        </w:numPr>
        <w:pStyle w:val="Compact"/>
      </w:pPr>
      <w:r>
        <w:t xml:space="preserve">2021 · Sam S ·</w:t>
      </w:r>
      <w:r>
        <w:t xml:space="preserve"> </w:t>
      </w:r>
      <w:r>
        <w:rPr>
          <w:iCs/>
          <w:i/>
        </w:rPr>
        <w:t xml:space="preserve">Diabetes Care</w:t>
      </w:r>
      <w:r>
        <w:t xml:space="preserve"> </w:t>
      </w:r>
      <w:r>
        <w:t xml:space="preserve">· Baseline Predictors of Glycemic Worsening in Youth and Adults With Impaired Glucose Tolerance or Recently Diagnosed Type 2 Diabetes in the Restoring Insulin Secretion (RISE) Study. PMID 34131048</w:t>
      </w:r>
    </w:p>
    <w:p>
      <w:pPr>
        <w:numPr>
          <w:ilvl w:val="0"/>
          <w:numId w:val="1377"/>
        </w:numPr>
        <w:pStyle w:val="Compact"/>
      </w:pPr>
      <w:r>
        <w:t xml:space="preserve">2021 · Sharma A ·</w:t>
      </w:r>
      <w:r>
        <w:t xml:space="preserve"> </w:t>
      </w:r>
      <w:r>
        <w:rPr>
          <w:iCs/>
          <w:i/>
        </w:rPr>
        <w:t xml:space="preserve">ESC Heart Fail</w:t>
      </w:r>
      <w:r>
        <w:t xml:space="preserve"> </w:t>
      </w:r>
      <w:r>
        <w:t xml:space="preserve">· Growth differentiation factor-15, treatment with liraglutide, and clinical outcomes among patients with heart failure. PMID 34061470</w:t>
      </w:r>
    </w:p>
    <w:p>
      <w:pPr>
        <w:numPr>
          <w:ilvl w:val="0"/>
          <w:numId w:val="1377"/>
        </w:numPr>
        <w:pStyle w:val="Compact"/>
      </w:pPr>
      <w:r>
        <w:t xml:space="preserve">2021 · Nahra R ·</w:t>
      </w:r>
      <w:r>
        <w:t xml:space="preserve"> </w:t>
      </w:r>
      <w:r>
        <w:rPr>
          <w:iCs/>
          <w:i/>
        </w:rPr>
        <w:t xml:space="preserve">Diabetes Care</w:t>
      </w:r>
      <w:r>
        <w:t xml:space="preserve"> </w:t>
      </w:r>
      <w:r>
        <w:t xml:space="preserve">· Effects of Cotadutide on Metabolic and Hepatic Parameters in Adults With Overweight or Obesity and Type 2 Diabetes: A 54-Week Randomized Phase 2b Study. PMID 34016612</w:t>
      </w:r>
    </w:p>
    <w:p>
      <w:pPr>
        <w:numPr>
          <w:ilvl w:val="0"/>
          <w:numId w:val="1377"/>
        </w:numPr>
        <w:pStyle w:val="Compact"/>
      </w:pPr>
      <w:r>
        <w:t xml:space="preserve">2021 · Sivalingam S ·</w:t>
      </w:r>
      <w:r>
        <w:t xml:space="preserve"> </w:t>
      </w:r>
      <w:r>
        <w:rPr>
          <w:iCs/>
          <w:i/>
        </w:rPr>
        <w:t xml:space="preserve">Sci Rep</w:t>
      </w:r>
      <w:r>
        <w:t xml:space="preserve"> </w:t>
      </w:r>
      <w:r>
        <w:t xml:space="preserve">· The effect of liraglutide and sitagliptin on oxidative stress in persons with type 2 diabetes. PMID 34012064</w:t>
      </w:r>
    </w:p>
    <w:p>
      <w:pPr>
        <w:numPr>
          <w:ilvl w:val="0"/>
          <w:numId w:val="1377"/>
        </w:numPr>
        <w:pStyle w:val="Compact"/>
      </w:pPr>
      <w:r>
        <w:t xml:space="preserve">2021 · Brooks-Worrell BM ·</w:t>
      </w:r>
      <w:r>
        <w:t xml:space="preserve"> </w:t>
      </w:r>
      <w:r>
        <w:rPr>
          <w:iCs/>
          <w:i/>
        </w:rPr>
        <w:t xml:space="preserve">Front Immunol</w:t>
      </w:r>
      <w:r>
        <w:t xml:space="preserve"> </w:t>
      </w:r>
      <w:r>
        <w:t xml:space="preserve">· Islet Autoimmunity in Adults With Impaired Glucose Tolerance and Recently Diagnosed, Treatment Naïve Type 2 Diabetes in the Restoring Insulin SEcretion (RISE) Study. PMID 33981301</w:t>
      </w:r>
    </w:p>
    <w:p>
      <w:pPr>
        <w:numPr>
          <w:ilvl w:val="0"/>
          <w:numId w:val="1377"/>
        </w:numPr>
        <w:pStyle w:val="Compact"/>
      </w:pPr>
      <w:r>
        <w:t xml:space="preserve">2021 · Lundgren JR ·</w:t>
      </w:r>
      <w:r>
        <w:t xml:space="preserve"> </w:t>
      </w:r>
      <w:r>
        <w:rPr>
          <w:iCs/>
          <w:i/>
        </w:rPr>
        <w:t xml:space="preserve">N Engl J Med</w:t>
      </w:r>
      <w:r>
        <w:t xml:space="preserve"> </w:t>
      </w:r>
      <w:r>
        <w:t xml:space="preserve">· Healthy Weight Loss Maintenance with Exercise, Liraglutide, or Both Combined. PMID 33951361</w:t>
      </w:r>
    </w:p>
    <w:p>
      <w:pPr>
        <w:numPr>
          <w:ilvl w:val="0"/>
          <w:numId w:val="1377"/>
        </w:numPr>
        <w:pStyle w:val="Compact"/>
      </w:pPr>
      <w:r>
        <w:t xml:space="preserve">2021 · Schiavon M ·</w:t>
      </w:r>
      <w:r>
        <w:t xml:space="preserve"> </w:t>
      </w:r>
      <w:r>
        <w:rPr>
          <w:iCs/>
          <w:i/>
        </w:rPr>
        <w:t xml:space="preserve">Diabetes Obes Metab</w:t>
      </w:r>
      <w:r>
        <w:t xml:space="preserve"> </w:t>
      </w:r>
      <w:r>
        <w:t xml:space="preserve">· Improved postprandial glucose metabolism in type 2 diabetes by the dual glucagon-like peptide-1/glucagon receptor agonist SAR425899 in comparison with liraglutide. PMID 33822469</w:t>
      </w:r>
    </w:p>
    <w:p>
      <w:pPr>
        <w:numPr>
          <w:ilvl w:val="0"/>
          <w:numId w:val="1377"/>
        </w:numPr>
        <w:pStyle w:val="Compact"/>
      </w:pPr>
      <w:r>
        <w:t xml:space="preserve">2021 · von Herrath M ·</w:t>
      </w:r>
      <w:r>
        <w:t xml:space="preserve"> </w:t>
      </w:r>
      <w:r>
        <w:rPr>
          <w:iCs/>
          <w:i/>
        </w:rPr>
        <w:t xml:space="preserve">Lancet Diabetes Endocrinol</w:t>
      </w:r>
      <w:r>
        <w:t xml:space="preserve"> </w:t>
      </w:r>
      <w:r>
        <w:t xml:space="preserve">· Anti-interleukin-21 antibody and liraglutide for the preservation of β-cell function in adults with recent-onset type 1 diabetes: a randomised, double-blind, placebo-controlled, phase 2 trial. PMID 33662334</w:t>
      </w:r>
    </w:p>
    <w:p>
      <w:pPr>
        <w:numPr>
          <w:ilvl w:val="0"/>
          <w:numId w:val="1377"/>
        </w:numPr>
        <w:pStyle w:val="Compact"/>
      </w:pPr>
      <w:r>
        <w:t xml:space="preserve">2021 · Ando Y ·</w:t>
      </w:r>
      <w:r>
        <w:t xml:space="preserve"> </w:t>
      </w:r>
      <w:r>
        <w:rPr>
          <w:iCs/>
          <w:i/>
        </w:rPr>
        <w:t xml:space="preserve">J Diabetes Investig</w:t>
      </w:r>
      <w:r>
        <w:t xml:space="preserve"> </w:t>
      </w:r>
      <w:r>
        <w:t xml:space="preserve">· Simplification of complex insulin regimens using canagliflozin or liraglutide in patients with well-controlled type 2 diabetes: A 24-week randomized controlled trial. PMID 33650779</w:t>
      </w:r>
    </w:p>
    <w:p>
      <w:pPr>
        <w:numPr>
          <w:ilvl w:val="0"/>
          <w:numId w:val="1377"/>
        </w:numPr>
        <w:pStyle w:val="Compact"/>
      </w:pPr>
      <w:r>
        <w:t xml:space="preserve">2021 · Bensignor MO ·</w:t>
      </w:r>
      <w:r>
        <w:t xml:space="preserve"> </w:t>
      </w:r>
      <w:r>
        <w:rPr>
          <w:iCs/>
          <w:i/>
        </w:rPr>
        <w:t xml:space="preserve">Pediatr Obes</w:t>
      </w:r>
      <w:r>
        <w:t xml:space="preserve"> </w:t>
      </w:r>
      <w:r>
        <w:t xml:space="preserve">· Effect of liraglutide treatment on body mass index and weight parameters in children and adolescents with type 2 diabetes: Post hoc analysis of the ellipse trial. PMID 33634589</w:t>
      </w:r>
    </w:p>
    <w:p>
      <w:pPr>
        <w:numPr>
          <w:ilvl w:val="0"/>
          <w:numId w:val="1377"/>
        </w:numPr>
        <w:pStyle w:val="Compact"/>
      </w:pPr>
      <w:r>
        <w:t xml:space="preserve">2021 · Wegeberg AM ·</w:t>
      </w:r>
      <w:r>
        <w:t xml:space="preserve"> </w:t>
      </w:r>
      <w:r>
        <w:rPr>
          <w:iCs/>
          <w:i/>
        </w:rPr>
        <w:t xml:space="preserve">Basic Clin Pharmacol Toxicol</w:t>
      </w:r>
      <w:r>
        <w:t xml:space="preserve"> </w:t>
      </w:r>
      <w:r>
        <w:t xml:space="preserve">· Subcutaneous adipose tissue composition and function are unaffected by liraglutide-induced weight loss in adults with type 1 diabetes. PMID 33624417</w:t>
      </w:r>
    </w:p>
    <w:p>
      <w:pPr>
        <w:numPr>
          <w:ilvl w:val="0"/>
          <w:numId w:val="1377"/>
        </w:numPr>
        <w:pStyle w:val="Compact"/>
      </w:pPr>
      <w:r>
        <w:t xml:space="preserve">2021 · Pasquel FJ ·</w:t>
      </w:r>
      <w:r>
        <w:t xml:space="preserve"> </w:t>
      </w:r>
      <w:r>
        <w:rPr>
          <w:iCs/>
          <w:i/>
        </w:rPr>
        <w:t xml:space="preserve">Diabetes Obes Metab</w:t>
      </w:r>
      <w:r>
        <w:t xml:space="preserve"> </w:t>
      </w:r>
      <w:r>
        <w:t xml:space="preserve">· Liraglutide hospital discharge trial: A randomized controlled trial comparing the safety and efficacy of liraglutide versus insulin glargine for the management of patients with type 2 diabetes after hospital discharge. PMID 33591621</w:t>
      </w:r>
    </w:p>
    <w:p>
      <w:pPr>
        <w:numPr>
          <w:ilvl w:val="0"/>
          <w:numId w:val="1377"/>
        </w:numPr>
        <w:pStyle w:val="Compact"/>
      </w:pPr>
      <w:r>
        <w:t xml:space="preserve">2021 · Grannell A ·</w:t>
      </w:r>
      <w:r>
        <w:t xml:space="preserve"> </w:t>
      </w:r>
      <w:r>
        <w:rPr>
          <w:iCs/>
          <w:i/>
        </w:rPr>
        <w:t xml:space="preserve">Obesity (Silver Spring)</w:t>
      </w:r>
      <w:r>
        <w:t xml:space="preserve"> </w:t>
      </w:r>
      <w:r>
        <w:t xml:space="preserve">· Liraglutide Does Not Adversely Impact Fat-Free Mass Loss. PMID 33528919</w:t>
      </w:r>
    </w:p>
    <w:p>
      <w:pPr>
        <w:numPr>
          <w:ilvl w:val="0"/>
          <w:numId w:val="1377"/>
        </w:numPr>
        <w:pStyle w:val="Compact"/>
      </w:pPr>
      <w:r>
        <w:t xml:space="preserve">2021 · Whicher CA ·</w:t>
      </w:r>
      <w:r>
        <w:t xml:space="preserve"> </w:t>
      </w:r>
      <w:r>
        <w:rPr>
          <w:iCs/>
          <w:i/>
        </w:rPr>
        <w:t xml:space="preserve">Diabetes Obes Metab</w:t>
      </w:r>
      <w:r>
        <w:t xml:space="preserve"> </w:t>
      </w:r>
      <w:r>
        <w:t xml:space="preserve">· The use of liraglutide 3.0 mg daily in the management of overweight and obesity in people with schizophrenia, schizoaffective disorder and first episode psychosis: Results of a pilot randomized, double-blind, placebo-controlled trial. PMID 33528914</w:t>
      </w:r>
    </w:p>
    <w:p>
      <w:pPr>
        <w:numPr>
          <w:ilvl w:val="0"/>
          <w:numId w:val="1377"/>
        </w:numPr>
        <w:pStyle w:val="Compact"/>
      </w:pPr>
      <w:r>
        <w:t xml:space="preserve">2021 · Persson F ·</w:t>
      </w:r>
      <w:r>
        <w:t xml:space="preserve"> </w:t>
      </w:r>
      <w:r>
        <w:rPr>
          <w:iCs/>
          <w:i/>
        </w:rPr>
        <w:t xml:space="preserve">Diabetes Care</w:t>
      </w:r>
      <w:r>
        <w:t xml:space="preserve"> </w:t>
      </w:r>
      <w:r>
        <w:t xml:space="preserve">· Changes in Albuminuria Predict Cardiovascular and Renal Outcomes in Type 2 Diabetes: A Post Hoc Analysis of the LEADER Trial. PMID 33504496</w:t>
      </w:r>
    </w:p>
    <w:p>
      <w:pPr>
        <w:numPr>
          <w:ilvl w:val="0"/>
          <w:numId w:val="1377"/>
        </w:numPr>
        <w:pStyle w:val="Compact"/>
      </w:pPr>
      <w:r>
        <w:t xml:space="preserve">2021 · Alba M ·</w:t>
      </w:r>
      <w:r>
        <w:t xml:space="preserve"> </w:t>
      </w:r>
      <w:r>
        <w:rPr>
          <w:iCs/>
          <w:i/>
        </w:rPr>
        <w:t xml:space="preserve">Clin Obes</w:t>
      </w:r>
      <w:r>
        <w:t xml:space="preserve"> </w:t>
      </w:r>
      <w:r>
        <w:t xml:space="preserve">· Efficacy and safety of glucagon-like peptide-1/glucagon receptor co-agonist JNJ-64565111 in individuals with obesity without type 2 diabetes mellitus: A randomized dose-ranging study. PMID 33475255</w:t>
      </w:r>
    </w:p>
    <w:p>
      <w:pPr>
        <w:numPr>
          <w:ilvl w:val="0"/>
          <w:numId w:val="1377"/>
        </w:numPr>
        <w:pStyle w:val="Compact"/>
      </w:pPr>
      <w:r>
        <w:t xml:space="preserve">2021 · Gudbergsen H ·</w:t>
      </w:r>
      <w:r>
        <w:t xml:space="preserve"> </w:t>
      </w:r>
      <w:r>
        <w:rPr>
          <w:iCs/>
          <w:i/>
        </w:rPr>
        <w:t xml:space="preserve">Am J Clin Nutr</w:t>
      </w:r>
      <w:r>
        <w:t xml:space="preserve"> </w:t>
      </w:r>
      <w:r>
        <w:t xml:space="preserve">· Liraglutide after diet-induced weight loss for pain and weight control in knee osteoarthritis: a randomized controlled trial. PMID 33471039</w:t>
      </w:r>
    </w:p>
    <w:p>
      <w:pPr>
        <w:numPr>
          <w:ilvl w:val="0"/>
          <w:numId w:val="1377"/>
        </w:numPr>
        <w:pStyle w:val="Compact"/>
      </w:pPr>
      <w:r>
        <w:t xml:space="preserve">2021 · Smits MM ·</w:t>
      </w:r>
      <w:r>
        <w:t xml:space="preserve"> </w:t>
      </w:r>
      <w:r>
        <w:rPr>
          <w:iCs/>
          <w:i/>
        </w:rPr>
        <w:t xml:space="preserve">Diabetes Metab</w:t>
      </w:r>
      <w:r>
        <w:t xml:space="preserve"> </w:t>
      </w:r>
      <w:r>
        <w:t xml:space="preserve">· Liraglutide and sitagliptin have no effect on intestinal microbiota composition: A 12-week randomized placebo-controlled trial in adults with type 2 diabetes. PMID 33429063</w:t>
      </w:r>
    </w:p>
    <w:p>
      <w:pPr>
        <w:numPr>
          <w:ilvl w:val="0"/>
          <w:numId w:val="1377"/>
        </w:numPr>
        <w:pStyle w:val="Compact"/>
      </w:pPr>
      <w:r>
        <w:t xml:space="preserve">2021 · Kumarathurai P ·</w:t>
      </w:r>
      <w:r>
        <w:t xml:space="preserve"> </w:t>
      </w:r>
      <w:r>
        <w:rPr>
          <w:iCs/>
          <w:i/>
        </w:rPr>
        <w:t xml:space="preserve">Cardiovasc Diabetol</w:t>
      </w:r>
      <w:r>
        <w:t xml:space="preserve"> </w:t>
      </w:r>
      <w:r>
        <w:t xml:space="preserve">· Effects of liraglutide on diastolic function parameters in patients with type 2 diabetes and coronary artery disease: a randomized crossover study. PMID 33413428</w:t>
      </w:r>
    </w:p>
    <w:p>
      <w:pPr>
        <w:numPr>
          <w:ilvl w:val="0"/>
          <w:numId w:val="1377"/>
        </w:numPr>
        <w:pStyle w:val="Compact"/>
      </w:pPr>
      <w:r>
        <w:t xml:space="preserve">2021 · Maagensen H ·</w:t>
      </w:r>
      <w:r>
        <w:t xml:space="preserve"> </w:t>
      </w:r>
      <w:r>
        <w:rPr>
          <w:iCs/>
          <w:i/>
        </w:rPr>
        <w:t xml:space="preserve">Psychiatry Res</w:t>
      </w:r>
      <w:r>
        <w:t xml:space="preserve"> </w:t>
      </w:r>
      <w:r>
        <w:t xml:space="preserve">· Liraglutide does not change bone turnover in clozapine- and olanzapine-treated schizophrenia overweight patients with prediabetes - randomized controlled trial. PMID 33373806</w:t>
      </w:r>
    </w:p>
    <w:p>
      <w:pPr>
        <w:numPr>
          <w:ilvl w:val="0"/>
          <w:numId w:val="1377"/>
        </w:numPr>
        <w:pStyle w:val="Compact"/>
      </w:pPr>
      <w:r>
        <w:t xml:space="preserve">2021 · van Baar ACG ·</w:t>
      </w:r>
      <w:r>
        <w:t xml:space="preserve"> </w:t>
      </w:r>
      <w:r>
        <w:rPr>
          <w:iCs/>
          <w:i/>
        </w:rPr>
        <w:t xml:space="preserve">Gastrointest Endosc</w:t>
      </w:r>
      <w:r>
        <w:t xml:space="preserve"> </w:t>
      </w:r>
      <w:r>
        <w:t xml:space="preserve">· Duodenal mucosal resurfacing combined with glucagon-like peptide-1 receptor agonism to discontinue insulin in type 2 diabetes: a feasibility study. PMID 33359437</w:t>
      </w:r>
    </w:p>
    <w:p>
      <w:pPr>
        <w:numPr>
          <w:ilvl w:val="0"/>
          <w:numId w:val="1377"/>
        </w:numPr>
        <w:pStyle w:val="Compact"/>
      </w:pPr>
      <w:r>
        <w:t xml:space="preserve">2021 · Dekkers IA ·</w:t>
      </w:r>
      <w:r>
        <w:t xml:space="preserve"> </w:t>
      </w:r>
      <w:r>
        <w:rPr>
          <w:iCs/>
          <w:i/>
        </w:rPr>
        <w:t xml:space="preserve">J Ren Nutr</w:t>
      </w:r>
      <w:r>
        <w:t xml:space="preserve"> </w:t>
      </w:r>
      <w:r>
        <w:t xml:space="preserve">· The Effect of Glycemic Control on Renal Triglyceride Content Assessed by Proton Spectroscopy in Patients With Type 2 Diabetes Mellitus: A Single-Center Parallel-Group Trial. PMID 33293204</w:t>
      </w:r>
    </w:p>
    <w:p>
      <w:pPr>
        <w:numPr>
          <w:ilvl w:val="0"/>
          <w:numId w:val="1377"/>
        </w:numPr>
        <w:pStyle w:val="Compact"/>
      </w:pPr>
      <w:r>
        <w:t xml:space="preserve">2021 · Kim SH ·</w:t>
      </w:r>
      <w:r>
        <w:t xml:space="preserve"> </w:t>
      </w:r>
      <w:r>
        <w:rPr>
          <w:iCs/>
          <w:i/>
        </w:rPr>
        <w:t xml:space="preserve">Diabetes Obes Metab</w:t>
      </w:r>
      <w:r>
        <w:t xml:space="preserve"> </w:t>
      </w:r>
      <w:r>
        <w:t xml:space="preserve">· Effect of the glucagon-like peptide-1 analogue liraglutide versus placebo treatment on circulating proglucagon-derived peptides that mediate improvements in body weight, insulin secretion and action: A randomized controlled trial. PMID 33140542</w:t>
      </w:r>
    </w:p>
    <w:p>
      <w:pPr>
        <w:numPr>
          <w:ilvl w:val="0"/>
          <w:numId w:val="1377"/>
        </w:numPr>
        <w:pStyle w:val="Compact"/>
      </w:pPr>
      <w:r>
        <w:t xml:space="preserve">2021 · Aso Y ·</w:t>
      </w:r>
      <w:r>
        <w:t xml:space="preserve"> </w:t>
      </w:r>
      <w:r>
        <w:rPr>
          <w:iCs/>
          <w:i/>
        </w:rPr>
        <w:t xml:space="preserve">Int J Clin Pract</w:t>
      </w:r>
      <w:r>
        <w:t xml:space="preserve"> </w:t>
      </w:r>
      <w:r>
        <w:t xml:space="preserve">· Comparison of insulin degludec (IDeg)/insulin Aspart (IAsp) co-formulation therapy twice-daily with free combination of GLP-1 receptor agonist liraglutide plus insulin degludec in Tochigi: IDEAL Trial. PMID 33099848</w:t>
      </w:r>
    </w:p>
    <w:p>
      <w:pPr>
        <w:numPr>
          <w:ilvl w:val="0"/>
          <w:numId w:val="1377"/>
        </w:numPr>
        <w:pStyle w:val="Compact"/>
      </w:pPr>
      <w:r>
        <w:t xml:space="preserve">2021 · Jiang J ·</w:t>
      </w:r>
      <w:r>
        <w:t xml:space="preserve"> </w:t>
      </w:r>
      <w:r>
        <w:rPr>
          <w:iCs/>
          <w:i/>
        </w:rPr>
        <w:t xml:space="preserve">Endocr Metab Immune Disord Drug Targets</w:t>
      </w:r>
      <w:r>
        <w:t xml:space="preserve"> </w:t>
      </w:r>
      <w:r>
        <w:t xml:space="preserve">· Comparison of Dapaglifozin and Liraglutide in Patients with Poorly Controlled Type 2 Diabetes Mellitus: a 24-week, Open, Double-centered, Head to Head Trial. PMID 32875989</w:t>
      </w:r>
    </w:p>
    <w:p>
      <w:pPr>
        <w:numPr>
          <w:ilvl w:val="0"/>
          <w:numId w:val="1377"/>
        </w:numPr>
        <w:pStyle w:val="Compact"/>
      </w:pPr>
      <w:r>
        <w:t xml:space="preserve">2021 · Thakur U ·</w:t>
      </w:r>
      <w:r>
        <w:t xml:space="preserve"> </w:t>
      </w:r>
      <w:r>
        <w:rPr>
          <w:iCs/>
          <w:i/>
        </w:rPr>
        <w:t xml:space="preserve">Obes Surg</w:t>
      </w:r>
      <w:r>
        <w:t xml:space="preserve"> </w:t>
      </w:r>
      <w:r>
        <w:t xml:space="preserve">· Liraglutide Augments Weight Loss After Laparoscopic Sleeve Gastrectomy: a Randomised, Double-Blind, Placebo-Control Study. PMID 32656729</w:t>
      </w:r>
    </w:p>
    <w:p>
      <w:pPr>
        <w:numPr>
          <w:ilvl w:val="0"/>
          <w:numId w:val="1377"/>
        </w:numPr>
        <w:pStyle w:val="Compact"/>
      </w:pPr>
      <w:r>
        <w:t xml:space="preserve">2021 · Billings LK ·</w:t>
      </w:r>
      <w:r>
        <w:t xml:space="preserve"> </w:t>
      </w:r>
      <w:r>
        <w:rPr>
          <w:iCs/>
          <w:i/>
        </w:rPr>
        <w:t xml:space="preserve">J Diabetes Sci Technol</w:t>
      </w:r>
      <w:r>
        <w:t xml:space="preserve"> </w:t>
      </w:r>
      <w:r>
        <w:t xml:space="preserve">· The Benefit of Insulin Degludec/Liraglutide (IDegLira) Compared With Basal-Bolus Insulin Therapy is Consistent Across Participant Subgroups With Type 2 Diabetes in the DUAL VII Randomized Trial. PMID 32107930</w:t>
      </w:r>
    </w:p>
    <w:p>
      <w:pPr>
        <w:numPr>
          <w:ilvl w:val="0"/>
          <w:numId w:val="1377"/>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7"/>
        </w:numPr>
        <w:pStyle w:val="Compact"/>
      </w:pPr>
      <w:r>
        <w:t xml:space="preserve">2020 · Tronieri JS ·</w:t>
      </w:r>
      <w:r>
        <w:t xml:space="preserve"> </w:t>
      </w:r>
      <w:r>
        <w:rPr>
          <w:iCs/>
          <w:i/>
        </w:rPr>
        <w:t xml:space="preserve">Obes Facts</w:t>
      </w:r>
      <w:r>
        <w:t xml:space="preserve"> </w:t>
      </w:r>
      <w:r>
        <w:t xml:space="preserve">· Effects of Dietary Self-Monitoring, Physical Activity, Liraglutide 3.0 mg, and Placebo on Weight Loss in the SCALE IBT Trial. PMID 33197917</w:t>
      </w:r>
    </w:p>
    <w:p>
      <w:pPr>
        <w:numPr>
          <w:ilvl w:val="0"/>
          <w:numId w:val="1377"/>
        </w:numPr>
        <w:pStyle w:val="Compact"/>
      </w:pPr>
      <w:r>
        <w:t xml:space="preserve">2020 · Guo W ·</w:t>
      </w:r>
      <w:r>
        <w:t xml:space="preserve"> </w:t>
      </w:r>
      <w:r>
        <w:rPr>
          <w:iCs/>
          <w:i/>
        </w:rPr>
        <w:t xml:space="preserve">Diabetes Res Clin Pract</w:t>
      </w:r>
      <w:r>
        <w:t xml:space="preserve"> </w:t>
      </w:r>
      <w:r>
        <w:t xml:space="preserve">· Liraglutide or insulin glargine treatments improves hepatic fat in obese patients with type 2 diabetes and nonalcoholic fatty liver disease in twenty-six weeks: A randomized placebo-controlled trial. PMID 33035599</w:t>
      </w:r>
    </w:p>
    <w:p>
      <w:pPr>
        <w:numPr>
          <w:ilvl w:val="0"/>
          <w:numId w:val="1377"/>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7"/>
        </w:numPr>
        <w:pStyle w:val="Compact"/>
      </w:pPr>
      <w:r>
        <w:t xml:space="preserve">2020 · Ali AM ·</w:t>
      </w:r>
      <w:r>
        <w:t xml:space="preserve"> </w:t>
      </w:r>
      <w:r>
        <w:rPr>
          <w:iCs/>
          <w:i/>
        </w:rPr>
        <w:t xml:space="preserve">J Clin Endocrinol Metab</w:t>
      </w:r>
      <w:r>
        <w:t xml:space="preserve"> </w:t>
      </w:r>
      <w:r>
        <w:t xml:space="preserve">· Improved Beta Cell Glucose Sensitivity Plays Predominant Role in the Decrease in HbA1c with Cana and Lira in T2DM. PMID 32745202</w:t>
      </w:r>
    </w:p>
    <w:p>
      <w:pPr>
        <w:numPr>
          <w:ilvl w:val="0"/>
          <w:numId w:val="1377"/>
        </w:numPr>
        <w:pStyle w:val="Compact"/>
      </w:pPr>
      <w:r>
        <w:t xml:space="preserve">2020 · Quast DR ·</w:t>
      </w:r>
      <w:r>
        <w:t xml:space="preserve"> </w:t>
      </w:r>
      <w:r>
        <w:rPr>
          <w:iCs/>
          <w:i/>
        </w:rPr>
        <w:t xml:space="preserve">Diabetes Care</w:t>
      </w:r>
      <w:r>
        <w:t xml:space="preserve"> </w:t>
      </w:r>
      <w:r>
        <w:t xml:space="preserve">· Effects of Lixisenatide Versus Liraglutide (Short- and Long-Acting GLP-1 Receptor Agonists) on Esophageal and Gastric Function in Patients With Type 2 Diabetes. PMID 32647054</w:t>
      </w:r>
    </w:p>
    <w:p>
      <w:pPr>
        <w:numPr>
          <w:ilvl w:val="0"/>
          <w:numId w:val="1377"/>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7"/>
        </w:numPr>
        <w:pStyle w:val="Compact"/>
      </w:pPr>
      <w:r>
        <w:t xml:space="preserve">2020 · Nielsen R ·</w:t>
      </w:r>
      <w:r>
        <w:t xml:space="preserve"> </w:t>
      </w:r>
      <w:r>
        <w:rPr>
          <w:iCs/>
          <w:i/>
        </w:rPr>
        <w:t xml:space="preserve">Diabetes Obes Metab</w:t>
      </w:r>
      <w:r>
        <w:t xml:space="preserve"> </w:t>
      </w:r>
      <w:r>
        <w:t xml:space="preserve">· The impact of the glucagon-like peptide-1 receptor agonist liraglutide on natriuretic peptides in heart failure patients with reduced ejection fraction with and without type 2 diabetes. PMID 32627271</w:t>
      </w:r>
    </w:p>
    <w:p>
      <w:pPr>
        <w:numPr>
          <w:ilvl w:val="0"/>
          <w:numId w:val="1377"/>
        </w:numPr>
        <w:pStyle w:val="Compact"/>
      </w:pPr>
      <w:r>
        <w:t xml:space="preserve">2020 · Mosenzon O ·</w:t>
      </w:r>
      <w:r>
        <w:t xml:space="preserve"> </w:t>
      </w:r>
      <w:r>
        <w:rPr>
          <w:iCs/>
          <w:i/>
        </w:rPr>
        <w:t xml:space="preserve">Diabetes Obes Metab</w:t>
      </w:r>
      <w:r>
        <w:t xml:space="preserve"> </w:t>
      </w:r>
      <w:r>
        <w:t xml:space="preserve">· Cardiovascular and renal outcomes by baseline albuminuria status and renal function: Results from the LEADER randomized trial. PMID 32618386</w:t>
      </w:r>
    </w:p>
    <w:p>
      <w:pPr>
        <w:numPr>
          <w:ilvl w:val="0"/>
          <w:numId w:val="1377"/>
        </w:numPr>
        <w:pStyle w:val="Compact"/>
      </w:pPr>
      <w:r>
        <w:t xml:space="preserve">2020 · Del Olmo-García MI ·</w:t>
      </w:r>
      <w:r>
        <w:t xml:space="preserve"> </w:t>
      </w:r>
      <w:r>
        <w:rPr>
          <w:iCs/>
          <w:i/>
        </w:rPr>
        <w:t xml:space="preserve">J Int Med Res</w:t>
      </w:r>
      <w:r>
        <w:t xml:space="preserve"> </w:t>
      </w:r>
      <w:r>
        <w:t xml:space="preserve">· Glycemic variability in type 2 diabetes mellitus and acute coronary syndrome: liraglutide compared with insulin glargine: a pilot study. PMID 32567433</w:t>
      </w:r>
    </w:p>
    <w:p>
      <w:pPr>
        <w:numPr>
          <w:ilvl w:val="0"/>
          <w:numId w:val="1377"/>
        </w:numPr>
        <w:pStyle w:val="Compact"/>
      </w:pPr>
      <w:r>
        <w:t xml:space="preserve">2020 · Tronieri JS ·</w:t>
      </w:r>
      <w:r>
        <w:t xml:space="preserve"> </w:t>
      </w:r>
      <w:r>
        <w:rPr>
          <w:iCs/>
          <w:i/>
        </w:rPr>
        <w:t xml:space="preserve">Behav Res Ther</w:t>
      </w:r>
      <w:r>
        <w:t xml:space="preserve"> </w:t>
      </w:r>
      <w:r>
        <w:t xml:space="preserve">· Measures of adherence as predictors of early and total weight loss with intensive behavioral therapy for obesity combined with liraglutide 3.0 mg. PMID 32450367</w:t>
      </w:r>
    </w:p>
    <w:p>
      <w:pPr>
        <w:numPr>
          <w:ilvl w:val="0"/>
          <w:numId w:val="1377"/>
        </w:numPr>
        <w:pStyle w:val="Compact"/>
      </w:pPr>
      <w:r>
        <w:t xml:space="preserve">2020 · Ghanim H ·</w:t>
      </w:r>
      <w:r>
        <w:t xml:space="preserve"> </w:t>
      </w:r>
      <w:r>
        <w:rPr>
          <w:iCs/>
          <w:i/>
        </w:rPr>
        <w:t xml:space="preserve">Diabetes Obes Metab</w:t>
      </w:r>
      <w:r>
        <w:t xml:space="preserve"> </w:t>
      </w:r>
      <w:r>
        <w:t xml:space="preserve">· Liraglutide treatment in overweight and obese patients with type 1 diabetes: A 26-week randomized controlled trial; mechanisms of weight loss. PMID 32424935</w:t>
      </w:r>
    </w:p>
    <w:p>
      <w:pPr>
        <w:numPr>
          <w:ilvl w:val="0"/>
          <w:numId w:val="1377"/>
        </w:numPr>
        <w:pStyle w:val="Compact"/>
      </w:pPr>
      <w:r>
        <w:t xml:space="preserve">2020 · Wegeberg AL ·</w:t>
      </w:r>
      <w:r>
        <w:t xml:space="preserve"> </w:t>
      </w:r>
      <w:r>
        <w:rPr>
          <w:iCs/>
          <w:i/>
        </w:rPr>
        <w:t xml:space="preserve">United European Gastroenterol J</w:t>
      </w:r>
      <w:r>
        <w:t xml:space="preserve"> </w:t>
      </w:r>
      <w:r>
        <w:t xml:space="preserve">· Liraglutide accelerates colonic transit in people with type 1 diabetes and polyneuropathy: A randomised, double-blind, placebo-controlled trial. PMID 32390563</w:t>
      </w:r>
    </w:p>
    <w:p>
      <w:pPr>
        <w:numPr>
          <w:ilvl w:val="0"/>
          <w:numId w:val="1377"/>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7"/>
        </w:numPr>
        <w:pStyle w:val="Compact"/>
      </w:pPr>
      <w:r>
        <w:t xml:space="preserve">2020 · Buse JB ·</w:t>
      </w:r>
      <w:r>
        <w:t xml:space="preserve"> </w:t>
      </w:r>
      <w:r>
        <w:rPr>
          <w:iCs/>
          <w:i/>
        </w:rPr>
        <w:t xml:space="preserve">Diabetes Care</w:t>
      </w:r>
      <w:r>
        <w:t xml:space="preserve"> </w:t>
      </w:r>
      <w:r>
        <w:t xml:space="preserve">· Cardiovascular Risk Reduction With Liraglutide: An Exploratory Mediation Analysis of the LEADER Trial. PMID 32366578</w:t>
      </w:r>
    </w:p>
    <w:p>
      <w:pPr>
        <w:numPr>
          <w:ilvl w:val="0"/>
          <w:numId w:val="1377"/>
        </w:numPr>
        <w:pStyle w:val="Compact"/>
      </w:pPr>
      <w:r>
        <w:t xml:space="preserve">2020 · Redouane B ·</w:t>
      </w:r>
      <w:r>
        <w:t xml:space="preserve"> </w:t>
      </w:r>
      <w:r>
        <w:rPr>
          <w:iCs/>
          <w:i/>
        </w:rPr>
        <w:t xml:space="preserve">Circ Heart Fail</w:t>
      </w:r>
      <w:r>
        <w:t xml:space="preserve"> </w:t>
      </w:r>
      <w:r>
        <w:t xml:space="preserve">· Effects of Liraglutide on Worsening Renal Function Among Patients With Heart Failure With Reduced Ejection Fraction: Insights From the FIGHT Trial. PMID 32362166</w:t>
      </w:r>
    </w:p>
    <w:p>
      <w:pPr>
        <w:numPr>
          <w:ilvl w:val="0"/>
          <w:numId w:val="1377"/>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7"/>
        </w:numPr>
        <w:pStyle w:val="Compact"/>
      </w:pPr>
      <w:r>
        <w:t xml:space="preserve">2020 · Ikonomidis I ·</w:t>
      </w:r>
      <w:r>
        <w:t xml:space="preserve"> </w:t>
      </w:r>
      <w:r>
        <w:rPr>
          <w:iCs/>
          <w:i/>
        </w:rPr>
        <w:t xml:space="preserve">J Am Heart Assoc</w:t>
      </w:r>
      <w:r>
        <w:t xml:space="preserve"> </w:t>
      </w:r>
      <w:r>
        <w:t xml:space="preserve">· Effects of Glucagon-Like Peptide-1 Receptor Agonists, Sodium-Glucose Cotransporter-2 Inhibitors, and Their Combination on Endothelial Glycocalyx, Arterial Function, and Myocardial Work Index in Patients With Type 2 Diabetes Mellitus After 12-Month Treatment. PMID 32326806</w:t>
      </w:r>
    </w:p>
    <w:p>
      <w:pPr>
        <w:numPr>
          <w:ilvl w:val="0"/>
          <w:numId w:val="1377"/>
        </w:numPr>
        <w:pStyle w:val="Compact"/>
      </w:pPr>
      <w:r>
        <w:t xml:space="preserve">2020 · Tougaard RS ·</w:t>
      </w:r>
      <w:r>
        <w:t xml:space="preserve"> </w:t>
      </w:r>
      <w:r>
        <w:rPr>
          <w:iCs/>
          <w:i/>
        </w:rPr>
        <w:t xml:space="preserve">Scand Cardiovasc J</w:t>
      </w:r>
      <w:r>
        <w:t xml:space="preserve"> </w:t>
      </w:r>
      <w:r>
        <w:t xml:space="preserve">· Heart rate increases in liraglutide treated chronic heart failure patients: association with clinical parameters and adverse events. PMID 32292074</w:t>
      </w:r>
    </w:p>
    <w:p>
      <w:pPr>
        <w:numPr>
          <w:ilvl w:val="0"/>
          <w:numId w:val="1377"/>
        </w:numPr>
        <w:pStyle w:val="Compact"/>
      </w:pPr>
      <w:r>
        <w:t xml:space="preserve">2020 · Dubé MC ·</w:t>
      </w:r>
      <w:r>
        <w:t xml:space="preserve"> </w:t>
      </w:r>
      <w:r>
        <w:rPr>
          <w:iCs/>
          <w:i/>
        </w:rPr>
        <w:t xml:space="preserve">Diabetes Obes Metab</w:t>
      </w:r>
      <w:r>
        <w:t xml:space="preserve"> </w:t>
      </w:r>
      <w:r>
        <w:t xml:space="preserve">· Effect of liraglutide on food consumption, appetite sensations and eating behaviours in overweight people with type 1 diabetes. PMID 32250534</w:t>
      </w:r>
    </w:p>
    <w:p>
      <w:pPr>
        <w:numPr>
          <w:ilvl w:val="0"/>
          <w:numId w:val="1377"/>
        </w:numPr>
        <w:pStyle w:val="Compact"/>
      </w:pPr>
      <w:r>
        <w:t xml:space="preserve">2020 · Kelly AS ·</w:t>
      </w:r>
      <w:r>
        <w:t xml:space="preserve"> </w:t>
      </w:r>
      <w:r>
        <w:rPr>
          <w:iCs/>
          <w:i/>
        </w:rPr>
        <w:t xml:space="preserve">N Engl J Med</w:t>
      </w:r>
      <w:r>
        <w:t xml:space="preserve"> </w:t>
      </w:r>
      <w:r>
        <w:t xml:space="preserve">· A Randomized, Controlled Trial of Liraglutide for Adolescents with Obesity. PMID 32233338</w:t>
      </w:r>
    </w:p>
    <w:p>
      <w:pPr>
        <w:numPr>
          <w:ilvl w:val="0"/>
          <w:numId w:val="1377"/>
        </w:numPr>
        <w:pStyle w:val="Compact"/>
      </w:pPr>
      <w:r>
        <w:t xml:space="preserve">2020 · Ali AM ·</w:t>
      </w:r>
      <w:r>
        <w:t xml:space="preserve"> </w:t>
      </w:r>
      <w:r>
        <w:rPr>
          <w:iCs/>
          <w:i/>
        </w:rPr>
        <w:t xml:space="preserve">Diabetes Care</w:t>
      </w:r>
      <w:r>
        <w:t xml:space="preserve"> </w:t>
      </w:r>
      <w:r>
        <w:t xml:space="preserve">· Combination Therapy With Canagliflozin Plus Liraglutide Exerts Additive Effect on Weight Loss, but Not on HbA(1c), in Patients With Type 2 Diabetes. PMID 32220916</w:t>
      </w:r>
    </w:p>
    <w:p>
      <w:pPr>
        <w:numPr>
          <w:ilvl w:val="0"/>
          <w:numId w:val="1377"/>
        </w:numPr>
        <w:pStyle w:val="Compact"/>
      </w:pPr>
      <w:r>
        <w:t xml:space="preserve">2020 · Marso SP ·</w:t>
      </w:r>
      <w:r>
        <w:t xml:space="preserve"> </w:t>
      </w:r>
      <w:r>
        <w:rPr>
          <w:iCs/>
          <w:i/>
        </w:rPr>
        <w:t xml:space="preserve">J Am Coll Cardiol</w:t>
      </w:r>
      <w:r>
        <w:t xml:space="preserve"> </w:t>
      </w:r>
      <w:r>
        <w:t xml:space="preserve">· Effects of Liraglutide on Cardiovascular Outcomes in Patients With Diabetes With or Without Heart Failure. PMID 32164886</w:t>
      </w:r>
    </w:p>
    <w:p>
      <w:pPr>
        <w:numPr>
          <w:ilvl w:val="0"/>
          <w:numId w:val="1377"/>
        </w:numPr>
        <w:pStyle w:val="Compact"/>
      </w:pPr>
      <w:r>
        <w:t xml:space="preserve">2020 · Webb DR ·</w:t>
      </w:r>
      <w:r>
        <w:t xml:space="preserve"> </w:t>
      </w:r>
      <w:r>
        <w:rPr>
          <w:iCs/>
          <w:i/>
        </w:rPr>
        <w:t xml:space="preserve">Diabetes Obes Metab</w:t>
      </w:r>
      <w:r>
        <w:t xml:space="preserve"> </w:t>
      </w:r>
      <w:r>
        <w:t xml:space="preserve">· A randomized, open-label, active comparator trial assessing the effects of 26 weeks of liraglutide or sitagliptin on cardiovascular function in young obese adults with type 2 diabetes. PMID 32157772</w:t>
      </w:r>
    </w:p>
    <w:p>
      <w:pPr>
        <w:numPr>
          <w:ilvl w:val="0"/>
          <w:numId w:val="1377"/>
        </w:numPr>
        <w:pStyle w:val="Compact"/>
      </w:pPr>
      <w:r>
        <w:t xml:space="preserve">2020 · Garvey WT ·</w:t>
      </w:r>
      <w:r>
        <w:t xml:space="preserve"> </w:t>
      </w:r>
      <w:r>
        <w:rPr>
          <w:iCs/>
          <w:i/>
        </w:rPr>
        <w:t xml:space="preserve">Diabetes Care</w:t>
      </w:r>
      <w:r>
        <w:t xml:space="preserve"> </w:t>
      </w:r>
      <w:r>
        <w:t xml:space="preserve">· Efficacy and Safety of Liraglutide 3.0 mg in Individuals With Overweight or Obesity and Type 2 Diabetes Treated With Basal Insulin: The SCALE Insulin Randomized Controlled Trial. PMID 32139381</w:t>
      </w:r>
    </w:p>
    <w:p>
      <w:pPr>
        <w:numPr>
          <w:ilvl w:val="0"/>
          <w:numId w:val="1377"/>
        </w:numPr>
        <w:pStyle w:val="Compact"/>
      </w:pPr>
      <w:r>
        <w:t xml:space="preserve">2020 · Mann JFE ·</w:t>
      </w:r>
      <w:r>
        <w:t xml:space="preserve"> </w:t>
      </w:r>
      <w:r>
        <w:rPr>
          <w:iCs/>
          <w:i/>
        </w:rPr>
        <w:t xml:space="preserve">Clin J Am Soc Nephrol</w:t>
      </w:r>
      <w:r>
        <w:t xml:space="preserve"> </w:t>
      </w:r>
      <w:r>
        <w:t xml:space="preserve">· Safety of Liraglutide in Type 2 Diabetes and Chronic Kidney Disease. PMID 32132141</w:t>
      </w:r>
    </w:p>
    <w:p>
      <w:pPr>
        <w:numPr>
          <w:ilvl w:val="0"/>
          <w:numId w:val="1377"/>
        </w:numPr>
        <w:pStyle w:val="Compact"/>
      </w:pPr>
      <w:r>
        <w:t xml:space="preserve">2020 · van Eyk HJ ·</w:t>
      </w:r>
      <w:r>
        <w:t xml:space="preserve"> </w:t>
      </w:r>
      <w:r>
        <w:rPr>
          <w:iCs/>
          <w:i/>
        </w:rPr>
        <w:t xml:space="preserve">Nutr Metab Cardiovasc Dis</w:t>
      </w:r>
      <w:r>
        <w:t xml:space="preserve"> </w:t>
      </w:r>
      <w:r>
        <w:t xml:space="preserve">· Liraglutide decreases energy expenditure and does not affect the fat fraction of supraclavicular brown adipose tissue in patients with type 2 diabetes. PMID 32127340</w:t>
      </w:r>
    </w:p>
    <w:p>
      <w:pPr>
        <w:numPr>
          <w:ilvl w:val="0"/>
          <w:numId w:val="1377"/>
        </w:numPr>
        <w:pStyle w:val="Compact"/>
      </w:pPr>
      <w:r>
        <w:t xml:space="preserve">2020 · Zhang LY ·</w:t>
      </w:r>
      <w:r>
        <w:t xml:space="preserve"> </w:t>
      </w:r>
      <w:r>
        <w:rPr>
          <w:iCs/>
          <w:i/>
        </w:rPr>
        <w:t xml:space="preserve">Clin Res Hepatol Gastroenterol</w:t>
      </w:r>
      <w:r>
        <w:t xml:space="preserve"> </w:t>
      </w:r>
      <w:r>
        <w:t xml:space="preserve">· Effect of liraglutide therapy on serum fetuin A in patients with type 2 diabetes and non-alcoholic fatty liver disease. PMID 32113823</w:t>
      </w:r>
    </w:p>
    <w:p>
      <w:pPr>
        <w:numPr>
          <w:ilvl w:val="0"/>
          <w:numId w:val="1377"/>
        </w:numPr>
        <w:pStyle w:val="Compact"/>
      </w:pPr>
      <w:r>
        <w:t xml:space="preserve">2020 · Wadden TA ·</w:t>
      </w:r>
      <w:r>
        <w:t xml:space="preserve"> </w:t>
      </w:r>
      <w:r>
        <w:rPr>
          <w:iCs/>
          <w:i/>
        </w:rPr>
        <w:t xml:space="preserve">Obesity (Silver Spring)</w:t>
      </w:r>
      <w:r>
        <w:t xml:space="preserve"> </w:t>
      </w:r>
      <w:r>
        <w:t xml:space="preserve">· Liraglutide 3.0 mg and Intensive Behavioral Therapy (IBT) for Obesity in Primary Care: The SCALE IBT Randomized Controlled Trial. PMID 32090517</w:t>
      </w:r>
    </w:p>
    <w:p>
      <w:pPr>
        <w:numPr>
          <w:ilvl w:val="0"/>
          <w:numId w:val="1377"/>
        </w:numPr>
        <w:pStyle w:val="Compact"/>
      </w:pPr>
      <w:r>
        <w:t xml:space="preserve">2020 · Elkind-Hirsch KE ·</w:t>
      </w:r>
      <w:r>
        <w:t xml:space="preserve"> </w:t>
      </w:r>
      <w:r>
        <w:rPr>
          <w:iCs/>
          <w:i/>
        </w:rPr>
        <w:t xml:space="preserve">J Diabetes Complications</w:t>
      </w:r>
      <w:r>
        <w:t xml:space="preserve"> </w:t>
      </w:r>
      <w:r>
        <w:t xml:space="preserve">· Postpartum treatment with liraglutide in combination with metformin versus metformin monotherapy to improve metabolic status and reduce body weight in overweight/obese women with recent gestational diabetes: A double-blind, randomized, placebo-controlled study. PMID 32046931</w:t>
      </w:r>
    </w:p>
    <w:p>
      <w:pPr>
        <w:numPr>
          <w:ilvl w:val="0"/>
          <w:numId w:val="1377"/>
        </w:numPr>
        <w:pStyle w:val="Compact"/>
      </w:pPr>
      <w:r>
        <w:t xml:space="preserve">2020 · Blonde L ·</w:t>
      </w:r>
      <w:r>
        <w:t xml:space="preserve"> </w:t>
      </w:r>
      <w:r>
        <w:rPr>
          <w:iCs/>
          <w:i/>
        </w:rPr>
        <w:t xml:space="preserve">Diabetes Obes Metab</w:t>
      </w:r>
      <w:r>
        <w:t xml:space="preserve"> </w:t>
      </w:r>
      <w:r>
        <w:t xml:space="preserve">· Liraglutide as add-on to sodium-glucose co-transporter-2 inhibitors in patients with inadequately controlled type 2 diabetes: LIRA-ADD2SGLT2i, a 26-week, randomized, double-blind, placebo-controlled trial. PMID 31984646</w:t>
      </w:r>
    </w:p>
    <w:p>
      <w:pPr>
        <w:numPr>
          <w:ilvl w:val="0"/>
          <w:numId w:val="1377"/>
        </w:numPr>
        <w:pStyle w:val="Compact"/>
      </w:pPr>
      <w:r>
        <w:t xml:space="preserve">2020 · Vadini F ·</w:t>
      </w:r>
      <w:r>
        <w:t xml:space="preserve"> </w:t>
      </w:r>
      <w:r>
        <w:rPr>
          <w:iCs/>
          <w:i/>
        </w:rPr>
        <w:t xml:space="preserve">Int J Obes (Lond)</w:t>
      </w:r>
      <w:r>
        <w:t xml:space="preserve"> </w:t>
      </w:r>
      <w:r>
        <w:t xml:space="preserve">· Liraglutide improves memory in obese patients with prediabetes or early type 2 diabetes: a randomized, controlled study. PMID 31965072</w:t>
      </w:r>
    </w:p>
    <w:p>
      <w:pPr>
        <w:numPr>
          <w:ilvl w:val="0"/>
          <w:numId w:val="1377"/>
        </w:numPr>
        <w:pStyle w:val="Compact"/>
      </w:pPr>
      <w:r>
        <w:t xml:space="preserve">2020 · Sesti G ·</w:t>
      </w:r>
      <w:r>
        <w:t xml:space="preserve"> </w:t>
      </w:r>
      <w:r>
        <w:rPr>
          <w:iCs/>
          <w:i/>
        </w:rPr>
        <w:t xml:space="preserve">Diabetes Obes Metab</w:t>
      </w:r>
      <w:r>
        <w:t xml:space="preserve"> </w:t>
      </w:r>
      <w:r>
        <w:t xml:space="preserve">· A greater proportion of participants with type 2 diabetes achieve treatment targets with insulin degludec/liraglutide versus insulin glargine 100 units/mL at 26 weeks: DUAL VIII, a randomized trial designed to resemble clinical practice. PMID 31903724</w:t>
      </w:r>
    </w:p>
    <w:p>
      <w:pPr>
        <w:numPr>
          <w:ilvl w:val="0"/>
          <w:numId w:val="1377"/>
        </w:numPr>
        <w:pStyle w:val="Compact"/>
      </w:pPr>
      <w:r>
        <w:t xml:space="preserve">2020 · Hygum K ·</w:t>
      </w:r>
      <w:r>
        <w:t xml:space="preserve"> </w:t>
      </w:r>
      <w:r>
        <w:rPr>
          <w:iCs/>
          <w:i/>
        </w:rPr>
        <w:t xml:space="preserve">Bone</w:t>
      </w:r>
      <w:r>
        <w:t xml:space="preserve"> </w:t>
      </w:r>
      <w:r>
        <w:t xml:space="preserve">· Bone resorption is unchanged by liraglutide in type 2 diabetes patients: A randomised controlled trial. PMID 31870634</w:t>
      </w:r>
    </w:p>
    <w:p>
      <w:pPr>
        <w:numPr>
          <w:ilvl w:val="0"/>
          <w:numId w:val="1377"/>
        </w:numPr>
        <w:pStyle w:val="Compact"/>
      </w:pPr>
      <w:r>
        <w:t xml:space="preserve">2020 · Yao MY ·</w:t>
      </w:r>
      <w:r>
        <w:t xml:space="preserve"> </w:t>
      </w:r>
      <w:r>
        <w:rPr>
          <w:iCs/>
          <w:i/>
        </w:rPr>
        <w:t xml:space="preserve">Braz J Med Biol Res</w:t>
      </w:r>
      <w:r>
        <w:t xml:space="preserve"> </w:t>
      </w:r>
      <w:r>
        <w:t xml:space="preserve">· Use of flash glucose-sensing technology in patients with type 2 diabetes treated with liraglutide combined with CSII: a pilot study. PMID 31859911</w:t>
      </w:r>
    </w:p>
    <w:p>
      <w:pPr>
        <w:numPr>
          <w:ilvl w:val="0"/>
          <w:numId w:val="1377"/>
        </w:numPr>
        <w:pStyle w:val="Compact"/>
      </w:pPr>
      <w:r>
        <w:t xml:space="preserve">2020 · Janez A ·</w:t>
      </w:r>
      <w:r>
        <w:t xml:space="preserve"> </w:t>
      </w:r>
      <w:r>
        <w:rPr>
          <w:iCs/>
          <w:i/>
        </w:rPr>
        <w:t xml:space="preserve">Diabetes Obes Metab</w:t>
      </w:r>
      <w:r>
        <w:t xml:space="preserve"> </w:t>
      </w:r>
      <w:r>
        <w:t xml:space="preserve">· Benefits of insulin degludec/liraglutide are maintained even in patients discontinuing sulphonylureas or dipeptidyl peptidase-4 inhibitors upon initiation of degludec/liraglutide therapy: A post hoc analysis of the DUAL II and DUAL IX trials. PMID 31858673</w:t>
      </w:r>
    </w:p>
    <w:p>
      <w:pPr>
        <w:numPr>
          <w:ilvl w:val="0"/>
          <w:numId w:val="1377"/>
        </w:numPr>
        <w:pStyle w:val="Compact"/>
      </w:pPr>
      <w:r>
        <w:t xml:space="preserve">2020 · Cannon AJ ·</w:t>
      </w:r>
      <w:r>
        <w:t xml:space="preserve"> </w:t>
      </w:r>
      <w:r>
        <w:rPr>
          <w:iCs/>
          <w:i/>
        </w:rPr>
        <w:t xml:space="preserve">J Manag Care Spec Pharm</w:t>
      </w:r>
      <w:r>
        <w:t xml:space="preserve"> </w:t>
      </w:r>
      <w:r>
        <w:t xml:space="preserve">· Evaluation of the Short-Term Cost-Effectiveness of IDegLira Versus Basal Insulin and Basal-Bolus Therapy in Patients with Type 2 Diabetes Based on Attainment of Clinically Relevant Treatment Targets. PMID 31856636</w:t>
      </w:r>
    </w:p>
    <w:p>
      <w:pPr>
        <w:numPr>
          <w:ilvl w:val="0"/>
          <w:numId w:val="1377"/>
        </w:numPr>
        <w:pStyle w:val="Compact"/>
      </w:pPr>
      <w:r>
        <w:t xml:space="preserve">2020 · Paiman EHM ·</w:t>
      </w:r>
      <w:r>
        <w:t xml:space="preserve"> </w:t>
      </w:r>
      <w:r>
        <w:rPr>
          <w:iCs/>
          <w:i/>
        </w:rPr>
        <w:t xml:space="preserve">J Magn Reson Imaging</w:t>
      </w:r>
      <w:r>
        <w:t xml:space="preserve"> </w:t>
      </w:r>
      <w:r>
        <w:t xml:space="preserve">· Effect of Liraglutide on Cardiovascular Function and Myocardial Tissue Characteristics in Type 2 Diabetes Patients of South Asian Descent Living in the Netherlands: A Double-Blind, Randomized, Placebo-Controlled Trial. PMID 31799782</w:t>
      </w:r>
    </w:p>
    <w:p>
      <w:pPr>
        <w:numPr>
          <w:ilvl w:val="0"/>
          <w:numId w:val="1377"/>
        </w:numPr>
        <w:pStyle w:val="Compact"/>
      </w:pPr>
      <w:r>
        <w:t xml:space="preserve">2020 · Hulst AH ·</w:t>
      </w:r>
      <w:r>
        <w:t xml:space="preserve"> </w:t>
      </w:r>
      <w:r>
        <w:rPr>
          <w:iCs/>
          <w:i/>
        </w:rPr>
        <w:t xml:space="preserve">Diabetes Obes Metab</w:t>
      </w:r>
      <w:r>
        <w:t xml:space="preserve"> </w:t>
      </w:r>
      <w:r>
        <w:t xml:space="preserve">· Liraglutide for perioperative management of hyperglycaemia in cardiac surgery patients: a multicentre randomized superiority trial. PMID 31749275</w:t>
      </w:r>
    </w:p>
    <w:p>
      <w:pPr>
        <w:numPr>
          <w:ilvl w:val="0"/>
          <w:numId w:val="1377"/>
        </w:numPr>
        <w:pStyle w:val="Compact"/>
      </w:pPr>
      <w:r>
        <w:t xml:space="preserve">2020 · Dejgaard TF ·</w:t>
      </w:r>
      <w:r>
        <w:t xml:space="preserve"> </w:t>
      </w:r>
      <w:r>
        <w:rPr>
          <w:iCs/>
          <w:i/>
        </w:rPr>
        <w:t xml:space="preserve">Diabetes Obes Metab</w:t>
      </w:r>
      <w:r>
        <w:t xml:space="preserve"> </w:t>
      </w:r>
      <w:r>
        <w:t xml:space="preserve">· Liraglutide reduces hyperglycaemia and body weight in overweight, dysregulated insulin-pump-treated patients with type 1 diabetes: The Lira Pump trial-a randomized, double-blinded, placebo-controlled trial. PMID 31696598</w:t>
      </w:r>
    </w:p>
    <w:p>
      <w:pPr>
        <w:numPr>
          <w:ilvl w:val="0"/>
          <w:numId w:val="1377"/>
        </w:numPr>
        <w:pStyle w:val="Compact"/>
      </w:pPr>
      <w:r>
        <w:t xml:space="preserve">2020 · Bizino MB ·</w:t>
      </w:r>
      <w:r>
        <w:t xml:space="preserve"> </w:t>
      </w:r>
      <w:r>
        <w:rPr>
          <w:iCs/>
          <w:i/>
        </w:rPr>
        <w:t xml:space="preserve">Diabetologia</w:t>
      </w:r>
      <w:r>
        <w:t xml:space="preserve"> </w:t>
      </w:r>
      <w:r>
        <w:t xml:space="preserve">· Placebo-controlled randomised trial with liraglutide on magnetic resonance endpoints in individuals with type 2 diabetes: a pre-specified secondary study on ectopic fat accumulation. PMID 31690988</w:t>
      </w:r>
    </w:p>
    <w:p>
      <w:pPr>
        <w:numPr>
          <w:ilvl w:val="0"/>
          <w:numId w:val="1377"/>
        </w:numPr>
        <w:pStyle w:val="Compact"/>
      </w:pPr>
      <w:r>
        <w:t xml:space="preserve">2020 · Kadouh H ·</w:t>
      </w:r>
      <w:r>
        <w:t xml:space="preserve"> </w:t>
      </w:r>
      <w:r>
        <w:rPr>
          <w:iCs/>
          <w:i/>
        </w:rPr>
        <w:t xml:space="preserve">J Clin Endocrinol Metab</w:t>
      </w:r>
      <w:r>
        <w:t xml:space="preserve"> </w:t>
      </w:r>
      <w:r>
        <w:t xml:space="preserve">· GLP-1 Analog Modulates Appetite, Taste Preference, Gut Hormones, and Regional Body Fat Stores in Adults with Obesity. PMID 31665455</w:t>
      </w:r>
    </w:p>
    <w:p>
      <w:pPr>
        <w:numPr>
          <w:ilvl w:val="0"/>
          <w:numId w:val="1377"/>
        </w:numPr>
        <w:pStyle w:val="Compact"/>
      </w:pPr>
      <w:r>
        <w:t xml:space="preserve">2020 · Gaborit B ·</w:t>
      </w:r>
      <w:r>
        <w:t xml:space="preserve"> </w:t>
      </w:r>
      <w:r>
        <w:rPr>
          <w:iCs/>
          <w:i/>
        </w:rPr>
        <w:t xml:space="preserve">J Clin Endocrinol Metab</w:t>
      </w:r>
      <w:r>
        <w:t xml:space="preserve"> </w:t>
      </w:r>
      <w:r>
        <w:t xml:space="preserve">· Glucagon-like Peptide 1 Receptor Agonists, Diabetic Retinopathy and Angiogenesis: The AngioSafe Type 2 Diabetes Study. PMID 31589290</w:t>
      </w:r>
    </w:p>
    <w:p>
      <w:pPr>
        <w:numPr>
          <w:ilvl w:val="0"/>
          <w:numId w:val="1377"/>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7"/>
        </w:numPr>
        <w:pStyle w:val="Compact"/>
      </w:pPr>
      <w:r>
        <w:t xml:space="preserve">2020 · Tronieri JS ·</w:t>
      </w:r>
      <w:r>
        <w:t xml:space="preserve"> </w:t>
      </w:r>
      <w:r>
        <w:rPr>
          <w:iCs/>
          <w:i/>
        </w:rPr>
        <w:t xml:space="preserve">Int J Obes (Lond)</w:t>
      </w:r>
      <w:r>
        <w:t xml:space="preserve"> </w:t>
      </w:r>
      <w:r>
        <w:t xml:space="preserve">· Effects of liraglutide on appetite, food preoccupation, and food liking: results of a randomized controlled trial. PMID 30926955</w:t>
      </w:r>
    </w:p>
    <w:p>
      <w:pPr>
        <w:numPr>
          <w:ilvl w:val="0"/>
          <w:numId w:val="1377"/>
        </w:numPr>
        <w:pStyle w:val="Compact"/>
      </w:pPr>
      <w:r>
        <w:t xml:space="preserve">2019 · Patel S ·</w:t>
      </w:r>
      <w:r>
        <w:t xml:space="preserve"> </w:t>
      </w:r>
      <w:r>
        <w:rPr>
          <w:iCs/>
          <w:i/>
        </w:rPr>
        <w:t xml:space="preserve">BMJ Open Diabetes Res Care</w:t>
      </w:r>
      <w:r>
        <w:t xml:space="preserve"> </w:t>
      </w:r>
      <w:r>
        <w:t xml:space="preserve">· Effect of medication adherence on clinical outcomes in type 2 diabetes: analysis of the SIMPLE study. PMID 31803482</w:t>
      </w:r>
    </w:p>
    <w:p>
      <w:pPr>
        <w:numPr>
          <w:ilvl w:val="0"/>
          <w:numId w:val="1377"/>
        </w:numPr>
        <w:pStyle w:val="Compact"/>
      </w:pPr>
      <w:r>
        <w:t xml:space="preserve">2019 · Verma S ·</w:t>
      </w:r>
      <w:r>
        <w:t xml:space="preserve"> </w:t>
      </w:r>
      <w:r>
        <w:rPr>
          <w:iCs/>
          <w:i/>
        </w:rPr>
        <w:t xml:space="preserve">JAMA Cardiol</w:t>
      </w:r>
      <w:r>
        <w:t xml:space="preserve"> </w:t>
      </w:r>
      <w:r>
        <w:t xml:space="preserve">· Occurence of First and Recurrent Major Adverse Cardiovascular Events With Liraglutide Treatment Among Patients With Type 2 Diabetes and High Risk of Cardiovascular Events: A Post Hoc Analysis of a Randomized Clinical Trial. PMID 31721979</w:t>
      </w:r>
    </w:p>
    <w:p>
      <w:pPr>
        <w:numPr>
          <w:ilvl w:val="0"/>
          <w:numId w:val="1377"/>
        </w:numPr>
        <w:pStyle w:val="Compact"/>
      </w:pPr>
      <w:r>
        <w:t xml:space="preserve">2019 · Chao AM ·</w:t>
      </w:r>
      <w:r>
        <w:t xml:space="preserve"> </w:t>
      </w:r>
      <w:r>
        <w:rPr>
          <w:iCs/>
          <w:i/>
        </w:rPr>
        <w:t xml:space="preserve">Clin Obes</w:t>
      </w:r>
      <w:r>
        <w:t xml:space="preserve"> </w:t>
      </w:r>
      <w:r>
        <w:t xml:space="preserve">· Changes in health-related quality of life with intensive behavioural therapy combined with liraglutide 3.0 mg per day. PMID 31691531</w:t>
      </w:r>
    </w:p>
    <w:p>
      <w:pPr>
        <w:numPr>
          <w:ilvl w:val="0"/>
          <w:numId w:val="1377"/>
        </w:numPr>
        <w:pStyle w:val="Compact"/>
      </w:pPr>
      <w:r>
        <w:t xml:space="preserve">2019 · Peradze N ·</w:t>
      </w:r>
      <w:r>
        <w:t xml:space="preserve"> </w:t>
      </w:r>
      <w:r>
        <w:rPr>
          <w:iCs/>
          <w:i/>
        </w:rPr>
        <w:t xml:space="preserve">Cardiovasc Diabetol</w:t>
      </w:r>
      <w:r>
        <w:t xml:space="preserve"> </w:t>
      </w:r>
      <w:r>
        <w:t xml:space="preserve">· Short-term treatment with high dose liraglutide improves lipid and lipoprotein profile and changes hormonal mediators of lipid metabolism in obese patients with no overt type 2 diabetes mellitus: a randomized, placebo-controlled, cross-over, double-blind clinical trial. PMID 31672146</w:t>
      </w:r>
    </w:p>
    <w:p>
      <w:pPr>
        <w:numPr>
          <w:ilvl w:val="0"/>
          <w:numId w:val="1377"/>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7"/>
        </w:numPr>
        <w:pStyle w:val="Compact"/>
      </w:pPr>
      <w:r>
        <w:t xml:space="preserve">2019 · Watada H ·</w:t>
      </w:r>
      <w:r>
        <w:t xml:space="preserve"> </w:t>
      </w:r>
      <w:r>
        <w:rPr>
          <w:iCs/>
          <w:i/>
        </w:rPr>
        <w:t xml:space="preserve">Diabetes Obes Metab</w:t>
      </w:r>
      <w:r>
        <w:t xml:space="preserve"> </w:t>
      </w:r>
      <w:r>
        <w:t xml:space="preserve">· Superior HbA1c control with the fixed-ratio combination of insulin degludec and liraglutide (IDegLira) compared with a maximum dose of 50 units of insulin degludec in Japanese individuals with type 2 diabetes in a phase 3, double-blind, randomized trial. PMID 31423685</w:t>
      </w:r>
    </w:p>
    <w:p>
      <w:pPr>
        <w:numPr>
          <w:ilvl w:val="0"/>
          <w:numId w:val="1377"/>
        </w:numPr>
        <w:pStyle w:val="Compact"/>
      </w:pPr>
      <w:r>
        <w:t xml:space="preserve">2019 · Kaku K ·</w:t>
      </w:r>
      <w:r>
        <w:t xml:space="preserve"> </w:t>
      </w:r>
      <w:r>
        <w:rPr>
          <w:iCs/>
          <w:i/>
        </w:rPr>
        <w:t xml:space="preserve">Diabetes Obes Metab</w:t>
      </w:r>
      <w:r>
        <w:t xml:space="preserve"> </w:t>
      </w:r>
      <w:r>
        <w:t xml:space="preserve">· Superior efficacy with a fixed-ratio combination of insulin degludec and liraglutide (IDegLira) compared with insulin degludec and liraglutide in insulin-naïve Japanese patients with type 2 diabetes in a phase 3, open-label, randomized trial. PMID 31407845</w:t>
      </w:r>
    </w:p>
    <w:p>
      <w:pPr>
        <w:numPr>
          <w:ilvl w:val="0"/>
          <w:numId w:val="1377"/>
        </w:numPr>
        <w:pStyle w:val="Compact"/>
      </w:pPr>
      <w:r>
        <w:t xml:space="preserve">2019 · Nauck MA ·</w:t>
      </w:r>
      <w:r>
        <w:t xml:space="preserve"> </w:t>
      </w:r>
      <w:r>
        <w:rPr>
          <w:iCs/>
          <w:i/>
        </w:rPr>
        <w:t xml:space="preserve">Diabetes Care</w:t>
      </w:r>
      <w:r>
        <w:t xml:space="preserve"> </w:t>
      </w:r>
      <w:r>
        <w:t xml:space="preserve">· Effects of Liraglutide Compared With Placebo on Events of Acute Gallbladder or Biliary Disease in Patients With Type 2 Diabetes at High Risk for Cardiovascular Events in the LEADER Randomized Trial. PMID 31399438</w:t>
      </w:r>
    </w:p>
    <w:p>
      <w:pPr>
        <w:numPr>
          <w:ilvl w:val="0"/>
          <w:numId w:val="1377"/>
        </w:numPr>
        <w:pStyle w:val="Compact"/>
      </w:pPr>
      <w:r>
        <w:t xml:space="preserve">2019 · Wexler DJ ·</w:t>
      </w:r>
      <w:r>
        <w:t xml:space="preserve"> </w:t>
      </w:r>
      <w:r>
        <w:rPr>
          <w:iCs/>
          <w:i/>
        </w:rPr>
        <w:t xml:space="preserve">Diabetes Care</w:t>
      </w:r>
      <w:r>
        <w:t xml:space="preserve"> </w:t>
      </w:r>
      <w:r>
        <w:t xml:space="preserve">· Baseline Characteristics of Randomized Participants in the Glycemia Reduction Approaches in Diabetes: A Comparative Effectiveness Study (GRADE). PMID 31391203</w:t>
      </w:r>
    </w:p>
    <w:p>
      <w:pPr>
        <w:numPr>
          <w:ilvl w:val="0"/>
          <w:numId w:val="1377"/>
        </w:numPr>
        <w:pStyle w:val="Compact"/>
      </w:pPr>
      <w:r>
        <w:t xml:space="preserve">2019 · Miller E ·</w:t>
      </w:r>
      <w:r>
        <w:t xml:space="preserve"> </w:t>
      </w:r>
      <w:r>
        <w:rPr>
          <w:iCs/>
          <w:i/>
        </w:rPr>
        <w:t xml:space="preserve">Diabetes Obes Metab</w:t>
      </w:r>
      <w:r>
        <w:t xml:space="preserve"> </w:t>
      </w:r>
      <w:r>
        <w:t xml:space="preserve">· IDegLira improves patient-reported outcomes while using a simple regimen with fewer injections and dose adjustments compared with basal-bolus therapy. PMID 31385425</w:t>
      </w:r>
    </w:p>
    <w:p>
      <w:pPr>
        <w:numPr>
          <w:ilvl w:val="0"/>
          <w:numId w:val="1377"/>
        </w:numPr>
        <w:pStyle w:val="Compact"/>
      </w:pPr>
      <w:r>
        <w:t xml:space="preserve">2019 · Brock C ·</w:t>
      </w:r>
      <w:r>
        <w:t xml:space="preserve"> </w:t>
      </w:r>
      <w:r>
        <w:rPr>
          <w:iCs/>
          <w:i/>
        </w:rPr>
        <w:t xml:space="preserve">Br J Clin Pharmacol</w:t>
      </w:r>
      <w:r>
        <w:t xml:space="preserve"> </w:t>
      </w:r>
      <w:r>
        <w:t xml:space="preserve">· Liraglutide treatment reduced interleukin-6 in adults with type 1 diabetes but did not improve established autonomic or polyneuropathy. PMID 31338868</w:t>
      </w:r>
    </w:p>
    <w:p>
      <w:pPr>
        <w:numPr>
          <w:ilvl w:val="0"/>
          <w:numId w:val="1377"/>
        </w:numPr>
        <w:pStyle w:val="Compact"/>
      </w:pPr>
      <w:r>
        <w:t xml:space="preserve">2019 · Makino H ·</w:t>
      </w:r>
      <w:r>
        <w:t xml:space="preserve"> </w:t>
      </w:r>
      <w:r>
        <w:rPr>
          <w:iCs/>
          <w:i/>
        </w:rPr>
        <w:t xml:space="preserve">Diabet Med</w:t>
      </w:r>
      <w:r>
        <w:t xml:space="preserve"> </w:t>
      </w:r>
      <w:r>
        <w:t xml:space="preserve">· Addition of low-dose liraglutide to insulin therapy is useful for glycaemic control during the peri-operative period: effect of glucagon-like peptide-1 receptor agonist therapy on glycaemic control in patients undergoing cardiac surgery (GLOLIA study). PMID 31335979</w:t>
      </w:r>
    </w:p>
    <w:p>
      <w:pPr>
        <w:numPr>
          <w:ilvl w:val="0"/>
          <w:numId w:val="1377"/>
        </w:numPr>
        <w:pStyle w:val="Compact"/>
      </w:pPr>
      <w:r>
        <w:t xml:space="preserve">2019 · Anholm C ·</w:t>
      </w:r>
      <w:r>
        <w:t xml:space="preserve"> </w:t>
      </w:r>
      <w:r>
        <w:rPr>
          <w:iCs/>
          <w:i/>
        </w:rPr>
        <w:t xml:space="preserve">Atherosclerosis</w:t>
      </w:r>
      <w:r>
        <w:t xml:space="preserve"> </w:t>
      </w:r>
      <w:r>
        <w:t xml:space="preserve">· Liraglutide in combination with metformin may improve the atherogenic lipid profile and decrease C-reactive protein level in statin treated obese patients with coronary artery disease and newly diagnosed type 2 diabetes: A randomized trial. PMID 31326727</w:t>
      </w:r>
    </w:p>
    <w:p>
      <w:pPr>
        <w:numPr>
          <w:ilvl w:val="0"/>
          <w:numId w:val="1377"/>
        </w:numPr>
        <w:pStyle w:val="Compact"/>
      </w:pPr>
      <w:r>
        <w:t xml:space="preserve">2019 · Rosenstock J ·</w:t>
      </w:r>
      <w:r>
        <w:t xml:space="preserve"> </w:t>
      </w:r>
      <w:r>
        <w:rPr>
          <w:iCs/>
          <w:i/>
        </w:rPr>
        <w:t xml:space="preserve">Diabetes Care</w:t>
      </w:r>
      <w:r>
        <w:t xml:space="preserve"> </w:t>
      </w:r>
      <w:r>
        <w:t xml:space="preserve">· Once-Weekly Efpeglenatide Dose-Range Effects on Glycemic Control and Body Weight in Patients With Type 2 Diabetes on Metformin or Drug Naive, Referenced to Liraglutide. PMID 31320446</w:t>
      </w:r>
    </w:p>
    <w:p>
      <w:pPr>
        <w:numPr>
          <w:ilvl w:val="0"/>
          <w:numId w:val="1377"/>
        </w:numPr>
        <w:pStyle w:val="Compact"/>
      </w:pPr>
      <w:r>
        <w:t xml:space="preserve">2019 · van Eyk HJ ·</w:t>
      </w:r>
      <w:r>
        <w:t xml:space="preserve"> </w:t>
      </w:r>
      <w:r>
        <w:rPr>
          <w:iCs/>
          <w:i/>
        </w:rPr>
        <w:t xml:space="preserve">Sci Rep</w:t>
      </w:r>
      <w:r>
        <w:t xml:space="preserve"> </w:t>
      </w:r>
      <w:r>
        <w:t xml:space="preserve">· Hepatic triglyceride content does not affect circulating CETP: lessons from a liraglutide intervention trial and a population-based cohort. PMID 31292457</w:t>
      </w:r>
    </w:p>
    <w:p>
      <w:pPr>
        <w:numPr>
          <w:ilvl w:val="0"/>
          <w:numId w:val="1377"/>
        </w:numPr>
        <w:pStyle w:val="Compact"/>
      </w:pPr>
      <w:r>
        <w:t xml:space="preserve">2019 · van Eyk HJ ·</w:t>
      </w:r>
      <w:r>
        <w:t xml:space="preserve"> </w:t>
      </w:r>
      <w:r>
        <w:rPr>
          <w:iCs/>
          <w:i/>
        </w:rPr>
        <w:t xml:space="preserve">Cardiovasc Diabetol</w:t>
      </w:r>
      <w:r>
        <w:t xml:space="preserve"> </w:t>
      </w:r>
      <w:r>
        <w:t xml:space="preserve">· A double-blind, placebo-controlled, randomised trial to assess the effect of liraglutide on ectopic fat accumulation in South Asian type 2 diabetes patients. PMID 31288820</w:t>
      </w:r>
    </w:p>
    <w:p>
      <w:pPr>
        <w:numPr>
          <w:ilvl w:val="0"/>
          <w:numId w:val="1377"/>
        </w:numPr>
        <w:pStyle w:val="Compact"/>
      </w:pPr>
      <w:r>
        <w:t xml:space="preserve">2019 · Tack CJ ·</w:t>
      </w:r>
      <w:r>
        <w:t xml:space="preserve"> </w:t>
      </w:r>
      <w:r>
        <w:rPr>
          <w:iCs/>
          <w:i/>
        </w:rPr>
        <w:t xml:space="preserve">Diabetes Obes Metab</w:t>
      </w:r>
      <w:r>
        <w:t xml:space="preserve"> </w:t>
      </w:r>
      <w:r>
        <w:t xml:space="preserve">· Long-term efficacy and safety of combined insulin and glucagon-like peptide-1 therapy: Evidence from the LEADER trial. PMID 31282028</w:t>
      </w:r>
    </w:p>
    <w:p>
      <w:pPr>
        <w:numPr>
          <w:ilvl w:val="0"/>
          <w:numId w:val="1377"/>
        </w:numPr>
        <w:pStyle w:val="Compact"/>
      </w:pPr>
      <w:r>
        <w:t xml:space="preserve">2019 · Farr OM ·</w:t>
      </w:r>
      <w:r>
        <w:t xml:space="preserve"> </w:t>
      </w:r>
      <w:r>
        <w:rPr>
          <w:iCs/>
          <w:i/>
        </w:rPr>
        <w:t xml:space="preserve">Diabetes Obes Metab</w:t>
      </w:r>
      <w:r>
        <w:t xml:space="preserve"> </w:t>
      </w:r>
      <w:r>
        <w:t xml:space="preserve">· Longer-term liraglutide administration at the highest dose approved for obesity increases reward-related orbitofrontal cortex activation in response to food cues: Implications for plateauing weight loss in response to anti-obesity therapies. PMID 31282006</w:t>
      </w:r>
    </w:p>
    <w:p>
      <w:pPr>
        <w:numPr>
          <w:ilvl w:val="0"/>
          <w:numId w:val="1377"/>
        </w:numPr>
        <w:pStyle w:val="Compact"/>
      </w:pPr>
      <w:r>
        <w:t xml:space="preserve">2019 · Li LQ ·</w:t>
      </w:r>
      <w:r>
        <w:t xml:space="preserve"> </w:t>
      </w:r>
      <w:r>
        <w:rPr>
          <w:iCs/>
          <w:i/>
        </w:rPr>
        <w:t xml:space="preserve">Endocr J</w:t>
      </w:r>
      <w:r>
        <w:t xml:space="preserve"> </w:t>
      </w:r>
      <w:r>
        <w:t xml:space="preserve">· Continuous subcutaneous insulin infusion combined with liraglutide reduced glycemic variability and oxidative stress in type 2 diabetes mellitus: a study based on the flash glucose monitoring system. PMID 31243192</w:t>
      </w:r>
    </w:p>
    <w:p>
      <w:pPr>
        <w:numPr>
          <w:ilvl w:val="0"/>
          <w:numId w:val="1377"/>
        </w:numPr>
        <w:pStyle w:val="Compact"/>
      </w:pPr>
      <w:r>
        <w:t xml:space="preserve">2019 · Aung MM ·</w:t>
      </w:r>
      <w:r>
        <w:t xml:space="preserve"> </w:t>
      </w:r>
      <w:r>
        <w:rPr>
          <w:iCs/>
          <w:i/>
        </w:rPr>
        <w:t xml:space="preserve">Diabetologia</w:t>
      </w:r>
      <w:r>
        <w:t xml:space="preserve"> </w:t>
      </w:r>
      <w:r>
        <w:t xml:space="preserve">· Locally delivered GLP-1 analogues liraglutide and exenatide enhance microvascular perfusion in individuals with and without type 2 diabetes. PMID 31203378</w:t>
      </w:r>
    </w:p>
    <w:p>
      <w:pPr>
        <w:numPr>
          <w:ilvl w:val="0"/>
          <w:numId w:val="1377"/>
        </w:numPr>
        <w:pStyle w:val="Compact"/>
      </w:pPr>
      <w:r>
        <w:t xml:space="preserve">2019 · Aroda VR ·</w:t>
      </w:r>
      <w:r>
        <w:t xml:space="preserve"> </w:t>
      </w:r>
      <w:r>
        <w:rPr>
          <w:iCs/>
          <w:i/>
        </w:rPr>
        <w:t xml:space="preserve">Lancet Diabetes Endocrinol</w:t>
      </w:r>
      <w:r>
        <w:t xml:space="preserve"> </w:t>
      </w:r>
      <w:r>
        <w:t xml:space="preserve">· Durability of insulin degludec plus liraglutide versus insulin glargine U100 as initial injectable therapy in type 2 diabetes (DUAL VIII): a multicentre, open-label, phase 3b, randomised controlled trial. PMID 31189519</w:t>
      </w:r>
    </w:p>
    <w:p>
      <w:pPr>
        <w:numPr>
          <w:ilvl w:val="0"/>
          <w:numId w:val="1377"/>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7"/>
        </w:numPr>
        <w:pStyle w:val="Compact"/>
      </w:pPr>
      <w:r>
        <w:t xml:space="preserve">2019 · Miras AD ·</w:t>
      </w:r>
      <w:r>
        <w:t xml:space="preserve"> </w:t>
      </w:r>
      <w:r>
        <w:rPr>
          <w:iCs/>
          <w:i/>
        </w:rPr>
        <w:t xml:space="preserve">Lancet Diabetes Endocrinol</w:t>
      </w:r>
      <w:r>
        <w:t xml:space="preserve"> </w:t>
      </w:r>
      <w:r>
        <w:t xml:space="preserve">· Adjunctive liraglutide treatment in patients with persistent or recurrent type 2 diabetes after metabolic surgery (GRAVITAS): a randomised, double-blind, placebo-controlled trial. PMID 31174993</w:t>
      </w:r>
    </w:p>
    <w:p>
      <w:pPr>
        <w:numPr>
          <w:ilvl w:val="0"/>
          <w:numId w:val="1377"/>
        </w:numPr>
        <w:pStyle w:val="Compact"/>
      </w:pPr>
      <w:r>
        <w:t xml:space="preserve">2019 · Abreu M ·</w:t>
      </w:r>
      <w:r>
        <w:t xml:space="preserve"> </w:t>
      </w:r>
      <w:r>
        <w:rPr>
          <w:iCs/>
          <w:i/>
        </w:rPr>
        <w:t xml:space="preserve">Diabetes Obes Metab</w:t>
      </w:r>
      <w:r>
        <w:t xml:space="preserve"> </w:t>
      </w:r>
      <w:r>
        <w:t xml:space="preserve">· A randomized trial comparing the efficacy and safety of treating patients with type 2 diabetes and highly elevated HbA1c levels with basal-bolus insulin or a glucagon-like peptide-1 receptor agonist plus basal insulin: The SIMPLE study. PMID 31144435</w:t>
      </w:r>
    </w:p>
    <w:p>
      <w:pPr>
        <w:numPr>
          <w:ilvl w:val="0"/>
          <w:numId w:val="1377"/>
        </w:numPr>
        <w:pStyle w:val="Compact"/>
      </w:pPr>
      <w:r>
        <w:t xml:space="preserve">2019 · Øhrstrøm CC ·</w:t>
      </w:r>
      <w:r>
        <w:t xml:space="preserve"> </w:t>
      </w:r>
      <w:r>
        <w:rPr>
          <w:iCs/>
          <w:i/>
        </w:rPr>
        <w:t xml:space="preserve">Diabetes Obes Metab</w:t>
      </w:r>
      <w:r>
        <w:t xml:space="preserve"> </w:t>
      </w:r>
      <w:r>
        <w:t xml:space="preserve">· Postprandial hypoglycaemia after Roux-en-Y gastric bypass and the effects of acarbose, sitagliptin, verapamil, liraglutide and pasireotide. PMID 31144430</w:t>
      </w:r>
    </w:p>
    <w:p>
      <w:pPr>
        <w:numPr>
          <w:ilvl w:val="0"/>
          <w:numId w:val="1377"/>
        </w:numPr>
        <w:pStyle w:val="Compact"/>
      </w:pPr>
      <w:r>
        <w:t xml:space="preserve">2019 · Anholm C ·</w:t>
      </w:r>
      <w:r>
        <w:t xml:space="preserve"> </w:t>
      </w:r>
      <w:r>
        <w:rPr>
          <w:iCs/>
          <w:i/>
        </w:rPr>
        <w:t xml:space="preserve">Diabetes Obes Metab</w:t>
      </w:r>
      <w:r>
        <w:t xml:space="preserve"> </w:t>
      </w:r>
      <w:r>
        <w:t xml:space="preserve">· Effect of liraglutide on estimates of lipolysis and lipid oxidation in obese patients with stable coronary artery disease and newly diagnosed type 2 diabetes: A randomized trial. PMID 31050161</w:t>
      </w:r>
    </w:p>
    <w:p>
      <w:pPr>
        <w:numPr>
          <w:ilvl w:val="0"/>
          <w:numId w:val="1377"/>
        </w:numPr>
        <w:pStyle w:val="Compact"/>
      </w:pPr>
      <w:r>
        <w:t xml:space="preserve">2019 · Bizino MB ·</w:t>
      </w:r>
      <w:r>
        <w:t xml:space="preserve"> </w:t>
      </w:r>
      <w:r>
        <w:rPr>
          <w:iCs/>
          <w:i/>
        </w:rPr>
        <w:t xml:space="preserve">Cardiovasc Diabetol</w:t>
      </w:r>
      <w:r>
        <w:t xml:space="preserve"> </w:t>
      </w:r>
      <w:r>
        <w:t xml:space="preserve">· Effect of liraglutide on cardiac function in patients with type 2 diabetes mellitus: randomized placebo-controlled trial. PMID 31039778</w:t>
      </w:r>
    </w:p>
    <w:p>
      <w:pPr>
        <w:numPr>
          <w:ilvl w:val="0"/>
          <w:numId w:val="1377"/>
        </w:numPr>
        <w:pStyle w:val="Compact"/>
      </w:pPr>
      <w:r>
        <w:t xml:space="preserve">2019 · Tamborlane WV ·</w:t>
      </w:r>
      <w:r>
        <w:t xml:space="preserve"> </w:t>
      </w:r>
      <w:r>
        <w:rPr>
          <w:iCs/>
          <w:i/>
        </w:rPr>
        <w:t xml:space="preserve">N Engl J Med</w:t>
      </w:r>
      <w:r>
        <w:t xml:space="preserve"> </w:t>
      </w:r>
      <w:r>
        <w:t xml:space="preserve">· Liraglutide in Children and Adolescents with Type 2 Diabetes. PMID 31034184</w:t>
      </w:r>
    </w:p>
    <w:p>
      <w:pPr>
        <w:numPr>
          <w:ilvl w:val="0"/>
          <w:numId w:val="1377"/>
        </w:numPr>
        <w:pStyle w:val="Compact"/>
      </w:pPr>
      <w:r>
        <w:t xml:space="preserve">2019 · Adiels M ·</w:t>
      </w:r>
      <w:r>
        <w:t xml:space="preserve"> </w:t>
      </w:r>
      <w:r>
        <w:rPr>
          <w:iCs/>
          <w:i/>
        </w:rPr>
        <w:t xml:space="preserve">Diabetes Obes Metab</w:t>
      </w:r>
      <w:r>
        <w:t xml:space="preserve"> </w:t>
      </w:r>
      <w:r>
        <w:t xml:space="preserve">· Role of apolipoprotein C-III overproduction in diabetic dyslipidaemia. PMID 30972934</w:t>
      </w:r>
    </w:p>
    <w:p>
      <w:pPr>
        <w:numPr>
          <w:ilvl w:val="0"/>
          <w:numId w:val="1377"/>
        </w:numPr>
        <w:pStyle w:val="Compact"/>
      </w:pPr>
      <w:r>
        <w:t xml:space="preserve">2019 · Tronieri JS ·</w:t>
      </w:r>
      <w:r>
        <w:t xml:space="preserve"> </w:t>
      </w:r>
      <w:r>
        <w:rPr>
          <w:iCs/>
          <w:i/>
        </w:rPr>
        <w:t xml:space="preserve">Metabolism</w:t>
      </w:r>
      <w:r>
        <w:t xml:space="preserve"> </w:t>
      </w:r>
      <w:r>
        <w:t xml:space="preserve">· Effects of liraglutide plus phentermine in adults with obesity following 1 year of treatment by liraglutide alone: A randomized placebo-controlled pilot trial. PMID 30902750</w:t>
      </w:r>
    </w:p>
    <w:p>
      <w:pPr>
        <w:numPr>
          <w:ilvl w:val="0"/>
          <w:numId w:val="1377"/>
        </w:numPr>
        <w:pStyle w:val="Compact"/>
      </w:pPr>
      <w:r>
        <w:t xml:space="preserve">2019 · Liu J ·</w:t>
      </w:r>
      <w:r>
        <w:t xml:space="preserve"> </w:t>
      </w:r>
      <w:r>
        <w:rPr>
          <w:iCs/>
          <w:i/>
        </w:rPr>
        <w:t xml:space="preserve">EBioMedicine</w:t>
      </w:r>
      <w:r>
        <w:t xml:space="preserve"> </w:t>
      </w:r>
      <w:r>
        <w:t xml:space="preserve">· Liver-derived fibroblast growth factor 21 mediates effects of glucagon-like peptide-1 in attenuating hepatic glucose output. PMID 30827929</w:t>
      </w:r>
    </w:p>
    <w:p>
      <w:pPr>
        <w:numPr>
          <w:ilvl w:val="0"/>
          <w:numId w:val="1377"/>
        </w:numPr>
        <w:pStyle w:val="Compact"/>
      </w:pPr>
      <w:r>
        <w:t xml:space="preserve">2019 · Liu X ·</w:t>
      </w:r>
      <w:r>
        <w:t xml:space="preserve"> </w:t>
      </w:r>
      <w:r>
        <w:rPr>
          <w:iCs/>
          <w:i/>
        </w:rPr>
        <w:t xml:space="preserve">J Coll Physicians Surg Pak</w:t>
      </w:r>
      <w:r>
        <w:t xml:space="preserve"> </w:t>
      </w:r>
      <w:r>
        <w:t xml:space="preserve">· Effects of Liraglutide Combined with Insulin on Oxidative Stress and Serum MCP-1 and NF-kB Levels in Type 2 Diabetes. PMID 30823945</w:t>
      </w:r>
    </w:p>
    <w:p>
      <w:pPr>
        <w:numPr>
          <w:ilvl w:val="0"/>
          <w:numId w:val="1377"/>
        </w:numPr>
        <w:pStyle w:val="Compact"/>
      </w:pPr>
      <w:r>
        <w:t xml:space="preserve">2019 · Brown-Frandsen K ·</w:t>
      </w:r>
      <w:r>
        <w:t xml:space="preserve"> </w:t>
      </w:r>
      <w:r>
        <w:rPr>
          <w:iCs/>
          <w:i/>
        </w:rPr>
        <w:t xml:space="preserve">Diabetes Obes Metab</w:t>
      </w:r>
      <w:r>
        <w:t xml:space="preserve"> </w:t>
      </w:r>
      <w:r>
        <w:t xml:space="preserve">· Lower rates of cardiovascular events and mortality associated with liraglutide use in patients treated with basal insulin: A DEVOTE subanalysis (DEVOTE 10). PMID 30793465</w:t>
      </w:r>
    </w:p>
    <w:p>
      <w:pPr>
        <w:numPr>
          <w:ilvl w:val="0"/>
          <w:numId w:val="1377"/>
        </w:numPr>
        <w:pStyle w:val="Compact"/>
      </w:pPr>
      <w:r>
        <w:t xml:space="preserve">2019 · Suhrs HE ·</w:t>
      </w:r>
      <w:r>
        <w:t xml:space="preserve"> </w:t>
      </w:r>
      <w:r>
        <w:rPr>
          <w:iCs/>
          <w:i/>
        </w:rPr>
        <w:t xml:space="preserve">Int J Cardiol</w:t>
      </w:r>
      <w:r>
        <w:t xml:space="preserve"> </w:t>
      </w:r>
      <w:r>
        <w:t xml:space="preserve">· Effect of liraglutide on body weight and microvascular function in non-diabetic overweight women with coronary microvascular dysfunction. PMID 30773266</w:t>
      </w:r>
    </w:p>
    <w:p>
      <w:pPr>
        <w:numPr>
          <w:ilvl w:val="0"/>
          <w:numId w:val="1377"/>
        </w:numPr>
        <w:pStyle w:val="Compact"/>
      </w:pPr>
      <w:r>
        <w:t xml:space="preserve">2019 · Philis-Tsimikas A ·</w:t>
      </w:r>
      <w:r>
        <w:t xml:space="preserve"> </w:t>
      </w:r>
      <w:r>
        <w:rPr>
          <w:iCs/>
          <w:i/>
        </w:rPr>
        <w:t xml:space="preserve">Diabetes Obes Metab</w:t>
      </w:r>
      <w:r>
        <w:t xml:space="preserve"> </w:t>
      </w:r>
      <w:r>
        <w:t xml:space="preserve">· Superior efficacy of insulin degludec/liraglutide versus insulin glargine U100 as add-on to sodium-glucose co-transporter-2 inhibitor therapy: A randomized clinical trial in people with uncontrolled type 2 diabetes. PMID 30761720</w:t>
      </w:r>
    </w:p>
    <w:p>
      <w:pPr>
        <w:numPr>
          <w:ilvl w:val="0"/>
          <w:numId w:val="1377"/>
        </w:numPr>
        <w:pStyle w:val="Compact"/>
      </w:pPr>
      <w:r>
        <w:t xml:space="preserve">2019 · Khoo J ·</w:t>
      </w:r>
      <w:r>
        <w:t xml:space="preserve"> </w:t>
      </w:r>
      <w:r>
        <w:rPr>
          <w:iCs/>
          <w:i/>
        </w:rPr>
        <w:t xml:space="preserve">Liver Int</w:t>
      </w:r>
      <w:r>
        <w:t xml:space="preserve"> </w:t>
      </w:r>
      <w:r>
        <w:t xml:space="preserve">· Randomized trial comparing effects of weight loss by liraglutide with lifestyle modification in non-alcoholic fatty liver disease. PMID 30721572</w:t>
      </w:r>
    </w:p>
    <w:p>
      <w:pPr>
        <w:numPr>
          <w:ilvl w:val="0"/>
          <w:numId w:val="1377"/>
        </w:numPr>
        <w:pStyle w:val="Compact"/>
      </w:pPr>
      <w:r>
        <w:t xml:space="preserve">2019 · Zobel EH ·</w:t>
      </w:r>
      <w:r>
        <w:t xml:space="preserve"> </w:t>
      </w:r>
      <w:r>
        <w:rPr>
          <w:iCs/>
          <w:i/>
        </w:rPr>
        <w:t xml:space="preserve">Diabetes Obes Metab</w:t>
      </w:r>
      <w:r>
        <w:t xml:space="preserve"> </w:t>
      </w:r>
      <w:r>
        <w:t xml:space="preserve">· Pleiotropic effects of liraglutide in patients with type 2 diabetes and moderate renal impairment: Individual effects of treatment. PMID 30663196</w:t>
      </w:r>
    </w:p>
    <w:p>
      <w:pPr>
        <w:numPr>
          <w:ilvl w:val="0"/>
          <w:numId w:val="1377"/>
        </w:numPr>
        <w:pStyle w:val="Compact"/>
      </w:pPr>
      <w:r>
        <w:t xml:space="preserve">2019 · Mastrandrea LD ·</w:t>
      </w:r>
      <w:r>
        <w:t xml:space="preserve"> </w:t>
      </w:r>
      <w:r>
        <w:rPr>
          <w:iCs/>
          <w:i/>
        </w:rPr>
        <w:t xml:space="preserve">Pediatr Obes</w:t>
      </w:r>
      <w:r>
        <w:t xml:space="preserve"> </w:t>
      </w:r>
      <w:r>
        <w:t xml:space="preserve">· Liraglutide effects in a paediatric (7-11 y) population with obesity: A randomized, double-blind, placebo-controlled, short-term trial to assess safety, tolerability, pharmacokinetics, and pharmacodynamics. PMID 30653847</w:t>
      </w:r>
    </w:p>
    <w:p>
      <w:pPr>
        <w:numPr>
          <w:ilvl w:val="0"/>
          <w:numId w:val="1377"/>
        </w:numPr>
        <w:pStyle w:val="Compact"/>
      </w:pPr>
      <w:r>
        <w:t xml:space="preserve">2019 · Wijkman MO ·</w:t>
      </w:r>
      <w:r>
        <w:t xml:space="preserve"> </w:t>
      </w:r>
      <w:r>
        <w:rPr>
          <w:iCs/>
          <w:i/>
        </w:rPr>
        <w:t xml:space="preserve">J Clin Hypertens (Greenwich)</w:t>
      </w:r>
      <w:r>
        <w:t xml:space="preserve"> </w:t>
      </w:r>
      <w:r>
        <w:t xml:space="preserve">· Predictors and correlates of systolic blood pressure reduction with liraglutide treatment in patients with type 2 diabetes. PMID 30515978</w:t>
      </w:r>
    </w:p>
    <w:p>
      <w:pPr>
        <w:numPr>
          <w:ilvl w:val="0"/>
          <w:numId w:val="1377"/>
        </w:numPr>
        <w:pStyle w:val="Compact"/>
      </w:pPr>
      <w:r>
        <w:t xml:space="preserve">2019 · Gilbert MP ·</w:t>
      </w:r>
      <w:r>
        <w:t xml:space="preserve"> </w:t>
      </w:r>
      <w:r>
        <w:rPr>
          <w:iCs/>
          <w:i/>
        </w:rPr>
        <w:t xml:space="preserve">Ann Intern Med</w:t>
      </w:r>
      <w:r>
        <w:t xml:space="preserve"> </w:t>
      </w:r>
      <w:r>
        <w:t xml:space="preserve">· Effect of Liraglutide on Cardiovascular Outcomes in Elderly Patients: A Post Hoc Analysis of a Randomized Controlled Trial. PMID 30508430</w:t>
      </w:r>
    </w:p>
    <w:p>
      <w:pPr>
        <w:numPr>
          <w:ilvl w:val="0"/>
          <w:numId w:val="1377"/>
        </w:numPr>
        <w:pStyle w:val="Compact"/>
      </w:pPr>
      <w:r>
        <w:t xml:space="preserve">2019 · Wadden TA ·</w:t>
      </w:r>
      <w:r>
        <w:t xml:space="preserve"> </w:t>
      </w:r>
      <w:r>
        <w:rPr>
          <w:iCs/>
          <w:i/>
        </w:rPr>
        <w:t xml:space="preserve">Obesity (Silver Spring)</w:t>
      </w:r>
      <w:r>
        <w:t xml:space="preserve"> </w:t>
      </w:r>
      <w:r>
        <w:t xml:space="preserve">· Intensive Behavioral Therapy for Obesity Combined with Liraglutide 3.0 mg: A Randomized Controlled Trial. PMID 30421856</w:t>
      </w:r>
    </w:p>
    <w:p>
      <w:pPr>
        <w:numPr>
          <w:ilvl w:val="0"/>
          <w:numId w:val="1377"/>
        </w:numPr>
        <w:pStyle w:val="Compact"/>
      </w:pPr>
      <w:r>
        <w:t xml:space="preserve">2019 · Lingvay I ·</w:t>
      </w:r>
      <w:r>
        <w:t xml:space="preserve"> </w:t>
      </w:r>
      <w:r>
        <w:rPr>
          <w:iCs/>
          <w:i/>
        </w:rPr>
        <w:t xml:space="preserve">Endocr Pract</w:t>
      </w:r>
      <w:r>
        <w:t xml:space="preserve"> </w:t>
      </w:r>
      <w:r>
        <w:t xml:space="preserve">· EFFICACY AND SAFETY OF IDEGLIRA IN OLDER PATIENTS WITH TYPE 2 DIABETES. PMID 30383495</w:t>
      </w:r>
    </w:p>
    <w:p>
      <w:pPr>
        <w:numPr>
          <w:ilvl w:val="0"/>
          <w:numId w:val="1377"/>
        </w:numPr>
        <w:pStyle w:val="Compact"/>
      </w:pPr>
      <w:r>
        <w:t xml:space="preserve">2019 · Svensson CK ·</w:t>
      </w:r>
      <w:r>
        <w:t xml:space="preserve"> </w:t>
      </w:r>
      <w:r>
        <w:rPr>
          <w:iCs/>
          <w:i/>
        </w:rPr>
        <w:t xml:space="preserve">Acta Psychiatr Scand</w:t>
      </w:r>
      <w:r>
        <w:t xml:space="preserve"> </w:t>
      </w:r>
      <w:r>
        <w:t xml:space="preserve">· One-year follow-up on liraglutide treatment for prediabetes and overweight/obesity in clozapine- or olanzapine-treated patients. PMID 30374965</w:t>
      </w:r>
    </w:p>
    <w:p>
      <w:pPr>
        <w:numPr>
          <w:ilvl w:val="0"/>
          <w:numId w:val="1377"/>
        </w:numPr>
        <w:pStyle w:val="Compact"/>
      </w:pPr>
      <w:r>
        <w:t xml:space="preserve">2019 · Yan J ·</w:t>
      </w:r>
      <w:r>
        <w:t xml:space="preserve"> </w:t>
      </w:r>
      <w:r>
        <w:rPr>
          <w:iCs/>
          <w:i/>
        </w:rPr>
        <w:t xml:space="preserve">Hepatology</w:t>
      </w:r>
      <w:r>
        <w:t xml:space="preserve"> </w:t>
      </w:r>
      <w:r>
        <w:t xml:space="preserve">· Liraglutide, Sitagliptin, and Insulin Glargine Added to Metformin: The Effect on Body Weight and Intrahepatic Lipid in Patients With Type 2 Diabetes Mellitus and Nonalcoholic Fatty Liver Disease. PMID 30341767</w:t>
      </w:r>
    </w:p>
    <w:p>
      <w:pPr>
        <w:numPr>
          <w:ilvl w:val="0"/>
          <w:numId w:val="1377"/>
        </w:numPr>
        <w:pStyle w:val="Compact"/>
      </w:pPr>
      <w:r>
        <w:t xml:space="preserve">2019 · Nauck MA ·</w:t>
      </w:r>
      <w:r>
        <w:t xml:space="preserve"> </w:t>
      </w:r>
      <w:r>
        <w:rPr>
          <w:iCs/>
          <w:i/>
        </w:rPr>
        <w:t xml:space="preserve">Diabetes Obes Metab</w:t>
      </w:r>
      <w:r>
        <w:t xml:space="preserve"> </w:t>
      </w:r>
      <w:r>
        <w:t xml:space="preserve">· Health-related quality of life in people with type 2 diabetes participating in the LEADER trial. PMID 30260088</w:t>
      </w:r>
    </w:p>
    <w:p>
      <w:pPr>
        <w:numPr>
          <w:ilvl w:val="0"/>
          <w:numId w:val="1377"/>
        </w:numPr>
        <w:pStyle w:val="Compact"/>
      </w:pPr>
      <w:r>
        <w:t xml:space="preserve">2019 · Liakos A ·</w:t>
      </w:r>
      <w:r>
        <w:t xml:space="preserve"> </w:t>
      </w:r>
      <w:r>
        <w:rPr>
          <w:iCs/>
          <w:i/>
        </w:rPr>
        <w:t xml:space="preserve">Diabetes Obes Metab</w:t>
      </w:r>
      <w:r>
        <w:t xml:space="preserve"> </w:t>
      </w:r>
      <w:r>
        <w:t xml:space="preserve">· Effect of liraglutide on ambulatory blood pressure in patients with hypertension and type 2 diabetes: A randomized, double-blind, placebo-controlled trial. PMID 30242948</w:t>
      </w:r>
    </w:p>
    <w:p>
      <w:pPr>
        <w:numPr>
          <w:ilvl w:val="0"/>
          <w:numId w:val="1377"/>
        </w:numPr>
        <w:pStyle w:val="Compact"/>
      </w:pPr>
      <w:r>
        <w:t xml:space="preserve">2019 · Wägner AM ·</w:t>
      </w:r>
      <w:r>
        <w:t xml:space="preserve"> </w:t>
      </w:r>
      <w:r>
        <w:rPr>
          <w:iCs/>
          <w:i/>
        </w:rPr>
        <w:t xml:space="preserve">Diabetes Metab</w:t>
      </w:r>
      <w:r>
        <w:t xml:space="preserve"> </w:t>
      </w:r>
      <w:r>
        <w:t xml:space="preserve">· Effect of liraglutide on physical performance in type 2 diabetes: Results of a randomized, double-blind, controlled trial (LIPER2). PMID 30223083</w:t>
      </w:r>
    </w:p>
    <w:p>
      <w:pPr>
        <w:numPr>
          <w:ilvl w:val="0"/>
          <w:numId w:val="1377"/>
        </w:numPr>
        <w:pStyle w:val="Compact"/>
      </w:pPr>
      <w:r>
        <w:t xml:space="preserve">2019 · Watson KT ·</w:t>
      </w:r>
      <w:r>
        <w:t xml:space="preserve"> </w:t>
      </w:r>
      <w:r>
        <w:rPr>
          <w:iCs/>
          <w:i/>
        </w:rPr>
        <w:t xml:space="preserve">Behav Brain Res</w:t>
      </w:r>
      <w:r>
        <w:t xml:space="preserve"> </w:t>
      </w:r>
      <w:r>
        <w:t xml:space="preserve">· Neural correlates of liraglutide effects in persons at risk for Alzheimer’s disease. PMID 30099030</w:t>
      </w:r>
    </w:p>
    <w:p>
      <w:pPr>
        <w:numPr>
          <w:ilvl w:val="0"/>
          <w:numId w:val="1377"/>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7"/>
        </w:numPr>
        <w:pStyle w:val="Compact"/>
      </w:pPr>
      <w:r>
        <w:t xml:space="preserve">2019 · Matikainen N ·</w:t>
      </w:r>
      <w:r>
        <w:t xml:space="preserve"> </w:t>
      </w:r>
      <w:r>
        <w:rPr>
          <w:iCs/>
          <w:i/>
        </w:rPr>
        <w:t xml:space="preserve">Diabetes Obes Metab</w:t>
      </w:r>
      <w:r>
        <w:t xml:space="preserve"> </w:t>
      </w:r>
      <w:r>
        <w:t xml:space="preserve">· Liraglutide treatment improves postprandial lipid metabolism and cardiometabolic risk factors in humans with adequately controlled type 2 diabetes: A single-centre randomized controlled study. PMID 30073766</w:t>
      </w:r>
    </w:p>
    <w:p>
      <w:pPr>
        <w:numPr>
          <w:ilvl w:val="0"/>
          <w:numId w:val="1377"/>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7"/>
        </w:numPr>
        <w:pStyle w:val="Compact"/>
      </w:pPr>
      <w:r>
        <w:t xml:space="preserve">2019 · Feng WH ·</w:t>
      </w:r>
      <w:r>
        <w:t xml:space="preserve"> </w:t>
      </w:r>
      <w:r>
        <w:rPr>
          <w:iCs/>
          <w:i/>
        </w:rPr>
        <w:t xml:space="preserve">J Diabetes Investig</w:t>
      </w:r>
      <w:r>
        <w:t xml:space="preserve"> </w:t>
      </w:r>
      <w:r>
        <w:t xml:space="preserve">· Effects of liraglutide, metformin and gliclazide on body composition in patients with both type 2 diabetes and non-alcoholic fatty liver disease: A randomized trial. PMID 29957886</w:t>
      </w:r>
    </w:p>
    <w:p>
      <w:pPr>
        <w:numPr>
          <w:ilvl w:val="0"/>
          <w:numId w:val="1377"/>
        </w:numPr>
        <w:pStyle w:val="Compact"/>
      </w:pPr>
      <w:r>
        <w:t xml:space="preserve">2019 · Nielsen R ·</w:t>
      </w:r>
      <w:r>
        <w:t xml:space="preserve"> </w:t>
      </w:r>
      <w:r>
        <w:rPr>
          <w:iCs/>
          <w:i/>
        </w:rPr>
        <w:t xml:space="preserve">J Nucl Cardiol</w:t>
      </w:r>
      <w:r>
        <w:t xml:space="preserve"> </w:t>
      </w:r>
      <w:r>
        <w:t xml:space="preserve">· Effect of liraglutide on myocardial glucose uptake and blood flow in stable chronic heart failure patients: A double-blind, randomized, placebo-controlled LIVE sub-study. PMID 28770459</w:t>
      </w:r>
    </w:p>
    <w:p>
      <w:pPr>
        <w:numPr>
          <w:ilvl w:val="0"/>
          <w:numId w:val="1377"/>
        </w:numPr>
        <w:pStyle w:val="Compact"/>
      </w:pPr>
      <w:r>
        <w:t xml:space="preserve">2018 · Mann JFE ·</w:t>
      </w:r>
      <w:r>
        <w:t xml:space="preserve"> </w:t>
      </w:r>
      <w:r>
        <w:rPr>
          <w:iCs/>
          <w:i/>
        </w:rPr>
        <w:t xml:space="preserve">Circulation</w:t>
      </w:r>
      <w:r>
        <w:t xml:space="preserve"> </w:t>
      </w:r>
      <w:r>
        <w:t xml:space="preserve">· Effects of Liraglutide Versus Placebo on Cardiovascular Events in Patients With Type 2 Diabetes Mellitus and Chronic Kidney Disease. PMID 30566006</w:t>
      </w:r>
    </w:p>
    <w:p>
      <w:pPr>
        <w:numPr>
          <w:ilvl w:val="0"/>
          <w:numId w:val="1377"/>
        </w:numPr>
        <w:pStyle w:val="Compact"/>
      </w:pPr>
      <w:r>
        <w:t xml:space="preserve">2018 · Verma S ·</w:t>
      </w:r>
      <w:r>
        <w:t xml:space="preserve"> </w:t>
      </w:r>
      <w:r>
        <w:rPr>
          <w:iCs/>
          <w:i/>
        </w:rPr>
        <w:t xml:space="preserve">Circulation</w:t>
      </w:r>
      <w:r>
        <w:t xml:space="preserve"> </w:t>
      </w:r>
      <w:r>
        <w:t xml:space="preserve">· Effects of Liraglutide on Cardiovascular Outcomes in Patients With Type 2 Diabetes Mellitus With or Without History of Myocardial Infarction or Stroke. PMID 30566004</w:t>
      </w:r>
    </w:p>
    <w:p>
      <w:pPr>
        <w:numPr>
          <w:ilvl w:val="0"/>
          <w:numId w:val="1377"/>
        </w:numPr>
        <w:pStyle w:val="Compact"/>
      </w:pPr>
      <w:r>
        <w:t xml:space="preserve">2018 · Simeone P ·</w:t>
      </w:r>
      <w:r>
        <w:t xml:space="preserve"> </w:t>
      </w:r>
      <w:r>
        <w:rPr>
          <w:iCs/>
          <w:i/>
        </w:rPr>
        <w:t xml:space="preserve">Nutrients</w:t>
      </w:r>
      <w:r>
        <w:t xml:space="preserve"> </w:t>
      </w:r>
      <w:r>
        <w:t xml:space="preserve">· Thromboxane-Dependent Platelet Activation in Obese Subjects with Prediabetes or Early Type 2 Diabetes: Effects of Liraglutide- or Lifestyle Changes-Induced Weight Loss. PMID 30513818</w:t>
      </w:r>
    </w:p>
    <w:p>
      <w:pPr>
        <w:numPr>
          <w:ilvl w:val="0"/>
          <w:numId w:val="1377"/>
        </w:numPr>
        <w:pStyle w:val="Compact"/>
      </w:pPr>
      <w:r>
        <w:t xml:space="preserve">2018 · Said OV ·</w:t>
      </w:r>
      <w:r>
        <w:t xml:space="preserve"> </w:t>
      </w:r>
      <w:r>
        <w:rPr>
          <w:iCs/>
          <w:i/>
        </w:rPr>
        <w:t xml:space="preserve">Wiad Lek</w:t>
      </w:r>
      <w:r>
        <w:t xml:space="preserve"> </w:t>
      </w:r>
      <w:r>
        <w:t xml:space="preserve">· Assessment of complex treatment influence on systemic inflammation in overweight type 2 diabetes patients. PMID 30267490</w:t>
      </w:r>
    </w:p>
    <w:p>
      <w:pPr>
        <w:numPr>
          <w:ilvl w:val="0"/>
          <w:numId w:val="1377"/>
        </w:numPr>
        <w:pStyle w:val="Compact"/>
      </w:pPr>
      <w:r>
        <w:t xml:space="preserve">2018 · Horie I ·</w:t>
      </w:r>
      <w:r>
        <w:t xml:space="preserve"> </w:t>
      </w:r>
      <w:r>
        <w:rPr>
          <w:iCs/>
          <w:i/>
        </w:rPr>
        <w:t xml:space="preserve">Diabetes Res Clin Pract</w:t>
      </w:r>
      <w:r>
        <w:t xml:space="preserve"> </w:t>
      </w:r>
      <w:r>
        <w:t xml:space="preserve">· Predictive factors of efficacy of combination therapy with basal insulin and liraglutide in type 2 diabetes when switched from longstanding basal-bolus insulin: Association between the responses of β- and α-cells to GLP-1 stimulation and the glycaemic control at 6 months after switching therapy. PMID 30194951</w:t>
      </w:r>
    </w:p>
    <w:p>
      <w:pPr>
        <w:numPr>
          <w:ilvl w:val="0"/>
          <w:numId w:val="1377"/>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7"/>
        </w:numPr>
        <w:pStyle w:val="Compact"/>
      </w:pPr>
      <w:r>
        <w:t xml:space="preserve">2018 · Sharma A ·</w:t>
      </w:r>
      <w:r>
        <w:t xml:space="preserve"> </w:t>
      </w:r>
      <w:r>
        <w:rPr>
          <w:iCs/>
          <w:i/>
        </w:rPr>
        <w:t xml:space="preserve">ESC Heart Fail</w:t>
      </w:r>
      <w:r>
        <w:t xml:space="preserve"> </w:t>
      </w:r>
      <w:r>
        <w:t xml:space="preserve">· Liraglutide and weight loss among patients with advanced heart failure and a reduced ejection fraction: insights from the FIGHT trial. PMID 30120812</w:t>
      </w:r>
    </w:p>
    <w:p>
      <w:pPr>
        <w:numPr>
          <w:ilvl w:val="0"/>
          <w:numId w:val="1377"/>
        </w:numPr>
        <w:pStyle w:val="Compact"/>
      </w:pPr>
      <w:r>
        <w:t xml:space="preserve">2018 · Dhatariya K ·</w:t>
      </w:r>
      <w:r>
        <w:t xml:space="preserve"> </w:t>
      </w:r>
      <w:r>
        <w:rPr>
          <w:iCs/>
          <w:i/>
        </w:rPr>
        <w:t xml:space="preserve">Diabetes Care</w:t>
      </w:r>
      <w:r>
        <w:t xml:space="preserve"> </w:t>
      </w:r>
      <w:r>
        <w:t xml:space="preserve">· The Impact of Liraglutide on Diabetes-Related Foot Ulceration and Associated Complications in Patients With Type 2 Diabetes at High Risk for Cardiovascular Events: Results From the LEADER Trial. PMID 30072400</w:t>
      </w:r>
    </w:p>
    <w:p>
      <w:pPr>
        <w:numPr>
          <w:ilvl w:val="0"/>
          <w:numId w:val="1377"/>
        </w:numPr>
        <w:pStyle w:val="Compact"/>
      </w:pPr>
      <w:r>
        <w:t xml:space="preserve">2018 · Hiramatsu T ·</w:t>
      </w:r>
      <w:r>
        <w:t xml:space="preserve"> </w:t>
      </w:r>
      <w:r>
        <w:rPr>
          <w:iCs/>
          <w:i/>
        </w:rPr>
        <w:t xml:space="preserve">Eur J Clin Invest</w:t>
      </w:r>
      <w:r>
        <w:t xml:space="preserve"> </w:t>
      </w:r>
      <w:r>
        <w:t xml:space="preserve">· Liraglutide relieves cardiac dilated function than DPP-4 inhibitors. PMID 30054920</w:t>
      </w:r>
    </w:p>
    <w:p>
      <w:pPr>
        <w:numPr>
          <w:ilvl w:val="0"/>
          <w:numId w:val="1377"/>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7"/>
        </w:numPr>
        <w:pStyle w:val="Compact"/>
      </w:pPr>
      <w:r>
        <w:t xml:space="preserve">2018 · Vergès B ·</w:t>
      </w:r>
      <w:r>
        <w:t xml:space="preserve"> </w:t>
      </w:r>
      <w:r>
        <w:rPr>
          <w:iCs/>
          <w:i/>
        </w:rPr>
        <w:t xml:space="preserve">Arterioscler Thromb Vasc Biol</w:t>
      </w:r>
      <w:r>
        <w:t xml:space="preserve"> </w:t>
      </w:r>
      <w:r>
        <w:t xml:space="preserve">· Liraglutide Reduces Postprandial Hyperlipidemia by Increasing ApoB48 (Apolipoprotein B48) Catabolism and by Reducing ApoB48 Production in Patients With Type 2 Diabetes Mellitus. PMID 30026275</w:t>
      </w:r>
    </w:p>
    <w:p>
      <w:pPr>
        <w:numPr>
          <w:ilvl w:val="0"/>
          <w:numId w:val="1377"/>
        </w:numPr>
        <w:pStyle w:val="Compact"/>
      </w:pPr>
      <w:r>
        <w:t xml:space="preserve">2018 · Mather KJ ·</w:t>
      </w:r>
      <w:r>
        <w:t xml:space="preserve"> </w:t>
      </w:r>
      <w:r>
        <w:rPr>
          <w:iCs/>
          <w:i/>
        </w:rPr>
        <w:t xml:space="preserve">J Clin Endocrinol Metab</w:t>
      </w:r>
      <w:r>
        <w:t xml:space="preserve"> </w:t>
      </w:r>
      <w:r>
        <w:t xml:space="preserve">· Combination GLP-1 and Insulin Treatment Fails to Alter Myocardial Fuel Selection vs. Insulin Alone in Type 2 Diabetes. PMID 30020461</w:t>
      </w:r>
    </w:p>
    <w:p>
      <w:pPr>
        <w:numPr>
          <w:ilvl w:val="0"/>
          <w:numId w:val="1377"/>
        </w:numPr>
        <w:pStyle w:val="Compact"/>
      </w:pPr>
      <w:r>
        <w:t xml:space="preserve">2018 · Liu J ·</w:t>
      </w:r>
      <w:r>
        <w:t xml:space="preserve"> </w:t>
      </w:r>
      <w:r>
        <w:rPr>
          <w:iCs/>
          <w:i/>
        </w:rPr>
        <w:t xml:space="preserve">Peptides</w:t>
      </w:r>
      <w:r>
        <w:t xml:space="preserve"> </w:t>
      </w:r>
      <w:r>
        <w:t xml:space="preserve">· GLP-1 receptor agonists stimulate ANGPTL8 production through the PI3K/Akt pathway in a GLP-1 receptor-dependent manner. PMID 30003931</w:t>
      </w:r>
    </w:p>
    <w:p>
      <w:pPr>
        <w:numPr>
          <w:ilvl w:val="0"/>
          <w:numId w:val="1377"/>
        </w:numPr>
        <w:pStyle w:val="Compact"/>
      </w:pPr>
      <w:r>
        <w:t xml:space="preserve">2018 · Nauck MA ·</w:t>
      </w:r>
      <w:r>
        <w:t xml:space="preserve"> </w:t>
      </w:r>
      <w:r>
        <w:rPr>
          <w:iCs/>
          <w:i/>
        </w:rPr>
        <w:t xml:space="preserve">Diab Vasc Dis Res</w:t>
      </w:r>
      <w:r>
        <w:t xml:space="preserve"> </w:t>
      </w:r>
      <w:r>
        <w:t xml:space="preserve">· Cardiovascular outcomes in patients who experienced a myocardial infarction while treated with liraglutide versus placebo in the LEADER trial. PMID 29947247</w:t>
      </w:r>
    </w:p>
    <w:p>
      <w:pPr>
        <w:numPr>
          <w:ilvl w:val="0"/>
          <w:numId w:val="1377"/>
        </w:numPr>
        <w:pStyle w:val="Compact"/>
      </w:pPr>
      <w:r>
        <w:t xml:space="preserve">2018 · Zinman B ·</w:t>
      </w:r>
      <w:r>
        <w:t xml:space="preserve"> </w:t>
      </w:r>
      <w:r>
        <w:rPr>
          <w:iCs/>
          <w:i/>
        </w:rPr>
        <w:t xml:space="preserve">Diabetes Care</w:t>
      </w:r>
      <w:r>
        <w:t xml:space="preserve"> </w:t>
      </w:r>
      <w:r>
        <w:t xml:space="preserve">· Hypoglycemia, Cardiovascular Outcomes, and Death: The LEADER Experience. PMID 29903847</w:t>
      </w:r>
    </w:p>
    <w:p>
      <w:pPr>
        <w:numPr>
          <w:ilvl w:val="0"/>
          <w:numId w:val="1377"/>
        </w:numPr>
        <w:pStyle w:val="Compact"/>
      </w:pPr>
      <w:r>
        <w:t xml:space="preserve">2018 · Nauck MA ·</w:t>
      </w:r>
      <w:r>
        <w:t xml:space="preserve"> </w:t>
      </w:r>
      <w:r>
        <w:rPr>
          <w:iCs/>
          <w:i/>
        </w:rPr>
        <w:t xml:space="preserve">Diabetes Care</w:t>
      </w:r>
      <w:r>
        <w:t xml:space="preserve"> </w:t>
      </w:r>
      <w:r>
        <w:t xml:space="preserve">· Neoplasms Reported With Liraglutide or Placebo in People With Type 2 Diabetes: Results From the LEADER Randomized Trial. PMID 29898902</w:t>
      </w:r>
    </w:p>
    <w:p>
      <w:pPr>
        <w:numPr>
          <w:ilvl w:val="0"/>
          <w:numId w:val="1377"/>
        </w:numPr>
        <w:pStyle w:val="Compact"/>
      </w:pPr>
      <w:r>
        <w:t xml:space="preserve">2018 · Nexøe-Larsen CC ·</w:t>
      </w:r>
      <w:r>
        <w:t xml:space="preserve"> </w:t>
      </w:r>
      <w:r>
        <w:rPr>
          <w:iCs/>
          <w:i/>
        </w:rPr>
        <w:t xml:space="preserve">Diabetes Obes Metab</w:t>
      </w:r>
      <w:r>
        <w:t xml:space="preserve"> </w:t>
      </w:r>
      <w:r>
        <w:t xml:space="preserve">· Effects of liraglutide on gallbladder emptying: A randomized, placebo-controlled trial in adults with overweight or obesity. PMID 29892986</w:t>
      </w:r>
    </w:p>
    <w:p>
      <w:pPr>
        <w:numPr>
          <w:ilvl w:val="0"/>
          <w:numId w:val="1377"/>
        </w:numPr>
        <w:pStyle w:val="Compact"/>
      </w:pPr>
      <w:r>
        <w:t xml:space="preserve">2018 · Iepsen EW ·</w:t>
      </w:r>
      <w:r>
        <w:t xml:space="preserve"> </w:t>
      </w:r>
      <w:r>
        <w:rPr>
          <w:iCs/>
          <w:i/>
        </w:rPr>
        <w:t xml:space="preserve">Cell Metab</w:t>
      </w:r>
      <w:r>
        <w:t xml:space="preserve"> </w:t>
      </w:r>
      <w:r>
        <w:t xml:space="preserve">· Patients with Obesity Caused by Melanocortin-4 Receptor Mutations Can Be Treated with a Glucagon-like Peptide-1 Receptor Agonist. PMID 29861388</w:t>
      </w:r>
    </w:p>
    <w:p>
      <w:pPr>
        <w:numPr>
          <w:ilvl w:val="0"/>
          <w:numId w:val="1377"/>
        </w:numPr>
        <w:pStyle w:val="Compact"/>
      </w:pPr>
      <w:r>
        <w:t xml:space="preserve">2018 · Verma S ·</w:t>
      </w:r>
      <w:r>
        <w:t xml:space="preserve"> </w:t>
      </w:r>
      <w:r>
        <w:rPr>
          <w:iCs/>
          <w:i/>
        </w:rPr>
        <w:t xml:space="preserve">Circulation</w:t>
      </w:r>
      <w:r>
        <w:t xml:space="preserve"> </w:t>
      </w:r>
      <w:r>
        <w:t xml:space="preserve">· Effect of Liraglutide on Cardiovascular Events in Patients With Type 2 Diabetes Mellitus and Polyvascular Disease: Results of the LEADER Trial. PMID 29760228</w:t>
      </w:r>
    </w:p>
    <w:p>
      <w:pPr>
        <w:numPr>
          <w:ilvl w:val="0"/>
          <w:numId w:val="1377"/>
        </w:numPr>
        <w:pStyle w:val="Compact"/>
      </w:pPr>
      <w:r>
        <w:t xml:space="preserve">2018 · Salamun V ·</w:t>
      </w:r>
      <w:r>
        <w:t xml:space="preserve"> </w:t>
      </w:r>
      <w:r>
        <w:rPr>
          <w:iCs/>
          <w:i/>
        </w:rPr>
        <w:t xml:space="preserve">Eur J Endocrinol</w:t>
      </w:r>
      <w:r>
        <w:t xml:space="preserve"> </w:t>
      </w:r>
      <w:r>
        <w:t xml:space="preserve">· Liraglutide increases IVF pregnancy rates in obese PCOS women with poor response to first-line reproductive treatments: a pilot randomized study. PMID 29703793</w:t>
      </w:r>
    </w:p>
    <w:p>
      <w:pPr>
        <w:numPr>
          <w:ilvl w:val="0"/>
          <w:numId w:val="1377"/>
        </w:numPr>
        <w:pStyle w:val="Compact"/>
      </w:pPr>
      <w:r>
        <w:t xml:space="preserve">2018 · Chen XM ·</w:t>
      </w:r>
      <w:r>
        <w:t xml:space="preserve"> </w:t>
      </w:r>
      <w:r>
        <w:rPr>
          <w:iCs/>
          <w:i/>
        </w:rPr>
        <w:t xml:space="preserve">Cardiovasc Diabetol</w:t>
      </w:r>
      <w:r>
        <w:t xml:space="preserve"> </w:t>
      </w:r>
      <w:r>
        <w:t xml:space="preserve">· Liraglutide suppresses non-esterified free fatty acids and soluble vascular cell adhesion molecule-1 compared with metformin in patients with recent-onset type 2 diabetes. PMID 29636047</w:t>
      </w:r>
    </w:p>
    <w:p>
      <w:pPr>
        <w:numPr>
          <w:ilvl w:val="0"/>
          <w:numId w:val="1377"/>
        </w:numPr>
        <w:pStyle w:val="Compact"/>
      </w:pPr>
      <w:r>
        <w:t xml:space="preserve">2018 · Martinez R ·</w:t>
      </w:r>
      <w:r>
        <w:t xml:space="preserve"> </w:t>
      </w:r>
      <w:r>
        <w:rPr>
          <w:iCs/>
          <w:i/>
        </w:rPr>
        <w:t xml:space="preserve">Diabetes</w:t>
      </w:r>
      <w:r>
        <w:t xml:space="preserve"> </w:t>
      </w:r>
      <w:r>
        <w:t xml:space="preserve">· Endogenous Glucose Production and Hormonal Changes in Response to Canagliflozin and Liraglutide Combination Therapy. PMID 29602791</w:t>
      </w:r>
    </w:p>
    <w:p>
      <w:pPr>
        <w:numPr>
          <w:ilvl w:val="0"/>
          <w:numId w:val="1377"/>
        </w:numPr>
        <w:pStyle w:val="Compact"/>
      </w:pPr>
      <w:r>
        <w:t xml:space="preserve">2018 · Yamamoto S ·</w:t>
      </w:r>
      <w:r>
        <w:t xml:space="preserve"> </w:t>
      </w:r>
      <w:r>
        <w:rPr>
          <w:iCs/>
          <w:i/>
        </w:rPr>
        <w:t xml:space="preserve">Diabetes Res Clin Pract</w:t>
      </w:r>
      <w:r>
        <w:t xml:space="preserve"> </w:t>
      </w:r>
      <w:r>
        <w:t xml:space="preserve">· Comparison of liraglutide plus basal insulin and basal-bolus insulin therapy (BBIT) for glycemic control, body weight stability, and treatment satisfaction in patients treated using BBIT for type 2 diabetes without severe insulin deficiency: A randomized prospective pilot study. PMID 29588170</w:t>
      </w:r>
    </w:p>
    <w:p>
      <w:pPr>
        <w:numPr>
          <w:ilvl w:val="0"/>
          <w:numId w:val="1377"/>
        </w:numPr>
        <w:pStyle w:val="Compact"/>
      </w:pPr>
      <w:r>
        <w:t xml:space="preserve">2018 · Shankar SS ·</w:t>
      </w:r>
      <w:r>
        <w:t xml:space="preserve"> </w:t>
      </w:r>
      <w:r>
        <w:rPr>
          <w:iCs/>
          <w:i/>
        </w:rPr>
        <w:t xml:space="preserve">Diabetes</w:t>
      </w:r>
      <w:r>
        <w:t xml:space="preserve"> </w:t>
      </w:r>
      <w:r>
        <w:t xml:space="preserve">· Native Oxyntomodulin Has Significant Glucoregulatory Effects Independent of Weight Loss in Obese Humans With and Without Type 2 Diabetes. PMID 29545266</w:t>
      </w:r>
    </w:p>
    <w:p>
      <w:pPr>
        <w:numPr>
          <w:ilvl w:val="0"/>
          <w:numId w:val="1377"/>
        </w:numPr>
        <w:pStyle w:val="Compact"/>
      </w:pPr>
      <w:r>
        <w:t xml:space="preserve">2018 · Chedid V ·</w:t>
      </w:r>
      <w:r>
        <w:t xml:space="preserve"> </w:t>
      </w:r>
      <w:r>
        <w:rPr>
          <w:iCs/>
          <w:i/>
        </w:rPr>
        <w:t xml:space="preserve">Neurogastroenterol Motil</w:t>
      </w:r>
      <w:r>
        <w:t xml:space="preserve"> </w:t>
      </w:r>
      <w:r>
        <w:t xml:space="preserve">· Allelic variant in the glucagon-like peptide 1 receptor gene associated with greater effect of liraglutide and exenatide on gastric emptying: A pilot pharmacogenetics study. PMID 29488276</w:t>
      </w:r>
    </w:p>
    <w:p>
      <w:pPr>
        <w:numPr>
          <w:ilvl w:val="0"/>
          <w:numId w:val="1377"/>
        </w:numPr>
        <w:pStyle w:val="Compact"/>
      </w:pPr>
      <w:r>
        <w:t xml:space="preserve">2018 · Billings LK ·</w:t>
      </w:r>
      <w:r>
        <w:t xml:space="preserve"> </w:t>
      </w:r>
      <w:r>
        <w:rPr>
          <w:iCs/>
          <w:i/>
        </w:rPr>
        <w:t xml:space="preserve">Diabetes Care</w:t>
      </w:r>
      <w:r>
        <w:t xml:space="preserve"> </w:t>
      </w:r>
      <w:r>
        <w:t xml:space="preserve">· Efficacy and Safety of IDegLira Versus Basal-Bolus Insulin Therapy in Patients With Type 2 Diabetes Uncontrolled on Metformin and Basal Insulin: The DUAL VII Randomized Clinical Trial. PMID 29483185</w:t>
      </w:r>
    </w:p>
    <w:p>
      <w:pPr>
        <w:numPr>
          <w:ilvl w:val="0"/>
          <w:numId w:val="1377"/>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7"/>
        </w:numPr>
        <w:pStyle w:val="Compact"/>
      </w:pPr>
      <w:r>
        <w:t xml:space="preserve">2018 · Capristo E ·</w:t>
      </w:r>
      <w:r>
        <w:t xml:space="preserve"> </w:t>
      </w:r>
      <w:r>
        <w:rPr>
          <w:iCs/>
          <w:i/>
        </w:rPr>
        <w:t xml:space="preserve">Diabetes Metab</w:t>
      </w:r>
      <w:r>
        <w:t xml:space="preserve"> </w:t>
      </w:r>
      <w:r>
        <w:t xml:space="preserve">· Intensive lifestyle modifications with or without liraglutide 3mg vs. sleeve gastrectomy: A three-arm non-randomised, controlled, pilot study. PMID 29398254</w:t>
      </w:r>
    </w:p>
    <w:p>
      <w:pPr>
        <w:numPr>
          <w:ilvl w:val="0"/>
          <w:numId w:val="1377"/>
        </w:numPr>
        <w:pStyle w:val="Compact"/>
      </w:pPr>
      <w:r>
        <w:t xml:space="preserve">2018 · Tonneijck L ·</w:t>
      </w:r>
      <w:r>
        <w:t xml:space="preserve"> </w:t>
      </w:r>
      <w:r>
        <w:rPr>
          <w:iCs/>
          <w:i/>
        </w:rPr>
        <w:t xml:space="preserve">Diabetes Obes Metab</w:t>
      </w:r>
      <w:r>
        <w:t xml:space="preserve"> </w:t>
      </w:r>
      <w:r>
        <w:t xml:space="preserve">· Effect of immediate and prolonged GLP-1 receptor agonist administration on uric acid and kidney clearance: Post-hoc analyses of four clinical trials. PMID 29341461</w:t>
      </w:r>
    </w:p>
    <w:p>
      <w:pPr>
        <w:numPr>
          <w:ilvl w:val="0"/>
          <w:numId w:val="1377"/>
        </w:numPr>
        <w:pStyle w:val="Compact"/>
      </w:pPr>
      <w:r>
        <w:t xml:space="preserve">2018 · Lambadiari V ·</w:t>
      </w:r>
      <w:r>
        <w:t xml:space="preserve"> </w:t>
      </w:r>
      <w:r>
        <w:rPr>
          <w:iCs/>
          <w:i/>
        </w:rPr>
        <w:t xml:space="preserve">Cardiovasc Diabetol</w:t>
      </w:r>
      <w:r>
        <w:t xml:space="preserve"> </w:t>
      </w:r>
      <w:r>
        <w:t xml:space="preserve">· Effects of 6-month treatment with the glucagon like peptide-1 analogue liraglutide on arterial stiffness, left ventricular myocardial deformation and oxidative stress in subjects with newly diagnosed type 2 diabetes. PMID 29310645</w:t>
      </w:r>
    </w:p>
    <w:p>
      <w:pPr>
        <w:numPr>
          <w:ilvl w:val="0"/>
          <w:numId w:val="1377"/>
        </w:numPr>
        <w:pStyle w:val="Compact"/>
      </w:pPr>
      <w:r>
        <w:t xml:space="preserve">2018 · Hegedüs L ·</w:t>
      </w:r>
      <w:r>
        <w:t xml:space="preserve"> </w:t>
      </w:r>
      <w:r>
        <w:rPr>
          <w:iCs/>
          <w:i/>
        </w:rPr>
        <w:t xml:space="preserve">Diabetes Care</w:t>
      </w:r>
      <w:r>
        <w:t xml:space="preserve"> </w:t>
      </w:r>
      <w:r>
        <w:t xml:space="preserve">· No Evidence of Increase in Calcitonin Concentrations or Development of C-Cell Malignancy in Response to Liraglutide for Up to 5 Years in the LEADER Trial. PMID 29279300</w:t>
      </w:r>
    </w:p>
    <w:p>
      <w:pPr>
        <w:numPr>
          <w:ilvl w:val="0"/>
          <w:numId w:val="1377"/>
        </w:numPr>
        <w:pStyle w:val="Compact"/>
      </w:pPr>
      <w:r>
        <w:t xml:space="preserve">2018 · Kaneko S ·</w:t>
      </w:r>
      <w:r>
        <w:t xml:space="preserve"> </w:t>
      </w:r>
      <w:r>
        <w:rPr>
          <w:iCs/>
          <w:i/>
        </w:rPr>
        <w:t xml:space="preserve">J Diabetes Investig</w:t>
      </w:r>
      <w:r>
        <w:t xml:space="preserve"> </w:t>
      </w:r>
      <w:r>
        <w:t xml:space="preserve">· Efficacy and safety of adding liraglutide to existing insulin regimens in Japanese patients with type 2 diabetes mellitus: A post-hoc analysis of a phase 3 randomized clinical trial. PMID 29277968</w:t>
      </w:r>
    </w:p>
    <w:p>
      <w:pPr>
        <w:numPr>
          <w:ilvl w:val="0"/>
          <w:numId w:val="1377"/>
        </w:numPr>
        <w:pStyle w:val="Compact"/>
      </w:pPr>
      <w:r>
        <w:t xml:space="preserve">2018 · Polderman JAW ·</w:t>
      </w:r>
      <w:r>
        <w:t xml:space="preserve"> </w:t>
      </w:r>
      <w:r>
        <w:rPr>
          <w:iCs/>
          <w:i/>
        </w:rPr>
        <w:t xml:space="preserve">Anaesthesia</w:t>
      </w:r>
      <w:r>
        <w:t xml:space="preserve"> </w:t>
      </w:r>
      <w:r>
        <w:t xml:space="preserve">· Peri-operative management of patients with type-2 diabetes mellitus undergoing non-cardiac surgery using liraglutide, glucose-insulin-potassium infusion or intravenous insulin bolus regimens: a randomised controlled trial. PMID 29230803</w:t>
      </w:r>
    </w:p>
    <w:p>
      <w:pPr>
        <w:numPr>
          <w:ilvl w:val="0"/>
          <w:numId w:val="137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77"/>
        </w:numPr>
        <w:pStyle w:val="Compact"/>
      </w:pPr>
      <w:r>
        <w:t xml:space="preserve">2018 · Tran S ·</w:t>
      </w:r>
      <w:r>
        <w:t xml:space="preserve"> </w:t>
      </w:r>
      <w:r>
        <w:rPr>
          <w:iCs/>
          <w:i/>
        </w:rPr>
        <w:t xml:space="preserve">Am J Physiol Endocrinol Metab</w:t>
      </w:r>
      <w:r>
        <w:t xml:space="preserve"> </w:t>
      </w:r>
      <w:r>
        <w:t xml:space="preserve">· Effect of chronic liraglutide therapy and its withdrawal on time to postchallenge peak glucose in type 2 diabetes. PMID 29183873</w:t>
      </w:r>
    </w:p>
    <w:p>
      <w:pPr>
        <w:numPr>
          <w:ilvl w:val="0"/>
          <w:numId w:val="1377"/>
        </w:numPr>
        <w:pStyle w:val="Compact"/>
      </w:pPr>
      <w:r>
        <w:t xml:space="preserve">2018 · Evans M ·</w:t>
      </w:r>
      <w:r>
        <w:t xml:space="preserve"> </w:t>
      </w:r>
      <w:r>
        <w:rPr>
          <w:iCs/>
          <w:i/>
        </w:rPr>
        <w:t xml:space="preserve">J Med Econ</w:t>
      </w:r>
      <w:r>
        <w:t xml:space="preserve"> </w:t>
      </w:r>
      <w:r>
        <w:t xml:space="preserve">· An indirect treatment comparison of the efficacy of insulin degludec/liraglutide (IDegLira) and insulin glargine/lixisenatide (iGlarLixi) in patients with type 2 diabetes uncontrolled on basal insulin. PMID 29164973</w:t>
      </w:r>
    </w:p>
    <w:p>
      <w:pPr>
        <w:numPr>
          <w:ilvl w:val="0"/>
          <w:numId w:val="1377"/>
        </w:numPr>
        <w:pStyle w:val="Compact"/>
      </w:pPr>
      <w:r>
        <w:t xml:space="preserve">2018 · Tzanetakos C ·</w:t>
      </w:r>
      <w:r>
        <w:t xml:space="preserve"> </w:t>
      </w:r>
      <w:r>
        <w:rPr>
          <w:iCs/>
          <w:i/>
        </w:rPr>
        <w:t xml:space="preserve">Clin Drug Investig</w:t>
      </w:r>
      <w:r>
        <w:t xml:space="preserve"> </w:t>
      </w:r>
      <w:r>
        <w:t xml:space="preserve">· Cost Effectiveness of Exenatide Once Weekly Versus Insulin Glargine and Liraglutide for the Treatment of Type 2 Diabetes Mellitus in Greece. PMID 29080210</w:t>
      </w:r>
    </w:p>
    <w:p>
      <w:pPr>
        <w:numPr>
          <w:ilvl w:val="0"/>
          <w:numId w:val="1377"/>
        </w:numPr>
        <w:pStyle w:val="Compact"/>
      </w:pPr>
      <w:r>
        <w:t xml:space="preserve">2018 · Kolotkin RL ·</w:t>
      </w:r>
      <w:r>
        <w:t xml:space="preserve"> </w:t>
      </w:r>
      <w:r>
        <w:rPr>
          <w:iCs/>
          <w:i/>
        </w:rPr>
        <w:t xml:space="preserve">Clin Obes</w:t>
      </w:r>
      <w:r>
        <w:t xml:space="preserve"> </w:t>
      </w:r>
      <w:r>
        <w:t xml:space="preserve">· Improvements in health-related quality of life over 3 years with liraglutide 3.0 mg compared with placebo in participants with overweight or obesity. PMID 29045079</w:t>
      </w:r>
    </w:p>
    <w:p>
      <w:pPr>
        <w:numPr>
          <w:ilvl w:val="0"/>
          <w:numId w:val="1377"/>
        </w:numPr>
        <w:pStyle w:val="Compact"/>
      </w:pPr>
      <w:r>
        <w:t xml:space="preserve">2018 · Kiyosue A ·</w:t>
      </w:r>
      <w:r>
        <w:t xml:space="preserve"> </w:t>
      </w:r>
      <w:r>
        <w:rPr>
          <w:iCs/>
          <w:i/>
        </w:rPr>
        <w:t xml:space="preserve">J Diabetes Investig</w:t>
      </w:r>
      <w:r>
        <w:t xml:space="preserve"> </w:t>
      </w:r>
      <w:r>
        <w:t xml:space="preserve">· Safety and efficacy of the combination of the glucagon-like peptide-1 receptor agonist liraglutide with an oral antidiabetic drug in Japanese patients with type 2 diabetes: Post-hoc analysis of a randomized, 52-week, open-label, parallel-group trial. PMID 28984041</w:t>
      </w:r>
    </w:p>
    <w:p>
      <w:pPr>
        <w:numPr>
          <w:ilvl w:val="0"/>
          <w:numId w:val="1377"/>
        </w:numPr>
        <w:pStyle w:val="Compact"/>
      </w:pPr>
      <w:r>
        <w:t xml:space="preserve">2018 · Dubé MC ·</w:t>
      </w:r>
      <w:r>
        <w:t xml:space="preserve"> </w:t>
      </w:r>
      <w:r>
        <w:rPr>
          <w:iCs/>
          <w:i/>
        </w:rPr>
        <w:t xml:space="preserve">Diabetes Obes Metab</w:t>
      </w:r>
      <w:r>
        <w:t xml:space="preserve"> </w:t>
      </w:r>
      <w:r>
        <w:t xml:space="preserve">· Beyond glycaemic control: A cross-over, double-blinded, 24-week intervention with liraglutide in type 1 diabetes. PMID 28722271</w:t>
      </w:r>
    </w:p>
    <w:p>
      <w:pPr>
        <w:numPr>
          <w:ilvl w:val="0"/>
          <w:numId w:val="1377"/>
        </w:numPr>
        <w:pStyle w:val="Compact"/>
      </w:pPr>
      <w:r>
        <w:t xml:space="preserve">2018 · Frøssing S ·</w:t>
      </w:r>
      <w:r>
        <w:t xml:space="preserve"> </w:t>
      </w:r>
      <w:r>
        <w:rPr>
          <w:iCs/>
          <w:i/>
        </w:rPr>
        <w:t xml:space="preserve">Diabetes Obes Metab</w:t>
      </w:r>
      <w:r>
        <w:t xml:space="preserve"> </w:t>
      </w:r>
      <w:r>
        <w:t xml:space="preserve">· Effect of liraglutide on ectopic fat in polycystic ovary syndrome: A randomized clinical trial. PMID 28681988</w:t>
      </w:r>
    </w:p>
    <w:p>
      <w:pPr>
        <w:numPr>
          <w:ilvl w:val="0"/>
          <w:numId w:val="1377"/>
        </w:numPr>
        <w:pStyle w:val="Compact"/>
      </w:pPr>
      <w:r>
        <w:t xml:space="preserve">2018 · Lingvay I ·</w:t>
      </w:r>
      <w:r>
        <w:t xml:space="preserve"> </w:t>
      </w:r>
      <w:r>
        <w:rPr>
          <w:iCs/>
          <w:i/>
        </w:rPr>
        <w:t xml:space="preserve">Diabetes Obes Metab</w:t>
      </w:r>
      <w:r>
        <w:t xml:space="preserve"> </w:t>
      </w:r>
      <w:r>
        <w:t xml:space="preserve">· Insulin degludec/liraglutide (IDegLira) was effective across a range of dysglycaemia and body mass index categories in the DUAL V randomized trial. PMID 28643425</w:t>
      </w:r>
    </w:p>
    <w:p>
      <w:pPr>
        <w:numPr>
          <w:ilvl w:val="0"/>
          <w:numId w:val="1377"/>
        </w:numPr>
        <w:pStyle w:val="Compact"/>
      </w:pPr>
      <w:r>
        <w:t xml:space="preserve">2018 · Koska J ·</w:t>
      </w:r>
      <w:r>
        <w:t xml:space="preserve"> </w:t>
      </w:r>
      <w:r>
        <w:rPr>
          <w:iCs/>
          <w:i/>
        </w:rPr>
        <w:t xml:space="preserve">Diabetes Obes Metab</w:t>
      </w:r>
      <w:r>
        <w:t xml:space="preserve"> </w:t>
      </w:r>
      <w:r>
        <w:t xml:space="preserve">· Effect of liraglutide on dietary lipid-induced insulin resistance in humans. PMID 28605158</w:t>
      </w:r>
    </w:p>
    <w:p>
      <w:pPr>
        <w:numPr>
          <w:ilvl w:val="0"/>
          <w:numId w:val="1377"/>
        </w:numPr>
        <w:pStyle w:val="Compact"/>
      </w:pPr>
      <w:r>
        <w:t xml:space="preserve">2018 · Seino Y ·</w:t>
      </w:r>
      <w:r>
        <w:t xml:space="preserve"> </w:t>
      </w:r>
      <w:r>
        <w:rPr>
          <w:iCs/>
          <w:i/>
        </w:rPr>
        <w:t xml:space="preserve">J Diabetes Investig</w:t>
      </w:r>
      <w:r>
        <w:t xml:space="preserve"> </w:t>
      </w:r>
      <w:r>
        <w:t xml:space="preserve">· Sodium-glucose cotransporter-2 inhibitor luseogliflozin added to glucagon-like peptide 1 receptor agonist liraglutide improves glycemic control with bodyweight and fat mass reductions in Japanese patients with type 2 diabetes: A 52-week, open-label, single-arm study. PMID 28502112</w:t>
      </w:r>
    </w:p>
    <w:p>
      <w:pPr>
        <w:numPr>
          <w:ilvl w:val="0"/>
          <w:numId w:val="1377"/>
        </w:numPr>
        <w:pStyle w:val="Compact"/>
      </w:pPr>
      <w:r>
        <w:t xml:space="preserve">2017 · Gejl M ·</w:t>
      </w:r>
      <w:r>
        <w:t xml:space="preserve"> </w:t>
      </w:r>
      <w:r>
        <w:rPr>
          <w:iCs/>
          <w:i/>
        </w:rPr>
        <w:t xml:space="preserve">Sci Rep</w:t>
      </w:r>
      <w:r>
        <w:t xml:space="preserve"> </w:t>
      </w:r>
      <w:r>
        <w:t xml:space="preserve">· Blood-Brain Glucose Transfer in Alzheimer’s disease: Effect of GLP-1 Analog Treatment. PMID 29235507</w:t>
      </w:r>
    </w:p>
    <w:p>
      <w:pPr>
        <w:numPr>
          <w:ilvl w:val="0"/>
          <w:numId w:val="1377"/>
        </w:numPr>
        <w:pStyle w:val="Compact"/>
      </w:pPr>
      <w:r>
        <w:t xml:space="preserve">2017 · le Roux C ·</w:t>
      </w:r>
      <w:r>
        <w:t xml:space="preserve"> </w:t>
      </w:r>
      <w:r>
        <w:rPr>
          <w:iCs/>
          <w:i/>
        </w:rPr>
        <w:t xml:space="preserve">Obes Facts</w:t>
      </w:r>
      <w:r>
        <w:t xml:space="preserve"> </w:t>
      </w:r>
      <w:r>
        <w:t xml:space="preserve">· Comparison of Efficacy and Safety of Liraglutide 3.0 mg in Individuals with BMI above and below 35 kg/m²: A Post-hoc Analysis. PMID 29145215</w:t>
      </w:r>
    </w:p>
    <w:p>
      <w:pPr>
        <w:numPr>
          <w:ilvl w:val="0"/>
          <w:numId w:val="1377"/>
        </w:numPr>
        <w:pStyle w:val="Compact"/>
      </w:pPr>
      <w:r>
        <w:t xml:space="preserve">2017 · Davidson JA ·</w:t>
      </w:r>
      <w:r>
        <w:t xml:space="preserve"> </w:t>
      </w:r>
      <w:r>
        <w:rPr>
          <w:iCs/>
          <w:i/>
        </w:rPr>
        <w:t xml:space="preserve">Postgrad Med</w:t>
      </w:r>
      <w:r>
        <w:t xml:space="preserve"> </w:t>
      </w:r>
      <w:r>
        <w:t xml:space="preserve">· Albiglutide efficacy and safety in the Latino/Hispanic subpopulation for the integrated phase III program. PMID 29083275</w:t>
      </w:r>
    </w:p>
    <w:p>
      <w:pPr>
        <w:numPr>
          <w:ilvl w:val="0"/>
          <w:numId w:val="1377"/>
        </w:numPr>
        <w:pStyle w:val="Compact"/>
      </w:pPr>
      <w:r>
        <w:t xml:space="preserve">2017 · Ferjan S ·</w:t>
      </w:r>
      <w:r>
        <w:t xml:space="preserve"> </w:t>
      </w:r>
      <w:r>
        <w:rPr>
          <w:iCs/>
          <w:i/>
        </w:rPr>
        <w:t xml:space="preserve">Metab Syndr Relat Disord</w:t>
      </w:r>
      <w:r>
        <w:t xml:space="preserve"> </w:t>
      </w:r>
      <w:r>
        <w:t xml:space="preserve">· Dipeptidyl Peptidase-4 Inhibitor Sitagliptin Prevented Weight Regain in Obese Women with Polycystic Ovary Syndrome Previously Treated with Liraglutide: A Pilot Randomized Study. PMID 29064743</w:t>
      </w:r>
    </w:p>
    <w:p>
      <w:pPr>
        <w:numPr>
          <w:ilvl w:val="0"/>
          <w:numId w:val="1377"/>
        </w:numPr>
        <w:pStyle w:val="Compact"/>
      </w:pPr>
      <w:r>
        <w:t xml:space="preserve">2017 · Halawi H ·</w:t>
      </w:r>
      <w:r>
        <w:t xml:space="preserve"> </w:t>
      </w:r>
      <w:r>
        <w:rPr>
          <w:iCs/>
          <w:i/>
        </w:rPr>
        <w:t xml:space="preserve">Lancet Gastroenterol Hepatol</w:t>
      </w:r>
      <w:r>
        <w:t xml:space="preserve"> </w:t>
      </w:r>
      <w:r>
        <w:t xml:space="preserve">· Effects of liraglutide on weight, satiation, and gastric functions in obesity: a randomised, placebo-controlled pilot trial. PMID 28958851</w:t>
      </w:r>
    </w:p>
    <w:p>
      <w:pPr>
        <w:numPr>
          <w:ilvl w:val="0"/>
          <w:numId w:val="1377"/>
        </w:numPr>
        <w:pStyle w:val="Compact"/>
      </w:pPr>
      <w:r>
        <w:t xml:space="preserve">2017 · de Wit HM ·</w:t>
      </w:r>
      <w:r>
        <w:t xml:space="preserve"> </w:t>
      </w:r>
      <w:r>
        <w:rPr>
          <w:iCs/>
          <w:i/>
        </w:rPr>
        <w:t xml:space="preserve">Neth J Med</w:t>
      </w:r>
      <w:r>
        <w:t xml:space="preserve"> </w:t>
      </w:r>
      <w:r>
        <w:t xml:space="preserve">· A cost-controlling treatment strategy of adding liraglutide to insulin in type 2 diabetes. PMID 28956786</w:t>
      </w:r>
    </w:p>
    <w:p>
      <w:pPr>
        <w:numPr>
          <w:ilvl w:val="0"/>
          <w:numId w:val="1377"/>
        </w:numPr>
        <w:pStyle w:val="Compact"/>
      </w:pPr>
      <w:r>
        <w:t xml:space="preserve">2017 · Santilli F ·</w:t>
      </w:r>
      <w:r>
        <w:t xml:space="preserve"> </w:t>
      </w:r>
      <w:r>
        <w:rPr>
          <w:iCs/>
          <w:i/>
        </w:rPr>
        <w:t xml:space="preserve">Diabetes Care</w:t>
      </w:r>
      <w:r>
        <w:t xml:space="preserve"> </w:t>
      </w:r>
      <w:r>
        <w:t xml:space="preserve">· Effects of Liraglutide on Weight Loss, Fat Distribution, and β-Cell Function in Obese Subjects With Prediabetes or Early Type 2 Diabetes. PMID 28912305</w:t>
      </w:r>
    </w:p>
    <w:p>
      <w:pPr>
        <w:numPr>
          <w:ilvl w:val="0"/>
          <w:numId w:val="1377"/>
        </w:numPr>
        <w:pStyle w:val="Compact"/>
      </w:pPr>
      <w:r>
        <w:t xml:space="preserve">2017 · Mann JFE ·</w:t>
      </w:r>
      <w:r>
        <w:t xml:space="preserve"> </w:t>
      </w:r>
      <w:r>
        <w:rPr>
          <w:iCs/>
          <w:i/>
        </w:rPr>
        <w:t xml:space="preserve">N Engl J Med</w:t>
      </w:r>
      <w:r>
        <w:t xml:space="preserve"> </w:t>
      </w:r>
      <w:r>
        <w:t xml:space="preserve">· Liraglutide and Renal Outcomes in Type 2 Diabetes. PMID 28854085</w:t>
      </w:r>
    </w:p>
    <w:p>
      <w:pPr>
        <w:numPr>
          <w:ilvl w:val="0"/>
          <w:numId w:val="1377"/>
        </w:numPr>
        <w:pStyle w:val="Compact"/>
      </w:pPr>
      <w:r>
        <w:t xml:space="preserve">2017 · Frias JP ·</w:t>
      </w:r>
      <w:r>
        <w:t xml:space="preserve"> </w:t>
      </w:r>
      <w:r>
        <w:rPr>
          <w:iCs/>
          <w:i/>
        </w:rPr>
        <w:t xml:space="preserve">Cell Metab</w:t>
      </w:r>
      <w:r>
        <w:t xml:space="preserve"> </w:t>
      </w:r>
      <w:r>
        <w:t xml:space="preserve">· The Sustained Effects of a Dual GIP/GLP-1 Receptor Agonist, NNC0090-2746, in Patients with Type 2 Diabetes. PMID 28768173</w:t>
      </w:r>
    </w:p>
    <w:p>
      <w:pPr>
        <w:numPr>
          <w:ilvl w:val="0"/>
          <w:numId w:val="1377"/>
        </w:numPr>
        <w:pStyle w:val="Compact"/>
      </w:pPr>
      <w:r>
        <w:t xml:space="preserve">2017 · Hunt B ·</w:t>
      </w:r>
      <w:r>
        <w:t xml:space="preserve"> </w:t>
      </w:r>
      <w:r>
        <w:rPr>
          <w:iCs/>
          <w:i/>
        </w:rPr>
        <w:t xml:space="preserve">Clin Ther</w:t>
      </w:r>
      <w:r>
        <w:t xml:space="preserve"> </w:t>
      </w:r>
      <w:r>
        <w:t xml:space="preserve">· Long-term Cost-effectiveness of Two GLP-1 Receptor Agonists for the Treatment of Type 2 Diabetes Mellitus in the Italian Setting: Liraglutide Versus Lixisenatide. PMID 28625506</w:t>
      </w:r>
    </w:p>
    <w:p>
      <w:pPr>
        <w:numPr>
          <w:ilvl w:val="0"/>
          <w:numId w:val="1377"/>
        </w:numPr>
        <w:pStyle w:val="Compact"/>
      </w:pPr>
      <w:r>
        <w:t xml:space="preserve">2017 · Pokala N ·</w:t>
      </w:r>
      <w:r>
        <w:t xml:space="preserve"> </w:t>
      </w:r>
      <w:r>
        <w:rPr>
          <w:iCs/>
          <w:i/>
        </w:rPr>
        <w:t xml:space="preserve">Diabetes Obes Metab</w:t>
      </w:r>
      <w:r>
        <w:t xml:space="preserve"> </w:t>
      </w:r>
      <w:r>
        <w:t xml:space="preserve">· The effect of baseline characteristics on clinical efficacy of liraglutide in patients treated with high-dose insulin. PMID 28608447</w:t>
      </w:r>
    </w:p>
    <w:p>
      <w:pPr>
        <w:numPr>
          <w:ilvl w:val="0"/>
          <w:numId w:val="1377"/>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7"/>
        </w:numPr>
        <w:pStyle w:val="Compact"/>
      </w:pPr>
      <w:r>
        <w:t xml:space="preserve">2017 · Larsen JR ·</w:t>
      </w:r>
      <w:r>
        <w:t xml:space="preserve"> </w:t>
      </w:r>
      <w:r>
        <w:rPr>
          <w:iCs/>
          <w:i/>
        </w:rPr>
        <w:t xml:space="preserve">JAMA Psychiatry</w:t>
      </w:r>
      <w:r>
        <w:t xml:space="preserve"> </w:t>
      </w:r>
      <w:r>
        <w:t xml:space="preserve">· Effect of Liraglutide Treatment on Prediabetes and Overweight or Obesity in Clozapine- or Olanzapine-Treated Patients With Schizophrenia Spectrum Disorder: A Randomized Clinical Trial. PMID 28601891</w:t>
      </w:r>
    </w:p>
    <w:p>
      <w:pPr>
        <w:numPr>
          <w:ilvl w:val="0"/>
          <w:numId w:val="1377"/>
        </w:numPr>
        <w:pStyle w:val="Compact"/>
      </w:pPr>
      <w:r>
        <w:t xml:space="preserve">2017 · Khoo J ·</w:t>
      </w:r>
      <w:r>
        <w:t xml:space="preserve"> </w:t>
      </w:r>
      <w:r>
        <w:rPr>
          <w:iCs/>
          <w:i/>
        </w:rPr>
        <w:t xml:space="preserve">Diabetes Obes Metab</w:t>
      </w:r>
      <w:r>
        <w:t xml:space="preserve"> </w:t>
      </w:r>
      <w:r>
        <w:t xml:space="preserve">· Comparative effects of liraglutide 3 mg vs structured lifestyle modification on body weight, liver fat and liver function in obese patients with non-alcoholic fatty liver disease: A pilot randomized trial. PMID 28503750</w:t>
      </w:r>
    </w:p>
    <w:p>
      <w:pPr>
        <w:numPr>
          <w:ilvl w:val="0"/>
          <w:numId w:val="1377"/>
        </w:numPr>
        <w:pStyle w:val="Compact"/>
      </w:pPr>
      <w:r>
        <w:t xml:space="preserve">2017 · Nylander M ·</w:t>
      </w:r>
      <w:r>
        <w:t xml:space="preserve"> </w:t>
      </w:r>
      <w:r>
        <w:rPr>
          <w:iCs/>
          <w:i/>
        </w:rPr>
        <w:t xml:space="preserve">Reprod Biomed Online</w:t>
      </w:r>
      <w:r>
        <w:t xml:space="preserve"> </w:t>
      </w:r>
      <w:r>
        <w:t xml:space="preserve">· Effects of liraglutide on ovarian dysfunction in polycystic ovary syndrome: a randomized clinical trial. PMID 28479118</w:t>
      </w:r>
    </w:p>
    <w:p>
      <w:pPr>
        <w:numPr>
          <w:ilvl w:val="0"/>
          <w:numId w:val="1377"/>
        </w:numPr>
        <w:pStyle w:val="Compact"/>
      </w:pPr>
      <w:r>
        <w:t xml:space="preserve">2017 · Steinberg WM ·</w:t>
      </w:r>
      <w:r>
        <w:t xml:space="preserve"> </w:t>
      </w:r>
      <w:r>
        <w:rPr>
          <w:iCs/>
          <w:i/>
        </w:rPr>
        <w:t xml:space="preserve">Diabetes Care</w:t>
      </w:r>
      <w:r>
        <w:t xml:space="preserve"> </w:t>
      </w:r>
      <w:r>
        <w:t xml:space="preserve">· Amylase, Lipase, and Acute Pancreatitis in People With Type 2 Diabetes Treated With Liraglutide: Results From the LEADER Randomized Trial. PMID 28476871</w:t>
      </w:r>
    </w:p>
    <w:p>
      <w:pPr>
        <w:numPr>
          <w:ilvl w:val="0"/>
          <w:numId w:val="1377"/>
        </w:numPr>
        <w:pStyle w:val="Compact"/>
      </w:pPr>
      <w:r>
        <w:t xml:space="preserve">2017 · von Scholten BJ ·</w:t>
      </w:r>
      <w:r>
        <w:t xml:space="preserve"> </w:t>
      </w:r>
      <w:r>
        <w:rPr>
          <w:iCs/>
          <w:i/>
        </w:rPr>
        <w:t xml:space="preserve">J Diabetes Complications</w:t>
      </w:r>
      <w:r>
        <w:t xml:space="preserve"> </w:t>
      </w:r>
      <w:r>
        <w:t xml:space="preserve">· Effect of weight reductions on estimated kidney function: Post-hoc analysis of two randomized trials. PMID 28462892</w:t>
      </w:r>
    </w:p>
    <w:p>
      <w:pPr>
        <w:numPr>
          <w:ilvl w:val="0"/>
          <w:numId w:val="1377"/>
        </w:numPr>
        <w:pStyle w:val="Compact"/>
      </w:pPr>
      <w:r>
        <w:t xml:space="preserve">2017 · Sedman T ·</w:t>
      </w:r>
      <w:r>
        <w:t xml:space="preserve"> </w:t>
      </w:r>
      <w:r>
        <w:rPr>
          <w:iCs/>
          <w:i/>
        </w:rPr>
        <w:t xml:space="preserve">J Clin Endocrinol Metab</w:t>
      </w:r>
      <w:r>
        <w:t xml:space="preserve"> </w:t>
      </w:r>
      <w:r>
        <w:t xml:space="preserve">· Tolerance Does Not Develop Toward Liraglutide’s Glucose-Lowering Effect. PMID 28379427</w:t>
      </w:r>
    </w:p>
    <w:p>
      <w:pPr>
        <w:numPr>
          <w:ilvl w:val="0"/>
          <w:numId w:val="1377"/>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7"/>
        </w:numPr>
        <w:pStyle w:val="Compact"/>
      </w:pPr>
      <w:r>
        <w:t xml:space="preserve">2017 · Feng W ·</w:t>
      </w:r>
      <w:r>
        <w:t xml:space="preserve"> </w:t>
      </w:r>
      <w:r>
        <w:rPr>
          <w:iCs/>
          <w:i/>
        </w:rPr>
        <w:t xml:space="preserve">J Diabetes</w:t>
      </w:r>
      <w:r>
        <w:t xml:space="preserve"> </w:t>
      </w:r>
      <w:r>
        <w:t xml:space="preserve">· Randomized trial comparing the effects of gliclazide, liraglutide, and metformin on diabetes with non-alcoholic fatty liver disease. PMID 28332301</w:t>
      </w:r>
    </w:p>
    <w:p>
      <w:pPr>
        <w:numPr>
          <w:ilvl w:val="0"/>
          <w:numId w:val="1377"/>
        </w:numPr>
        <w:pStyle w:val="Compact"/>
      </w:pPr>
      <w:r>
        <w:t xml:space="preserve">2017 · Garg M ·</w:t>
      </w:r>
      <w:r>
        <w:t xml:space="preserve"> </w:t>
      </w:r>
      <w:r>
        <w:rPr>
          <w:iCs/>
          <w:i/>
        </w:rPr>
        <w:t xml:space="preserve">Diabetes Obes Metab</w:t>
      </w:r>
      <w:r>
        <w:t xml:space="preserve"> </w:t>
      </w:r>
      <w:r>
        <w:t xml:space="preserve">· Liraglutide acutely suppresses glucagon, lipolysis and ketogenesis in type 1 diabetes. PMID 28304146</w:t>
      </w:r>
    </w:p>
    <w:p>
      <w:pPr>
        <w:numPr>
          <w:ilvl w:val="0"/>
          <w:numId w:val="1377"/>
        </w:numPr>
        <w:pStyle w:val="Compact"/>
      </w:pPr>
      <w:r>
        <w:t xml:space="preserve">2017 · Hunt B ·</w:t>
      </w:r>
      <w:r>
        <w:t xml:space="preserve"> </w:t>
      </w:r>
      <w:r>
        <w:rPr>
          <w:iCs/>
          <w:i/>
        </w:rPr>
        <w:t xml:space="preserve">J Med Econ</w:t>
      </w:r>
      <w:r>
        <w:t xml:space="preserve"> </w:t>
      </w:r>
      <w:r>
        <w:t xml:space="preserve">· Evaluation of the long-term cost-effectiveness of IDegLira versus liraglutide added to basal insulin for patients with type 2 diabetes failing to achieve glycemic control on basal insulin in the USA. PMID 28294641</w:t>
      </w:r>
    </w:p>
    <w:p>
      <w:pPr>
        <w:numPr>
          <w:ilvl w:val="0"/>
          <w:numId w:val="1377"/>
        </w:numPr>
        <w:pStyle w:val="Compact"/>
      </w:pPr>
      <w:r>
        <w:t xml:space="preserve">2017 · King AB ·</w:t>
      </w:r>
      <w:r>
        <w:t xml:space="preserve"> </w:t>
      </w:r>
      <w:r>
        <w:rPr>
          <w:iCs/>
          <w:i/>
        </w:rPr>
        <w:t xml:space="preserve">Diabetes Technol Ther</w:t>
      </w:r>
      <w:r>
        <w:t xml:space="preserve"> </w:t>
      </w:r>
      <w:r>
        <w:t xml:space="preserve">· A Fixed Ratio Combination of Insulin Degludec and Liraglutide (IDegLira) Reduces Glycemic Fluctuation and Brings More Patients with Type 2 Diabetes Within Blood Glucose Target Ranges. PMID 28282219</w:t>
      </w:r>
    </w:p>
    <w:p>
      <w:pPr>
        <w:numPr>
          <w:ilvl w:val="0"/>
          <w:numId w:val="1377"/>
        </w:numPr>
        <w:pStyle w:val="Compact"/>
      </w:pPr>
      <w:r>
        <w:t xml:space="preserve">2017 · le Roux CW ·</w:t>
      </w:r>
      <w:r>
        <w:t xml:space="preserve"> </w:t>
      </w:r>
      <w:r>
        <w:rPr>
          <w:iCs/>
          <w:i/>
        </w:rPr>
        <w:t xml:space="preserve">Lancet</w:t>
      </w:r>
      <w:r>
        <w:t xml:space="preserve"> </w:t>
      </w:r>
      <w:r>
        <w:t xml:space="preserve">· 3 years of liraglutide versus placebo for type 2 diabetes risk reduction and weight management in individuals with prediabetes: a randomised, double-blind trial. PMID 28237263</w:t>
      </w:r>
    </w:p>
    <w:p>
      <w:pPr>
        <w:numPr>
          <w:ilvl w:val="0"/>
          <w:numId w:val="1377"/>
        </w:numPr>
        <w:pStyle w:val="Compact"/>
      </w:pPr>
      <w:r>
        <w:t xml:space="preserve">2017 · Jørgensen PG ·</w:t>
      </w:r>
      <w:r>
        <w:t xml:space="preserve"> </w:t>
      </w:r>
      <w:r>
        <w:rPr>
          <w:iCs/>
          <w:i/>
        </w:rPr>
        <w:t xml:space="preserve">Diabetes Obes Metab</w:t>
      </w:r>
      <w:r>
        <w:t xml:space="preserve"> </w:t>
      </w:r>
      <w:r>
        <w:t xml:space="preserve">· Effect of exercise combined with glucagon-like peptide-1 receptor agonist treatment on cardiac function: A randomized double-blind placebo-controlled clinical trial. PMID 28188972</w:t>
      </w:r>
    </w:p>
    <w:p>
      <w:pPr>
        <w:numPr>
          <w:ilvl w:val="0"/>
          <w:numId w:val="1377"/>
        </w:numPr>
        <w:pStyle w:val="Compact"/>
      </w:pPr>
      <w:r>
        <w:t xml:space="preserve">2017 · Kramer CK ·</w:t>
      </w:r>
      <w:r>
        <w:t xml:space="preserve"> </w:t>
      </w:r>
      <w:r>
        <w:rPr>
          <w:iCs/>
          <w:i/>
        </w:rPr>
        <w:t xml:space="preserve">Diabetes Obes Metab</w:t>
      </w:r>
      <w:r>
        <w:t xml:space="preserve"> </w:t>
      </w:r>
      <w:r>
        <w:t xml:space="preserve">· Chronic liraglutide therapy induces an enhanced endogenous glucagon-like peptide-1 secretory response in early type 2 diabetes. PMID 28181363</w:t>
      </w:r>
    </w:p>
    <w:p>
      <w:pPr>
        <w:numPr>
          <w:ilvl w:val="0"/>
          <w:numId w:val="1377"/>
        </w:numPr>
        <w:pStyle w:val="Compact"/>
      </w:pPr>
      <w:r>
        <w:t xml:space="preserve">2017 · Jensterle M ·</w:t>
      </w:r>
      <w:r>
        <w:t xml:space="preserve"> </w:t>
      </w:r>
      <w:r>
        <w:rPr>
          <w:iCs/>
          <w:i/>
        </w:rPr>
        <w:t xml:space="preserve">BMC Endocr Disord</w:t>
      </w:r>
      <w:r>
        <w:t xml:space="preserve"> </w:t>
      </w:r>
      <w:r>
        <w:t xml:space="preserve">· Short-term effectiveness of low dose liraglutide in combination with metformin versus high dose liraglutide alone in treatment of obese PCOS: randomized trial. PMID 28143456</w:t>
      </w:r>
    </w:p>
    <w:p>
      <w:pPr>
        <w:numPr>
          <w:ilvl w:val="0"/>
          <w:numId w:val="1377"/>
        </w:numPr>
        <w:pStyle w:val="Compact"/>
      </w:pPr>
      <w:r>
        <w:t xml:space="preserve">2017 · Kumarathurai P ·</w:t>
      </w:r>
      <w:r>
        <w:t xml:space="preserve"> </w:t>
      </w:r>
      <w:r>
        <w:rPr>
          <w:iCs/>
          <w:i/>
        </w:rPr>
        <w:t xml:space="preserve">J Hypertens</w:t>
      </w:r>
      <w:r>
        <w:t xml:space="preserve"> </w:t>
      </w:r>
      <w:r>
        <w:t xml:space="preserve">· Effects of the glucagon-like peptide-1 receptor agonist liraglutide on 24-h ambulatory blood pressure in patients with type 2 diabetes and stable coronary artery disease: a randomized, double-blind, placebo-controlled, crossover study. PMID 28129251</w:t>
      </w:r>
    </w:p>
    <w:p>
      <w:pPr>
        <w:numPr>
          <w:ilvl w:val="0"/>
          <w:numId w:val="1377"/>
        </w:numPr>
        <w:pStyle w:val="Compact"/>
      </w:pPr>
      <w:r>
        <w:t xml:space="preserve">2017 · Anholm C ·</w:t>
      </w:r>
      <w:r>
        <w:t xml:space="preserve"> </w:t>
      </w:r>
      <w:r>
        <w:rPr>
          <w:iCs/>
          <w:i/>
        </w:rPr>
        <w:t xml:space="preserve">Diabetes Obes Metab</w:t>
      </w:r>
      <w:r>
        <w:t xml:space="preserve"> </w:t>
      </w:r>
      <w:r>
        <w:t xml:space="preserve">· Liraglutide effects on beta-cell, insulin sensitivity and glucose effectiveness in patients with stable coronary artery disease and newly diagnosed type 2 diabetes. PMID 28124822</w:t>
      </w:r>
    </w:p>
    <w:p>
      <w:pPr>
        <w:numPr>
          <w:ilvl w:val="0"/>
          <w:numId w:val="1377"/>
        </w:numPr>
        <w:pStyle w:val="Compact"/>
      </w:pPr>
      <w:r>
        <w:t xml:space="preserve">2017 · Harris SB ·</w:t>
      </w:r>
      <w:r>
        <w:t xml:space="preserve"> </w:t>
      </w:r>
      <w:r>
        <w:rPr>
          <w:iCs/>
          <w:i/>
        </w:rPr>
        <w:t xml:space="preserve">Diabetes Obes Metab</w:t>
      </w:r>
      <w:r>
        <w:t xml:space="preserve"> </w:t>
      </w:r>
      <w:r>
        <w:t xml:space="preserve">· Safety and efficacy of IDegLira titrated once weekly versus twice weekly in patients with type 2 diabetes uncontrolled on oral antidiabetic drugs: DUAL VI randomized clinical trial. PMID 28124817</w:t>
      </w:r>
    </w:p>
    <w:p>
      <w:pPr>
        <w:numPr>
          <w:ilvl w:val="0"/>
          <w:numId w:val="1377"/>
        </w:numPr>
        <w:pStyle w:val="Compact"/>
      </w:pPr>
      <w:r>
        <w:t xml:space="preserve">2017 · Iacobellis G ·</w:t>
      </w:r>
      <w:r>
        <w:t xml:space="preserve"> </w:t>
      </w:r>
      <w:r>
        <w:rPr>
          <w:iCs/>
          <w:i/>
        </w:rPr>
        <w:t xml:space="preserve">Obesity (Silver Spring)</w:t>
      </w:r>
      <w:r>
        <w:t xml:space="preserve"> </w:t>
      </w:r>
      <w:r>
        <w:t xml:space="preserve">· Liraglutide causes large and rapid epicardial fat reduction. PMID 28124506</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Effects of liraglutide on cardiovascular risk biomarkers in patients with type 2 diabetes and albuminuria: A sub-analysis of a randomized, placebo-controlled, double-blind, crossover trial. PMID 28105731</w:t>
      </w:r>
    </w:p>
    <w:p>
      <w:pPr>
        <w:numPr>
          <w:ilvl w:val="0"/>
          <w:numId w:val="1377"/>
        </w:numPr>
        <w:pStyle w:val="Compact"/>
      </w:pPr>
      <w:r>
        <w:t xml:space="preserve">2017 · Farmer AD ·</w:t>
      </w:r>
      <w:r>
        <w:t xml:space="preserve"> </w:t>
      </w:r>
      <w:r>
        <w:rPr>
          <w:iCs/>
          <w:i/>
        </w:rPr>
        <w:t xml:space="preserve">Diabetologia</w:t>
      </w:r>
      <w:r>
        <w:t xml:space="preserve"> </w:t>
      </w:r>
      <w:r>
        <w:t xml:space="preserve">· Type 1 diabetic patients with peripheral neuropathy have pan-enteric prolongation of gastrointestinal transit times and an altered caecal pH profile. PMID 28105520</w:t>
      </w:r>
    </w:p>
    <w:p>
      <w:pPr>
        <w:numPr>
          <w:ilvl w:val="0"/>
          <w:numId w:val="1377"/>
        </w:numPr>
        <w:pStyle w:val="Compact"/>
      </w:pPr>
      <w:r>
        <w:t xml:space="preserve">2017 · Smits MM ·</w:t>
      </w:r>
      <w:r>
        <w:t xml:space="preserve"> </w:t>
      </w:r>
      <w:r>
        <w:rPr>
          <w:iCs/>
          <w:i/>
        </w:rPr>
        <w:t xml:space="preserve">Diabetes Res Clin Pract</w:t>
      </w:r>
      <w:r>
        <w:t xml:space="preserve"> </w:t>
      </w:r>
      <w:r>
        <w:t xml:space="preserve">· The effects of GLP-1 based therapies on postprandial haemodynamics: Two randomised, placebo-controlled trials in overweight type 2 diabetes patients. PMID 28086201</w:t>
      </w:r>
    </w:p>
    <w:p>
      <w:pPr>
        <w:numPr>
          <w:ilvl w:val="0"/>
          <w:numId w:val="1377"/>
        </w:numPr>
        <w:pStyle w:val="Compact"/>
      </w:pPr>
      <w:r>
        <w:t xml:space="preserve">2017 · Horowitz M ·</w:t>
      </w:r>
      <w:r>
        <w:t xml:space="preserve"> </w:t>
      </w:r>
      <w:r>
        <w:rPr>
          <w:iCs/>
          <w:i/>
        </w:rPr>
        <w:t xml:space="preserve">Diabetes Obes Metab</w:t>
      </w:r>
      <w:r>
        <w:t xml:space="preserve"> </w:t>
      </w:r>
      <w:r>
        <w:t xml:space="preserve">· Upper and/or lower gastrointestinal adverse events with glucagon-like peptide-1 receptor agonists: Incidence and consequences. PMID 28058769</w:t>
      </w:r>
    </w:p>
    <w:p>
      <w:pPr>
        <w:numPr>
          <w:ilvl w:val="0"/>
          <w:numId w:val="1377"/>
        </w:numPr>
        <w:pStyle w:val="Compact"/>
      </w:pPr>
      <w:r>
        <w:t xml:space="preserve">2017 · Pastel E ·</w:t>
      </w:r>
      <w:r>
        <w:t xml:space="preserve"> </w:t>
      </w:r>
      <w:r>
        <w:rPr>
          <w:iCs/>
          <w:i/>
        </w:rPr>
        <w:t xml:space="preserve">Clin Sci (Lond)</w:t>
      </w:r>
      <w:r>
        <w:t xml:space="preserve"> </w:t>
      </w:r>
      <w:r>
        <w:t xml:space="preserve">· GLP-1 analogue-induced weight loss does not improve obesity-induced AT dysfunction. PMID 28049736</w:t>
      </w:r>
    </w:p>
    <w:p>
      <w:pPr>
        <w:numPr>
          <w:ilvl w:val="0"/>
          <w:numId w:val="1377"/>
        </w:numPr>
        <w:pStyle w:val="Compact"/>
      </w:pPr>
      <w:r>
        <w:t xml:space="preserve">2017 · Smits MM ·</w:t>
      </w:r>
      <w:r>
        <w:t xml:space="preserve"> </w:t>
      </w:r>
      <w:r>
        <w:rPr>
          <w:iCs/>
          <w:i/>
        </w:rPr>
        <w:t xml:space="preserve">Diabetes Care</w:t>
      </w:r>
      <w:r>
        <w:t xml:space="preserve"> </w:t>
      </w:r>
      <w:r>
        <w:t xml:space="preserve">· Pancreatic Effects of Liraglutide or Sitagliptin in Overweight Patients With Type 2 Diabetes: A 12-Week Randomized, Placebo-Controlled Trial. PMID 27998910</w:t>
      </w:r>
    </w:p>
    <w:p>
      <w:pPr>
        <w:numPr>
          <w:ilvl w:val="0"/>
          <w:numId w:val="1377"/>
        </w:numPr>
        <w:pStyle w:val="Compact"/>
      </w:pPr>
      <w:r>
        <w:t xml:space="preserve">2017 · Danne T ·</w:t>
      </w:r>
      <w:r>
        <w:t xml:space="preserve"> </w:t>
      </w:r>
      <w:r>
        <w:rPr>
          <w:iCs/>
          <w:i/>
        </w:rPr>
        <w:t xml:space="preserve">J Pediatr</w:t>
      </w:r>
      <w:r>
        <w:t xml:space="preserve"> </w:t>
      </w:r>
      <w:r>
        <w:t xml:space="preserve">· Liraglutide in an Adolescent Population with Obesity: A Randomized, Double-Blind, Placebo-Controlled 5-Week Trial to Assess Safety, Tolerability, and Pharmacokinetics of Liraglutide in Adolescents Aged 12-17 Years. PMID 27979579</w:t>
      </w:r>
    </w:p>
    <w:p>
      <w:pPr>
        <w:numPr>
          <w:ilvl w:val="0"/>
          <w:numId w:val="1377"/>
        </w:numPr>
        <w:pStyle w:val="Compact"/>
      </w:pPr>
      <w:r>
        <w:t xml:space="preserve">2017 · Dejgaard TF ·</w:t>
      </w:r>
      <w:r>
        <w:t xml:space="preserve"> </w:t>
      </w:r>
      <w:r>
        <w:rPr>
          <w:iCs/>
          <w:i/>
        </w:rPr>
        <w:t xml:space="preserve">Diabetes Obes Metab</w:t>
      </w:r>
      <w:r>
        <w:t xml:space="preserve"> </w:t>
      </w:r>
      <w:r>
        <w:t xml:space="preserve">· Effects of liraglutide on cardiovascular risk factors in patients with type 1 diabetes. PMID 27935240</w:t>
      </w:r>
    </w:p>
    <w:p>
      <w:pPr>
        <w:numPr>
          <w:ilvl w:val="0"/>
          <w:numId w:val="1377"/>
        </w:numPr>
        <w:pStyle w:val="Compact"/>
      </w:pPr>
      <w:r>
        <w:t xml:space="preserve">2017 · Bouchi R ·</w:t>
      </w:r>
      <w:r>
        <w:t xml:space="preserve"> </w:t>
      </w:r>
      <w:r>
        <w:rPr>
          <w:iCs/>
          <w:i/>
        </w:rPr>
        <w:t xml:space="preserve">Endocr J</w:t>
      </w:r>
      <w:r>
        <w:t xml:space="preserve"> </w:t>
      </w:r>
      <w:r>
        <w:t xml:space="preserve">· Reduction of visceral fat by liraglutide is associated with ameliorations of hepatic steatosis, albuminuria, and micro-inflammation in type 2 diabetic patients with insulin treatment: a randomized control trial. PMID 27916783</w:t>
      </w:r>
    </w:p>
    <w:p>
      <w:pPr>
        <w:numPr>
          <w:ilvl w:val="0"/>
          <w:numId w:val="1377"/>
        </w:numPr>
        <w:pStyle w:val="Compact"/>
      </w:pPr>
      <w:r>
        <w:t xml:space="preserve">2017 · Frandsen CS ·</w:t>
      </w:r>
      <w:r>
        <w:t xml:space="preserve"> </w:t>
      </w:r>
      <w:r>
        <w:rPr>
          <w:iCs/>
          <w:i/>
        </w:rPr>
        <w:t xml:space="preserve">Diabetes Obes Metab</w:t>
      </w:r>
      <w:r>
        <w:t xml:space="preserve"> </w:t>
      </w:r>
      <w:r>
        <w:t xml:space="preserve">· Liraglutide as adjunct to insulin treatment in type 1 diabetes does not interfere with glycaemic recovery or gastric emptying rate during hypoglycaemia: A randomized, placebo-controlled, double-blind, parallel-group study. PMID 27868372</w:t>
      </w:r>
    </w:p>
    <w:p>
      <w:pPr>
        <w:numPr>
          <w:ilvl w:val="0"/>
          <w:numId w:val="1377"/>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7"/>
        </w:numPr>
        <w:pStyle w:val="Compact"/>
      </w:pPr>
      <w:r>
        <w:t xml:space="preserve">2017 · Arturi F ·</w:t>
      </w:r>
      <w:r>
        <w:t xml:space="preserve"> </w:t>
      </w:r>
      <w:r>
        <w:rPr>
          <w:iCs/>
          <w:i/>
        </w:rPr>
        <w:t xml:space="preserve">Endocrine</w:t>
      </w:r>
      <w:r>
        <w:t xml:space="preserve"> </w:t>
      </w:r>
      <w:r>
        <w:t xml:space="preserve">· Liraglutide improves cardiac function in patients with type 2 diabetes and chronic heart failure. PMID 27830456</w:t>
      </w:r>
    </w:p>
    <w:p>
      <w:pPr>
        <w:numPr>
          <w:ilvl w:val="0"/>
          <w:numId w:val="1377"/>
        </w:numPr>
        <w:pStyle w:val="Compact"/>
      </w:pPr>
      <w:r>
        <w:t xml:space="preserve">2017 · Yabe D ·</w:t>
      </w:r>
      <w:r>
        <w:t xml:space="preserve"> </w:t>
      </w:r>
      <w:r>
        <w:rPr>
          <w:iCs/>
          <w:i/>
        </w:rPr>
        <w:t xml:space="preserve">Diabetes Obes Metab</w:t>
      </w:r>
      <w:r>
        <w:t xml:space="preserve"> </w:t>
      </w:r>
      <w:r>
        <w:t xml:space="preserve">· Effects of DPP-4 inhibitor linagliptin and GLP-1 receptor agonist liraglutide on physiological response to hypoglycaemia in Japanese subjects with type 2 diabetes: A randomized, open-label, 2-arm parallel comparative, exploratory trial. PMID 27800649</w:t>
      </w:r>
    </w:p>
    <w:p>
      <w:pPr>
        <w:numPr>
          <w:ilvl w:val="0"/>
          <w:numId w:val="1377"/>
        </w:numPr>
        <w:pStyle w:val="Compact"/>
      </w:pPr>
      <w:r>
        <w:t xml:space="preserve">2017 · Kumarathurai P ·</w:t>
      </w:r>
      <w:r>
        <w:t xml:space="preserve"> </w:t>
      </w:r>
      <w:r>
        <w:rPr>
          <w:iCs/>
          <w:i/>
        </w:rPr>
        <w:t xml:space="preserve">Diabetes Care</w:t>
      </w:r>
      <w:r>
        <w:t xml:space="preserve"> </w:t>
      </w:r>
      <w:r>
        <w:t xml:space="preserve">· Effects of Liraglutide on Heart Rate and Heart Rate Variability: A Randomized, Double-Blind, Placebo-Controlled Crossover Study. PMID 27797930</w:t>
      </w:r>
    </w:p>
    <w:p>
      <w:pPr>
        <w:numPr>
          <w:ilvl w:val="0"/>
          <w:numId w:val="1377"/>
        </w:numPr>
        <w:pStyle w:val="Compact"/>
      </w:pPr>
      <w:r>
        <w:t xml:space="preserve">2017 · Jorsal A ·</w:t>
      </w:r>
      <w:r>
        <w:t xml:space="preserve"> </w:t>
      </w:r>
      <w:r>
        <w:rPr>
          <w:iCs/>
          <w:i/>
        </w:rPr>
        <w:t xml:space="preserve">Eur J Heart Fail</w:t>
      </w:r>
      <w:r>
        <w:t xml:space="preserve"> </w:t>
      </w:r>
      <w:r>
        <w:t xml:space="preserve">· Effect of liraglutide, a glucagon-like peptide-1 analogue, on left ventricular function in stable chronic heart failure patients with and without diabetes (LIVE)-a multicentre, double-blind, randomised, placebo-controlled trial. PMID 27790809</w:t>
      </w:r>
    </w:p>
    <w:p>
      <w:pPr>
        <w:numPr>
          <w:ilvl w:val="0"/>
          <w:numId w:val="1377"/>
        </w:numPr>
        <w:pStyle w:val="Compact"/>
      </w:pPr>
      <w:r>
        <w:t xml:space="preserve">2017 · Smits MM ·</w:t>
      </w:r>
      <w:r>
        <w:t xml:space="preserve"> </w:t>
      </w:r>
      <w:r>
        <w:rPr>
          <w:iCs/>
          <w:i/>
        </w:rPr>
        <w:t xml:space="preserve">Eur J Endocrinol</w:t>
      </w:r>
      <w:r>
        <w:t xml:space="preserve"> </w:t>
      </w:r>
      <w:r>
        <w:t xml:space="preserve">· Heart rate acceleration with GLP-1 receptor agonists in type 2 diabetes patients: an acute and 12-week randomised, double-blind, placebo-controlled trial. PMID 27777261</w:t>
      </w:r>
    </w:p>
    <w:p>
      <w:pPr>
        <w:numPr>
          <w:ilvl w:val="0"/>
          <w:numId w:val="1377"/>
        </w:numPr>
        <w:pStyle w:val="Compact"/>
      </w:pPr>
      <w:r>
        <w:t xml:space="preserve">2017 · Zobel EH ·</w:t>
      </w:r>
      <w:r>
        <w:t xml:space="preserve"> </w:t>
      </w:r>
      <w:r>
        <w:rPr>
          <w:iCs/>
          <w:i/>
        </w:rPr>
        <w:t xml:space="preserve">J Diabetes Complications</w:t>
      </w:r>
      <w:r>
        <w:t xml:space="preserve"> </w:t>
      </w:r>
      <w:r>
        <w:t xml:space="preserve">· Pleiotropic effects of liraglutide treatment on renal risk factors in type 2 diabetes: Individual effects of treatment. PMID 27769801</w:t>
      </w:r>
    </w:p>
    <w:p>
      <w:pPr>
        <w:numPr>
          <w:ilvl w:val="0"/>
          <w:numId w:val="1377"/>
        </w:numPr>
        <w:pStyle w:val="Compact"/>
      </w:pPr>
      <w:r>
        <w:t xml:space="preserve">2017 · von Scholten BJ ·</w:t>
      </w:r>
      <w:r>
        <w:t xml:space="preserve"> </w:t>
      </w:r>
      <w:r>
        <w:rPr>
          <w:iCs/>
          <w:i/>
        </w:rPr>
        <w:t xml:space="preserve">Diabetes Obes Metab</w:t>
      </w:r>
      <w:r>
        <w:t xml:space="preserve"> </w:t>
      </w:r>
      <w:r>
        <w:t xml:space="preserve">· The effect of liraglutide on renal function: A randomized clinical trial. PMID 27753201</w:t>
      </w:r>
    </w:p>
    <w:p>
      <w:pPr>
        <w:numPr>
          <w:ilvl w:val="0"/>
          <w:numId w:val="1377"/>
        </w:numPr>
        <w:pStyle w:val="Compact"/>
      </w:pPr>
      <w:r>
        <w:t xml:space="preserve">2017 · Petit JM ·</w:t>
      </w:r>
      <w:r>
        <w:t xml:space="preserve"> </w:t>
      </w:r>
      <w:r>
        <w:rPr>
          <w:iCs/>
          <w:i/>
        </w:rPr>
        <w:t xml:space="preserve">J Clin Endocrinol Metab</w:t>
      </w:r>
      <w:r>
        <w:t xml:space="preserve"> </w:t>
      </w:r>
      <w:r>
        <w:t xml:space="preserve">· Effect of Liraglutide Therapy on Liver Fat Content in Patients With Inadequately Controlled Type 2 Diabetes: The Lira-NAFLD Study. PMID 27732328</w:t>
      </w:r>
    </w:p>
    <w:p>
      <w:pPr>
        <w:numPr>
          <w:ilvl w:val="0"/>
          <w:numId w:val="1377"/>
        </w:numPr>
        <w:pStyle w:val="Compact"/>
      </w:pPr>
      <w:r>
        <w:t xml:space="preserve">2017 · Mensberg P ·</w:t>
      </w:r>
      <w:r>
        <w:t xml:space="preserve"> </w:t>
      </w:r>
      <w:r>
        <w:rPr>
          <w:iCs/>
          <w:i/>
        </w:rPr>
        <w:t xml:space="preserve">Diabetes Obes Metab</w:t>
      </w:r>
      <w:r>
        <w:t xml:space="preserve"> </w:t>
      </w:r>
      <w:r>
        <w:t xml:space="preserve">· Near-normalization of glycaemic control with glucagon-like peptide-1 receptor agonist treatment combined with exercise in patients with type 2 diabetes. PMID 27717126</w:t>
      </w:r>
    </w:p>
    <w:p>
      <w:pPr>
        <w:numPr>
          <w:ilvl w:val="0"/>
          <w:numId w:val="1377"/>
        </w:numPr>
        <w:pStyle w:val="Compact"/>
      </w:pPr>
      <w:r>
        <w:t xml:space="preserve">2017 · Nauck MA ·</w:t>
      </w:r>
      <w:r>
        <w:t xml:space="preserve"> </w:t>
      </w:r>
      <w:r>
        <w:rPr>
          <w:iCs/>
          <w:i/>
        </w:rPr>
        <w:t xml:space="preserve">Diabetes Obes Metab</w:t>
      </w:r>
      <w:r>
        <w:t xml:space="preserve"> </w:t>
      </w:r>
      <w:r>
        <w:t xml:space="preserve">· Addition of a dipeptidyl peptidase-4 inhibitor, sitagliptin, to ongoing therapy with the glucagon-like peptide-1 receptor agonist liraglutide: A randomized controlled trial in patients with type 2 diabetes. PMID 27709794</w:t>
      </w:r>
    </w:p>
    <w:p>
      <w:pPr>
        <w:numPr>
          <w:ilvl w:val="0"/>
          <w:numId w:val="1377"/>
        </w:numPr>
        <w:pStyle w:val="Compact"/>
      </w:pPr>
      <w:r>
        <w:t xml:space="preserve">2017 · Rodbard HW ·</w:t>
      </w:r>
      <w:r>
        <w:t xml:space="preserve"> </w:t>
      </w:r>
      <w:r>
        <w:rPr>
          <w:iCs/>
          <w:i/>
        </w:rPr>
        <w:t xml:space="preserve">Diabet Med</w:t>
      </w:r>
      <w:r>
        <w:t xml:space="preserve"> </w:t>
      </w:r>
      <w:r>
        <w:t xml:space="preserve">· Safety and efficacy of insulin degludec/liraglutide (IDegLira) added to sulphonylurea alone or to sulphonylurea and metformin in insulin-naïve people with Type 2 diabetes: the DUAL IV trial. PMID 27589252</w:t>
      </w:r>
    </w:p>
    <w:p>
      <w:pPr>
        <w:numPr>
          <w:ilvl w:val="0"/>
          <w:numId w:val="1377"/>
        </w:numPr>
        <w:pStyle w:val="Compact"/>
      </w:pPr>
      <w:r>
        <w:t xml:space="preserve">2017 · Sedman T ·</w:t>
      </w:r>
      <w:r>
        <w:t xml:space="preserve"> </w:t>
      </w:r>
      <w:r>
        <w:rPr>
          <w:iCs/>
          <w:i/>
        </w:rPr>
        <w:t xml:space="preserve">Horm Metab Res</w:t>
      </w:r>
      <w:r>
        <w:t xml:space="preserve"> </w:t>
      </w:r>
      <w:r>
        <w:t xml:space="preserve">· Liraglutide Treatment May Affect Renin and Aldosterone Release. PMID 27300475</w:t>
      </w:r>
    </w:p>
    <w:p>
      <w:pPr>
        <w:numPr>
          <w:ilvl w:val="0"/>
          <w:numId w:val="1377"/>
        </w:numPr>
        <w:pStyle w:val="Compact"/>
      </w:pPr>
      <w:r>
        <w:t xml:space="preserve">2016 · Jones B ·</w:t>
      </w:r>
      <w:r>
        <w:t xml:space="preserve"> </w:t>
      </w:r>
      <w:r>
        <w:rPr>
          <w:iCs/>
          <w:i/>
        </w:rPr>
        <w:t xml:space="preserve">Ann Clin Biochem</w:t>
      </w:r>
      <w:r>
        <w:t xml:space="preserve"> </w:t>
      </w:r>
      <w:r>
        <w:t xml:space="preserve">· Liraglutide and cardiovascular outcomes in type 2 diabetes. PMID 28071177</w:t>
      </w:r>
    </w:p>
    <w:p>
      <w:pPr>
        <w:numPr>
          <w:ilvl w:val="0"/>
          <w:numId w:val="1377"/>
        </w:numPr>
        <w:pStyle w:val="Compact"/>
      </w:pPr>
      <w:r>
        <w:t xml:space="preserve">2016 · Chen WR ·</w:t>
      </w:r>
      <w:r>
        <w:t xml:space="preserve"> </w:t>
      </w:r>
      <w:r>
        <w:rPr>
          <w:iCs/>
          <w:i/>
        </w:rPr>
        <w:t xml:space="preserve">Circ Cardiovasc Imaging</w:t>
      </w:r>
      <w:r>
        <w:t xml:space="preserve"> </w:t>
      </w:r>
      <w:r>
        <w:t xml:space="preserve">· Effects of Liraglutide on Reperfusion Injury in Patients With ST-Segment-Elevation Myocardial Infarction. PMID 27940956</w:t>
      </w:r>
    </w:p>
    <w:p>
      <w:pPr>
        <w:numPr>
          <w:ilvl w:val="0"/>
          <w:numId w:val="1377"/>
        </w:numPr>
        <w:pStyle w:val="Compact"/>
      </w:pPr>
      <w:r>
        <w:t xml:space="preserve">2016 · Rizzo M ·</w:t>
      </w:r>
      <w:r>
        <w:t xml:space="preserve"> </w:t>
      </w:r>
      <w:r>
        <w:rPr>
          <w:iCs/>
          <w:i/>
        </w:rPr>
        <w:t xml:space="preserve">Cardiovasc Diabetol</w:t>
      </w:r>
      <w:r>
        <w:t xml:space="preserve"> </w:t>
      </w:r>
      <w:r>
        <w:t xml:space="preserve">· Liraglutide improves metabolic parameters and carotid intima-media thickness in diabetic patients with the metabolic syndrome: an 18-month prospective study. PMID 27912784</w:t>
      </w:r>
    </w:p>
    <w:p>
      <w:pPr>
        <w:numPr>
          <w:ilvl w:val="0"/>
          <w:numId w:val="1377"/>
        </w:numPr>
        <w:pStyle w:val="Compact"/>
      </w:pPr>
      <w:r>
        <w:t xml:space="preserve">2016 · Fujioka K ·</w:t>
      </w:r>
      <w:r>
        <w:t xml:space="preserve"> </w:t>
      </w:r>
      <w:r>
        <w:rPr>
          <w:iCs/>
          <w:i/>
        </w:rPr>
        <w:t xml:space="preserve">Obesity (Silver Spring)</w:t>
      </w:r>
      <w:r>
        <w:t xml:space="preserve"> </w:t>
      </w:r>
      <w:r>
        <w:t xml:space="preserve">· Early Weight Loss with Liraglutide 3.0 mg Predicts 1-Year Weight Loss and is Associated with Improvements in Clinical Markers. PMID 27804269</w:t>
      </w:r>
    </w:p>
    <w:p>
      <w:pPr>
        <w:numPr>
          <w:ilvl w:val="0"/>
          <w:numId w:val="1377"/>
        </w:numPr>
        <w:pStyle w:val="Compact"/>
      </w:pPr>
      <w:r>
        <w:t xml:space="preserve">2016 · Smits MM ·</w:t>
      </w:r>
      <w:r>
        <w:t xml:space="preserve"> </w:t>
      </w:r>
      <w:r>
        <w:rPr>
          <w:iCs/>
          <w:i/>
        </w:rPr>
        <w:t xml:space="preserve">Diabetologia</w:t>
      </w:r>
      <w:r>
        <w:t xml:space="preserve"> </w:t>
      </w:r>
      <w:r>
        <w:t xml:space="preserve">· Twelve week liraglutide or sitagliptin does not affect hepatic fat in type 2 diabetes: a randomised placebo-controlled trial. PMID 27627981</w:t>
      </w:r>
    </w:p>
    <w:p>
      <w:pPr>
        <w:numPr>
          <w:ilvl w:val="0"/>
          <w:numId w:val="1377"/>
        </w:numPr>
        <w:pStyle w:val="Compact"/>
      </w:pPr>
      <w:r>
        <w:t xml:space="preserve">2016 · Tonneijck L ·</w:t>
      </w:r>
      <w:r>
        <w:t xml:space="preserve"> </w:t>
      </w:r>
      <w:r>
        <w:rPr>
          <w:iCs/>
          <w:i/>
        </w:rPr>
        <w:t xml:space="preserve">Diabetes Care</w:t>
      </w:r>
      <w:r>
        <w:t xml:space="preserve"> </w:t>
      </w:r>
      <w:r>
        <w:t xml:space="preserve">· Renal Effects of DPP-4 Inhibitor Sitagliptin or GLP-1 Receptor Agonist Liraglutide in Overweight Patients With Type 2 Diabetes: A 12-Week, Randomized, Double-Blind, Placebo-Controlled Trial. PMID 27585605</w:t>
      </w:r>
    </w:p>
    <w:p>
      <w:pPr>
        <w:numPr>
          <w:ilvl w:val="0"/>
          <w:numId w:val="1377"/>
        </w:numPr>
        <w:pStyle w:val="Compact"/>
      </w:pPr>
      <w:r>
        <w:t xml:space="preserve">2016 · Smits MM ·</w:t>
      </w:r>
      <w:r>
        <w:t xml:space="preserve"> </w:t>
      </w:r>
      <w:r>
        <w:rPr>
          <w:iCs/>
          <w:i/>
        </w:rPr>
        <w:t xml:space="preserve">Arterioscler Thromb Vasc Biol</w:t>
      </w:r>
      <w:r>
        <w:t xml:space="preserve"> </w:t>
      </w:r>
      <w:r>
        <w:t xml:space="preserve">· GLP-1-Based Therapies Have No Microvascular Effects in Type 2 Diabetes Mellitus: An Acute and 12-Week Randomized, Double-Blind, Placebo-Controlled Trial. PMID 27562916</w:t>
      </w:r>
    </w:p>
    <w:p>
      <w:pPr>
        <w:numPr>
          <w:ilvl w:val="0"/>
          <w:numId w:val="1377"/>
        </w:numPr>
        <w:pStyle w:val="Compact"/>
      </w:pPr>
      <w:r>
        <w:t xml:space="preserve">2016 · Mathieu C ·</w:t>
      </w:r>
      <w:r>
        <w:t xml:space="preserve"> </w:t>
      </w:r>
      <w:r>
        <w:rPr>
          <w:iCs/>
          <w:i/>
        </w:rPr>
        <w:t xml:space="preserve">Diabetes Care</w:t>
      </w:r>
      <w:r>
        <w:t xml:space="preserve"> </w:t>
      </w:r>
      <w:r>
        <w:t xml:space="preserve">· Efficacy and Safety of Liraglutide Added to Insulin Treatment in Type 1 Diabetes: The ADJUNCT ONE Treat-To-Target Randomized Trial. PMID 27506222</w:t>
      </w:r>
    </w:p>
    <w:p>
      <w:pPr>
        <w:numPr>
          <w:ilvl w:val="0"/>
          <w:numId w:val="1377"/>
        </w:numPr>
        <w:pStyle w:val="Compact"/>
      </w:pPr>
      <w:r>
        <w:t xml:space="preserve">2016 · Ahrén B ·</w:t>
      </w:r>
      <w:r>
        <w:t xml:space="preserve"> </w:t>
      </w:r>
      <w:r>
        <w:rPr>
          <w:iCs/>
          <w:i/>
        </w:rPr>
        <w:t xml:space="preserve">Diabetes Care</w:t>
      </w:r>
      <w:r>
        <w:t xml:space="preserve"> </w:t>
      </w:r>
      <w:r>
        <w:t xml:space="preserve">· Efficacy and Safety of Liraglutide Added to Capped Insulin Treatment in Subjects With Type 1 Diabetes: The ADJUNCT TWO Randomized Trial. PMID 27493132</w:t>
      </w:r>
    </w:p>
    <w:p>
      <w:pPr>
        <w:numPr>
          <w:ilvl w:val="0"/>
          <w:numId w:val="1377"/>
        </w:numPr>
        <w:pStyle w:val="Compact"/>
      </w:pPr>
      <w:r>
        <w:t xml:space="preserve">2016 · Kuhadiya ND ·</w:t>
      </w:r>
      <w:r>
        <w:t xml:space="preserve"> </w:t>
      </w:r>
      <w:r>
        <w:rPr>
          <w:iCs/>
          <w:i/>
        </w:rPr>
        <w:t xml:space="preserve">J Clin Endocrinol Metab</w:t>
      </w:r>
      <w:r>
        <w:t xml:space="preserve"> </w:t>
      </w:r>
      <w:r>
        <w:t xml:space="preserve">· Dapagliflozin as Additional Treatment to Liraglutide and Insulin in Patients With Type 1 Diabetes. PMID 27490915</w:t>
      </w:r>
    </w:p>
    <w:p>
      <w:pPr>
        <w:numPr>
          <w:ilvl w:val="0"/>
          <w:numId w:val="1377"/>
        </w:numPr>
        <w:pStyle w:val="Compact"/>
      </w:pPr>
      <w:r>
        <w:t xml:space="preserve">2016 · Margulies KB ·</w:t>
      </w:r>
      <w:r>
        <w:t xml:space="preserve"> </w:t>
      </w:r>
      <w:r>
        <w:rPr>
          <w:iCs/>
          <w:i/>
        </w:rPr>
        <w:t xml:space="preserve">JAMA</w:t>
      </w:r>
      <w:r>
        <w:t xml:space="preserve"> </w:t>
      </w:r>
      <w:r>
        <w:t xml:space="preserve">· Effects of Liraglutide on Clinical Stability Among Patients With Advanced Heart Failure and Reduced Ejection Fraction: A Randomized Clinical Trial. PMID 27483064</w:t>
      </w:r>
    </w:p>
    <w:p>
      <w:pPr>
        <w:numPr>
          <w:ilvl w:val="0"/>
          <w:numId w:val="1377"/>
        </w:numPr>
        <w:pStyle w:val="Compact"/>
      </w:pPr>
      <w:r>
        <w:t xml:space="preserve">2016 · O’Neil PM ·</w:t>
      </w:r>
      <w:r>
        <w:t xml:space="preserve"> </w:t>
      </w:r>
      <w:r>
        <w:rPr>
          <w:iCs/>
          <w:i/>
        </w:rPr>
        <w:t xml:space="preserve">Endocr Pract</w:t>
      </w:r>
      <w:r>
        <w:t xml:space="preserve"> </w:t>
      </w:r>
      <w:r>
        <w:t xml:space="preserve">· EFFECTS OF LIRAGLUTIDE 3.0 MG ON WEIGHT AND RISK FACTORS IN HISPANIC VERSUS NON-HIPANIC POPULATIONS: SUBGROUP ANALYSIS FROM SCALE RANDOMIZED TRIALS. PMID 27482610</w:t>
      </w:r>
    </w:p>
    <w:p>
      <w:pPr>
        <w:numPr>
          <w:ilvl w:val="0"/>
          <w:numId w:val="1377"/>
        </w:numPr>
        <w:pStyle w:val="Compact"/>
      </w:pPr>
      <w:r>
        <w:t xml:space="preserve">2016 · Kumarathurai P ·</w:t>
      </w:r>
      <w:r>
        <w:t xml:space="preserve"> </w:t>
      </w:r>
      <w:r>
        <w:rPr>
          <w:iCs/>
          <w:i/>
        </w:rPr>
        <w:t xml:space="preserve">Cardiovasc Diabetol</w:t>
      </w:r>
      <w:r>
        <w:t xml:space="preserve"> </w:t>
      </w:r>
      <w:r>
        <w:t xml:space="preserve">· Effects of the glucagon-like peptide-1 receptor agonist liraglutide on systolic function in patients with coronary artery disease and type 2 diabetes: a randomized double-blind placebo-controlled crossover study. PMID 27455835</w:t>
      </w:r>
    </w:p>
    <w:p>
      <w:pPr>
        <w:numPr>
          <w:ilvl w:val="0"/>
          <w:numId w:val="1377"/>
        </w:numPr>
        <w:pStyle w:val="Compact"/>
      </w:pPr>
      <w:r>
        <w:t xml:space="preserve">2016 · Smits MM ·</w:t>
      </w:r>
      <w:r>
        <w:t xml:space="preserve"> </w:t>
      </w:r>
      <w:r>
        <w:rPr>
          <w:iCs/>
          <w:i/>
        </w:rPr>
        <w:t xml:space="preserve">Diabetes Obes Metab</w:t>
      </w:r>
      <w:r>
        <w:t xml:space="preserve"> </w:t>
      </w:r>
      <w:r>
        <w:t xml:space="preserve">· Biliary effects of liraglutide and sitagliptin, a 12-week randomized placebo-controlled trial in type 2 diabetes patients. PMID 27451030</w:t>
      </w:r>
    </w:p>
    <w:p>
      <w:pPr>
        <w:numPr>
          <w:ilvl w:val="0"/>
          <w:numId w:val="1377"/>
        </w:numPr>
        <w:pStyle w:val="Compact"/>
      </w:pPr>
      <w:r>
        <w:t xml:space="preserve">2016 · Htike ZZ ·</w:t>
      </w:r>
      <w:r>
        <w:t xml:space="preserve"> </w:t>
      </w:r>
      <w:r>
        <w:rPr>
          <w:iCs/>
          <w:i/>
        </w:rPr>
        <w:t xml:space="preserve">Cardiovasc Diabetol</w:t>
      </w:r>
      <w:r>
        <w:t xml:space="preserve"> </w:t>
      </w:r>
      <w:r>
        <w:t xml:space="preserve">· Rationale and design of the randomised controlled trial to assess the impact of liraglutide on cardiac function and structure in young adults with type 2 diabetes (the LYDIA study). PMID 27440110</w:t>
      </w:r>
    </w:p>
    <w:p>
      <w:pPr>
        <w:numPr>
          <w:ilvl w:val="0"/>
          <w:numId w:val="1377"/>
        </w:numPr>
        <w:pStyle w:val="Compact"/>
      </w:pPr>
      <w:r>
        <w:t xml:space="preserve">2016 · Bailey TS ·</w:t>
      </w:r>
      <w:r>
        <w:t xml:space="preserve"> </w:t>
      </w:r>
      <w:r>
        <w:rPr>
          <w:iCs/>
          <w:i/>
        </w:rPr>
        <w:t xml:space="preserve">Diabetes Obes Metab</w:t>
      </w:r>
      <w:r>
        <w:t xml:space="preserve"> </w:t>
      </w:r>
      <w:r>
        <w:t xml:space="preserve">· Efficacy and safety of switching from sitagliptin to liraglutide in subjects with type 2 diabetes (LIRA-SWITCH): a randomized, double-blind, double-dummy, active-controlled 26-week trial. PMID 27381275</w:t>
      </w:r>
    </w:p>
    <w:p>
      <w:pPr>
        <w:numPr>
          <w:ilvl w:val="0"/>
          <w:numId w:val="1377"/>
        </w:numPr>
        <w:pStyle w:val="Compact"/>
      </w:pPr>
      <w:r>
        <w:t xml:space="preserve">2016 · Azar ST ·</w:t>
      </w:r>
      <w:r>
        <w:t xml:space="preserve"> </w:t>
      </w:r>
      <w:r>
        <w:rPr>
          <w:iCs/>
          <w:i/>
        </w:rPr>
        <w:t xml:space="preserve">Diabetes Obes Metab</w:t>
      </w:r>
      <w:r>
        <w:t xml:space="preserve"> </w:t>
      </w:r>
      <w:r>
        <w:t xml:space="preserve">· Efficacy and safety of liraglutide compared to sulphonylurea during Ramadan in patients with type 2 diabetes (LIRA-Ramadan): a randomized trial. PMID 27376711</w:t>
      </w:r>
    </w:p>
    <w:p>
      <w:pPr>
        <w:numPr>
          <w:ilvl w:val="0"/>
          <w:numId w:val="1377"/>
        </w:numPr>
        <w:pStyle w:val="Compact"/>
      </w:pPr>
      <w:r>
        <w:t xml:space="preserve">2016 · Nauck M ·</w:t>
      </w:r>
      <w:r>
        <w:t xml:space="preserve"> </w:t>
      </w:r>
      <w:r>
        <w:rPr>
          <w:iCs/>
          <w:i/>
        </w:rPr>
        <w:t xml:space="preserve">Diabetes Care</w:t>
      </w:r>
      <w:r>
        <w:t xml:space="preserve"> </w:t>
      </w:r>
      <w:r>
        <w:t xml:space="preserve">· Once-Daily Liraglutide Versus Lixisenatide as Add-on to Metformin in Type 2 Diabetes: A 26-Week Randomized Controlled Clinical Trial. PMID 27311491</w:t>
      </w:r>
    </w:p>
    <w:p>
      <w:pPr>
        <w:numPr>
          <w:ilvl w:val="0"/>
          <w:numId w:val="1377"/>
        </w:numPr>
        <w:pStyle w:val="Compact"/>
      </w:pPr>
      <w:r>
        <w:t xml:space="preserve">2016 · Marso SP ·</w:t>
      </w:r>
      <w:r>
        <w:t xml:space="preserve"> </w:t>
      </w:r>
      <w:r>
        <w:rPr>
          <w:iCs/>
          <w:i/>
        </w:rPr>
        <w:t xml:space="preserve">N Engl J Med</w:t>
      </w:r>
      <w:r>
        <w:t xml:space="preserve"> </w:t>
      </w:r>
      <w:r>
        <w:t xml:space="preserve">· Liraglutide and Cardiovascular Outcomes in Type 2 Diabetes. PMID 27295427</w:t>
      </w:r>
    </w:p>
    <w:p>
      <w:pPr>
        <w:numPr>
          <w:ilvl w:val="0"/>
          <w:numId w:val="1377"/>
        </w:numPr>
        <w:pStyle w:val="Compact"/>
      </w:pPr>
      <w:r>
        <w:t xml:space="preserve">2016 · Farr OM ·</w:t>
      </w:r>
      <w:r>
        <w:t xml:space="preserve"> </w:t>
      </w:r>
      <w:r>
        <w:rPr>
          <w:iCs/>
          <w:i/>
        </w:rPr>
        <w:t xml:space="preserve">Metabolism</w:t>
      </w:r>
      <w:r>
        <w:t xml:space="preserve"> </w:t>
      </w:r>
      <w:r>
        <w:t xml:space="preserve">· Short-term administration of the GLP-1 analog liraglutide decreases circulating leptin and increases GIP levels and these changes are associated with alterations in CNS responses to food cues: A randomized, placebo-controlled, crossover study. PMID 27282865</w:t>
      </w:r>
    </w:p>
    <w:p>
      <w:pPr>
        <w:numPr>
          <w:ilvl w:val="0"/>
          <w:numId w:val="1377"/>
        </w:numPr>
        <w:pStyle w:val="Compact"/>
      </w:pPr>
      <w:r>
        <w:t xml:space="preserve">2016 · Mader JK ·</w:t>
      </w:r>
      <w:r>
        <w:t xml:space="preserve"> </w:t>
      </w:r>
      <w:r>
        <w:rPr>
          <w:iCs/>
          <w:i/>
        </w:rPr>
        <w:t xml:space="preserve">Clin Pharmacokinet</w:t>
      </w:r>
      <w:r>
        <w:t xml:space="preserve"> </w:t>
      </w:r>
      <w:r>
        <w:t xml:space="preserve">· Pharmacokinetic Properties of Liraglutide as Adjunct to Insulin in Subjects with Type 1 Diabetes Mellitus. PMID 27282158</w:t>
      </w:r>
    </w:p>
    <w:p>
      <w:pPr>
        <w:numPr>
          <w:ilvl w:val="0"/>
          <w:numId w:val="1377"/>
        </w:numPr>
        <w:pStyle w:val="Compact"/>
      </w:pPr>
      <w:r>
        <w:t xml:space="preserve">2016 · Vanderheiden A ·</w:t>
      </w:r>
      <w:r>
        <w:t xml:space="preserve"> </w:t>
      </w:r>
      <w:r>
        <w:rPr>
          <w:iCs/>
          <w:i/>
        </w:rPr>
        <w:t xml:space="preserve">JAMA Intern Med</w:t>
      </w:r>
      <w:r>
        <w:t xml:space="preserve"> </w:t>
      </w:r>
      <w:r>
        <w:t xml:space="preserve">· Effect of Adding Liraglutide vs Placebo to a High-Dose lnsulin Regimen in Patients With Type 2 Diabetes: A Randomized Clinical Trial. PMID 27273731</w:t>
      </w:r>
    </w:p>
    <w:p>
      <w:pPr>
        <w:numPr>
          <w:ilvl w:val="0"/>
          <w:numId w:val="1377"/>
        </w:numPr>
        <w:pStyle w:val="Compact"/>
      </w:pPr>
      <w:r>
        <w:t xml:space="preserve">2016 · Kuhadiya ND ·</w:t>
      </w:r>
      <w:r>
        <w:t xml:space="preserve"> </w:t>
      </w:r>
      <w:r>
        <w:rPr>
          <w:iCs/>
          <w:i/>
        </w:rPr>
        <w:t xml:space="preserve">Diabetes Care</w:t>
      </w:r>
      <w:r>
        <w:t xml:space="preserve"> </w:t>
      </w:r>
      <w:r>
        <w:t xml:space="preserve">· Addition of Liraglutide to Insulin in Patients With Type 1 Diabetes: A Randomized Placebo-Controlled Clinical Trial of 12 Weeks. PMID 27208343</w:t>
      </w:r>
    </w:p>
    <w:p>
      <w:pPr>
        <w:numPr>
          <w:ilvl w:val="0"/>
          <w:numId w:val="137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77"/>
        </w:numPr>
        <w:pStyle w:val="Compact"/>
      </w:pPr>
      <w:r>
        <w:t xml:space="preserve">2016 · Kolotkin RL ·</w:t>
      </w:r>
      <w:r>
        <w:t xml:space="preserve"> </w:t>
      </w:r>
      <w:r>
        <w:rPr>
          <w:iCs/>
          <w:i/>
        </w:rPr>
        <w:t xml:space="preserve">Clin Obes</w:t>
      </w:r>
      <w:r>
        <w:t xml:space="preserve"> </w:t>
      </w:r>
      <w:r>
        <w:t xml:space="preserve">· Improvements in health-related quality of life with liraglutide 3.0 mg compared with placebo in weight management. PMID 27198973</w:t>
      </w:r>
    </w:p>
    <w:p>
      <w:pPr>
        <w:numPr>
          <w:ilvl w:val="0"/>
          <w:numId w:val="1377"/>
        </w:numPr>
        <w:pStyle w:val="Compact"/>
      </w:pPr>
      <w:r>
        <w:t xml:space="preserve">2016 · Overgaard RV ·</w:t>
      </w:r>
      <w:r>
        <w:t xml:space="preserve"> </w:t>
      </w:r>
      <w:r>
        <w:rPr>
          <w:iCs/>
          <w:i/>
        </w:rPr>
        <w:t xml:space="preserve">Clin Pharmacokinet</w:t>
      </w:r>
      <w:r>
        <w:t xml:space="preserve"> </w:t>
      </w:r>
      <w:r>
        <w:t xml:space="preserve">· Liraglutide 3.0 mg for Weight Management: A Population Pharmacokinetic Analysis. PMID 27193270</w:t>
      </w:r>
    </w:p>
    <w:p>
      <w:pPr>
        <w:numPr>
          <w:ilvl w:val="0"/>
          <w:numId w:val="1377"/>
        </w:numPr>
        <w:pStyle w:val="Compact"/>
      </w:pPr>
      <w:r>
        <w:t xml:space="preserve">2016 · Ilkowitz JT ·</w:t>
      </w:r>
      <w:r>
        <w:t xml:space="preserve"> </w:t>
      </w:r>
      <w:r>
        <w:rPr>
          <w:iCs/>
          <w:i/>
        </w:rPr>
        <w:t xml:space="preserve">J Diabetes Sci Technol</w:t>
      </w:r>
      <w:r>
        <w:t xml:space="preserve"> </w:t>
      </w:r>
      <w:r>
        <w:t xml:space="preserve">· Adjuvant Liraglutide and Insulin Versus Insulin Monotherapy in the Closed-Loop System in Type 1 Diabetes: A Randomized Open-Labeled Crossover Design Trial. PMID 27184690</w:t>
      </w:r>
    </w:p>
    <w:p>
      <w:pPr>
        <w:numPr>
          <w:ilvl w:val="0"/>
          <w:numId w:val="1377"/>
        </w:numPr>
        <w:pStyle w:val="Compact"/>
      </w:pPr>
      <w:r>
        <w:t xml:space="preserve">2016 · Seino Y ·</w:t>
      </w:r>
      <w:r>
        <w:t xml:space="preserve"> </w:t>
      </w:r>
      <w:r>
        <w:rPr>
          <w:iCs/>
          <w:i/>
        </w:rPr>
        <w:t xml:space="preserve">J Diabetes Investig</w:t>
      </w:r>
      <w:r>
        <w:t xml:space="preserve"> </w:t>
      </w:r>
      <w:r>
        <w:t xml:space="preserve">· Combination therapy with liraglutide and insulin in Japanese patients with type 2 diabetes: A 36-week, randomized, double-blind, parallel-group trial. PMID 27182042</w:t>
      </w:r>
    </w:p>
    <w:p>
      <w:pPr>
        <w:numPr>
          <w:ilvl w:val="0"/>
          <w:numId w:val="1377"/>
        </w:numPr>
        <w:pStyle w:val="Compact"/>
      </w:pPr>
      <w:r>
        <w:t xml:space="preserve">2016 · Chen P ·</w:t>
      </w:r>
      <w:r>
        <w:t xml:space="preserve"> </w:t>
      </w:r>
      <w:r>
        <w:rPr>
          <w:iCs/>
          <w:i/>
        </w:rPr>
        <w:t xml:space="preserve">Zhonghua Nei Ke Za Zhi</w:t>
      </w:r>
      <w:r>
        <w:t xml:space="preserve"> </w:t>
      </w:r>
      <w:r>
        <w:t xml:space="preserve">· [The effect of liraglutide in combination with human umbilical cord mesenchymal stem cells treatment on glucose metabolism and β cell function in type 2 diabetes mellitus]. PMID 27143183</w:t>
      </w:r>
    </w:p>
    <w:p>
      <w:pPr>
        <w:numPr>
          <w:ilvl w:val="0"/>
          <w:numId w:val="1377"/>
        </w:numPr>
        <w:pStyle w:val="Compact"/>
      </w:pPr>
      <w:r>
        <w:t xml:space="preserve">2016 · Hodge RJ ·</w:t>
      </w:r>
      <w:r>
        <w:t xml:space="preserve"> </w:t>
      </w:r>
      <w:r>
        <w:rPr>
          <w:iCs/>
          <w:i/>
        </w:rPr>
        <w:t xml:space="preserve">PLoS One</w:t>
      </w:r>
      <w:r>
        <w:t xml:space="preserve"> </w:t>
      </w:r>
      <w:r>
        <w:t xml:space="preserve">· Weight and Glucose Reduction Observed with a Combination of Nutritional Agents in Rodent Models Does Not Translate to Humans in a Randomized Clinical Trial with Healthy Volunteers and Subjects with Type 2 Diabetes. PMID 27093610</w:t>
      </w:r>
    </w:p>
    <w:p>
      <w:pPr>
        <w:numPr>
          <w:ilvl w:val="0"/>
          <w:numId w:val="1377"/>
        </w:numPr>
        <w:pStyle w:val="Compact"/>
      </w:pPr>
      <w:r>
        <w:t xml:space="preserve">2016 · Shankar SS ·</w:t>
      </w:r>
      <w:r>
        <w:t xml:space="preserve"> </w:t>
      </w:r>
      <w:r>
        <w:rPr>
          <w:iCs/>
          <w:i/>
        </w:rPr>
        <w:t xml:space="preserve">Am J Physiol Endocrinol Metab</w:t>
      </w:r>
      <w:r>
        <w:t xml:space="preserve"> </w:t>
      </w:r>
      <w:r>
        <w:t xml:space="preserve">· Linearity of β-cell response across the metabolic spectrum and to pharmacology: insights from a graded glucose infusion-based investigation series. PMID 27072496</w:t>
      </w:r>
    </w:p>
    <w:p>
      <w:pPr>
        <w:numPr>
          <w:ilvl w:val="0"/>
          <w:numId w:val="1377"/>
        </w:numPr>
        <w:pStyle w:val="Compact"/>
      </w:pPr>
      <w:r>
        <w:t xml:space="preserve">2016 · Zang L ·</w:t>
      </w:r>
      <w:r>
        <w:t xml:space="preserve"> </w:t>
      </w:r>
      <w:r>
        <w:rPr>
          <w:iCs/>
          <w:i/>
        </w:rPr>
        <w:t xml:space="preserve">Diabetes Obes Metab</w:t>
      </w:r>
      <w:r>
        <w:t xml:space="preserve"> </w:t>
      </w:r>
      <w:r>
        <w:t xml:space="preserve">· Efficacy and safety of liraglutide versus sitagliptin, both in combination with metformin, in Chinese patients with type 2 diabetes: a 26-week, open-label, randomized, active comparator clinical trial. PMID 27060930</w:t>
      </w:r>
    </w:p>
    <w:p>
      <w:pPr>
        <w:numPr>
          <w:ilvl w:val="0"/>
          <w:numId w:val="1377"/>
        </w:numPr>
        <w:pStyle w:val="Compact"/>
      </w:pPr>
      <w:r>
        <w:t xml:space="preserve">2016 · Blackman A ·</w:t>
      </w:r>
      <w:r>
        <w:t xml:space="preserve"> </w:t>
      </w:r>
      <w:r>
        <w:rPr>
          <w:iCs/>
          <w:i/>
        </w:rPr>
        <w:t xml:space="preserve">Int J Obes (Lond)</w:t>
      </w:r>
      <w:r>
        <w:t xml:space="preserve"> </w:t>
      </w:r>
      <w:r>
        <w:t xml:space="preserve">· Effect of liraglutide 3.0 mg in individuals with obesity and moderate or severe obstructive sleep apnea: the SCALE Sleep Apnea randomized clinical trial. PMID 27005405</w:t>
      </w:r>
    </w:p>
    <w:p>
      <w:pPr>
        <w:numPr>
          <w:ilvl w:val="0"/>
          <w:numId w:val="1377"/>
        </w:numPr>
        <w:pStyle w:val="Compact"/>
      </w:pPr>
      <w:r>
        <w:t xml:space="preserve">2016 · Aroda VR ·</w:t>
      </w:r>
      <w:r>
        <w:t xml:space="preserve"> </w:t>
      </w:r>
      <w:r>
        <w:rPr>
          <w:iCs/>
          <w:i/>
        </w:rPr>
        <w:t xml:space="preserve">Diabetes Obes Metab</w:t>
      </w:r>
      <w:r>
        <w:t xml:space="preserve"> </w:t>
      </w:r>
      <w:r>
        <w:t xml:space="preserve">· Effect of adding insulin degludec to treatment in patients with type 2 diabetes inadequately controlled with metformin and liraglutide: a double-blind randomized controlled trial (BEGIN: ADD TO GLP-1 Study). PMID 26990378</w:t>
      </w:r>
    </w:p>
    <w:p>
      <w:pPr>
        <w:numPr>
          <w:ilvl w:val="0"/>
          <w:numId w:val="1377"/>
        </w:numPr>
        <w:pStyle w:val="Compact"/>
      </w:pPr>
      <w:r>
        <w:t xml:space="preserve">2016 · Lingvay I ·</w:t>
      </w:r>
      <w:r>
        <w:t xml:space="preserve"> </w:t>
      </w:r>
      <w:r>
        <w:rPr>
          <w:iCs/>
          <w:i/>
        </w:rPr>
        <w:t xml:space="preserve">JAMA</w:t>
      </w:r>
      <w:r>
        <w:t xml:space="preserve"> </w:t>
      </w:r>
      <w:r>
        <w:t xml:space="preserve">· Effect of Insulin Glargine Up-titration vs Insulin Degludec/Liraglutide on Glycated Hemoglobin Levels in Patients With Uncontrolled Type 2 Diabetes: The DUAL V Randomized Clinical Trial. PMID 26934259</w:t>
      </w:r>
    </w:p>
    <w:p>
      <w:pPr>
        <w:numPr>
          <w:ilvl w:val="0"/>
          <w:numId w:val="1377"/>
        </w:numPr>
        <w:pStyle w:val="Compact"/>
      </w:pPr>
      <w:r>
        <w:t xml:space="preserve">2016 · Skov J ·</w:t>
      </w:r>
      <w:r>
        <w:t xml:space="preserve"> </w:t>
      </w:r>
      <w:r>
        <w:rPr>
          <w:iCs/>
          <w:i/>
        </w:rPr>
        <w:t xml:space="preserve">Diabetes Obes Metab</w:t>
      </w:r>
      <w:r>
        <w:t xml:space="preserve"> </w:t>
      </w:r>
      <w:r>
        <w:t xml:space="preserve">· Short-term effects of liraglutide on kidney function and vasoactive hormones in type 2 diabetes: a randomized clinical trial. PMID 26910107</w:t>
      </w:r>
    </w:p>
    <w:p>
      <w:pPr>
        <w:numPr>
          <w:ilvl w:val="0"/>
          <w:numId w:val="1377"/>
        </w:numPr>
        <w:pStyle w:val="Compact"/>
      </w:pPr>
      <w:r>
        <w:t xml:space="preserve">2016 · Vanderheiden A ·</w:t>
      </w:r>
      <w:r>
        <w:t xml:space="preserve"> </w:t>
      </w:r>
      <w:r>
        <w:rPr>
          <w:iCs/>
          <w:i/>
        </w:rPr>
        <w:t xml:space="preserve">J Clin Endocrinol Metab</w:t>
      </w:r>
      <w:r>
        <w:t xml:space="preserve"> </w:t>
      </w:r>
      <w:r>
        <w:t xml:space="preserve">· Mechanisms of Action of Liraglutide in Patients With Type 2 Diabetes Treated With High-Dose Insulin. PMID 26909799</w:t>
      </w:r>
    </w:p>
    <w:p>
      <w:pPr>
        <w:numPr>
          <w:ilvl w:val="0"/>
          <w:numId w:val="1377"/>
        </w:numPr>
        <w:pStyle w:val="Compact"/>
      </w:pPr>
      <w:r>
        <w:t xml:space="preserve">2016 · Masmiquel L ·</w:t>
      </w:r>
      <w:r>
        <w:t xml:space="preserve"> </w:t>
      </w:r>
      <w:r>
        <w:rPr>
          <w:iCs/>
          <w:i/>
        </w:rPr>
        <w:t xml:space="preserve">Cardiovasc Diabetol</w:t>
      </w:r>
      <w:r>
        <w:t xml:space="preserve"> </w:t>
      </w:r>
      <w:r>
        <w:t xml:space="preserve">· LEADER 5: prevalence and cardiometabolic impact of obesity in cardiovascular high-risk patients with type 2 diabetes mellitus: baseline global data from the LEADER trial. PMID 26864124</w:t>
      </w:r>
    </w:p>
    <w:p>
      <w:pPr>
        <w:numPr>
          <w:ilvl w:val="0"/>
          <w:numId w:val="1377"/>
        </w:numPr>
        <w:pStyle w:val="Compact"/>
      </w:pPr>
      <w:r>
        <w:t xml:space="preserve">2016 · Petrie JR ·</w:t>
      </w:r>
      <w:r>
        <w:t xml:space="preserve"> </w:t>
      </w:r>
      <w:r>
        <w:rPr>
          <w:iCs/>
          <w:i/>
        </w:rPr>
        <w:t xml:space="preserve">J Hypertens</w:t>
      </w:r>
      <w:r>
        <w:t xml:space="preserve"> </w:t>
      </w:r>
      <w:r>
        <w:t xml:space="preserve">· LEADER-4: blood pressure control in patients with type 2 diabetes and high cardiovascular risk: baseline data from the LEADER randomized trial. PMID 26855018</w:t>
      </w:r>
    </w:p>
    <w:p>
      <w:pPr>
        <w:numPr>
          <w:ilvl w:val="0"/>
          <w:numId w:val="1377"/>
        </w:numPr>
        <w:pStyle w:val="Compact"/>
      </w:pPr>
      <w:r>
        <w:t xml:space="preserve">2016 · Chen WR ·</w:t>
      </w:r>
      <w:r>
        <w:t xml:space="preserve"> </w:t>
      </w:r>
      <w:r>
        <w:rPr>
          <w:iCs/>
          <w:i/>
        </w:rPr>
        <w:t xml:space="preserve">Int J Cardiol</w:t>
      </w:r>
      <w:r>
        <w:t xml:space="preserve"> </w:t>
      </w:r>
      <w:r>
        <w:t xml:space="preserve">· Effects of liraglutide on no-reflow in patients with acute ST-segment elevation myocardial infarction. PMID 26849684</w:t>
      </w:r>
    </w:p>
    <w:p>
      <w:pPr>
        <w:numPr>
          <w:ilvl w:val="0"/>
          <w:numId w:val="1377"/>
        </w:numPr>
        <w:pStyle w:val="Compact"/>
      </w:pPr>
      <w:r>
        <w:t xml:space="preserve">2016 · Wilding JP ·</w:t>
      </w:r>
      <w:r>
        <w:t xml:space="preserve"> </w:t>
      </w:r>
      <w:r>
        <w:rPr>
          <w:iCs/>
          <w:i/>
        </w:rPr>
        <w:t xml:space="preserve">Diabetes Obes Metab</w:t>
      </w:r>
      <w:r>
        <w:t xml:space="preserve"> </w:t>
      </w:r>
      <w:r>
        <w:t xml:space="preserve">· Exposure-response analyses of liraglutide 3.0 mg for weight management. PMID 26833744</w:t>
      </w:r>
    </w:p>
    <w:p>
      <w:pPr>
        <w:numPr>
          <w:ilvl w:val="0"/>
          <w:numId w:val="1377"/>
        </w:numPr>
        <w:pStyle w:val="Compact"/>
      </w:pPr>
      <w:r>
        <w:t xml:space="preserve">2016 · Farr OM ·</w:t>
      </w:r>
      <w:r>
        <w:t xml:space="preserve"> </w:t>
      </w:r>
      <w:r>
        <w:rPr>
          <w:iCs/>
          <w:i/>
        </w:rPr>
        <w:t xml:space="preserve">Diabetologia</w:t>
      </w:r>
      <w:r>
        <w:t xml:space="preserve"> </w:t>
      </w:r>
      <w:r>
        <w:t xml:space="preserve">· GLP-1 receptors exist in the parietal cortex, hypothalamus and medulla of human brains and the GLP-1 analogue liraglutide alters brain activity related to highly desirable food cues in individuals with diabetes: a crossover, randomised, placebo-controlled trial. PMID 26831302</w:t>
      </w:r>
    </w:p>
    <w:p>
      <w:pPr>
        <w:numPr>
          <w:ilvl w:val="0"/>
          <w:numId w:val="1377"/>
        </w:numPr>
        <w:pStyle w:val="Compact"/>
      </w:pPr>
      <w:r>
        <w:t xml:space="preserve">2016 · Kaku K ·</w:t>
      </w:r>
      <w:r>
        <w:t xml:space="preserve"> </w:t>
      </w:r>
      <w:r>
        <w:rPr>
          <w:iCs/>
          <w:i/>
        </w:rPr>
        <w:t xml:space="preserve">J Diabetes Investig</w:t>
      </w:r>
      <w:r>
        <w:t xml:space="preserve"> </w:t>
      </w:r>
      <w:r>
        <w:t xml:space="preserve">· Liraglutide is effective and well tolerated in combination with an oral antidiabetic drug in Japanese patients with type 2 diabetes: A randomized, 52-week, open-label, parallel-group trial. PMID 26816604</w:t>
      </w:r>
    </w:p>
    <w:p>
      <w:pPr>
        <w:numPr>
          <w:ilvl w:val="0"/>
          <w:numId w:val="1377"/>
        </w:numPr>
        <w:pStyle w:val="Compact"/>
      </w:pPr>
      <w:r>
        <w:t xml:space="preserve">2016 · Ard J ·</w:t>
      </w:r>
      <w:r>
        <w:t xml:space="preserve"> </w:t>
      </w:r>
      <w:r>
        <w:rPr>
          <w:iCs/>
          <w:i/>
        </w:rPr>
        <w:t xml:space="preserve">Diabetes Obes Metab</w:t>
      </w:r>
      <w:r>
        <w:t xml:space="preserve"> </w:t>
      </w:r>
      <w:r>
        <w:t xml:space="preserve">· Efficacy and safety of liraglutide 3.0 mg for weight management are similar across races: subgroup analysis across the SCALE and phase II randomized trials. PMID 26744025</w:t>
      </w:r>
    </w:p>
    <w:p>
      <w:pPr>
        <w:numPr>
          <w:ilvl w:val="0"/>
          <w:numId w:val="1377"/>
        </w:numPr>
        <w:pStyle w:val="Compact"/>
      </w:pPr>
      <w:r>
        <w:t xml:space="preserve">2016 · Nagakura J ·</w:t>
      </w:r>
      <w:r>
        <w:t xml:space="preserve"> </w:t>
      </w:r>
      <w:r>
        <w:rPr>
          <w:iCs/>
          <w:i/>
        </w:rPr>
        <w:t xml:space="preserve">Endocr J</w:t>
      </w:r>
      <w:r>
        <w:t xml:space="preserve"> </w:t>
      </w:r>
      <w:r>
        <w:t xml:space="preserve">· Effects of exenatide and liraglutide on 24-hour glucose fluctuations in type 2 diabetes. PMID 26743240</w:t>
      </w:r>
    </w:p>
    <w:p>
      <w:pPr>
        <w:numPr>
          <w:ilvl w:val="0"/>
          <w:numId w:val="1377"/>
        </w:numPr>
        <w:pStyle w:val="Compact"/>
      </w:pPr>
      <w:r>
        <w:t xml:space="preserve">2016 · Davies MJ ·</w:t>
      </w:r>
      <w:r>
        <w:t xml:space="preserve"> </w:t>
      </w:r>
      <w:r>
        <w:rPr>
          <w:iCs/>
          <w:i/>
        </w:rPr>
        <w:t xml:space="preserve">Diabetes Care</w:t>
      </w:r>
      <w:r>
        <w:t xml:space="preserve"> </w:t>
      </w:r>
      <w:r>
        <w:t xml:space="preserve">· Efficacy and Safety of Liraglutide Versus Placebo as Add-on to Glucose-Lowering Therapy in Patients With Type 2 Diabetes and Moderate Renal Impairment (LIRA-RENAL): A Randomized Clinical Trial. PMID 26681713</w:t>
      </w:r>
    </w:p>
    <w:p>
      <w:pPr>
        <w:numPr>
          <w:ilvl w:val="0"/>
          <w:numId w:val="1377"/>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7"/>
        </w:numPr>
        <w:pStyle w:val="Compact"/>
      </w:pPr>
      <w:r>
        <w:t xml:space="preserve">2016 · Dejgaard TF ·</w:t>
      </w:r>
      <w:r>
        <w:t xml:space="preserve"> </w:t>
      </w:r>
      <w:r>
        <w:rPr>
          <w:iCs/>
          <w:i/>
        </w:rPr>
        <w:t xml:space="preserve">Lancet Diabetes Endocrinol</w:t>
      </w:r>
      <w:r>
        <w:t xml:space="preserve"> </w:t>
      </w:r>
      <w:r>
        <w:t xml:space="preserve">· Efficacy and safety of liraglutide for overweight adult patients with type 1 diabetes and insufficient glycaemic control (Lira-1): a randomised, double-blind, placebo-controlled trial. PMID 26656289</w:t>
      </w:r>
    </w:p>
    <w:p>
      <w:pPr>
        <w:numPr>
          <w:ilvl w:val="0"/>
          <w:numId w:val="1377"/>
        </w:numPr>
        <w:pStyle w:val="Compact"/>
      </w:pPr>
      <w:r>
        <w:t xml:space="preserve">2016 · Ke W ·</w:t>
      </w:r>
      <w:r>
        <w:t xml:space="preserve"> </w:t>
      </w:r>
      <w:r>
        <w:rPr>
          <w:iCs/>
          <w:i/>
        </w:rPr>
        <w:t xml:space="preserve">J Diabetes Res</w:t>
      </w:r>
      <w:r>
        <w:t xml:space="preserve"> </w:t>
      </w:r>
      <w:r>
        <w:t xml:space="preserve">· Effects of Liraglutide Combined with Short-Term Continuous Subcutaneous Insulin Infusion on Glycemic Control and Beta Cell Function in Patients with Newly Diagnosed Type 2 Diabetes Mellitus: A Pilot Study. PMID 26640805</w:t>
      </w:r>
    </w:p>
    <w:p>
      <w:pPr>
        <w:numPr>
          <w:ilvl w:val="0"/>
          <w:numId w:val="1377"/>
        </w:numPr>
        <w:pStyle w:val="Compact"/>
      </w:pPr>
      <w:r>
        <w:t xml:space="preserve">2016 · Armstrong MJ ·</w:t>
      </w:r>
      <w:r>
        <w:t xml:space="preserve"> </w:t>
      </w:r>
      <w:r>
        <w:rPr>
          <w:iCs/>
          <w:i/>
        </w:rPr>
        <w:t xml:space="preserve">Lancet</w:t>
      </w:r>
      <w:r>
        <w:t xml:space="preserve"> </w:t>
      </w:r>
      <w:r>
        <w:t xml:space="preserve">· Liraglutide safety and efficacy in patients with non-alcoholic steatohepatitis (LEAN): a multicentre, double-blind, randomised, placebo-controlled phase 2 study. PMID 26608256</w:t>
      </w:r>
    </w:p>
    <w:p>
      <w:pPr>
        <w:numPr>
          <w:ilvl w:val="0"/>
          <w:numId w:val="1377"/>
        </w:numPr>
        <w:pStyle w:val="Compact"/>
      </w:pPr>
      <w:r>
        <w:t xml:space="preserve">2016 · Gilbert MP ·</w:t>
      </w:r>
      <w:r>
        <w:t xml:space="preserve"> </w:t>
      </w:r>
      <w:r>
        <w:rPr>
          <w:iCs/>
          <w:i/>
        </w:rPr>
        <w:t xml:space="preserve">Endocr Pract</w:t>
      </w:r>
      <w:r>
        <w:t xml:space="preserve"> </w:t>
      </w:r>
      <w:r>
        <w:t xml:space="preserve">· COMPARISON OF THE LONG-TERM EFFECTS OF LIRAGLUTIDE AND GLIMEPIRIDE MONOTHERAPY ON BONE MINERAL DENSITY IN PATIENTS WITH TYPE 2 DIABETES. PMID 26574791</w:t>
      </w:r>
    </w:p>
    <w:p>
      <w:pPr>
        <w:numPr>
          <w:ilvl w:val="0"/>
          <w:numId w:val="1377"/>
        </w:numPr>
        <w:pStyle w:val="Compact"/>
      </w:pPr>
      <w:r>
        <w:t xml:space="preserve">2016 · Chen WR ·</w:t>
      </w:r>
      <w:r>
        <w:t xml:space="preserve"> </w:t>
      </w:r>
      <w:r>
        <w:rPr>
          <w:iCs/>
          <w:i/>
        </w:rPr>
        <w:t xml:space="preserve">Endocrine</w:t>
      </w:r>
      <w:r>
        <w:t xml:space="preserve"> </w:t>
      </w:r>
      <w:r>
        <w:t xml:space="preserve">· Effects of liraglutide on left ventricular function in patients with non-ST-segment elevation myocardial infarction. PMID 26573925</w:t>
      </w:r>
    </w:p>
    <w:p>
      <w:pPr>
        <w:numPr>
          <w:ilvl w:val="0"/>
          <w:numId w:val="1377"/>
        </w:numPr>
        <w:pStyle w:val="Compact"/>
      </w:pPr>
      <w:r>
        <w:t xml:space="preserve">2016 · de Wit HM ·</w:t>
      </w:r>
      <w:r>
        <w:t xml:space="preserve"> </w:t>
      </w:r>
      <w:r>
        <w:rPr>
          <w:iCs/>
          <w:i/>
        </w:rPr>
        <w:t xml:space="preserve">J Intern Med</w:t>
      </w:r>
      <w:r>
        <w:t xml:space="preserve"> </w:t>
      </w:r>
      <w:r>
        <w:t xml:space="preserve">· Durable efficacy of liraglutide in patients with type 2 diabetes and pronounced insulin-associated weight gain: 52-week results from the Effect of Liraglutide on insulin-associated wEight GAiN in patients with Type 2 diabetes’ (ELEGANT) randomized controlled trial. PMID 26553486</w:t>
      </w:r>
    </w:p>
    <w:p>
      <w:pPr>
        <w:numPr>
          <w:ilvl w:val="0"/>
          <w:numId w:val="1377"/>
        </w:numPr>
        <w:pStyle w:val="Compact"/>
      </w:pPr>
      <w:r>
        <w:t xml:space="preserve">2016 · Armstrong MJ ·</w:t>
      </w:r>
      <w:r>
        <w:t xml:space="preserve"> </w:t>
      </w:r>
      <w:r>
        <w:rPr>
          <w:iCs/>
          <w:i/>
        </w:rPr>
        <w:t xml:space="preserve">J Hepatol</w:t>
      </w:r>
      <w:r>
        <w:t xml:space="preserve"> </w:t>
      </w:r>
      <w:r>
        <w:t xml:space="preserve">· Glucagon-like peptide 1 decreases lipotoxicity in non-alcoholic steatohepatitis. PMID 26394161</w:t>
      </w:r>
    </w:p>
    <w:p>
      <w:pPr>
        <w:numPr>
          <w:ilvl w:val="0"/>
          <w:numId w:val="1377"/>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p>
      <w:pPr>
        <w:numPr>
          <w:ilvl w:val="0"/>
          <w:numId w:val="1377"/>
        </w:numPr>
        <w:pStyle w:val="Compact"/>
      </w:pPr>
      <w:r>
        <w:t xml:space="preserve">2016 · Idorn T ·</w:t>
      </w:r>
      <w:r>
        <w:t xml:space="preserve"> </w:t>
      </w:r>
      <w:r>
        <w:rPr>
          <w:iCs/>
          <w:i/>
        </w:rPr>
        <w:t xml:space="preserve">Diabetes Care</w:t>
      </w:r>
      <w:r>
        <w:t xml:space="preserve"> </w:t>
      </w:r>
      <w:r>
        <w:t xml:space="preserve">· Safety and Efficacy of Liraglutide in Patients With Type 2 Diabetes and End-Stage Renal Disease: An Investigator-Initiated, Placebo-Controlled, Double-Blind, Parallel-Group, Randomized Trial. PMID 26283739</w:t>
      </w:r>
    </w:p>
    <w:p>
      <w:pPr>
        <w:numPr>
          <w:ilvl w:val="0"/>
          <w:numId w:val="1377"/>
        </w:numPr>
        <w:pStyle w:val="Compact"/>
      </w:pPr>
      <w:r>
        <w:t xml:space="preserve">2016 · Ten Kulve JS ·</w:t>
      </w:r>
      <w:r>
        <w:t xml:space="preserve"> </w:t>
      </w:r>
      <w:r>
        <w:rPr>
          <w:iCs/>
          <w:i/>
        </w:rPr>
        <w:t xml:space="preserve">Diabetes Care</w:t>
      </w:r>
      <w:r>
        <w:t xml:space="preserve"> </w:t>
      </w:r>
      <w:r>
        <w:t xml:space="preserve">· Liraglutide Reduces CNS Activation in Response to Visual Food Cues Only After Short-term Treatment in Patients With Type 2 Diabetes. PMID 26283736</w:t>
      </w:r>
    </w:p>
    <w:p>
      <w:pPr>
        <w:numPr>
          <w:ilvl w:val="0"/>
          <w:numId w:val="1377"/>
        </w:numPr>
        <w:pStyle w:val="Compact"/>
      </w:pPr>
      <w:r>
        <w:t xml:space="preserve">2015 · Smits MM ·</w:t>
      </w:r>
      <w:r>
        <w:t xml:space="preserve"> </w:t>
      </w:r>
      <w:r>
        <w:rPr>
          <w:iCs/>
          <w:i/>
        </w:rPr>
        <w:t xml:space="preserve">BMJ Open</w:t>
      </w:r>
      <w:r>
        <w:t xml:space="preserve"> </w:t>
      </w:r>
      <w:r>
        <w:t xml:space="preserve">· Cardiovascular, renal and gastrointestinal effects of incretin-based therapies: an acute and 12-week randomised, double-blind, placebo-controlled, mechanistic intervention trial in type 2 diabetes. PMID 26586327</w:t>
      </w:r>
    </w:p>
    <w:p>
      <w:pPr>
        <w:numPr>
          <w:ilvl w:val="0"/>
          <w:numId w:val="1377"/>
        </w:numPr>
        <w:pStyle w:val="Compact"/>
      </w:pPr>
      <w:r>
        <w:t xml:space="preserve">2015 · Chen WR ·</w:t>
      </w:r>
      <w:r>
        <w:t xml:space="preserve"> </w:t>
      </w:r>
      <w:r>
        <w:rPr>
          <w:iCs/>
          <w:i/>
        </w:rPr>
        <w:t xml:space="preserve">Am Heart J</w:t>
      </w:r>
      <w:r>
        <w:t xml:space="preserve"> </w:t>
      </w:r>
      <w:r>
        <w:t xml:space="preserve">· Effects of liraglutide on left ventricular function in patients with ST-segment elevation myocardial infarction undergoing primary percutaneous coronary intervention. PMID 26542491</w:t>
      </w:r>
    </w:p>
    <w:p>
      <w:pPr>
        <w:numPr>
          <w:ilvl w:val="0"/>
          <w:numId w:val="1377"/>
        </w:numPr>
        <w:pStyle w:val="Compact"/>
      </w:pPr>
      <w:r>
        <w:t xml:space="preserve">2015 · Lind M ·</w:t>
      </w:r>
      <w:r>
        <w:t xml:space="preserve"> </w:t>
      </w:r>
      <w:r>
        <w:rPr>
          <w:iCs/>
          <w:i/>
        </w:rPr>
        <w:t xml:space="preserve">BMJ</w:t>
      </w:r>
      <w:r>
        <w:t xml:space="preserve"> </w:t>
      </w:r>
      <w:r>
        <w:t xml:space="preserve">· Liraglutide in people treated for type 2 diabetes with multiple daily insulin injections: randomised clinical trial (MDI Liraglutide trial). PMID 26512041</w:t>
      </w:r>
    </w:p>
    <w:p>
      <w:pPr>
        <w:numPr>
          <w:ilvl w:val="0"/>
          <w:numId w:val="1377"/>
        </w:numPr>
        <w:pStyle w:val="Compact"/>
      </w:pPr>
      <w:r>
        <w:t xml:space="preserve">2015 · Frandsen CS ·</w:t>
      </w:r>
      <w:r>
        <w:t xml:space="preserve"> </w:t>
      </w:r>
      <w:r>
        <w:rPr>
          <w:iCs/>
          <w:i/>
        </w:rPr>
        <w:t xml:space="preserve">Diabetes Care</w:t>
      </w:r>
      <w:r>
        <w:t xml:space="preserve"> </w:t>
      </w:r>
      <w:r>
        <w:t xml:space="preserve">· Twelve-Week Treatment With Liraglutide as Add-on to Insulin in Normal-Weight Patients With Poorly Controlled Type 1 Diabetes: A Randomized, Placebo-Controlled, Double-Blind Parallel Study. PMID 26486191</w:t>
      </w:r>
    </w:p>
    <w:p>
      <w:pPr>
        <w:numPr>
          <w:ilvl w:val="0"/>
          <w:numId w:val="1377"/>
        </w:numPr>
        <w:pStyle w:val="Compact"/>
      </w:pPr>
      <w:r>
        <w:t xml:space="preserve">2015 · Holst JJ ·</w:t>
      </w:r>
      <w:r>
        <w:t xml:space="preserve"> </w:t>
      </w:r>
      <w:r>
        <w:rPr>
          <w:iCs/>
          <w:i/>
        </w:rPr>
        <w:t xml:space="preserve">J Diabetes Sci Technol</w:t>
      </w:r>
      <w:r>
        <w:t xml:space="preserve"> </w:t>
      </w:r>
      <w:r>
        <w:t xml:space="preserve">· IDegLira Improves Both Fasting and Postprandial Glucose Control as Demonstrated Using Continuous Glucose Monitoring and a Standardized Meal Test. PMID 26443290</w:t>
      </w:r>
    </w:p>
    <w:p>
      <w:pPr>
        <w:numPr>
          <w:ilvl w:val="0"/>
          <w:numId w:val="1377"/>
        </w:numPr>
        <w:pStyle w:val="Compact"/>
      </w:pPr>
      <w:r>
        <w:t xml:space="preserve">2015 · Malm-Erjefält M ·</w:t>
      </w:r>
      <w:r>
        <w:t xml:space="preserve"> </w:t>
      </w:r>
      <w:r>
        <w:rPr>
          <w:iCs/>
          <w:i/>
        </w:rPr>
        <w:t xml:space="preserve">Mol Pharm</w:t>
      </w:r>
      <w:r>
        <w:t xml:space="preserve"> </w:t>
      </w:r>
      <w:r>
        <w:t xml:space="preserve">· Effect on the Gastrointestinal Absorption of Drugs from Different Classes in the Biopharmaceutics Classification System, When Treating with Liraglutide. PMID 26426736</w:t>
      </w:r>
    </w:p>
    <w:p>
      <w:pPr>
        <w:numPr>
          <w:ilvl w:val="0"/>
          <w:numId w:val="1377"/>
        </w:numPr>
        <w:pStyle w:val="Compact"/>
      </w:pPr>
      <w:r>
        <w:t xml:space="preserve">2015 · Li D ·</w:t>
      </w:r>
      <w:r>
        <w:t xml:space="preserve"> </w:t>
      </w:r>
      <w:r>
        <w:rPr>
          <w:iCs/>
          <w:i/>
        </w:rPr>
        <w:t xml:space="preserve">Diabetes Res Clin Pract</w:t>
      </w:r>
      <w:r>
        <w:t xml:space="preserve"> </w:t>
      </w:r>
      <w:r>
        <w:t xml:space="preserve">· Liraglutide treatment causes upregulation of adiponectin and downregulation of resistin in Chinese type 2 diabetes. PMID 26376464</w:t>
      </w:r>
    </w:p>
    <w:p>
      <w:pPr>
        <w:numPr>
          <w:ilvl w:val="0"/>
          <w:numId w:val="1377"/>
        </w:numPr>
        <w:pStyle w:val="Compact"/>
      </w:pPr>
      <w:r>
        <w:t xml:space="preserve">2015 · Tanaka K ·</w:t>
      </w:r>
      <w:r>
        <w:t xml:space="preserve"> </w:t>
      </w:r>
      <w:r>
        <w:rPr>
          <w:iCs/>
          <w:i/>
        </w:rPr>
        <w:t xml:space="preserve">Clin Drug Investig</w:t>
      </w:r>
      <w:r>
        <w:t xml:space="preserve"> </w:t>
      </w:r>
      <w:r>
        <w:t xml:space="preserve">· Effects of Liraglutide Monotherapy on Beta Cell Function and Pancreatic Enzymes Compared with Metformin in Japanese Overweight/Obese Patients with Type 2 Diabetes Mellitus: A Subpopulation Analysis of the KIND-LM Randomized Trial. PMID 26369653</w:t>
      </w:r>
    </w:p>
    <w:p>
      <w:pPr>
        <w:numPr>
          <w:ilvl w:val="0"/>
          <w:numId w:val="1377"/>
        </w:numPr>
        <w:pStyle w:val="Compact"/>
      </w:pPr>
      <w:r>
        <w:t xml:space="preserve">2015 · Ma Z ·</w:t>
      </w:r>
      <w:r>
        <w:t xml:space="preserve"> </w:t>
      </w:r>
      <w:r>
        <w:rPr>
          <w:iCs/>
          <w:i/>
        </w:rPr>
        <w:t xml:space="preserve">Int J Clin Pharmacol Ther</w:t>
      </w:r>
      <w:r>
        <w:t xml:space="preserve"> </w:t>
      </w:r>
      <w:r>
        <w:t xml:space="preserve">· Effect of liraglutide vs. NPH in combination with metformin on blood glucose fluctuations assessed using continuous glucose monitoring in patients with newly diagnosed type 2 diabetes. PMID 26365337</w:t>
      </w:r>
    </w:p>
    <w:p>
      <w:pPr>
        <w:numPr>
          <w:ilvl w:val="0"/>
          <w:numId w:val="1377"/>
        </w:numPr>
        <w:pStyle w:val="Compact"/>
      </w:pPr>
      <w:r>
        <w:t xml:space="preserve">2015 · Østoft SH ·</w:t>
      </w:r>
      <w:r>
        <w:t xml:space="preserve"> </w:t>
      </w:r>
      <w:r>
        <w:rPr>
          <w:iCs/>
          <w:i/>
        </w:rPr>
        <w:t xml:space="preserve">Dan Med J</w:t>
      </w:r>
      <w:r>
        <w:t xml:space="preserve"> </w:t>
      </w:r>
      <w:r>
        <w:t xml:space="preserve">· Incretin hormones and maturity onset diabetes of the young–pathophysiological implications and anti-diabetic treatment potential. PMID 26324089</w:t>
      </w:r>
    </w:p>
    <w:p>
      <w:pPr>
        <w:numPr>
          <w:ilvl w:val="0"/>
          <w:numId w:val="1377"/>
        </w:numPr>
        <w:pStyle w:val="Compact"/>
      </w:pPr>
      <w:r>
        <w:t xml:space="preserve">2015 · Nomoto H ·</w:t>
      </w:r>
      <w:r>
        <w:t xml:space="preserve"> </w:t>
      </w:r>
      <w:r>
        <w:rPr>
          <w:iCs/>
          <w:i/>
        </w:rPr>
        <w:t xml:space="preserve">PLoS One</w:t>
      </w:r>
      <w:r>
        <w:t xml:space="preserve"> </w:t>
      </w:r>
      <w:r>
        <w:t xml:space="preserve">· A Comparison of the Effects of the GLP-1 Analogue Liraglutide and Insulin Glargine on Endothelial Function and Metabolic Parameters: A Randomized, Controlled Trial Sapporo Athero-Incretin Study 2 (SAIS2). PMID 26284918</w:t>
      </w:r>
    </w:p>
    <w:p>
      <w:pPr>
        <w:numPr>
          <w:ilvl w:val="0"/>
          <w:numId w:val="1377"/>
        </w:numPr>
        <w:pStyle w:val="Compact"/>
      </w:pPr>
      <w:r>
        <w:t xml:space="preserve">2015 · Davies MJ ·</w:t>
      </w:r>
      <w:r>
        <w:t xml:space="preserve"> </w:t>
      </w:r>
      <w:r>
        <w:rPr>
          <w:iCs/>
          <w:i/>
        </w:rPr>
        <w:t xml:space="preserve">JAMA</w:t>
      </w:r>
      <w:r>
        <w:t xml:space="preserve"> </w:t>
      </w:r>
      <w:r>
        <w:t xml:space="preserve">· Efficacy of Liraglutide for Weight Loss Among Patients With Type 2 Diabetes: The SCALE Diabetes Randomized Clinical Trial. PMID 26284720</w:t>
      </w:r>
    </w:p>
    <w:p>
      <w:pPr>
        <w:numPr>
          <w:ilvl w:val="0"/>
          <w:numId w:val="1377"/>
        </w:numPr>
        <w:pStyle w:val="Compact"/>
      </w:pPr>
      <w:r>
        <w:t xml:space="preserve">2015 · Yan L ·</w:t>
      </w:r>
      <w:r>
        <w:t xml:space="preserve"> </w:t>
      </w:r>
      <w:r>
        <w:rPr>
          <w:iCs/>
          <w:i/>
        </w:rPr>
        <w:t xml:space="preserve">Zhonghua Nei Ke Za Zhi</w:t>
      </w:r>
      <w:r>
        <w:t xml:space="preserve"> </w:t>
      </w:r>
      <w:r>
        <w:t xml:space="preserve">· [The efficacy and safety of human glucagon-like peptide-1 analogue liraglutide in newly diagnosed type 2 diabetes with glycosylated hemoglobin A1c &gt; 9]. PMID 26268058</w:t>
      </w:r>
    </w:p>
    <w:p>
      <w:pPr>
        <w:numPr>
          <w:ilvl w:val="0"/>
          <w:numId w:val="1377"/>
        </w:numPr>
        <w:pStyle w:val="Compact"/>
      </w:pPr>
      <w:r>
        <w:t xml:space="preserve">2015 · Kramer CK ·</w:t>
      </w:r>
      <w:r>
        <w:t xml:space="preserve"> </w:t>
      </w:r>
      <w:r>
        <w:rPr>
          <w:iCs/>
          <w:i/>
        </w:rPr>
        <w:t xml:space="preserve">J Clin Endocrinol Metab</w:t>
      </w:r>
      <w:r>
        <w:t xml:space="preserve"> </w:t>
      </w:r>
      <w:r>
        <w:t xml:space="preserve">· The Impact of Chronic Liraglutide Therapy on Glucagon Secretion in Type 2 Diabetes: Insight From the LIBRA Trial. PMID 26230296</w:t>
      </w:r>
    </w:p>
    <w:p>
      <w:pPr>
        <w:numPr>
          <w:ilvl w:val="0"/>
          <w:numId w:val="1377"/>
        </w:numPr>
        <w:pStyle w:val="Compact"/>
      </w:pPr>
      <w:r>
        <w:t xml:space="preserve">2015 · Rizvi AA ·</w:t>
      </w:r>
      <w:r>
        <w:t xml:space="preserve"> </w:t>
      </w:r>
      <w:r>
        <w:rPr>
          <w:iCs/>
          <w:i/>
        </w:rPr>
        <w:t xml:space="preserve">Expert Opin Biol Ther</w:t>
      </w:r>
      <w:r>
        <w:t xml:space="preserve"> </w:t>
      </w:r>
      <w:r>
        <w:t xml:space="preserve">· Liraglutide improves carotid intima-media thickness in patients with type 2 diabetes and non-alcoholic fatty liver disease: an 8-month prospective pilot study. PMID 26195184</w:t>
      </w:r>
    </w:p>
    <w:p>
      <w:pPr>
        <w:numPr>
          <w:ilvl w:val="0"/>
          <w:numId w:val="1377"/>
        </w:numPr>
        <w:pStyle w:val="Compact"/>
      </w:pPr>
      <w:r>
        <w:t xml:space="preserve">2015 · Fujioka K ·</w:t>
      </w:r>
      <w:r>
        <w:t xml:space="preserve"> </w:t>
      </w:r>
      <w:r>
        <w:rPr>
          <w:iCs/>
          <w:i/>
        </w:rPr>
        <w:t xml:space="preserve">J Diabetes Sci Technol</w:t>
      </w:r>
      <w:r>
        <w:t xml:space="preserve"> </w:t>
      </w:r>
      <w:r>
        <w:t xml:space="preserve">· Usability of the Novel Liraglutide 3.0 mg Pen Injector Among Overweight or Obese Adult Patients With or Without Prior Injection Experience. PMID 26183599</w:t>
      </w:r>
    </w:p>
    <w:p>
      <w:pPr>
        <w:numPr>
          <w:ilvl w:val="0"/>
          <w:numId w:val="1377"/>
        </w:numPr>
        <w:pStyle w:val="Compact"/>
      </w:pPr>
      <w:r>
        <w:t xml:space="preserve">2015 · Ahmann A ·</w:t>
      </w:r>
      <w:r>
        <w:t xml:space="preserve"> </w:t>
      </w:r>
      <w:r>
        <w:rPr>
          <w:iCs/>
          <w:i/>
        </w:rPr>
        <w:t xml:space="preserve">Diabetes Obes Metab</w:t>
      </w:r>
      <w:r>
        <w:t xml:space="preserve"> </w:t>
      </w:r>
      <w:r>
        <w:t xml:space="preserve">· Efficacy and safety of liraglutide versus placebo added to basal insulin analogues (with or without metformin) in patients with type 2 diabetes: a randomized, placebo-controlled trial. PMID 26179619</w:t>
      </w:r>
    </w:p>
    <w:p>
      <w:pPr>
        <w:numPr>
          <w:ilvl w:val="0"/>
          <w:numId w:val="1377"/>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7"/>
        </w:numPr>
        <w:pStyle w:val="Compact"/>
      </w:pPr>
      <w:r>
        <w:t xml:space="preserve">2015 · Pi-Sunyer X ·</w:t>
      </w:r>
      <w:r>
        <w:t xml:space="preserve"> </w:t>
      </w:r>
      <w:r>
        <w:rPr>
          <w:iCs/>
          <w:i/>
        </w:rPr>
        <w:t xml:space="preserve">N Engl J Med</w:t>
      </w:r>
      <w:r>
        <w:t xml:space="preserve"> </w:t>
      </w:r>
      <w:r>
        <w:t xml:space="preserve">· A Randomized, Controlled Trial of 3.0 mg of Liraglutide in Weight Management. PMID 26132939</w:t>
      </w:r>
    </w:p>
    <w:p>
      <w:pPr>
        <w:numPr>
          <w:ilvl w:val="0"/>
          <w:numId w:val="1377"/>
        </w:numPr>
        <w:pStyle w:val="Compact"/>
      </w:pPr>
      <w:r>
        <w:t xml:space="preserve">2015 · Iepsen EW ·</w:t>
      </w:r>
      <w:r>
        <w:t xml:space="preserve"> </w:t>
      </w:r>
      <w:r>
        <w:rPr>
          <w:iCs/>
          <w:i/>
        </w:rPr>
        <w:t xml:space="preserve">J Clin Endocrinol Metab</w:t>
      </w:r>
      <w:r>
        <w:t xml:space="preserve"> </w:t>
      </w:r>
      <w:r>
        <w:t xml:space="preserve">· GLP-1 Receptor Agonist Treatment Increases Bone Formation and Prevents Bone Loss in Weight-Reduced Obese Women. PMID 26043228</w:t>
      </w:r>
    </w:p>
    <w:p>
      <w:pPr>
        <w:numPr>
          <w:ilvl w:val="0"/>
          <w:numId w:val="1377"/>
        </w:numPr>
        <w:pStyle w:val="Compact"/>
      </w:pPr>
      <w:r>
        <w:t xml:space="preserve">2015 · Jensterle M ·</w:t>
      </w:r>
      <w:r>
        <w:t xml:space="preserve"> </w:t>
      </w:r>
      <w:r>
        <w:rPr>
          <w:iCs/>
          <w:i/>
        </w:rPr>
        <w:t xml:space="preserve">J Ovarian Res</w:t>
      </w:r>
      <w:r>
        <w:t xml:space="preserve"> </w:t>
      </w:r>
      <w:r>
        <w:t xml:space="preserve">· Short term monotherapy with GLP-1 receptor agonist liraglutide or PDE 4 inhibitor roflumilast is superior to metformin in weight loss in obese PCOS women: a pilot randomized study. PMID 26032655</w:t>
      </w:r>
    </w:p>
    <w:p>
      <w:pPr>
        <w:numPr>
          <w:ilvl w:val="0"/>
          <w:numId w:val="1377"/>
        </w:numPr>
        <w:pStyle w:val="Compact"/>
      </w:pPr>
      <w:r>
        <w:t xml:space="preserve">2015 · Kapitza C ·</w:t>
      </w:r>
      <w:r>
        <w:t xml:space="preserve"> </w:t>
      </w:r>
      <w:r>
        <w:rPr>
          <w:iCs/>
          <w:i/>
        </w:rPr>
        <w:t xml:space="preserve">J Clin Pharmacol</w:t>
      </w:r>
      <w:r>
        <w:t xml:space="preserve"> </w:t>
      </w:r>
      <w:r>
        <w:t xml:space="preserve">· Preserved pharmacokinetic exposure and distinct glycemic effects of insulin degludec and liraglutide in IDegLira, a fixed-ratio combination therapy. PMID 25998481</w:t>
      </w:r>
    </w:p>
    <w:p>
      <w:pPr>
        <w:numPr>
          <w:ilvl w:val="0"/>
          <w:numId w:val="1377"/>
        </w:numPr>
        <w:pStyle w:val="Compact"/>
      </w:pPr>
      <w:r>
        <w:t xml:space="preserve">2015 · Jensterle M ·</w:t>
      </w:r>
      <w:r>
        <w:t xml:space="preserve"> </w:t>
      </w:r>
      <w:r>
        <w:rPr>
          <w:iCs/>
          <w:i/>
        </w:rPr>
        <w:t xml:space="preserve">Eur J Clin Pharmacol</w:t>
      </w:r>
      <w:r>
        <w:t xml:space="preserve"> </w:t>
      </w:r>
      <w:r>
        <w:t xml:space="preserve">· Genetic variability in GLP-1 receptor is associated with inter-individual differences in weight lowering potential of liraglutide in obese women with PCOS: a pilot study. PMID 25991051</w:t>
      </w:r>
    </w:p>
    <w:p>
      <w:pPr>
        <w:numPr>
          <w:ilvl w:val="0"/>
          <w:numId w:val="1377"/>
        </w:numPr>
        <w:pStyle w:val="Compact"/>
      </w:pPr>
      <w:r>
        <w:t xml:space="preserve">2015 · Gough SC ·</w:t>
      </w:r>
      <w:r>
        <w:t xml:space="preserve"> </w:t>
      </w:r>
      <w:r>
        <w:rPr>
          <w:iCs/>
          <w:i/>
        </w:rPr>
        <w:t xml:space="preserve">Diabetes Obes Metab</w:t>
      </w:r>
      <w:r>
        <w:t xml:space="preserve"> </w:t>
      </w:r>
      <w:r>
        <w:t xml:space="preserve">· One-year efficacy and safety of a fixed combination of insulin degludec and liraglutide in patients with type 2 diabetes: results of a 26-week extension to a 26-week main trial. PMID 25980900</w:t>
      </w:r>
    </w:p>
    <w:p>
      <w:pPr>
        <w:numPr>
          <w:ilvl w:val="0"/>
          <w:numId w:val="1377"/>
        </w:numPr>
        <w:pStyle w:val="Compact"/>
      </w:pPr>
      <w:r>
        <w:t xml:space="preserve">2015 · von Scholten BJ ·</w:t>
      </w:r>
      <w:r>
        <w:t xml:space="preserve"> </w:t>
      </w:r>
      <w:r>
        <w:rPr>
          <w:iCs/>
          <w:i/>
        </w:rPr>
        <w:t xml:space="preserve">J Diabetes Complications</w:t>
      </w:r>
      <w:r>
        <w:t xml:space="preserve"> </w:t>
      </w:r>
      <w:r>
        <w:t xml:space="preserve">· Glucagon-like peptide 1 receptor agonist (GLP-1 RA): long-term effect on kidney function in patients with type 2 diabetes. PMID 25935863</w:t>
      </w:r>
    </w:p>
    <w:p>
      <w:pPr>
        <w:numPr>
          <w:ilvl w:val="0"/>
          <w:numId w:val="1377"/>
        </w:numPr>
        <w:pStyle w:val="Compact"/>
      </w:pPr>
      <w:r>
        <w:t xml:space="preserve">2015 · Faber R ·</w:t>
      </w:r>
      <w:r>
        <w:t xml:space="preserve"> </w:t>
      </w:r>
      <w:r>
        <w:rPr>
          <w:iCs/>
          <w:i/>
        </w:rPr>
        <w:t xml:space="preserve">Cardiovasc Diabetol</w:t>
      </w:r>
      <w:r>
        <w:t xml:space="preserve"> </w:t>
      </w:r>
      <w:r>
        <w:t xml:space="preserve">· Effect of the glucagon-like peptide-1 analogue liraglutide on coronary microvascular function in patients with type 2 diabetes - a randomized, single-blinded, cross-over pilot study. PMID 25896352</w:t>
      </w:r>
    </w:p>
    <w:p>
      <w:pPr>
        <w:numPr>
          <w:ilvl w:val="0"/>
          <w:numId w:val="1377"/>
        </w:numPr>
        <w:pStyle w:val="Compact"/>
      </w:pPr>
      <w:r>
        <w:t xml:space="preserve">2015 · Meier JJ ·</w:t>
      </w:r>
      <w:r>
        <w:t xml:space="preserve"> </w:t>
      </w:r>
      <w:r>
        <w:rPr>
          <w:iCs/>
          <w:i/>
        </w:rPr>
        <w:t xml:space="preserve">Diabetes Care</w:t>
      </w:r>
      <w:r>
        <w:t xml:space="preserve"> </w:t>
      </w:r>
      <w:r>
        <w:t xml:space="preserve">· Contrasting Effects of Lixisenatide and Liraglutide on Postprandial Glycemic Control, Gastric Emptying, and Safety Parameters in Patients With Type 2 Diabetes on Optimized Insulin Glargine With or Without Metformin: A Randomized, Open-Label Trial. PMID 25887358</w:t>
      </w:r>
    </w:p>
    <w:p>
      <w:pPr>
        <w:numPr>
          <w:ilvl w:val="0"/>
          <w:numId w:val="1377"/>
        </w:numPr>
        <w:pStyle w:val="Compact"/>
      </w:pPr>
      <w:r>
        <w:t xml:space="preserve">2015 · Jensterle M ·</w:t>
      </w:r>
      <w:r>
        <w:t xml:space="preserve"> </w:t>
      </w:r>
      <w:r>
        <w:rPr>
          <w:iCs/>
          <w:i/>
        </w:rPr>
        <w:t xml:space="preserve">Hormones (Athens)</w:t>
      </w:r>
      <w:r>
        <w:t xml:space="preserve"> </w:t>
      </w:r>
      <w:r>
        <w:t xml:space="preserve">· A 12-week treatment with the long-acting glucagon-like peptide 1 receptor agonist liraglutide leads to significant weight loss in a subset of obese women with newly diagnosed polycystic ovary syndrome. PMID 25885106</w:t>
      </w:r>
    </w:p>
    <w:p>
      <w:pPr>
        <w:numPr>
          <w:ilvl w:val="0"/>
          <w:numId w:val="1377"/>
        </w:numPr>
        <w:pStyle w:val="Compact"/>
      </w:pPr>
      <w:r>
        <w:t xml:space="preserve">2015 · Kahal H ·</w:t>
      </w:r>
      <w:r>
        <w:t xml:space="preserve"> </w:t>
      </w:r>
      <w:r>
        <w:rPr>
          <w:iCs/>
          <w:i/>
        </w:rPr>
        <w:t xml:space="preserve">BMC Endocr Disord</w:t>
      </w:r>
      <w:r>
        <w:t xml:space="preserve"> </w:t>
      </w:r>
      <w:r>
        <w:t xml:space="preserve">· The effects of treatment with liraglutide on atherothrombotic risk in obese young women with polycystic ovary syndrome and controls. PMID 25880805</w:t>
      </w:r>
    </w:p>
    <w:p>
      <w:pPr>
        <w:numPr>
          <w:ilvl w:val="0"/>
          <w:numId w:val="1377"/>
        </w:numPr>
        <w:pStyle w:val="Compact"/>
      </w:pPr>
      <w:r>
        <w:t xml:space="preserve">2015 · Robert SA ·</w:t>
      </w:r>
      <w:r>
        <w:t xml:space="preserve"> </w:t>
      </w:r>
      <w:r>
        <w:rPr>
          <w:iCs/>
          <w:i/>
        </w:rPr>
        <w:t xml:space="preserve">Obes Res Clin Pract</w:t>
      </w:r>
      <w:r>
        <w:t xml:space="preserve"> </w:t>
      </w:r>
      <w:r>
        <w:t xml:space="preserve">· Improvement in binge eating in non-diabetic obese individuals after 3 months of treatment with liraglutide - A pilot study. PMID 25870084</w:t>
      </w:r>
    </w:p>
    <w:p>
      <w:pPr>
        <w:numPr>
          <w:ilvl w:val="0"/>
          <w:numId w:val="1377"/>
        </w:numPr>
        <w:pStyle w:val="Compact"/>
      </w:pPr>
      <w:r>
        <w:t xml:space="preserve">2015 · Pieber TR ·</w:t>
      </w:r>
      <w:r>
        <w:t xml:space="preserve"> </w:t>
      </w:r>
      <w:r>
        <w:rPr>
          <w:iCs/>
          <w:i/>
        </w:rPr>
        <w:t xml:space="preserve">Diabetes Obes Metab</w:t>
      </w:r>
      <w:r>
        <w:t xml:space="preserve"> </w:t>
      </w:r>
      <w:r>
        <w:t xml:space="preserve">· Counter-regulatory hormone responses to hypoglycaemia in people with type 1 diabetes after 4 weeks of treatment with liraglutide adjunct to insulin: a randomized, placebo-controlled, double-blind, crossover trial. PMID 25855340</w:t>
      </w:r>
    </w:p>
    <w:p>
      <w:pPr>
        <w:numPr>
          <w:ilvl w:val="0"/>
          <w:numId w:val="1377"/>
        </w:numPr>
        <w:pStyle w:val="Compact"/>
      </w:pPr>
      <w:r>
        <w:t xml:space="preserve">2015 · Myat A ·</w:t>
      </w:r>
      <w:r>
        <w:t xml:space="preserve"> </w:t>
      </w:r>
      <w:r>
        <w:rPr>
          <w:iCs/>
          <w:i/>
        </w:rPr>
        <w:t xml:space="preserve">Cardiovasc Diabetol</w:t>
      </w:r>
      <w:r>
        <w:t xml:space="preserve"> </w:t>
      </w:r>
      <w:r>
        <w:t xml:space="preserve">· Design and rationale for the randomised, double-blinded, placebo-controlled Liraglutide to Improve corONary haemodynamics during Exercise streSS (LIONESS) crossover study. PMID 25848859</w:t>
      </w:r>
    </w:p>
    <w:p>
      <w:pPr>
        <w:numPr>
          <w:ilvl w:val="0"/>
          <w:numId w:val="1377"/>
        </w:numPr>
        <w:pStyle w:val="Compact"/>
      </w:pPr>
      <w:r>
        <w:t xml:space="preserve">2015 · Dejgaard TF ·</w:t>
      </w:r>
      <w:r>
        <w:t xml:space="preserve"> </w:t>
      </w:r>
      <w:r>
        <w:rPr>
          <w:iCs/>
          <w:i/>
        </w:rPr>
        <w:t xml:space="preserve">BMJ Open</w:t>
      </w:r>
      <w:r>
        <w:t xml:space="preserve"> </w:t>
      </w:r>
      <w:r>
        <w:t xml:space="preserve">· Efficacy and safety of the glucagon-like peptide-1 receptor agonist liraglutide added to insulin therapy in poorly regulated patients with type 1 diabetes–a protocol for a randomised, double-blind, placebo-controlled study: the Lira-1 study. PMID 25838513</w:t>
      </w:r>
    </w:p>
    <w:p>
      <w:pPr>
        <w:numPr>
          <w:ilvl w:val="0"/>
          <w:numId w:val="1377"/>
        </w:numPr>
        <w:pStyle w:val="Compact"/>
      </w:pPr>
      <w:r>
        <w:t xml:space="preserve">2015 · de Luis DA ·</w:t>
      </w:r>
      <w:r>
        <w:t xml:space="preserve"> </w:t>
      </w:r>
      <w:r>
        <w:rPr>
          <w:iCs/>
          <w:i/>
        </w:rPr>
        <w:t xml:space="preserve">J Diabetes Complications</w:t>
      </w:r>
      <w:r>
        <w:t xml:space="preserve"> </w:t>
      </w:r>
      <w:r>
        <w:t xml:space="preserve">· Evaluation of weight loss and metabolic changes in diabetic patients treated with liraglutide, effect of RS 6923761 gene variant of glucagon-like peptide 1 receptor. PMID 25825013</w:t>
      </w:r>
    </w:p>
    <w:p>
      <w:pPr>
        <w:numPr>
          <w:ilvl w:val="0"/>
          <w:numId w:val="1377"/>
        </w:numPr>
        <w:pStyle w:val="Compact"/>
      </w:pPr>
      <w:r>
        <w:t xml:space="preserve">2015 · Tang A ·</w:t>
      </w:r>
      <w:r>
        <w:t xml:space="preserve"> </w:t>
      </w:r>
      <w:r>
        <w:rPr>
          <w:iCs/>
          <w:i/>
        </w:rPr>
        <w:t xml:space="preserve">Diabetes Care</w:t>
      </w:r>
      <w:r>
        <w:t xml:space="preserve"> </w:t>
      </w:r>
      <w:r>
        <w:t xml:space="preserve">· Effects of Insulin Glargine and Liraglutide Therapy on Liver Fat as Measured by Magnetic Resonance in Patients With Type 2 Diabetes: A Randomized Trial. PMID 25813773</w:t>
      </w:r>
    </w:p>
    <w:p>
      <w:pPr>
        <w:numPr>
          <w:ilvl w:val="0"/>
          <w:numId w:val="1377"/>
        </w:numPr>
        <w:pStyle w:val="Compact"/>
      </w:pPr>
      <w:r>
        <w:t xml:space="preserve">2015 · Tanaka K ·</w:t>
      </w:r>
      <w:r>
        <w:t xml:space="preserve"> </w:t>
      </w:r>
      <w:r>
        <w:rPr>
          <w:iCs/>
          <w:i/>
        </w:rPr>
        <w:t xml:space="preserve">Endocr J</w:t>
      </w:r>
      <w:r>
        <w:t xml:space="preserve"> </w:t>
      </w:r>
      <w:r>
        <w:t xml:space="preserve">· Efficacy and safety of liraglutide monotherapy compared with metformin in Japanese overweight/obese patients with type 2 diabetes. PMID 25739726</w:t>
      </w:r>
    </w:p>
    <w:p>
      <w:pPr>
        <w:numPr>
          <w:ilvl w:val="0"/>
          <w:numId w:val="1377"/>
        </w:numPr>
        <w:pStyle w:val="Compact"/>
      </w:pPr>
      <w:r>
        <w:t xml:space="preserve">2015 · Ingwersen SH ·</w:t>
      </w:r>
      <w:r>
        <w:t xml:space="preserve"> </w:t>
      </w:r>
      <w:r>
        <w:rPr>
          <w:iCs/>
          <w:i/>
        </w:rPr>
        <w:t xml:space="preserve">Diabetes Res Clin Pract</w:t>
      </w:r>
      <w:r>
        <w:t xml:space="preserve"> </w:t>
      </w:r>
      <w:r>
        <w:t xml:space="preserve">· Liraglutide pharmacokinetics and dose-exposure response in Asian subjects with Type 2 diabetes from China, India and South Korea. PMID 25684604</w:t>
      </w:r>
    </w:p>
    <w:p>
      <w:pPr>
        <w:numPr>
          <w:ilvl w:val="0"/>
          <w:numId w:val="1377"/>
        </w:numPr>
        <w:pStyle w:val="Compact"/>
      </w:pPr>
      <w:r>
        <w:t xml:space="preserve">2015 · Inoue Y ·</w:t>
      </w:r>
      <w:r>
        <w:t xml:space="preserve"> </w:t>
      </w:r>
      <w:r>
        <w:rPr>
          <w:iCs/>
          <w:i/>
        </w:rPr>
        <w:t xml:space="preserve">J Clin Pharmacol</w:t>
      </w:r>
      <w:r>
        <w:t xml:space="preserve"> </w:t>
      </w:r>
      <w:r>
        <w:t xml:space="preserve">· A randomized controlled trial of liraglutide versus insulin detemir plus sitagliptin: Effective switch from intensive insulin therapy to the once-daily injection in patients with well-controlled type 2 diabetes. PMID 25677642</w:t>
      </w:r>
    </w:p>
    <w:p>
      <w:pPr>
        <w:numPr>
          <w:ilvl w:val="0"/>
          <w:numId w:val="1377"/>
        </w:numPr>
        <w:pStyle w:val="Compact"/>
      </w:pPr>
      <w:r>
        <w:t xml:space="preserve">2015 · Daniels GH ·</w:t>
      </w:r>
      <w:r>
        <w:t xml:space="preserve"> </w:t>
      </w:r>
      <w:r>
        <w:rPr>
          <w:iCs/>
          <w:i/>
        </w:rPr>
        <w:t xml:space="preserve">Diabetes Obes Metab</w:t>
      </w:r>
      <w:r>
        <w:t xml:space="preserve"> </w:t>
      </w:r>
      <w:r>
        <w:t xml:space="preserve">· LEADER 2: baseline calcitonin in 9340 people with type 2 diabetes enrolled in the Liraglutide Effect and Action in Diabetes: Evaluation of cardiovascular outcome Results (LEADER) trial: preliminary observations. PMID 25656058</w:t>
      </w:r>
    </w:p>
    <w:p>
      <w:pPr>
        <w:numPr>
          <w:ilvl w:val="0"/>
          <w:numId w:val="1377"/>
        </w:numPr>
        <w:pStyle w:val="Compact"/>
      </w:pPr>
      <w:r>
        <w:t xml:space="preserve">2015 · Feng P ·</w:t>
      </w:r>
      <w:r>
        <w:t xml:space="preserve"> </w:t>
      </w:r>
      <w:r>
        <w:rPr>
          <w:iCs/>
          <w:i/>
        </w:rPr>
        <w:t xml:space="preserve">Acta Pharmacol Sin</w:t>
      </w:r>
      <w:r>
        <w:t xml:space="preserve"> </w:t>
      </w:r>
      <w:r>
        <w:t xml:space="preserve">· Liraglutide reduces the body weight and waist circumference in Chinese overweight and obese type 2 diabetic patients. PMID 25619391</w:t>
      </w:r>
    </w:p>
    <w:p>
      <w:pPr>
        <w:numPr>
          <w:ilvl w:val="0"/>
          <w:numId w:val="1377"/>
        </w:numPr>
        <w:pStyle w:val="Compact"/>
      </w:pPr>
      <w:r>
        <w:t xml:space="preserve">2015 · Petri KC ·</w:t>
      </w:r>
      <w:r>
        <w:t xml:space="preserve"> </w:t>
      </w:r>
      <w:r>
        <w:rPr>
          <w:iCs/>
          <w:i/>
        </w:rPr>
        <w:t xml:space="preserve">Clin Pharmacokinet</w:t>
      </w:r>
      <w:r>
        <w:t xml:space="preserve"> </w:t>
      </w:r>
      <w:r>
        <w:t xml:space="preserve">· Comparable liraglutide pharmacokinetics in pediatric and adult populations with type 2 diabetes: a population pharmacokinetic analysis. PMID 25603819</w:t>
      </w:r>
    </w:p>
    <w:p>
      <w:pPr>
        <w:numPr>
          <w:ilvl w:val="0"/>
          <w:numId w:val="1377"/>
        </w:numPr>
        <w:pStyle w:val="Compact"/>
      </w:pPr>
      <w:r>
        <w:t xml:space="preserve">2015 · Lovshin JA ·</w:t>
      </w:r>
      <w:r>
        <w:t xml:space="preserve"> </w:t>
      </w:r>
      <w:r>
        <w:rPr>
          <w:iCs/>
          <w:i/>
        </w:rPr>
        <w:t xml:space="preserve">Diabetes Care</w:t>
      </w:r>
      <w:r>
        <w:t xml:space="preserve"> </w:t>
      </w:r>
      <w:r>
        <w:t xml:space="preserve">· Liraglutide promotes natriuresis but does not increase circulating levels of atrial natriuretic peptide in hypertensive subjects with type 2 diabetes. PMID 25414155</w:t>
      </w:r>
    </w:p>
    <w:p>
      <w:pPr>
        <w:numPr>
          <w:ilvl w:val="0"/>
          <w:numId w:val="1377"/>
        </w:numPr>
        <w:pStyle w:val="Compact"/>
      </w:pPr>
      <w:r>
        <w:t xml:space="preserve">2015 · Rizzo M ·</w:t>
      </w:r>
      <w:r>
        <w:t xml:space="preserve"> </w:t>
      </w:r>
      <w:r>
        <w:rPr>
          <w:iCs/>
          <w:i/>
        </w:rPr>
        <w:t xml:space="preserve">J Clin Endocrinol Metab</w:t>
      </w:r>
      <w:r>
        <w:t xml:space="preserve"> </w:t>
      </w:r>
      <w:r>
        <w:t xml:space="preserve">· Liraglutide reduces oxidative stress and restores heme oxygenase-1 and ghrelin levels in patients with type 2 diabetes: a prospective pilot study. PMID 25393640</w:t>
      </w:r>
    </w:p>
    <w:p>
      <w:pPr>
        <w:numPr>
          <w:ilvl w:val="0"/>
          <w:numId w:val="1377"/>
        </w:numPr>
        <w:pStyle w:val="Compact"/>
      </w:pPr>
      <w:r>
        <w:t xml:space="preserve">2015 · D’Alessio D ·</w:t>
      </w:r>
      <w:r>
        <w:t xml:space="preserve"> </w:t>
      </w:r>
      <w:r>
        <w:rPr>
          <w:iCs/>
          <w:i/>
        </w:rPr>
        <w:t xml:space="preserve">Diabetes Obes Metab</w:t>
      </w:r>
      <w:r>
        <w:t xml:space="preserve"> </w:t>
      </w:r>
      <w:r>
        <w:t xml:space="preserve">· Comparison of insulin glargine and liraglutide added to oral agents in patients with poorly controlled type 2 diabetes. PMID 25359159</w:t>
      </w:r>
    </w:p>
    <w:p>
      <w:pPr>
        <w:numPr>
          <w:ilvl w:val="0"/>
          <w:numId w:val="1377"/>
        </w:numPr>
        <w:pStyle w:val="Compact"/>
      </w:pPr>
      <w:r>
        <w:t xml:space="preserve">2015 · Jensterle M ·</w:t>
      </w:r>
      <w:r>
        <w:t xml:space="preserve"> </w:t>
      </w:r>
      <w:r>
        <w:rPr>
          <w:iCs/>
          <w:i/>
        </w:rPr>
        <w:t xml:space="preserve">Endocr Res</w:t>
      </w:r>
      <w:r>
        <w:t xml:space="preserve"> </w:t>
      </w:r>
      <w:r>
        <w:t xml:space="preserve">· Short-term intervention with liraglutide improved eating behavior in obese women with polycystic ovary syndrome. PMID 25330463</w:t>
      </w:r>
    </w:p>
    <w:p>
      <w:pPr>
        <w:numPr>
          <w:ilvl w:val="0"/>
          <w:numId w:val="1377"/>
        </w:numPr>
        <w:pStyle w:val="Compact"/>
      </w:pPr>
      <w:r>
        <w:t xml:space="preserve">2015 · Iepsen EW ·</w:t>
      </w:r>
      <w:r>
        <w:t xml:space="preserve"> </w:t>
      </w:r>
      <w:r>
        <w:rPr>
          <w:iCs/>
          <w:i/>
        </w:rPr>
        <w:t xml:space="preserve">Int J Obes (Lond)</w:t>
      </w:r>
      <w:r>
        <w:t xml:space="preserve"> </w:t>
      </w:r>
      <w:r>
        <w:t xml:space="preserve">· Treatment with a GLP-1 receptor agonist diminishes the decrease in free plasma leptin during maintenance of weight loss. PMID 25287751</w:t>
      </w:r>
    </w:p>
    <w:p>
      <w:pPr>
        <w:numPr>
          <w:ilvl w:val="0"/>
          <w:numId w:val="1377"/>
        </w:numPr>
        <w:pStyle w:val="Compact"/>
      </w:pPr>
      <w:r>
        <w:t xml:space="preserve">2015 · von Scholten BJ ·</w:t>
      </w:r>
      <w:r>
        <w:t xml:space="preserve"> </w:t>
      </w:r>
      <w:r>
        <w:rPr>
          <w:iCs/>
          <w:i/>
        </w:rPr>
        <w:t xml:space="preserve">Diabet Med</w:t>
      </w:r>
      <w:r>
        <w:t xml:space="preserve"> </w:t>
      </w:r>
      <w:r>
        <w:t xml:space="preserve">· Time course and mechanisms of the anti-hypertensive and renal effects of liraglutide treatment. PMID 25251901</w:t>
      </w:r>
    </w:p>
    <w:p>
      <w:pPr>
        <w:numPr>
          <w:ilvl w:val="0"/>
          <w:numId w:val="1377"/>
        </w:numPr>
        <w:pStyle w:val="Compact"/>
      </w:pPr>
      <w:r>
        <w:t xml:space="preserve">2015 · Lind M ·</w:t>
      </w:r>
      <w:r>
        <w:t xml:space="preserve"> </w:t>
      </w:r>
      <w:r>
        <w:rPr>
          <w:iCs/>
          <w:i/>
        </w:rPr>
        <w:t xml:space="preserve">Prim Care Diabetes</w:t>
      </w:r>
      <w:r>
        <w:t xml:space="preserve"> </w:t>
      </w:r>
      <w:r>
        <w:t xml:space="preserve">· Design and methods of a randomised double-blind trial of adding liraglutide to control HbA1c in patients with type 2 diabetes with impaired glycaemic control treated with multiple daily insulin injections (MDI-Liraglutide trial). PMID 25175385</w:t>
      </w:r>
    </w:p>
    <w:p>
      <w:pPr>
        <w:numPr>
          <w:ilvl w:val="0"/>
          <w:numId w:val="1377"/>
        </w:numPr>
        <w:pStyle w:val="Compact"/>
      </w:pPr>
      <w:r>
        <w:t xml:space="preserve">2015 · Faurschou A ·</w:t>
      </w:r>
      <w:r>
        <w:t xml:space="preserve"> </w:t>
      </w:r>
      <w:r>
        <w:rPr>
          <w:iCs/>
          <w:i/>
        </w:rPr>
        <w:t xml:space="preserve">J Eur Acad Dermatol Venereol</w:t>
      </w:r>
      <w:r>
        <w:t xml:space="preserve"> </w:t>
      </w:r>
      <w:r>
        <w:t xml:space="preserve">· Lack of effect of the glucagon-like peptide-1 receptor agonist liraglutide on psoriasis in glucose-tolerant patients–a randomized placebo-controlled trial. PMID 25139195</w:t>
      </w:r>
    </w:p>
    <w:p>
      <w:pPr>
        <w:numPr>
          <w:ilvl w:val="0"/>
          <w:numId w:val="1377"/>
        </w:numPr>
        <w:pStyle w:val="Compact"/>
      </w:pPr>
      <w:r>
        <w:t xml:space="preserve">2014 · Osonoi T ·</w:t>
      </w:r>
      <w:r>
        <w:t xml:space="preserve"> </w:t>
      </w:r>
      <w:r>
        <w:rPr>
          <w:iCs/>
          <w:i/>
        </w:rPr>
        <w:t xml:space="preserve">PLoS One</w:t>
      </w:r>
      <w:r>
        <w:t xml:space="preserve"> </w:t>
      </w:r>
      <w:r>
        <w:t xml:space="preserve">· Effect of hemodialysis on plasma glucose profile and plasma level of liraglutide in patients with type 2 diabetes mellitus and end-stage renal disease: a pilot study. PMID 25526642</w:t>
      </w:r>
    </w:p>
    <w:p>
      <w:pPr>
        <w:numPr>
          <w:ilvl w:val="0"/>
          <w:numId w:val="1377"/>
        </w:numPr>
        <w:pStyle w:val="Compact"/>
      </w:pPr>
      <w:r>
        <w:t xml:space="preserve">2014 · Polderman JA ·</w:t>
      </w:r>
      <w:r>
        <w:t xml:space="preserve"> </w:t>
      </w:r>
      <w:r>
        <w:rPr>
          <w:iCs/>
          <w:i/>
        </w:rPr>
        <w:t xml:space="preserve">BMC Anesthesiol</w:t>
      </w:r>
      <w:r>
        <w:t xml:space="preserve"> </w:t>
      </w:r>
      <w:r>
        <w:t xml:space="preserve">· Study protocol of a randomised controlled trial comparing perioperative intravenous insulin, GIK or GLP-1 treatment in diabetes-PILGRIM trial. PMID 25419179</w:t>
      </w:r>
    </w:p>
    <w:p>
      <w:pPr>
        <w:numPr>
          <w:ilvl w:val="0"/>
          <w:numId w:val="1377"/>
        </w:numPr>
        <w:pStyle w:val="Compact"/>
      </w:pPr>
      <w:r>
        <w:t xml:space="preserve">2014 · Steinberg WM ·</w:t>
      </w:r>
      <w:r>
        <w:t xml:space="preserve"> </w:t>
      </w:r>
      <w:r>
        <w:rPr>
          <w:iCs/>
          <w:i/>
        </w:rPr>
        <w:t xml:space="preserve">Pancreas</w:t>
      </w:r>
      <w:r>
        <w:t xml:space="preserve"> </w:t>
      </w:r>
      <w:r>
        <w:t xml:space="preserve">· LEADER 3–lipase and amylase activity in subjects with type 2 diabetes: baseline data from over 9000 subjects in the LEADER Trial. PMID 25275271</w:t>
      </w:r>
    </w:p>
    <w:p>
      <w:pPr>
        <w:numPr>
          <w:ilvl w:val="0"/>
          <w:numId w:val="1377"/>
        </w:numPr>
        <w:pStyle w:val="Compact"/>
      </w:pPr>
      <w:r>
        <w:t xml:space="preserve">2014 · Retnakaran R ·</w:t>
      </w:r>
      <w:r>
        <w:t xml:space="preserve"> </w:t>
      </w:r>
      <w:r>
        <w:rPr>
          <w:iCs/>
          <w:i/>
        </w:rPr>
        <w:t xml:space="preserve">Diabetes Care</w:t>
      </w:r>
      <w:r>
        <w:t xml:space="preserve"> </w:t>
      </w:r>
      <w:r>
        <w:t xml:space="preserve">· Liraglutide and the preservation of pancreatic β-cell function in early type 2 diabetes: the LIBRA trial. PMID 25249651</w:t>
      </w:r>
    </w:p>
    <w:p>
      <w:pPr>
        <w:numPr>
          <w:ilvl w:val="0"/>
          <w:numId w:val="1377"/>
        </w:numPr>
        <w:pStyle w:val="Compact"/>
      </w:pPr>
      <w:r>
        <w:t xml:space="preserve">2014 · Nandy D ·</w:t>
      </w:r>
      <w:r>
        <w:t xml:space="preserve"> </w:t>
      </w:r>
      <w:r>
        <w:rPr>
          <w:iCs/>
          <w:i/>
        </w:rPr>
        <w:t xml:space="preserve">Diab Vasc Dis Res</w:t>
      </w:r>
      <w:r>
        <w:t xml:space="preserve"> </w:t>
      </w:r>
      <w:r>
        <w:t xml:space="preserve">· The effect of liraglutide on endothelial function in patients with type 2 diabetes. PMID 25212693</w:t>
      </w:r>
    </w:p>
    <w:p>
      <w:pPr>
        <w:numPr>
          <w:ilvl w:val="0"/>
          <w:numId w:val="1377"/>
        </w:numPr>
        <w:pStyle w:val="Compact"/>
      </w:pPr>
      <w:r>
        <w:t xml:space="preserve">2014 · Gough SC ·</w:t>
      </w:r>
      <w:r>
        <w:t xml:space="preserve"> </w:t>
      </w:r>
      <w:r>
        <w:rPr>
          <w:iCs/>
          <w:i/>
        </w:rPr>
        <w:t xml:space="preserve">Lancet Diabetes Endocrinol</w:t>
      </w:r>
      <w:r>
        <w:t xml:space="preserve"> </w:t>
      </w:r>
      <w:r>
        <w:t xml:space="preserve">· Efficacy and safety of a fixed-ratio combination of insulin degludec and liraglutide (IDegLira) compared with its components given alone: results of a phase 3, open-label, randomised, 26-week, treat-to-target trial in insulin-naive patients with type 2 diabetes. PMID 25190523</w:t>
      </w:r>
    </w:p>
    <w:p>
      <w:pPr>
        <w:numPr>
          <w:ilvl w:val="0"/>
          <w:numId w:val="1377"/>
        </w:numPr>
        <w:pStyle w:val="Compact"/>
      </w:pPr>
      <w:r>
        <w:t xml:space="preserve">2014 · Voukali M ·</w:t>
      </w:r>
      <w:r>
        <w:t xml:space="preserve"> </w:t>
      </w:r>
      <w:r>
        <w:rPr>
          <w:iCs/>
          <w:i/>
        </w:rPr>
        <w:t xml:space="preserve">J Diabetes Res</w:t>
      </w:r>
      <w:r>
        <w:t xml:space="preserve"> </w:t>
      </w:r>
      <w:r>
        <w:t xml:space="preserve">· Study of postprandial lipaemia in type 2 diabetes mellitus: exenatide versus liraglutide. PMID 25165723</w:t>
      </w:r>
    </w:p>
    <w:p>
      <w:pPr>
        <w:numPr>
          <w:ilvl w:val="0"/>
          <w:numId w:val="1377"/>
        </w:numPr>
        <w:pStyle w:val="Compact"/>
      </w:pPr>
      <w:r>
        <w:t xml:space="preserve">2014 · Buse JB ·</w:t>
      </w:r>
      <w:r>
        <w:t xml:space="preserve"> </w:t>
      </w:r>
      <w:r>
        <w:rPr>
          <w:iCs/>
          <w:i/>
        </w:rPr>
        <w:t xml:space="preserve">Diabetes Care</w:t>
      </w:r>
      <w:r>
        <w:t xml:space="preserve"> </w:t>
      </w:r>
      <w:r>
        <w:t xml:space="preserve">· Contribution of liraglutide in the fixed-ratio combination of insulin degludec and liraglutide (IDegLira). PMID 25114296</w:t>
      </w:r>
    </w:p>
    <w:p>
      <w:pPr>
        <w:numPr>
          <w:ilvl w:val="0"/>
          <w:numId w:val="1377"/>
        </w:numPr>
        <w:pStyle w:val="Compact"/>
      </w:pPr>
      <w:r>
        <w:t xml:space="preserve">2014 · Klein DJ ·</w:t>
      </w:r>
      <w:r>
        <w:t xml:space="preserve"> </w:t>
      </w:r>
      <w:r>
        <w:rPr>
          <w:iCs/>
          <w:i/>
        </w:rPr>
        <w:t xml:space="preserve">Diabetes Technol Ther</w:t>
      </w:r>
      <w:r>
        <w:t xml:space="preserve"> </w:t>
      </w:r>
      <w:r>
        <w:t xml:space="preserve">· Liraglutide’s safety, tolerability, pharmacokinetics, and pharmacodynamics in pediatric type 2 diabetes: a randomized, double-blind, placebo-controlled trial. PMID 25036533</w:t>
      </w:r>
    </w:p>
    <w:p>
      <w:pPr>
        <w:numPr>
          <w:ilvl w:val="0"/>
          <w:numId w:val="1377"/>
        </w:numPr>
        <w:pStyle w:val="Compact"/>
      </w:pPr>
      <w:r>
        <w:t xml:space="preserve">2014 · Anholm C ·</w:t>
      </w:r>
      <w:r>
        <w:t xml:space="preserve"> </w:t>
      </w:r>
      <w:r>
        <w:rPr>
          <w:iCs/>
          <w:i/>
        </w:rPr>
        <w:t xml:space="preserve">BMJ Open</w:t>
      </w:r>
      <w:r>
        <w:t xml:space="preserve"> </w:t>
      </w:r>
      <w:r>
        <w:t xml:space="preserve">· Adding liraglutide to the backbone therapy of biguanide in patients with coronary artery disease and newly diagnosed type-2 diabetes (the AddHope2 study): a randomised controlled study protocol. PMID 25031198</w:t>
      </w:r>
    </w:p>
    <w:p>
      <w:pPr>
        <w:numPr>
          <w:ilvl w:val="0"/>
          <w:numId w:val="1377"/>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7"/>
        </w:numPr>
        <w:pStyle w:val="Compact"/>
      </w:pPr>
      <w:r>
        <w:t xml:space="preserve">2014 · de Wit HM ·</w:t>
      </w:r>
      <w:r>
        <w:t xml:space="preserve"> </w:t>
      </w:r>
      <w:r>
        <w:rPr>
          <w:iCs/>
          <w:i/>
        </w:rPr>
        <w:t xml:space="preserve">Diabetologia</w:t>
      </w:r>
      <w:r>
        <w:t xml:space="preserve"> </w:t>
      </w:r>
      <w:r>
        <w:t xml:space="preserve">· Liraglutide reverses pronounced insulin-associated weight gain, improves glycaemic control and decreases insulin dose in patients with type 2 diabetes: a 26 week, randomised clinical trial (ELEGANT). PMID 24947583</w:t>
      </w:r>
    </w:p>
    <w:p>
      <w:pPr>
        <w:numPr>
          <w:ilvl w:val="0"/>
          <w:numId w:val="1377"/>
        </w:numPr>
        <w:pStyle w:val="Compact"/>
      </w:pPr>
      <w:r>
        <w:t xml:space="preserve">2014 · Østoft SH ·</w:t>
      </w:r>
      <w:r>
        <w:t xml:space="preserve"> </w:t>
      </w:r>
      <w:r>
        <w:rPr>
          <w:iCs/>
          <w:i/>
        </w:rPr>
        <w:t xml:space="preserve">Diabetes Care</w:t>
      </w:r>
      <w:r>
        <w:t xml:space="preserve"> </w:t>
      </w:r>
      <w:r>
        <w:t xml:space="preserve">· Glucose-lowering effects and low risk of hypoglycemia in patients with maturity-onset diabetes of the young when treated with a GLP-1 receptor agonist: a double-blind, randomized, crossover trial. PMID 24929431</w:t>
      </w:r>
    </w:p>
    <w:p>
      <w:pPr>
        <w:numPr>
          <w:ilvl w:val="0"/>
          <w:numId w:val="1377"/>
        </w:numPr>
        <w:pStyle w:val="Compact"/>
      </w:pPr>
      <w:r>
        <w:t xml:space="preserve">2014 · Jorsal A ·</w:t>
      </w:r>
      <w:r>
        <w:t xml:space="preserve"> </w:t>
      </w:r>
      <w:r>
        <w:rPr>
          <w:iCs/>
          <w:i/>
        </w:rPr>
        <w:t xml:space="preserve">BMJ Open</w:t>
      </w:r>
      <w:r>
        <w:t xml:space="preserve"> </w:t>
      </w:r>
      <w:r>
        <w:t xml:space="preserve">· A protocol for a randomised, double-blind, placebo-controlled study of the effect of LIraglutide on left VEntricular function in chronic heart failure patients with and without type 2 diabetes (The LIVE Study). PMID 24844271</w:t>
      </w:r>
    </w:p>
    <w:p>
      <w:pPr>
        <w:numPr>
          <w:ilvl w:val="0"/>
          <w:numId w:val="1377"/>
        </w:numPr>
        <w:pStyle w:val="Compact"/>
      </w:pPr>
      <w:r>
        <w:t xml:space="preserve">2014 · Li CJ ·</w:t>
      </w:r>
      <w:r>
        <w:t xml:space="preserve"> </w:t>
      </w:r>
      <w:r>
        <w:rPr>
          <w:iCs/>
          <w:i/>
        </w:rPr>
        <w:t xml:space="preserve">Exp Clin Endocrinol Diabetes</w:t>
      </w:r>
      <w:r>
        <w:t xml:space="preserve"> </w:t>
      </w:r>
      <w:r>
        <w:t xml:space="preserve">· Efficacy and safety comparison of add-on therapy with liraglutide, saxagliptin and vildagliptin, all in combination with current conventional oral hypoglycemic agents therapy in poorly controlled Chinese type 2 diabetes. PMID 24838155</w:t>
      </w:r>
    </w:p>
    <w:p>
      <w:pPr>
        <w:numPr>
          <w:ilvl w:val="0"/>
          <w:numId w:val="1377"/>
        </w:numPr>
        <w:pStyle w:val="Compact"/>
      </w:pPr>
      <w:r>
        <w:t xml:space="preserve">2014 · Pratley RE ·</w:t>
      </w:r>
      <w:r>
        <w:t xml:space="preserve"> </w:t>
      </w:r>
      <w:r>
        <w:rPr>
          <w:iCs/>
          <w:i/>
        </w:rPr>
        <w:t xml:space="preserve">Lancet Diabetes Endocrinol</w:t>
      </w:r>
      <w:r>
        <w:t xml:space="preserve"> </w:t>
      </w:r>
      <w:r>
        <w:t xml:space="preserve">· Once-weekly albiglutide versus once-daily liraglutide in patients with type 2 diabetes inadequately controlled on oral drugs (HARMONY 7): a randomised, open-label, multicentre, non-inferiority phase 3 study. PMID 24703047</w:t>
      </w:r>
    </w:p>
    <w:p>
      <w:pPr>
        <w:numPr>
          <w:ilvl w:val="0"/>
          <w:numId w:val="1377"/>
        </w:numPr>
        <w:pStyle w:val="Compact"/>
      </w:pPr>
      <w:r>
        <w:t xml:space="preserve">2014 · Larsen JR ·</w:t>
      </w:r>
      <w:r>
        <w:t xml:space="preserve"> </w:t>
      </w:r>
      <w:r>
        <w:rPr>
          <w:iCs/>
          <w:i/>
        </w:rPr>
        <w:t xml:space="preserve">BMJ Open</w:t>
      </w:r>
      <w:r>
        <w:t xml:space="preserve"> </w:t>
      </w:r>
      <w:r>
        <w:t xml:space="preserve">· Does a GLP-1 receptor agonist change glucose tolerance in patients treated with antipsychotic medications? Design of a randomised, double-blinded, placebo-controlled clinical trial. PMID 24667381</w:t>
      </w:r>
    </w:p>
    <w:p>
      <w:pPr>
        <w:numPr>
          <w:ilvl w:val="0"/>
          <w:numId w:val="1377"/>
        </w:numPr>
        <w:pStyle w:val="Compact"/>
      </w:pPr>
      <w:r>
        <w:t xml:space="preserve">2014 · Lane W ·</w:t>
      </w:r>
      <w:r>
        <w:t xml:space="preserve"> </w:t>
      </w:r>
      <w:r>
        <w:rPr>
          <w:iCs/>
          <w:i/>
        </w:rPr>
        <w:t xml:space="preserve">Diabetes Obes Metab</w:t>
      </w:r>
      <w:r>
        <w:t xml:space="preserve"> </w:t>
      </w:r>
      <w:r>
        <w:t xml:space="preserve">· The effect of addition of liraglutide to high-dose intensive insulin therapy: a randomized prospective trial. PMID 24589127</w:t>
      </w:r>
    </w:p>
    <w:p>
      <w:pPr>
        <w:numPr>
          <w:ilvl w:val="0"/>
          <w:numId w:val="1377"/>
        </w:numPr>
        <w:pStyle w:val="Compact"/>
      </w:pPr>
      <w:r>
        <w:t xml:space="preserve">2014 · Rizzo M ·</w:t>
      </w:r>
      <w:r>
        <w:t xml:space="preserve"> </w:t>
      </w:r>
      <w:r>
        <w:rPr>
          <w:iCs/>
          <w:i/>
        </w:rPr>
        <w:t xml:space="preserve">Cardiovasc Diabetol</w:t>
      </w:r>
      <w:r>
        <w:t xml:space="preserve"> </w:t>
      </w:r>
      <w:r>
        <w:t xml:space="preserve">· Liraglutide decreases carotid intima-media thickness in patients with type 2 diabetes: 8-month prospective pilot study. PMID 24559258</w:t>
      </w:r>
    </w:p>
    <w:p>
      <w:pPr>
        <w:numPr>
          <w:ilvl w:val="0"/>
          <w:numId w:val="1377"/>
        </w:numPr>
        <w:pStyle w:val="Compact"/>
      </w:pPr>
      <w:r>
        <w:t xml:space="preserve">2014 · Breitschaft A ·</w:t>
      </w:r>
      <w:r>
        <w:t xml:space="preserve"> </w:t>
      </w:r>
      <w:r>
        <w:rPr>
          <w:iCs/>
          <w:i/>
        </w:rPr>
        <w:t xml:space="preserve">Diabetes Res Clin Pract</w:t>
      </w:r>
      <w:r>
        <w:t xml:space="preserve"> </w:t>
      </w:r>
      <w:r>
        <w:t xml:space="preserve">· Management of hyperglycemia associated with pasireotide (SOM230): healthy volunteer study. PMID 24461109</w:t>
      </w:r>
    </w:p>
    <w:p>
      <w:pPr>
        <w:numPr>
          <w:ilvl w:val="0"/>
          <w:numId w:val="1377"/>
        </w:numPr>
        <w:pStyle w:val="Compact"/>
      </w:pPr>
      <w:r>
        <w:t xml:space="preserve">2014 · Mathieu C ·</w:t>
      </w:r>
      <w:r>
        <w:t xml:space="preserve"> </w:t>
      </w:r>
      <w:r>
        <w:rPr>
          <w:iCs/>
          <w:i/>
        </w:rPr>
        <w:t xml:space="preserve">Diabetes Obes Metab</w:t>
      </w:r>
      <w:r>
        <w:t xml:space="preserve"> </w:t>
      </w:r>
      <w:r>
        <w:t xml:space="preserve">· A comparison of adding liraglutide versus a single daily dose of insulin aspart to insulin degludec in subjects with type 2 diabetes (BEGIN: VICTOZA ADD-ON). PMID 24443830</w:t>
      </w:r>
    </w:p>
    <w:p>
      <w:pPr>
        <w:numPr>
          <w:ilvl w:val="0"/>
          <w:numId w:val="1377"/>
        </w:numPr>
        <w:pStyle w:val="Compact"/>
      </w:pPr>
      <w:r>
        <w:t xml:space="preserve">2014 · Brady EM ·</w:t>
      </w:r>
      <w:r>
        <w:t xml:space="preserve"> </w:t>
      </w:r>
      <w:r>
        <w:rPr>
          <w:iCs/>
          <w:i/>
        </w:rPr>
        <w:t xml:space="preserve">Diabetes Obes Metab</w:t>
      </w:r>
      <w:r>
        <w:t xml:space="preserve"> </w:t>
      </w:r>
      <w:r>
        <w:t xml:space="preserve">· A randomized controlled trial comparing the GLP-1 receptor agonist liraglutide to a sulphonylurea as add on to metformin in patients with established type 2 diabetes during Ramadan: the Treat 4 Ramadan Trial. PMID 24373063</w:t>
      </w:r>
    </w:p>
    <w:p>
      <w:pPr>
        <w:numPr>
          <w:ilvl w:val="0"/>
          <w:numId w:val="1377"/>
        </w:numPr>
        <w:pStyle w:val="Compact"/>
      </w:pPr>
      <w:r>
        <w:t xml:space="preserve">2014 · Jensterle Sever M ·</w:t>
      </w:r>
      <w:r>
        <w:t xml:space="preserve"> </w:t>
      </w:r>
      <w:r>
        <w:rPr>
          <w:iCs/>
          <w:i/>
        </w:rPr>
        <w:t xml:space="preserve">Eur J Endocrinol</w:t>
      </w:r>
      <w:r>
        <w:t xml:space="preserve"> </w:t>
      </w:r>
      <w:r>
        <w:t xml:space="preserve">· Short-term combined treatment with liraglutide and metformin leads to significant weight loss in obese women with polycystic ovary syndrome and previous poor response to metformin. PMID 24362411</w:t>
      </w:r>
    </w:p>
    <w:p>
      <w:pPr>
        <w:numPr>
          <w:ilvl w:val="0"/>
          <w:numId w:val="1377"/>
        </w:numPr>
        <w:pStyle w:val="Compact"/>
      </w:pPr>
      <w:r>
        <w:t xml:space="preserve">2014 · Kim SH ·</w:t>
      </w:r>
      <w:r>
        <w:t xml:space="preserve"> </w:t>
      </w:r>
      <w:r>
        <w:rPr>
          <w:iCs/>
          <w:i/>
        </w:rPr>
        <w:t xml:space="preserve">Diabetologia</w:t>
      </w:r>
      <w:r>
        <w:t xml:space="preserve"> </w:t>
      </w:r>
      <w:r>
        <w:t xml:space="preserve">· Pancreatic beta cell function following liraglutide-augmented weight loss in individuals with prediabetes: analysis of a randomised, placebo-controlled study. PMID 24326527</w:t>
      </w:r>
    </w:p>
    <w:p>
      <w:pPr>
        <w:numPr>
          <w:ilvl w:val="0"/>
          <w:numId w:val="1377"/>
        </w:numPr>
        <w:pStyle w:val="Compact"/>
      </w:pPr>
      <w:r>
        <w:t xml:space="preserve">2014 · Nagai Y ·</w:t>
      </w:r>
      <w:r>
        <w:t xml:space="preserve"> </w:t>
      </w:r>
      <w:r>
        <w:rPr>
          <w:iCs/>
          <w:i/>
        </w:rPr>
        <w:t xml:space="preserve">Diabetes Obes Metab</w:t>
      </w:r>
      <w:r>
        <w:t xml:space="preserve"> </w:t>
      </w:r>
      <w:r>
        <w:t xml:space="preserve">· Differing effects of liraglutide on gastric emptying in Japanese patients with type 2 diabetes. PMID 24320758</w:t>
      </w:r>
    </w:p>
    <w:p>
      <w:pPr>
        <w:numPr>
          <w:ilvl w:val="0"/>
          <w:numId w:val="1377"/>
        </w:numPr>
        <w:pStyle w:val="Compact"/>
      </w:pPr>
      <w:r>
        <w:t xml:space="preserve">2014 · RISE Consortium ·</w:t>
      </w:r>
      <w:r>
        <w:t xml:space="preserve"> </w:t>
      </w:r>
      <w:r>
        <w:rPr>
          <w:iCs/>
          <w:i/>
        </w:rPr>
        <w:t xml:space="preserve">Diabetes Care</w:t>
      </w:r>
      <w:r>
        <w:t xml:space="preserve"> </w:t>
      </w:r>
      <w:r>
        <w:t xml:space="preserve">· Restoring Insulin Secretion (RISE): design of studies of β-cell preservation in prediabetes and early type 2 diabetes across the life span. PMID 24194506</w:t>
      </w:r>
    </w:p>
    <w:p>
      <w:pPr>
        <w:numPr>
          <w:ilvl w:val="0"/>
          <w:numId w:val="1377"/>
        </w:numPr>
        <w:pStyle w:val="Compact"/>
      </w:pPr>
      <w:r>
        <w:t xml:space="preserve">2014 · van Can J ·</w:t>
      </w:r>
      <w:r>
        <w:t xml:space="preserve"> </w:t>
      </w:r>
      <w:r>
        <w:rPr>
          <w:iCs/>
          <w:i/>
        </w:rPr>
        <w:t xml:space="preserve">Int J Obes (Lond)</w:t>
      </w:r>
      <w:r>
        <w:t xml:space="preserve"> </w:t>
      </w:r>
      <w:r>
        <w:t xml:space="preserve">· Effects of the once-daily GLP-1 analog liraglutide on gastric emptying, glycemic parameters, appetite and energy metabolism in obese, non-diabetic adults. PMID 23999198</w:t>
      </w:r>
    </w:p>
    <w:p>
      <w:pPr>
        <w:numPr>
          <w:ilvl w:val="0"/>
          <w:numId w:val="1377"/>
        </w:numPr>
        <w:pStyle w:val="Compact"/>
      </w:pPr>
      <w:r>
        <w:t xml:space="preserve">2014 · Lean ME ·</w:t>
      </w:r>
      <w:r>
        <w:t xml:space="preserve"> </w:t>
      </w:r>
      <w:r>
        <w:rPr>
          <w:iCs/>
          <w:i/>
        </w:rPr>
        <w:t xml:space="preserve">Int J Obes (Lond)</w:t>
      </w:r>
      <w:r>
        <w:t xml:space="preserve"> </w:t>
      </w:r>
      <w:r>
        <w:t xml:space="preserve">· Tolerability of nausea and vomiting and associations with weight loss in a randomized trial of liraglutide in obese, non-diabetic adults. PMID 23942319</w:t>
      </w:r>
    </w:p>
    <w:p>
      <w:pPr>
        <w:numPr>
          <w:ilvl w:val="0"/>
          <w:numId w:val="1377"/>
        </w:numPr>
        <w:pStyle w:val="Compact"/>
      </w:pPr>
      <w:r>
        <w:t xml:space="preserve">2013 · Marso SP ·</w:t>
      </w:r>
      <w:r>
        <w:t xml:space="preserve"> </w:t>
      </w:r>
      <w:r>
        <w:rPr>
          <w:iCs/>
          <w:i/>
        </w:rPr>
        <w:t xml:space="preserve">Am Heart J</w:t>
      </w:r>
      <w:r>
        <w:t xml:space="preserve"> </w:t>
      </w:r>
      <w:r>
        <w:t xml:space="preserve">· Design of the liraglutide effect and action in diabetes: evaluation of cardiovascular outcome results (LEADER) trial. PMID 24176437</w:t>
      </w:r>
    </w:p>
    <w:p>
      <w:pPr>
        <w:numPr>
          <w:ilvl w:val="0"/>
          <w:numId w:val="1377"/>
        </w:numPr>
        <w:pStyle w:val="Compact"/>
      </w:pPr>
      <w:r>
        <w:t xml:space="preserve">2013 · Imamura S ·</w:t>
      </w:r>
      <w:r>
        <w:t xml:space="preserve"> </w:t>
      </w:r>
      <w:r>
        <w:rPr>
          <w:iCs/>
          <w:i/>
        </w:rPr>
        <w:t xml:space="preserve">Tohoku J Exp Med</w:t>
      </w:r>
      <w:r>
        <w:t xml:space="preserve"> </w:t>
      </w:r>
      <w:r>
        <w:t xml:space="preserve">· The glucagon-like peptide-1 receptor agonist, liraglutide, attenuates the progression of overt diabetic nephropathy in type 2 diabetic patients. PMID 24064677</w:t>
      </w:r>
    </w:p>
    <w:p>
      <w:pPr>
        <w:numPr>
          <w:ilvl w:val="0"/>
          <w:numId w:val="1377"/>
        </w:numPr>
        <w:pStyle w:val="Compact"/>
      </w:pPr>
      <w:r>
        <w:t xml:space="preserve">2013 · Kim SH ·</w:t>
      </w:r>
      <w:r>
        <w:t xml:space="preserve"> </w:t>
      </w:r>
      <w:r>
        <w:rPr>
          <w:iCs/>
          <w:i/>
        </w:rPr>
        <w:t xml:space="preserve">Diabetes Care</w:t>
      </w:r>
      <w:r>
        <w:t xml:space="preserve"> </w:t>
      </w:r>
      <w:r>
        <w:t xml:space="preserve">· Benefits of liraglutide treatment in overweight and obese older individuals with prediabetes. PMID 23835684</w:t>
      </w:r>
    </w:p>
    <w:p>
      <w:pPr>
        <w:numPr>
          <w:ilvl w:val="0"/>
          <w:numId w:val="1377"/>
        </w:numPr>
        <w:pStyle w:val="Compact"/>
      </w:pPr>
      <w:r>
        <w:t xml:space="preserve">2013 · Wadden TA ·</w:t>
      </w:r>
      <w:r>
        <w:t xml:space="preserve"> </w:t>
      </w:r>
      <w:r>
        <w:rPr>
          <w:iCs/>
          <w:i/>
        </w:rPr>
        <w:t xml:space="preserve">Int J Obes (Lond)</w:t>
      </w:r>
      <w:r>
        <w:t xml:space="preserve"> </w:t>
      </w:r>
      <w:r>
        <w:t xml:space="preserve">· Weight maintenance and additional weight loss with liraglutide after low-calorie-diet-induced weight loss: the SCALE Maintenance randomized study. PMID 23812094</w:t>
      </w:r>
    </w:p>
    <w:p>
      <w:pPr>
        <w:numPr>
          <w:ilvl w:val="0"/>
          <w:numId w:val="1377"/>
        </w:numPr>
        <w:pStyle w:val="Compact"/>
      </w:pPr>
      <w:r>
        <w:t xml:space="preserve">2013 · Fadini GP ·</w:t>
      </w:r>
      <w:r>
        <w:t xml:space="preserve"> </w:t>
      </w:r>
      <w:r>
        <w:rPr>
          <w:iCs/>
          <w:i/>
        </w:rPr>
        <w:t xml:space="preserve">Acta Diabetol</w:t>
      </w:r>
      <w:r>
        <w:t xml:space="preserve"> </w:t>
      </w:r>
      <w:r>
        <w:t xml:space="preserve">· Independent glucose and weight-reducing effects of Liraglutide in a real-world population of type 2 diabetic outpatients. PMID 23754673</w:t>
      </w:r>
    </w:p>
    <w:p>
      <w:pPr>
        <w:numPr>
          <w:ilvl w:val="0"/>
          <w:numId w:val="1377"/>
        </w:numPr>
        <w:pStyle w:val="Compact"/>
      </w:pPr>
      <w:r>
        <w:t xml:space="preserve">2013 · Rosenstock J ·</w:t>
      </w:r>
      <w:r>
        <w:t xml:space="preserve"> </w:t>
      </w:r>
      <w:r>
        <w:rPr>
          <w:iCs/>
          <w:i/>
        </w:rPr>
        <w:t xml:space="preserve">J Diabetes Complications</w:t>
      </w:r>
      <w:r>
        <w:t xml:space="preserve"> </w:t>
      </w:r>
      <w:r>
        <w:t xml:space="preserve">· One-year sustained glycemic control and weight reduction in type 2 diabetes after addition of liraglutide to metformin followed by insulin detemir according to HbA1c target. PMID 23746555</w:t>
      </w:r>
    </w:p>
    <w:p>
      <w:pPr>
        <w:numPr>
          <w:ilvl w:val="0"/>
          <w:numId w:val="1377"/>
        </w:numPr>
        <w:pStyle w:val="Compact"/>
      </w:pPr>
      <w:r>
        <w:t xml:space="preserve">2013 · Hermansen K ·</w:t>
      </w:r>
      <w:r>
        <w:t xml:space="preserve"> </w:t>
      </w:r>
      <w:r>
        <w:rPr>
          <w:iCs/>
          <w:i/>
        </w:rPr>
        <w:t xml:space="preserve">Diabetes Obes Metab</w:t>
      </w:r>
      <w:r>
        <w:t xml:space="preserve"> </w:t>
      </w:r>
      <w:r>
        <w:t xml:space="preserve">· Liraglutide suppresses postprandial triglyceride and apolipoprotein B48 elevations after a fat-rich meal in patients with type 2 diabetes: a randomized, double-blind, placebo-controlled, cross-over trial. PMID 23683069</w:t>
      </w:r>
    </w:p>
    <w:p>
      <w:pPr>
        <w:numPr>
          <w:ilvl w:val="0"/>
          <w:numId w:val="1377"/>
        </w:numPr>
        <w:pStyle w:val="Compact"/>
      </w:pPr>
      <w:r>
        <w:t xml:space="preserve">2013 · Suzuki D ·</w:t>
      </w:r>
      <w:r>
        <w:t xml:space="preserve"> </w:t>
      </w:r>
      <w:r>
        <w:rPr>
          <w:iCs/>
          <w:i/>
        </w:rPr>
        <w:t xml:space="preserve">Intern Med</w:t>
      </w:r>
      <w:r>
        <w:t xml:space="preserve"> </w:t>
      </w:r>
      <w:r>
        <w:t xml:space="preserve">· Effects of liraglutide, a human glucagon-like peptide-1 analogue, on body weight, body fat area and body fat-related markers in patients with type 2 diabetes mellitus. PMID 23676586</w:t>
      </w:r>
    </w:p>
    <w:p>
      <w:pPr>
        <w:numPr>
          <w:ilvl w:val="0"/>
          <w:numId w:val="1377"/>
        </w:numPr>
        <w:pStyle w:val="Compact"/>
      </w:pPr>
      <w:r>
        <w:t xml:space="preserve">2013 · Charbonnel B ·</w:t>
      </w:r>
      <w:r>
        <w:t xml:space="preserve"> </w:t>
      </w:r>
      <w:r>
        <w:rPr>
          <w:iCs/>
          <w:i/>
        </w:rPr>
        <w:t xml:space="preserve">Diabetologia</w:t>
      </w:r>
      <w:r>
        <w:t xml:space="preserve"> </w:t>
      </w:r>
      <w:r>
        <w:t xml:space="preserve">· Efficacy and safety over 26 weeks of an oral treatment strategy including sitagliptin compared with an injectable treatment strategy with liraglutide in patients with type 2 diabetes mellitus inadequately controlled on metformin: a randomised clinical trial. PMID 23604551</w:t>
      </w:r>
    </w:p>
    <w:p>
      <w:pPr>
        <w:numPr>
          <w:ilvl w:val="0"/>
          <w:numId w:val="1377"/>
        </w:numPr>
        <w:pStyle w:val="Compact"/>
      </w:pPr>
      <w:r>
        <w:t xml:space="preserve">2013 · Flint A ·</w:t>
      </w:r>
      <w:r>
        <w:t xml:space="preserve"> </w:t>
      </w:r>
      <w:r>
        <w:rPr>
          <w:iCs/>
          <w:i/>
        </w:rPr>
        <w:t xml:space="preserve">Diabetes Obes Metab</w:t>
      </w:r>
      <w:r>
        <w:t xml:space="preserve"> </w:t>
      </w:r>
      <w:r>
        <w:t xml:space="preserve">· The once-daily human GLP-1 analogue liraglutide impacts appetite and energy intake in patients with type 2 diabetes after short-term treatment. PMID 23551925</w:t>
      </w:r>
    </w:p>
    <w:p>
      <w:pPr>
        <w:numPr>
          <w:ilvl w:val="0"/>
          <w:numId w:val="1377"/>
        </w:numPr>
        <w:pStyle w:val="Compact"/>
      </w:pPr>
      <w:r>
        <w:t xml:space="preserve">2013 · Kapitza C ·</w:t>
      </w:r>
      <w:r>
        <w:t xml:space="preserve"> </w:t>
      </w:r>
      <w:r>
        <w:rPr>
          <w:iCs/>
          <w:i/>
        </w:rPr>
        <w:t xml:space="preserve">Diabetes Obes Metab</w:t>
      </w:r>
      <w:r>
        <w:t xml:space="preserve"> </w:t>
      </w:r>
      <w:r>
        <w:t xml:space="preserve">· Pharmacodynamic characteristics of lixisenatide once daily versus liraglutide once daily in patients with type 2 diabetes insufficiently controlled on metformin. PMID 23368510</w:t>
      </w:r>
    </w:p>
    <w:p>
      <w:pPr>
        <w:numPr>
          <w:ilvl w:val="0"/>
          <w:numId w:val="1377"/>
        </w:numPr>
        <w:pStyle w:val="Compact"/>
      </w:pPr>
      <w:r>
        <w:t xml:space="preserve">2013 · Yang M ·</w:t>
      </w:r>
      <w:r>
        <w:t xml:space="preserve"> </w:t>
      </w:r>
      <w:r>
        <w:rPr>
          <w:iCs/>
          <w:i/>
        </w:rPr>
        <w:t xml:space="preserve">Diabetes Care</w:t>
      </w:r>
      <w:r>
        <w:t xml:space="preserve"> </w:t>
      </w:r>
      <w:r>
        <w:t xml:space="preserve">· Zinc-α2-glycoprotein is associated with insulin resistance in humans and is regulated by hyperglycemia, hyperinsulinemia, or liraglutide administration: cross-sectional and interventional studies in normal subjects, insulin-resistant subjects, and subjects with newly diagnosed diabetes. PMID 23275352</w:t>
      </w:r>
    </w:p>
    <w:p>
      <w:pPr>
        <w:numPr>
          <w:ilvl w:val="0"/>
          <w:numId w:val="1377"/>
        </w:numPr>
        <w:pStyle w:val="Compact"/>
      </w:pPr>
      <w:r>
        <w:t xml:space="preserve">2013 · Hu W ·</w:t>
      </w:r>
      <w:r>
        <w:t xml:space="preserve"> </w:t>
      </w:r>
      <w:r>
        <w:rPr>
          <w:iCs/>
          <w:i/>
        </w:rPr>
        <w:t xml:space="preserve">J Clin Endocrinol Metab</w:t>
      </w:r>
      <w:r>
        <w:t xml:space="preserve"> </w:t>
      </w:r>
      <w:r>
        <w:t xml:space="preserve">· Circulating Sfrp5 is a signature of obesity-related metabolic disorders and is regulated by glucose and liraglutide in humans. PMID 23185036</w:t>
      </w:r>
    </w:p>
    <w:p>
      <w:pPr>
        <w:numPr>
          <w:ilvl w:val="0"/>
          <w:numId w:val="1377"/>
        </w:numPr>
        <w:pStyle w:val="Compact"/>
      </w:pPr>
      <w:r>
        <w:t xml:space="preserve">2013 · Buse JB ·</w:t>
      </w:r>
      <w:r>
        <w:t xml:space="preserve"> </w:t>
      </w:r>
      <w:r>
        <w:rPr>
          <w:iCs/>
          <w:i/>
        </w:rPr>
        <w:t xml:space="preserve">Lancet</w:t>
      </w:r>
      <w:r>
        <w:t xml:space="preserve"> </w:t>
      </w:r>
      <w:r>
        <w:t xml:space="preserve">· Exenatide once weekly versus liraglutide once daily in patients with type 2 diabetes (DURATION-6): a randomised, open-label study. PMID 23141817</w:t>
      </w:r>
    </w:p>
    <w:p>
      <w:pPr>
        <w:numPr>
          <w:ilvl w:val="0"/>
          <w:numId w:val="1377"/>
        </w:numPr>
        <w:pStyle w:val="Compact"/>
      </w:pPr>
      <w:r>
        <w:t xml:space="preserve">2013 · Iwao T ·</w:t>
      </w:r>
      <w:r>
        <w:t xml:space="preserve"> </w:t>
      </w:r>
      <w:r>
        <w:rPr>
          <w:iCs/>
          <w:i/>
        </w:rPr>
        <w:t xml:space="preserve">J Diabetes Complications</w:t>
      </w:r>
      <w:r>
        <w:t xml:space="preserve"> </w:t>
      </w:r>
      <w:r>
        <w:t xml:space="preserve">· Postprandial serum C-peptide is a useful parameter in the prediction of successful switching to liraglutide monotherapy from complex insulin therapy in Japanese patients with type 2 diabetes. PMID 22863615</w:t>
      </w:r>
    </w:p>
    <w:p>
      <w:pPr>
        <w:numPr>
          <w:ilvl w:val="0"/>
          <w:numId w:val="1377"/>
        </w:numPr>
        <w:pStyle w:val="Compact"/>
      </w:pPr>
      <w:r>
        <w:t xml:space="preserve">2013 · Niswender K ·</w:t>
      </w:r>
      <w:r>
        <w:t xml:space="preserve"> </w:t>
      </w:r>
      <w:r>
        <w:rPr>
          <w:iCs/>
          <w:i/>
        </w:rPr>
        <w:t xml:space="preserve">Diabetes Obes Metab</w:t>
      </w:r>
      <w:r>
        <w:t xml:space="preserve"> </w:t>
      </w:r>
      <w:r>
        <w:t xml:space="preserve">· Weight change with liraglutide and comparator therapies: an analysis of seven phase 3 trials from the liraglutide diabetes development programme. PMID 22862847</w:t>
      </w:r>
    </w:p>
    <w:p>
      <w:pPr>
        <w:numPr>
          <w:ilvl w:val="0"/>
          <w:numId w:val="1377"/>
        </w:numPr>
        <w:pStyle w:val="Compact"/>
      </w:pPr>
      <w:r>
        <w:t xml:space="preserve">2013 · Rotondo A ·</w:t>
      </w:r>
      <w:r>
        <w:t xml:space="preserve"> </w:t>
      </w:r>
      <w:r>
        <w:rPr>
          <w:iCs/>
          <w:i/>
        </w:rPr>
        <w:t xml:space="preserve">Int J Obes (Lond)</w:t>
      </w:r>
      <w:r>
        <w:t xml:space="preserve"> </w:t>
      </w:r>
      <w:r>
        <w:t xml:space="preserve">· Effect of the GLP-1 analog liraglutide on satiation and gastric sensorimotor function during nutrient-drink ingestion. PMID 22846777</w:t>
      </w:r>
    </w:p>
    <w:p>
      <w:pPr>
        <w:numPr>
          <w:ilvl w:val="0"/>
          <w:numId w:val="1377"/>
        </w:numPr>
        <w:pStyle w:val="Compact"/>
      </w:pPr>
      <w:r>
        <w:t xml:space="preserve">2012 · Egefjord L ·</w:t>
      </w:r>
      <w:r>
        <w:t xml:space="preserve"> </w:t>
      </w:r>
      <w:r>
        <w:rPr>
          <w:iCs/>
          <w:i/>
        </w:rPr>
        <w:t xml:space="preserve">Dan Med J</w:t>
      </w:r>
      <w:r>
        <w:t xml:space="preserve"> </w:t>
      </w:r>
      <w:r>
        <w:t xml:space="preserve">· Effects of liraglutide on neurodegeneration, blood flow and cognition in Alzheimer´s disease - protocol for a controlled, randomized double-blinded trial. PMID 23158895</w:t>
      </w:r>
    </w:p>
    <w:p>
      <w:pPr>
        <w:numPr>
          <w:ilvl w:val="0"/>
          <w:numId w:val="1377"/>
        </w:numPr>
        <w:pStyle w:val="Compact"/>
      </w:pPr>
      <w:r>
        <w:t xml:space="preserve">2012 · Li CJ ·</w:t>
      </w:r>
      <w:r>
        <w:t xml:space="preserve"> </w:t>
      </w:r>
      <w:r>
        <w:rPr>
          <w:iCs/>
          <w:i/>
        </w:rPr>
        <w:t xml:space="preserve">Cardiovasc Diabetol</w:t>
      </w:r>
      <w:r>
        <w:t xml:space="preserve"> </w:t>
      </w:r>
      <w:r>
        <w:t xml:space="preserve">· Efficacy and safety comparison between liraglutide as add-on therapy to insulin and insulin dose-increase in Chinese subjects with poorly controlled type 2 diabetes and abdominal obesity. PMID 23153177</w:t>
      </w:r>
    </w:p>
    <w:p>
      <w:pPr>
        <w:numPr>
          <w:ilvl w:val="0"/>
          <w:numId w:val="1377"/>
        </w:numPr>
        <w:pStyle w:val="Compact"/>
      </w:pPr>
      <w:r>
        <w:t xml:space="preserve">2012 · Pratley RE ·</w:t>
      </w:r>
      <w:r>
        <w:t xml:space="preserve"> </w:t>
      </w:r>
      <w:r>
        <w:rPr>
          <w:iCs/>
          <w:i/>
        </w:rPr>
        <w:t xml:space="preserve">Diabetes Care</w:t>
      </w:r>
      <w:r>
        <w:t xml:space="preserve"> </w:t>
      </w:r>
      <w:r>
        <w:t xml:space="preserve">· Efficacy and safety of switching from the DPP-4 inhibitor sitagliptin to the human GLP-1 analog liraglutide after 52 weeks in metformin-treated patients with type 2 diabetes: a randomized, open-label trial. PMID 22851600</w:t>
      </w:r>
    </w:p>
    <w:p>
      <w:pPr>
        <w:numPr>
          <w:ilvl w:val="0"/>
          <w:numId w:val="1377"/>
        </w:numPr>
        <w:pStyle w:val="Compact"/>
      </w:pPr>
      <w:r>
        <w:t xml:space="preserve">2012 · DeVries JH ·</w:t>
      </w:r>
      <w:r>
        <w:t xml:space="preserve"> </w:t>
      </w:r>
      <w:r>
        <w:rPr>
          <w:iCs/>
          <w:i/>
        </w:rPr>
        <w:t xml:space="preserve">Diabetes Care</w:t>
      </w:r>
      <w:r>
        <w:t xml:space="preserve"> </w:t>
      </w:r>
      <w:r>
        <w:t xml:space="preserve">· Sequential intensification of metformin treatment in type 2 diabetes with liraglutide followed by randomized addition of basal insulin prompted by A1C targets. PMID 22584132</w:t>
      </w:r>
    </w:p>
    <w:p>
      <w:pPr>
        <w:numPr>
          <w:ilvl w:val="0"/>
          <w:numId w:val="1377"/>
        </w:numPr>
        <w:pStyle w:val="Compact"/>
      </w:pPr>
      <w:r>
        <w:t xml:space="preserve">2012 · Horowitz M ·</w:t>
      </w:r>
      <w:r>
        <w:t xml:space="preserve"> </w:t>
      </w:r>
      <w:r>
        <w:rPr>
          <w:iCs/>
          <w:i/>
        </w:rPr>
        <w:t xml:space="preserve">Diabetes Res Clin Pract</w:t>
      </w:r>
      <w:r>
        <w:t xml:space="preserve"> </w:t>
      </w:r>
      <w:r>
        <w:t xml:space="preserve">· Effect of the once-daily human GLP-1 analogue liraglutide on appetite, energy intake, energy expenditure and gastric emptying in type 2 diabetes. PMID 22446097</w:t>
      </w:r>
    </w:p>
    <w:p>
      <w:pPr>
        <w:numPr>
          <w:ilvl w:val="0"/>
          <w:numId w:val="1377"/>
        </w:numPr>
        <w:pStyle w:val="Compact"/>
      </w:pPr>
      <w:r>
        <w:t xml:space="preserve">2012 · Forst T ·</w:t>
      </w:r>
      <w:r>
        <w:t xml:space="preserve"> </w:t>
      </w:r>
      <w:r>
        <w:rPr>
          <w:iCs/>
          <w:i/>
        </w:rPr>
        <w:t xml:space="preserve">Diabet Med</w:t>
      </w:r>
      <w:r>
        <w:t xml:space="preserve"> </w:t>
      </w:r>
      <w:r>
        <w:t xml:space="preserve">· Addition of liraglutide in patients with Type 2 diabetes well controlled on metformin monotherapy improves several markers of vascular function. PMID 22288732</w:t>
      </w:r>
    </w:p>
    <w:p>
      <w:pPr>
        <w:numPr>
          <w:ilvl w:val="0"/>
          <w:numId w:val="1377"/>
        </w:numPr>
        <w:pStyle w:val="Compact"/>
      </w:pPr>
      <w:r>
        <w:t xml:space="preserve">2012 · Ingwersen SH ·</w:t>
      </w:r>
      <w:r>
        <w:t xml:space="preserve"> </w:t>
      </w:r>
      <w:r>
        <w:rPr>
          <w:iCs/>
          <w:i/>
        </w:rPr>
        <w:t xml:space="preserve">J Clin Pharmacol</w:t>
      </w:r>
      <w:r>
        <w:t xml:space="preserve"> </w:t>
      </w:r>
      <w:r>
        <w:t xml:space="preserve">· Dosing rationale for liraglutide in type 2 diabetes mellitus: a pharmacometric assessment. PMID 22174428</w:t>
      </w:r>
    </w:p>
    <w:p>
      <w:pPr>
        <w:numPr>
          <w:ilvl w:val="0"/>
          <w:numId w:val="1377"/>
        </w:numPr>
        <w:pStyle w:val="Compact"/>
      </w:pPr>
      <w:r>
        <w:t xml:space="preserve">2012 · Astrup A ·</w:t>
      </w:r>
      <w:r>
        <w:t xml:space="preserve"> </w:t>
      </w:r>
      <w:r>
        <w:rPr>
          <w:iCs/>
          <w:i/>
        </w:rPr>
        <w:t xml:space="preserve">Int J Obes (Lond)</w:t>
      </w:r>
      <w:r>
        <w:t xml:space="preserve"> </w:t>
      </w:r>
      <w:r>
        <w:t xml:space="preserve">· Safety, tolerability and sustained weight loss over 2 years with the once-daily human GLP-1 analog, liraglutide. PMID 21844879</w:t>
      </w:r>
    </w:p>
    <w:p>
      <w:pPr>
        <w:numPr>
          <w:ilvl w:val="0"/>
          <w:numId w:val="1377"/>
        </w:numPr>
        <w:pStyle w:val="Compact"/>
      </w:pPr>
      <w:r>
        <w:t xml:space="preserve">2011 · Mori Y ·</w:t>
      </w:r>
      <w:r>
        <w:t xml:space="preserve"> </w:t>
      </w:r>
      <w:r>
        <w:rPr>
          <w:iCs/>
          <w:i/>
        </w:rPr>
        <w:t xml:space="preserve">Diabetes Technol Ther</w:t>
      </w:r>
      <w:r>
        <w:t xml:space="preserve"> </w:t>
      </w:r>
      <w:r>
        <w:t xml:space="preserve">· Liraglutide narrows the range of circadian glycemic variations in Japanese type 2 diabetes patients and nearly flattens these variations in drug-naive type 2 diabetes patients: a continuous glucose monitoring-based study. PMID 21877924</w:t>
      </w:r>
    </w:p>
    <w:p>
      <w:pPr>
        <w:numPr>
          <w:ilvl w:val="0"/>
          <w:numId w:val="1377"/>
        </w:numPr>
        <w:pStyle w:val="Compact"/>
      </w:pPr>
      <w:r>
        <w:t xml:space="preserve">2011 · Kapitza C ·</w:t>
      </w:r>
      <w:r>
        <w:t xml:space="preserve"> </w:t>
      </w:r>
      <w:r>
        <w:rPr>
          <w:iCs/>
          <w:i/>
        </w:rPr>
        <w:t xml:space="preserve">Adv Ther</w:t>
      </w:r>
      <w:r>
        <w:t xml:space="preserve"> </w:t>
      </w:r>
      <w:r>
        <w:t xml:space="preserve">· The effect of the once-daily human glucagon-like peptide 1 analog liraglutide on the pharmacokinetics of acetaminophen. PMID 21792552</w:t>
      </w:r>
    </w:p>
    <w:p>
      <w:pPr>
        <w:numPr>
          <w:ilvl w:val="0"/>
          <w:numId w:val="1377"/>
        </w:numPr>
        <w:pStyle w:val="Compact"/>
      </w:pPr>
      <w:r>
        <w:t xml:space="preserve">2011 · Kielgast U ·</w:t>
      </w:r>
      <w:r>
        <w:t xml:space="preserve"> </w:t>
      </w:r>
      <w:r>
        <w:rPr>
          <w:iCs/>
          <w:i/>
        </w:rPr>
        <w:t xml:space="preserve">Diabetes Care</w:t>
      </w:r>
      <w:r>
        <w:t xml:space="preserve"> </w:t>
      </w:r>
      <w:r>
        <w:t xml:space="preserve">· Four weeks of treatment with liraglutide reduces insulin dose without loss of glycemic control in type 1 diabetic patients with and without residual beta-cell function. PMID 21593296</w:t>
      </w:r>
    </w:p>
    <w:p>
      <w:pPr>
        <w:numPr>
          <w:ilvl w:val="0"/>
          <w:numId w:val="1377"/>
        </w:numPr>
        <w:pStyle w:val="Compact"/>
      </w:pPr>
      <w:r>
        <w:t xml:space="preserve">2011 · Yan P ·</w:t>
      </w:r>
      <w:r>
        <w:t xml:space="preserve"> </w:t>
      </w:r>
      <w:r>
        <w:rPr>
          <w:iCs/>
          <w:i/>
        </w:rPr>
        <w:t xml:space="preserve">Diabetes Res Clin Pract</w:t>
      </w:r>
      <w:r>
        <w:t xml:space="preserve"> </w:t>
      </w:r>
      <w:r>
        <w:t xml:space="preserve">· Effects of the long-acting human glucagon-like peptide-1 analog liraglutide on plasma omentin-1 levels in patients with type 2 diabetes mellitus. PMID 21458097</w:t>
      </w:r>
    </w:p>
    <w:p>
      <w:pPr>
        <w:numPr>
          <w:ilvl w:val="0"/>
          <w:numId w:val="1377"/>
        </w:numPr>
        <w:pStyle w:val="Compact"/>
      </w:pPr>
      <w:r>
        <w:t xml:space="preserve">2011 · Buse JB ·</w:t>
      </w:r>
      <w:r>
        <w:t xml:space="preserve"> </w:t>
      </w:r>
      <w:r>
        <w:rPr>
          <w:iCs/>
          <w:i/>
        </w:rPr>
        <w:t xml:space="preserve">J Clin Endocrinol Metab</w:t>
      </w:r>
      <w:r>
        <w:t xml:space="preserve"> </w:t>
      </w:r>
      <w:r>
        <w:t xml:space="preserve">· Liraglutide treatment is associated with a low frequency and magnitude of antibody formation with no apparent impact on glycemic response or increased frequency of adverse events: results from the Liraglutide Effect and Action in Diabetes (LEAD) trials. PMID 21450987</w:t>
      </w:r>
    </w:p>
    <w:p>
      <w:pPr>
        <w:numPr>
          <w:ilvl w:val="0"/>
          <w:numId w:val="1377"/>
        </w:numPr>
        <w:pStyle w:val="Compact"/>
      </w:pPr>
      <w:r>
        <w:t xml:space="preserve">2011 · Schmidt WE ·</w:t>
      </w:r>
      <w:r>
        <w:t xml:space="preserve"> </w:t>
      </w:r>
      <w:r>
        <w:rPr>
          <w:iCs/>
          <w:i/>
        </w:rPr>
        <w:t xml:space="preserve">Diabet Med</w:t>
      </w:r>
      <w:r>
        <w:t xml:space="preserve"> </w:t>
      </w:r>
      <w:r>
        <w:t xml:space="preserve">· Patient-reported outcomes are superior in patients with Type 2 diabetes treated with liraglutide as compared with exenatide, when added to metformin, sulphonylurea or both: results from a randomized, open-label study. PMID 21388442</w:t>
      </w:r>
    </w:p>
    <w:p>
      <w:pPr>
        <w:numPr>
          <w:ilvl w:val="0"/>
          <w:numId w:val="1377"/>
        </w:numPr>
        <w:pStyle w:val="Compact"/>
      </w:pPr>
      <w:r>
        <w:t xml:space="preserve">2011 · Pratley R ·</w:t>
      </w:r>
      <w:r>
        <w:t xml:space="preserve"> </w:t>
      </w:r>
      <w:r>
        <w:rPr>
          <w:iCs/>
          <w:i/>
        </w:rPr>
        <w:t xml:space="preserve">Int J Clin Pract</w:t>
      </w:r>
      <w:r>
        <w:t xml:space="preserve"> </w:t>
      </w:r>
      <w:r>
        <w:t xml:space="preserve">· One year of liraglutide treatment offers sustained and more effective glycaemic control and weight reduction compared with sitagliptin, both in combination with metformin, in patients with type 2 diabetes: a randomised, parallel-group, open-label trial. PMID 21355967</w:t>
      </w:r>
    </w:p>
    <w:p>
      <w:pPr>
        <w:numPr>
          <w:ilvl w:val="0"/>
          <w:numId w:val="1377"/>
        </w:numPr>
        <w:pStyle w:val="Compact"/>
      </w:pPr>
      <w:r>
        <w:t xml:space="preserve">2011 · Lee WC ·</w:t>
      </w:r>
      <w:r>
        <w:t xml:space="preserve"> </w:t>
      </w:r>
      <w:r>
        <w:rPr>
          <w:iCs/>
          <w:i/>
        </w:rPr>
        <w:t xml:space="preserve">Curr Med Res Opin</w:t>
      </w:r>
      <w:r>
        <w:t xml:space="preserve"> </w:t>
      </w:r>
      <w:r>
        <w:t xml:space="preserve">· Cost-effectiveness of liraglutide versus rosiglitazone, both in combination with glimepiride in treatment of type 2 diabetes in the US. PMID 21348806</w:t>
      </w:r>
    </w:p>
    <w:p>
      <w:pPr>
        <w:numPr>
          <w:ilvl w:val="0"/>
          <w:numId w:val="1377"/>
        </w:numPr>
        <w:pStyle w:val="Compact"/>
      </w:pPr>
      <w:r>
        <w:t xml:space="preserve">2011 · Flint A ·</w:t>
      </w:r>
      <w:r>
        <w:t xml:space="preserve"> </w:t>
      </w:r>
      <w:r>
        <w:rPr>
          <w:iCs/>
          <w:i/>
        </w:rPr>
        <w:t xml:space="preserve">Adv Ther</w:t>
      </w:r>
      <w:r>
        <w:t xml:space="preserve"> </w:t>
      </w:r>
      <w:r>
        <w:t xml:space="preserve">· The once-daily human glucagon-like peptide-1 (GLP-1) analog liraglutide improves postprandial glucose levels in type 2 diabetes patients. PMID 21340616</w:t>
      </w:r>
    </w:p>
    <w:p>
      <w:pPr>
        <w:numPr>
          <w:ilvl w:val="0"/>
          <w:numId w:val="1377"/>
        </w:numPr>
        <w:pStyle w:val="Compact"/>
      </w:pPr>
      <w:r>
        <w:t xml:space="preserve">2011 · Davies M ·</w:t>
      </w:r>
      <w:r>
        <w:t xml:space="preserve"> </w:t>
      </w:r>
      <w:r>
        <w:rPr>
          <w:iCs/>
          <w:i/>
        </w:rPr>
        <w:t xml:space="preserve">Diabet Med</w:t>
      </w:r>
      <w:r>
        <w:t xml:space="preserve"> </w:t>
      </w:r>
      <w:r>
        <w:t xml:space="preserve">· Liraglutide improves treatment satisfaction in people with Type 2 diabetes compared with sitagliptin, each as an add on to metformin. PMID 21309842</w:t>
      </w:r>
    </w:p>
    <w:p>
      <w:pPr>
        <w:numPr>
          <w:ilvl w:val="0"/>
          <w:numId w:val="1377"/>
        </w:numPr>
        <w:pStyle w:val="Compact"/>
      </w:pPr>
      <w:r>
        <w:t xml:space="preserve">2011 · Jiang J ·</w:t>
      </w:r>
      <w:r>
        <w:t xml:space="preserve"> </w:t>
      </w:r>
      <w:r>
        <w:rPr>
          <w:iCs/>
          <w:i/>
        </w:rPr>
        <w:t xml:space="preserve">J Clin Pharmacol</w:t>
      </w:r>
      <w:r>
        <w:t xml:space="preserve"> </w:t>
      </w:r>
      <w:r>
        <w:t xml:space="preserve">· The pharmacokinetics, pharmacodynamics, and tolerability of liraglutide, a once-daily human GLP-1 analogue, after multiple subcutaneous administration in healthy Chinese male subjects. PMID 21273395</w:t>
      </w:r>
    </w:p>
    <w:p>
      <w:pPr>
        <w:numPr>
          <w:ilvl w:val="0"/>
          <w:numId w:val="1377"/>
        </w:numPr>
        <w:pStyle w:val="Compact"/>
      </w:pPr>
      <w:r>
        <w:t xml:space="preserve">2011 · Jacobsen LV ·</w:t>
      </w:r>
      <w:r>
        <w:t xml:space="preserve"> </w:t>
      </w:r>
      <w:r>
        <w:rPr>
          <w:iCs/>
          <w:i/>
        </w:rPr>
        <w:t xml:space="preserve">J Clin Pharmacol</w:t>
      </w:r>
      <w:r>
        <w:t xml:space="preserve"> </w:t>
      </w:r>
      <w:r>
        <w:t xml:space="preserve">· Treatment with liraglutide–a once-daily GLP-1 analog–does not reduce the bioavailability of ethinyl estradiol/levonorgestrel taken as an oral combination contraceptive drug. PMID 21228406</w:t>
      </w:r>
    </w:p>
    <w:p>
      <w:pPr>
        <w:numPr>
          <w:ilvl w:val="0"/>
          <w:numId w:val="1377"/>
        </w:numPr>
        <w:pStyle w:val="Compact"/>
      </w:pPr>
      <w:r>
        <w:t xml:space="preserve">2011 · Hegedüs L ·</w:t>
      </w:r>
      <w:r>
        <w:t xml:space="preserve"> </w:t>
      </w:r>
      <w:r>
        <w:rPr>
          <w:iCs/>
          <w:i/>
        </w:rPr>
        <w:t xml:space="preserve">J Clin Endocrinol Metab</w:t>
      </w:r>
      <w:r>
        <w:t xml:space="preserve"> </w:t>
      </w:r>
      <w:r>
        <w:t xml:space="preserve">· GLP-1 and calcitonin concentration in humans: lack of evidence of calcitonin release from sequential screening in over 5000 subjects with type 2 diabetes or nondiabetic obese subjects treated with the human GLP-1 analog, liraglutide. PMID 21209033</w:t>
      </w:r>
    </w:p>
    <w:p>
      <w:pPr>
        <w:numPr>
          <w:ilvl w:val="0"/>
          <w:numId w:val="1377"/>
        </w:numPr>
        <w:pStyle w:val="Compact"/>
      </w:pPr>
      <w:r>
        <w:t xml:space="preserve">2011 · Garber A ·</w:t>
      </w:r>
      <w:r>
        <w:t xml:space="preserve"> </w:t>
      </w:r>
      <w:r>
        <w:rPr>
          <w:iCs/>
          <w:i/>
        </w:rPr>
        <w:t xml:space="preserve">Diabetes Obes Metab</w:t>
      </w:r>
      <w:r>
        <w:t xml:space="preserve"> </w:t>
      </w:r>
      <w:r>
        <w:t xml:space="preserve">· Liraglutide, a once-daily human glucagon-like peptide 1 analogue, provides sustained improvements in glycaemic control and weight for 2 years as monotherapy compared with glimepiride in patients with type 2 diabetes. PMID 21205128</w:t>
      </w:r>
    </w:p>
    <w:p>
      <w:pPr>
        <w:numPr>
          <w:ilvl w:val="0"/>
          <w:numId w:val="1377"/>
        </w:numPr>
        <w:pStyle w:val="Compact"/>
      </w:pPr>
      <w:r>
        <w:t xml:space="preserve">2011 · Yang W ·</w:t>
      </w:r>
      <w:r>
        <w:t xml:space="preserve"> </w:t>
      </w:r>
      <w:r>
        <w:rPr>
          <w:iCs/>
          <w:i/>
        </w:rPr>
        <w:t xml:space="preserve">Diabetes Obes Metab</w:t>
      </w:r>
      <w:r>
        <w:t xml:space="preserve"> </w:t>
      </w:r>
      <w:r>
        <w:t xml:space="preserve">· Liraglutide provides similar glycaemic control as glimepiride (both in combination with metformin) and reduces body weight and systolic blood pressure in Asian population with type 2 diabetes from China, South Korea and India: a 16-week, randomized, double-blind, active control trial(*). PMID 21114607</w:t>
      </w:r>
    </w:p>
    <w:p>
      <w:pPr>
        <w:numPr>
          <w:ilvl w:val="0"/>
          <w:numId w:val="1377"/>
        </w:numPr>
        <w:pStyle w:val="Compact"/>
      </w:pPr>
      <w:r>
        <w:t xml:space="preserve">2011 · Kapitza C ·</w:t>
      </w:r>
      <w:r>
        <w:t xml:space="preserve"> </w:t>
      </w:r>
      <w:r>
        <w:rPr>
          <w:iCs/>
          <w:i/>
        </w:rPr>
        <w:t xml:space="preserve">J Clin Pharmacol</w:t>
      </w:r>
      <w:r>
        <w:t xml:space="preserve"> </w:t>
      </w:r>
      <w:r>
        <w:t xml:space="preserve">· Effect of three different injection sites on the pharmacokinetics of the once-daily human GLP-1 analogue liraglutide. PMID 20671294</w:t>
      </w:r>
    </w:p>
    <w:p>
      <w:pPr>
        <w:numPr>
          <w:ilvl w:val="0"/>
          <w:numId w:val="1377"/>
        </w:numPr>
        <w:pStyle w:val="Compact"/>
      </w:pPr>
      <w:r>
        <w:t xml:space="preserve">2010 · García-Hernández P ·</w:t>
      </w:r>
      <w:r>
        <w:t xml:space="preserve"> </w:t>
      </w:r>
      <w:r>
        <w:rPr>
          <w:iCs/>
          <w:i/>
        </w:rPr>
        <w:t xml:space="preserve">Rev Med Inst Mex Seguro Soc</w:t>
      </w:r>
      <w:r>
        <w:t xml:space="preserve"> </w:t>
      </w:r>
      <w:r>
        <w:t xml:space="preserve">· [Liraglutide and glimepiride on glycaemic control in type 2 diabetes in the Mexican cohort (LEAD 3)]. PMID 21205505</w:t>
      </w:r>
    </w:p>
    <w:p>
      <w:pPr>
        <w:numPr>
          <w:ilvl w:val="0"/>
          <w:numId w:val="1377"/>
        </w:numPr>
        <w:pStyle w:val="Compact"/>
      </w:pPr>
      <w:r>
        <w:t xml:space="preserve">2010 · Flint A ·</w:t>
      </w:r>
      <w:r>
        <w:t xml:space="preserve"> </w:t>
      </w:r>
      <w:r>
        <w:rPr>
          <w:iCs/>
          <w:i/>
        </w:rPr>
        <w:t xml:space="preserve">Br J Clin Pharmacol</w:t>
      </w:r>
      <w:r>
        <w:t xml:space="preserve"> </w:t>
      </w:r>
      <w:r>
        <w:t xml:space="preserve">· Influence of hepatic impairment on pharmacokinetics of the human GLP-1 analogue, liraglutide. PMID 21175436</w:t>
      </w:r>
    </w:p>
    <w:p>
      <w:pPr>
        <w:numPr>
          <w:ilvl w:val="0"/>
          <w:numId w:val="1377"/>
        </w:numPr>
        <w:pStyle w:val="Compact"/>
      </w:pPr>
      <w:r>
        <w:t xml:space="preserve">2010 · Malm-Erjefält M ·</w:t>
      </w:r>
      <w:r>
        <w:t xml:space="preserve"> </w:t>
      </w:r>
      <w:r>
        <w:rPr>
          <w:iCs/>
          <w:i/>
        </w:rPr>
        <w:t xml:space="preserve">Drug Metab Dispos</w:t>
      </w:r>
      <w:r>
        <w:t xml:space="preserve"> </w:t>
      </w:r>
      <w:r>
        <w:t xml:space="preserve">· Metabolism and excretion of the once-daily human glucagon-like peptide-1 analog liraglutide in healthy male subjects and its in vitro degradation by dipeptidyl peptidase IV and neutral endopeptidase. PMID 20709939</w:t>
      </w:r>
    </w:p>
    <w:p>
      <w:pPr>
        <w:numPr>
          <w:ilvl w:val="0"/>
          <w:numId w:val="1377"/>
        </w:numPr>
        <w:pStyle w:val="Compact"/>
      </w:pPr>
      <w:r>
        <w:t xml:space="preserve">2010 · Bode BW ·</w:t>
      </w:r>
      <w:r>
        <w:t xml:space="preserve"> </w:t>
      </w:r>
      <w:r>
        <w:rPr>
          <w:iCs/>
          <w:i/>
        </w:rPr>
        <w:t xml:space="preserve">Diabetes Obes Metab</w:t>
      </w:r>
      <w:r>
        <w:t xml:space="preserve"> </w:t>
      </w:r>
      <w:r>
        <w:t xml:space="preserve">· Patient-reported outcomes following treatment with the human GLP-1 analogue liraglutide or glimepiride in monotherapy: results from a randomized controlled trial in patients with type 2 diabetes. PMID 20590735</w:t>
      </w:r>
    </w:p>
    <w:p>
      <w:pPr>
        <w:numPr>
          <w:ilvl w:val="0"/>
          <w:numId w:val="1377"/>
        </w:numPr>
        <w:pStyle w:val="Compact"/>
      </w:pPr>
      <w:r>
        <w:t xml:space="preserve">2010 · Hermansen K ·</w:t>
      </w:r>
      <w:r>
        <w:t xml:space="preserve"> </w:t>
      </w:r>
      <w:r>
        <w:rPr>
          <w:iCs/>
          <w:i/>
        </w:rPr>
        <w:t xml:space="preserve">Prim Care Diabetes</w:t>
      </w:r>
      <w:r>
        <w:t xml:space="preserve"> </w:t>
      </w:r>
      <w:r>
        <w:t xml:space="preserve">· Patient-reported outcomes in patients with type 2 diabetes treated with liraglutide or glimepiride, both as add-on to metformin. PMID 20444662</w:t>
      </w:r>
    </w:p>
    <w:p>
      <w:pPr>
        <w:numPr>
          <w:ilvl w:val="0"/>
          <w:numId w:val="1377"/>
        </w:numPr>
        <w:pStyle w:val="Compact"/>
      </w:pPr>
      <w:r>
        <w:t xml:space="preserve">2010 · Pratley RE ·</w:t>
      </w:r>
      <w:r>
        <w:t xml:space="preserve"> </w:t>
      </w:r>
      <w:r>
        <w:rPr>
          <w:iCs/>
          <w:i/>
        </w:rPr>
        <w:t xml:space="preserve">Lancet</w:t>
      </w:r>
      <w:r>
        <w:t xml:space="preserve"> </w:t>
      </w:r>
      <w:r>
        <w:t xml:space="preserve">· Liraglutide versus sitagliptin for patients with type 2 diabetes who did not have adequate glycaemic control with metformin: a 26-week, randomised, parallel-group, open-label trial. PMID 20417856</w:t>
      </w:r>
    </w:p>
    <w:p>
      <w:pPr>
        <w:numPr>
          <w:ilvl w:val="0"/>
          <w:numId w:val="1377"/>
        </w:numPr>
        <w:pStyle w:val="Compact"/>
      </w:pPr>
      <w:r>
        <w:t xml:space="preserve">2010 · Kaku K ·</w:t>
      </w:r>
      <w:r>
        <w:t xml:space="preserve"> </w:t>
      </w:r>
      <w:r>
        <w:rPr>
          <w:iCs/>
          <w:i/>
        </w:rPr>
        <w:t xml:space="preserve">Diabetes Obes Metab</w:t>
      </w:r>
      <w:r>
        <w:t xml:space="preserve"> </w:t>
      </w:r>
      <w:r>
        <w:t xml:space="preserve">· Improved glycaemic control with minimal hypoglycaemia and no weight change with the once-daily human glucagon-like peptide-1 analogue liraglutide as add-on to sulphonylurea in Japanese patients with type 2 diabetes. PMID 20380655</w:t>
      </w:r>
    </w:p>
    <w:p>
      <w:pPr>
        <w:numPr>
          <w:ilvl w:val="0"/>
          <w:numId w:val="1377"/>
        </w:numPr>
        <w:pStyle w:val="Compact"/>
      </w:pPr>
      <w:r>
        <w:t xml:space="preserve">2010 · Buse JB ·</w:t>
      </w:r>
      <w:r>
        <w:t xml:space="preserve"> </w:t>
      </w:r>
      <w:r>
        <w:rPr>
          <w:iCs/>
          <w:i/>
        </w:rPr>
        <w:t xml:space="preserve">Diabetes Care</w:t>
      </w:r>
      <w:r>
        <w:t xml:space="preserve"> </w:t>
      </w:r>
      <w:r>
        <w:t xml:space="preserve">· Switching to once-daily liraglutide from twice-daily exenatide further improves glycemic control in patients with type 2 diabetes using oral agents. PMID 20332351</w:t>
      </w:r>
    </w:p>
    <w:p>
      <w:pPr>
        <w:numPr>
          <w:ilvl w:val="0"/>
          <w:numId w:val="1377"/>
        </w:numPr>
        <w:pStyle w:val="Compact"/>
      </w:pPr>
      <w:r>
        <w:t xml:space="preserve">2010 · Bjerre Knudsen L ·</w:t>
      </w:r>
      <w:r>
        <w:t xml:space="preserve"> </w:t>
      </w:r>
      <w:r>
        <w:rPr>
          <w:iCs/>
          <w:i/>
        </w:rPr>
        <w:t xml:space="preserve">Endocrinology</w:t>
      </w:r>
      <w:r>
        <w:t xml:space="preserve"> </w:t>
      </w:r>
      <w:r>
        <w:t xml:space="preserve">· Glucagon-like Peptide-1 receptor agonists activate rodent thyroid C-cells causing calcitonin release and C-cell proliferation. PMID 20203154</w:t>
      </w:r>
    </w:p>
    <w:p>
      <w:pPr>
        <w:numPr>
          <w:ilvl w:val="0"/>
          <w:numId w:val="1377"/>
        </w:numPr>
        <w:pStyle w:val="Compact"/>
      </w:pPr>
      <w:r>
        <w:t xml:space="preserve">2010 · Seino Y ·</w:t>
      </w:r>
      <w:r>
        <w:t xml:space="preserve"> </w:t>
      </w:r>
      <w:r>
        <w:rPr>
          <w:iCs/>
          <w:i/>
        </w:rPr>
        <w:t xml:space="preserve">Curr Med Res Opin</w:t>
      </w:r>
      <w:r>
        <w:t xml:space="preserve"> </w:t>
      </w:r>
      <w:r>
        <w:t xml:space="preserve">· Efficacy and safety of the once-daily human GLP-1 analogue, liraglutide, vs glibenclamide monotherapy in Japanese patients with type 2 diabetes. PMID 20199137</w:t>
      </w:r>
    </w:p>
    <w:p>
      <w:pPr>
        <w:numPr>
          <w:ilvl w:val="0"/>
          <w:numId w:val="1377"/>
        </w:numPr>
        <w:pStyle w:val="Compact"/>
      </w:pPr>
      <w:r>
        <w:t xml:space="preserve">2010 · Gallwitz B ·</w:t>
      </w:r>
      <w:r>
        <w:t xml:space="preserve"> </w:t>
      </w:r>
      <w:r>
        <w:rPr>
          <w:iCs/>
          <w:i/>
        </w:rPr>
        <w:t xml:space="preserve">Int J Clin Pract</w:t>
      </w:r>
      <w:r>
        <w:t xml:space="preserve"> </w:t>
      </w:r>
      <w:r>
        <w:t xml:space="preserve">· Adding liraglutide to oral antidiabetic drug therapy: onset of treatment effects over time. PMID 19925617</w:t>
      </w:r>
    </w:p>
    <w:p>
      <w:pPr>
        <w:numPr>
          <w:ilvl w:val="0"/>
          <w:numId w:val="1377"/>
        </w:numPr>
        <w:pStyle w:val="Compact"/>
      </w:pPr>
      <w:r>
        <w:t xml:space="preserve">2009 · Jacobsen LV ·</w:t>
      </w:r>
      <w:r>
        <w:t xml:space="preserve"> </w:t>
      </w:r>
      <w:r>
        <w:rPr>
          <w:iCs/>
          <w:i/>
        </w:rPr>
        <w:t xml:space="preserve">Br J Clin Pharmacol</w:t>
      </w:r>
      <w:r>
        <w:t xml:space="preserve"> </w:t>
      </w:r>
      <w:r>
        <w:t xml:space="preserve">· Effect of renal impairment on the pharmacokinetics of the GLP-1 analogue liraglutide. PMID 20002084</w:t>
      </w:r>
    </w:p>
    <w:p>
      <w:pPr>
        <w:numPr>
          <w:ilvl w:val="0"/>
          <w:numId w:val="1377"/>
        </w:numPr>
        <w:pStyle w:val="Compact"/>
      </w:pPr>
      <w:r>
        <w:t xml:space="preserve">2009 · Jendle J ·</w:t>
      </w:r>
      <w:r>
        <w:t xml:space="preserve"> </w:t>
      </w:r>
      <w:r>
        <w:rPr>
          <w:iCs/>
          <w:i/>
        </w:rPr>
        <w:t xml:space="preserve">Diabetes Obes Metab</w:t>
      </w:r>
      <w:r>
        <w:t xml:space="preserve"> </w:t>
      </w:r>
      <w:r>
        <w:t xml:space="preserve">· Weight loss with liraglutide, a once-daily human glucagon-like peptide-1 analogue for type 2 diabetes treatment as monotherapy or added to metformin, is primarily as a result of a reduction in fat tissue. PMID 19930006</w:t>
      </w:r>
    </w:p>
    <w:p>
      <w:pPr>
        <w:numPr>
          <w:ilvl w:val="0"/>
          <w:numId w:val="1377"/>
        </w:numPr>
        <w:pStyle w:val="Compact"/>
      </w:pPr>
      <w:r>
        <w:t xml:space="preserve">2009 · Sullivan SD ·</w:t>
      </w:r>
      <w:r>
        <w:t xml:space="preserve"> </w:t>
      </w:r>
      <w:r>
        <w:rPr>
          <w:iCs/>
          <w:i/>
        </w:rPr>
        <w:t xml:space="preserve">Pharmacotherapy</w:t>
      </w:r>
      <w:r>
        <w:t xml:space="preserve"> </w:t>
      </w:r>
      <w:r>
        <w:t xml:space="preserve">· A simulation of the comparative long-term effectiveness of liraglutide and glimepiride monotherapies in patients with type 2 diabetes mellitus. PMID 19873688</w:t>
      </w:r>
    </w:p>
    <w:p>
      <w:pPr>
        <w:numPr>
          <w:ilvl w:val="0"/>
          <w:numId w:val="1377"/>
        </w:numPr>
        <w:pStyle w:val="Compact"/>
      </w:pPr>
      <w:r>
        <w:t xml:space="preserve">2009 · Astrup A ·</w:t>
      </w:r>
      <w:r>
        <w:t xml:space="preserve"> </w:t>
      </w:r>
      <w:r>
        <w:rPr>
          <w:iCs/>
          <w:i/>
        </w:rPr>
        <w:t xml:space="preserve">Lancet</w:t>
      </w:r>
      <w:r>
        <w:t xml:space="preserve"> </w:t>
      </w:r>
      <w:r>
        <w:t xml:space="preserve">· Effects of liraglutide in the treatment of obesity: a randomised, double-blind, placebo-controlled study. PMID 19853906</w:t>
      </w:r>
    </w:p>
    <w:p>
      <w:pPr>
        <w:numPr>
          <w:ilvl w:val="0"/>
          <w:numId w:val="1377"/>
        </w:numPr>
        <w:pStyle w:val="Compact"/>
      </w:pPr>
      <w:r>
        <w:t xml:space="preserve">2009 · Chatterjee DJ ·</w:t>
      </w:r>
      <w:r>
        <w:t xml:space="preserve"> </w:t>
      </w:r>
      <w:r>
        <w:rPr>
          <w:iCs/>
          <w:i/>
        </w:rPr>
        <w:t xml:space="preserve">J Clin Pharmacol</w:t>
      </w:r>
      <w:r>
        <w:t xml:space="preserve"> </w:t>
      </w:r>
      <w:r>
        <w:t xml:space="preserve">· Absence of QTc prolongation in a thorough QT study with subcutaneous liraglutide, a once-daily human GLP-1 analog for treatment of type 2 diabetes. PMID 19737980</w:t>
      </w:r>
    </w:p>
    <w:p>
      <w:pPr>
        <w:numPr>
          <w:ilvl w:val="0"/>
          <w:numId w:val="1377"/>
        </w:numPr>
        <w:pStyle w:val="Compact"/>
      </w:pPr>
      <w:r>
        <w:t xml:space="preserve">2009 · Russell-Jones D ·</w:t>
      </w:r>
      <w:r>
        <w:t xml:space="preserve"> </w:t>
      </w:r>
      <w:r>
        <w:rPr>
          <w:iCs/>
          <w:i/>
        </w:rPr>
        <w:t xml:space="preserve">Diabetologia</w:t>
      </w:r>
      <w:r>
        <w:t xml:space="preserve"> </w:t>
      </w:r>
      <w:r>
        <w:t xml:space="preserve">· Liraglutide vs insulin glargine and placebo in combination with metformin and sulfonylurea therapy in type 2 diabetes mellitus (LEAD-5 met+SU): a randomised controlled trial. PMID 19688338</w:t>
      </w:r>
    </w:p>
    <w:p>
      <w:pPr>
        <w:numPr>
          <w:ilvl w:val="0"/>
          <w:numId w:val="1377"/>
        </w:numPr>
        <w:pStyle w:val="Compact"/>
      </w:pPr>
      <w:r>
        <w:t xml:space="preserve">2009 · Buse JB ·</w:t>
      </w:r>
      <w:r>
        <w:t xml:space="preserve"> </w:t>
      </w:r>
      <w:r>
        <w:rPr>
          <w:iCs/>
          <w:i/>
        </w:rPr>
        <w:t xml:space="preserve">Lancet</w:t>
      </w:r>
      <w:r>
        <w:t xml:space="preserve"> </w:t>
      </w:r>
      <w:r>
        <w:t xml:space="preserve">· Liraglutide once a day versus exenatide twice a day for type 2 diabetes: a 26-week randomised, parallel-group, multinational, open-label trial (LEAD-6). PMID 19515413</w:t>
      </w:r>
    </w:p>
    <w:p>
      <w:pPr>
        <w:numPr>
          <w:ilvl w:val="0"/>
          <w:numId w:val="1377"/>
        </w:numPr>
        <w:pStyle w:val="Compact"/>
      </w:pPr>
      <w:r>
        <w:t xml:space="preserve">2009 · Nauck M ·</w:t>
      </w:r>
      <w:r>
        <w:t xml:space="preserve"> </w:t>
      </w:r>
      <w:r>
        <w:rPr>
          <w:iCs/>
          <w:i/>
        </w:rPr>
        <w:t xml:space="preserve">Postgrad Med</w:t>
      </w:r>
      <w:r>
        <w:t xml:space="preserve"> </w:t>
      </w:r>
      <w:r>
        <w:t xml:space="preserve">· Adding liraglutide to oral antidiabetic drug monotherapy: efficacy and weight benefits. PMID 19491535</w:t>
      </w:r>
    </w:p>
    <w:p>
      <w:pPr>
        <w:numPr>
          <w:ilvl w:val="0"/>
          <w:numId w:val="1377"/>
        </w:numPr>
        <w:pStyle w:val="Compact"/>
      </w:pPr>
      <w:r>
        <w:t xml:space="preserve">2009 · Marre M ·</w:t>
      </w:r>
      <w:r>
        <w:t xml:space="preserve"> </w:t>
      </w:r>
      <w:r>
        <w:rPr>
          <w:iCs/>
          <w:i/>
        </w:rPr>
        <w:t xml:space="preserve">Diabet Med</w:t>
      </w:r>
      <w:r>
        <w:t xml:space="preserve"> </w:t>
      </w:r>
      <w:r>
        <w:t xml:space="preserve">· Liraglutide, a once-daily human GLP-1 analogue, added to a sulphonylurea over 26 weeks produces greater improvements in glycaemic and weight control compared with adding rosiglitazone or placebo in subjects with Type 2 diabetes (LEAD-1 SU). PMID 19317822</w:t>
      </w:r>
    </w:p>
    <w:p>
      <w:pPr>
        <w:numPr>
          <w:ilvl w:val="0"/>
          <w:numId w:val="1377"/>
        </w:numPr>
        <w:pStyle w:val="Compact"/>
      </w:pPr>
      <w:r>
        <w:t xml:space="preserve">2009 · Zinman B ·</w:t>
      </w:r>
      <w:r>
        <w:t xml:space="preserve"> </w:t>
      </w:r>
      <w:r>
        <w:rPr>
          <w:iCs/>
          <w:i/>
        </w:rPr>
        <w:t xml:space="preserve">Diabetes Care</w:t>
      </w:r>
      <w:r>
        <w:t xml:space="preserve"> </w:t>
      </w:r>
      <w:r>
        <w:t xml:space="preserve">· Efficacy and safety of the human glucagon-like peptide-1 analog liraglutide in combination with metformin and thiazolidinedione in patients with type 2 diabetes (LEAD-4 Met+TZD). PMID 19289857</w:t>
      </w:r>
    </w:p>
    <w:p>
      <w:pPr>
        <w:numPr>
          <w:ilvl w:val="0"/>
          <w:numId w:val="1377"/>
        </w:numPr>
        <w:pStyle w:val="Compact"/>
      </w:pPr>
      <w:r>
        <w:t xml:space="preserve">2009 · Sullivan SD ·</w:t>
      </w:r>
      <w:r>
        <w:t xml:space="preserve"> </w:t>
      </w:r>
      <w:r>
        <w:rPr>
          <w:iCs/>
          <w:i/>
        </w:rPr>
        <w:t xml:space="preserve">Cardiovasc Diabetol</w:t>
      </w:r>
      <w:r>
        <w:t xml:space="preserve"> </w:t>
      </w:r>
      <w:r>
        <w:t xml:space="preserve">· Long-term outcomes in patients with type 2 diabetes receiving glimepiride combined with liraglutide or rosiglitazone. PMID 19245711</w:t>
      </w:r>
    </w:p>
    <w:p>
      <w:pPr>
        <w:numPr>
          <w:ilvl w:val="0"/>
          <w:numId w:val="1377"/>
        </w:numPr>
        <w:pStyle w:val="Compact"/>
      </w:pPr>
      <w:r>
        <w:t xml:space="preserve">2009 · Nauck M ·</w:t>
      </w:r>
      <w:r>
        <w:t xml:space="preserve"> </w:t>
      </w:r>
      <w:r>
        <w:rPr>
          <w:iCs/>
          <w:i/>
        </w:rPr>
        <w:t xml:space="preserve">Diabetes Care</w:t>
      </w:r>
      <w:r>
        <w:t xml:space="preserve"> </w:t>
      </w:r>
      <w:r>
        <w:t xml:space="preserve">· Efficacy and safety comparison of liraglutide, glimepiride, and placebo, all in combination with metformin, in type 2 diabetes: the LEAD (liraglutide effect and action in diabetes)-2 study. PMID 18931095</w:t>
      </w:r>
    </w:p>
    <w:p>
      <w:pPr>
        <w:numPr>
          <w:ilvl w:val="0"/>
          <w:numId w:val="1377"/>
        </w:numPr>
        <w:pStyle w:val="Compact"/>
      </w:pPr>
      <w:r>
        <w:t xml:space="preserve">2009 · Garber A ·</w:t>
      </w:r>
      <w:r>
        <w:t xml:space="preserve"> </w:t>
      </w:r>
      <w:r>
        <w:rPr>
          <w:iCs/>
          <w:i/>
        </w:rPr>
        <w:t xml:space="preserve">Lancet</w:t>
      </w:r>
      <w:r>
        <w:t xml:space="preserve"> </w:t>
      </w:r>
      <w:r>
        <w:t xml:space="preserve">· Liraglutide versus glimepiride monotherapy for type 2 diabetes (LEAD-3 Mono): a randomised, 52-week, phase III, double-blind, parallel-treatment trial. PMID 18819705</w:t>
      </w:r>
    </w:p>
    <w:p>
      <w:pPr>
        <w:numPr>
          <w:ilvl w:val="0"/>
          <w:numId w:val="1377"/>
        </w:numPr>
        <w:pStyle w:val="Compact"/>
      </w:pPr>
      <w:r>
        <w:t xml:space="preserve">2008 · Courrèges JP ·</w:t>
      </w:r>
      <w:r>
        <w:t xml:space="preserve"> </w:t>
      </w:r>
      <w:r>
        <w:rPr>
          <w:iCs/>
          <w:i/>
        </w:rPr>
        <w:t xml:space="preserve">Diabet Med</w:t>
      </w:r>
      <w:r>
        <w:t xml:space="preserve"> </w:t>
      </w:r>
      <w:r>
        <w:t xml:space="preserve">· Beneficial effects of once-daily liraglutide, a human glucagon-like peptide-1 analogue, on cardiovascular risk biomarkers in patients with Type 2 diabetes. PMID 19183322</w:t>
      </w:r>
    </w:p>
    <w:p>
      <w:pPr>
        <w:numPr>
          <w:ilvl w:val="0"/>
          <w:numId w:val="1377"/>
        </w:numPr>
        <w:pStyle w:val="Compact"/>
      </w:pPr>
      <w:r>
        <w:t xml:space="preserve">2008 · Irie S ·</w:t>
      </w:r>
      <w:r>
        <w:t xml:space="preserve"> </w:t>
      </w:r>
      <w:r>
        <w:rPr>
          <w:iCs/>
          <w:i/>
        </w:rPr>
        <w:t xml:space="preserve">Int J Clin Pharmacol Ther</w:t>
      </w:r>
      <w:r>
        <w:t xml:space="preserve"> </w:t>
      </w:r>
      <w:r>
        <w:t xml:space="preserve">· Tolerability, pharmacokinetics and pharmacodynamics of the once-daily human GLP-1 analog liraglutide in Japanese healthy subjects: a randomized, double-blind, placebo-controlled dose-escalation study. PMID 18541123</w:t>
      </w:r>
    </w:p>
    <w:p>
      <w:pPr>
        <w:numPr>
          <w:ilvl w:val="0"/>
          <w:numId w:val="1377"/>
        </w:numPr>
        <w:pStyle w:val="Compact"/>
      </w:pPr>
      <w:r>
        <w:t xml:space="preserve">2008 · Seino Y ·</w:t>
      </w:r>
      <w:r>
        <w:t xml:space="preserve"> </w:t>
      </w:r>
      <w:r>
        <w:rPr>
          <w:iCs/>
          <w:i/>
        </w:rPr>
        <w:t xml:space="preserve">Diabetes Res Clin Pract</w:t>
      </w:r>
      <w:r>
        <w:t xml:space="preserve"> </w:t>
      </w:r>
      <w:r>
        <w:t xml:space="preserve">· Dose-dependent improvement in glycemia with once-daily liraglutide without hypoglycemia or weight gain: A double-blind, randomized, controlled trial in Japanese patients with type 2 diabetes. PMID 18495285</w:t>
      </w:r>
    </w:p>
    <w:p>
      <w:pPr>
        <w:numPr>
          <w:ilvl w:val="0"/>
          <w:numId w:val="1377"/>
        </w:numPr>
        <w:pStyle w:val="Compact"/>
      </w:pPr>
      <w:r>
        <w:t xml:space="preserve">2008 · Horowitz M ·</w:t>
      </w:r>
      <w:r>
        <w:t xml:space="preserve"> </w:t>
      </w:r>
      <w:r>
        <w:rPr>
          <w:iCs/>
          <w:i/>
        </w:rPr>
        <w:t xml:space="preserve">Diabetes Obes Metab</w:t>
      </w:r>
      <w:r>
        <w:t xml:space="preserve"> </w:t>
      </w:r>
      <w:r>
        <w:t xml:space="preserve">· Patient-reported rating of gastrointestinal adverse effects during treatment of type 2 diabetes with the once-daily human GLP-1 analogue, liraglutide. PMID 18435773</w:t>
      </w:r>
    </w:p>
    <w:p>
      <w:pPr>
        <w:numPr>
          <w:ilvl w:val="0"/>
          <w:numId w:val="1377"/>
        </w:numPr>
        <w:pStyle w:val="Compact"/>
      </w:pPr>
      <w:r>
        <w:t xml:space="preserve">2008 · Vilsbøll T ·</w:t>
      </w:r>
      <w:r>
        <w:t xml:space="preserve"> </w:t>
      </w:r>
      <w:r>
        <w:rPr>
          <w:iCs/>
          <w:i/>
        </w:rPr>
        <w:t xml:space="preserve">Diabet Med</w:t>
      </w:r>
      <w:r>
        <w:t xml:space="preserve"> </w:t>
      </w:r>
      <w:r>
        <w:t xml:space="preserve">· Liraglutide, a once-daily human GLP-1 analogue, improves pancreatic B-cell function and arginine-stimulated insulin secretion during hyperglycaemia in patients with Type 2 diabetes mellitus. PMID 18201212</w:t>
      </w:r>
    </w:p>
    <w:p>
      <w:pPr>
        <w:numPr>
          <w:ilvl w:val="0"/>
          <w:numId w:val="1377"/>
        </w:numPr>
        <w:pStyle w:val="Compact"/>
      </w:pPr>
      <w:r>
        <w:t xml:space="preserve">2007 · Mari A ·</w:t>
      </w:r>
      <w:r>
        <w:t xml:space="preserve"> </w:t>
      </w:r>
      <w:r>
        <w:rPr>
          <w:iCs/>
          <w:i/>
        </w:rPr>
        <w:t xml:space="preserve">Diabetes Care</w:t>
      </w:r>
      <w:r>
        <w:t xml:space="preserve"> </w:t>
      </w:r>
      <w:r>
        <w:t xml:space="preserve">· Effects of the long-acting human glucagon-like peptide-1 analog liraglutide on beta-cell function in normal living conditions. PMID 17468345</w:t>
      </w:r>
    </w:p>
    <w:p>
      <w:pPr>
        <w:numPr>
          <w:ilvl w:val="0"/>
          <w:numId w:val="1377"/>
        </w:numPr>
        <w:pStyle w:val="Compact"/>
      </w:pPr>
      <w:r>
        <w:t xml:space="preserve">2007 · Vilsbøll T ·</w:t>
      </w:r>
      <w:r>
        <w:t xml:space="preserve"> </w:t>
      </w:r>
      <w:r>
        <w:rPr>
          <w:iCs/>
          <w:i/>
        </w:rPr>
        <w:t xml:space="preserve">Diabetes Care</w:t>
      </w:r>
      <w:r>
        <w:t xml:space="preserve"> </w:t>
      </w:r>
      <w:r>
        <w:t xml:space="preserve">· Liraglutide, a long-acting human glucagon-like peptide-1 analog, given as monotherapy significantly improves glycemic control and lowers body weight without risk of hypoglycemia in patients with type 2 diabetes. PMID 17372153</w:t>
      </w:r>
    </w:p>
    <w:p>
      <w:pPr>
        <w:numPr>
          <w:ilvl w:val="0"/>
          <w:numId w:val="1377"/>
        </w:numPr>
        <w:pStyle w:val="Compact"/>
      </w:pPr>
      <w:r>
        <w:t xml:space="preserve">2006 · Nauck MA ·</w:t>
      </w:r>
      <w:r>
        <w:t xml:space="preserve"> </w:t>
      </w:r>
      <w:r>
        <w:rPr>
          <w:iCs/>
          <w:i/>
        </w:rPr>
        <w:t xml:space="preserve">Exp Clin Endocrinol Diabetes</w:t>
      </w:r>
      <w:r>
        <w:t xml:space="preserve"> </w:t>
      </w:r>
      <w:r>
        <w:t xml:space="preserve">· Five weeks of treatment with the GLP-1 analogue liraglutide improves glycaemic control and lowers body weight in subjects with type 2 diabetes. PMID 17039422</w:t>
      </w:r>
    </w:p>
    <w:p>
      <w:pPr>
        <w:numPr>
          <w:ilvl w:val="0"/>
          <w:numId w:val="1377"/>
        </w:numPr>
        <w:pStyle w:val="Compact"/>
      </w:pPr>
      <w:r>
        <w:t xml:space="preserve">2006 · Damholt B ·</w:t>
      </w:r>
      <w:r>
        <w:t xml:space="preserve"> </w:t>
      </w:r>
      <w:r>
        <w:rPr>
          <w:iCs/>
          <w:i/>
        </w:rPr>
        <w:t xml:space="preserve">J Clin Pharmacol</w:t>
      </w:r>
      <w:r>
        <w:t xml:space="preserve"> </w:t>
      </w:r>
      <w:r>
        <w:t xml:space="preserve">· An open-label, parallel group study investigating the effects of age and gender on the pharmacokinetics of the once-daily glucagon-like peptide-1 analogue liraglutide. PMID 16707410</w:t>
      </w:r>
    </w:p>
    <w:p>
      <w:pPr>
        <w:numPr>
          <w:ilvl w:val="0"/>
          <w:numId w:val="1377"/>
        </w:numPr>
        <w:pStyle w:val="Compact"/>
      </w:pPr>
      <w:r>
        <w:t xml:space="preserve">2005 · Feinglos MN ·</w:t>
      </w:r>
      <w:r>
        <w:t xml:space="preserve"> </w:t>
      </w:r>
      <w:r>
        <w:rPr>
          <w:iCs/>
          <w:i/>
        </w:rPr>
        <w:t xml:space="preserve">Diabet Med</w:t>
      </w:r>
      <w:r>
        <w:t xml:space="preserve"> </w:t>
      </w:r>
      <w:r>
        <w:t xml:space="preserve">· Effects of liraglutide (NN2211), a long-acting GLP-1 analogue, on glycaemic control and bodyweight in subjects with Type 2 diabetes. PMID 16026367</w:t>
      </w:r>
    </w:p>
    <w:p>
      <w:pPr>
        <w:numPr>
          <w:ilvl w:val="0"/>
          <w:numId w:val="1377"/>
        </w:numPr>
        <w:pStyle w:val="Compact"/>
      </w:pPr>
      <w:r>
        <w:t xml:space="preserve">2004 · Harder H ·</w:t>
      </w:r>
      <w:r>
        <w:t xml:space="preserve"> </w:t>
      </w:r>
      <w:r>
        <w:rPr>
          <w:iCs/>
          <w:i/>
        </w:rPr>
        <w:t xml:space="preserve">Diabetes Care</w:t>
      </w:r>
      <w:r>
        <w:t xml:space="preserve"> </w:t>
      </w:r>
      <w:r>
        <w:t xml:space="preserve">· The effect of liraglutide, a long-acting glucagon-like peptide 1 derivative, on glycemic control, body composition, and 24-h energy expenditure in patients with type 2 diabetes. PMID 15277417</w:t>
      </w:r>
    </w:p>
    <w:p>
      <w:pPr>
        <w:numPr>
          <w:ilvl w:val="0"/>
          <w:numId w:val="1377"/>
        </w:numPr>
        <w:pStyle w:val="Compact"/>
      </w:pPr>
      <w:r>
        <w:t xml:space="preserve">2004 · Madsbad S ·</w:t>
      </w:r>
      <w:r>
        <w:t xml:space="preserve"> </w:t>
      </w:r>
      <w:r>
        <w:rPr>
          <w:iCs/>
          <w:i/>
        </w:rPr>
        <w:t xml:space="preserve">Diabetes Care</w:t>
      </w:r>
      <w:r>
        <w:t xml:space="preserve"> </w:t>
      </w:r>
      <w:r>
        <w:t xml:space="preserve">· Improved glycemic control with no weight increase in patients with type 2 diabetes after once-daily treatment with the long-acting glucagon-like peptide 1 analog liraglutide (NN2211): a 12-week, double-blind, randomized, controlled trial. PMID 15161785</w:t>
      </w:r>
    </w:p>
    <w:p>
      <w:pPr>
        <w:numPr>
          <w:ilvl w:val="0"/>
          <w:numId w:val="1377"/>
        </w:numPr>
        <w:pStyle w:val="Compact"/>
      </w:pPr>
      <w:r>
        <w:t xml:space="preserve">2004 · Degn KB ·</w:t>
      </w:r>
      <w:r>
        <w:t xml:space="preserve"> </w:t>
      </w:r>
      <w:r>
        <w:rPr>
          <w:iCs/>
          <w:i/>
        </w:rPr>
        <w:t xml:space="preserve">Diabetes</w:t>
      </w:r>
      <w:r>
        <w:t xml:space="preserve"> </w:t>
      </w:r>
      <w:r>
        <w:t xml:space="preserve">· One week’s treatment with the long-acting glucagon-like peptide 1 derivative liraglutide (NN2211) markedly improves 24-h glycemia and alpha- and beta-cell function and reduces endogenous glucose release in patients with type 2 diabetes. PMID 15111485</w:t>
      </w:r>
    </w:p>
    <w:bookmarkEnd w:id="3013"/>
    <w:bookmarkStart w:id="3014" w:name="dulaglutide-158"/>
    <w:p>
      <w:pPr>
        <w:pStyle w:val="Heading2"/>
      </w:pPr>
      <w:r>
        <w:t xml:space="preserve">Dulaglutide (158)</w:t>
      </w:r>
    </w:p>
    <w:p>
      <w:pPr>
        <w:numPr>
          <w:ilvl w:val="0"/>
          <w:numId w:val="1378"/>
        </w:numPr>
        <w:pStyle w:val="Compact"/>
      </w:pPr>
      <w:r>
        <w:t xml:space="preserve">2026 · Adly AAM ·</w:t>
      </w:r>
      <w:r>
        <w:t xml:space="preserve"> </w:t>
      </w:r>
      <w:r>
        <w:rPr>
          <w:iCs/>
          <w:i/>
        </w:rPr>
        <w:t xml:space="preserve">Diabetologia</w:t>
      </w:r>
      <w:r>
        <w:t xml:space="preserve"> </w:t>
      </w:r>
      <w:r>
        <w:t xml:space="preserve">· Dulaglutide vs insulin in adolescents with thalassaemia-induced diabetes: effect on metabolism and atherogenesis (DIADEMA). PMID 42618811</w:t>
      </w:r>
    </w:p>
    <w:p>
      <w:pPr>
        <w:numPr>
          <w:ilvl w:val="0"/>
          <w:numId w:val="1378"/>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78"/>
        </w:numPr>
        <w:pStyle w:val="Compact"/>
      </w:pPr>
      <w:r>
        <w:t xml:space="preserve">2026 · Jun JE ·</w:t>
      </w:r>
      <w:r>
        <w:t xml:space="preserve"> </w:t>
      </w:r>
      <w:r>
        <w:rPr>
          <w:iCs/>
          <w:i/>
        </w:rPr>
        <w:t xml:space="preserve">Front Endocrinol (Lausanne)</w:t>
      </w:r>
      <w:r>
        <w:t xml:space="preserve"> </w:t>
      </w:r>
      <w:r>
        <w:t xml:space="preserve">· Dulaglutide versus empagliflozin as add-on therapy to metformin and sulfonylurea in type 2 diabetes: a randomized pilot study with exploratory metabolomic and microbiome analyses. PMID 42388875</w:t>
      </w:r>
    </w:p>
    <w:p>
      <w:pPr>
        <w:numPr>
          <w:ilvl w:val="0"/>
          <w:numId w:val="1378"/>
        </w:numPr>
        <w:pStyle w:val="Compact"/>
      </w:pPr>
      <w:r>
        <w:t xml:space="preserve">2026 · Heise T ·</w:t>
      </w:r>
      <w:r>
        <w:t xml:space="preserve"> </w:t>
      </w:r>
      <w:r>
        <w:rPr>
          <w:iCs/>
          <w:i/>
        </w:rPr>
        <w:t xml:space="preserve">Diabetes Obes Metab</w:t>
      </w:r>
      <w:r>
        <w:t xml:space="preserve"> </w:t>
      </w:r>
      <w:r>
        <w:t xml:space="preserve">· Insulin Sensitivity and Beta Cell Function With Macupatide Alone or With Dulaglutide in Type 2 Diabetes: A Phase 1b, Randomised Controlled Trial. PMID 42229460</w:t>
      </w:r>
    </w:p>
    <w:p>
      <w:pPr>
        <w:numPr>
          <w:ilvl w:val="0"/>
          <w:numId w:val="1378"/>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78"/>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78"/>
        </w:numPr>
        <w:pStyle w:val="Compact"/>
      </w:pPr>
      <w:r>
        <w:t xml:space="preserve">2026 · Wilson JM ·</w:t>
      </w:r>
      <w:r>
        <w:t xml:space="preserve"> </w:t>
      </w:r>
      <w:r>
        <w:rPr>
          <w:iCs/>
          <w:i/>
        </w:rPr>
        <w:t xml:space="preserve">Alzheimers Dement</w:t>
      </w:r>
      <w:r>
        <w:t xml:space="preserve"> </w:t>
      </w:r>
      <w:r>
        <w:t xml:space="preserve">· Dulaglutide and neurodegeneration biomarkers: REWIND post hoc analysis. PMID 41988866</w:t>
      </w:r>
    </w:p>
    <w:p>
      <w:pPr>
        <w:numPr>
          <w:ilvl w:val="0"/>
          <w:numId w:val="1378"/>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78"/>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78"/>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78"/>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8"/>
        </w:numPr>
        <w:pStyle w:val="Compact"/>
      </w:pPr>
      <w:r>
        <w:t xml:space="preserve">2026 · Leibnitz S ·</w:t>
      </w:r>
      <w:r>
        <w:t xml:space="preserve"> </w:t>
      </w:r>
      <w:r>
        <w:rPr>
          <w:iCs/>
          <w:i/>
        </w:rPr>
        <w:t xml:space="preserve">Eur J Endocrinol</w:t>
      </w:r>
      <w:r>
        <w:t xml:space="preserve"> </w:t>
      </w:r>
      <w:r>
        <w:t xml:space="preserve">· Effects of GLP-1 receptor agonists on copeptin in euvolemic participants. PMID 41525326</w:t>
      </w:r>
    </w:p>
    <w:p>
      <w:pPr>
        <w:numPr>
          <w:ilvl w:val="0"/>
          <w:numId w:val="1378"/>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78"/>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78"/>
        </w:numPr>
        <w:pStyle w:val="Compact"/>
      </w:pPr>
      <w:r>
        <w:t xml:space="preserve">2025 · Gao R ·</w:t>
      </w:r>
      <w:r>
        <w:t xml:space="preserve"> </w:t>
      </w:r>
      <w:r>
        <w:rPr>
          <w:iCs/>
          <w:i/>
        </w:rPr>
        <w:t xml:space="preserve">Pak J Pharm Sci</w:t>
      </w:r>
      <w:r>
        <w:t xml:space="preserve"> </w:t>
      </w:r>
      <w:r>
        <w:t xml:space="preserve">· Effect of ketogenic diet plus dulaglutide on glucose and lipid metabolism in diabetes mellitus. PMID 41241797</w:t>
      </w:r>
    </w:p>
    <w:p>
      <w:pPr>
        <w:numPr>
          <w:ilvl w:val="0"/>
          <w:numId w:val="1378"/>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78"/>
        </w:numPr>
        <w:pStyle w:val="Compact"/>
      </w:pPr>
      <w:r>
        <w:t xml:space="preserve">2025 · He Y ·</w:t>
      </w:r>
      <w:r>
        <w:t xml:space="preserve"> </w:t>
      </w:r>
      <w:r>
        <w:rPr>
          <w:iCs/>
          <w:i/>
        </w:rPr>
        <w:t xml:space="preserve">Lancet Diabetes Endocrinol</w:t>
      </w:r>
      <w:r>
        <w:t xml:space="preserve"> </w:t>
      </w:r>
      <w:r>
        <w:t xml:space="preserve">· Efficacy and safety of cAMP-biased GLP-1 receptor agonist ecnoglutide versus dulaglutide in patients with type 2 diabetes and elevated glucose concentrations on metformin monotherapy (EECOH-2): a 52-week, multicentre, open-label, non-inferiority, randomised, phase 3 trial. PMID 40854315</w:t>
      </w:r>
    </w:p>
    <w:p>
      <w:pPr>
        <w:numPr>
          <w:ilvl w:val="0"/>
          <w:numId w:val="1378"/>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78"/>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78"/>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78"/>
        </w:numPr>
        <w:pStyle w:val="Compact"/>
      </w:pPr>
      <w:r>
        <w:t xml:space="preserve">2025 · Tian J ·</w:t>
      </w:r>
      <w:r>
        <w:t xml:space="preserve"> </w:t>
      </w:r>
      <w:r>
        <w:rPr>
          <w:iCs/>
          <w:i/>
        </w:rPr>
        <w:t xml:space="preserve">Hormones (Athens)</w:t>
      </w:r>
      <w:r>
        <w:t xml:space="preserve"> </w:t>
      </w:r>
      <w:r>
        <w:t xml:space="preserve">· Comparative evaluation of dulaglutide alone vs. dulaglutide combined with probiotics on cardiovascular risk factors in T2DM. PMID 40214965</w:t>
      </w:r>
    </w:p>
    <w:p>
      <w:pPr>
        <w:numPr>
          <w:ilvl w:val="0"/>
          <w:numId w:val="1378"/>
        </w:numPr>
        <w:pStyle w:val="Compact"/>
      </w:pPr>
      <w:r>
        <w:t xml:space="preserve">2025 · Liu L ·</w:t>
      </w:r>
      <w:r>
        <w:t xml:space="preserve"> </w:t>
      </w:r>
      <w:r>
        <w:rPr>
          <w:iCs/>
          <w:i/>
        </w:rPr>
        <w:t xml:space="preserve">J Diabetes</w:t>
      </w:r>
      <w:r>
        <w:t xml:space="preserve"> </w:t>
      </w:r>
      <w:r>
        <w:t xml:space="preserve">· Efficacy and Safety of Dulaglutide Biosimilar LY05008 Versus the Reference Product Dulaglutide (Trulicity) in Chinese Adults With Type 2 Diabetes Mellitus: A Randomized, Open-Label, Active Comparator Study. PMID 40214296</w:t>
      </w:r>
    </w:p>
    <w:p>
      <w:pPr>
        <w:numPr>
          <w:ilvl w:val="0"/>
          <w:numId w:val="1378"/>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78"/>
        </w:numPr>
        <w:pStyle w:val="Compact"/>
      </w:pPr>
      <w:r>
        <w:t xml:space="preserve">2025 · Beck J ·</w:t>
      </w:r>
      <w:r>
        <w:t xml:space="preserve"> </w:t>
      </w:r>
      <w:r>
        <w:rPr>
          <w:iCs/>
          <w:i/>
        </w:rPr>
        <w:t xml:space="preserve">Eur J Prev Cardiol</w:t>
      </w:r>
      <w:r>
        <w:t xml:space="preserve"> </w:t>
      </w:r>
      <w:r>
        <w:t xml:space="preserve">· Blood pressure changes during smoking cessation in a randomized, double-blind, placebo-controlled trial of dulaglutide treatment. PMID 40037282</w:t>
      </w:r>
    </w:p>
    <w:p>
      <w:pPr>
        <w:numPr>
          <w:ilvl w:val="0"/>
          <w:numId w:val="1378"/>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78"/>
        </w:numPr>
        <w:pStyle w:val="Compact"/>
      </w:pPr>
      <w:r>
        <w:t xml:space="preserve">2025 · Liu C ·</w:t>
      </w:r>
      <w:r>
        <w:t xml:space="preserve"> </w:t>
      </w:r>
      <w:r>
        <w:rPr>
          <w:iCs/>
          <w:i/>
        </w:rPr>
        <w:t xml:space="preserve">Endocrinol Diabetes Metab</w:t>
      </w:r>
      <w:r>
        <w:t xml:space="preserve"> </w:t>
      </w:r>
      <w:r>
        <w:t xml:space="preserve">· Reduction of Hepatic Fat Content by Dulaglutide for the Treatment of Diabetes Mellitus: A Two-Centre Open, Single-Arm Trial. PMID 39718468</w:t>
      </w:r>
    </w:p>
    <w:p>
      <w:pPr>
        <w:numPr>
          <w:ilvl w:val="0"/>
          <w:numId w:val="1378"/>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8"/>
        </w:numPr>
        <w:pStyle w:val="Compact"/>
      </w:pPr>
      <w:r>
        <w:t xml:space="preserve">2024 · Lengsfeld S ·</w:t>
      </w:r>
      <w:r>
        <w:t xml:space="preserve"> </w:t>
      </w:r>
      <w:r>
        <w:rPr>
          <w:iCs/>
          <w:i/>
        </w:rPr>
        <w:t xml:space="preserve">EBioMedicine</w:t>
      </w:r>
      <w:r>
        <w:t xml:space="preserve"> </w:t>
      </w:r>
      <w:r>
        <w:t xml:space="preserve">· Effects of the glucagon-like peptide-1 receptor agonist dulaglutide on sexuality in healthy men: a randomised, double-blind, placebo-controlled crossover study. PMID 39232425</w:t>
      </w:r>
    </w:p>
    <w:p>
      <w:pPr>
        <w:numPr>
          <w:ilvl w:val="0"/>
          <w:numId w:val="1378"/>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78"/>
        </w:numPr>
        <w:pStyle w:val="Compact"/>
      </w:pPr>
      <w:r>
        <w:t xml:space="preserve">2024 · Bjornstad P ·</w:t>
      </w:r>
      <w:r>
        <w:t xml:space="preserve"> </w:t>
      </w:r>
      <w:r>
        <w:rPr>
          <w:iCs/>
          <w:i/>
        </w:rPr>
        <w:t xml:space="preserve">Diabetes Care</w:t>
      </w:r>
      <w:r>
        <w:t xml:space="preserve"> </w:t>
      </w:r>
      <w:r>
        <w:t xml:space="preserve">· Dulaglutide and Glomerular Hyperfiltration, Proteinuria, and Albuminuria in Youth With Type 2 Diabetes: Post Hoc Analysis of the AWARD-PEDS Study. PMID 38954432</w:t>
      </w:r>
    </w:p>
    <w:p>
      <w:pPr>
        <w:numPr>
          <w:ilvl w:val="0"/>
          <w:numId w:val="1378"/>
        </w:numPr>
        <w:pStyle w:val="Compact"/>
      </w:pPr>
      <w:r>
        <w:t xml:space="preserve">2024 · Morioka T ·</w:t>
      </w:r>
      <w:r>
        <w:t xml:space="preserve"> </w:t>
      </w:r>
      <w:r>
        <w:rPr>
          <w:iCs/>
          <w:i/>
        </w:rPr>
        <w:t xml:space="preserve">Diabetes Obes Metab</w:t>
      </w:r>
      <w:r>
        <w:t xml:space="preserve"> </w:t>
      </w:r>
      <w:r>
        <w:t xml:space="preserve">· A randomized, double-blind trial assessing the efficacy and safety of two doses of dulaglutide in Japanese participants with type 2 diabetes (AWARD-JPN). PMID 38715179</w:t>
      </w:r>
    </w:p>
    <w:p>
      <w:pPr>
        <w:numPr>
          <w:ilvl w:val="0"/>
          <w:numId w:val="1378"/>
        </w:numPr>
        <w:pStyle w:val="Compact"/>
      </w:pPr>
      <w:r>
        <w:t xml:space="preserve">2024 · Gao X ·</w:t>
      </w:r>
      <w:r>
        <w:t xml:space="preserve"> </w:t>
      </w:r>
      <w:r>
        <w:rPr>
          <w:iCs/>
          <w:i/>
        </w:rPr>
        <w:t xml:space="preserve">Clin Transl Sci</w:t>
      </w:r>
      <w:r>
        <w:t xml:space="preserve"> </w:t>
      </w:r>
      <w:r>
        <w:t xml:space="preserve">· A pharmacokinetic study comparing the biosimilar HEC14028 and Dulaglutide (Trulicity®) in healthy Chinese subjects. PMID 38651744</w:t>
      </w:r>
    </w:p>
    <w:p>
      <w:pPr>
        <w:numPr>
          <w:ilvl w:val="0"/>
          <w:numId w:val="1378"/>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78"/>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78"/>
        </w:numPr>
        <w:pStyle w:val="Compact"/>
      </w:pPr>
      <w:r>
        <w:t xml:space="preserve">2023 · Probst L ·</w:t>
      </w:r>
      <w:r>
        <w:t xml:space="preserve"> </w:t>
      </w:r>
      <w:r>
        <w:rPr>
          <w:iCs/>
          <w:i/>
        </w:rPr>
        <w:t xml:space="preserve">JCI Insight</w:t>
      </w:r>
      <w:r>
        <w:t xml:space="preserve"> </w:t>
      </w:r>
      <w:r>
        <w:t xml:space="preserve">· Effects of dulaglutide on alcohol consumption during smoking cessation. PMID 37991022</w:t>
      </w:r>
    </w:p>
    <w:p>
      <w:pPr>
        <w:numPr>
          <w:ilvl w:val="0"/>
          <w:numId w:val="1378"/>
        </w:numPr>
        <w:pStyle w:val="Compact"/>
      </w:pPr>
      <w:r>
        <w:t xml:space="preserve">2023 · Wang W ·</w:t>
      </w:r>
      <w:r>
        <w:t xml:space="preserve"> </w:t>
      </w:r>
      <w:r>
        <w:rPr>
          <w:iCs/>
          <w:i/>
        </w:rPr>
        <w:t xml:space="preserve">Diabetes Obes Metab</w:t>
      </w:r>
      <w:r>
        <w:t xml:space="preserve"> </w:t>
      </w:r>
      <w:r>
        <w:t xml:space="preserve">· Efficacy and safety of adding once-weekly dulaglutide to basal insulin for inadequately controlled type 2 diabetes in Chinese patients (AWARD-CHN3): A randomized, double-blind, placebo-controlled, phase III trial. PMID 37732487</w:t>
      </w:r>
    </w:p>
    <w:p>
      <w:pPr>
        <w:numPr>
          <w:ilvl w:val="0"/>
          <w:numId w:val="1378"/>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8"/>
        </w:numPr>
        <w:pStyle w:val="Compact"/>
      </w:pPr>
      <w:r>
        <w:t xml:space="preserve">2023 · Lee EY ·</w:t>
      </w:r>
      <w:r>
        <w:t xml:space="preserve"> </w:t>
      </w:r>
      <w:r>
        <w:rPr>
          <w:iCs/>
          <w:i/>
        </w:rPr>
        <w:t xml:space="preserve">Diabetes Res Clin Pract</w:t>
      </w:r>
      <w:r>
        <w:t xml:space="preserve"> </w:t>
      </w:r>
      <w:r>
        <w:t xml:space="preserve">· Glucometabolic control of once-weekly dulaglutide switched from DPP4 inhibitor versus daily empagliflozin add-on in patients with type 2 diabetes inadequately controlled with metformin, sulfonylurea, and DPP4 inhibitor: A randomised trial. PMID 37595844</w:t>
      </w:r>
    </w:p>
    <w:p>
      <w:pPr>
        <w:numPr>
          <w:ilvl w:val="0"/>
          <w:numId w:val="1378"/>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78"/>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8"/>
        </w:numPr>
        <w:pStyle w:val="Compact"/>
      </w:pPr>
      <w:r>
        <w:t xml:space="preserve">2023 · Gerstein HC ·</w:t>
      </w:r>
      <w:r>
        <w:t xml:space="preserve"> </w:t>
      </w:r>
      <w:r>
        <w:rPr>
          <w:iCs/>
          <w:i/>
        </w:rPr>
        <w:t xml:space="preserve">Diabetes Care</w:t>
      </w:r>
      <w:r>
        <w:t xml:space="preserve"> </w:t>
      </w:r>
      <w:r>
        <w:t xml:space="preserve">· Biomarker Changes Associated With Both Dulaglutide and Cardiovascular Events in the REWIND Randomized Controlled Trial: A Nested Case-Control Post Hoc Analysis. PMID 36897834</w:t>
      </w:r>
    </w:p>
    <w:p>
      <w:pPr>
        <w:numPr>
          <w:ilvl w:val="0"/>
          <w:numId w:val="1378"/>
        </w:numPr>
        <w:pStyle w:val="Compact"/>
      </w:pPr>
      <w:r>
        <w:t xml:space="preserve">2023 · Zhang Q ·</w:t>
      </w:r>
      <w:r>
        <w:t xml:space="preserve"> </w:t>
      </w:r>
      <w:r>
        <w:rPr>
          <w:iCs/>
          <w:i/>
        </w:rPr>
        <w:t xml:space="preserve">Expert Opin Biol Ther</w:t>
      </w:r>
      <w:r>
        <w:t xml:space="preserve"> </w:t>
      </w:r>
      <w:r>
        <w:t xml:space="preserve">· Pharmacokinetic similarity study comparing the biosimilar candidate, LY05008, with its reference product dulaglutide in healthy Chinese male subjects. PMID 36880118</w:t>
      </w:r>
    </w:p>
    <w:p>
      <w:pPr>
        <w:numPr>
          <w:ilvl w:val="0"/>
          <w:numId w:val="1378"/>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8"/>
        </w:numPr>
        <w:pStyle w:val="Compact"/>
      </w:pPr>
      <w:r>
        <w:t xml:space="preserve">2023 · Thivolet C ·</w:t>
      </w:r>
      <w:r>
        <w:t xml:space="preserve"> </w:t>
      </w:r>
      <w:r>
        <w:rPr>
          <w:iCs/>
          <w:i/>
        </w:rPr>
        <w:t xml:space="preserve">Diabetes Metab</w:t>
      </w:r>
      <w:r>
        <w:t xml:space="preserve"> </w:t>
      </w:r>
      <w:r>
        <w:t xml:space="preserve">· Dulaglutide and insulin microsecretion in people with type 1 diabetes (DIAMOND-GLP-1): A randomized double-blind placebo-controlled trial. PMID 36781064</w:t>
      </w:r>
    </w:p>
    <w:p>
      <w:pPr>
        <w:numPr>
          <w:ilvl w:val="0"/>
          <w:numId w:val="1378"/>
        </w:numPr>
        <w:pStyle w:val="Compact"/>
      </w:pPr>
      <w:r>
        <w:t xml:space="preserve">2023 · Zhang Y ·</w:t>
      </w:r>
      <w:r>
        <w:t xml:space="preserve"> </w:t>
      </w:r>
      <w:r>
        <w:rPr>
          <w:iCs/>
          <w:i/>
        </w:rPr>
        <w:t xml:space="preserve">Nutrients</w:t>
      </w:r>
      <w:r>
        <w:t xml:space="preserve"> </w:t>
      </w:r>
      <w:r>
        <w:t xml:space="preserve">· Effects of a Dulaglutide plus Calorie-Restricted Diet versus a Calorie-Restricted Diet on Visceral Fat and Metabolic Profiles in Women with Polycystic Ovary Syndrome: A Randomized Controlled Trial. PMID 36771262</w:t>
      </w:r>
    </w:p>
    <w:p>
      <w:pPr>
        <w:numPr>
          <w:ilvl w:val="0"/>
          <w:numId w:val="1378"/>
        </w:numPr>
        <w:pStyle w:val="Compact"/>
      </w:pPr>
      <w:r>
        <w:t xml:space="preserve">2023 · Su Y ·</w:t>
      </w:r>
      <w:r>
        <w:t xml:space="preserve"> </w:t>
      </w:r>
      <w:r>
        <w:rPr>
          <w:iCs/>
          <w:i/>
        </w:rPr>
        <w:t xml:space="preserve">Front Endocrinol (Lausanne)</w:t>
      </w:r>
      <w:r>
        <w:t xml:space="preserve"> </w:t>
      </w:r>
      <w:r>
        <w:t xml:space="preserve">· Pharmacoeconomic analysis (CER) of Dulaglutide and Liraglutide in the treatment of patients with type 2 diabetes. PMID 36755915</w:t>
      </w:r>
    </w:p>
    <w:p>
      <w:pPr>
        <w:numPr>
          <w:ilvl w:val="0"/>
          <w:numId w:val="1378"/>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8"/>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78"/>
        </w:numPr>
        <w:pStyle w:val="Compact"/>
      </w:pPr>
      <w:r>
        <w:t xml:space="preserve">2022 · Urva S ·</w:t>
      </w:r>
      <w:r>
        <w:t xml:space="preserve"> </w:t>
      </w:r>
      <w:r>
        <w:rPr>
          <w:iCs/>
          <w:i/>
        </w:rPr>
        <w:t xml:space="preserve">Lancet</w:t>
      </w:r>
      <w:r>
        <w:t xml:space="preserve"> </w:t>
      </w:r>
      <w:r>
        <w:t xml:space="preserve">· LY3437943, a novel triple GIP, GLP-1, and glucagon receptor agonist in people with type 2 diabetes: a phase 1b, multicentre, double-blind, placebo-controlled, randomised, multiple-ascending dose trial. PMID 36354040</w:t>
      </w:r>
    </w:p>
    <w:p>
      <w:pPr>
        <w:numPr>
          <w:ilvl w:val="0"/>
          <w:numId w:val="1378"/>
        </w:numPr>
        <w:pStyle w:val="Compact"/>
      </w:pPr>
      <w:r>
        <w:t xml:space="preserve">2022 · Branch KRH ·</w:t>
      </w:r>
      <w:r>
        <w:t xml:space="preserve"> </w:t>
      </w:r>
      <w:r>
        <w:rPr>
          <w:iCs/>
          <w:i/>
        </w:rPr>
        <w:t xml:space="preserve">Eur J Heart Fail</w:t>
      </w:r>
      <w:r>
        <w:t xml:space="preserve"> </w:t>
      </w:r>
      <w:r>
        <w:t xml:space="preserve">· Dulaglutide and cardiovascular and heart failure outcomes in patients with and without heart failure: a post-hoc analysis from the REWIND randomized trial. PMID 36073143</w:t>
      </w:r>
    </w:p>
    <w:p>
      <w:pPr>
        <w:numPr>
          <w:ilvl w:val="0"/>
          <w:numId w:val="1378"/>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8"/>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78"/>
        </w:numPr>
        <w:pStyle w:val="Compact"/>
      </w:pPr>
      <w:r>
        <w:t xml:space="preserve">2022 · Jiang H ·</w:t>
      </w:r>
      <w:r>
        <w:t xml:space="preserve"> </w:t>
      </w:r>
      <w:r>
        <w:rPr>
          <w:iCs/>
          <w:i/>
        </w:rPr>
        <w:t xml:space="preserve">Nat Commun</w:t>
      </w:r>
      <w:r>
        <w:t xml:space="preserve"> </w:t>
      </w:r>
      <w:r>
        <w:t xml:space="preserve">· A phase 1b randomised controlled trial of a glucagon-like peptide-1 and glucagon receptor dual agonist IBI362 (LY3305677) in Chinese patients with type 2 diabetes. PMID 35750681</w:t>
      </w:r>
    </w:p>
    <w:p>
      <w:pPr>
        <w:numPr>
          <w:ilvl w:val="0"/>
          <w:numId w:val="1378"/>
        </w:numPr>
        <w:pStyle w:val="Compact"/>
      </w:pPr>
      <w:r>
        <w:t xml:space="preserve">2022 · Arslanian SA ·</w:t>
      </w:r>
      <w:r>
        <w:t xml:space="preserve"> </w:t>
      </w:r>
      <w:r>
        <w:rPr>
          <w:iCs/>
          <w:i/>
        </w:rPr>
        <w:t xml:space="preserve">N Engl J Med</w:t>
      </w:r>
      <w:r>
        <w:t xml:space="preserve"> </w:t>
      </w:r>
      <w:r>
        <w:t xml:space="preserve">· Once-Weekly Dulaglutide for the Treatment of Youths with Type 2 Diabetes. PMID 35658022</w:t>
      </w:r>
    </w:p>
    <w:p>
      <w:pPr>
        <w:numPr>
          <w:ilvl w:val="0"/>
          <w:numId w:val="1378"/>
        </w:numPr>
        <w:pStyle w:val="Compact"/>
      </w:pPr>
      <w:r>
        <w:t xml:space="preserve">2022 · Cox DA ·</w:t>
      </w:r>
      <w:r>
        <w:t xml:space="preserve"> </w:t>
      </w:r>
      <w:r>
        <w:rPr>
          <w:iCs/>
          <w:i/>
        </w:rPr>
        <w:t xml:space="preserve">Diabetes Obes Metab</w:t>
      </w:r>
      <w:r>
        <w:t xml:space="preserve"> </w:t>
      </w:r>
      <w:r>
        <w:t xml:space="preserve">· Effect of expanded dulaglutide weekly doses (3.0 mg and 4.5 mg) on cardiovascular disease risk factors in participants with type 2 diabetes at increased cardiovascular disease risk: a post hoc analysis of the AWARD-11 study. PMID 35546790</w:t>
      </w:r>
    </w:p>
    <w:p>
      <w:pPr>
        <w:numPr>
          <w:ilvl w:val="0"/>
          <w:numId w:val="1378"/>
        </w:numPr>
        <w:pStyle w:val="Compact"/>
      </w:pPr>
      <w:r>
        <w:t xml:space="preserve">2022 · Vukajlovic T ·</w:t>
      </w:r>
      <w:r>
        <w:t xml:space="preserve"> </w:t>
      </w:r>
      <w:r>
        <w:rPr>
          <w:iCs/>
          <w:i/>
        </w:rPr>
        <w:t xml:space="preserve">J Clin Endocrinol Metab</w:t>
      </w:r>
      <w:r>
        <w:t xml:space="preserve"> </w:t>
      </w:r>
      <w:r>
        <w:t xml:space="preserve">· Effect of a 3-Week Treatment with GLP-1 Receptor Agonists on Vasoactive Hormones in Euvolemic Participants. PMID 35134170</w:t>
      </w:r>
    </w:p>
    <w:p>
      <w:pPr>
        <w:numPr>
          <w:ilvl w:val="0"/>
          <w:numId w:val="1378"/>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8"/>
        </w:numPr>
        <w:pStyle w:val="Compact"/>
      </w:pPr>
      <w:r>
        <w:t xml:space="preserve">2022 · Kwan AYM ·</w:t>
      </w:r>
      <w:r>
        <w:t xml:space="preserve"> </w:t>
      </w:r>
      <w:r>
        <w:rPr>
          <w:iCs/>
          <w:i/>
        </w:rPr>
        <w:t xml:space="preserve">Diabetes Care</w:t>
      </w:r>
      <w:r>
        <w:t xml:space="preserve"> </w:t>
      </w:r>
      <w:r>
        <w:t xml:space="preserve">· HbA1c Reduction in Dulaglutide-Treated Patients Irrespective of Duration of Diabetes, Microvascular Disease, and BMI: A Post Hoc Analysis From the REWIND Trial. PMID 35043140</w:t>
      </w:r>
    </w:p>
    <w:p>
      <w:pPr>
        <w:numPr>
          <w:ilvl w:val="0"/>
          <w:numId w:val="1378"/>
        </w:numPr>
        <w:pStyle w:val="Compact"/>
      </w:pPr>
      <w:r>
        <w:t xml:space="preserve">2022 · Raubenheimer PJ ·</w:t>
      </w:r>
      <w:r>
        <w:t xml:space="preserve"> </w:t>
      </w:r>
      <w:r>
        <w:rPr>
          <w:iCs/>
          <w:i/>
        </w:rPr>
        <w:t xml:space="preserve">Diabetes Obes Metab</w:t>
      </w:r>
      <w:r>
        <w:t xml:space="preserve"> </w:t>
      </w:r>
      <w:r>
        <w:t xml:space="preserve">· Dulaglutide and incident atrial fibrillation or flutter in patients with type 2 diabetes: A post hoc analysis from the REWIND randomized trial. PMID 34984808</w:t>
      </w:r>
    </w:p>
    <w:p>
      <w:pPr>
        <w:numPr>
          <w:ilvl w:val="0"/>
          <w:numId w:val="1378"/>
        </w:numPr>
        <w:pStyle w:val="Compact"/>
      </w:pPr>
      <w:r>
        <w:t xml:space="preserve">2022 · Xu J ·</w:t>
      </w:r>
      <w:r>
        <w:t xml:space="preserve"> </w:t>
      </w:r>
      <w:r>
        <w:rPr>
          <w:iCs/>
          <w:i/>
        </w:rPr>
        <w:t xml:space="preserve">Adv Ther</w:t>
      </w:r>
      <w:r>
        <w:t xml:space="preserve"> </w:t>
      </w:r>
      <w:r>
        <w:t xml:space="preserve">· Pharmacokinetics, Pharmacodynamics, and Safety of Dulaglutide After Single or Multiple Doses in Chinese Healthy Subjects and Patients with T2DM: A Randomized, Placebo-Controlled, Phase I Study. PMID 34787823</w:t>
      </w:r>
    </w:p>
    <w:p>
      <w:pPr>
        <w:numPr>
          <w:ilvl w:val="0"/>
          <w:numId w:val="1378"/>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8"/>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78"/>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78"/>
        </w:numPr>
        <w:pStyle w:val="Compact"/>
      </w:pPr>
      <w:r>
        <w:t xml:space="preserve">2021 · Tuttle KR ·</w:t>
      </w:r>
      <w:r>
        <w:t xml:space="preserve"> </w:t>
      </w:r>
      <w:r>
        <w:rPr>
          <w:iCs/>
          <w:i/>
        </w:rPr>
        <w:t xml:space="preserve">Kidney360</w:t>
      </w:r>
      <w:r>
        <w:t xml:space="preserve"> </w:t>
      </w:r>
      <w:r>
        <w:t xml:space="preserve">· Clinical Outcomes by Albuminuria Status with Dulaglutide versus Insulin Glargine in Participants with Diabetes and CKD: AWARD-7 Exploratory Analysis. PMID 35373017</w:t>
      </w:r>
    </w:p>
    <w:p>
      <w:pPr>
        <w:numPr>
          <w:ilvl w:val="0"/>
          <w:numId w:val="1378"/>
        </w:numPr>
        <w:pStyle w:val="Compact"/>
      </w:pPr>
      <w:r>
        <w:t xml:space="preserve">2021 · Cai TT ·</w:t>
      </w:r>
      <w:r>
        <w:t xml:space="preserve"> </w:t>
      </w:r>
      <w:r>
        <w:rPr>
          <w:iCs/>
          <w:i/>
        </w:rPr>
        <w:t xml:space="preserve">Biomed Res Int</w:t>
      </w:r>
      <w:r>
        <w:t xml:space="preserve"> </w:t>
      </w:r>
      <w:r>
        <w:t xml:space="preserve">· Effects of GLP-1 Receptor Agonists on Bone Mineral Density in Patients with Type 2 Diabetes Mellitus: A 52-Week Clinical Study. PMID 34580638</w:t>
      </w:r>
    </w:p>
    <w:p>
      <w:pPr>
        <w:numPr>
          <w:ilvl w:val="0"/>
          <w:numId w:val="1378"/>
        </w:numPr>
        <w:pStyle w:val="Compact"/>
      </w:pPr>
      <w:r>
        <w:t xml:space="preserve">2021 · Konig M ·</w:t>
      </w:r>
      <w:r>
        <w:t xml:space="preserve"> </w:t>
      </w:r>
      <w:r>
        <w:rPr>
          <w:iCs/>
          <w:i/>
        </w:rPr>
        <w:t xml:space="preserve">Cardiovasc Diabetol</w:t>
      </w:r>
      <w:r>
        <w:t xml:space="preserve"> </w:t>
      </w:r>
      <w:r>
        <w:t xml:space="preserve">· Exploring potential mediators of the cardiovascular benefit of dulaglutide in type 2 diabetes patients in REWIND. PMID 34563178</w:t>
      </w:r>
    </w:p>
    <w:p>
      <w:pPr>
        <w:numPr>
          <w:ilvl w:val="0"/>
          <w:numId w:val="1378"/>
        </w:numPr>
        <w:pStyle w:val="Compact"/>
      </w:pPr>
      <w:r>
        <w:t xml:space="preserve">2021 · Winzeler B ·</w:t>
      </w:r>
      <w:r>
        <w:t xml:space="preserve"> </w:t>
      </w:r>
      <w:r>
        <w:rPr>
          <w:iCs/>
          <w:i/>
        </w:rPr>
        <w:t xml:space="preserve">J Clin Invest</w:t>
      </w:r>
      <w:r>
        <w:t xml:space="preserve"> </w:t>
      </w:r>
      <w:r>
        <w:t xml:space="preserve">· A randomized controlled trial of the GLP-1 receptor agonist dulaglutide in primary polydipsia. PMID 34473645</w:t>
      </w:r>
    </w:p>
    <w:p>
      <w:pPr>
        <w:numPr>
          <w:ilvl w:val="0"/>
          <w:numId w:val="1378"/>
        </w:numPr>
        <w:pStyle w:val="Compact"/>
      </w:pPr>
      <w:r>
        <w:t xml:space="preserve">2021 · Frias JP ·</w:t>
      </w:r>
      <w:r>
        <w:t xml:space="preserve"> </w:t>
      </w:r>
      <w:r>
        <w:rPr>
          <w:iCs/>
          <w:i/>
        </w:rPr>
        <w:t xml:space="preserve">Diabetes Obes Metab</w:t>
      </w:r>
      <w:r>
        <w:t xml:space="preserve"> </w:t>
      </w:r>
      <w:r>
        <w:t xml:space="preserve">· Glycaemic efficacy of an expanded dose range of dulaglutide according to baseline glycated haemoglobin (HbA1c) subgroup: Post hoc analysis of AWARD-11. PMID 34463420</w:t>
      </w:r>
    </w:p>
    <w:p>
      <w:pPr>
        <w:numPr>
          <w:ilvl w:val="0"/>
          <w:numId w:val="1378"/>
        </w:numPr>
        <w:pStyle w:val="Compact"/>
      </w:pPr>
      <w:r>
        <w:t xml:space="preserve">2021 · Bonora E ·</w:t>
      </w:r>
      <w:r>
        <w:t xml:space="preserve"> </w:t>
      </w:r>
      <w:r>
        <w:rPr>
          <w:iCs/>
          <w:i/>
        </w:rPr>
        <w:t xml:space="preserve">Diabetes Obes Metab</w:t>
      </w:r>
      <w:r>
        <w:t xml:space="preserve"> </w:t>
      </w:r>
      <w:r>
        <w:t xml:space="preserve">· Effect of dulaglutide 3.0 and 4.5 mg on weight in patients with type 2 diabetes: Exploratory analyses of AWARD-11. PMID 34189841</w:t>
      </w:r>
    </w:p>
    <w:p>
      <w:pPr>
        <w:numPr>
          <w:ilvl w:val="0"/>
          <w:numId w:val="1378"/>
        </w:numPr>
        <w:pStyle w:val="Compact"/>
      </w:pPr>
      <w:r>
        <w:t xml:space="preserve">2021 · Frias JP ·</w:t>
      </w:r>
      <w:r>
        <w:t xml:space="preserve"> </w:t>
      </w:r>
      <w:r>
        <w:rPr>
          <w:iCs/>
          <w:i/>
        </w:rPr>
        <w:t xml:space="preserve">Diabetes Obes Metab</w:t>
      </w:r>
      <w:r>
        <w:t xml:space="preserve"> </w:t>
      </w:r>
      <w:r>
        <w:t xml:space="preserve">· Efficacy and safety of dulaglutide 3.0 and 4.5 mg in patients aged younger than 65 and 65 years or older: Post hoc analysis of the AWARD-11 trial. PMID 34159708</w:t>
      </w:r>
    </w:p>
    <w:p>
      <w:pPr>
        <w:numPr>
          <w:ilvl w:val="0"/>
          <w:numId w:val="1378"/>
        </w:numPr>
        <w:pStyle w:val="Compact"/>
      </w:pPr>
      <w:r>
        <w:t xml:space="preserve">2021 · Bajaj HS ·</w:t>
      </w:r>
      <w:r>
        <w:t xml:space="preserve"> </w:t>
      </w:r>
      <w:r>
        <w:rPr>
          <w:iCs/>
          <w:i/>
        </w:rPr>
        <w:t xml:space="preserve">Lancet Diabetes Endocrinol</w:t>
      </w:r>
      <w:r>
        <w:t xml:space="preserve"> </w:t>
      </w:r>
      <w:r>
        <w:t xml:space="preserve">· Erectile function in men with type 2 diabetes treated with dulaglutide: an exploratory analysis of the REWIND placebo-controlled randomised trial. PMID 34153269</w:t>
      </w:r>
    </w:p>
    <w:p>
      <w:pPr>
        <w:numPr>
          <w:ilvl w:val="0"/>
          <w:numId w:val="1378"/>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8"/>
        </w:numPr>
        <w:pStyle w:val="Compact"/>
      </w:pPr>
      <w:r>
        <w:t xml:space="preserve">2021 · Riddle MC ·</w:t>
      </w:r>
      <w:r>
        <w:t xml:space="preserve"> </w:t>
      </w:r>
      <w:r>
        <w:rPr>
          <w:iCs/>
          <w:i/>
        </w:rPr>
        <w:t xml:space="preserve">J Clin Endocrinol Metab</w:t>
      </w:r>
      <w:r>
        <w:t xml:space="preserve"> </w:t>
      </w:r>
      <w:r>
        <w:t xml:space="preserve">· Efficacy and Safety of Dulaglutide in Older Patients: A post hoc Analysis of the REWIND trial. PMID 33537745</w:t>
      </w:r>
    </w:p>
    <w:p>
      <w:pPr>
        <w:numPr>
          <w:ilvl w:val="0"/>
          <w:numId w:val="1378"/>
        </w:numPr>
        <w:pStyle w:val="Compact"/>
      </w:pPr>
      <w:r>
        <w:t xml:space="preserve">2021 · Frias JP ·</w:t>
      </w:r>
      <w:r>
        <w:t xml:space="preserve"> </w:t>
      </w:r>
      <w:r>
        <w:rPr>
          <w:iCs/>
          <w:i/>
        </w:rPr>
        <w:t xml:space="preserve">Diabetes Care</w:t>
      </w:r>
      <w:r>
        <w:t xml:space="preserve"> </w:t>
      </w:r>
      <w:r>
        <w:t xml:space="preserve">· Efficacy and Safety of Dulaglutide 3.0 mg and 4.5 mg Versus Dulaglutide 1.5 mg in Metformin-Treated Patients With Type 2 Diabetes in a Randomized Controlled Trial (AWARD-11). PMID 33397768</w:t>
      </w:r>
    </w:p>
    <w:p>
      <w:pPr>
        <w:numPr>
          <w:ilvl w:val="0"/>
          <w:numId w:val="1378"/>
        </w:numPr>
        <w:pStyle w:val="Compact"/>
      </w:pPr>
      <w:r>
        <w:t xml:space="preserve">2021 · Tuttolomondo A ·</w:t>
      </w:r>
      <w:r>
        <w:t xml:space="preserve"> </w:t>
      </w:r>
      <w:r>
        <w:rPr>
          <w:iCs/>
          <w:i/>
        </w:rPr>
        <w:t xml:space="preserve">Cardiovasc Diabetol</w:t>
      </w:r>
      <w:r>
        <w:t xml:space="preserve"> </w:t>
      </w:r>
      <w:r>
        <w:t xml:space="preserve">· Efficacy of dulaglutide on vascular health indexes in subjects with type 2 diabetes: a randomized trial. PMID 33397395</w:t>
      </w:r>
    </w:p>
    <w:p>
      <w:pPr>
        <w:numPr>
          <w:ilvl w:val="0"/>
          <w:numId w:val="1378"/>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78"/>
        </w:numPr>
        <w:pStyle w:val="Compact"/>
      </w:pPr>
      <w:r>
        <w:t xml:space="preserve">2021 · Ferrannini G ·</w:t>
      </w:r>
      <w:r>
        <w:t xml:space="preserve"> </w:t>
      </w:r>
      <w:r>
        <w:rPr>
          <w:iCs/>
          <w:i/>
        </w:rPr>
        <w:t xml:space="preserve">Eur Heart J</w:t>
      </w:r>
      <w:r>
        <w:t xml:space="preserve"> </w:t>
      </w:r>
      <w:r>
        <w:t xml:space="preserve">· Similar cardiovascular outcomes in patients with diabetes and established or high risk for coronary vascular disease treated with dulaglutide with and without baseline metformin. PMID 33197271</w:t>
      </w:r>
    </w:p>
    <w:p>
      <w:pPr>
        <w:numPr>
          <w:ilvl w:val="0"/>
          <w:numId w:val="1378"/>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78"/>
        </w:numPr>
        <w:pStyle w:val="Compact"/>
      </w:pPr>
      <w:r>
        <w:t xml:space="preserve">2020 · Dagenais GR ·</w:t>
      </w:r>
      <w:r>
        <w:t xml:space="preserve"> </w:t>
      </w:r>
      <w:r>
        <w:rPr>
          <w:iCs/>
          <w:i/>
        </w:rPr>
        <w:t xml:space="preserve">Cardiovasc Diabetol</w:t>
      </w:r>
      <w:r>
        <w:t xml:space="preserve"> </w:t>
      </w:r>
      <w:r>
        <w:t xml:space="preserve">· Total cardiovascular or fatal events in people with type 2 diabetes and cardiovascular risk factors treated with dulaglutide in the REWIND trail: a post hoc analysis. PMID 33239067</w:t>
      </w:r>
    </w:p>
    <w:p>
      <w:pPr>
        <w:numPr>
          <w:ilvl w:val="0"/>
          <w:numId w:val="1378"/>
        </w:numPr>
        <w:pStyle w:val="Compact"/>
      </w:pPr>
      <w:r>
        <w:t xml:space="preserve">2020 · Kuchay MS ·</w:t>
      </w:r>
      <w:r>
        <w:t xml:space="preserve"> </w:t>
      </w:r>
      <w:r>
        <w:rPr>
          <w:iCs/>
          <w:i/>
        </w:rPr>
        <w:t xml:space="preserve">Diabetologia</w:t>
      </w:r>
      <w:r>
        <w:t xml:space="preserve"> </w:t>
      </w:r>
      <w:r>
        <w:t xml:space="preserve">· Effect of dulaglutide on liver fat in patients with type 2 diabetes and NAFLD: randomised controlled trial (D-LIFT trial). PMID 32865597</w:t>
      </w:r>
    </w:p>
    <w:p>
      <w:pPr>
        <w:numPr>
          <w:ilvl w:val="0"/>
          <w:numId w:val="1378"/>
        </w:numPr>
        <w:pStyle w:val="Compact"/>
      </w:pPr>
      <w:r>
        <w:t xml:space="preserve">2020 · Winzeler B ·</w:t>
      </w:r>
      <w:r>
        <w:t xml:space="preserve"> </w:t>
      </w:r>
      <w:r>
        <w:rPr>
          <w:iCs/>
          <w:i/>
        </w:rPr>
        <w:t xml:space="preserve">Endocrine</w:t>
      </w:r>
      <w:r>
        <w:t xml:space="preserve"> </w:t>
      </w:r>
      <w:r>
        <w:t xml:space="preserve">· Effects of glucagon-like peptide-1 receptor agonists on fluid intake in healthy volunteers. PMID 32623637</w:t>
      </w:r>
    </w:p>
    <w:p>
      <w:pPr>
        <w:numPr>
          <w:ilvl w:val="0"/>
          <w:numId w:val="1378"/>
        </w:numPr>
        <w:pStyle w:val="Compact"/>
      </w:pPr>
      <w:r>
        <w:t xml:space="preserve">2020 · Cukierman-Yaffe T ·</w:t>
      </w:r>
      <w:r>
        <w:t xml:space="preserve"> </w:t>
      </w:r>
      <w:r>
        <w:rPr>
          <w:iCs/>
          <w:i/>
        </w:rPr>
        <w:t xml:space="preserve">Lancet Neurol</w:t>
      </w:r>
      <w:r>
        <w:t xml:space="preserve"> </w:t>
      </w:r>
      <w:r>
        <w:t xml:space="preserve">· Effect of dulaglutide on cognitive impairment in type 2 diabetes: an exploratory analysis of the REWIND trial. PMID 32562683</w:t>
      </w:r>
    </w:p>
    <w:p>
      <w:pPr>
        <w:numPr>
          <w:ilvl w:val="0"/>
          <w:numId w:val="1378"/>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8"/>
        </w:numPr>
        <w:pStyle w:val="Compact"/>
      </w:pPr>
      <w:r>
        <w:t xml:space="preserve">2020 · An IB ·</w:t>
      </w:r>
      <w:r>
        <w:t xml:space="preserve"> </w:t>
      </w:r>
      <w:r>
        <w:rPr>
          <w:iCs/>
          <w:i/>
        </w:rPr>
        <w:t xml:space="preserve">Diabetes Obes Metab</w:t>
      </w:r>
      <w:r>
        <w:t xml:space="preserve"> </w:t>
      </w:r>
      <w:r>
        <w:t xml:space="preserve">· A glycosylated Fc-fused glucagon-like peptide-1 receptor agonist exhibits equivalent glucose lowering to but fewer gastrointestinal side effects than dulaglutide. PMID 32314505</w:t>
      </w:r>
    </w:p>
    <w:p>
      <w:pPr>
        <w:numPr>
          <w:ilvl w:val="0"/>
          <w:numId w:val="1378"/>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78"/>
        </w:numPr>
        <w:pStyle w:val="Compact"/>
      </w:pPr>
      <w:r>
        <w:t xml:space="preserve">2020 · Romera I ·</w:t>
      </w:r>
      <w:r>
        <w:t xml:space="preserve"> </w:t>
      </w:r>
      <w:r>
        <w:rPr>
          <w:iCs/>
          <w:i/>
        </w:rPr>
        <w:t xml:space="preserve">J Diabetes Complications</w:t>
      </w:r>
      <w:r>
        <w:t xml:space="preserve"> </w:t>
      </w:r>
      <w:r>
        <w:t xml:space="preserve">· Once-weekly dulaglutide versus insulin glargine in the early control of fasting serum glucose and HbA1c. PMID 32220551</w:t>
      </w:r>
    </w:p>
    <w:p>
      <w:pPr>
        <w:numPr>
          <w:ilvl w:val="0"/>
          <w:numId w:val="1378"/>
        </w:numPr>
        <w:pStyle w:val="Compact"/>
      </w:pPr>
      <w:r>
        <w:t xml:space="preserve">2020 · Asakura T ·</w:t>
      </w:r>
      <w:r>
        <w:t xml:space="preserve"> </w:t>
      </w:r>
      <w:r>
        <w:rPr>
          <w:iCs/>
          <w:i/>
        </w:rPr>
        <w:t xml:space="preserve">Curr Med Res Opin</w:t>
      </w:r>
      <w:r>
        <w:t xml:space="preserve"> </w:t>
      </w:r>
      <w:r>
        <w:t xml:space="preserve">· Comparative study of dulaglutide single-use pen Ateos versus insulin degludec FlexTouch on learning and mock administration time in Japanese patients with type 2 diabetes mellitus - a post-hoc analysis. PMID 32141343</w:t>
      </w:r>
    </w:p>
    <w:p>
      <w:pPr>
        <w:numPr>
          <w:ilvl w:val="0"/>
          <w:numId w:val="1378"/>
        </w:numPr>
        <w:pStyle w:val="Compact"/>
      </w:pPr>
      <w:r>
        <w:t xml:space="preserve">2020 · Gerstein HC ·</w:t>
      </w:r>
      <w:r>
        <w:t xml:space="preserve"> </w:t>
      </w:r>
      <w:r>
        <w:rPr>
          <w:iCs/>
          <w:i/>
        </w:rPr>
        <w:t xml:space="preserve">Lancet Diabetes Endocrinol</w:t>
      </w:r>
      <w:r>
        <w:t xml:space="preserve"> </w:t>
      </w:r>
      <w:r>
        <w:t xml:space="preserve">· The effect of dulaglutide on stroke: an exploratory analysis of the REWIND trial. PMID 31924562</w:t>
      </w:r>
    </w:p>
    <w:p>
      <w:pPr>
        <w:numPr>
          <w:ilvl w:val="0"/>
          <w:numId w:val="1378"/>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8"/>
        </w:numPr>
        <w:pStyle w:val="Compact"/>
      </w:pPr>
      <w:r>
        <w:t xml:space="preserve">2020 · Xiao X ·</w:t>
      </w:r>
      <w:r>
        <w:t xml:space="preserve"> </w:t>
      </w:r>
      <w:r>
        <w:rPr>
          <w:iCs/>
          <w:i/>
        </w:rPr>
        <w:t xml:space="preserve">J Diabetes Investig</w:t>
      </w:r>
      <w:r>
        <w:t xml:space="preserve"> </w:t>
      </w:r>
      <w:r>
        <w:t xml:space="preserve">· Achieving the composite end-point of glycated hemoglobin &lt;7.0% without weight gain or hypoglycemia with once-weekly dulaglutide in Chinese patients with type 2 diabetes: A post-hoc analysis. PMID 31758850</w:t>
      </w:r>
    </w:p>
    <w:p>
      <w:pPr>
        <w:numPr>
          <w:ilvl w:val="0"/>
          <w:numId w:val="1378"/>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8"/>
        </w:numPr>
        <w:pStyle w:val="Compact"/>
      </w:pPr>
      <w:r>
        <w:t xml:space="preserve">2020 · Fushimi N ·</w:t>
      </w:r>
      <w:r>
        <w:t xml:space="preserve"> </w:t>
      </w:r>
      <w:r>
        <w:rPr>
          <w:iCs/>
          <w:i/>
        </w:rPr>
        <w:t xml:space="preserve">J Diabetes Investig</w:t>
      </w:r>
      <w:r>
        <w:t xml:space="preserve"> </w:t>
      </w:r>
      <w:r>
        <w:t xml:space="preserve">· Dulaglutide-combined basal plus correction insulin therapy contributes to ideal glycemic control in non-critical hospitalized patients. PMID 31168938</w:t>
      </w:r>
    </w:p>
    <w:p>
      <w:pPr>
        <w:numPr>
          <w:ilvl w:val="0"/>
          <w:numId w:val="1378"/>
        </w:numPr>
        <w:pStyle w:val="Compact"/>
      </w:pPr>
      <w:r>
        <w:t xml:space="preserve">2020 · Shi LX ·</w:t>
      </w:r>
      <w:r>
        <w:t xml:space="preserve"> </w:t>
      </w:r>
      <w:r>
        <w:rPr>
          <w:iCs/>
          <w:i/>
        </w:rPr>
        <w:t xml:space="preserve">J Diabetes Investig</w:t>
      </w:r>
      <w:r>
        <w:t xml:space="preserve"> </w:t>
      </w:r>
      <w:r>
        <w:t xml:space="preserve">· Efficacy and safety of dulaglutide monotherapy compared with glimepiride in Chinese patients with type 2 diabetes: Post-hoc analyses of a randomized, double-blind, phase III study. PMID 31102326</w:t>
      </w:r>
    </w:p>
    <w:p>
      <w:pPr>
        <w:numPr>
          <w:ilvl w:val="0"/>
          <w:numId w:val="1378"/>
        </w:numPr>
        <w:pStyle w:val="Compact"/>
      </w:pPr>
      <w:r>
        <w:t xml:space="preserve">2019 · Wang J ·</w:t>
      </w:r>
      <w:r>
        <w:t xml:space="preserve"> </w:t>
      </w:r>
      <w:r>
        <w:rPr>
          <w:iCs/>
          <w:i/>
        </w:rPr>
        <w:t xml:space="preserve">Biomed Res Int</w:t>
      </w:r>
      <w:r>
        <w:t xml:space="preserve"> </w:t>
      </w:r>
      <w:r>
        <w:t xml:space="preserve">· The Effects of Once-Weekly Dulaglutide and Insulin Glargine on Glucose Fluctuation in Poorly Oral-Antidiabetic Controlled Patients with Type 2 Diabetes Mellitus. PMID 31950036</w:t>
      </w:r>
    </w:p>
    <w:p>
      <w:pPr>
        <w:numPr>
          <w:ilvl w:val="0"/>
          <w:numId w:val="1378"/>
        </w:numPr>
        <w:pStyle w:val="Compact"/>
      </w:pPr>
      <w:r>
        <w:t xml:space="preserve">2019 · Blonde L ·</w:t>
      </w:r>
      <w:r>
        <w:t xml:space="preserve"> </w:t>
      </w:r>
      <w:r>
        <w:rPr>
          <w:iCs/>
          <w:i/>
        </w:rPr>
        <w:t xml:space="preserve">Diabetes Care</w:t>
      </w:r>
      <w:r>
        <w:t xml:space="preserve"> </w:t>
      </w:r>
      <w:r>
        <w:t xml:space="preserve">· Switching to iGlarLixi Versus Continuing Daily or Weekly GLP-1 RA in Type 2 Diabetes Inadequately Controlled by GLP-1 RA and Oral Antihyperglycemic Therapy: The LixiLan-G Randomized Clinical Trial. PMID 31530665</w:t>
      </w:r>
    </w:p>
    <w:p>
      <w:pPr>
        <w:numPr>
          <w:ilvl w:val="0"/>
          <w:numId w:val="1378"/>
        </w:numPr>
        <w:pStyle w:val="Compact"/>
      </w:pPr>
      <w:r>
        <w:t xml:space="preserve">2019 · Kutoh E ·</w:t>
      </w:r>
      <w:r>
        <w:t xml:space="preserve"> </w:t>
      </w:r>
      <w:r>
        <w:rPr>
          <w:iCs/>
          <w:i/>
        </w:rPr>
        <w:t xml:space="preserve">Endocr Regul</w:t>
      </w:r>
      <w:r>
        <w:t xml:space="preserve"> </w:t>
      </w:r>
      <w:r>
        <w:t xml:space="preserve">· Efficacy and safety of dulaglutide in patients with absolute insulin deficiency. PMID 31517629</w:t>
      </w:r>
    </w:p>
    <w:p>
      <w:pPr>
        <w:numPr>
          <w:ilvl w:val="0"/>
          <w:numId w:val="1378"/>
        </w:numPr>
        <w:pStyle w:val="Compact"/>
      </w:pPr>
      <w:r>
        <w:t xml:space="preserve">2019 · Gentilella R ·</w:t>
      </w:r>
      <w:r>
        <w:t xml:space="preserve"> </w:t>
      </w:r>
      <w:r>
        <w:rPr>
          <w:iCs/>
          <w:i/>
        </w:rPr>
        <w:t xml:space="preserve">Diabetes Obes Metab</w:t>
      </w:r>
      <w:r>
        <w:t xml:space="preserve"> </w:t>
      </w:r>
      <w:r>
        <w:t xml:space="preserve">· Dulaglutide is an effective treatment for lowering HbA1c in patients with type 2 diabetes regardless of body mass index. PMID 31392822</w:t>
      </w:r>
    </w:p>
    <w:p>
      <w:pPr>
        <w:numPr>
          <w:ilvl w:val="0"/>
          <w:numId w:val="1378"/>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8"/>
        </w:numPr>
        <w:pStyle w:val="Compact"/>
      </w:pPr>
      <w:r>
        <w:t xml:space="preserve">2019 · Gerstein HC ·</w:t>
      </w:r>
      <w:r>
        <w:t xml:space="preserve"> </w:t>
      </w:r>
      <w:r>
        <w:rPr>
          <w:iCs/>
          <w:i/>
        </w:rPr>
        <w:t xml:space="preserve">Lancet</w:t>
      </w:r>
      <w:r>
        <w:t xml:space="preserve"> </w:t>
      </w:r>
      <w:r>
        <w:t xml:space="preserve">· Dulaglutide and cardiovascular outcomes in type 2 diabetes (REWIND): a double-blind, randomised placebo-controlled trial. PMID 31189511</w:t>
      </w:r>
    </w:p>
    <w:p>
      <w:pPr>
        <w:numPr>
          <w:ilvl w:val="0"/>
          <w:numId w:val="1378"/>
        </w:numPr>
        <w:pStyle w:val="Compact"/>
      </w:pPr>
      <w:r>
        <w:t xml:space="preserve">2019 · Gerstein HC ·</w:t>
      </w:r>
      <w:r>
        <w:t xml:space="preserve"> </w:t>
      </w:r>
      <w:r>
        <w:rPr>
          <w:iCs/>
          <w:i/>
        </w:rPr>
        <w:t xml:space="preserve">Lancet</w:t>
      </w:r>
      <w:r>
        <w:t xml:space="preserve"> </w:t>
      </w:r>
      <w:r>
        <w:t xml:space="preserve">· Dulaglutide and renal outcomes in type 2 diabetes: an exploratory analysis of the REWIND randomised, placebo-controlled trial. PMID 31189509</w:t>
      </w:r>
    </w:p>
    <w:p>
      <w:pPr>
        <w:numPr>
          <w:ilvl w:val="0"/>
          <w:numId w:val="1378"/>
        </w:numPr>
        <w:pStyle w:val="Compact"/>
      </w:pPr>
      <w:r>
        <w:t xml:space="preserve">2019 · Li H ·</w:t>
      </w:r>
      <w:r>
        <w:t xml:space="preserve"> </w:t>
      </w:r>
      <w:r>
        <w:rPr>
          <w:iCs/>
          <w:i/>
        </w:rPr>
        <w:t xml:space="preserve">J Diabetes Res</w:t>
      </w:r>
      <w:r>
        <w:t xml:space="preserve"> </w:t>
      </w:r>
      <w:r>
        <w:t xml:space="preserve">· A Randomized Study to Compare the Effects of Once-Weekly Dulaglutide Injection and Once-Daily Glimepiride on Glucose Fluctuation of Type 2 Diabetes Mellitus Patients: A 26-Week Follow-Up. PMID 31183384</w:t>
      </w:r>
    </w:p>
    <w:p>
      <w:pPr>
        <w:numPr>
          <w:ilvl w:val="0"/>
          <w:numId w:val="1378"/>
        </w:numPr>
        <w:pStyle w:val="Compact"/>
      </w:pPr>
      <w:r>
        <w:t xml:space="preserve">2019 · Frias JP ·</w:t>
      </w:r>
      <w:r>
        <w:t xml:space="preserve"> </w:t>
      </w:r>
      <w:r>
        <w:rPr>
          <w:iCs/>
          <w:i/>
        </w:rPr>
        <w:t xml:space="preserve">Diabetes Obes Metab</w:t>
      </w:r>
      <w:r>
        <w:t xml:space="preserve"> </w:t>
      </w:r>
      <w:r>
        <w:t xml:space="preserve">· Efficacy and safety of an expanded dulaglutide dose range: A phase 2, placebo-controlled trial in patients with type 2 diabetes using metformin. PMID 31050143</w:t>
      </w:r>
    </w:p>
    <w:p>
      <w:pPr>
        <w:numPr>
          <w:ilvl w:val="0"/>
          <w:numId w:val="1378"/>
        </w:numPr>
        <w:pStyle w:val="Compact"/>
      </w:pPr>
      <w:r>
        <w:t xml:space="preserve">2019 · Tuttle KR ·</w:t>
      </w:r>
      <w:r>
        <w:t xml:space="preserve"> </w:t>
      </w:r>
      <w:r>
        <w:rPr>
          <w:iCs/>
          <w:i/>
        </w:rPr>
        <w:t xml:space="preserve">Diabetes Obes Metab</w:t>
      </w:r>
      <w:r>
        <w:t xml:space="preserve"> </w:t>
      </w:r>
      <w:r>
        <w:t xml:space="preserve">· Body weight and eGFR during dulaglutide treatment in type 2 diabetes and moderate-to-severe chronic kidney disease (AWARD-7). PMID 30762290</w:t>
      </w:r>
    </w:p>
    <w:p>
      <w:pPr>
        <w:numPr>
          <w:ilvl w:val="0"/>
          <w:numId w:val="1378"/>
        </w:numPr>
        <w:pStyle w:val="Compact"/>
      </w:pPr>
      <w:r>
        <w:t xml:space="preserve">2019 · Fuechtenbusch M ·</w:t>
      </w:r>
      <w:r>
        <w:t xml:space="preserve"> </w:t>
      </w:r>
      <w:r>
        <w:rPr>
          <w:iCs/>
          <w:i/>
        </w:rPr>
        <w:t xml:space="preserve">Diabetes Obes Metab</w:t>
      </w:r>
      <w:r>
        <w:t xml:space="preserve"> </w:t>
      </w:r>
      <w:r>
        <w:t xml:space="preserve">· Weight loss in patients with type 2 diabetes receiving once-weekly dulaglutide plus insulin lispro or insulin glargine plus insulin lispro: A post-hoc analysis of the AWARD-4 study across baseline body mass index subgroups. PMID 30737891</w:t>
      </w:r>
    </w:p>
    <w:p>
      <w:pPr>
        <w:numPr>
          <w:ilvl w:val="0"/>
          <w:numId w:val="1378"/>
        </w:numPr>
        <w:pStyle w:val="Compact"/>
      </w:pPr>
      <w:r>
        <w:t xml:space="preserve">2019 · Wang W ·</w:t>
      </w:r>
      <w:r>
        <w:t xml:space="preserve"> </w:t>
      </w:r>
      <w:r>
        <w:rPr>
          <w:iCs/>
          <w:i/>
        </w:rPr>
        <w:t xml:space="preserve">Diabetes Obes Metab</w:t>
      </w:r>
      <w:r>
        <w:t xml:space="preserve"> </w:t>
      </w:r>
      <w:r>
        <w:t xml:space="preserve">· Efficacy and safety of once-weekly dulaglutide versus insulin glargine in mainly Asian patients with type 2 diabetes mellitus on metformin and/or a sulphonylurea: A 52-week open-label, randomized phase III trial. PMID 30129089</w:t>
      </w:r>
    </w:p>
    <w:p>
      <w:pPr>
        <w:numPr>
          <w:ilvl w:val="0"/>
          <w:numId w:val="1378"/>
        </w:numPr>
        <w:pStyle w:val="Compact"/>
      </w:pPr>
      <w:r>
        <w:t xml:space="preserve">2019 · Takase T ·</w:t>
      </w:r>
      <w:r>
        <w:t xml:space="preserve"> </w:t>
      </w:r>
      <w:r>
        <w:rPr>
          <w:iCs/>
          <w:i/>
        </w:rPr>
        <w:t xml:space="preserve">J Diabetes Investig</w:t>
      </w:r>
      <w:r>
        <w:t xml:space="preserve"> </w:t>
      </w:r>
      <w:r>
        <w:t xml:space="preserve">· Improvement in treatment satisfaction after switching from liraglutide to dulaglutide in patients with type 2 diabetes: A randomized controlled trial. PMID 30076787</w:t>
      </w:r>
    </w:p>
    <w:p>
      <w:pPr>
        <w:numPr>
          <w:ilvl w:val="0"/>
          <w:numId w:val="1378"/>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8"/>
        </w:numPr>
        <w:pStyle w:val="Compact"/>
      </w:pPr>
      <w:r>
        <w:t xml:space="preserve">2018 · Coskun T ·</w:t>
      </w:r>
      <w:r>
        <w:t xml:space="preserve"> </w:t>
      </w:r>
      <w:r>
        <w:rPr>
          <w:iCs/>
          <w:i/>
        </w:rPr>
        <w:t xml:space="preserve">Mol Metab</w:t>
      </w:r>
      <w:r>
        <w:t xml:space="preserve"> </w:t>
      </w:r>
      <w:r>
        <w:t xml:space="preserve">· LY3298176, a novel dual GIP and GLP-1 receptor agonist for the treatment of type 2 diabetes mellitus: From discovery to clinical proof of concept. PMID 30473097</w:t>
      </w:r>
    </w:p>
    <w:p>
      <w:pPr>
        <w:numPr>
          <w:ilvl w:val="0"/>
          <w:numId w:val="1378"/>
        </w:numPr>
        <w:pStyle w:val="Compact"/>
      </w:pPr>
      <w:r>
        <w:t xml:space="preserve">2018 · Frias JP ·</w:t>
      </w:r>
      <w:r>
        <w:t xml:space="preserve"> </w:t>
      </w:r>
      <w:r>
        <w:rPr>
          <w:iCs/>
          <w:i/>
        </w:rPr>
        <w:t xml:space="preserve">Lancet</w:t>
      </w:r>
      <w:r>
        <w:t xml:space="preserve"> </w:t>
      </w:r>
      <w:r>
        <w:t xml:space="preserve">· Efficacy and safety of LY3298176, a novel dual GIP and GLP-1 receptor agonist, in patients with type 2 diabetes: a randomised, placebo-controlled and active comparator-controlled phase 2 trial. PMID 30293770</w:t>
      </w:r>
    </w:p>
    <w:p>
      <w:pPr>
        <w:numPr>
          <w:ilvl w:val="0"/>
          <w:numId w:val="1378"/>
        </w:numPr>
        <w:pStyle w:val="Compact"/>
      </w:pPr>
      <w:r>
        <w:t xml:space="preserve">2018 · Tuttle KR ·</w:t>
      </w:r>
      <w:r>
        <w:t xml:space="preserve"> </w:t>
      </w:r>
      <w:r>
        <w:rPr>
          <w:iCs/>
          <w:i/>
        </w:rPr>
        <w:t xml:space="preserve">Lancet Diabetes Endocrinol</w:t>
      </w:r>
      <w:r>
        <w:t xml:space="preserve"> </w:t>
      </w:r>
      <w:r>
        <w:t xml:space="preserve">· Dulaglutide versus insulin glargine in patients with type 2 diabetes and moderate-to-severe chronic kidney disease (AWARD-7): a multicentre, open-label, randomised trial. PMID 29910024</w:t>
      </w:r>
    </w:p>
    <w:p>
      <w:pPr>
        <w:numPr>
          <w:ilvl w:val="0"/>
          <w:numId w:val="1378"/>
        </w:numPr>
        <w:pStyle w:val="Compact"/>
      </w:pPr>
      <w:r>
        <w:t xml:space="preserve">2018 · Chen YH ·</w:t>
      </w:r>
      <w:r>
        <w:t xml:space="preserve"> </w:t>
      </w:r>
      <w:r>
        <w:rPr>
          <w:iCs/>
          <w:i/>
        </w:rPr>
        <w:t xml:space="preserve">Diabetes Obes Metab</w:t>
      </w:r>
      <w:r>
        <w:t xml:space="preserve"> </w:t>
      </w:r>
      <w:r>
        <w:t xml:space="preserve">· Efficacy and safety of dulaglutide monotherapy compared with glimepiride in East-Asian patients with type 2 diabetes in a multicentre, double-blind, randomized, parallel-arm, active comparator, phase III trial. PMID 29708650</w:t>
      </w:r>
    </w:p>
    <w:p>
      <w:pPr>
        <w:numPr>
          <w:ilvl w:val="0"/>
          <w:numId w:val="1378"/>
        </w:numPr>
        <w:pStyle w:val="Compact"/>
      </w:pPr>
      <w:r>
        <w:t xml:space="preserve">2018 · Mathieu C ·</w:t>
      </w:r>
      <w:r>
        <w:t xml:space="preserve"> </w:t>
      </w:r>
      <w:r>
        <w:rPr>
          <w:iCs/>
          <w:i/>
        </w:rPr>
        <w:t xml:space="preserve">Diabetes Obes Metab</w:t>
      </w:r>
      <w:r>
        <w:t xml:space="preserve"> </w:t>
      </w:r>
      <w:r>
        <w:t xml:space="preserve">· Effect of once weekly dulaglutide by baseline beta-cell function in people with type 2 diabetes in the AWARD programme. PMID 29603872</w:t>
      </w:r>
    </w:p>
    <w:p>
      <w:pPr>
        <w:numPr>
          <w:ilvl w:val="0"/>
          <w:numId w:val="1378"/>
        </w:numPr>
        <w:pStyle w:val="Compact"/>
      </w:pPr>
      <w:r>
        <w:t xml:space="preserve">2018 · Asakura T ·</w:t>
      </w:r>
      <w:r>
        <w:t xml:space="preserve"> </w:t>
      </w:r>
      <w:r>
        <w:rPr>
          <w:iCs/>
          <w:i/>
        </w:rPr>
        <w:t xml:space="preserve">Curr Med Res Opin</w:t>
      </w:r>
      <w:r>
        <w:t xml:space="preserve"> </w:t>
      </w:r>
      <w:r>
        <w:t xml:space="preserve">· Comparative usability study of the dulaglutide single-use pen versus the insulin degludec FlexTouch(®) among self-injection-naïve patients with type 2 diabetes mellitus in Japan. PMID 29504812</w:t>
      </w:r>
    </w:p>
    <w:p>
      <w:pPr>
        <w:numPr>
          <w:ilvl w:val="0"/>
          <w:numId w:val="1378"/>
        </w:numPr>
        <w:pStyle w:val="Compact"/>
      </w:pPr>
      <w:r>
        <w:t xml:space="preserve">2018 · Ludvik B ·</w:t>
      </w:r>
      <w:r>
        <w:t xml:space="preserve"> </w:t>
      </w:r>
      <w:r>
        <w:rPr>
          <w:iCs/>
          <w:i/>
        </w:rPr>
        <w:t xml:space="preserve">Lancet Diabetes Endocrinol</w:t>
      </w:r>
      <w:r>
        <w:t xml:space="preserve"> </w:t>
      </w:r>
      <w:r>
        <w:t xml:space="preserve">· Dulaglutide as add-on therapy to SGLT2 inhibitors in patients with inadequately controlled type 2 diabetes (AWARD-10): a 24-week, randomised, double-blind, placebo-controlled trial. PMID 29483060</w:t>
      </w:r>
    </w:p>
    <w:p>
      <w:pPr>
        <w:numPr>
          <w:ilvl w:val="0"/>
          <w:numId w:val="1378"/>
        </w:numPr>
        <w:pStyle w:val="Compact"/>
      </w:pPr>
      <w:r>
        <w:t xml:space="preserve">2018 · Pantalone KM ·</w:t>
      </w:r>
      <w:r>
        <w:t xml:space="preserve"> </w:t>
      </w:r>
      <w:r>
        <w:rPr>
          <w:iCs/>
          <w:i/>
        </w:rPr>
        <w:t xml:space="preserve">Diabetes Obes Metab</w:t>
      </w:r>
      <w:r>
        <w:t xml:space="preserve"> </w:t>
      </w:r>
      <w:r>
        <w:t xml:space="preserve">· Dulaglutide 1.5 mg as an add-on option for patients uncontrolled on insulin: Subgroup analysis by age, duration of diabetes and baseline glycated haemoglobin concentration. PMID 29430801</w:t>
      </w:r>
    </w:p>
    <w:p>
      <w:pPr>
        <w:numPr>
          <w:ilvl w:val="0"/>
          <w:numId w:val="1378"/>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8"/>
        </w:numPr>
        <w:pStyle w:val="Compact"/>
      </w:pPr>
      <w:r>
        <w:t xml:space="preserve">2018 · Pozzilli P ·</w:t>
      </w:r>
      <w:r>
        <w:t xml:space="preserve"> </w:t>
      </w:r>
      <w:r>
        <w:rPr>
          <w:iCs/>
          <w:i/>
        </w:rPr>
        <w:t xml:space="preserve">Diabetes Obes Metab</w:t>
      </w:r>
      <w:r>
        <w:t xml:space="preserve"> </w:t>
      </w:r>
      <w:r>
        <w:t xml:space="preserve">· Dulaglutide treatment results in effective glycaemic control in latent autoimmune diabetes in adults (LADA): A post-hoc analysis of the AWARD-2, -4 and -5 Trials. PMID 29377522</w:t>
      </w:r>
    </w:p>
    <w:p>
      <w:pPr>
        <w:numPr>
          <w:ilvl w:val="0"/>
          <w:numId w:val="1378"/>
        </w:numPr>
        <w:pStyle w:val="Compact"/>
      </w:pPr>
      <w:r>
        <w:t xml:space="preserve">2018 · Gallwitz B ·</w:t>
      </w:r>
      <w:r>
        <w:t xml:space="preserve"> </w:t>
      </w:r>
      <w:r>
        <w:rPr>
          <w:iCs/>
          <w:i/>
        </w:rPr>
        <w:t xml:space="preserve">Diabetes Obes Metab</w:t>
      </w:r>
      <w:r>
        <w:t xml:space="preserve"> </w:t>
      </w:r>
      <w:r>
        <w:t xml:space="preserve">· Effect of once-weekly dulaglutide on glycated haemoglobin (HbA1c) and fasting blood glucose in patient subpopulations by gender, duration of diabetes and baseline HbA1c. PMID 28817231</w:t>
      </w:r>
    </w:p>
    <w:p>
      <w:pPr>
        <w:numPr>
          <w:ilvl w:val="0"/>
          <w:numId w:val="1378"/>
        </w:numPr>
        <w:pStyle w:val="Compact"/>
      </w:pPr>
      <w:r>
        <w:t xml:space="preserve">2017 · Yu M ·</w:t>
      </w:r>
      <w:r>
        <w:t xml:space="preserve"> </w:t>
      </w:r>
      <w:r>
        <w:rPr>
          <w:iCs/>
          <w:i/>
        </w:rPr>
        <w:t xml:space="preserve">Clin Ther</w:t>
      </w:r>
      <w:r>
        <w:t xml:space="preserve"> </w:t>
      </w:r>
      <w:r>
        <w:t xml:space="preserve">· Patient-reported Outcomes in Patients with Type 2 Diabetes Treated with Dulaglutide Added to Titrated Insulin Glargine (AWARD-9). PMID 29110972</w:t>
      </w:r>
    </w:p>
    <w:p>
      <w:pPr>
        <w:numPr>
          <w:ilvl w:val="0"/>
          <w:numId w:val="1378"/>
        </w:numPr>
        <w:pStyle w:val="Compact"/>
      </w:pPr>
      <w:r>
        <w:t xml:space="preserve">2017 · Kaneko S ·</w:t>
      </w:r>
      <w:r>
        <w:t xml:space="preserve"> </w:t>
      </w:r>
      <w:r>
        <w:rPr>
          <w:iCs/>
          <w:i/>
        </w:rPr>
        <w:t xml:space="preserve">Endocr J</w:t>
      </w:r>
      <w:r>
        <w:t xml:space="preserve"> </w:t>
      </w:r>
      <w:r>
        <w:t xml:space="preserve">· Efficacy and safety of subgroup analysis stratified by baseline HbA1c in a Japanese phase 3 study of dulaglutide 0.75 mg compared with insulin glargine in patients with type 2 diabetes. PMID 28904247</w:t>
      </w:r>
    </w:p>
    <w:p>
      <w:pPr>
        <w:numPr>
          <w:ilvl w:val="0"/>
          <w:numId w:val="1378"/>
        </w:numPr>
        <w:pStyle w:val="Compact"/>
      </w:pPr>
      <w:r>
        <w:t xml:space="preserve">2017 · Suzuki S ·</w:t>
      </w:r>
      <w:r>
        <w:t xml:space="preserve"> </w:t>
      </w:r>
      <w:r>
        <w:rPr>
          <w:iCs/>
          <w:i/>
        </w:rPr>
        <w:t xml:space="preserve">Health Qual Life Outcomes</w:t>
      </w:r>
      <w:r>
        <w:t xml:space="preserve"> </w:t>
      </w:r>
      <w:r>
        <w:t xml:space="preserve">· Evaluation of the impact of once weekly dulaglutide on patient-reported outcomes in Japanese patients with type 2 diabetes: comparisons with liraglutide, insulin glargine, and placebo in two randomized studies. PMID 28606095</w:t>
      </w:r>
    </w:p>
    <w:p>
      <w:pPr>
        <w:numPr>
          <w:ilvl w:val="0"/>
          <w:numId w:val="1378"/>
        </w:numPr>
        <w:pStyle w:val="Compact"/>
      </w:pPr>
      <w:r>
        <w:t xml:space="preserve">2017 · Onishi Y ·</w:t>
      </w:r>
      <w:r>
        <w:t xml:space="preserve"> </w:t>
      </w:r>
      <w:r>
        <w:rPr>
          <w:iCs/>
          <w:i/>
        </w:rPr>
        <w:t xml:space="preserve">Endocr J</w:t>
      </w:r>
      <w:r>
        <w:t xml:space="preserve"> </w:t>
      </w:r>
      <w:r>
        <w:t xml:space="preserve">· Analysis of efficacy and safety of dulaglutide 0.75 mg stratified by sex in patients with type 2 diabetes in 2 randomized, controlled phase 3 studies in Japan. PMID 28367916</w:t>
      </w:r>
    </w:p>
    <w:p>
      <w:pPr>
        <w:numPr>
          <w:ilvl w:val="0"/>
          <w:numId w:val="1378"/>
        </w:numPr>
        <w:pStyle w:val="Compact"/>
      </w:pPr>
      <w:r>
        <w:t xml:space="preserve">2017 · de la Peña A ·</w:t>
      </w:r>
      <w:r>
        <w:t xml:space="preserve"> </w:t>
      </w:r>
      <w:r>
        <w:rPr>
          <w:iCs/>
          <w:i/>
        </w:rPr>
        <w:t xml:space="preserve">Clin Pharmacokinet</w:t>
      </w:r>
      <w:r>
        <w:t xml:space="preserve"> </w:t>
      </w:r>
      <w:r>
        <w:t xml:space="preserve">· No Dose Adjustment is Recommended for Digoxin, Warfarin, Atorvastatin or a Combination Oral Contraceptive When Coadministered with Dulaglutide. PMID 28357715</w:t>
      </w:r>
    </w:p>
    <w:p>
      <w:pPr>
        <w:numPr>
          <w:ilvl w:val="0"/>
          <w:numId w:val="1378"/>
        </w:numPr>
        <w:pStyle w:val="Compact"/>
      </w:pPr>
      <w:r>
        <w:t xml:space="preserve">2017 · Hamano K ·</w:t>
      </w:r>
      <w:r>
        <w:t xml:space="preserve"> </w:t>
      </w:r>
      <w:r>
        <w:rPr>
          <w:iCs/>
          <w:i/>
        </w:rPr>
        <w:t xml:space="preserve">Endocr J</w:t>
      </w:r>
      <w:r>
        <w:t xml:space="preserve"> </w:t>
      </w:r>
      <w:r>
        <w:t xml:space="preserve">· Efficacy and safety analyses across 4 subgroups combining low and high age and body mass index groups in Japanese phase 3 studies of dulaglutide 0.75 mg after 26 weeks of treatment. PMID 28302958</w:t>
      </w:r>
    </w:p>
    <w:p>
      <w:pPr>
        <w:numPr>
          <w:ilvl w:val="0"/>
          <w:numId w:val="1378"/>
        </w:numPr>
        <w:pStyle w:val="Compact"/>
      </w:pPr>
      <w:r>
        <w:t xml:space="preserve">2017 · Pozzilli P ·</w:t>
      </w:r>
      <w:r>
        <w:t xml:space="preserve"> </w:t>
      </w:r>
      <w:r>
        <w:rPr>
          <w:iCs/>
          <w:i/>
        </w:rPr>
        <w:t xml:space="preserve">Diabetes Obes Metab</w:t>
      </w:r>
      <w:r>
        <w:t xml:space="preserve"> </w:t>
      </w:r>
      <w:r>
        <w:t xml:space="preserve">· Placebo-controlled, randomized trial of the addition of once-weekly glucagon-like peptide-1 receptor agonist dulaglutide to titrated daily insulin glargine in patients with type 2 diabetes (AWARD-9). PMID 28294499</w:t>
      </w:r>
    </w:p>
    <w:p>
      <w:pPr>
        <w:numPr>
          <w:ilvl w:val="0"/>
          <w:numId w:val="1378"/>
        </w:numPr>
        <w:pStyle w:val="Compact"/>
      </w:pPr>
      <w:r>
        <w:t xml:space="preserve">2017 · de la Peña A ·</w:t>
      </w:r>
      <w:r>
        <w:t xml:space="preserve"> </w:t>
      </w:r>
      <w:r>
        <w:rPr>
          <w:iCs/>
          <w:i/>
        </w:rPr>
        <w:t xml:space="preserve">Diabetes Obes Metab</w:t>
      </w:r>
      <w:r>
        <w:t xml:space="preserve"> </w:t>
      </w:r>
      <w:r>
        <w:t xml:space="preserve">· Once-weekly dulaglutide 1.5 mg restores insulin secretion in response to intravenous glucose infusion. PMID 27976833</w:t>
      </w:r>
    </w:p>
    <w:p>
      <w:pPr>
        <w:numPr>
          <w:ilvl w:val="0"/>
          <w:numId w:val="1378"/>
        </w:numPr>
        <w:pStyle w:val="Compact"/>
      </w:pPr>
      <w:r>
        <w:t xml:space="preserve">2017 · Emoto M ·</w:t>
      </w:r>
      <w:r>
        <w:t xml:space="preserve"> </w:t>
      </w:r>
      <w:r>
        <w:rPr>
          <w:iCs/>
          <w:i/>
        </w:rPr>
        <w:t xml:space="preserve">Endocr J</w:t>
      </w:r>
      <w:r>
        <w:t xml:space="preserve"> </w:t>
      </w:r>
      <w:r>
        <w:t xml:space="preserve">· Pancreatic safety in Japanese patients with type 2 diabetes treated with once weekly dulaglutide 0.75 mg up to 52 weeks in phase 3 clinical trials. PMID 27853058</w:t>
      </w:r>
    </w:p>
    <w:p>
      <w:pPr>
        <w:numPr>
          <w:ilvl w:val="0"/>
          <w:numId w:val="1378"/>
        </w:numPr>
        <w:pStyle w:val="Compact"/>
      </w:pPr>
      <w:r>
        <w:t xml:space="preserve">2016 · Davidson JA ·</w:t>
      </w:r>
      <w:r>
        <w:t xml:space="preserve"> </w:t>
      </w:r>
      <w:r>
        <w:rPr>
          <w:iCs/>
          <w:i/>
        </w:rPr>
        <w:t xml:space="preserve">Endocr Pract</w:t>
      </w:r>
      <w:r>
        <w:t xml:space="preserve"> </w:t>
      </w:r>
      <w:r>
        <w:t xml:space="preserve">· EFFICACY AND SAFETY OF DULAGLUTIDE IN HISPANIC/LATINO PATIENTS WITH TYPE 2 DIABETES IN THE AWARD CLINICAL PROGRAM. PMID 27540883</w:t>
      </w:r>
    </w:p>
    <w:p>
      <w:pPr>
        <w:numPr>
          <w:ilvl w:val="0"/>
          <w:numId w:val="1378"/>
        </w:numPr>
        <w:pStyle w:val="Compact"/>
      </w:pPr>
      <w:r>
        <w:t xml:space="preserve">2016 · Inagaki N ·</w:t>
      </w:r>
      <w:r>
        <w:t xml:space="preserve"> </w:t>
      </w:r>
      <w:r>
        <w:rPr>
          <w:iCs/>
          <w:i/>
        </w:rPr>
        <w:t xml:space="preserve">Diabetes Obes Metab</w:t>
      </w:r>
      <w:r>
        <w:t xml:space="preserve"> </w:t>
      </w:r>
      <w:r>
        <w:t xml:space="preserve">· The combination of dulaglutide and biguanide reduced bodyweight in Japanese patients with type 2 diabetes. PMID 27488246</w:t>
      </w:r>
    </w:p>
    <w:p>
      <w:pPr>
        <w:numPr>
          <w:ilvl w:val="0"/>
          <w:numId w:val="1378"/>
        </w:numPr>
        <w:pStyle w:val="Compact"/>
      </w:pPr>
      <w:r>
        <w:t xml:space="preserve">2016 · Jendle J ·</w:t>
      </w:r>
      <w:r>
        <w:t xml:space="preserve"> </w:t>
      </w:r>
      <w:r>
        <w:rPr>
          <w:iCs/>
          <w:i/>
        </w:rPr>
        <w:t xml:space="preserve">Diabetes Obes Metab</w:t>
      </w:r>
      <w:r>
        <w:t xml:space="preserve"> </w:t>
      </w:r>
      <w:r>
        <w:t xml:space="preserve">· Continuous glucose monitoring in patients with type 2 diabetes treated with glucagon-like peptide-1 receptor agonist dulaglutide in combination with prandial insulin lispro: an AWARD-4 substudy. PMID 27279266</w:t>
      </w:r>
    </w:p>
    <w:p>
      <w:pPr>
        <w:numPr>
          <w:ilvl w:val="0"/>
          <w:numId w:val="1378"/>
        </w:numPr>
        <w:pStyle w:val="Compact"/>
      </w:pPr>
      <w:r>
        <w:t xml:space="preserve">2016 · Wysham C ·</w:t>
      </w:r>
      <w:r>
        <w:t xml:space="preserve"> </w:t>
      </w:r>
      <w:r>
        <w:rPr>
          <w:iCs/>
          <w:i/>
        </w:rPr>
        <w:t xml:space="preserve">Diabetes Obes Metab</w:t>
      </w:r>
      <w:r>
        <w:t xml:space="preserve"> </w:t>
      </w:r>
      <w:r>
        <w:t xml:space="preserve">· Baseline factors associated with glycaemic response to treatment with once-weekly dulaglutide in patients with type 2 diabetes. PMID 27265893</w:t>
      </w:r>
    </w:p>
    <w:p>
      <w:pPr>
        <w:numPr>
          <w:ilvl w:val="0"/>
          <w:numId w:val="1378"/>
        </w:numPr>
        <w:pStyle w:val="Compact"/>
      </w:pPr>
      <w:r>
        <w:t xml:space="preserve">2016 · Umpierrez GE ·</w:t>
      </w:r>
      <w:r>
        <w:t xml:space="preserve"> </w:t>
      </w:r>
      <w:r>
        <w:rPr>
          <w:iCs/>
          <w:i/>
        </w:rPr>
        <w:t xml:space="preserve">Diabetes Obes Metab</w:t>
      </w:r>
      <w:r>
        <w:t xml:space="preserve"> </w:t>
      </w:r>
      <w:r>
        <w:t xml:space="preserve">· Relationship between weight change and glycaemic control in patients with type 2 diabetes receiving once-weekly dulaglutide treatment. PMID 26969812</w:t>
      </w:r>
    </w:p>
    <w:p>
      <w:pPr>
        <w:numPr>
          <w:ilvl w:val="0"/>
          <w:numId w:val="1378"/>
        </w:numPr>
        <w:pStyle w:val="Compact"/>
      </w:pPr>
      <w:r>
        <w:t xml:space="preserve">2016 · Milicevic Z ·</w:t>
      </w:r>
      <w:r>
        <w:t xml:space="preserve"> </w:t>
      </w:r>
      <w:r>
        <w:rPr>
          <w:iCs/>
          <w:i/>
        </w:rPr>
        <w:t xml:space="preserve">Diabetes Obes Metab</w:t>
      </w:r>
      <w:r>
        <w:t xml:space="preserve"> </w:t>
      </w:r>
      <w:r>
        <w:t xml:space="preserve">· Low incidence of anti-drug antibodies in patients with type 2 diabetes treated with once-weekly glucagon-like peptide-1 receptor agonist dulaglutide. PMID 26847401</w:t>
      </w:r>
    </w:p>
    <w:p>
      <w:pPr>
        <w:numPr>
          <w:ilvl w:val="0"/>
          <w:numId w:val="1378"/>
        </w:numPr>
        <w:pStyle w:val="Compact"/>
      </w:pPr>
      <w:r>
        <w:t xml:space="preserve">2016 · Dungan KM ·</w:t>
      </w:r>
      <w:r>
        <w:t xml:space="preserve"> </w:t>
      </w:r>
      <w:r>
        <w:rPr>
          <w:iCs/>
          <w:i/>
        </w:rPr>
        <w:t xml:space="preserve">Diabetes Obes Metab</w:t>
      </w:r>
      <w:r>
        <w:t xml:space="preserve"> </w:t>
      </w:r>
      <w:r>
        <w:t xml:space="preserve">· A 24-week study to evaluate the efficacy and safety of once-weekly dulaglutide added on to glimepiride in type 2 diabetes (AWARD-8). PMID 26799540</w:t>
      </w:r>
    </w:p>
    <w:p>
      <w:pPr>
        <w:numPr>
          <w:ilvl w:val="0"/>
          <w:numId w:val="1378"/>
        </w:numPr>
        <w:pStyle w:val="Compact"/>
      </w:pPr>
      <w:r>
        <w:t xml:space="preserve">2016 · Onishi Y ·</w:t>
      </w:r>
      <w:r>
        <w:t xml:space="preserve"> </w:t>
      </w:r>
      <w:r>
        <w:rPr>
          <w:iCs/>
          <w:i/>
        </w:rPr>
        <w:t xml:space="preserve">Endocr J</w:t>
      </w:r>
      <w:r>
        <w:t xml:space="preserve"> </w:t>
      </w:r>
      <w:r>
        <w:t xml:space="preserve">· Subgroup analysis of phase 3 studies of dulaglutide in Japanese patients with type 2 diabetes. PMID 26698689</w:t>
      </w:r>
    </w:p>
    <w:p>
      <w:pPr>
        <w:numPr>
          <w:ilvl w:val="0"/>
          <w:numId w:val="1378"/>
        </w:numPr>
        <w:pStyle w:val="Compact"/>
      </w:pPr>
      <w:r>
        <w:t xml:space="preserve">2016 · Yu M ·</w:t>
      </w:r>
      <w:r>
        <w:t xml:space="preserve"> </w:t>
      </w:r>
      <w:r>
        <w:rPr>
          <w:iCs/>
          <w:i/>
        </w:rPr>
        <w:t xml:space="preserve">Diabetes Obes Metab</w:t>
      </w:r>
      <w:r>
        <w:t xml:space="preserve"> </w:t>
      </w:r>
      <w:r>
        <w:t xml:space="preserve">· Patient-reported outcome results in patients with type 2 diabetes treated with once-weekly dulaglutide: data from the AWARD phase III clinical trial programme. PMID 26691396</w:t>
      </w:r>
    </w:p>
    <w:p>
      <w:pPr>
        <w:numPr>
          <w:ilvl w:val="0"/>
          <w:numId w:val="1378"/>
        </w:numPr>
        <w:pStyle w:val="Compact"/>
      </w:pPr>
      <w:r>
        <w:t xml:space="preserve">2016 · Odawara M ·</w:t>
      </w:r>
      <w:r>
        <w:t xml:space="preserve"> </w:t>
      </w:r>
      <w:r>
        <w:rPr>
          <w:iCs/>
          <w:i/>
        </w:rPr>
        <w:t xml:space="preserve">Diabetes Obes Metab</w:t>
      </w:r>
      <w:r>
        <w:t xml:space="preserve"> </w:t>
      </w:r>
      <w:r>
        <w:t xml:space="preserve">· Once-weekly glucagon-like peptide-1 receptor agonist dulaglutide significantly decreases glycated haemoglobin compared with once-daily liraglutide in Japanese patients with type 2 diabetes: 52 weeks of treatment in a randomized phase III study. PMID 26661514</w:t>
      </w:r>
    </w:p>
    <w:p>
      <w:pPr>
        <w:numPr>
          <w:ilvl w:val="0"/>
          <w:numId w:val="1378"/>
        </w:numPr>
        <w:pStyle w:val="Compact"/>
      </w:pPr>
      <w:r>
        <w:t xml:space="preserve">2016 · Geiser JS ·</w:t>
      </w:r>
      <w:r>
        <w:t xml:space="preserve"> </w:t>
      </w:r>
      <w:r>
        <w:rPr>
          <w:iCs/>
          <w:i/>
        </w:rPr>
        <w:t xml:space="preserve">Clin Pharmacokinet</w:t>
      </w:r>
      <w:r>
        <w:t xml:space="preserve"> </w:t>
      </w:r>
      <w:r>
        <w:t xml:space="preserve">· Clinical Pharmacokinetics of Dulaglutide in Patients with Type 2 Diabetes: Analyses of Data from Clinical Trials. PMID 26507721</w:t>
      </w:r>
    </w:p>
    <w:p>
      <w:pPr>
        <w:numPr>
          <w:ilvl w:val="0"/>
          <w:numId w:val="1378"/>
        </w:numPr>
        <w:pStyle w:val="Compact"/>
      </w:pPr>
      <w:r>
        <w:t xml:space="preserve">2016 · Grunberger G ·</w:t>
      </w:r>
      <w:r>
        <w:t xml:space="preserve"> </w:t>
      </w:r>
      <w:r>
        <w:rPr>
          <w:iCs/>
          <w:i/>
        </w:rPr>
        <w:t xml:space="preserve">Diabet Med</w:t>
      </w:r>
      <w:r>
        <w:t xml:space="preserve"> </w:t>
      </w:r>
      <w:r>
        <w:t xml:space="preserve">· Early fasting glucose measurements can predict later glycaemic response to once weekly dulaglutide. PMID 26179454</w:t>
      </w:r>
    </w:p>
    <w:p>
      <w:pPr>
        <w:numPr>
          <w:ilvl w:val="0"/>
          <w:numId w:val="1378"/>
        </w:numPr>
        <w:pStyle w:val="Compact"/>
      </w:pPr>
      <w:r>
        <w:t xml:space="preserve">2015 · Emoto M ·</w:t>
      </w:r>
      <w:r>
        <w:t xml:space="preserve"> </w:t>
      </w:r>
      <w:r>
        <w:rPr>
          <w:iCs/>
          <w:i/>
        </w:rPr>
        <w:t xml:space="preserve">Endocr J</w:t>
      </w:r>
      <w:r>
        <w:t xml:space="preserve"> </w:t>
      </w:r>
      <w:r>
        <w:t xml:space="preserve">· A 1-year safety study of dulaglutide in Japanese patients with type 2 diabetes on a single oral hypoglycemic agent: an open-label, nonrandomized, phase 3 trial. PMID 26477324</w:t>
      </w:r>
    </w:p>
    <w:p>
      <w:pPr>
        <w:numPr>
          <w:ilvl w:val="0"/>
          <w:numId w:val="1378"/>
        </w:numPr>
        <w:pStyle w:val="Compact"/>
      </w:pPr>
      <w:r>
        <w:t xml:space="preserve">2015 · Usborne A ·</w:t>
      </w:r>
      <w:r>
        <w:t xml:space="preserve"> </w:t>
      </w:r>
      <w:r>
        <w:rPr>
          <w:iCs/>
          <w:i/>
        </w:rPr>
        <w:t xml:space="preserve">Toxicol Pathol</w:t>
      </w:r>
      <w:r>
        <w:t xml:space="preserve"> </w:t>
      </w:r>
      <w:r>
        <w:t xml:space="preserve">· An Investigative Study of Pancreatic Exocrine Biomarkers, Histology, and Histomorphometry in Male Zucker Diabetic Fatty (ZDF) Rats Given Dulaglutide by Subcutaneous Injection Twice Weekly for 13 Weeks. PMID 26269615</w:t>
      </w:r>
    </w:p>
    <w:p>
      <w:pPr>
        <w:numPr>
          <w:ilvl w:val="0"/>
          <w:numId w:val="1378"/>
        </w:numPr>
        <w:pStyle w:val="Compact"/>
      </w:pPr>
      <w:r>
        <w:t xml:space="preserve">2015 · Araki E ·</w:t>
      </w:r>
      <w:r>
        <w:t xml:space="preserve"> </w:t>
      </w:r>
      <w:r>
        <w:rPr>
          <w:iCs/>
          <w:i/>
        </w:rPr>
        <w:t xml:space="preserve">Diabetes Obes Metab</w:t>
      </w:r>
      <w:r>
        <w:t xml:space="preserve"> </w:t>
      </w:r>
      <w:r>
        <w:t xml:space="preserve">· Efficacy and safety of once-weekly dulaglutide in combination with sulphonylurea and/or biguanide compared with once-daily insulin glargine in Japanese patients with type 2 diabetes: a randomized, open-label, phase III, non-inferiority study. PMID 26179754</w:t>
      </w:r>
    </w:p>
    <w:p>
      <w:pPr>
        <w:numPr>
          <w:ilvl w:val="0"/>
          <w:numId w:val="1378"/>
        </w:numPr>
        <w:pStyle w:val="Compact"/>
      </w:pPr>
      <w:r>
        <w:t xml:space="preserve">2015 · Miyagawa J ·</w:t>
      </w:r>
      <w:r>
        <w:t xml:space="preserve"> </w:t>
      </w:r>
      <w:r>
        <w:rPr>
          <w:iCs/>
          <w:i/>
        </w:rPr>
        <w:t xml:space="preserve">Diabetes Obes Metab</w:t>
      </w:r>
      <w:r>
        <w:t xml:space="preserve"> </w:t>
      </w:r>
      <w:r>
        <w:t xml:space="preserve">· Once-weekly glucagon-like peptide-1 receptor agonist dulaglutide is non-inferior to once-daily liraglutide and superior to placebo in Japanese patients with type 2 diabetes: a 26-week randomized phase III study. PMID 26179187</w:t>
      </w:r>
    </w:p>
    <w:p>
      <w:pPr>
        <w:numPr>
          <w:ilvl w:val="0"/>
          <w:numId w:val="1378"/>
        </w:numPr>
        <w:pStyle w:val="Compact"/>
      </w:pPr>
      <w:r>
        <w:t xml:space="preserve">2015 · Reaney M ·</w:t>
      </w:r>
      <w:r>
        <w:t xml:space="preserve"> </w:t>
      </w:r>
      <w:r>
        <w:rPr>
          <w:iCs/>
          <w:i/>
        </w:rPr>
        <w:t xml:space="preserve">Diabetes Obes Metab</w:t>
      </w:r>
      <w:r>
        <w:t xml:space="preserve"> </w:t>
      </w:r>
      <w:r>
        <w:t xml:space="preserve">· Treatment satisfaction in people with type 2 diabetes mellitus treated with once-weekly dulaglutide: data from the AWARD-1 and AWARD-3 clinical trials. PMID 26095190</w:t>
      </w:r>
    </w:p>
    <w:p>
      <w:pPr>
        <w:numPr>
          <w:ilvl w:val="0"/>
          <w:numId w:val="1378"/>
        </w:numPr>
        <w:pStyle w:val="Compact"/>
      </w:pPr>
      <w:r>
        <w:t xml:space="preserve">2015 · Giorgino F ·</w:t>
      </w:r>
      <w:r>
        <w:t xml:space="preserve"> </w:t>
      </w:r>
      <w:r>
        <w:rPr>
          <w:iCs/>
          <w:i/>
        </w:rPr>
        <w:t xml:space="preserve">Diabetes Care</w:t>
      </w:r>
      <w:r>
        <w:t xml:space="preserve"> </w:t>
      </w:r>
      <w:r>
        <w:t xml:space="preserve">· Efficacy and Safety of Once-Weekly Dulaglutide Versus Insulin Glargine in Patients With Type 2 Diabetes on Metformin and Glimepiride (AWARD-2). PMID 26089386</w:t>
      </w:r>
    </w:p>
    <w:p>
      <w:pPr>
        <w:numPr>
          <w:ilvl w:val="0"/>
          <w:numId w:val="1378"/>
        </w:numPr>
        <w:pStyle w:val="Compact"/>
      </w:pPr>
      <w:r>
        <w:t xml:space="preserve">2015 · Blonde L ·</w:t>
      </w:r>
      <w:r>
        <w:t xml:space="preserve"> </w:t>
      </w:r>
      <w:r>
        <w:rPr>
          <w:iCs/>
          <w:i/>
        </w:rPr>
        <w:t xml:space="preserve">Lancet</w:t>
      </w:r>
      <w:r>
        <w:t xml:space="preserve"> </w:t>
      </w:r>
      <w:r>
        <w:t xml:space="preserve">· Once-weekly dulaglutide versus bedtime insulin glargine, both in combination with prandial insulin lispro, in patients with type 2 diabetes (AWARD-4): a randomised, open-label, phase 3, non-inferiority study. PMID 26009229</w:t>
      </w:r>
    </w:p>
    <w:p>
      <w:pPr>
        <w:numPr>
          <w:ilvl w:val="0"/>
          <w:numId w:val="1378"/>
        </w:numPr>
        <w:pStyle w:val="Compact"/>
      </w:pPr>
      <w:r>
        <w:t xml:space="preserve">2015 · Weinstock RS ·</w:t>
      </w:r>
      <w:r>
        <w:t xml:space="preserve"> </w:t>
      </w:r>
      <w:r>
        <w:rPr>
          <w:iCs/>
          <w:i/>
        </w:rPr>
        <w:t xml:space="preserve">Diabetes Obes Metab</w:t>
      </w:r>
      <w:r>
        <w:t xml:space="preserve"> </w:t>
      </w:r>
      <w:r>
        <w:t xml:space="preserve">· Safety and efficacy of once-weekly dulaglutide versus sitagliptin after 2 years in metformin-treated patients with type 2 diabetes (AWARD-5): a randomized, phase III study. PMID 25912221</w:t>
      </w:r>
    </w:p>
    <w:p>
      <w:pPr>
        <w:numPr>
          <w:ilvl w:val="0"/>
          <w:numId w:val="1378"/>
        </w:numPr>
        <w:pStyle w:val="Compact"/>
      </w:pPr>
      <w:r>
        <w:t xml:space="preserve">2015 · Matfin G ·</w:t>
      </w:r>
      <w:r>
        <w:t xml:space="preserve"> </w:t>
      </w:r>
      <w:r>
        <w:rPr>
          <w:iCs/>
          <w:i/>
        </w:rPr>
        <w:t xml:space="preserve">J Diabetes Sci Technol</w:t>
      </w:r>
      <w:r>
        <w:t xml:space="preserve"> </w:t>
      </w:r>
      <w:r>
        <w:t xml:space="preserve">· Safe and Effective Use of the Once Weekly Dulaglutide Single-Dose Pen in Injection-Naïve Patients With Type 2 Diabetes. PMID 25901022</w:t>
      </w:r>
    </w:p>
    <w:p>
      <w:pPr>
        <w:numPr>
          <w:ilvl w:val="0"/>
          <w:numId w:val="1378"/>
        </w:numPr>
        <w:pStyle w:val="Compact"/>
      </w:pPr>
      <w:r>
        <w:t xml:space="preserve">2014 · Terauchi Y ·</w:t>
      </w:r>
      <w:r>
        <w:t xml:space="preserve"> </w:t>
      </w:r>
      <w:r>
        <w:rPr>
          <w:iCs/>
          <w:i/>
        </w:rPr>
        <w:t xml:space="preserve">Endocr J</w:t>
      </w:r>
      <w:r>
        <w:t xml:space="preserve"> </w:t>
      </w:r>
      <w:r>
        <w:t xml:space="preserve">· Monotherapy with the once weekly GLP-1 receptor agonist dulaglutide for 12 weeks in Japanese patients with type 2 diabetes: dose-dependent effects on glycaemic control in a randomised, double-blind, placebo-controlled study. PMID 25029955</w:t>
      </w:r>
    </w:p>
    <w:p>
      <w:pPr>
        <w:numPr>
          <w:ilvl w:val="0"/>
          <w:numId w:val="1378"/>
        </w:numPr>
        <w:pStyle w:val="Compact"/>
      </w:pPr>
      <w:r>
        <w:t xml:space="preserve">2014 · Dungan KM ·</w:t>
      </w:r>
      <w:r>
        <w:t xml:space="preserve"> </w:t>
      </w:r>
      <w:r>
        <w:rPr>
          <w:iCs/>
          <w:i/>
        </w:rPr>
        <w:t xml:space="preserve">Lancet</w:t>
      </w:r>
      <w:r>
        <w:t xml:space="preserve"> </w:t>
      </w:r>
      <w:r>
        <w:t xml:space="preserve">· Once-weekly dulaglutide versus once-daily liraglutide in metformin-treated patients with type 2 diabetes (AWARD-6): a randomised, open-label, phase 3, non-inferiority trial. PMID 25018121</w:t>
      </w:r>
    </w:p>
    <w:p>
      <w:pPr>
        <w:numPr>
          <w:ilvl w:val="0"/>
          <w:numId w:val="1378"/>
        </w:numPr>
        <w:pStyle w:val="Compact"/>
      </w:pPr>
      <w:r>
        <w:t xml:space="preserve">2014 · Ferdinand KC ·</w:t>
      </w:r>
      <w:r>
        <w:t xml:space="preserve"> </w:t>
      </w:r>
      <w:r>
        <w:rPr>
          <w:iCs/>
          <w:i/>
        </w:rPr>
        <w:t xml:space="preserve">Hypertension</w:t>
      </w:r>
      <w:r>
        <w:t xml:space="preserve"> </w:t>
      </w:r>
      <w:r>
        <w:t xml:space="preserve">· Effects of the once-weekly glucagon-like peptide-1 receptor agonist dulaglutide on ambulatory blood pressure and heart rate in patients with type 2 diabetes mellitus. PMID 24980665</w:t>
      </w:r>
    </w:p>
    <w:p>
      <w:pPr>
        <w:numPr>
          <w:ilvl w:val="0"/>
          <w:numId w:val="1378"/>
        </w:numPr>
        <w:pStyle w:val="Compact"/>
      </w:pPr>
      <w:r>
        <w:t xml:space="preserve">2014 · Wysham C ·</w:t>
      </w:r>
      <w:r>
        <w:t xml:space="preserve"> </w:t>
      </w:r>
      <w:r>
        <w:rPr>
          <w:iCs/>
          <w:i/>
        </w:rPr>
        <w:t xml:space="preserve">Diabetes Care</w:t>
      </w:r>
      <w:r>
        <w:t xml:space="preserve"> </w:t>
      </w:r>
      <w:r>
        <w:t xml:space="preserve">· Efficacy and safety of dulaglutide added onto pioglitazone and metformin versus exenatide in type 2 diabetes in a randomized controlled trial (AWARD-1). PMID 24879836</w:t>
      </w:r>
    </w:p>
    <w:p>
      <w:pPr>
        <w:numPr>
          <w:ilvl w:val="0"/>
          <w:numId w:val="1378"/>
        </w:numPr>
        <w:pStyle w:val="Compact"/>
      </w:pPr>
      <w:r>
        <w:t xml:space="preserve">2014 · Umpierrez G ·</w:t>
      </w:r>
      <w:r>
        <w:t xml:space="preserve"> </w:t>
      </w:r>
      <w:r>
        <w:rPr>
          <w:iCs/>
          <w:i/>
        </w:rPr>
        <w:t xml:space="preserve">Diabetes Care</w:t>
      </w:r>
      <w:r>
        <w:t xml:space="preserve"> </w:t>
      </w:r>
      <w:r>
        <w:t xml:space="preserve">· Efficacy and safety of dulaglutide monotherapy versus metformin in type 2 diabetes in a randomized controlled trial (AWARD-3). PMID 24842985</w:t>
      </w:r>
    </w:p>
    <w:p>
      <w:pPr>
        <w:numPr>
          <w:ilvl w:val="0"/>
          <w:numId w:val="1378"/>
        </w:numPr>
        <w:pStyle w:val="Compact"/>
      </w:pPr>
      <w:r>
        <w:t xml:space="preserve">2014 · Skrivanek Z ·</w:t>
      </w:r>
      <w:r>
        <w:t xml:space="preserve"> </w:t>
      </w:r>
      <w:r>
        <w:rPr>
          <w:iCs/>
          <w:i/>
        </w:rPr>
        <w:t xml:space="preserve">Diabetes Obes Metab</w:t>
      </w:r>
      <w:r>
        <w:t xml:space="preserve"> </w:t>
      </w:r>
      <w:r>
        <w:t xml:space="preserve">· Dose-finding results in an adaptive, seamless, randomized trial of once-weekly dulaglutide combined with metformin in type 2 diabetes patients (AWARD-5). PMID 24762094</w:t>
      </w:r>
    </w:p>
    <w:p>
      <w:pPr>
        <w:numPr>
          <w:ilvl w:val="0"/>
          <w:numId w:val="1378"/>
        </w:numPr>
        <w:pStyle w:val="Compact"/>
      </w:pPr>
      <w:r>
        <w:t xml:space="preserve">2014 · Nauck M ·</w:t>
      </w:r>
      <w:r>
        <w:t xml:space="preserve"> </w:t>
      </w:r>
      <w:r>
        <w:rPr>
          <w:iCs/>
          <w:i/>
        </w:rPr>
        <w:t xml:space="preserve">Diabetes Care</w:t>
      </w:r>
      <w:r>
        <w:t xml:space="preserve"> </w:t>
      </w:r>
      <w:r>
        <w:t xml:space="preserve">· Efficacy and safety of dulaglutide versus sitagliptin after 52 weeks in type 2 diabetes in a randomized controlled trial (AWARD-5). PMID 24742660</w:t>
      </w:r>
    </w:p>
    <w:p>
      <w:pPr>
        <w:numPr>
          <w:ilvl w:val="0"/>
          <w:numId w:val="1378"/>
        </w:numPr>
        <w:pStyle w:val="Compact"/>
      </w:pPr>
      <w:r>
        <w:t xml:space="preserve">2012 · Geiger MJ ·</w:t>
      </w:r>
      <w:r>
        <w:t xml:space="preserve"> </w:t>
      </w:r>
      <w:r>
        <w:rPr>
          <w:iCs/>
          <w:i/>
        </w:rPr>
        <w:t xml:space="preserve">J Diabetes Sci Technol</w:t>
      </w:r>
      <w:r>
        <w:t xml:space="preserve"> </w:t>
      </w:r>
      <w:r>
        <w:t xml:space="preserve">· An adaptive, dose-finding, seamless phase 2/3 study of a long-acting glucagon-like peptide-1 analog (dulaglutide): trial design and baseline characteristics. PMID 23294776</w:t>
      </w:r>
    </w:p>
    <w:p>
      <w:pPr>
        <w:numPr>
          <w:ilvl w:val="0"/>
          <w:numId w:val="1378"/>
        </w:numPr>
        <w:pStyle w:val="Compact"/>
      </w:pPr>
      <w:r>
        <w:t xml:space="preserve">2012 · Skrivanek Z ·</w:t>
      </w:r>
      <w:r>
        <w:t xml:space="preserve"> </w:t>
      </w:r>
      <w:r>
        <w:rPr>
          <w:iCs/>
          <w:i/>
        </w:rPr>
        <w:t xml:space="preserve">J Diabetes Sci Technol</w:t>
      </w:r>
      <w:r>
        <w:t xml:space="preserve"> </w:t>
      </w:r>
      <w:r>
        <w:t xml:space="preserve">· Application of adaptive design methodology in development of a long-acting glucagon-like peptide-1 analog (dulaglutide): statistical design and simulations. PMID 23294775</w:t>
      </w:r>
    </w:p>
    <w:p>
      <w:pPr>
        <w:numPr>
          <w:ilvl w:val="0"/>
          <w:numId w:val="1378"/>
        </w:numPr>
        <w:pStyle w:val="Compact"/>
      </w:pPr>
      <w:r>
        <w:t xml:space="preserve">2012 · Grunberger G ·</w:t>
      </w:r>
      <w:r>
        <w:t xml:space="preserve"> </w:t>
      </w:r>
      <w:r>
        <w:rPr>
          <w:iCs/>
          <w:i/>
        </w:rPr>
        <w:t xml:space="preserve">Diabet Med</w:t>
      </w:r>
      <w:r>
        <w:t xml:space="preserve"> </w:t>
      </w:r>
      <w:r>
        <w:t xml:space="preserve">· Monotherapy with the once-weekly GLP-1 analogue dulaglutide for 12 weeks in patients with Type 2 diabetes: dose-dependent effects on glycaemic control in a randomized, double-blind, placebo-controlled study. PMID 22804250</w:t>
      </w:r>
    </w:p>
    <w:bookmarkEnd w:id="3014"/>
    <w:bookmarkStart w:id="3015" w:name="semaglutide-342"/>
    <w:p>
      <w:pPr>
        <w:pStyle w:val="Heading2"/>
      </w:pPr>
      <w:r>
        <w:t xml:space="preserve">Semaglutide (342)</w:t>
      </w:r>
    </w:p>
    <w:p>
      <w:pPr>
        <w:numPr>
          <w:ilvl w:val="0"/>
          <w:numId w:val="1379"/>
        </w:numPr>
        <w:pStyle w:val="Compact"/>
      </w:pPr>
      <w:r>
        <w:t xml:space="preserve">2026 · Zhang Z ·</w:t>
      </w:r>
      <w:r>
        <w:t xml:space="preserve"> </w:t>
      </w:r>
      <w:r>
        <w:rPr>
          <w:iCs/>
          <w:i/>
        </w:rPr>
        <w:t xml:space="preserve">Psychol Med</w:t>
      </w:r>
      <w:r>
        <w:t xml:space="preserve"> </w:t>
      </w:r>
      <w:r>
        <w:t xml:space="preserve">· Semaglutide modulates explore/exploit decision-making in major depressive disorder: A randomized clinical trial. PMID 42904347</w:t>
      </w:r>
    </w:p>
    <w:p>
      <w:pPr>
        <w:numPr>
          <w:ilvl w:val="0"/>
          <w:numId w:val="1379"/>
        </w:numPr>
        <w:pStyle w:val="Compact"/>
      </w:pPr>
      <w:r>
        <w:t xml:space="preserve">2026 · Estica M ·</w:t>
      </w:r>
      <w:r>
        <w:t xml:space="preserve"> </w:t>
      </w:r>
      <w:r>
        <w:rPr>
          <w:iCs/>
          <w:i/>
        </w:rPr>
        <w:t xml:space="preserve">Rev Med Chil</w:t>
      </w:r>
      <w:r>
        <w:t xml:space="preserve"> </w:t>
      </w:r>
      <w:r>
        <w:t xml:space="preserve">· Effectiveness of Weekly Semaglutide Treatment (0.5 or 1 mg) in Chilean Patients with Type 2 Diabetes Mellitus. PMID 42899606</w:t>
      </w:r>
    </w:p>
    <w:p>
      <w:pPr>
        <w:numPr>
          <w:ilvl w:val="0"/>
          <w:numId w:val="1379"/>
        </w:numPr>
        <w:pStyle w:val="Compact"/>
      </w:pPr>
      <w:r>
        <w:t xml:space="preserve">2026 · Gullaksen S ·</w:t>
      </w:r>
      <w:r>
        <w:t xml:space="preserve"> </w:t>
      </w:r>
      <w:r>
        <w:rPr>
          <w:iCs/>
          <w:i/>
        </w:rPr>
        <w:t xml:space="preserve">J Diabetes Complications</w:t>
      </w:r>
      <w:r>
        <w:t xml:space="preserve"> </w:t>
      </w:r>
      <w:r>
        <w:t xml:space="preserve">· Effects of semaglutide and empagliflozin on markers of endothelial function in persons with type 2 diabetes: A post hoc analysis of a randomized clinical trial. PMID 42679726</w:t>
      </w:r>
    </w:p>
    <w:p>
      <w:pPr>
        <w:numPr>
          <w:ilvl w:val="0"/>
          <w:numId w:val="1379"/>
        </w:numPr>
        <w:pStyle w:val="Compact"/>
      </w:pPr>
      <w:r>
        <w:t xml:space="preserve">2026 · Montaser E ·</w:t>
      </w:r>
      <w:r>
        <w:t xml:space="preserve"> </w:t>
      </w:r>
      <w:r>
        <w:rPr>
          <w:iCs/>
          <w:i/>
        </w:rPr>
        <w:t xml:space="preserve">Diabetes Obes Metab</w:t>
      </w:r>
      <w:r>
        <w:t xml:space="preserve"> </w:t>
      </w:r>
      <w:r>
        <w:t xml:space="preserve">· Glycaemic Changes After Semaglutide Discontinuation in Adults With Type 1 Diabetes Using Automated Insulin Delivery: Analysis of the ADJUST-T1D Extension Study. PMID 42675550</w:t>
      </w:r>
    </w:p>
    <w:p>
      <w:pPr>
        <w:numPr>
          <w:ilvl w:val="0"/>
          <w:numId w:val="1379"/>
        </w:numPr>
        <w:pStyle w:val="Compact"/>
      </w:pPr>
      <w:r>
        <w:t xml:space="preserve">2026 · Plutzky J ·</w:t>
      </w:r>
      <w:r>
        <w:t xml:space="preserve"> </w:t>
      </w:r>
      <w:r>
        <w:rPr>
          <w:iCs/>
          <w:i/>
        </w:rPr>
        <w:t xml:space="preserve">Circulation</w:t>
      </w:r>
      <w:r>
        <w:t xml:space="preserve"> </w:t>
      </w:r>
      <w:r>
        <w:t xml:space="preserve">· Effect of Semaglutide on the Inflammatory Biomarker High-Sensitivity CRP in Patients With Established Cardiovascular Disease and Overweight or Obesity in SELECT: A Prespecified Secondary Analysis. PMID 42610271</w:t>
      </w:r>
    </w:p>
    <w:p>
      <w:pPr>
        <w:numPr>
          <w:ilvl w:val="0"/>
          <w:numId w:val="1379"/>
        </w:numPr>
        <w:pStyle w:val="Compact"/>
      </w:pPr>
      <w:r>
        <w:t xml:space="preserve">2026 · Miyake T ·</w:t>
      </w:r>
      <w:r>
        <w:t xml:space="preserve"> </w:t>
      </w:r>
      <w:r>
        <w:rPr>
          <w:iCs/>
          <w:i/>
        </w:rPr>
        <w:t xml:space="preserve">Diabetes Obes Metab</w:t>
      </w:r>
      <w:r>
        <w:t xml:space="preserve"> </w:t>
      </w:r>
      <w:r>
        <w:t xml:space="preserve">· Efficacy of Luseogliflozin Added to Semaglutide in Patients With Metabolic Dysfunction-Associated Steatohepatitis and Type 2 Diabetes Mellitus: A Randomised, Open-Label Trial. PMID 42605535</w:t>
      </w:r>
    </w:p>
    <w:p>
      <w:pPr>
        <w:numPr>
          <w:ilvl w:val="0"/>
          <w:numId w:val="1379"/>
        </w:numPr>
        <w:pStyle w:val="Compact"/>
      </w:pPr>
      <w:r>
        <w:t xml:space="preserve">2026 · Ji L ·</w:t>
      </w:r>
      <w:r>
        <w:t xml:space="preserve"> </w:t>
      </w:r>
      <w:r>
        <w:rPr>
          <w:iCs/>
          <w:i/>
        </w:rPr>
        <w:t xml:space="preserve">Lancet Diabetes Endocrinol</w:t>
      </w:r>
      <w:r>
        <w:t xml:space="preserve"> </w:t>
      </w:r>
      <w:r>
        <w:t xml:space="preserve">· Once-weekly IcoSema versus once-daily insulin glargine U100 in type 2 diabetes management (COMBINE 4): an open-label, multicentre, treat-to-target, randomised, phase 3b trial. PMID 42594928</w:t>
      </w:r>
    </w:p>
    <w:p>
      <w:pPr>
        <w:numPr>
          <w:ilvl w:val="0"/>
          <w:numId w:val="1379"/>
        </w:numPr>
        <w:pStyle w:val="Compact"/>
      </w:pPr>
      <w:r>
        <w:t xml:space="preserve">2026 · Guo L ·</w:t>
      </w:r>
      <w:r>
        <w:t xml:space="preserve"> </w:t>
      </w:r>
      <w:r>
        <w:rPr>
          <w:iCs/>
          <w:i/>
        </w:rPr>
        <w:t xml:space="preserve">Lancet Diabetes Endocrinol</w:t>
      </w:r>
      <w:r>
        <w:t xml:space="preserve"> </w:t>
      </w:r>
      <w:r>
        <w:t xml:space="preserve">· Efficacy and safety of once-weekly semaglutide 2·4 mg in Chinese adults with overweight or obesity (STEP 12): a randomised, double-blind, placebo-controlled, multicentre, phase 3b trial. PMID 42575111</w:t>
      </w:r>
    </w:p>
    <w:p>
      <w:pPr>
        <w:numPr>
          <w:ilvl w:val="0"/>
          <w:numId w:val="1379"/>
        </w:numPr>
        <w:pStyle w:val="Compact"/>
      </w:pPr>
      <w:r>
        <w:t xml:space="preserve">2026 · Mann JFE ·</w:t>
      </w:r>
      <w:r>
        <w:t xml:space="preserve"> </w:t>
      </w:r>
      <w:r>
        <w:rPr>
          <w:iCs/>
          <w:i/>
        </w:rPr>
        <w:t xml:space="preserve">Lancet Diabetes Endocrinol</w:t>
      </w:r>
      <w:r>
        <w:t xml:space="preserve"> </w:t>
      </w:r>
      <w:r>
        <w:t xml:space="preserve">· Effect of semaglutide on kidney outcomes in the SELECT, FLOW, and SOUL trials: a prespecified pooled analysis. PMID 42567173</w:t>
      </w:r>
    </w:p>
    <w:p>
      <w:pPr>
        <w:numPr>
          <w:ilvl w:val="0"/>
          <w:numId w:val="1379"/>
        </w:numPr>
        <w:pStyle w:val="Compact"/>
      </w:pPr>
      <w:r>
        <w:t xml:space="preserve">2026 · Ji L ·</w:t>
      </w:r>
      <w:r>
        <w:t xml:space="preserve"> </w:t>
      </w:r>
      <w:r>
        <w:rPr>
          <w:iCs/>
          <w:i/>
        </w:rPr>
        <w:t xml:space="preserve">Diabetes Obes Metab</w:t>
      </w:r>
      <w:r>
        <w:t xml:space="preserve"> </w:t>
      </w:r>
      <w:r>
        <w:t xml:space="preserve">· Efficacy and Hypoglycaemia Outcomes With Once-Weekly IcoSema Versus Comparators in Individuals With Type 2 Diabetes by Kidney and Liver Function: A Post Hoc Analysis of the COMBINE 1-3 Trials. PMID 42557064</w:t>
      </w:r>
    </w:p>
    <w:p>
      <w:pPr>
        <w:numPr>
          <w:ilvl w:val="0"/>
          <w:numId w:val="1379"/>
        </w:numPr>
        <w:pStyle w:val="Compact"/>
      </w:pPr>
      <w:r>
        <w:t xml:space="preserve">2026 · Schacht JP ·</w:t>
      </w:r>
      <w:r>
        <w:t xml:space="preserve"> </w:t>
      </w:r>
      <w:r>
        <w:rPr>
          <w:iCs/>
          <w:i/>
        </w:rPr>
        <w:t xml:space="preserve">Am J Psychiatry</w:t>
      </w:r>
      <w:r>
        <w:t xml:space="preserve"> </w:t>
      </w:r>
      <w:r>
        <w:t xml:space="preserve">· Oral Semaglutide for Alcohol Use Disorder: A Randomized Clinical Trial. PMID 42522065</w:t>
      </w:r>
    </w:p>
    <w:p>
      <w:pPr>
        <w:numPr>
          <w:ilvl w:val="0"/>
          <w:numId w:val="1379"/>
        </w:numPr>
        <w:pStyle w:val="Compact"/>
      </w:pPr>
      <w:r>
        <w:t xml:space="preserve">2026 · Lake JE ·</w:t>
      </w:r>
      <w:r>
        <w:t xml:space="preserve"> </w:t>
      </w:r>
      <w:r>
        <w:rPr>
          <w:iCs/>
          <w:i/>
        </w:rPr>
        <w:t xml:space="preserve">HIV Med</w:t>
      </w:r>
      <w:r>
        <w:t xml:space="preserve"> </w:t>
      </w:r>
      <w:r>
        <w:t xml:space="preserve">· Semaglutide improves MASLD and MASH in people with HIV: The SLIM LIVER study. PMID 42517548</w:t>
      </w:r>
    </w:p>
    <w:p>
      <w:pPr>
        <w:numPr>
          <w:ilvl w:val="0"/>
          <w:numId w:val="1379"/>
        </w:numPr>
        <w:pStyle w:val="Compact"/>
      </w:pPr>
      <w:r>
        <w:t xml:space="preserve">2026 · Rodbard HW ·</w:t>
      </w:r>
      <w:r>
        <w:t xml:space="preserve"> </w:t>
      </w:r>
      <w:r>
        <w:rPr>
          <w:iCs/>
          <w:i/>
        </w:rPr>
        <w:t xml:space="preserve">Diabetes Obes Metab</w:t>
      </w:r>
      <w:r>
        <w:t xml:space="preserve"> </w:t>
      </w:r>
      <w:r>
        <w:t xml:space="preserve">· Efficacy and Safety of Once-Weekly Semaglutide 2.0 mg as an Add-On to Dose-Reduced Insulin Glargine versus Dose-Titrated Insulin Glargine in People With Type 2 Diabetes and Overweight (SUSTAIN OPTIMIZE). PMID 42504064</w:t>
      </w:r>
    </w:p>
    <w:p>
      <w:pPr>
        <w:numPr>
          <w:ilvl w:val="0"/>
          <w:numId w:val="1379"/>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79"/>
        </w:numPr>
        <w:pStyle w:val="Compact"/>
      </w:pPr>
      <w:r>
        <w:t xml:space="preserve">2026 · Timmons JG ·</w:t>
      </w:r>
      <w:r>
        <w:t xml:space="preserve"> </w:t>
      </w:r>
      <w:r>
        <w:rPr>
          <w:iCs/>
          <w:i/>
        </w:rPr>
        <w:t xml:space="preserve">Diabetes Obes Metab</w:t>
      </w:r>
      <w:r>
        <w:t xml:space="preserve"> </w:t>
      </w:r>
      <w:r>
        <w:t xml:space="preserve">· Insulin, Semaglutide and Dapagliflozin in Adults With Type 1 Diabetes: Design and Methods of Triple Therapy for Type 1 Diabetes (TTT1)-An International Phase 3 Clinical Trial. PMID 42473259</w:t>
      </w:r>
    </w:p>
    <w:p>
      <w:pPr>
        <w:numPr>
          <w:ilvl w:val="0"/>
          <w:numId w:val="1379"/>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79"/>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79"/>
        </w:numPr>
        <w:pStyle w:val="Compact"/>
      </w:pPr>
      <w:r>
        <w:t xml:space="preserve">2026 · Rahman E ·</w:t>
      </w:r>
      <w:r>
        <w:t xml:space="preserve"> </w:t>
      </w:r>
      <w:r>
        <w:rPr>
          <w:iCs/>
          <w:i/>
        </w:rPr>
        <w:t xml:space="preserve">Aesthetic Plast Surg</w:t>
      </w:r>
      <w:r>
        <w:t xml:space="preserve"> </w:t>
      </w:r>
      <w:r>
        <w:t xml:space="preserve">· Computational Trial of Prophylactic Biostimulator Interventions to Mitigate Facial Sagging Associated With GLP-1 Receptor Agonist Induced Weight Loss. PMID 42414642</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Once-Weekly for Weight Management in Adults: Results From A Randomized Phase III, Active-Controlled Study. PMID 42403263</w:t>
      </w:r>
    </w:p>
    <w:p>
      <w:pPr>
        <w:numPr>
          <w:ilvl w:val="0"/>
          <w:numId w:val="1379"/>
        </w:numPr>
        <w:pStyle w:val="Compact"/>
      </w:pPr>
      <w:r>
        <w:t xml:space="preserve">2026 · Strojek K ·</w:t>
      </w:r>
      <w:r>
        <w:t xml:space="preserve"> </w:t>
      </w:r>
      <w:r>
        <w:rPr>
          <w:iCs/>
          <w:i/>
        </w:rPr>
        <w:t xml:space="preserve">Diabetes Obes Metab</w:t>
      </w:r>
      <w:r>
        <w:t xml:space="preserve"> </w:t>
      </w:r>
      <w:r>
        <w:t xml:space="preserve">· Efficacy and Safety of Intensifying Once-Weekly Insulin Icodec Treatment With Once-Weekly Semaglutide in Adults With Type 2 Diabetes: A Single-Arm, Open-Label, Treat-to-Target, Phase 3b Trial (ONWARDS 8). PMID 42387310</w:t>
      </w:r>
    </w:p>
    <w:p>
      <w:pPr>
        <w:numPr>
          <w:ilvl w:val="0"/>
          <w:numId w:val="1379"/>
        </w:numPr>
        <w:pStyle w:val="Compact"/>
      </w:pPr>
      <w:r>
        <w:t xml:space="preserve">2026 · Liu M ·</w:t>
      </w:r>
      <w:r>
        <w:t xml:space="preserve"> </w:t>
      </w:r>
      <w:r>
        <w:rPr>
          <w:iCs/>
          <w:i/>
        </w:rPr>
        <w:t xml:space="preserve">Ann Intern Med</w:t>
      </w:r>
      <w:r>
        <w:t xml:space="preserve"> </w:t>
      </w:r>
      <w:r>
        <w:t xml:space="preserve">· Weekly and Biweekly Treatment With Bofanglutide Versus Semaglutide in Chinese Patients With Type 2 Diabetes : A Phase 2b Randomized Clinical Trial. PMID 42372276</w:t>
      </w:r>
    </w:p>
    <w:p>
      <w:pPr>
        <w:numPr>
          <w:ilvl w:val="0"/>
          <w:numId w:val="137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79"/>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79"/>
        </w:numPr>
        <w:pStyle w:val="Compact"/>
      </w:pPr>
      <w:r>
        <w:t xml:space="preserve">2026 · Tronieri JS ·</w:t>
      </w:r>
      <w:r>
        <w:t xml:space="preserve"> </w:t>
      </w:r>
      <w:r>
        <w:rPr>
          <w:iCs/>
          <w:i/>
        </w:rPr>
        <w:t xml:space="preserve">Am J Clin Nutr</w:t>
      </w:r>
      <w:r>
        <w:t xml:space="preserve"> </w:t>
      </w:r>
      <w:r>
        <w:t xml:space="preserve">· Short- and long-term effects of semaglutide 2.4 mg on energy intake, appetite, and food reward: a 60-week, double-blind randomized controlled trial. PMID 42323166</w:t>
      </w:r>
    </w:p>
    <w:p>
      <w:pPr>
        <w:numPr>
          <w:ilvl w:val="0"/>
          <w:numId w:val="1379"/>
        </w:numPr>
        <w:pStyle w:val="Compact"/>
      </w:pPr>
      <w:r>
        <w:t xml:space="preserve">2026 · Rahman E ·</w:t>
      </w:r>
      <w:r>
        <w:t xml:space="preserve"> </w:t>
      </w:r>
      <w:r>
        <w:rPr>
          <w:iCs/>
          <w:i/>
        </w:rPr>
        <w:t xml:space="preserve">Aesthetic Plast Surg</w:t>
      </w:r>
      <w:r>
        <w:t xml:space="preserve"> </w:t>
      </w:r>
      <w:r>
        <w:t xml:space="preserve">· A Computational Trial of Dermal Mechanotransduction in GLP-1 Receptor Agonist-Associated Premature Facial Ageing. PMID 42310090</w:t>
      </w:r>
    </w:p>
    <w:p>
      <w:pPr>
        <w:numPr>
          <w:ilvl w:val="0"/>
          <w:numId w:val="1379"/>
        </w:numPr>
        <w:pStyle w:val="Compact"/>
      </w:pPr>
      <w:r>
        <w:t xml:space="preserve">2026 · Heerspink HJL ·</w:t>
      </w:r>
      <w:r>
        <w:t xml:space="preserve"> </w:t>
      </w:r>
      <w:r>
        <w:rPr>
          <w:iCs/>
          <w:i/>
        </w:rPr>
        <w:t xml:space="preserve">Clin J Am Soc Nephrol</w:t>
      </w:r>
      <w:r>
        <w:t xml:space="preserve"> </w:t>
      </w:r>
      <w:r>
        <w:t xml:space="preserve">· Effects of Semaglutide on Body Composition and GFR: A Prespecified Analysis of the SMART Trial. PMID 42308057</w:t>
      </w:r>
    </w:p>
    <w:p>
      <w:pPr>
        <w:numPr>
          <w:ilvl w:val="0"/>
          <w:numId w:val="1379"/>
        </w:numPr>
        <w:pStyle w:val="Compact"/>
      </w:pPr>
      <w:r>
        <w:t xml:space="preserve">2026 · Aroda VR ·</w:t>
      </w:r>
      <w:r>
        <w:t xml:space="preserve"> </w:t>
      </w:r>
      <w:r>
        <w:rPr>
          <w:iCs/>
          <w:i/>
        </w:rPr>
        <w:t xml:space="preserve">Lancet</w:t>
      </w:r>
      <w:r>
        <w:t xml:space="preserve"> </w:t>
      </w:r>
      <w:r>
        <w:t xml:space="preserve">· Elecoglipron, an oral small molecule GLP-1 receptor agonist in adults with type 2 diabetes (SOLSTICE): a multicentre, phase 2b, randomised, placebo-controlled trial. PMID 42259343</w:t>
      </w:r>
    </w:p>
    <w:p>
      <w:pPr>
        <w:numPr>
          <w:ilvl w:val="0"/>
          <w:numId w:val="1379"/>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79"/>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79"/>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79"/>
        </w:numPr>
        <w:pStyle w:val="Compact"/>
      </w:pPr>
      <w:r>
        <w:t xml:space="preserve">2026 · Tuttle KR ·</w:t>
      </w:r>
      <w:r>
        <w:t xml:space="preserve"> </w:t>
      </w:r>
      <w:r>
        <w:rPr>
          <w:iCs/>
          <w:i/>
        </w:rPr>
        <w:t xml:space="preserve">J Am Coll Cardiol</w:t>
      </w:r>
      <w:r>
        <w:t xml:space="preserve"> </w:t>
      </w:r>
      <w:r>
        <w:t xml:space="preserve">· Kidney and Survival Benefits of Semaglutide in Diabetes With Chronic Kidney Disease: FLOW Trial Cardiovascular Subgroup Analyses. PMID 42233552</w:t>
      </w:r>
    </w:p>
    <w:p>
      <w:pPr>
        <w:numPr>
          <w:ilvl w:val="0"/>
          <w:numId w:val="1379"/>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79"/>
        </w:numPr>
        <w:pStyle w:val="Compact"/>
      </w:pPr>
      <w:r>
        <w:t xml:space="preserve">2026 · Plotkin M ·</w:t>
      </w:r>
      <w:r>
        <w:t xml:space="preserve"> </w:t>
      </w:r>
      <w:r>
        <w:rPr>
          <w:iCs/>
          <w:i/>
        </w:rPr>
        <w:t xml:space="preserve">Diabetes Obes Metab</w:t>
      </w:r>
      <w:r>
        <w:t xml:space="preserve"> </w:t>
      </w:r>
      <w:r>
        <w:t xml:space="preserve">· Semaglutide 25 mg Oral Versus Semaglutide 2.4 mg Injectable: An Indirect Treatment Comparison of Weight Loss Outcomes. PMID 42225300</w:t>
      </w:r>
    </w:p>
    <w:p>
      <w:pPr>
        <w:numPr>
          <w:ilvl w:val="0"/>
          <w:numId w:val="1379"/>
        </w:numPr>
        <w:pStyle w:val="Compact"/>
      </w:pPr>
      <w:r>
        <w:t xml:space="preserve">2026 · Ambika Gopalakrishnan U ·</w:t>
      </w:r>
      <w:r>
        <w:t xml:space="preserve"> </w:t>
      </w:r>
      <w:r>
        <w:rPr>
          <w:iCs/>
          <w:i/>
        </w:rPr>
        <w:t xml:space="preserve">Diabetes Obes Metab</w:t>
      </w:r>
      <w:r>
        <w:t xml:space="preserve"> </w:t>
      </w:r>
      <w:r>
        <w:t xml:space="preserve">· Semaglutide Injection in Indian Patients With Type 2 Diabetes Mellitus: A Randomised, Phase III, Active-Controlled Study. PMID 42219226</w:t>
      </w:r>
    </w:p>
    <w:p>
      <w:pPr>
        <w:numPr>
          <w:ilvl w:val="0"/>
          <w:numId w:val="1379"/>
        </w:numPr>
        <w:pStyle w:val="Compact"/>
      </w:pPr>
      <w:r>
        <w:t xml:space="preserve">2026 · Jin P ·</w:t>
      </w:r>
      <w:r>
        <w:t xml:space="preserve"> </w:t>
      </w:r>
      <w:r>
        <w:rPr>
          <w:iCs/>
          <w:i/>
        </w:rPr>
        <w:t xml:space="preserve">Diabetes Obes Metab</w:t>
      </w:r>
      <w:r>
        <w:t xml:space="preserve"> </w:t>
      </w:r>
      <w:r>
        <w:t xml:space="preserve">· Evaluation of the Safety, Efficacy and Pharmacokinetics of BGM0504 in Chinese Adults With Type 2 Diabetes: A Multicentre, Randomised, Controlled and Double-Blind Phase II Trial. PMID 42219225</w:t>
      </w:r>
    </w:p>
    <w:p>
      <w:pPr>
        <w:numPr>
          <w:ilvl w:val="0"/>
          <w:numId w:val="1379"/>
        </w:numPr>
        <w:pStyle w:val="Compact"/>
      </w:pPr>
      <w:r>
        <w:t xml:space="preserve">2026 · Hendershot CS ·</w:t>
      </w:r>
      <w:r>
        <w:t xml:space="preserve"> </w:t>
      </w:r>
      <w:r>
        <w:rPr>
          <w:iCs/>
          <w:i/>
        </w:rPr>
        <w:t xml:space="preserve">JAMA Netw Open</w:t>
      </w:r>
      <w:r>
        <w:t xml:space="preserve"> </w:t>
      </w:r>
      <w:r>
        <w:t xml:space="preserve">· Once-Weekly Semaglutide in Adults With Daily Cigarette Use: A Randomized Clinical Trial. PMID 42189538</w:t>
      </w:r>
    </w:p>
    <w:p>
      <w:pPr>
        <w:numPr>
          <w:ilvl w:val="0"/>
          <w:numId w:val="1379"/>
        </w:numPr>
        <w:pStyle w:val="Compact"/>
      </w:pPr>
      <w:r>
        <w:t xml:space="preserve">2026 · Stanley C ·</w:t>
      </w:r>
      <w:r>
        <w:t xml:space="preserve"> </w:t>
      </w:r>
      <w:r>
        <w:rPr>
          <w:iCs/>
          <w:i/>
        </w:rPr>
        <w:t xml:space="preserve">Nat Med</w:t>
      </w:r>
      <w:r>
        <w:t xml:space="preserve"> </w:t>
      </w:r>
      <w:r>
        <w:t xml:space="preserve">· Semaglutide versus placebo in individuals with poor weight loss after bariatric surgery: a double-blinded, randomized, placebo-controlled trial. PMID 42174253</w:t>
      </w:r>
    </w:p>
    <w:p>
      <w:pPr>
        <w:numPr>
          <w:ilvl w:val="0"/>
          <w:numId w:val="1379"/>
        </w:numPr>
        <w:pStyle w:val="Compact"/>
      </w:pPr>
      <w:r>
        <w:t xml:space="preserve">2026 · Huang YS ·</w:t>
      </w:r>
      <w:r>
        <w:t xml:space="preserve"> </w:t>
      </w:r>
      <w:r>
        <w:rPr>
          <w:iCs/>
          <w:i/>
        </w:rPr>
        <w:t xml:space="preserve">Obes Surg</w:t>
      </w:r>
      <w:r>
        <w:t xml:space="preserve"> </w:t>
      </w:r>
      <w:r>
        <w:t xml:space="preserve">· Early Adjuvant Treatment with Semaglutide After Sleeve Gastrectomy in Patients with Class II-III Obesity: A Prospective Non-Randomized Controlled Study. PMID 42174244</w:t>
      </w:r>
    </w:p>
    <w:p>
      <w:pPr>
        <w:numPr>
          <w:ilvl w:val="0"/>
          <w:numId w:val="1379"/>
        </w:numPr>
        <w:pStyle w:val="Compact"/>
      </w:pPr>
      <w:r>
        <w:t xml:space="preserve">2026 · Helsted MM ·</w:t>
      </w:r>
      <w:r>
        <w:t xml:space="preserve"> </w:t>
      </w:r>
      <w:r>
        <w:rPr>
          <w:iCs/>
          <w:i/>
        </w:rPr>
        <w:t xml:space="preserve">Lancet Diabetes Endocrinol</w:t>
      </w:r>
      <w:r>
        <w:t xml:space="preserve"> </w:t>
      </w:r>
      <w:r>
        <w:t xml:space="preserve">· Effects of a 6-week subcutaneous infusion of native GIP alone or as add-on to semaglutide in people with type 2 diabetes: a single-centre, double-blind, parallel-group, randomised, placebo-controlled trial. PMID 42173109</w:t>
      </w:r>
    </w:p>
    <w:p>
      <w:pPr>
        <w:numPr>
          <w:ilvl w:val="0"/>
          <w:numId w:val="1379"/>
        </w:numPr>
        <w:pStyle w:val="Compact"/>
      </w:pPr>
      <w:r>
        <w:t xml:space="preserve">2026 · Long W ·</w:t>
      </w:r>
      <w:r>
        <w:t xml:space="preserve"> </w:t>
      </w:r>
      <w:r>
        <w:rPr>
          <w:iCs/>
          <w:i/>
        </w:rPr>
        <w:t xml:space="preserve">Pak J Pharm Sci</w:t>
      </w:r>
      <w:r>
        <w:t xml:space="preserve"> </w:t>
      </w:r>
      <w:r>
        <w:t xml:space="preserve">· Short-term comparative effects of semaglutide, either alone or in conjunction with canagliflozin, on early diabetic kidney disease. PMID 42170981</w:t>
      </w:r>
    </w:p>
    <w:p>
      <w:pPr>
        <w:numPr>
          <w:ilvl w:val="0"/>
          <w:numId w:val="1379"/>
        </w:numPr>
        <w:pStyle w:val="Compact"/>
      </w:pPr>
      <w:r>
        <w:t xml:space="preserve">2026 · Corley MJ ·</w:t>
      </w:r>
      <w:r>
        <w:t xml:space="preserve"> </w:t>
      </w:r>
      <w:r>
        <w:rPr>
          <w:iCs/>
          <w:i/>
        </w:rPr>
        <w:t xml:space="preserve">Nat Commun</w:t>
      </w:r>
      <w:r>
        <w:t xml:space="preserve"> </w:t>
      </w:r>
      <w:r>
        <w:t xml:space="preserve">· Semaglutide slows epigenetic aging in a randomized trial of HIV-associated lipohypertrophy. PMID 42156721</w:t>
      </w:r>
    </w:p>
    <w:p>
      <w:pPr>
        <w:numPr>
          <w:ilvl w:val="0"/>
          <w:numId w:val="137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79"/>
        </w:numPr>
        <w:pStyle w:val="Compact"/>
      </w:pPr>
      <w:r>
        <w:t xml:space="preserve">2026 · Lake JE ·</w:t>
      </w:r>
      <w:r>
        <w:t xml:space="preserve"> </w:t>
      </w:r>
      <w:r>
        <w:rPr>
          <w:iCs/>
          <w:i/>
        </w:rPr>
        <w:t xml:space="preserve">AIDS</w:t>
      </w:r>
      <w:r>
        <w:t xml:space="preserve"> </w:t>
      </w:r>
      <w:r>
        <w:t xml:space="preserve">· Semaglutide improves markers of cardiovascular risk in people with HIV. PMID 42084141</w:t>
      </w:r>
    </w:p>
    <w:p>
      <w:pPr>
        <w:numPr>
          <w:ilvl w:val="0"/>
          <w:numId w:val="1379"/>
        </w:numPr>
        <w:pStyle w:val="Compact"/>
      </w:pPr>
      <w:r>
        <w:t xml:space="preserve">2026 · Klausen MK ·</w:t>
      </w:r>
      <w:r>
        <w:t xml:space="preserve"> </w:t>
      </w:r>
      <w:r>
        <w:rPr>
          <w:iCs/>
          <w:i/>
        </w:rPr>
        <w:t xml:space="preserve">Lancet</w:t>
      </w:r>
      <w:r>
        <w:t xml:space="preserve"> </w:t>
      </w:r>
      <w:r>
        <w:t xml:space="preserve">· Once-weekly semaglutide versus placebo in patients with alcohol use disorder and comorbid obesity: a randomised, double-blind, placebo-controlled trial. PMID 42070571</w:t>
      </w:r>
    </w:p>
    <w:p>
      <w:pPr>
        <w:numPr>
          <w:ilvl w:val="0"/>
          <w:numId w:val="1379"/>
        </w:numPr>
        <w:pStyle w:val="Compact"/>
      </w:pPr>
      <w:r>
        <w:t xml:space="preserve">2026 · Gill H ·</w:t>
      </w:r>
      <w:r>
        <w:t xml:space="preserve"> </w:t>
      </w:r>
      <w:r>
        <w:rPr>
          <w:iCs/>
          <w:i/>
        </w:rPr>
        <w:t xml:space="preserve">JAMA Psychiatry</w:t>
      </w:r>
      <w:r>
        <w:t xml:space="preserve"> </w:t>
      </w:r>
      <w:r>
        <w:t xml:space="preserve">· Semaglutide and Effort-Based Decision-Making in Major Depressive Disorder: A Randomized Clinical Trial. PMID 42054055</w:t>
      </w:r>
    </w:p>
    <w:p>
      <w:pPr>
        <w:numPr>
          <w:ilvl w:val="0"/>
          <w:numId w:val="1379"/>
        </w:numPr>
        <w:pStyle w:val="Compact"/>
      </w:pPr>
      <w:r>
        <w:t xml:space="preserve">2026 · Cronenberger C ·</w:t>
      </w:r>
      <w:r>
        <w:t xml:space="preserve"> </w:t>
      </w:r>
      <w:r>
        <w:rPr>
          <w:iCs/>
          <w:i/>
        </w:rPr>
        <w:t xml:space="preserve">J Clin Pharmacol</w:t>
      </w:r>
      <w:r>
        <w:t xml:space="preserve"> </w:t>
      </w:r>
      <w:r>
        <w:t xml:space="preserve">· Assessment of the Drug-Drug Interaction Potential of Lotiglipron (PF-07081532) with Midazolam, Omeprazole, Dabigatran, Rosuvastatin, and the Oral Contraceptives Levonorgestrel and Ethinyl Estradiol. PMID 42053447</w:t>
      </w:r>
    </w:p>
    <w:p>
      <w:pPr>
        <w:numPr>
          <w:ilvl w:val="0"/>
          <w:numId w:val="1379"/>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79"/>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79"/>
        </w:numPr>
        <w:pStyle w:val="Compact"/>
      </w:pPr>
      <w:r>
        <w:t xml:space="preserve">2026 · Zaccardi F ·</w:t>
      </w:r>
      <w:r>
        <w:t xml:space="preserve"> </w:t>
      </w:r>
      <w:r>
        <w:rPr>
          <w:iCs/>
          <w:i/>
        </w:rPr>
        <w:t xml:space="preserve">Diabetes Obes Metab</w:t>
      </w:r>
      <w:r>
        <w:t xml:space="preserve"> </w:t>
      </w:r>
      <w:r>
        <w:t xml:space="preserve">· Semaglutide Treatment in Young Adults Living With Type 2 Diabetes: A Post Hoc Analysis From the SUSTAIN and PIONEER Clinical Trials. PMID 41994903</w:t>
      </w:r>
    </w:p>
    <w:p>
      <w:pPr>
        <w:numPr>
          <w:ilvl w:val="0"/>
          <w:numId w:val="1379"/>
        </w:numPr>
        <w:pStyle w:val="Compact"/>
      </w:pPr>
      <w:r>
        <w:t xml:space="preserve">2026 · Meyhöfer SM ·</w:t>
      </w:r>
      <w:r>
        <w:t xml:space="preserve"> </w:t>
      </w:r>
      <w:r>
        <w:rPr>
          <w:iCs/>
          <w:i/>
        </w:rPr>
        <w:t xml:space="preserve">Nat Med</w:t>
      </w:r>
      <w:r>
        <w:t xml:space="preserve"> </w:t>
      </w:r>
      <w:r>
        <w:t xml:space="preserve">· Semaglutide on liver fibrosis and heart outcomes in patients at high risk of liver fibrosis: a prespecified analysis of the SELECT randomized trial. PMID 41928037</w:t>
      </w:r>
    </w:p>
    <w:p>
      <w:pPr>
        <w:numPr>
          <w:ilvl w:val="0"/>
          <w:numId w:val="1379"/>
        </w:numPr>
        <w:pStyle w:val="Compact"/>
      </w:pPr>
      <w:r>
        <w:t xml:space="preserve">2026 · Moreno-Pérez Ó ·</w:t>
      </w:r>
      <w:r>
        <w:t xml:space="preserve"> </w:t>
      </w:r>
      <w:r>
        <w:rPr>
          <w:iCs/>
          <w:i/>
        </w:rPr>
        <w:t xml:space="preserve">Cardiovasc Diabetol</w:t>
      </w:r>
      <w:r>
        <w:t xml:space="preserve"> </w:t>
      </w:r>
      <w:r>
        <w:t xml:space="preserve">· Inpatient safety, effectiveness of SGLT2 inhibitors and GLP-1 RAs in type 2 diabetes: ENDOCARE, a pragmatic prospective cohort study. PMID 41913157</w:t>
      </w:r>
    </w:p>
    <w:p>
      <w:pPr>
        <w:numPr>
          <w:ilvl w:val="0"/>
          <w:numId w:val="1379"/>
        </w:numPr>
        <w:pStyle w:val="Compact"/>
      </w:pPr>
      <w:r>
        <w:t xml:space="preserve">2026 · Mulvagh SL ·</w:t>
      </w:r>
      <w:r>
        <w:t xml:space="preserve"> </w:t>
      </w:r>
      <w:r>
        <w:rPr>
          <w:iCs/>
          <w:i/>
        </w:rPr>
        <w:t xml:space="preserve">JAMA Cardiol</w:t>
      </w:r>
      <w:r>
        <w:t xml:space="preserve"> </w:t>
      </w:r>
      <w:r>
        <w:t xml:space="preserve">· Oral Semaglutide and Change in Cardiovascular Risk Factors in High-Risk Type 2 Diabetes: A Post Hoc Secondary Analysis of the SOUL Randomized Clinical Trial. PMID 41879791</w:t>
      </w:r>
    </w:p>
    <w:p>
      <w:pPr>
        <w:numPr>
          <w:ilvl w:val="0"/>
          <w:numId w:val="1379"/>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79"/>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79"/>
        </w:numPr>
        <w:pStyle w:val="Compact"/>
      </w:pPr>
      <w:r>
        <w:t xml:space="preserve">2026 · Cummings JL ·</w:t>
      </w:r>
      <w:r>
        <w:t xml:space="preserve"> </w:t>
      </w:r>
      <w:r>
        <w:rPr>
          <w:iCs/>
          <w:i/>
        </w:rPr>
        <w:t xml:space="preserve">Lancet</w:t>
      </w:r>
      <w:r>
        <w:t xml:space="preserve"> </w:t>
      </w:r>
      <w:r>
        <w:t xml:space="preserve">· Efficacy and safety of oral semaglutide 14 mg (flexible dose) in early-stage symptomatic Alzheimer’s disease (evoke and evoke+): two phase 3, randomised, placebo-controlled trials. PMID 41865758</w:t>
      </w:r>
    </w:p>
    <w:p>
      <w:pPr>
        <w:numPr>
          <w:ilvl w:val="0"/>
          <w:numId w:val="1379"/>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79"/>
        </w:numPr>
        <w:pStyle w:val="Compact"/>
      </w:pPr>
      <w:r>
        <w:t xml:space="preserve">2026 · Schrage B ·</w:t>
      </w:r>
      <w:r>
        <w:t xml:space="preserve"> </w:t>
      </w:r>
      <w:r>
        <w:rPr>
          <w:iCs/>
          <w:i/>
        </w:rPr>
        <w:t xml:space="preserve">J Am Coll Cardiol</w:t>
      </w:r>
      <w:r>
        <w:t xml:space="preserve"> </w:t>
      </w:r>
      <w:r>
        <w:t xml:space="preserve">· Emulated Effects of Glucagon-Like Peptide 1 Receptor Agonist Therapy in the General Population. PMID 41811277</w:t>
      </w:r>
    </w:p>
    <w:p>
      <w:pPr>
        <w:numPr>
          <w:ilvl w:val="0"/>
          <w:numId w:val="1379"/>
        </w:numPr>
        <w:pStyle w:val="Compact"/>
      </w:pPr>
      <w:r>
        <w:t xml:space="preserve">2026 · Ganeshalingam AA ·</w:t>
      </w:r>
      <w:r>
        <w:t xml:space="preserve"> </w:t>
      </w:r>
      <w:r>
        <w:rPr>
          <w:iCs/>
          <w:i/>
        </w:rPr>
        <w:t xml:space="preserve">Diabetes Care</w:t>
      </w:r>
      <w:r>
        <w:t xml:space="preserve"> </w:t>
      </w:r>
      <w:r>
        <w:t xml:space="preserve">· Semaglutide Effects on Insulin Sensitivity and β-Cell Function in Patients With Schizophrenia, Prediabetes, and Obesity Treated With Second-Generation Antipsychotics: Findings From the HISTORI Trial, a 30-Week Randomized, Placebo-Controlled Trial With Semaglutide 1.0 mg Weekly. PMID 41778920</w:t>
      </w:r>
    </w:p>
    <w:p>
      <w:pPr>
        <w:numPr>
          <w:ilvl w:val="0"/>
          <w:numId w:val="1379"/>
        </w:numPr>
        <w:pStyle w:val="Compact"/>
      </w:pPr>
      <w:r>
        <w:t xml:space="preserve">2026 · Heymsfield SB ·</w:t>
      </w:r>
      <w:r>
        <w:t xml:space="preserve"> </w:t>
      </w:r>
      <w:r>
        <w:rPr>
          <w:iCs/>
          <w:i/>
        </w:rPr>
        <w:t xml:space="preserve">Nat Med</w:t>
      </w:r>
      <w:r>
        <w:t xml:space="preserve"> </w:t>
      </w:r>
      <w:r>
        <w:t xml:space="preserve">· Bimagrumab plus semaglutide alone or in combination for the treatment of obesity: a randomized phase 2 trial. PMID 41772149</w:t>
      </w:r>
    </w:p>
    <w:p>
      <w:pPr>
        <w:numPr>
          <w:ilvl w:val="0"/>
          <w:numId w:val="137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79"/>
        </w:numPr>
        <w:pStyle w:val="Compact"/>
      </w:pPr>
      <w:r>
        <w:t xml:space="preserve">2026 · Rayner B ·</w:t>
      </w:r>
      <w:r>
        <w:t xml:space="preserve"> </w:t>
      </w:r>
      <w:r>
        <w:rPr>
          <w:iCs/>
          <w:i/>
        </w:rPr>
        <w:t xml:space="preserve">Nephrol Dial Transplant</w:t>
      </w:r>
      <w:r>
        <w:t xml:space="preserve"> </w:t>
      </w:r>
      <w:r>
        <w:t xml:space="preserve">· Effect of semaglutide on COVID-19 and other infections: an analysis from the FLOW randomized clinical trial. PMID 41728915</w:t>
      </w:r>
    </w:p>
    <w:p>
      <w:pPr>
        <w:numPr>
          <w:ilvl w:val="0"/>
          <w:numId w:val="1379"/>
        </w:numPr>
        <w:pStyle w:val="Compact"/>
      </w:pPr>
      <w:r>
        <w:t xml:space="preserve">2026 · Uhrenholt N ·</w:t>
      </w:r>
      <w:r>
        <w:t xml:space="preserve"> </w:t>
      </w:r>
      <w:r>
        <w:rPr>
          <w:iCs/>
          <w:i/>
        </w:rPr>
        <w:t xml:space="preserve">Schizophr Res</w:t>
      </w:r>
      <w:r>
        <w:t xml:space="preserve"> </w:t>
      </w:r>
      <w:r>
        <w:t xml:space="preserve">· Improved quality of life with semaglutide in schizophrenia: Secondary analyses from a randomized controlled trial. PMID 41702353</w:t>
      </w:r>
    </w:p>
    <w:p>
      <w:pPr>
        <w:numPr>
          <w:ilvl w:val="0"/>
          <w:numId w:val="1379"/>
        </w:numPr>
        <w:pStyle w:val="Compact"/>
      </w:pPr>
      <w:r>
        <w:t xml:space="preserve">2026 · Pop-Busui R ·</w:t>
      </w:r>
      <w:r>
        <w:t xml:space="preserve"> </w:t>
      </w:r>
      <w:r>
        <w:rPr>
          <w:iCs/>
          <w:i/>
        </w:rPr>
        <w:t xml:space="preserve">JAMA Intern Med</w:t>
      </w:r>
      <w:r>
        <w:t xml:space="preserve"> </w:t>
      </w:r>
      <w:r>
        <w:t xml:space="preserve">· Oral Semaglutide and Heart Failure Outcomes in Persons With Type 2 Diabetes: A Secondary Analysis of the SOUL Randomized Clinical Trial. PMID 41627802</w:t>
      </w:r>
    </w:p>
    <w:p>
      <w:pPr>
        <w:numPr>
          <w:ilvl w:val="0"/>
          <w:numId w:val="1379"/>
        </w:numPr>
        <w:pStyle w:val="Compact"/>
      </w:pPr>
      <w:r>
        <w:t xml:space="preserve">2026 · Yen Y ·</w:t>
      </w:r>
      <w:r>
        <w:t xml:space="preserve"> </w:t>
      </w:r>
      <w:r>
        <w:rPr>
          <w:iCs/>
          <w:i/>
        </w:rPr>
        <w:t xml:space="preserve">BMC Med</w:t>
      </w:r>
      <w:r>
        <w:t xml:space="preserve"> </w:t>
      </w:r>
      <w:r>
        <w:t xml:space="preserve">· Comparative effectiveness of sleeve gastrectomy and semaglutide for weight loss and metabolic outcomes: a prospective non-randomized study. PMID 41572274</w:t>
      </w:r>
    </w:p>
    <w:p>
      <w:pPr>
        <w:numPr>
          <w:ilvl w:val="0"/>
          <w:numId w:val="1379"/>
        </w:numPr>
        <w:pStyle w:val="Compact"/>
      </w:pPr>
      <w:r>
        <w:t xml:space="preserve">2026 · Bøg M ·</w:t>
      </w:r>
      <w:r>
        <w:t xml:space="preserve"> </w:t>
      </w:r>
      <w:r>
        <w:rPr>
          <w:iCs/>
          <w:i/>
        </w:rPr>
        <w:t xml:space="preserve">Pharmacoeconomics</w:t>
      </w:r>
      <w:r>
        <w:t xml:space="preserve"> </w:t>
      </w:r>
      <w:r>
        <w:t xml:space="preserve">· Development of Cardiovascular Risk Equations in People with Overweight or Obesity and Established Cardiovascular Disease Without Diabetes Based on the SELECT Trial. PMID 41553702</w:t>
      </w:r>
    </w:p>
    <w:p>
      <w:pPr>
        <w:numPr>
          <w:ilvl w:val="0"/>
          <w:numId w:val="1379"/>
        </w:numPr>
        <w:pStyle w:val="Compact"/>
      </w:pPr>
      <w:r>
        <w:t xml:space="preserve">2026 · Ajmera V ·</w:t>
      </w:r>
      <w:r>
        <w:t xml:space="preserve"> </w:t>
      </w:r>
      <w:r>
        <w:rPr>
          <w:iCs/>
          <w:i/>
        </w:rPr>
        <w:t xml:space="preserve">Aliment Pharmacol Ther</w:t>
      </w:r>
      <w:r>
        <w:t xml:space="preserve"> </w:t>
      </w:r>
      <w:r>
        <w:t xml:space="preserve">· Clinical Trial: Semaglutide Versus Placebo in NIT-Assessed MASH-A Multicenter Randomised Placebo-Controlled Trial (SAMARA). PMID 41527269</w:t>
      </w:r>
    </w:p>
    <w:p>
      <w:pPr>
        <w:numPr>
          <w:ilvl w:val="0"/>
          <w:numId w:val="1379"/>
        </w:numPr>
        <w:pStyle w:val="Compact"/>
      </w:pPr>
      <w:r>
        <w:t xml:space="preserve">2026 · Stefanakis K ·</w:t>
      </w:r>
      <w:r>
        <w:t xml:space="preserve"> </w:t>
      </w:r>
      <w:r>
        <w:rPr>
          <w:iCs/>
          <w:i/>
        </w:rPr>
        <w:t xml:space="preserve">Metabolism</w:t>
      </w:r>
      <w:r>
        <w:t xml:space="preserve"> </w:t>
      </w:r>
      <w:r>
        <w:t xml:space="preserve">· Proteomic effects of short-term liraglutide vs. placebo in a blinded crossover RCT: Implications for efficacy, safety, and comparison with semaglutide. PMID 41513169</w:t>
      </w:r>
    </w:p>
    <w:p>
      <w:pPr>
        <w:numPr>
          <w:ilvl w:val="0"/>
          <w:numId w:val="1379"/>
        </w:numPr>
        <w:pStyle w:val="Compact"/>
      </w:pPr>
      <w:r>
        <w:t xml:space="preserve">2026 · Ferrulli A ·</w:t>
      </w:r>
      <w:r>
        <w:t xml:space="preserve"> </w:t>
      </w:r>
      <w:r>
        <w:rPr>
          <w:iCs/>
          <w:i/>
        </w:rPr>
        <w:t xml:space="preserve">Obesity (Silver Spring)</w:t>
      </w:r>
      <w:r>
        <w:t xml:space="preserve"> </w:t>
      </w:r>
      <w:r>
        <w:t xml:space="preserve">· Weight Loss With SGLT2 Inhibitors, Semaglutide, and Transcranial Magnetic Stimulation in Type 2 Diabetes and Obesity. PMID 41451880</w:t>
      </w:r>
    </w:p>
    <w:p>
      <w:pPr>
        <w:numPr>
          <w:ilvl w:val="0"/>
          <w:numId w:val="1379"/>
        </w:numPr>
        <w:pStyle w:val="Compact"/>
      </w:pPr>
      <w:r>
        <w:t xml:space="preserve">2026 · Nicholls SJ ·</w:t>
      </w:r>
      <w:r>
        <w:t xml:space="preserve"> </w:t>
      </w:r>
      <w:r>
        <w:rPr>
          <w:iCs/>
          <w:i/>
        </w:rPr>
        <w:t xml:space="preserve">JAMA Cardiol</w:t>
      </w:r>
      <w:r>
        <w:t xml:space="preserve"> </w:t>
      </w:r>
      <w:r>
        <w:t xml:space="preserve">· Semaglutide and Hospitalizations in Patients With Obesity and Established Cardiovascular Disease: An Exploratory Analysis of the SELECT Randomized Clinical Trial. PMID 41433034</w:t>
      </w:r>
    </w:p>
    <w:p>
      <w:pPr>
        <w:numPr>
          <w:ilvl w:val="0"/>
          <w:numId w:val="1379"/>
        </w:numPr>
        <w:pStyle w:val="Compact"/>
      </w:pPr>
      <w:r>
        <w:t xml:space="preserve">2026 · Karakus KE ·</w:t>
      </w:r>
      <w:r>
        <w:t xml:space="preserve"> </w:t>
      </w:r>
      <w:r>
        <w:rPr>
          <w:iCs/>
          <w:i/>
        </w:rPr>
        <w:t xml:space="preserve">Diabetes Care</w:t>
      </w:r>
      <w:r>
        <w:t xml:space="preserve"> </w:t>
      </w:r>
      <w:r>
        <w:t xml:space="preserve">· Effect of Semaglutide on Insulin Dose Reduction in Adults With Type 1 Diabetes and Obesity Using Automated Insulin Delivery Systems: ADJUST-T1D Post Hoc Analysis. PMID 41429002</w:t>
      </w:r>
    </w:p>
    <w:p>
      <w:pPr>
        <w:numPr>
          <w:ilvl w:val="0"/>
          <w:numId w:val="1379"/>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79"/>
        </w:numPr>
        <w:pStyle w:val="Compact"/>
      </w:pPr>
      <w:r>
        <w:t xml:space="preserve">2026 · Mann JFE ·</w:t>
      </w:r>
      <w:r>
        <w:t xml:space="preserve"> </w:t>
      </w:r>
      <w:r>
        <w:rPr>
          <w:iCs/>
          <w:i/>
        </w:rPr>
        <w:t xml:space="preserve">Diabetes Care</w:t>
      </w:r>
      <w:r>
        <w:t xml:space="preserve"> </w:t>
      </w:r>
      <w:r>
        <w:t xml:space="preserve">· Impact of Oral Semaglutide on Kidney Outcomes in People With Type 2 Diabetes: Results From the SOUL Randomized Trial. PMID 41380027</w:t>
      </w:r>
    </w:p>
    <w:p>
      <w:pPr>
        <w:numPr>
          <w:ilvl w:val="0"/>
          <w:numId w:val="1379"/>
        </w:numPr>
        <w:pStyle w:val="Compact"/>
      </w:pPr>
      <w:r>
        <w:t xml:space="preserve">2026 · Sass MR ·</w:t>
      </w:r>
      <w:r>
        <w:t xml:space="preserve"> </w:t>
      </w:r>
      <w:r>
        <w:rPr>
          <w:iCs/>
          <w:i/>
        </w:rPr>
        <w:t xml:space="preserve">JAMA Psychiatry</w:t>
      </w:r>
      <w:r>
        <w:t xml:space="preserve"> </w:t>
      </w:r>
      <w:r>
        <w:t xml:space="preserve">· Semaglutide and Early-Stage Metabolic Abnormalities in Individuals With Schizophrenia Spectrum Disorders: A Randomized Clinical Trial. PMID 41335431</w:t>
      </w:r>
    </w:p>
    <w:p>
      <w:pPr>
        <w:numPr>
          <w:ilvl w:val="0"/>
          <w:numId w:val="1379"/>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79"/>
        </w:numPr>
        <w:pStyle w:val="Compact"/>
      </w:pPr>
      <w:r>
        <w:t xml:space="preserve">2026 · Arslanian S ·</w:t>
      </w:r>
      <w:r>
        <w:t xml:space="preserve"> </w:t>
      </w:r>
      <w:r>
        <w:rPr>
          <w:iCs/>
          <w:i/>
        </w:rPr>
        <w:t xml:space="preserve">Diabetes Care</w:t>
      </w:r>
      <w:r>
        <w:t xml:space="preserve"> </w:t>
      </w:r>
      <w:r>
        <w:t xml:space="preserve">· Effect of Semaglutide on Insulin Sensitivity and Cardiometabolic Risk Factors in Adolescents With Obesity: The STEP TEENS Study. PMID 41296499</w:t>
      </w:r>
    </w:p>
    <w:p>
      <w:pPr>
        <w:numPr>
          <w:ilvl w:val="0"/>
          <w:numId w:val="1379"/>
        </w:numPr>
        <w:pStyle w:val="Compact"/>
      </w:pPr>
      <w:r>
        <w:t xml:space="preserve">2026 · Badulescu S ·</w:t>
      </w:r>
      <w:r>
        <w:t xml:space="preserve"> </w:t>
      </w:r>
      <w:r>
        <w:rPr>
          <w:iCs/>
          <w:i/>
        </w:rPr>
        <w:t xml:space="preserve">Med</w:t>
      </w:r>
      <w:r>
        <w:t xml:space="preserve"> </w:t>
      </w:r>
      <w:r>
        <w:t xml:space="preserve">· Semaglutide for the treatment of cognitive dysfunction in major depressive disorder: A randomized clinical trial. PMID 41218611</w:t>
      </w:r>
    </w:p>
    <w:p>
      <w:pPr>
        <w:numPr>
          <w:ilvl w:val="0"/>
          <w:numId w:val="1379"/>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79"/>
        </w:numPr>
        <w:pStyle w:val="Compact"/>
      </w:pPr>
      <w:r>
        <w:t xml:space="preserve">2026 · Pasqua MR ·</w:t>
      </w:r>
      <w:r>
        <w:t xml:space="preserve"> </w:t>
      </w:r>
      <w:r>
        <w:rPr>
          <w:iCs/>
          <w:i/>
        </w:rPr>
        <w:t xml:space="preserve">Can J Diabetes</w:t>
      </w:r>
      <w:r>
        <w:t xml:space="preserve"> </w:t>
      </w:r>
      <w:r>
        <w:t xml:space="preserve">· Semaglutide Use With Automated Insulin Delivery in Adults With Type 1 Diabetes: Qualitative Analyses and Patient-reported Outcomes From a Randomized Controlled Trial. PMID 41175929</w:t>
      </w:r>
    </w:p>
    <w:p>
      <w:pPr>
        <w:numPr>
          <w:ilvl w:val="0"/>
          <w:numId w:val="1379"/>
        </w:numPr>
        <w:pStyle w:val="Compact"/>
      </w:pPr>
      <w:r>
        <w:t xml:space="preserve">2026 · Pasqua MR ·</w:t>
      </w:r>
      <w:r>
        <w:t xml:space="preserve"> </w:t>
      </w:r>
      <w:r>
        <w:rPr>
          <w:iCs/>
          <w:i/>
        </w:rPr>
        <w:t xml:space="preserve">Diabetes Obes Metab</w:t>
      </w:r>
      <w:r>
        <w:t xml:space="preserve"> </w:t>
      </w:r>
      <w:r>
        <w:t xml:space="preserve">· Changes to insulin requirements over time with semaglutide in adults with type 1 diabetes on insulin pump therapy: A post-hoc analysis of a double-blinded, randomised, crossover trial. PMID 41144928</w:t>
      </w:r>
    </w:p>
    <w:p>
      <w:pPr>
        <w:numPr>
          <w:ilvl w:val="0"/>
          <w:numId w:val="1379"/>
        </w:numPr>
        <w:pStyle w:val="Compact"/>
      </w:pPr>
      <w:r>
        <w:t xml:space="preserve">2026 · Atieh O ·</w:t>
      </w:r>
      <w:r>
        <w:t xml:space="preserve"> </w:t>
      </w:r>
      <w:r>
        <w:rPr>
          <w:iCs/>
          <w:i/>
        </w:rPr>
        <w:t xml:space="preserve">Clin Infect Dis</w:t>
      </w:r>
      <w:r>
        <w:t xml:space="preserve"> </w:t>
      </w:r>
      <w:r>
        <w:t xml:space="preserve">· Effects of Semaglutide on Cognitive Function in People With HIV: A Randomized, Controlled Trial. PMID 41098140</w:t>
      </w:r>
    </w:p>
    <w:p>
      <w:pPr>
        <w:numPr>
          <w:ilvl w:val="0"/>
          <w:numId w:val="1379"/>
        </w:numPr>
        <w:pStyle w:val="Compact"/>
      </w:pPr>
      <w:r>
        <w:t xml:space="preserve">2026 · Katrevula A ·</w:t>
      </w:r>
      <w:r>
        <w:t xml:space="preserve"> </w:t>
      </w:r>
      <w:r>
        <w:rPr>
          <w:iCs/>
          <w:i/>
        </w:rPr>
        <w:t xml:space="preserve">Indian J Gastroenterol</w:t>
      </w:r>
      <w:r>
        <w:t xml:space="preserve"> </w:t>
      </w:r>
      <w:r>
        <w:t xml:space="preserve">· Oral semaglutide for weight loss and liver fibrosis in overweight and obesity: A randomized controlled trial. PMID 41066034</w:t>
      </w:r>
    </w:p>
    <w:p>
      <w:pPr>
        <w:numPr>
          <w:ilvl w:val="0"/>
          <w:numId w:val="1379"/>
        </w:numPr>
        <w:pStyle w:val="Compact"/>
      </w:pPr>
      <w:r>
        <w:t xml:space="preserve">2026 · Nitze LM ·</w:t>
      </w:r>
      <w:r>
        <w:t xml:space="preserve"> </w:t>
      </w:r>
      <w:r>
        <w:rPr>
          <w:iCs/>
          <w:i/>
        </w:rPr>
        <w:t xml:space="preserve">Aliment Pharmacol Ther</w:t>
      </w:r>
      <w:r>
        <w:t xml:space="preserve"> </w:t>
      </w:r>
      <w:r>
        <w:t xml:space="preserve">· Exploration of Multiple Non-Invasive Tests for Assessing Response to Treatment in a Semaglutide Phase 2b Trial in Patients with MASH. PMID 40985232</w:t>
      </w:r>
    </w:p>
    <w:p>
      <w:pPr>
        <w:numPr>
          <w:ilvl w:val="0"/>
          <w:numId w:val="1379"/>
        </w:numPr>
        <w:pStyle w:val="Compact"/>
      </w:pPr>
      <w:r>
        <w:t xml:space="preserve">2026 · Park B ·</w:t>
      </w:r>
      <w:r>
        <w:t xml:space="preserve"> </w:t>
      </w:r>
      <w:r>
        <w:rPr>
          <w:iCs/>
          <w:i/>
        </w:rPr>
        <w:t xml:space="preserve">Eur Heart J</w:t>
      </w:r>
      <w:r>
        <w:t xml:space="preserve"> </w:t>
      </w:r>
      <w:r>
        <w:t xml:space="preserve">· Semaglutide promotes bone marrow-derived progenitor cell flux towards an anti-inflammatory and pro-regenerative profile in high-risk patients: the SEMA-VR CardioLink-15 trial. PMID 40886061</w:t>
      </w:r>
    </w:p>
    <w:p>
      <w:pPr>
        <w:numPr>
          <w:ilvl w:val="0"/>
          <w:numId w:val="1379"/>
        </w:numPr>
        <w:pStyle w:val="Compact"/>
      </w:pPr>
      <w:r>
        <w:t xml:space="preserve">2025 · Youovop J ·</w:t>
      </w:r>
      <w:r>
        <w:t xml:space="preserve"> </w:t>
      </w:r>
      <w:r>
        <w:rPr>
          <w:iCs/>
          <w:i/>
        </w:rPr>
        <w:t xml:space="preserve">Medicina (Kaunas)</w:t>
      </w:r>
      <w:r>
        <w:t xml:space="preserve"> </w:t>
      </w:r>
      <w:r>
        <w:t xml:space="preserve">· Effects of Dichrostachys glomerata and Cissus quadrangularis Extracts on GLP-1 Secretion and DPP-4 Activity in Overweight and Obese Individuals: A Randomized Controlled Trial. PMID 41597327</w:t>
      </w:r>
    </w:p>
    <w:p>
      <w:pPr>
        <w:numPr>
          <w:ilvl w:val="0"/>
          <w:numId w:val="1379"/>
        </w:numPr>
        <w:pStyle w:val="Compact"/>
      </w:pPr>
      <w:r>
        <w:t xml:space="preserve">2025 · Rossing P ·</w:t>
      </w:r>
      <w:r>
        <w:t xml:space="preserve"> </w:t>
      </w:r>
      <w:r>
        <w:rPr>
          <w:iCs/>
          <w:i/>
        </w:rPr>
        <w:t xml:space="preserve">Cardiovasc Diabetol</w:t>
      </w:r>
      <w:r>
        <w:t xml:space="preserve"> </w:t>
      </w:r>
      <w:r>
        <w:t xml:space="preserve">· Once-weekly semaglutide versus placebo for the treatment of type 2 diabetes and chronic kidney disease in Denmark: A long-term cost-effectiveness analysis based on FLOW. PMID 41422027</w:t>
      </w:r>
    </w:p>
    <w:p>
      <w:pPr>
        <w:numPr>
          <w:ilvl w:val="0"/>
          <w:numId w:val="1379"/>
        </w:numPr>
        <w:pStyle w:val="Compact"/>
      </w:pPr>
      <w:r>
        <w:t xml:space="preserve">2025 · Wang H ·</w:t>
      </w:r>
      <w:r>
        <w:t xml:space="preserve"> </w:t>
      </w:r>
      <w:r>
        <w:rPr>
          <w:iCs/>
          <w:i/>
        </w:rPr>
        <w:t xml:space="preserve">Nat Commun</w:t>
      </w:r>
      <w:r>
        <w:t xml:space="preserve"> </w:t>
      </w:r>
      <w:r>
        <w:t xml:space="preserve">· Glucagon-like peptide-1 receptor agonist in large vessel occlusion treated by reperfusion therapy-a phase 2 randomized trial. PMID 41392086</w:t>
      </w:r>
    </w:p>
    <w:p>
      <w:pPr>
        <w:numPr>
          <w:ilvl w:val="0"/>
          <w:numId w:val="1379"/>
        </w:numPr>
        <w:pStyle w:val="Compact"/>
      </w:pPr>
      <w:r>
        <w:t xml:space="preserve">2025 · Pandey A ·</w:t>
      </w:r>
      <w:r>
        <w:t xml:space="preserve"> </w:t>
      </w:r>
      <w:r>
        <w:rPr>
          <w:iCs/>
          <w:i/>
        </w:rPr>
        <w:t xml:space="preserve">Eur J Heart Fail</w:t>
      </w:r>
      <w:r>
        <w:t xml:space="preserve"> </w:t>
      </w:r>
      <w:r>
        <w:t xml:space="preserve">· Effects of semaglutide in obesity-related heart failure with preserved ejection fraction across the age spectrum: Findings from the STEP-HFpEF programme. PMID 41290376</w:t>
      </w:r>
    </w:p>
    <w:p>
      <w:pPr>
        <w:numPr>
          <w:ilvl w:val="0"/>
          <w:numId w:val="1379"/>
        </w:numPr>
        <w:pStyle w:val="Compact"/>
      </w:pPr>
      <w:r>
        <w:t xml:space="preserve">2025 · Barakat KE ·</w:t>
      </w:r>
      <w:r>
        <w:t xml:space="preserve"> </w:t>
      </w:r>
      <w:r>
        <w:rPr>
          <w:iCs/>
          <w:i/>
        </w:rPr>
        <w:t xml:space="preserve">Obes Surg</w:t>
      </w:r>
      <w:r>
        <w:t xml:space="preserve"> </w:t>
      </w:r>
      <w:r>
        <w:t xml:space="preserve">· Adjunctive Semaglutide in Patients Undergoing Intragastric Balloon for Weight Loss: 12-Month Prospective Comparative Study. PMID 41212463</w:t>
      </w:r>
    </w:p>
    <w:p>
      <w:pPr>
        <w:numPr>
          <w:ilvl w:val="0"/>
          <w:numId w:val="1379"/>
        </w:numPr>
        <w:pStyle w:val="Compact"/>
      </w:pPr>
      <w:r>
        <w:t xml:space="preserve">2025 · Kattinakere Sreedhara S ·</w:t>
      </w:r>
      <w:r>
        <w:t xml:space="preserve"> </w:t>
      </w:r>
      <w:r>
        <w:rPr>
          <w:iCs/>
          <w:i/>
        </w:rPr>
        <w:t xml:space="preserve">BMJ Open Diabetes Res Care</w:t>
      </w:r>
      <w:r>
        <w:t xml:space="preserve"> </w:t>
      </w:r>
      <w:r>
        <w:t xml:space="preserve">· Using real-world data to predict findings of an ongoing phase IV trial: glycemic control of semaglutide versus standard of care. PMID 41161770</w:t>
      </w:r>
    </w:p>
    <w:p>
      <w:pPr>
        <w:numPr>
          <w:ilvl w:val="0"/>
          <w:numId w:val="1379"/>
        </w:numPr>
        <w:pStyle w:val="Compact"/>
      </w:pPr>
      <w:r>
        <w:t xml:space="preserve">2025 · Deanfield J ·</w:t>
      </w:r>
      <w:r>
        <w:t xml:space="preserve"> </w:t>
      </w:r>
      <w:r>
        <w:rPr>
          <w:iCs/>
          <w:i/>
        </w:rPr>
        <w:t xml:space="preserve">Lancet</w:t>
      </w:r>
      <w:r>
        <w:t xml:space="preserve"> </w:t>
      </w:r>
      <w:r>
        <w:t xml:space="preserve">· Semaglutide and cardiovascular outcomes by baseline and changes in adiposity measurements: a prespecified analysis of the SELECT trial. PMID 41138739</w:t>
      </w:r>
    </w:p>
    <w:p>
      <w:pPr>
        <w:numPr>
          <w:ilvl w:val="0"/>
          <w:numId w:val="1379"/>
        </w:numPr>
        <w:pStyle w:val="Compact"/>
      </w:pPr>
      <w:r>
        <w:t xml:space="preserve">2025 · Buse JB ·</w:t>
      </w:r>
      <w:r>
        <w:t xml:space="preserve"> </w:t>
      </w:r>
      <w:r>
        <w:rPr>
          <w:iCs/>
          <w:i/>
        </w:rPr>
        <w:t xml:space="preserve">BMJ Open Diabetes Res Care</w:t>
      </w:r>
      <w:r>
        <w:t xml:space="preserve"> </w:t>
      </w:r>
      <w:r>
        <w:t xml:space="preserve">· Long-term comparative effectiveness of once-weekly semaglutide versus alternative treatments in a real-world US adult population with type 2 diabetes: a randomized pragmatic clinical trial. PMID 41093600</w:t>
      </w:r>
    </w:p>
    <w:p>
      <w:pPr>
        <w:numPr>
          <w:ilvl w:val="0"/>
          <w:numId w:val="1379"/>
        </w:numPr>
        <w:pStyle w:val="Compact"/>
      </w:pPr>
      <w:r>
        <w:t xml:space="preserve">2025 · Borlaug BA ·</w:t>
      </w:r>
      <w:r>
        <w:t xml:space="preserve"> </w:t>
      </w:r>
      <w:r>
        <w:rPr>
          <w:iCs/>
          <w:i/>
        </w:rPr>
        <w:t xml:space="preserve">JACC Heart Fail</w:t>
      </w:r>
      <w:r>
        <w:t xml:space="preserve"> </w:t>
      </w:r>
      <w:r>
        <w:t xml:space="preserve">· Semaglutide and Exercise Function in Obesity-Related HFpEF: Insights From the STEP-HFpEF Program. PMID 41045908</w:t>
      </w:r>
    </w:p>
    <w:p>
      <w:pPr>
        <w:numPr>
          <w:ilvl w:val="0"/>
          <w:numId w:val="1379"/>
        </w:numPr>
        <w:pStyle w:val="Compact"/>
      </w:pPr>
      <w:r>
        <w:t xml:space="preserve">2025 · Lingvay I ·</w:t>
      </w:r>
      <w:r>
        <w:t xml:space="preserve"> </w:t>
      </w:r>
      <w:r>
        <w:rPr>
          <w:iCs/>
          <w:i/>
        </w:rPr>
        <w:t xml:space="preserve">Lancet Diabetes Endocrinol</w:t>
      </w:r>
      <w:r>
        <w:t xml:space="preserve"> </w:t>
      </w:r>
      <w:r>
        <w:t xml:space="preserve">· Once-weekly semaglutide 7·2 mg in adults with obesity and type 2 diabetes (STEP UP T2D): a randomised, controlled, phase 3b trial. PMID 40961953</w:t>
      </w:r>
    </w:p>
    <w:p>
      <w:pPr>
        <w:numPr>
          <w:ilvl w:val="0"/>
          <w:numId w:val="1379"/>
        </w:numPr>
        <w:pStyle w:val="Compact"/>
      </w:pPr>
      <w:r>
        <w:t xml:space="preserve">2025 · Wharton S ·</w:t>
      </w:r>
      <w:r>
        <w:t xml:space="preserve"> </w:t>
      </w:r>
      <w:r>
        <w:rPr>
          <w:iCs/>
          <w:i/>
        </w:rPr>
        <w:t xml:space="preserve">Lancet Diabetes Endocrinol</w:t>
      </w:r>
      <w:r>
        <w:t xml:space="preserve"> </w:t>
      </w:r>
      <w:r>
        <w:t xml:space="preserve">· Once-weekly semaglutide 7·2 mg in adults with obesity (STEP UP): a randomised, controlled, phase 3b trial. PMID 40961952</w:t>
      </w:r>
    </w:p>
    <w:p>
      <w:pPr>
        <w:numPr>
          <w:ilvl w:val="0"/>
          <w:numId w:val="1379"/>
        </w:numPr>
        <w:pStyle w:val="Compact"/>
      </w:pPr>
      <w:r>
        <w:t xml:space="preserve">2025 · Pandey A ·</w:t>
      </w:r>
      <w:r>
        <w:t xml:space="preserve"> </w:t>
      </w:r>
      <w:r>
        <w:rPr>
          <w:iCs/>
          <w:i/>
        </w:rPr>
        <w:t xml:space="preserve">JACC Heart Fail</w:t>
      </w:r>
      <w:r>
        <w:t xml:space="preserve"> </w:t>
      </w:r>
      <w:r>
        <w:t xml:space="preserve">· Frailty and Effects of Semaglutide in Obesity-Related HFpEF: Findings From the STEP-HFpEF Program. PMID 40956259</w:t>
      </w:r>
    </w:p>
    <w:p>
      <w:pPr>
        <w:numPr>
          <w:ilvl w:val="0"/>
          <w:numId w:val="1379"/>
        </w:numPr>
        <w:pStyle w:val="Compact"/>
      </w:pPr>
      <w:r>
        <w:t xml:space="preserve">2025 · Wharton S ·</w:t>
      </w:r>
      <w:r>
        <w:t xml:space="preserve"> </w:t>
      </w:r>
      <w:r>
        <w:rPr>
          <w:iCs/>
          <w:i/>
        </w:rPr>
        <w:t xml:space="preserve">N Engl J Med</w:t>
      </w:r>
      <w:r>
        <w:t xml:space="preserve"> </w:t>
      </w:r>
      <w:r>
        <w:t xml:space="preserve">· Oral Semaglutide at a Dose of 25 mg in Adults with Overweight or Obesity. PMID 40934115</w:t>
      </w:r>
    </w:p>
    <w:p>
      <w:pPr>
        <w:numPr>
          <w:ilvl w:val="0"/>
          <w:numId w:val="1379"/>
        </w:numPr>
        <w:pStyle w:val="Compact"/>
      </w:pPr>
      <w:r>
        <w:t xml:space="preserve">2025 · Ganeshalingam AA ·</w:t>
      </w:r>
      <w:r>
        <w:t xml:space="preserve"> </w:t>
      </w:r>
      <w:r>
        <w:rPr>
          <w:iCs/>
          <w:i/>
        </w:rPr>
        <w:t xml:space="preserve">JAMA Psychiatry</w:t>
      </w:r>
      <w:r>
        <w:t xml:space="preserve"> </w:t>
      </w:r>
      <w:r>
        <w:t xml:space="preserve">· Semaglutide Treatment of Antipsychotic-Treated Patients With Schizophrenia, Prediabetes, and Obesity: The HISTORI Randomized Clinical Trial. PMID 40900607</w:t>
      </w:r>
    </w:p>
    <w:p>
      <w:pPr>
        <w:numPr>
          <w:ilvl w:val="0"/>
          <w:numId w:val="1379"/>
        </w:numPr>
        <w:pStyle w:val="Compact"/>
      </w:pPr>
      <w:r>
        <w:t xml:space="preserve">2025 · Verma S ·</w:t>
      </w:r>
      <w:r>
        <w:t xml:space="preserve"> </w:t>
      </w:r>
      <w:r>
        <w:rPr>
          <w:iCs/>
          <w:i/>
        </w:rPr>
        <w:t xml:space="preserve">J Am Coll Cardiol</w:t>
      </w:r>
      <w:r>
        <w:t xml:space="preserve"> </w:t>
      </w:r>
      <w:r>
        <w:t xml:space="preserve">· Sex Differences in Effectiveness of Semaglutide in Patients With Peripheral Artery Disease: The STRIDE Trial. PMID 40892617</w:t>
      </w:r>
    </w:p>
    <w:p>
      <w:pPr>
        <w:numPr>
          <w:ilvl w:val="0"/>
          <w:numId w:val="1379"/>
        </w:numPr>
        <w:pStyle w:val="Compact"/>
      </w:pPr>
      <w:r>
        <w:t xml:space="preserve">2025 · Ji L ·</w:t>
      </w:r>
      <w:r>
        <w:t xml:space="preserve"> </w:t>
      </w:r>
      <w:r>
        <w:rPr>
          <w:iCs/>
          <w:i/>
        </w:rPr>
        <w:t xml:space="preserve">Diabetes Obes Metab</w:t>
      </w:r>
      <w:r>
        <w:t xml:space="preserve"> </w:t>
      </w:r>
      <w:r>
        <w:t xml:space="preserve">· Efficacy and safety of oral semaglutide in Chinese participants with type 2 diabetes: Subgroup analyses by baseline characteristics in the PIONEER 11 and 12 randomised controlled trials. PMID 40843773</w:t>
      </w:r>
    </w:p>
    <w:p>
      <w:pPr>
        <w:numPr>
          <w:ilvl w:val="0"/>
          <w:numId w:val="1379"/>
        </w:numPr>
        <w:pStyle w:val="Compact"/>
      </w:pPr>
      <w:r>
        <w:t xml:space="preserve">2025 · Lim S ·</w:t>
      </w:r>
      <w:r>
        <w:t xml:space="preserve"> </w:t>
      </w:r>
      <w:r>
        <w:rPr>
          <w:iCs/>
          <w:i/>
        </w:rPr>
        <w:t xml:space="preserve">Lancet Diabetes Endocrinol</w:t>
      </w:r>
      <w:r>
        <w:t xml:space="preserve"> </w:t>
      </w:r>
      <w:r>
        <w:t xml:space="preserve">· Once-weekly semaglutide 2·4 mg in an Asian population with obesity, defined as BMI ≥25 kg/m(2), in South Korea and Thailand (STEP 11): a randomised, double-blind, placebo-controlled, phase 3 trial. PMID 40825340</w:t>
      </w:r>
    </w:p>
    <w:p>
      <w:pPr>
        <w:numPr>
          <w:ilvl w:val="0"/>
          <w:numId w:val="1379"/>
        </w:numPr>
        <w:pStyle w:val="Compact"/>
      </w:pPr>
      <w:r>
        <w:t xml:space="preserve">2025 · Kadowaki T ·</w:t>
      </w:r>
      <w:r>
        <w:t xml:space="preserve"> </w:t>
      </w:r>
      <w:r>
        <w:rPr>
          <w:iCs/>
          <w:i/>
        </w:rPr>
        <w:t xml:space="preserve">JAMA Intern Med</w:t>
      </w:r>
      <w:r>
        <w:t xml:space="preserve"> </w:t>
      </w:r>
      <w:r>
        <w:t xml:space="preserve">· Oral Semaglutide in an East Asian Population With Overweight or Obesity, With or Without Type 2 Diabetes: The OASIS 2 Randomized Clinical Trial. PMID 40758358</w:t>
      </w:r>
    </w:p>
    <w:p>
      <w:pPr>
        <w:numPr>
          <w:ilvl w:val="0"/>
          <w:numId w:val="1379"/>
        </w:numPr>
        <w:pStyle w:val="Compact"/>
      </w:pPr>
      <w:r>
        <w:t xml:space="preserve">2025 · Rossing P ·</w:t>
      </w:r>
      <w:r>
        <w:t xml:space="preserve"> </w:t>
      </w:r>
      <w:r>
        <w:rPr>
          <w:iCs/>
          <w:i/>
        </w:rPr>
        <w:t xml:space="preserve">Diabetes Care</w:t>
      </w:r>
      <w:r>
        <w:t xml:space="preserve"> </w:t>
      </w:r>
      <w:r>
        <w:t xml:space="preserve">· Effects of Semaglutide With or Without Concomitant Mineralocorticoid Receptor Antagonist Use in Participants With Type 2 Diabetes and Chronic Kidney Disease: A FLOW Trial Prespecified Secondary Analysis. PMID 40730031</w:t>
      </w:r>
    </w:p>
    <w:p>
      <w:pPr>
        <w:numPr>
          <w:ilvl w:val="0"/>
          <w:numId w:val="1379"/>
        </w:numPr>
        <w:pStyle w:val="Compact"/>
      </w:pPr>
      <w:r>
        <w:t xml:space="preserve">2025 · Chen H ·</w:t>
      </w:r>
      <w:r>
        <w:t xml:space="preserve"> </w:t>
      </w:r>
      <w:r>
        <w:rPr>
          <w:iCs/>
          <w:i/>
        </w:rPr>
        <w:t xml:space="preserve">Reprod Biol Endocrinol</w:t>
      </w:r>
      <w:r>
        <w:t xml:space="preserve"> </w:t>
      </w:r>
      <w:r>
        <w:t xml:space="preserve">· Effects of combined metformin and semaglutide therapy on body weight, metabolic parameters, and reproductive outcomes in overweight/obese women with polycystic ovary syndrome: a prospective, randomized, controlled, open-label clinical trial. PMID 40713699</w:t>
      </w:r>
    </w:p>
    <w:p>
      <w:pPr>
        <w:numPr>
          <w:ilvl w:val="0"/>
          <w:numId w:val="1379"/>
        </w:numPr>
        <w:pStyle w:val="Compact"/>
      </w:pPr>
      <w:r>
        <w:t xml:space="preserve">2025 · Zhou J ·</w:t>
      </w:r>
      <w:r>
        <w:t xml:space="preserve"> </w:t>
      </w:r>
      <w:r>
        <w:rPr>
          <w:iCs/>
          <w:i/>
        </w:rPr>
        <w:t xml:space="preserve">Diabetes Obes Metab</w:t>
      </w:r>
      <w:r>
        <w:t xml:space="preserve"> </w:t>
      </w:r>
      <w:r>
        <w:t xml:space="preserve">· Effect of semaglutide versus placebo on cardiorenal outcomes by prior cardiovascular disease and baseline body mass index: Pooled post hoc analysis of SUSTAIN 6 and PIONEER 6. PMID 40704485</w:t>
      </w:r>
    </w:p>
    <w:p>
      <w:pPr>
        <w:numPr>
          <w:ilvl w:val="0"/>
          <w:numId w:val="1379"/>
        </w:numPr>
        <w:pStyle w:val="Compact"/>
      </w:pPr>
      <w:r>
        <w:t xml:space="preserve">2025 · Eldor R ·</w:t>
      </w:r>
      <w:r>
        <w:t xml:space="preserve"> </w:t>
      </w:r>
      <w:r>
        <w:rPr>
          <w:iCs/>
          <w:i/>
        </w:rPr>
        <w:t xml:space="preserve">Diabetes Care</w:t>
      </w:r>
      <w:r>
        <w:t xml:space="preserve"> </w:t>
      </w:r>
      <w:r>
        <w:t xml:space="preserve">· Gradual Titration of Semaglutide Results in Better Treatment Adherence and Fewer Adverse Events: A Randomized Controlled Open-Label Pilot Study Examining a 16-Week Flexible Titration Regimen Versus Label-Recommended 8-Week Semaglutide Titration Regimen. PMID 40673973</w:t>
      </w:r>
    </w:p>
    <w:p>
      <w:pPr>
        <w:numPr>
          <w:ilvl w:val="0"/>
          <w:numId w:val="1379"/>
        </w:numPr>
        <w:pStyle w:val="Compact"/>
      </w:pPr>
      <w:r>
        <w:t xml:space="preserve">2025 · Tóth LI ·</w:t>
      </w:r>
      <w:r>
        <w:t xml:space="preserve"> </w:t>
      </w:r>
      <w:r>
        <w:rPr>
          <w:iCs/>
          <w:i/>
        </w:rPr>
        <w:t xml:space="preserve">Int J Mol Sci</w:t>
      </w:r>
      <w:r>
        <w:t xml:space="preserve"> </w:t>
      </w:r>
      <w:r>
        <w:t xml:space="preserve">· Semaglutide Improves Lipid Subfraction Profiles in Type 2 Diabetes: Insights from a One-Year Follow-Up Study. PMID 40649729</w:t>
      </w:r>
    </w:p>
    <w:p>
      <w:pPr>
        <w:numPr>
          <w:ilvl w:val="0"/>
          <w:numId w:val="1379"/>
        </w:numPr>
        <w:pStyle w:val="Compact"/>
      </w:pPr>
      <w:r>
        <w:t xml:space="preserve">2025 · Wulff BS ·</w:t>
      </w:r>
      <w:r>
        <w:t xml:space="preserve"> </w:t>
      </w:r>
      <w:r>
        <w:rPr>
          <w:iCs/>
          <w:i/>
        </w:rPr>
        <w:t xml:space="preserve">Obesity (Silver Spring)</w:t>
      </w:r>
      <w:r>
        <w:t xml:space="preserve"> </w:t>
      </w:r>
      <w:r>
        <w:t xml:space="preserve">· Long-acting PYY(3) (-36) analogue with semaglutide for obesity: from preclinical assessment through randomized clinical studies. PMID 40629530</w:t>
      </w:r>
    </w:p>
    <w:p>
      <w:pPr>
        <w:numPr>
          <w:ilvl w:val="0"/>
          <w:numId w:val="1379"/>
        </w:numPr>
        <w:pStyle w:val="Compact"/>
      </w:pPr>
      <w:r>
        <w:t xml:space="preserve">2025 · Shah VN ·</w:t>
      </w:r>
      <w:r>
        <w:t xml:space="preserve"> </w:t>
      </w:r>
      <w:r>
        <w:rPr>
          <w:iCs/>
          <w:i/>
        </w:rPr>
        <w:t xml:space="preserve">NEJM Evid</w:t>
      </w:r>
      <w:r>
        <w:t xml:space="preserve"> </w:t>
      </w:r>
      <w:r>
        <w:t xml:space="preserve">· Semaglutide in Adults with Type 1 Diabetes and Obesity. PMID 40550013</w:t>
      </w:r>
    </w:p>
    <w:p>
      <w:pPr>
        <w:numPr>
          <w:ilvl w:val="0"/>
          <w:numId w:val="1379"/>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79"/>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79"/>
        </w:numPr>
        <w:pStyle w:val="Compact"/>
      </w:pPr>
      <w:r>
        <w:t xml:space="preserve">2025 · Rasouli N ·</w:t>
      </w:r>
      <w:r>
        <w:t xml:space="preserve"> </w:t>
      </w:r>
      <w:r>
        <w:rPr>
          <w:iCs/>
          <w:i/>
        </w:rPr>
        <w:t xml:space="preserve">Diabetes Care</w:t>
      </w:r>
      <w:r>
        <w:t xml:space="preserve"> </w:t>
      </w:r>
      <w:r>
        <w:t xml:space="preserve">· Benefit of Semaglutide in Symptomatic Peripheral Artery Disease by Baseline Type 2 Diabetes Characteristics: Insights From STRIDE, a Randomized, Placebo-Controlled, Double-Blind Trial. PMID 40543068</w:t>
      </w:r>
    </w:p>
    <w:p>
      <w:pPr>
        <w:numPr>
          <w:ilvl w:val="0"/>
          <w:numId w:val="1379"/>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79"/>
        </w:numPr>
        <w:pStyle w:val="Compact"/>
      </w:pPr>
      <w:r>
        <w:t xml:space="preserve">2025 · Siskind D ·</w:t>
      </w:r>
      <w:r>
        <w:t xml:space="preserve"> </w:t>
      </w:r>
      <w:r>
        <w:rPr>
          <w:iCs/>
          <w:i/>
        </w:rPr>
        <w:t xml:space="preserve">Lancet Psychiatry</w:t>
      </w:r>
      <w:r>
        <w:t xml:space="preserve"> </w:t>
      </w:r>
      <w:r>
        <w:t xml:space="preserve">· Efficacy and safety of semaglutide versus placebo for people with schizophrenia on clozapine with obesity (COaST): a phase 2, multi-centre, participant and investigator- blinded, randomised controlled trial in Australia. PMID 40506208</w:t>
      </w:r>
    </w:p>
    <w:p>
      <w:pPr>
        <w:numPr>
          <w:ilvl w:val="0"/>
          <w:numId w:val="1379"/>
        </w:numPr>
        <w:pStyle w:val="Compact"/>
      </w:pPr>
      <w:r>
        <w:t xml:space="preserve">2025 · Mathieu C ·</w:t>
      </w:r>
      <w:r>
        <w:t xml:space="preserve"> </w:t>
      </w:r>
      <w:r>
        <w:rPr>
          <w:iCs/>
          <w:i/>
        </w:rPr>
        <w:t xml:space="preserve">Lancet Diabetes Endocrinol</w:t>
      </w:r>
      <w:r>
        <w:t xml:space="preserve"> </w:t>
      </w:r>
      <w:r>
        <w:t xml:space="preserve">· Once‑weekly IcoSema versus once‑weekly insulin icodec in type 2 diabetes management (COMBINE 1): an open‑label, multicentre, treat‑to‑target, randomised, phase 3a trial. PMID 40482671</w:t>
      </w:r>
    </w:p>
    <w:p>
      <w:pPr>
        <w:numPr>
          <w:ilvl w:val="0"/>
          <w:numId w:val="1379"/>
        </w:numPr>
        <w:pStyle w:val="Compact"/>
      </w:pPr>
      <w:r>
        <w:t xml:space="preserve">2025 · Billings LK ·</w:t>
      </w:r>
      <w:r>
        <w:t xml:space="preserve"> </w:t>
      </w:r>
      <w:r>
        <w:rPr>
          <w:iCs/>
          <w:i/>
        </w:rPr>
        <w:t xml:space="preserve">Lancet Diabetes Endocrinol</w:t>
      </w:r>
      <w:r>
        <w:t xml:space="preserve"> </w:t>
      </w:r>
      <w:r>
        <w:t xml:space="preserve">· Once-weekly IcoSema versus multiple daily insulin injections in type 2 diabetes management (COMBINE 3): an open-label, multicentre, treat-to-target, non-inferiority, randomised, phase 3a trial. PMID 40482670</w:t>
      </w:r>
    </w:p>
    <w:p>
      <w:pPr>
        <w:numPr>
          <w:ilvl w:val="0"/>
          <w:numId w:val="1379"/>
        </w:numPr>
        <w:pStyle w:val="Compact"/>
      </w:pPr>
      <w:r>
        <w:t xml:space="preserve">2025 · von Huth Smith L ·</w:t>
      </w:r>
      <w:r>
        <w:t xml:space="preserve"> </w:t>
      </w:r>
      <w:r>
        <w:rPr>
          <w:iCs/>
          <w:i/>
        </w:rPr>
        <w:t xml:space="preserve">Clin Obes</w:t>
      </w:r>
      <w:r>
        <w:t xml:space="preserve"> </w:t>
      </w:r>
      <w:r>
        <w:t xml:space="preserve">· Impact of weight on daily activities questionnaire in patients with overweight or obesity: Psychometric evaluation using data from the OASIS 1 trial. PMID 40452267</w:t>
      </w:r>
    </w:p>
    <w:p>
      <w:pPr>
        <w:numPr>
          <w:ilvl w:val="0"/>
          <w:numId w:val="1379"/>
        </w:numPr>
        <w:pStyle w:val="Compact"/>
      </w:pPr>
      <w:r>
        <w:t xml:space="preserve">2025 · Bouhajib M ·</w:t>
      </w:r>
      <w:r>
        <w:t xml:space="preserve"> </w:t>
      </w:r>
      <w:r>
        <w:rPr>
          <w:iCs/>
          <w:i/>
        </w:rPr>
        <w:t xml:space="preserve">J Basic Clin Physiol Pharmacol</w:t>
      </w:r>
      <w:r>
        <w:t xml:space="preserve"> </w:t>
      </w:r>
      <w:r>
        <w:t xml:space="preserve">· The pharmacokinetics and comparative bioavailabilty of oral and subcutaneous semaglutide in healthy volunteers. PMID 40425315</w:t>
      </w:r>
    </w:p>
    <w:p>
      <w:pPr>
        <w:numPr>
          <w:ilvl w:val="0"/>
          <w:numId w:val="1379"/>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79"/>
        </w:numPr>
        <w:pStyle w:val="Compact"/>
      </w:pPr>
      <w:r>
        <w:t xml:space="preserve">2025 · James S ·</w:t>
      </w:r>
      <w:r>
        <w:t xml:space="preserve"> </w:t>
      </w:r>
      <w:r>
        <w:rPr>
          <w:iCs/>
          <w:i/>
        </w:rPr>
        <w:t xml:space="preserve">Am Heart J</w:t>
      </w:r>
      <w:r>
        <w:t xml:space="preserve"> </w:t>
      </w:r>
      <w:r>
        <w:t xml:space="preserve">· Effect of once-weekly subcutaneous semaglutide on arterial inflammation in people with type 2 diabetes and cardiovascular disease using PET-MRI: Primary results of a randomized, double-blind, placebo-controlled trial. PMID 40345413</w:t>
      </w:r>
    </w:p>
    <w:p>
      <w:pPr>
        <w:numPr>
          <w:ilvl w:val="0"/>
          <w:numId w:val="1379"/>
        </w:numPr>
        <w:pStyle w:val="Compact"/>
      </w:pPr>
      <w:r>
        <w:t xml:space="preserve">2025 · Yu H ·</w:t>
      </w:r>
      <w:r>
        <w:t xml:space="preserve"> </w:t>
      </w:r>
      <w:r>
        <w:rPr>
          <w:iCs/>
          <w:i/>
        </w:rPr>
        <w:t xml:space="preserve">Br J Clin Pharmacol</w:t>
      </w:r>
      <w:r>
        <w:t xml:space="preserve"> </w:t>
      </w:r>
      <w:r>
        <w:t xml:space="preserve">· Pharmacokinetic-pharmacodynamic (PK/PD) modelling of cotadutide effect in patients with chronic kidney disease and type 2 diabetes mellitus. PMID 40344607</w:t>
      </w:r>
    </w:p>
    <w:p>
      <w:pPr>
        <w:numPr>
          <w:ilvl w:val="0"/>
          <w:numId w:val="1379"/>
        </w:numPr>
        <w:pStyle w:val="Compact"/>
      </w:pPr>
      <w:r>
        <w:t xml:space="preserve">2025 · Jensterle M ·</w:t>
      </w:r>
      <w:r>
        <w:t xml:space="preserve"> </w:t>
      </w:r>
      <w:r>
        <w:rPr>
          <w:iCs/>
          <w:i/>
        </w:rPr>
        <w:t xml:space="preserve">J Clin Endocrinol Metab</w:t>
      </w:r>
      <w:r>
        <w:t xml:space="preserve"> </w:t>
      </w:r>
      <w:r>
        <w:t xml:space="preserve">· Semaglutide and Taste in Women With Obesity and Polycystic Ovary Syndrome: A Randomized Placebo-Controlled Study. PMID 40341357</w:t>
      </w:r>
    </w:p>
    <w:p>
      <w:pPr>
        <w:numPr>
          <w:ilvl w:val="0"/>
          <w:numId w:val="1379"/>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79"/>
        </w:numPr>
        <w:pStyle w:val="Compact"/>
      </w:pPr>
      <w:r>
        <w:t xml:space="preserve">2025 · Sanyal AJ ·</w:t>
      </w:r>
      <w:r>
        <w:t xml:space="preserve"> </w:t>
      </w:r>
      <w:r>
        <w:rPr>
          <w:iCs/>
          <w:i/>
        </w:rPr>
        <w:t xml:space="preserve">N Engl J Med</w:t>
      </w:r>
      <w:r>
        <w:t xml:space="preserve"> </w:t>
      </w:r>
      <w:r>
        <w:t xml:space="preserve">· Phase 3 Trial of Semaglutide in Metabolic Dysfunction-Associated Steatohepatitis. PMID 40305708</w:t>
      </w:r>
    </w:p>
    <w:p>
      <w:pPr>
        <w:numPr>
          <w:ilvl w:val="0"/>
          <w:numId w:val="1379"/>
        </w:numPr>
        <w:pStyle w:val="Compact"/>
      </w:pPr>
      <w:r>
        <w:t xml:space="preserve">2025 · Golub IS ·</w:t>
      </w:r>
      <w:r>
        <w:t xml:space="preserve"> </w:t>
      </w:r>
      <w:r>
        <w:rPr>
          <w:iCs/>
          <w:i/>
        </w:rPr>
        <w:t xml:space="preserve">Nutr Metab Cardiovasc Dis</w:t>
      </w:r>
      <w:r>
        <w:t xml:space="preserve"> </w:t>
      </w:r>
      <w:r>
        <w:t xml:space="preserve">· The impact of semaglutide on liver fat assessed by serial cardiac CT scans in patients with type 2 diabetes: Results from STOP trial. PMID 40287313</w:t>
      </w:r>
    </w:p>
    <w:p>
      <w:pPr>
        <w:numPr>
          <w:ilvl w:val="0"/>
          <w:numId w:val="1379"/>
        </w:numPr>
        <w:pStyle w:val="Compact"/>
      </w:pPr>
      <w:r>
        <w:t xml:space="preserve">2025 · Aroda VR ·</w:t>
      </w:r>
      <w:r>
        <w:t xml:space="preserve"> </w:t>
      </w:r>
      <w:r>
        <w:rPr>
          <w:iCs/>
          <w:i/>
        </w:rPr>
        <w:t xml:space="preserve">Diabetes Care</w:t>
      </w:r>
      <w:r>
        <w:t xml:space="preserve"> </w:t>
      </w:r>
      <w:r>
        <w:t xml:space="preserve">· High-Dose Semaglutide (Up to 16 mg) in People With Type 2 Diabetes and Overweight or Obesity: A Randomized, Placebo-Controlled, Phase 2 Trial. PMID 40279144</w:t>
      </w:r>
    </w:p>
    <w:p>
      <w:pPr>
        <w:numPr>
          <w:ilvl w:val="0"/>
          <w:numId w:val="1379"/>
        </w:numPr>
        <w:pStyle w:val="Compact"/>
      </w:pPr>
      <w:r>
        <w:t xml:space="preserve">2025 · Gullaksen S ·</w:t>
      </w:r>
      <w:r>
        <w:t xml:space="preserve"> </w:t>
      </w:r>
      <w:r>
        <w:rPr>
          <w:iCs/>
          <w:i/>
        </w:rPr>
        <w:t xml:space="preserve">J Diabetes Complications</w:t>
      </w:r>
      <w:r>
        <w:t xml:space="preserve"> </w:t>
      </w:r>
      <w:r>
        <w:t xml:space="preserve">· Semaglutide, central retinal thickness and continuous glucose monitoring in persons with type 2 diabetes: A post-hoc analysis from a randomised trial. PMID 40239470</w:t>
      </w:r>
    </w:p>
    <w:p>
      <w:pPr>
        <w:numPr>
          <w:ilvl w:val="0"/>
          <w:numId w:val="1379"/>
        </w:numPr>
        <w:pStyle w:val="Compact"/>
      </w:pPr>
      <w:r>
        <w:t xml:space="preserve">2025 · Kadowaki T ·</w:t>
      </w:r>
      <w:r>
        <w:t xml:space="preserve"> </w:t>
      </w:r>
      <w:r>
        <w:rPr>
          <w:iCs/>
          <w:i/>
        </w:rPr>
        <w:t xml:space="preserve">Obes Res Clin Pract</w:t>
      </w:r>
      <w:r>
        <w:t xml:space="preserve"> </w:t>
      </w:r>
      <w:r>
        <w:t xml:space="preserve">· Effect of once-weekly subcutaneous semaglutide on abdominal visceral fat area in Japanese adults with overweight and obesity: A post hoc analysis of the STEP 6 trial. PMID 40189961</w:t>
      </w:r>
    </w:p>
    <w:p>
      <w:pPr>
        <w:numPr>
          <w:ilvl w:val="0"/>
          <w:numId w:val="1379"/>
        </w:numPr>
        <w:pStyle w:val="Compact"/>
      </w:pPr>
      <w:r>
        <w:t xml:space="preserve">2025 · Bonaca MP ·</w:t>
      </w:r>
      <w:r>
        <w:t xml:space="preserve"> </w:t>
      </w:r>
      <w:r>
        <w:rPr>
          <w:iCs/>
          <w:i/>
        </w:rPr>
        <w:t xml:space="preserve">Lancet</w:t>
      </w:r>
      <w:r>
        <w:t xml:space="preserve"> </w:t>
      </w:r>
      <w:r>
        <w:t xml:space="preserve">· Semaglutide and walking capacity in people with symptomatic peripheral artery disease and type 2 diabetes (STRIDE): a phase 3b, double-blind, randomised, placebo-controlled trial. PMID 40169145</w:t>
      </w:r>
    </w:p>
    <w:p>
      <w:pPr>
        <w:numPr>
          <w:ilvl w:val="0"/>
          <w:numId w:val="1379"/>
        </w:numPr>
        <w:pStyle w:val="Compact"/>
      </w:pPr>
      <w:r>
        <w:t xml:space="preserve">2025 · McGuire DK ·</w:t>
      </w:r>
      <w:r>
        <w:t xml:space="preserve"> </w:t>
      </w:r>
      <w:r>
        <w:rPr>
          <w:iCs/>
          <w:i/>
        </w:rPr>
        <w:t xml:space="preserve">N Engl J Med</w:t>
      </w:r>
      <w:r>
        <w:t xml:space="preserve"> </w:t>
      </w:r>
      <w:r>
        <w:t xml:space="preserve">· Oral Semaglutide and Cardiovascular Outcomes in High-Risk Type 2 Diabetes. PMID 40162642</w:t>
      </w:r>
    </w:p>
    <w:p>
      <w:pPr>
        <w:numPr>
          <w:ilvl w:val="0"/>
          <w:numId w:val="1379"/>
        </w:numPr>
        <w:pStyle w:val="Compact"/>
      </w:pPr>
      <w:r>
        <w:t xml:space="preserve">2025 · Marx N ·</w:t>
      </w:r>
      <w:r>
        <w:t xml:space="preserve"> </w:t>
      </w:r>
      <w:r>
        <w:rPr>
          <w:iCs/>
          <w:i/>
        </w:rPr>
        <w:t xml:space="preserve">Circulation</w:t>
      </w:r>
      <w:r>
        <w:t xml:space="preserve"> </w:t>
      </w:r>
      <w:r>
        <w:t xml:space="preserve">· Oral Semaglutide and Cardiovascular Outcomes in People With Type 2 Diabetes, According to SGLT2i Use: Prespecified Analyses of the SOUL Randomized Trial. PMID 40156843</w:t>
      </w:r>
    </w:p>
    <w:p>
      <w:pPr>
        <w:numPr>
          <w:ilvl w:val="0"/>
          <w:numId w:val="1379"/>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79"/>
        </w:numPr>
        <w:pStyle w:val="Compact"/>
      </w:pPr>
      <w:r>
        <w:t xml:space="preserve">2025 · Gu W ·</w:t>
      </w:r>
      <w:r>
        <w:t xml:space="preserve"> </w:t>
      </w:r>
      <w:r>
        <w:rPr>
          <w:iCs/>
          <w:i/>
        </w:rPr>
        <w:t xml:space="preserve">Diabetes Obes Metab</w:t>
      </w:r>
      <w:r>
        <w:t xml:space="preserve"> </w:t>
      </w:r>
      <w:r>
        <w:t xml:space="preserve">· Efficacy and safety of once-weekly semaglutide 2.4 mg for weight management in participants from China: A prespecified analysis of the STEP 7 randomized clinical trial. PMID 40069849</w:t>
      </w:r>
    </w:p>
    <w:p>
      <w:pPr>
        <w:numPr>
          <w:ilvl w:val="0"/>
          <w:numId w:val="1379"/>
        </w:numPr>
        <w:pStyle w:val="Compact"/>
      </w:pPr>
      <w:r>
        <w:t xml:space="preserve">2025 · Kushner RF ·</w:t>
      </w:r>
      <w:r>
        <w:t xml:space="preserve"> </w:t>
      </w:r>
      <w:r>
        <w:rPr>
          <w:iCs/>
          <w:i/>
        </w:rPr>
        <w:t xml:space="preserve">Obesity (Silver Spring)</w:t>
      </w:r>
      <w:r>
        <w:t xml:space="preserve"> </w:t>
      </w:r>
      <w:r>
        <w:t xml:space="preserve">· Safety profile of semaglutide versus placebo in the SELECT study: a randomized controlled trial. PMID 39948761</w:t>
      </w:r>
    </w:p>
    <w:p>
      <w:pPr>
        <w:numPr>
          <w:ilvl w:val="0"/>
          <w:numId w:val="1379"/>
        </w:numPr>
        <w:pStyle w:val="Compact"/>
      </w:pPr>
      <w:r>
        <w:t xml:space="preserve">2025 · Hendershot CS ·</w:t>
      </w:r>
      <w:r>
        <w:t xml:space="preserve"> </w:t>
      </w:r>
      <w:r>
        <w:rPr>
          <w:iCs/>
          <w:i/>
        </w:rPr>
        <w:t xml:space="preserve">JAMA Psychiatry</w:t>
      </w:r>
      <w:r>
        <w:t xml:space="preserve"> </w:t>
      </w:r>
      <w:r>
        <w:t xml:space="preserve">· Once-Weekly Semaglutide in Adults With Alcohol Use Disorder: A Randomized Clinical Trial. PMID 39937469</w:t>
      </w:r>
    </w:p>
    <w:p>
      <w:pPr>
        <w:numPr>
          <w:ilvl w:val="0"/>
          <w:numId w:val="1379"/>
        </w:numPr>
        <w:pStyle w:val="Compact"/>
      </w:pPr>
      <w:r>
        <w:t xml:space="preserve">2025 · McEwan P ·</w:t>
      </w:r>
      <w:r>
        <w:t xml:space="preserve"> </w:t>
      </w:r>
      <w:r>
        <w:rPr>
          <w:iCs/>
          <w:i/>
        </w:rPr>
        <w:t xml:space="preserve">J Med Econ</w:t>
      </w:r>
      <w:r>
        <w:t xml:space="preserve"> </w:t>
      </w:r>
      <w:r>
        <w:t xml:space="preserve">· Cost-effectiveness of semaglutide in people with obesity and cardiovascular disease without diabetes. PMID 39882599</w:t>
      </w:r>
    </w:p>
    <w:p>
      <w:pPr>
        <w:numPr>
          <w:ilvl w:val="0"/>
          <w:numId w:val="1379"/>
        </w:numPr>
        <w:pStyle w:val="Compact"/>
      </w:pPr>
      <w:r>
        <w:t xml:space="preserve">2025 · Petković-Dabić J ·</w:t>
      </w:r>
      <w:r>
        <w:t xml:space="preserve"> </w:t>
      </w:r>
      <w:r>
        <w:rPr>
          <w:iCs/>
          <w:i/>
        </w:rPr>
        <w:t xml:space="preserve">Biomolecules</w:t>
      </w:r>
      <w:r>
        <w:t xml:space="preserve"> </w:t>
      </w:r>
      <w:r>
        <w:t xml:space="preserve">· Effects of Semaglutide Treatment on Psoriatic Lesions in Obese Patients with Type 2 Diabetes Mellitus: An Open-Label, Randomized Clinical Trial. PMID 39858442</w:t>
      </w:r>
    </w:p>
    <w:p>
      <w:pPr>
        <w:numPr>
          <w:ilvl w:val="0"/>
          <w:numId w:val="1379"/>
        </w:numPr>
        <w:pStyle w:val="Compact"/>
      </w:pPr>
      <w:r>
        <w:t xml:space="preserve">2025 · Davies MJ ·</w:t>
      </w:r>
      <w:r>
        <w:t xml:space="preserve"> </w:t>
      </w:r>
      <w:r>
        <w:rPr>
          <w:iCs/>
          <w:i/>
        </w:rPr>
        <w:t xml:space="preserve">Lancet Diabetes Endocrinol</w:t>
      </w:r>
      <w:r>
        <w:t xml:space="preserve"> </w:t>
      </w:r>
      <w:r>
        <w:t xml:space="preserve">· Semaglutide in obesity-related heart failure with preserved ejection fraction and type 2 diabetes across baseline HbA(1c) levels (STEP-HFpEF DM): a prespecified analysis of heart failure and metabolic outcomes from a randomised, placebo-controlled trial. PMID 39848268</w:t>
      </w:r>
    </w:p>
    <w:p>
      <w:pPr>
        <w:numPr>
          <w:ilvl w:val="0"/>
          <w:numId w:val="1379"/>
        </w:numPr>
        <w:pStyle w:val="Compact"/>
      </w:pPr>
      <w:r>
        <w:t xml:space="preserve">2025 · Lingvay I ·</w:t>
      </w:r>
      <w:r>
        <w:t xml:space="preserve"> </w:t>
      </w:r>
      <w:r>
        <w:rPr>
          <w:iCs/>
          <w:i/>
        </w:rPr>
        <w:t xml:space="preserve">Diabetologia</w:t>
      </w:r>
      <w:r>
        <w:t xml:space="preserve"> </w:t>
      </w:r>
      <w:r>
        <w:t xml:space="preserve">· Once-weekly IcoSema versus once-weekly semaglutide in adults with type 2 diabetes: the COMBINE 2 randomised clinical trial. PMID 39820580</w:t>
      </w:r>
    </w:p>
    <w:p>
      <w:pPr>
        <w:numPr>
          <w:ilvl w:val="0"/>
          <w:numId w:val="1379"/>
        </w:numPr>
        <w:pStyle w:val="Compact"/>
      </w:pPr>
      <w:r>
        <w:t xml:space="preserve">2025 · Razavi AC ·</w:t>
      </w:r>
      <w:r>
        <w:t xml:space="preserve"> </w:t>
      </w:r>
      <w:r>
        <w:rPr>
          <w:iCs/>
          <w:i/>
        </w:rPr>
        <w:t xml:space="preserve">JACC Cardiovasc Imaging</w:t>
      </w:r>
      <w:r>
        <w:t xml:space="preserve"> </w:t>
      </w:r>
      <w:r>
        <w:t xml:space="preserve">· Allocation of Semaglutide According to Coronary Artery Calcium and BMI: Applying the SELECT Trial to MESA. PMID 39797878</w:t>
      </w:r>
    </w:p>
    <w:p>
      <w:pPr>
        <w:numPr>
          <w:ilvl w:val="0"/>
          <w:numId w:val="1379"/>
        </w:numPr>
        <w:pStyle w:val="Compact"/>
      </w:pPr>
      <w:r>
        <w:t xml:space="preserve">2025 · Pasqua MR ·</w:t>
      </w:r>
      <w:r>
        <w:t xml:space="preserve"> </w:t>
      </w:r>
      <w:r>
        <w:rPr>
          <w:iCs/>
          <w:i/>
        </w:rPr>
        <w:t xml:space="preserve">Nat Med</w:t>
      </w:r>
      <w:r>
        <w:t xml:space="preserve"> </w:t>
      </w:r>
      <w:r>
        <w:t xml:space="preserve">· Subcutaneous weekly semaglutide with automated insulin delivery in type 1 diabetes: a double-blind, randomized, crossover trial. PMID 39794615</w:t>
      </w:r>
    </w:p>
    <w:p>
      <w:pPr>
        <w:numPr>
          <w:ilvl w:val="0"/>
          <w:numId w:val="1379"/>
        </w:numPr>
        <w:pStyle w:val="Compact"/>
      </w:pPr>
      <w:r>
        <w:t xml:space="preserve">2025 · Cummings JL ·</w:t>
      </w:r>
      <w:r>
        <w:t xml:space="preserve"> </w:t>
      </w:r>
      <w:r>
        <w:rPr>
          <w:iCs/>
          <w:i/>
        </w:rPr>
        <w:t xml:space="preserve">Alzheimers Res Ther</w:t>
      </w:r>
      <w:r>
        <w:t xml:space="preserve"> </w:t>
      </w:r>
      <w:r>
        <w:t xml:space="preserve">· evoke and evoke+: design of two large-scale, double-blind, placebo-controlled, phase 3 studies evaluating efficacy, safety, and tolerability of semaglutide in early-stage symptomatic Alzheimer’s disease. PMID 39780249</w:t>
      </w:r>
    </w:p>
    <w:p>
      <w:pPr>
        <w:numPr>
          <w:ilvl w:val="0"/>
          <w:numId w:val="1379"/>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79"/>
        </w:numPr>
        <w:pStyle w:val="Compact"/>
      </w:pPr>
      <w:r>
        <w:t xml:space="preserve">2025 · Tchang BG ·</w:t>
      </w:r>
      <w:r>
        <w:t xml:space="preserve"> </w:t>
      </w:r>
      <w:r>
        <w:rPr>
          <w:iCs/>
          <w:i/>
        </w:rPr>
        <w:t xml:space="preserve">Obesity (Silver Spring)</w:t>
      </w:r>
      <w:r>
        <w:t xml:space="preserve"> </w:t>
      </w:r>
      <w:r>
        <w:t xml:space="preserve">· Effect of semaglutide 2.4 mg on use of antihypertensive and lipid-lowering treatment in five randomized controlled STEP trials. PMID 39756397</w:t>
      </w:r>
    </w:p>
    <w:p>
      <w:pPr>
        <w:numPr>
          <w:ilvl w:val="0"/>
          <w:numId w:val="1379"/>
        </w:numPr>
        <w:pStyle w:val="Compact"/>
      </w:pPr>
      <w:r>
        <w:t xml:space="preserve">2025 · Armstrong MJ ·</w:t>
      </w:r>
      <w:r>
        <w:t xml:space="preserve"> </w:t>
      </w:r>
      <w:r>
        <w:rPr>
          <w:iCs/>
          <w:i/>
        </w:rPr>
        <w:t xml:space="preserve">Diabetes Obes Metab</w:t>
      </w:r>
      <w:r>
        <w:t xml:space="preserve"> </w:t>
      </w:r>
      <w:r>
        <w:t xml:space="preserve">· Similar weight loss with semaglutide regardless of diabetes and cardiometabolic risk parameters in individuals with metabolic dysfunction-associated steatotic liver disease: Post hoc analysis of three randomised controlled trials. PMID 39609879</w:t>
      </w:r>
    </w:p>
    <w:p>
      <w:pPr>
        <w:numPr>
          <w:ilvl w:val="0"/>
          <w:numId w:val="1379"/>
        </w:numPr>
        <w:pStyle w:val="Compact"/>
      </w:pPr>
      <w:r>
        <w:t xml:space="preserve">2025 · Rodriguez P ·</w:t>
      </w:r>
      <w:r>
        <w:t xml:space="preserve"> </w:t>
      </w:r>
      <w:r>
        <w:rPr>
          <w:iCs/>
          <w:i/>
        </w:rPr>
        <w:t xml:space="preserve">Diabetes Obes Metab</w:t>
      </w:r>
      <w:r>
        <w:t xml:space="preserve"> </w:t>
      </w:r>
      <w:r>
        <w:t xml:space="preserve">· De-intensification of basal-bolus therapy by replacing prandial insulin with once-weekly subcutaneous semaglutide in individuals with well-controlled type 2 diabetes: A single-centre, open-label randomised trial (TRANSITION-T2D). PMID 39532398</w:t>
      </w:r>
    </w:p>
    <w:p>
      <w:pPr>
        <w:numPr>
          <w:ilvl w:val="0"/>
          <w:numId w:val="1379"/>
        </w:numPr>
        <w:pStyle w:val="Compact"/>
      </w:pPr>
      <w:r>
        <w:t xml:space="preserve">2025 · Gregorič N ·</w:t>
      </w:r>
      <w:r>
        <w:t xml:space="preserve"> </w:t>
      </w:r>
      <w:r>
        <w:rPr>
          <w:iCs/>
          <w:i/>
        </w:rPr>
        <w:t xml:space="preserve">Diabetes Obes Metab</w:t>
      </w:r>
      <w:r>
        <w:t xml:space="preserve"> </w:t>
      </w:r>
      <w:r>
        <w:t xml:space="preserve">· Semaglutide improved sperm morphology in obese men with type 2 diabetes mellitus and functional hypogonadism. PMID 39511836</w:t>
      </w:r>
    </w:p>
    <w:p>
      <w:pPr>
        <w:numPr>
          <w:ilvl w:val="0"/>
          <w:numId w:val="1379"/>
        </w:numPr>
        <w:pStyle w:val="Compact"/>
      </w:pPr>
      <w:r>
        <w:t xml:space="preserve">2025 · Apperloo EM ·</w:t>
      </w:r>
      <w:r>
        <w:t xml:space="preserve"> </w:t>
      </w:r>
      <w:r>
        <w:rPr>
          <w:iCs/>
          <w:i/>
        </w:rPr>
        <w:t xml:space="preserve">Nat Med</w:t>
      </w:r>
      <w:r>
        <w:t xml:space="preserve"> </w:t>
      </w:r>
      <w:r>
        <w:t xml:space="preserve">· Semaglutide in patients with overweight or obesity and chronic kidney disease without diabetes: a randomized double-blind placebo-controlled clinical trial. PMID 39455729</w:t>
      </w:r>
    </w:p>
    <w:p>
      <w:pPr>
        <w:numPr>
          <w:ilvl w:val="0"/>
          <w:numId w:val="1379"/>
        </w:numPr>
        <w:pStyle w:val="Compact"/>
      </w:pPr>
      <w:r>
        <w:t xml:space="preserve">2025 · Mahaffey KW ·</w:t>
      </w:r>
      <w:r>
        <w:t xml:space="preserve"> </w:t>
      </w:r>
      <w:r>
        <w:rPr>
          <w:iCs/>
          <w:i/>
        </w:rPr>
        <w:t xml:space="preserve">Eur Heart J</w:t>
      </w:r>
      <w:r>
        <w:t xml:space="preserve"> </w:t>
      </w:r>
      <w:r>
        <w:t xml:space="preserve">· Cardiovascular outcomes with semaglutide by severity of chronic kidney disease in type 2 diabetes: the FLOW trial. PMID 39211948</w:t>
      </w:r>
    </w:p>
    <w:p>
      <w:pPr>
        <w:numPr>
          <w:ilvl w:val="0"/>
          <w:numId w:val="1379"/>
        </w:numPr>
        <w:pStyle w:val="Compact"/>
      </w:pPr>
      <w:r>
        <w:t xml:space="preserve">2025 · Ditzenberger GL ·</w:t>
      </w:r>
      <w:r>
        <w:t xml:space="preserve"> </w:t>
      </w:r>
      <w:r>
        <w:rPr>
          <w:iCs/>
          <w:i/>
        </w:rPr>
        <w:t xml:space="preserve">Clin Infect Dis</w:t>
      </w:r>
      <w:r>
        <w:t xml:space="preserve"> </w:t>
      </w:r>
      <w:r>
        <w:t xml:space="preserve">· Effects of Semaglutide on Muscle Structure and Function in the SLIM LIVER Study. PMID 39046173</w:t>
      </w:r>
    </w:p>
    <w:p>
      <w:pPr>
        <w:numPr>
          <w:ilvl w:val="0"/>
          <w:numId w:val="1379"/>
        </w:numPr>
        <w:pStyle w:val="Compact"/>
      </w:pPr>
      <w:r>
        <w:t xml:space="preserve">2025 · Apperloo EM ·</w:t>
      </w:r>
      <w:r>
        <w:t xml:space="preserve"> </w:t>
      </w:r>
      <w:r>
        <w:rPr>
          <w:iCs/>
          <w:i/>
        </w:rPr>
        <w:t xml:space="preserve">Nephrol Dial Transplant</w:t>
      </w:r>
      <w:r>
        <w:t xml:space="preserve"> </w:t>
      </w:r>
      <w:r>
        <w:t xml:space="preserve">· Effect of semaglutide on kidney function across different levels of baseline HbA1c, blood pressure, body weight and albuminuria in SUSTAIN 6 and PIONEER 6. PMID 38955363</w:t>
      </w:r>
    </w:p>
    <w:p>
      <w:pPr>
        <w:numPr>
          <w:ilvl w:val="0"/>
          <w:numId w:val="1379"/>
        </w:numPr>
        <w:pStyle w:val="Compact"/>
      </w:pPr>
      <w:r>
        <w:t xml:space="preserve">2025 · Nomoto H ·</w:t>
      </w:r>
      <w:r>
        <w:t xml:space="preserve"> </w:t>
      </w:r>
      <w:r>
        <w:rPr>
          <w:iCs/>
          <w:i/>
        </w:rPr>
        <w:t xml:space="preserve">J Clin Endocrinol Metab</w:t>
      </w:r>
      <w:r>
        <w:t xml:space="preserve"> </w:t>
      </w:r>
      <w:r>
        <w:t xml:space="preserve">· Improvement of β-Cell Function After Switching From DPP-4 Inhibitors to Oral Semaglutide: SWITCH-SEMA2 Post Hoc Analysis. PMID 38695547</w:t>
      </w:r>
    </w:p>
    <w:p>
      <w:pPr>
        <w:numPr>
          <w:ilvl w:val="0"/>
          <w:numId w:val="1379"/>
        </w:numPr>
        <w:pStyle w:val="Compact"/>
      </w:pPr>
      <w:r>
        <w:t xml:space="preserve">2025 · Harrison SA ·</w:t>
      </w:r>
      <w:r>
        <w:t xml:space="preserve"> </w:t>
      </w:r>
      <w:r>
        <w:rPr>
          <w:iCs/>
          <w:i/>
        </w:rPr>
        <w:t xml:space="preserve">Clin Gastroenterol Hepatol</w:t>
      </w:r>
      <w:r>
        <w:t xml:space="preserve"> </w:t>
      </w:r>
      <w:r>
        <w:t xml:space="preserve">· Safety and Efficacy of Efruxifermin in Combination With a GLP-1 Receptor Agonist in Patients With NASH/MASH and Type 2 Diabetes in a Randomized Phase 2 Study. PMID 38447814</w:t>
      </w:r>
    </w:p>
    <w:p>
      <w:pPr>
        <w:numPr>
          <w:ilvl w:val="0"/>
          <w:numId w:val="1379"/>
        </w:numPr>
        <w:pStyle w:val="Compact"/>
      </w:pPr>
      <w:r>
        <w:t xml:space="preserve">2024 · Kadowaki T ·</w:t>
      </w:r>
      <w:r>
        <w:t xml:space="preserve"> </w:t>
      </w:r>
      <w:r>
        <w:rPr>
          <w:iCs/>
          <w:i/>
        </w:rPr>
        <w:t xml:space="preserve">Obes Res Clin Pract</w:t>
      </w:r>
      <w:r>
        <w:t xml:space="preserve"> </w:t>
      </w:r>
      <w:r>
        <w:t xml:space="preserve">· Clinical characteristics affecting weight loss in an East Asian population receiving semaglutide: A STEP 6 subgroup analysis. PMID 39824696</w:t>
      </w:r>
    </w:p>
    <w:p>
      <w:pPr>
        <w:numPr>
          <w:ilvl w:val="0"/>
          <w:numId w:val="1379"/>
        </w:numPr>
        <w:pStyle w:val="Compact"/>
      </w:pPr>
      <w:r>
        <w:t xml:space="preserve">2024 · Westergaard L ·</w:t>
      </w:r>
      <w:r>
        <w:t xml:space="preserve"> </w:t>
      </w:r>
      <w:r>
        <w:rPr>
          <w:iCs/>
          <w:i/>
        </w:rPr>
        <w:t xml:space="preserve">Clin Drug Investig</w:t>
      </w:r>
      <w:r>
        <w:t xml:space="preserve"> </w:t>
      </w:r>
      <w:r>
        <w:t xml:space="preserve">· Pharmacokinetic Properties of a Once-Weekly Fixed-Ratio Combination of Insulin Icodec and Semaglutide Compared with Separate Administration of Each Component in Individuals with Type 2 Diabetes Mellitus. PMID 39488821</w:t>
      </w:r>
    </w:p>
    <w:p>
      <w:pPr>
        <w:numPr>
          <w:ilvl w:val="0"/>
          <w:numId w:val="1379"/>
        </w:numPr>
        <w:pStyle w:val="Compact"/>
      </w:pPr>
      <w:r>
        <w:t xml:space="preserve">2024 · Bliddal H ·</w:t>
      </w:r>
      <w:r>
        <w:t xml:space="preserve"> </w:t>
      </w:r>
      <w:r>
        <w:rPr>
          <w:iCs/>
          <w:i/>
        </w:rPr>
        <w:t xml:space="preserve">N Engl J Med</w:t>
      </w:r>
      <w:r>
        <w:t xml:space="preserve"> </w:t>
      </w:r>
      <w:r>
        <w:t xml:space="preserve">· Once-Weekly Semaglutide in Persons with Obesity and Knee Osteoarthritis. PMID 39476339</w:t>
      </w:r>
    </w:p>
    <w:p>
      <w:pPr>
        <w:numPr>
          <w:ilvl w:val="0"/>
          <w:numId w:val="1379"/>
        </w:numPr>
        <w:pStyle w:val="Compact"/>
      </w:pPr>
      <w:r>
        <w:t xml:space="preserve">2024 · Saravanan P ·</w:t>
      </w:r>
      <w:r>
        <w:t xml:space="preserve"> </w:t>
      </w:r>
      <w:r>
        <w:rPr>
          <w:iCs/>
          <w:i/>
        </w:rPr>
        <w:t xml:space="preserve">Adv Ther</w:t>
      </w:r>
      <w:r>
        <w:t xml:space="preserve"> </w:t>
      </w:r>
      <w:r>
        <w:t xml:space="preserve">· PIONEER REAL UK: A Multi-Centre, Prospective, Real-World Study of Once-Daily Oral Semaglutide Use in Adults with Type 2 Diabetes. PMID 39316289</w:t>
      </w:r>
    </w:p>
    <w:p>
      <w:pPr>
        <w:numPr>
          <w:ilvl w:val="0"/>
          <w:numId w:val="1379"/>
        </w:numPr>
        <w:pStyle w:val="Compact"/>
      </w:pPr>
      <w:r>
        <w:t xml:space="preserve">2024 · Ji L ·</w:t>
      </w:r>
      <w:r>
        <w:t xml:space="preserve"> </w:t>
      </w:r>
      <w:r>
        <w:rPr>
          <w:iCs/>
          <w:i/>
        </w:rPr>
        <w:t xml:space="preserve">Diabetes Obes Metab</w:t>
      </w:r>
      <w:r>
        <w:t xml:space="preserve"> </w:t>
      </w:r>
      <w:r>
        <w:t xml:space="preserve">· Impact of baseline characteristics on the efficacy of once-weekly subcutaneous semaglutide among participants with type 2 diabetes: A post hoc analysis of SUSTAIN China. PMID 39279647</w:t>
      </w:r>
    </w:p>
    <w:p>
      <w:pPr>
        <w:numPr>
          <w:ilvl w:val="0"/>
          <w:numId w:val="1379"/>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79"/>
        </w:numPr>
        <w:pStyle w:val="Compact"/>
      </w:pPr>
      <w:r>
        <w:t xml:space="preserve">2024 · Wadden TA ·</w:t>
      </w:r>
      <w:r>
        <w:t xml:space="preserve"> </w:t>
      </w:r>
      <w:r>
        <w:rPr>
          <w:iCs/>
          <w:i/>
        </w:rPr>
        <w:t xml:space="preserve">JAMA Intern Med</w:t>
      </w:r>
      <w:r>
        <w:t xml:space="preserve"> </w:t>
      </w:r>
      <w:r>
        <w:t xml:space="preserve">· Psychiatric Safety of Semaglutide for Weight Management in People Without Known Major Psychopathology: Post Hoc Analysis of the STEP 1, 2, 3, and 5 Trials. PMID 39226070</w:t>
      </w:r>
    </w:p>
    <w:p>
      <w:pPr>
        <w:numPr>
          <w:ilvl w:val="0"/>
          <w:numId w:val="1379"/>
        </w:numPr>
        <w:pStyle w:val="Compact"/>
      </w:pPr>
      <w:r>
        <w:t xml:space="preserve">2024 · Kosiborod MN ·</w:t>
      </w:r>
      <w:r>
        <w:t xml:space="preserve"> </w:t>
      </w:r>
      <w:r>
        <w:rPr>
          <w:iCs/>
          <w:i/>
        </w:rPr>
        <w:t xml:space="preserve">Lancet</w:t>
      </w:r>
      <w:r>
        <w:t xml:space="preserve"> </w:t>
      </w:r>
      <w:r>
        <w:t xml:space="preserve">· Semaglutide versus placebo in patients with heart failure and mildly reduced or preserved ejection fraction: a pooled analysis of the SELECT, FLOW, STEP-HFpEF, and STEP-HFpEF DM randomised trials. PMID 39222642</w:t>
      </w:r>
    </w:p>
    <w:p>
      <w:pPr>
        <w:numPr>
          <w:ilvl w:val="0"/>
          <w:numId w:val="1379"/>
        </w:numPr>
        <w:pStyle w:val="Compact"/>
      </w:pPr>
      <w:r>
        <w:t xml:space="preserve">2024 · Selvarajah V ·</w:t>
      </w:r>
      <w:r>
        <w:t xml:space="preserve"> </w:t>
      </w:r>
      <w:r>
        <w:rPr>
          <w:iCs/>
          <w:i/>
        </w:rPr>
        <w:t xml:space="preserve">Kidney Int</w:t>
      </w:r>
      <w:r>
        <w:t xml:space="preserve"> </w:t>
      </w:r>
      <w:r>
        <w:t xml:space="preserve">· A randomized phase 2b trial examined the effects of the glucagon-like peptide-1 and glucagon receptor agonist cotadutide on kidney outcomes in patients with diabetic kidney disease. PMID 39218393</w:t>
      </w:r>
    </w:p>
    <w:p>
      <w:pPr>
        <w:numPr>
          <w:ilvl w:val="0"/>
          <w:numId w:val="1379"/>
        </w:numPr>
        <w:pStyle w:val="Compact"/>
      </w:pPr>
      <w:r>
        <w:t xml:space="preserve">2024 · Solomon SD ·</w:t>
      </w:r>
      <w:r>
        <w:t xml:space="preserve"> </w:t>
      </w:r>
      <w:r>
        <w:rPr>
          <w:iCs/>
          <w:i/>
        </w:rPr>
        <w:t xml:space="preserve">J Am Coll Cardiol</w:t>
      </w:r>
      <w:r>
        <w:t xml:space="preserve"> </w:t>
      </w:r>
      <w:r>
        <w:t xml:space="preserve">· Effect of Semaglutide on Cardiac Structure and Function in Patients With Obesity-Related Heart Failure. PMID 39217567</w:t>
      </w:r>
    </w:p>
    <w:p>
      <w:pPr>
        <w:numPr>
          <w:ilvl w:val="0"/>
          <w:numId w:val="1379"/>
        </w:numPr>
        <w:pStyle w:val="Compact"/>
      </w:pPr>
      <w:r>
        <w:t xml:space="preserve">2024 · Verma S ·</w:t>
      </w:r>
      <w:r>
        <w:t xml:space="preserve"> </w:t>
      </w:r>
      <w:r>
        <w:rPr>
          <w:iCs/>
          <w:i/>
        </w:rPr>
        <w:t xml:space="preserve">J Am Coll Cardiol</w:t>
      </w:r>
      <w:r>
        <w:t xml:space="preserve"> </w:t>
      </w:r>
      <w:r>
        <w:t xml:space="preserve">· Atrial Fibrillation and Semaglutide Effects in Obesity-Related Heart Failure With Preserved Ejection Fraction: STEP-HFpEF Program. PMID 39217565</w:t>
      </w:r>
    </w:p>
    <w:p>
      <w:pPr>
        <w:numPr>
          <w:ilvl w:val="0"/>
          <w:numId w:val="1379"/>
        </w:numPr>
        <w:pStyle w:val="Compact"/>
      </w:pPr>
      <w:r>
        <w:t xml:space="preserve">2024 · Verma S ·</w:t>
      </w:r>
      <w:r>
        <w:t xml:space="preserve"> </w:t>
      </w:r>
      <w:r>
        <w:rPr>
          <w:iCs/>
          <w:i/>
        </w:rPr>
        <w:t xml:space="preserve">J Am Coll Cardiol</w:t>
      </w:r>
      <w:r>
        <w:t xml:space="preserve"> </w:t>
      </w:r>
      <w:r>
        <w:t xml:space="preserve">· Inflammation in Obesity-Related HFpEF: The STEP-HFpEF Program. PMID 39217564</w:t>
      </w:r>
    </w:p>
    <w:p>
      <w:pPr>
        <w:numPr>
          <w:ilvl w:val="0"/>
          <w:numId w:val="1379"/>
        </w:numPr>
        <w:pStyle w:val="Compact"/>
      </w:pPr>
      <w:r>
        <w:t xml:space="preserve">2024 · Scirica BM ·</w:t>
      </w:r>
      <w:r>
        <w:t xml:space="preserve"> </w:t>
      </w:r>
      <w:r>
        <w:rPr>
          <w:iCs/>
          <w:i/>
        </w:rPr>
        <w:t xml:space="preserve">J Am Coll Cardiol</w:t>
      </w:r>
      <w:r>
        <w:t xml:space="preserve"> </w:t>
      </w:r>
      <w:r>
        <w:t xml:space="preserve">· The Effect of Semaglutide on Mortality and COVID-19-Related Deaths: An Analysis From the SELECT Trial. PMID 39217559</w:t>
      </w:r>
    </w:p>
    <w:p>
      <w:pPr>
        <w:numPr>
          <w:ilvl w:val="0"/>
          <w:numId w:val="1379"/>
        </w:numPr>
        <w:pStyle w:val="Compact"/>
      </w:pPr>
      <w:r>
        <w:t xml:space="preserve">2024 · Pratley RE ·</w:t>
      </w:r>
      <w:r>
        <w:t xml:space="preserve"> </w:t>
      </w:r>
      <w:r>
        <w:rPr>
          <w:iCs/>
          <w:i/>
        </w:rPr>
        <w:t xml:space="preserve">J Am Coll Cardiol</w:t>
      </w:r>
      <w:r>
        <w:t xml:space="preserve"> </w:t>
      </w:r>
      <w:r>
        <w:t xml:space="preserve">· Effects of Semaglutide on Heart Failure Outcomes in Diabetes and Chronic Kidney Disease in the FLOW Trial. PMID 39217553</w:t>
      </w:r>
    </w:p>
    <w:p>
      <w:pPr>
        <w:numPr>
          <w:ilvl w:val="0"/>
          <w:numId w:val="1379"/>
        </w:numPr>
        <w:pStyle w:val="Compact"/>
      </w:pPr>
      <w:r>
        <w:t xml:space="preserve">2024 · Younis IR ·</w:t>
      </w:r>
      <w:r>
        <w:t xml:space="preserve"> </w:t>
      </w:r>
      <w:r>
        <w:rPr>
          <w:iCs/>
          <w:i/>
        </w:rPr>
        <w:t xml:space="preserve">J Clin Pharmacol</w:t>
      </w:r>
      <w:r>
        <w:t xml:space="preserve"> </w:t>
      </w:r>
      <w:r>
        <w:t xml:space="preserve">· Pharmacokinetics and Safety of Cilofexor and Firsocostat in Healthy Japanese and Non-Japanese Participants. PMID 39213138</w:t>
      </w:r>
    </w:p>
    <w:p>
      <w:pPr>
        <w:numPr>
          <w:ilvl w:val="0"/>
          <w:numId w:val="1379"/>
        </w:numPr>
        <w:pStyle w:val="Compact"/>
      </w:pPr>
      <w:r>
        <w:t xml:space="preserve">2024 · Wang J ·</w:t>
      </w:r>
      <w:r>
        <w:t xml:space="preserve"> </w:t>
      </w:r>
      <w:r>
        <w:rPr>
          <w:iCs/>
          <w:i/>
        </w:rPr>
        <w:t xml:space="preserve">Diabetes Obes Metab</w:t>
      </w:r>
      <w:r>
        <w:t xml:space="preserve"> </w:t>
      </w:r>
      <w:r>
        <w:t xml:space="preserve">· Effect of semaglutide on primary prevention of diabetic kidney disease in people with type 2 diabetes: A post hoc analysis of the SUSTAIN 6 randomized controlled trial. PMID 39188242</w:t>
      </w:r>
    </w:p>
    <w:p>
      <w:pPr>
        <w:numPr>
          <w:ilvl w:val="0"/>
          <w:numId w:val="1379"/>
        </w:numPr>
        <w:pStyle w:val="Compact"/>
      </w:pPr>
      <w:r>
        <w:t xml:space="preserve">2024 · Deanfield J ·</w:t>
      </w:r>
      <w:r>
        <w:t xml:space="preserve"> </w:t>
      </w:r>
      <w:r>
        <w:rPr>
          <w:iCs/>
          <w:i/>
        </w:rPr>
        <w:t xml:space="preserve">Lancet</w:t>
      </w:r>
      <w:r>
        <w:t xml:space="preserve"> </w:t>
      </w:r>
      <w:r>
        <w:t xml:space="preserve">· Semaglutide and cardiovascular outcomes in patients with obesity and prevalent heart failure: a prespecified analysis of the SELECT trial. PMID 39181597</w:t>
      </w:r>
    </w:p>
    <w:p>
      <w:pPr>
        <w:numPr>
          <w:ilvl w:val="0"/>
          <w:numId w:val="1379"/>
        </w:numPr>
        <w:pStyle w:val="Compact"/>
      </w:pPr>
      <w:r>
        <w:t xml:space="preserve">2024 · El-Nayir M ·</w:t>
      </w:r>
      <w:r>
        <w:t xml:space="preserve"> </w:t>
      </w:r>
      <w:r>
        <w:rPr>
          <w:iCs/>
          <w:i/>
        </w:rPr>
        <w:t xml:space="preserve">Trials</w:t>
      </w:r>
      <w:r>
        <w:t xml:space="preserve"> </w:t>
      </w:r>
      <w:r>
        <w:t xml:space="preserve">· Patient and public involvement and engagement in the ASCEND PLUS trial: reflections from the design of a streamlined and decentralised clinical trial. PMID 39175005</w:t>
      </w:r>
    </w:p>
    <w:p>
      <w:pPr>
        <w:numPr>
          <w:ilvl w:val="0"/>
          <w:numId w:val="1379"/>
        </w:numPr>
        <w:pStyle w:val="Compact"/>
      </w:pPr>
      <w:r>
        <w:t xml:space="preserve">2024 · Liu X ·</w:t>
      </w:r>
      <w:r>
        <w:t xml:space="preserve"> </w:t>
      </w:r>
      <w:r>
        <w:rPr>
          <w:iCs/>
          <w:i/>
        </w:rPr>
        <w:t xml:space="preserve">J Diabetes Investig</w:t>
      </w:r>
      <w:r>
        <w:t xml:space="preserve"> </w:t>
      </w:r>
      <w:r>
        <w:t xml:space="preserve">· Application of the integrated data platform combined with dietary management for adults with diabetes: A prospective randomized controlled trial. PMID 39171608</w:t>
      </w:r>
    </w:p>
    <w:p>
      <w:pPr>
        <w:numPr>
          <w:ilvl w:val="0"/>
          <w:numId w:val="1379"/>
        </w:numPr>
        <w:pStyle w:val="Compact"/>
      </w:pPr>
      <w:r>
        <w:t xml:space="preserve">2024 · Manubolu VS ·</w:t>
      </w:r>
      <w:r>
        <w:t xml:space="preserve"> </w:t>
      </w:r>
      <w:r>
        <w:rPr>
          <w:iCs/>
          <w:i/>
        </w:rPr>
        <w:t xml:space="preserve">J Am Coll Cardiol</w:t>
      </w:r>
      <w:r>
        <w:t xml:space="preserve"> </w:t>
      </w:r>
      <w:r>
        <w:t xml:space="preserve">· Effect of Semaglutide on Epicardial Adipose Tissue in Type 2 Diabetes: Insights From the STOP (Semaglutide Treatment effect On coronary atherosclerosis Progression) Randomized Trial. PMID 39168573</w:t>
      </w:r>
    </w:p>
    <w:p>
      <w:pPr>
        <w:numPr>
          <w:ilvl w:val="0"/>
          <w:numId w:val="1379"/>
        </w:numPr>
        <w:pStyle w:val="Compact"/>
      </w:pPr>
      <w:r>
        <w:t xml:space="preserve">2024 · Yang W ·</w:t>
      </w:r>
      <w:r>
        <w:t xml:space="preserve"> </w:t>
      </w:r>
      <w:r>
        <w:rPr>
          <w:iCs/>
          <w:i/>
        </w:rPr>
        <w:t xml:space="preserve">Medicine (Baltimore)</w:t>
      </w:r>
      <w:r>
        <w:t xml:space="preserve"> </w:t>
      </w:r>
      <w:r>
        <w:t xml:space="preserve">· Real world study of GLP-1 receptor agonists in overweight or obese type 2 diabetes by using repeated measurement analysis of variance. PMID 39121301</w:t>
      </w:r>
    </w:p>
    <w:p>
      <w:pPr>
        <w:numPr>
          <w:ilvl w:val="0"/>
          <w:numId w:val="1379"/>
        </w:numPr>
        <w:pStyle w:val="Compact"/>
      </w:pPr>
      <w:r>
        <w:t xml:space="preserve">2024 · McGowan BM ·</w:t>
      </w:r>
      <w:r>
        <w:t xml:space="preserve"> </w:t>
      </w:r>
      <w:r>
        <w:rPr>
          <w:iCs/>
          <w:i/>
        </w:rPr>
        <w:t xml:space="preserve">Lancet Diabetes Endocrinol</w:t>
      </w:r>
      <w:r>
        <w:t xml:space="preserve"> </w:t>
      </w:r>
      <w:r>
        <w:t xml:space="preserve">· Efficacy and safety of once-weekly semaglutide 2·4 mg versus placebo in people with obesity and prediabetes (STEP 10): a randomised, double-blind, placebo-controlled, multicentre phase 3 trial. PMID 39089293</w:t>
      </w:r>
    </w:p>
    <w:p>
      <w:pPr>
        <w:numPr>
          <w:ilvl w:val="0"/>
          <w:numId w:val="1379"/>
        </w:numPr>
        <w:pStyle w:val="Compact"/>
      </w:pPr>
      <w:r>
        <w:t xml:space="preserve">2024 · Gabe MBN ·</w:t>
      </w:r>
      <w:r>
        <w:t xml:space="preserve"> </w:t>
      </w:r>
      <w:r>
        <w:rPr>
          <w:iCs/>
          <w:i/>
        </w:rPr>
        <w:t xml:space="preserve">Diabetes Obes Metab</w:t>
      </w:r>
      <w:r>
        <w:t xml:space="preserve"> </w:t>
      </w:r>
      <w:r>
        <w:t xml:space="preserve">· Effect of oral semaglutide on energy intake, appetite, control of eating and gastric emptying in adults living with obesity: A randomized controlled trial. PMID 39082206</w:t>
      </w:r>
    </w:p>
    <w:p>
      <w:pPr>
        <w:numPr>
          <w:ilvl w:val="0"/>
          <w:numId w:val="1379"/>
        </w:numPr>
        <w:pStyle w:val="Compact"/>
      </w:pPr>
      <w:r>
        <w:t xml:space="preserve">2024 · Vernstrøm L ·</w:t>
      </w:r>
      <w:r>
        <w:t xml:space="preserve"> </w:t>
      </w:r>
      <w:r>
        <w:rPr>
          <w:iCs/>
          <w:i/>
        </w:rPr>
        <w:t xml:space="preserve">Diabetologia</w:t>
      </w:r>
      <w:r>
        <w:t xml:space="preserve"> </w:t>
      </w:r>
      <w:r>
        <w:t xml:space="preserve">· Effects of semaglutide, empagliflozin and their combination on renal diffusion-weighted MRI and total kidney volume in patients with type 2 diabetes: a post hoc analysis from a 32 week randomised trial. PMID 39078489</w:t>
      </w:r>
    </w:p>
    <w:p>
      <w:pPr>
        <w:numPr>
          <w:ilvl w:val="0"/>
          <w:numId w:val="1379"/>
        </w:numPr>
        <w:pStyle w:val="Compact"/>
      </w:pPr>
      <w:r>
        <w:t xml:space="preserve">2024 · Anyiam O ·</w:t>
      </w:r>
      <w:r>
        <w:t xml:space="preserve"> </w:t>
      </w:r>
      <w:r>
        <w:rPr>
          <w:iCs/>
          <w:i/>
        </w:rPr>
        <w:t xml:space="preserve">Clin Nutr</w:t>
      </w:r>
      <w:r>
        <w:t xml:space="preserve"> </w:t>
      </w:r>
      <w:r>
        <w:t xml:space="preserve">· Metabolic effects of very-low calorie diet, Semaglutide, or combination of the two, in individuals with type 2 diabetes mellitus. PMID 38996661</w:t>
      </w:r>
    </w:p>
    <w:p>
      <w:pPr>
        <w:numPr>
          <w:ilvl w:val="0"/>
          <w:numId w:val="1379"/>
        </w:numPr>
        <w:pStyle w:val="Compact"/>
      </w:pPr>
      <w:r>
        <w:t xml:space="preserve">2024 · Wang W ·</w:t>
      </w:r>
      <w:r>
        <w:t xml:space="preserve"> </w:t>
      </w:r>
      <w:r>
        <w:rPr>
          <w:iCs/>
          <w:i/>
        </w:rPr>
        <w:t xml:space="preserve">Diabetologia</w:t>
      </w:r>
      <w:r>
        <w:t xml:space="preserve"> </w:t>
      </w:r>
      <w:r>
        <w:t xml:space="preserve">· Efficacy and safety of oral semaglutide monotherapy vs placebo in a predominantly Chinese population with type 2 diabetes (PIONEER 11): a double-blind, Phase IIIa, randomised trial. PMID 38985162</w:t>
      </w:r>
    </w:p>
    <w:p>
      <w:pPr>
        <w:numPr>
          <w:ilvl w:val="0"/>
          <w:numId w:val="1379"/>
        </w:numPr>
        <w:pStyle w:val="Compact"/>
      </w:pPr>
      <w:r>
        <w:t xml:space="preserve">2024 · Ji L ·</w:t>
      </w:r>
      <w:r>
        <w:t xml:space="preserve"> </w:t>
      </w:r>
      <w:r>
        <w:rPr>
          <w:iCs/>
          <w:i/>
        </w:rPr>
        <w:t xml:space="preserve">Diabetologia</w:t>
      </w:r>
      <w:r>
        <w:t xml:space="preserve"> </w:t>
      </w:r>
      <w:r>
        <w:t xml:space="preserve">· Efficacy and safety of oral semaglutide vs sitagliptin in a predominantly Chinese population with type 2 diabetes uncontrolled with metformin: PIONEER 12, a double-blind, Phase IIIa, randomised trial. PMID 38985161</w:t>
      </w:r>
    </w:p>
    <w:p>
      <w:pPr>
        <w:numPr>
          <w:ilvl w:val="0"/>
          <w:numId w:val="1379"/>
        </w:numPr>
        <w:pStyle w:val="Compact"/>
      </w:pPr>
      <w:r>
        <w:t xml:space="preserve">2024 · Eckard AR ·</w:t>
      </w:r>
      <w:r>
        <w:t xml:space="preserve"> </w:t>
      </w:r>
      <w:r>
        <w:rPr>
          <w:iCs/>
          <w:i/>
        </w:rPr>
        <w:t xml:space="preserve">Lancet Diabetes Endocrinol</w:t>
      </w:r>
      <w:r>
        <w:t xml:space="preserve"> </w:t>
      </w:r>
      <w:r>
        <w:t xml:space="preserve">· Once-weekly semaglutide in people with HIV-associated lipohypertrophy: a randomised, double-blind, placebo-controlled phase 2b single-centre clinical trial. PMID 38964353</w:t>
      </w:r>
    </w:p>
    <w:p>
      <w:pPr>
        <w:numPr>
          <w:ilvl w:val="0"/>
          <w:numId w:val="1379"/>
        </w:numPr>
        <w:pStyle w:val="Compact"/>
      </w:pPr>
      <w:r>
        <w:t xml:space="preserve">2024 · Mann JFE ·</w:t>
      </w:r>
      <w:r>
        <w:t xml:space="preserve"> </w:t>
      </w:r>
      <w:r>
        <w:rPr>
          <w:iCs/>
          <w:i/>
        </w:rPr>
        <w:t xml:space="preserve">Nat Med</w:t>
      </w:r>
      <w:r>
        <w:t xml:space="preserve"> </w:t>
      </w:r>
      <w:r>
        <w:t xml:space="preserve">· Effects of semaglutide with and without concomitant SGLT2 inhibitor use in participants with type 2 diabetes and chronic kidney disease in the FLOW trial. PMID 38914124</w:t>
      </w:r>
    </w:p>
    <w:p>
      <w:pPr>
        <w:numPr>
          <w:ilvl w:val="0"/>
          <w:numId w:val="1379"/>
        </w:numPr>
        <w:pStyle w:val="Compact"/>
      </w:pPr>
      <w:r>
        <w:t xml:space="preserve">2024 · Schou M ·</w:t>
      </w:r>
      <w:r>
        <w:t xml:space="preserve"> </w:t>
      </w:r>
      <w:r>
        <w:rPr>
          <w:iCs/>
          <w:i/>
        </w:rPr>
        <w:t xml:space="preserve">J Am Coll Cardiol</w:t>
      </w:r>
      <w:r>
        <w:t xml:space="preserve"> </w:t>
      </w:r>
      <w:r>
        <w:t xml:space="preserve">· Semaglutide and NYHA Functional Class in Obesity-Related Heart Failure With Preserved Ejection Fraction: The STEP-HFpEF Program. PMID 38913004</w:t>
      </w:r>
    </w:p>
    <w:p>
      <w:pPr>
        <w:numPr>
          <w:ilvl w:val="0"/>
          <w:numId w:val="1379"/>
        </w:numPr>
        <w:pStyle w:val="Compact"/>
      </w:pPr>
      <w:r>
        <w:t xml:space="preserve">2024 · Verma S ·</w:t>
      </w:r>
      <w:r>
        <w:t xml:space="preserve"> </w:t>
      </w:r>
      <w:r>
        <w:rPr>
          <w:iCs/>
          <w:i/>
        </w:rPr>
        <w:t xml:space="preserve">J Am Coll Cardiol</w:t>
      </w:r>
      <w:r>
        <w:t xml:space="preserve"> </w:t>
      </w:r>
      <w:r>
        <w:t xml:space="preserve">· Efficacy of Semaglutide by Sex in Obesity-Related Heart Failure With Preserved Ejection Fraction: STEP-HFpEF Trials. PMID 38913003</w:t>
      </w:r>
    </w:p>
    <w:p>
      <w:pPr>
        <w:numPr>
          <w:ilvl w:val="0"/>
          <w:numId w:val="1379"/>
        </w:numPr>
        <w:pStyle w:val="Compact"/>
      </w:pPr>
      <w:r>
        <w:t xml:space="preserve">2024 · Lingvay I ·</w:t>
      </w:r>
      <w:r>
        <w:t xml:space="preserve"> </w:t>
      </w:r>
      <w:r>
        <w:rPr>
          <w:iCs/>
          <w:i/>
        </w:rPr>
        <w:t xml:space="preserve">Diabetes Care</w:t>
      </w:r>
      <w:r>
        <w:t xml:space="preserve"> </w:t>
      </w:r>
      <w:r>
        <w:t xml:space="preserve">· Semaglutide and Cardiovascular Outcomes by Baseline HbA1c and Change in HbA1c in People With Overweight or Obesity but Without Diabetes in SELECT. PMID 38907684</w:t>
      </w:r>
    </w:p>
    <w:p>
      <w:pPr>
        <w:numPr>
          <w:ilvl w:val="0"/>
          <w:numId w:val="1379"/>
        </w:numPr>
        <w:pStyle w:val="Compact"/>
      </w:pPr>
      <w:r>
        <w:t xml:space="preserve">2024 · Kahn SE ·</w:t>
      </w:r>
      <w:r>
        <w:t xml:space="preserve"> </w:t>
      </w:r>
      <w:r>
        <w:rPr>
          <w:iCs/>
          <w:i/>
        </w:rPr>
        <w:t xml:space="preserve">Diabetes Care</w:t>
      </w:r>
      <w:r>
        <w:t xml:space="preserve"> </w:t>
      </w:r>
      <w:r>
        <w:t xml:space="preserve">· Effect of Semaglutide on Regression and Progression of Glycemia in People With Overweight or Obesity but Without Diabetes in the SELECT Trial. PMID 38907683</w:t>
      </w:r>
    </w:p>
    <w:p>
      <w:pPr>
        <w:numPr>
          <w:ilvl w:val="0"/>
          <w:numId w:val="1379"/>
        </w:numPr>
        <w:pStyle w:val="Compact"/>
      </w:pPr>
      <w:r>
        <w:t xml:space="preserve">2024 · Petrie MC ·</w:t>
      </w:r>
      <w:r>
        <w:t xml:space="preserve"> </w:t>
      </w:r>
      <w:r>
        <w:rPr>
          <w:iCs/>
          <w:i/>
        </w:rPr>
        <w:t xml:space="preserve">J Am Coll Cardiol</w:t>
      </w:r>
      <w:r>
        <w:t xml:space="preserve"> </w:t>
      </w:r>
      <w:r>
        <w:t xml:space="preserve">· Semaglutide and NT-proBNP in Obesity-Related HFpEF: Insights From the STEP-HFpEF Program. PMID 38819334</w:t>
      </w:r>
    </w:p>
    <w:p>
      <w:pPr>
        <w:numPr>
          <w:ilvl w:val="0"/>
          <w:numId w:val="1379"/>
        </w:numPr>
        <w:pStyle w:val="Compact"/>
      </w:pPr>
      <w:r>
        <w:t xml:space="preserve">2024 · Xie P ·</w:t>
      </w:r>
      <w:r>
        <w:t xml:space="preserve"> </w:t>
      </w:r>
      <w:r>
        <w:rPr>
          <w:iCs/>
          <w:i/>
        </w:rPr>
        <w:t xml:space="preserve">Diabetes Obes Metab</w:t>
      </w:r>
      <w:r>
        <w:t xml:space="preserve"> </w:t>
      </w:r>
      <w:r>
        <w:t xml:space="preserve">· A phase 1, randomized, double-blind, placebo-controlled trial investigating the pharmacokinetics, pharmacodynamics, safety and tolerability of oral semaglutide in healthy Chinese subjects. PMID 38808476</w:t>
      </w:r>
    </w:p>
    <w:p>
      <w:pPr>
        <w:numPr>
          <w:ilvl w:val="0"/>
          <w:numId w:val="1379"/>
        </w:numPr>
        <w:pStyle w:val="Compact"/>
      </w:pPr>
      <w:r>
        <w:t xml:space="preserve">2024 · Colhoun HM ·</w:t>
      </w:r>
      <w:r>
        <w:t xml:space="preserve"> </w:t>
      </w:r>
      <w:r>
        <w:rPr>
          <w:iCs/>
          <w:i/>
        </w:rPr>
        <w:t xml:space="preserve">Nat Med</w:t>
      </w:r>
      <w:r>
        <w:t xml:space="preserve"> </w:t>
      </w:r>
      <w:r>
        <w:t xml:space="preserve">· Long-term kidney outcomes of semaglutide in obesity and cardiovascular disease in the SELECT trial. PMID 38796653</w:t>
      </w:r>
    </w:p>
    <w:p>
      <w:pPr>
        <w:numPr>
          <w:ilvl w:val="0"/>
          <w:numId w:val="1379"/>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79"/>
        </w:numPr>
        <w:pStyle w:val="Compact"/>
      </w:pPr>
      <w:r>
        <w:t xml:space="preserve">2024 · Perkovic V ·</w:t>
      </w:r>
      <w:r>
        <w:t xml:space="preserve"> </w:t>
      </w:r>
      <w:r>
        <w:rPr>
          <w:iCs/>
          <w:i/>
        </w:rPr>
        <w:t xml:space="preserve">N Engl J Med</w:t>
      </w:r>
      <w:r>
        <w:t xml:space="preserve"> </w:t>
      </w:r>
      <w:r>
        <w:t xml:space="preserve">· Effects of Semaglutide on Chronic Kidney Disease in Patients with Type 2 Diabetes. PMID 38785209</w:t>
      </w:r>
    </w:p>
    <w:p>
      <w:pPr>
        <w:numPr>
          <w:ilvl w:val="0"/>
          <w:numId w:val="1379"/>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79"/>
        </w:numPr>
        <w:pStyle w:val="Compact"/>
      </w:pPr>
      <w:r>
        <w:t xml:space="preserve">2024 · Ryan DH ·</w:t>
      </w:r>
      <w:r>
        <w:t xml:space="preserve"> </w:t>
      </w:r>
      <w:r>
        <w:rPr>
          <w:iCs/>
          <w:i/>
        </w:rPr>
        <w:t xml:space="preserve">Nat Med</w:t>
      </w:r>
      <w:r>
        <w:t xml:space="preserve"> </w:t>
      </w:r>
      <w:r>
        <w:t xml:space="preserve">· Long-term weight loss effects of semaglutide in obesity without diabetes in the SELECT trial. PMID 38740993</w:t>
      </w:r>
    </w:p>
    <w:p>
      <w:pPr>
        <w:numPr>
          <w:ilvl w:val="0"/>
          <w:numId w:val="1379"/>
        </w:numPr>
        <w:pStyle w:val="Compact"/>
      </w:pPr>
      <w:r>
        <w:t xml:space="preserve">2024 · Shah SJ ·</w:t>
      </w:r>
      <w:r>
        <w:t xml:space="preserve"> </w:t>
      </w:r>
      <w:r>
        <w:rPr>
          <w:iCs/>
          <w:i/>
        </w:rPr>
        <w:t xml:space="preserve">Eur Heart J</w:t>
      </w:r>
      <w:r>
        <w:t xml:space="preserve"> </w:t>
      </w:r>
      <w:r>
        <w:t xml:space="preserve">· Semaglutide and diuretic use in obesity-related heart failure with preserved ejection fraction: a pooled analysis of the STEP-HFpEF and STEP-HFpEF-DM trials. PMID 38739118</w:t>
      </w:r>
    </w:p>
    <w:p>
      <w:pPr>
        <w:numPr>
          <w:ilvl w:val="0"/>
          <w:numId w:val="1379"/>
        </w:numPr>
        <w:pStyle w:val="Compact"/>
      </w:pPr>
      <w:r>
        <w:t xml:space="preserve">2024 · Rubino D ·</w:t>
      </w:r>
      <w:r>
        <w:t xml:space="preserve"> </w:t>
      </w:r>
      <w:r>
        <w:rPr>
          <w:iCs/>
          <w:i/>
        </w:rPr>
        <w:t xml:space="preserve">Diabetes Obes Metab</w:t>
      </w:r>
      <w:r>
        <w:t xml:space="preserve"> </w:t>
      </w:r>
      <w:r>
        <w:t xml:space="preserve">· Effect of semaglutide 2.4 mg on physical functioning and weight- and health-related quality of life in adults with overweight or obesity: Patient-reported outcomes from the STEP 1-4 trials. PMID 38698650</w:t>
      </w:r>
    </w:p>
    <w:p>
      <w:pPr>
        <w:numPr>
          <w:ilvl w:val="0"/>
          <w:numId w:val="1379"/>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79"/>
        </w:numPr>
        <w:pStyle w:val="Compact"/>
      </w:pPr>
      <w:r>
        <w:t xml:space="preserve">2024 · Butler J ·</w:t>
      </w:r>
      <w:r>
        <w:t xml:space="preserve"> </w:t>
      </w:r>
      <w:r>
        <w:rPr>
          <w:iCs/>
          <w:i/>
        </w:rPr>
        <w:t xml:space="preserve">Lancet</w:t>
      </w:r>
      <w:r>
        <w:t xml:space="preserve"> </w:t>
      </w:r>
      <w:r>
        <w:t xml:space="preserve">· Semaglutide versus placebo in people with obesity-related heart failure with preserved ejection fraction: a pooled analysis of the STEP-HFpEF and STEP-HFpEF DM randomised trials. PMID 38599221</w:t>
      </w:r>
    </w:p>
    <w:p>
      <w:pPr>
        <w:numPr>
          <w:ilvl w:val="0"/>
          <w:numId w:val="1379"/>
        </w:numPr>
        <w:pStyle w:val="Compact"/>
      </w:pPr>
      <w:r>
        <w:t xml:space="preserve">2024 · Kosiborod MN ·</w:t>
      </w:r>
      <w:r>
        <w:t xml:space="preserve"> </w:t>
      </w:r>
      <w:r>
        <w:rPr>
          <w:iCs/>
          <w:i/>
        </w:rPr>
        <w:t xml:space="preserve">N Engl J Med</w:t>
      </w:r>
      <w:r>
        <w:t xml:space="preserve"> </w:t>
      </w:r>
      <w:r>
        <w:t xml:space="preserve">· Semaglutide in Patients with Obesity-Related Heart Failure and Type 2 Diabetes. PMID 38587233</w:t>
      </w:r>
    </w:p>
    <w:p>
      <w:pPr>
        <w:numPr>
          <w:ilvl w:val="0"/>
          <w:numId w:val="1379"/>
        </w:numPr>
        <w:pStyle w:val="Compact"/>
      </w:pPr>
      <w:r>
        <w:t xml:space="preserve">2024 · Weber EJ ·</w:t>
      </w:r>
      <w:r>
        <w:t xml:space="preserve"> </w:t>
      </w:r>
      <w:r>
        <w:rPr>
          <w:iCs/>
          <w:i/>
        </w:rPr>
        <w:t xml:space="preserve">Clin Pharmacol Drug Dev</w:t>
      </w:r>
      <w:r>
        <w:t xml:space="preserve"> </w:t>
      </w:r>
      <w:r>
        <w:t xml:space="preserve">· Evaluation of the Effects of Meal Type and Acid-Reducing Agents on the Pharmacokinetics of Cilofexor, a Selective Nonsteroidal Farnesoid X Receptor Agonist. PMID 38346861</w:t>
      </w:r>
    </w:p>
    <w:p>
      <w:pPr>
        <w:numPr>
          <w:ilvl w:val="0"/>
          <w:numId w:val="1379"/>
        </w:numPr>
        <w:pStyle w:val="Compact"/>
      </w:pPr>
      <w:r>
        <w:t xml:space="preserve">2024 · Mu Y ·</w:t>
      </w:r>
      <w:r>
        <w:t xml:space="preserve"> </w:t>
      </w:r>
      <w:r>
        <w:rPr>
          <w:iCs/>
          <w:i/>
        </w:rPr>
        <w:t xml:space="preserve">Lancet Diabetes Endocrinol</w:t>
      </w:r>
      <w:r>
        <w:t xml:space="preserve"> </w:t>
      </w:r>
      <w:r>
        <w:t xml:space="preserve">· Efficacy and safety of once weekly semaglutide 2·4 mg for weight management in a predominantly east Asian population with overweight or obesity (STEP 7): a double-blind, multicentre, randomised controlled trial. PMID 38330988</w:t>
      </w:r>
    </w:p>
    <w:p>
      <w:pPr>
        <w:numPr>
          <w:ilvl w:val="0"/>
          <w:numId w:val="1379"/>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79"/>
        </w:numPr>
        <w:pStyle w:val="Compact"/>
      </w:pPr>
      <w:r>
        <w:t xml:space="preserve">2024 · Vernstrøm L ·</w:t>
      </w:r>
      <w:r>
        <w:t xml:space="preserve"> </w:t>
      </w:r>
      <w:r>
        <w:rPr>
          <w:iCs/>
          <w:i/>
        </w:rPr>
        <w:t xml:space="preserve">Diabetes Obes Metab</w:t>
      </w:r>
      <w:r>
        <w:t xml:space="preserve"> </w:t>
      </w:r>
      <w:r>
        <w:t xml:space="preserve">· Separate and combined effects of empagliflozin and semaglutide on vascular function: A 32-week randomized trial. PMID 38240066</w:t>
      </w:r>
    </w:p>
    <w:p>
      <w:pPr>
        <w:numPr>
          <w:ilvl w:val="0"/>
          <w:numId w:val="1379"/>
        </w:numPr>
        <w:pStyle w:val="Compact"/>
      </w:pPr>
      <w:r>
        <w:t xml:space="preserve">2024 · Gullaksen S ·</w:t>
      </w:r>
      <w:r>
        <w:t xml:space="preserve"> </w:t>
      </w:r>
      <w:r>
        <w:rPr>
          <w:iCs/>
          <w:i/>
        </w:rPr>
        <w:t xml:space="preserve">J Diabetes Complications</w:t>
      </w:r>
      <w:r>
        <w:t xml:space="preserve"> </w:t>
      </w:r>
      <w:r>
        <w:t xml:space="preserve">· The effects of semaglutide, empagliflozin and their combination on the kidney sodium signal from magnetic resonance imaging: A prespecified, secondary analysis from a randomized, clinical trial. PMID 38219335</w:t>
      </w:r>
    </w:p>
    <w:p>
      <w:pPr>
        <w:numPr>
          <w:ilvl w:val="0"/>
          <w:numId w:val="1379"/>
        </w:numPr>
        <w:pStyle w:val="Compact"/>
      </w:pPr>
      <w:r>
        <w:t xml:space="preserve">2024 · Dwibedi C ·</w:t>
      </w:r>
      <w:r>
        <w:t xml:space="preserve"> </w:t>
      </w:r>
      <w:r>
        <w:rPr>
          <w:iCs/>
          <w:i/>
        </w:rPr>
        <w:t xml:space="preserve">Nat Metab</w:t>
      </w:r>
      <w:r>
        <w:t xml:space="preserve"> </w:t>
      </w:r>
      <w:r>
        <w:t xml:space="preserve">· Randomized open-label trial of semaglutide and dapagliflozin in patients with type 2 diabetes of different pathophysiology. PMID 38177805</w:t>
      </w:r>
    </w:p>
    <w:p>
      <w:pPr>
        <w:numPr>
          <w:ilvl w:val="0"/>
          <w:numId w:val="1379"/>
        </w:numPr>
        <w:pStyle w:val="Compact"/>
      </w:pPr>
      <w:r>
        <w:t xml:space="preserve">2024 · Ratziu V ·</w:t>
      </w:r>
      <w:r>
        <w:t xml:space="preserve"> </w:t>
      </w:r>
      <w:r>
        <w:rPr>
          <w:iCs/>
          <w:i/>
        </w:rPr>
        <w:t xml:space="preserve">Hepatology</w:t>
      </w:r>
      <w:r>
        <w:t xml:space="preserve"> </w:t>
      </w:r>
      <w:r>
        <w:t xml:space="preserve">· Artificial intelligence scoring of liver biopsies in a phase II trial of semaglutide in nonalcoholic steatohepatitis. PMID 38112484</w:t>
      </w:r>
    </w:p>
    <w:p>
      <w:pPr>
        <w:numPr>
          <w:ilvl w:val="0"/>
          <w:numId w:val="1379"/>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p>
      <w:pPr>
        <w:numPr>
          <w:ilvl w:val="0"/>
          <w:numId w:val="1379"/>
        </w:numPr>
        <w:pStyle w:val="Compact"/>
      </w:pPr>
      <w:r>
        <w:t xml:space="preserve">2024 · Mathur W ·</w:t>
      </w:r>
      <w:r>
        <w:t xml:space="preserve"> </w:t>
      </w:r>
      <w:r>
        <w:rPr>
          <w:iCs/>
          <w:i/>
        </w:rPr>
        <w:t xml:space="preserve">Obes Surg</w:t>
      </w:r>
      <w:r>
        <w:t xml:space="preserve"> </w:t>
      </w:r>
      <w:r>
        <w:t xml:space="preserve">· Effect of Swallow Balloon Therapy with the Combination of Semaglutide Oral Formulation: a Randomised Double-Blind Single-Centre Study. PMID 38091192</w:t>
      </w:r>
    </w:p>
    <w:p>
      <w:pPr>
        <w:numPr>
          <w:ilvl w:val="0"/>
          <w:numId w:val="1379"/>
        </w:numPr>
        <w:pStyle w:val="Compact"/>
      </w:pPr>
      <w:r>
        <w:t xml:space="preserve">2024 · Furusawa S ·</w:t>
      </w:r>
      <w:r>
        <w:t xml:space="preserve"> </w:t>
      </w:r>
      <w:r>
        <w:rPr>
          <w:iCs/>
          <w:i/>
        </w:rPr>
        <w:t xml:space="preserve">Diabetes Obes Metab</w:t>
      </w:r>
      <w:r>
        <w:t xml:space="preserve"> </w:t>
      </w:r>
      <w:r>
        <w:t xml:space="preserve">· Glycaemic control efficacy of switching from dipeptidyl peptidase-4 inhibitors to oral semaglutide in subjects with type 2 diabetes: A multicentre, prospective, randomized, open-label, parallel-group comparison study (SWITCH-SEMA 2 study). PMID 38073422</w:t>
      </w:r>
    </w:p>
    <w:p>
      <w:pPr>
        <w:numPr>
          <w:ilvl w:val="0"/>
          <w:numId w:val="1379"/>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79"/>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79"/>
        </w:numPr>
        <w:pStyle w:val="Compact"/>
      </w:pPr>
      <w:r>
        <w:t xml:space="preserve">2024 · Ji L ·</w:t>
      </w:r>
      <w:r>
        <w:t xml:space="preserve"> </w:t>
      </w:r>
      <w:r>
        <w:rPr>
          <w:iCs/>
          <w:i/>
        </w:rPr>
        <w:t xml:space="preserve">Diabetes Obes Metab</w:t>
      </w:r>
      <w:r>
        <w:t xml:space="preserve"> </w:t>
      </w:r>
      <w:r>
        <w:t xml:space="preserve">· Proportion of participants with type 2 diabetes achieving a metabolic composite endpoint with once-weekly semaglutide treatment versus comparators: Post hoc pooled analysis from SUSTAIN 1-5, 7-10 and SUSTAIN China. PMID 37822270</w:t>
      </w:r>
    </w:p>
    <w:p>
      <w:pPr>
        <w:numPr>
          <w:ilvl w:val="0"/>
          <w:numId w:val="1379"/>
        </w:numPr>
        <w:pStyle w:val="Compact"/>
      </w:pPr>
      <w:r>
        <w:t xml:space="preserve">2024 · Sivalingam S ·</w:t>
      </w:r>
      <w:r>
        <w:t xml:space="preserve"> </w:t>
      </w:r>
      <w:r>
        <w:rPr>
          <w:iCs/>
          <w:i/>
        </w:rPr>
        <w:t xml:space="preserve">Diabetes Obes Metab</w:t>
      </w:r>
      <w:r>
        <w:t xml:space="preserve"> </w:t>
      </w:r>
      <w:r>
        <w:t xml:space="preserve">· Albuminuria-lowering effect of adding semaglutide on top of empagliflozin in individuals with type 2 diabetes: A randomized and placebo-controlled study. PMID 37722966</w:t>
      </w:r>
    </w:p>
    <w:p>
      <w:pPr>
        <w:numPr>
          <w:ilvl w:val="0"/>
          <w:numId w:val="1379"/>
        </w:numPr>
        <w:pStyle w:val="Compact"/>
      </w:pPr>
      <w:r>
        <w:t xml:space="preserve">2024 · Rahbek MT ·</w:t>
      </w:r>
      <w:r>
        <w:t xml:space="preserve"> </w:t>
      </w:r>
      <w:r>
        <w:rPr>
          <w:iCs/>
          <w:i/>
        </w:rPr>
        <w:t xml:space="preserve">Pharmacoepidemiol Drug Saf</w:t>
      </w:r>
      <w:r>
        <w:t xml:space="preserve"> </w:t>
      </w:r>
      <w:r>
        <w:t xml:space="preserve">· A case for screening real-world data for collateral drug benefits: Glucagon-like peptide 1 receptor agonists and bile acid diarrhea. PMID 37559355</w:t>
      </w:r>
    </w:p>
    <w:p>
      <w:pPr>
        <w:numPr>
          <w:ilvl w:val="0"/>
          <w:numId w:val="1379"/>
        </w:numPr>
        <w:pStyle w:val="Compact"/>
      </w:pPr>
      <w:r>
        <w:t xml:space="preserve">2024 · Cirnigliaro CM ·</w:t>
      </w:r>
      <w:r>
        <w:t xml:space="preserve"> </w:t>
      </w:r>
      <w:r>
        <w:rPr>
          <w:iCs/>
          <w:i/>
        </w:rPr>
        <w:t xml:space="preserve">J Spinal Cord Med</w:t>
      </w:r>
      <w:r>
        <w:t xml:space="preserve"> </w:t>
      </w:r>
      <w:r>
        <w:t xml:space="preserve">· Preliminary observations on the administration of a glucagon-like peptide-1 receptor agonist on body weight and select carbohydrate endpoints in persons with spinal cord injury: A controlled case series. PMID 37158751</w:t>
      </w:r>
    </w:p>
    <w:p>
      <w:pPr>
        <w:numPr>
          <w:ilvl w:val="0"/>
          <w:numId w:val="1379"/>
        </w:numPr>
        <w:pStyle w:val="Compact"/>
      </w:pPr>
      <w:r>
        <w:t xml:space="preserve">2023 · Lincoff AM ·</w:t>
      </w:r>
      <w:r>
        <w:t xml:space="preserve"> </w:t>
      </w:r>
      <w:r>
        <w:rPr>
          <w:iCs/>
          <w:i/>
        </w:rPr>
        <w:t xml:space="preserve">N Engl J Med</w:t>
      </w:r>
      <w:r>
        <w:t xml:space="preserve"> </w:t>
      </w:r>
      <w:r>
        <w:t xml:space="preserve">· Semaglutide and Cardiovascular Outcomes in Obesity without Diabetes. PMID 37952131</w:t>
      </w:r>
    </w:p>
    <w:p>
      <w:pPr>
        <w:numPr>
          <w:ilvl w:val="0"/>
          <w:numId w:val="1379"/>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79"/>
        </w:numPr>
        <w:pStyle w:val="Compact"/>
      </w:pPr>
      <w:r>
        <w:t xml:space="preserve">2023 · Kimura T ·</w:t>
      </w:r>
      <w:r>
        <w:t xml:space="preserve"> </w:t>
      </w:r>
      <w:r>
        <w:rPr>
          <w:iCs/>
          <w:i/>
        </w:rPr>
        <w:t xml:space="preserve">Diabetes Obes Metab</w:t>
      </w:r>
      <w:r>
        <w:t xml:space="preserve"> </w:t>
      </w:r>
      <w:r>
        <w:t xml:space="preserve">· Comparison of clinical efficacy and safety of weekly glucagon-like peptide-1 receptor agonists dulaglutide and semaglutide in Japanese patients with type 2 diabetes: Randomized, parallel-group, multicentre, open-label trial (COMING study). PMID 37646192</w:t>
      </w:r>
    </w:p>
    <w:p>
      <w:pPr>
        <w:numPr>
          <w:ilvl w:val="0"/>
          <w:numId w:val="1379"/>
        </w:numPr>
        <w:pStyle w:val="Compact"/>
      </w:pPr>
      <w:r>
        <w:t xml:space="preserve">2023 · Kosiborod MN ·</w:t>
      </w:r>
      <w:r>
        <w:t xml:space="preserve"> </w:t>
      </w:r>
      <w:r>
        <w:rPr>
          <w:iCs/>
          <w:i/>
        </w:rPr>
        <w:t xml:space="preserve">N Engl J Med</w:t>
      </w:r>
      <w:r>
        <w:t xml:space="preserve"> </w:t>
      </w:r>
      <w:r>
        <w:t xml:space="preserve">· Semaglutide in Patients with Heart Failure with Preserved Ejection Fraction and Obesity. PMID 37622681</w:t>
      </w:r>
    </w:p>
    <w:p>
      <w:pPr>
        <w:numPr>
          <w:ilvl w:val="0"/>
          <w:numId w:val="1379"/>
        </w:numPr>
        <w:pStyle w:val="Compact"/>
      </w:pPr>
      <w:r>
        <w:t xml:space="preserve">2023 · Wilkinson L ·</w:t>
      </w:r>
      <w:r>
        <w:t xml:space="preserve"> </w:t>
      </w:r>
      <w:r>
        <w:rPr>
          <w:iCs/>
          <w:i/>
        </w:rPr>
        <w:t xml:space="preserve">Obesity (Silver Spring)</w:t>
      </w:r>
      <w:r>
        <w:t xml:space="preserve"> </w:t>
      </w:r>
      <w:r>
        <w:t xml:space="preserve">· Effect of semaglutide 2.4 mg once weekly on 10-year type 2 diabetes risk in adults with overweight or obesity. PMID 37605636</w:t>
      </w:r>
    </w:p>
    <w:p>
      <w:pPr>
        <w:numPr>
          <w:ilvl w:val="0"/>
          <w:numId w:val="1379"/>
        </w:numPr>
        <w:pStyle w:val="Compact"/>
      </w:pPr>
      <w:r>
        <w:t xml:space="preserve">2023 · Aroda VR ·</w:t>
      </w:r>
      <w:r>
        <w:t xml:space="preserve"> </w:t>
      </w:r>
      <w:r>
        <w:rPr>
          <w:iCs/>
          <w:i/>
        </w:rPr>
        <w:t xml:space="preserve">Lancet</w:t>
      </w:r>
      <w:r>
        <w:t xml:space="preserve"> </w:t>
      </w:r>
      <w:r>
        <w:t xml:space="preserve">· Efficacy and safety of once-daily oral semaglutide 25 mg and 50 mg compared with 14 mg in adults with type 2 diabetes (PIONEER PLUS): a multicentre, randomised, phase 3b trial. PMID 37385279</w:t>
      </w:r>
    </w:p>
    <w:p>
      <w:pPr>
        <w:numPr>
          <w:ilvl w:val="0"/>
          <w:numId w:val="1379"/>
        </w:numPr>
        <w:pStyle w:val="Compact"/>
      </w:pPr>
      <w:r>
        <w:t xml:space="preserve">2023 · Knop FK ·</w:t>
      </w:r>
      <w:r>
        <w:t xml:space="preserve"> </w:t>
      </w:r>
      <w:r>
        <w:rPr>
          <w:iCs/>
          <w:i/>
        </w:rPr>
        <w:t xml:space="preserve">Lancet</w:t>
      </w:r>
      <w:r>
        <w:t xml:space="preserve"> </w:t>
      </w:r>
      <w:r>
        <w:t xml:space="preserve">· Oral semaglutide 50 mg taken once per day in adults with overweight or obesity (OASIS 1): a randomised, double-blind, placebo-controlled, phase 3 trial. PMID 37385278</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79"/>
        </w:numPr>
        <w:pStyle w:val="Compact"/>
      </w:pPr>
      <w:r>
        <w:t xml:space="preserve">2023 · Guo W ·</w:t>
      </w:r>
      <w:r>
        <w:t xml:space="preserve"> </w:t>
      </w:r>
      <w:r>
        <w:rPr>
          <w:iCs/>
          <w:i/>
        </w:rPr>
        <w:t xml:space="preserve">Mol Metab</w:t>
      </w:r>
      <w:r>
        <w:t xml:space="preserve"> </w:t>
      </w:r>
      <w:r>
        <w:t xml:space="preserve">· Discovery of ecnoglutide - A novel, long-acting, cAMP-biased glucagon-like peptide-1 (GLP-1) analog. PMID 37364710</w:t>
      </w:r>
    </w:p>
    <w:p>
      <w:pPr>
        <w:numPr>
          <w:ilvl w:val="0"/>
          <w:numId w:val="1379"/>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79"/>
        </w:numPr>
        <w:pStyle w:val="Compact"/>
      </w:pPr>
      <w:r>
        <w:t xml:space="preserve">2023 · Romero-Gómez M ·</w:t>
      </w:r>
      <w:r>
        <w:t xml:space="preserve"> </w:t>
      </w:r>
      <w:r>
        <w:rPr>
          <w:iCs/>
          <w:i/>
        </w:rPr>
        <w:t xml:space="preserve">J Hepatol</w:t>
      </w:r>
      <w:r>
        <w:t xml:space="preserve"> </w:t>
      </w:r>
      <w:r>
        <w:t xml:space="preserve">· A phase IIa active-comparator-controlled study to evaluate the efficacy and safety of efinopegdutide in patients with non-alcoholic fatty liver disease. PMID 37355043</w:t>
      </w:r>
    </w:p>
    <w:p>
      <w:pPr>
        <w:numPr>
          <w:ilvl w:val="0"/>
          <w:numId w:val="1379"/>
        </w:numPr>
        <w:pStyle w:val="Compact"/>
      </w:pPr>
      <w:r>
        <w:t xml:space="preserve">2023 · Romero-Gómez M ·</w:t>
      </w:r>
      <w:r>
        <w:t xml:space="preserve"> </w:t>
      </w:r>
      <w:r>
        <w:rPr>
          <w:iCs/>
          <w:i/>
        </w:rPr>
        <w:t xml:space="preserve">Aliment Pharmacol Ther</w:t>
      </w:r>
      <w:r>
        <w:t xml:space="preserve"> </w:t>
      </w:r>
      <w:r>
        <w:t xml:space="preserve">· Improved health-related quality of life with semaglutide in people with non-alcoholic steatohepatitis: A randomised trial. PMID 37328931</w:t>
      </w:r>
    </w:p>
    <w:p>
      <w:pPr>
        <w:numPr>
          <w:ilvl w:val="0"/>
          <w:numId w:val="1379"/>
        </w:numPr>
        <w:pStyle w:val="Compact"/>
      </w:pPr>
      <w:r>
        <w:t xml:space="preserve">2023 · Ingersen A ·</w:t>
      </w:r>
      <w:r>
        <w:t xml:space="preserve"> </w:t>
      </w:r>
      <w:r>
        <w:rPr>
          <w:iCs/>
          <w:i/>
        </w:rPr>
        <w:t xml:space="preserve">J Clin Endocrinol Metab</w:t>
      </w:r>
      <w:r>
        <w:t xml:space="preserve"> </w:t>
      </w:r>
      <w:r>
        <w:t xml:space="preserve">· Effects of Aerobic Training and Semaglutide Treatment on Pancreatic β-Cell Secretory Function in Patients With Type 2 Diabetes. PMID 37265222</w:t>
      </w:r>
    </w:p>
    <w:p>
      <w:pPr>
        <w:numPr>
          <w:ilvl w:val="0"/>
          <w:numId w:val="1379"/>
        </w:numPr>
        <w:pStyle w:val="Compact"/>
      </w:pPr>
      <w:r>
        <w:t xml:space="preserve">2023 · Kelly AS ·</w:t>
      </w:r>
      <w:r>
        <w:t xml:space="preserve"> </w:t>
      </w:r>
      <w:r>
        <w:rPr>
          <w:iCs/>
          <w:i/>
        </w:rPr>
        <w:t xml:space="preserve">Obesity (Silver Spring)</w:t>
      </w:r>
      <w:r>
        <w:t xml:space="preserve"> </w:t>
      </w:r>
      <w:r>
        <w:t xml:space="preserve">· Reducing BMI below the obesity threshold in adolescents treated with once-weekly subcutaneous semaglutide 2.4 mg. PMID 37196421</w:t>
      </w:r>
    </w:p>
    <w:p>
      <w:pPr>
        <w:numPr>
          <w:ilvl w:val="0"/>
          <w:numId w:val="1379"/>
        </w:numPr>
        <w:pStyle w:val="Compact"/>
      </w:pPr>
      <w:r>
        <w:t xml:space="preserve">2023 · Gullaksen S ·</w:t>
      </w:r>
      <w:r>
        <w:t xml:space="preserve"> </w:t>
      </w:r>
      <w:r>
        <w:rPr>
          <w:iCs/>
          <w:i/>
        </w:rPr>
        <w:t xml:space="preserve">J Diabetes Complications</w:t>
      </w:r>
      <w:r>
        <w:t xml:space="preserve"> </w:t>
      </w:r>
      <w:r>
        <w:t xml:space="preserve">· Effects of semaglutide and empagliflozin on oxygenation, vascular autoregulation, and central thickness of the retina in people with type 2 diabetes: A prespecified secondary analysis of a randomised clinical trial. PMID 37062189</w:t>
      </w:r>
    </w:p>
    <w:p>
      <w:pPr>
        <w:numPr>
          <w:ilvl w:val="0"/>
          <w:numId w:val="1379"/>
        </w:numPr>
        <w:pStyle w:val="Compact"/>
      </w:pPr>
      <w:r>
        <w:t xml:space="preserve">2023 · Bjorner JB ·</w:t>
      </w:r>
      <w:r>
        <w:t xml:space="preserve"> </w:t>
      </w:r>
      <w:r>
        <w:rPr>
          <w:iCs/>
          <w:i/>
        </w:rPr>
        <w:t xml:space="preserve">Diabetes Obes Metab</w:t>
      </w:r>
      <w:r>
        <w:t xml:space="preserve"> </w:t>
      </w:r>
      <w:r>
        <w:t xml:space="preserve">· The improved health utility of once-weekly subcutaneous semaglutide 2.4 mg compared with placebo in the STEP 1-4 obesity trials. PMID 37055712</w:t>
      </w:r>
    </w:p>
    <w:p>
      <w:pPr>
        <w:numPr>
          <w:ilvl w:val="0"/>
          <w:numId w:val="1379"/>
        </w:numPr>
        <w:pStyle w:val="Compact"/>
      </w:pPr>
      <w:r>
        <w:t xml:space="preserve">2023 · Loomba R ·</w:t>
      </w:r>
      <w:r>
        <w:t xml:space="preserve"> </w:t>
      </w:r>
      <w:r>
        <w:rPr>
          <w:iCs/>
          <w:i/>
        </w:rPr>
        <w:t xml:space="preserve">Lancet Gastroenterol Hepatol</w:t>
      </w:r>
      <w:r>
        <w:t xml:space="preserve"> </w:t>
      </w:r>
      <w:r>
        <w:t xml:space="preserve">· Semaglutide 2·4 mg once weekly in patients with non-alcoholic steatohepatitis-related cirrhosis: a randomised, placebo-controlled phase 2 trial. PMID 36934740</w:t>
      </w:r>
    </w:p>
    <w:p>
      <w:pPr>
        <w:numPr>
          <w:ilvl w:val="0"/>
          <w:numId w:val="1379"/>
        </w:numPr>
        <w:pStyle w:val="Compact"/>
      </w:pPr>
      <w:r>
        <w:t xml:space="preserve">2023 · van Hout M ·</w:t>
      </w:r>
      <w:r>
        <w:t xml:space="preserve"> </w:t>
      </w:r>
      <w:r>
        <w:rPr>
          <w:iCs/>
          <w:i/>
        </w:rPr>
        <w:t xml:space="preserve">Clin Pharmacokinet</w:t>
      </w:r>
      <w:r>
        <w:t xml:space="preserve"> </w:t>
      </w:r>
      <w:r>
        <w:t xml:space="preserve">· Effect of Various Dosing Schedules on the Pharmacokinetics of Oral Semaglutide: A Randomised Trial in Healthy Subjects. PMID 36932262</w:t>
      </w:r>
    </w:p>
    <w:p>
      <w:pPr>
        <w:numPr>
          <w:ilvl w:val="0"/>
          <w:numId w:val="1379"/>
        </w:numPr>
        <w:pStyle w:val="Compact"/>
      </w:pPr>
      <w:r>
        <w:t xml:space="preserve">2023 · Kolotkin RL ·</w:t>
      </w:r>
      <w:r>
        <w:t xml:space="preserve"> </w:t>
      </w:r>
      <w:r>
        <w:rPr>
          <w:iCs/>
          <w:i/>
        </w:rPr>
        <w:t xml:space="preserve">Clin Obes</w:t>
      </w:r>
      <w:r>
        <w:t xml:space="preserve"> </w:t>
      </w:r>
      <w:r>
        <w:t xml:space="preserve">· Effect of once-weekly subcutaneous semaglutide 2.4 mg on weight- and health-related quality of life in an East Asian population: Patient-reported outcomes from the STEP 6 trial. PMID 36905345</w:t>
      </w:r>
    </w:p>
    <w:p>
      <w:pPr>
        <w:numPr>
          <w:ilvl w:val="0"/>
          <w:numId w:val="1379"/>
        </w:numPr>
        <w:pStyle w:val="Compact"/>
      </w:pPr>
      <w:r>
        <w:t xml:space="preserve">2023 · McGowan BM ·</w:t>
      </w:r>
      <w:r>
        <w:t xml:space="preserve"> </w:t>
      </w:r>
      <w:r>
        <w:rPr>
          <w:iCs/>
          <w:i/>
        </w:rPr>
        <w:t xml:space="preserve">Obesity (Silver Spring)</w:t>
      </w:r>
      <w:r>
        <w:t xml:space="preserve"> </w:t>
      </w:r>
      <w:r>
        <w:t xml:space="preserve">· Impact of BMI and comorbidities on efficacy of once-weekly semaglutide: Post hoc analyses of the STEP 1 randomized trial. PMID 36876594</w:t>
      </w:r>
    </w:p>
    <w:p>
      <w:pPr>
        <w:numPr>
          <w:ilvl w:val="0"/>
          <w:numId w:val="1379"/>
        </w:numPr>
        <w:pStyle w:val="Compact"/>
      </w:pPr>
      <w:r>
        <w:t xml:space="preserve">2023 · Iijima T ·</w:t>
      </w:r>
      <w:r>
        <w:t xml:space="preserve"> </w:t>
      </w:r>
      <w:r>
        <w:rPr>
          <w:iCs/>
          <w:i/>
        </w:rPr>
        <w:t xml:space="preserve">J Diabetes Investig</w:t>
      </w:r>
      <w:r>
        <w:t xml:space="preserve"> </w:t>
      </w:r>
      <w:r>
        <w:t xml:space="preserve">· Effects of switching from liraglutide to semaglutide or dulaglutide in patients with type 2 diabetes: A randomized controlled trial. PMID 36871272</w:t>
      </w:r>
    </w:p>
    <w:p>
      <w:pPr>
        <w:numPr>
          <w:ilvl w:val="0"/>
          <w:numId w:val="1379"/>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79"/>
        </w:numPr>
        <w:pStyle w:val="Compact"/>
      </w:pPr>
      <w:r>
        <w:t xml:space="preserve">2023 · Gullaksen S ·</w:t>
      </w:r>
      <w:r>
        <w:t xml:space="preserve"> </w:t>
      </w:r>
      <w:r>
        <w:rPr>
          <w:iCs/>
          <w:i/>
        </w:rPr>
        <w:t xml:space="preserve">Diabetologia</w:t>
      </w:r>
      <w:r>
        <w:t xml:space="preserve"> </w:t>
      </w:r>
      <w:r>
        <w:t xml:space="preserve">· Separate and combined effects of semaglutide and empagliflozin on kidney oxygenation and perfusion in people with type 2 diabetes: a randomised trial. PMID 36746803</w:t>
      </w:r>
    </w:p>
    <w:p>
      <w:pPr>
        <w:numPr>
          <w:ilvl w:val="0"/>
          <w:numId w:val="1379"/>
        </w:numPr>
        <w:pStyle w:val="Compact"/>
      </w:pPr>
      <w:r>
        <w:t xml:space="preserve">2023 · Takahashi Y ·</w:t>
      </w:r>
      <w:r>
        <w:t xml:space="preserve"> </w:t>
      </w:r>
      <w:r>
        <w:rPr>
          <w:iCs/>
          <w:i/>
        </w:rPr>
        <w:t xml:space="preserve">Diabetes Obes Metab</w:t>
      </w:r>
      <w:r>
        <w:t xml:space="preserve"> </w:t>
      </w:r>
      <w:r>
        <w:t xml:space="preserve">· Improvement of glycaemic control and treatment satisfaction by switching from liraglutide or dulaglutide to subcutaneous semaglutide in patients with type 2 diabetes: A multicentre, prospective, randomized, open-label, parallel-group comparison study (SWITCH-SEMA 1 study). PMID 36722623</w:t>
      </w:r>
    </w:p>
    <w:p>
      <w:pPr>
        <w:numPr>
          <w:ilvl w:val="0"/>
          <w:numId w:val="1379"/>
        </w:numPr>
        <w:pStyle w:val="Compact"/>
      </w:pPr>
      <w:r>
        <w:t xml:space="preserve">2023 · Wharton S ·</w:t>
      </w:r>
      <w:r>
        <w:t xml:space="preserve"> </w:t>
      </w:r>
      <w:r>
        <w:rPr>
          <w:iCs/>
          <w:i/>
        </w:rPr>
        <w:t xml:space="preserve">Obesity (Silver Spring)</w:t>
      </w:r>
      <w:r>
        <w:t xml:space="preserve"> </w:t>
      </w:r>
      <w:r>
        <w:t xml:space="preserve">· Two-year effect of semaglutide 2.4 mg on control of eating in adults with overweight/obesity: STEP 5. PMID 36655300</w:t>
      </w:r>
    </w:p>
    <w:p>
      <w:pPr>
        <w:numPr>
          <w:ilvl w:val="0"/>
          <w:numId w:val="1379"/>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79"/>
        </w:numPr>
        <w:pStyle w:val="Compact"/>
      </w:pPr>
      <w:r>
        <w:t xml:space="preserve">2023 · Jensterle M ·</w:t>
      </w:r>
      <w:r>
        <w:t xml:space="preserve"> </w:t>
      </w:r>
      <w:r>
        <w:rPr>
          <w:iCs/>
          <w:i/>
        </w:rPr>
        <w:t xml:space="preserve">Diabetes Obes Metab</w:t>
      </w:r>
      <w:r>
        <w:t xml:space="preserve"> </w:t>
      </w:r>
      <w:r>
        <w:t xml:space="preserve">· Semaglutide delays 4-hour gastric emptying in women with polycystic ovary syndrome and obesity. PMID 36511825</w:t>
      </w:r>
    </w:p>
    <w:p>
      <w:pPr>
        <w:numPr>
          <w:ilvl w:val="0"/>
          <w:numId w:val="1379"/>
        </w:numPr>
        <w:pStyle w:val="Compact"/>
      </w:pPr>
      <w:r>
        <w:t xml:space="preserve">2023 · Lingvay I ·</w:t>
      </w:r>
      <w:r>
        <w:t xml:space="preserve"> </w:t>
      </w:r>
      <w:r>
        <w:rPr>
          <w:iCs/>
          <w:i/>
        </w:rPr>
        <w:t xml:space="preserve">Obesity (Silver Spring)</w:t>
      </w:r>
      <w:r>
        <w:t xml:space="preserve"> </w:t>
      </w:r>
      <w:r>
        <w:t xml:space="preserve">· Semaglutide for cardiovascular event reduction in people with overweight or obesity: SELECT study baseline characteristics. PMID 36502289</w:t>
      </w:r>
    </w:p>
    <w:p>
      <w:pPr>
        <w:numPr>
          <w:ilvl w:val="0"/>
          <w:numId w:val="1379"/>
        </w:numPr>
        <w:pStyle w:val="Compact"/>
      </w:pPr>
      <w:r>
        <w:t xml:space="preserve">2022 · Amaro A ·</w:t>
      </w:r>
      <w:r>
        <w:t xml:space="preserve"> </w:t>
      </w:r>
      <w:r>
        <w:rPr>
          <w:iCs/>
          <w:i/>
        </w:rPr>
        <w:t xml:space="preserve">Postgrad Med</w:t>
      </w:r>
      <w:r>
        <w:t xml:space="preserve"> </w:t>
      </w:r>
      <w:r>
        <w:t xml:space="preserve">· Cardiometabolic risk factors efficacy of semaglutide in the STEP program. PMID 36691308</w:t>
      </w:r>
    </w:p>
    <w:p>
      <w:pPr>
        <w:numPr>
          <w:ilvl w:val="0"/>
          <w:numId w:val="1379"/>
        </w:numPr>
        <w:pStyle w:val="Compact"/>
      </w:pPr>
      <w:r>
        <w:t xml:space="preserve">2022 · Weghuber D ·</w:t>
      </w:r>
      <w:r>
        <w:t xml:space="preserve"> </w:t>
      </w:r>
      <w:r>
        <w:rPr>
          <w:iCs/>
          <w:i/>
        </w:rPr>
        <w:t xml:space="preserve">N Engl J Med</w:t>
      </w:r>
      <w:r>
        <w:t xml:space="preserve"> </w:t>
      </w:r>
      <w:r>
        <w:t xml:space="preserve">· Once-Weekly Semaglutide in Adolescents with Obesity. PMID 36322838</w:t>
      </w:r>
    </w:p>
    <w:p>
      <w:pPr>
        <w:numPr>
          <w:ilvl w:val="0"/>
          <w:numId w:val="1379"/>
        </w:numPr>
        <w:pStyle w:val="Compact"/>
      </w:pPr>
      <w:r>
        <w:t xml:space="preserve">2022 · Garvey WT ·</w:t>
      </w:r>
      <w:r>
        <w:t xml:space="preserve"> </w:t>
      </w:r>
      <w:r>
        <w:rPr>
          <w:iCs/>
          <w:i/>
        </w:rPr>
        <w:t xml:space="preserve">Nat Med</w:t>
      </w:r>
      <w:r>
        <w:t xml:space="preserve"> </w:t>
      </w:r>
      <w:r>
        <w:t xml:space="preserve">· Two-year effects of semaglutide in adults with overweight or obesity: the STEP 5 trial. PMID 36216945</w:t>
      </w:r>
    </w:p>
    <w:p>
      <w:pPr>
        <w:numPr>
          <w:ilvl w:val="0"/>
          <w:numId w:val="1379"/>
        </w:numPr>
        <w:pStyle w:val="Compact"/>
      </w:pPr>
      <w:r>
        <w:t xml:space="preserve">2022 · Ghusn W ·</w:t>
      </w:r>
      <w:r>
        <w:t xml:space="preserve"> </w:t>
      </w:r>
      <w:r>
        <w:rPr>
          <w:iCs/>
          <w:i/>
        </w:rPr>
        <w:t xml:space="preserve">JAMA Netw Open</w:t>
      </w:r>
      <w:r>
        <w:t xml:space="preserve"> </w:t>
      </w:r>
      <w:r>
        <w:t xml:space="preserve">· Weight Loss Outcomes Associated With Semaglutide Treatment for Patients With Overweight or Obesity. PMID 36121652</w:t>
      </w:r>
    </w:p>
    <w:p>
      <w:pPr>
        <w:numPr>
          <w:ilvl w:val="0"/>
          <w:numId w:val="1379"/>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79"/>
        </w:numPr>
        <w:pStyle w:val="Compact"/>
      </w:pPr>
      <w:r>
        <w:t xml:space="preserve">2022 · Snitker S ·</w:t>
      </w:r>
      <w:r>
        <w:t xml:space="preserve"> </w:t>
      </w:r>
      <w:r>
        <w:rPr>
          <w:iCs/>
          <w:i/>
        </w:rPr>
        <w:t xml:space="preserve">Diabetes Obes Metab</w:t>
      </w:r>
      <w:r>
        <w:t xml:space="preserve"> </w:t>
      </w:r>
      <w:r>
        <w:t xml:space="preserve">· Ease-of-use and acceptability of the novel semaglutide 2.4 mg single-dose pen-injector in people with overweight or obesity in the STEP 8 phase III trial. PMID 35791625</w:t>
      </w:r>
    </w:p>
    <w:p>
      <w:pPr>
        <w:numPr>
          <w:ilvl w:val="0"/>
          <w:numId w:val="1379"/>
        </w:numPr>
        <w:pStyle w:val="Compact"/>
      </w:pPr>
      <w:r>
        <w:t xml:space="preserve">2022 · Strain WD ·</w:t>
      </w:r>
      <w:r>
        <w:t xml:space="preserve"> </w:t>
      </w:r>
      <w:r>
        <w:rPr>
          <w:iCs/>
          <w:i/>
        </w:rPr>
        <w:t xml:space="preserve">Stroke</w:t>
      </w:r>
      <w:r>
        <w:t xml:space="preserve"> </w:t>
      </w:r>
      <w:r>
        <w:t xml:space="preserve">· Effects of Semaglutide on Stroke Subtypes in Type 2 Diabetes: Post Hoc Analysis of the Randomized SUSTAIN 6 and PIONEER 6. PMID 35582947</w:t>
      </w:r>
    </w:p>
    <w:p>
      <w:pPr>
        <w:numPr>
          <w:ilvl w:val="0"/>
          <w:numId w:val="1379"/>
        </w:numPr>
        <w:pStyle w:val="Compact"/>
      </w:pPr>
      <w:r>
        <w:t xml:space="preserve">2022 · Kellerer M ·</w:t>
      </w:r>
      <w:r>
        <w:t xml:space="preserve"> </w:t>
      </w:r>
      <w:r>
        <w:rPr>
          <w:iCs/>
          <w:i/>
        </w:rPr>
        <w:t xml:space="preserve">Diabetes Obes Metab</w:t>
      </w:r>
      <w:r>
        <w:t xml:space="preserve"> </w:t>
      </w:r>
      <w:r>
        <w:t xml:space="preserve">· Effect of once-weekly semaglutide versus thrice-daily insulin aspart, both as add-on to metformin and optimized insulin glargine treatment in participants with type 2 diabetes (SUSTAIN 11): A randomized, open-label, multinational, phase 3b trial. PMID 35546450</w:t>
      </w:r>
    </w:p>
    <w:p>
      <w:pPr>
        <w:numPr>
          <w:ilvl w:val="0"/>
          <w:numId w:val="1379"/>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79"/>
        </w:numPr>
        <w:pStyle w:val="Compact"/>
      </w:pPr>
      <w:r>
        <w:t xml:space="preserve">2022 · Wilding JPH ·</w:t>
      </w:r>
      <w:r>
        <w:t xml:space="preserve"> </w:t>
      </w:r>
      <w:r>
        <w:rPr>
          <w:iCs/>
          <w:i/>
        </w:rPr>
        <w:t xml:space="preserve">Diabetes Obes Metab</w:t>
      </w:r>
      <w:r>
        <w:t xml:space="preserve"> </w:t>
      </w:r>
      <w:r>
        <w:t xml:space="preserve">· Weight regain and cardiometabolic effects after withdrawal of semaglutide: The STEP 1 trial extension. PMID 35441470</w:t>
      </w:r>
    </w:p>
    <w:p>
      <w:pPr>
        <w:numPr>
          <w:ilvl w:val="0"/>
          <w:numId w:val="1379"/>
        </w:numPr>
        <w:pStyle w:val="Compact"/>
      </w:pPr>
      <w:r>
        <w:t xml:space="preserve">2022 · Alkhouri N ·</w:t>
      </w:r>
      <w:r>
        <w:t xml:space="preserve"> </w:t>
      </w:r>
      <w:r>
        <w:rPr>
          <w:iCs/>
          <w:i/>
        </w:rPr>
        <w:t xml:space="preserve">J Hepatol</w:t>
      </w:r>
      <w:r>
        <w:t xml:space="preserve"> </w:t>
      </w:r>
      <w:r>
        <w:t xml:space="preserve">· Safety and efficacy of combination therapy with semaglutide, cilofexor and firsocostat in patients with non-alcoholic steatohepatitis: A randomised, open-label phase II trial. PMID 35439567</w:t>
      </w:r>
    </w:p>
    <w:p>
      <w:pPr>
        <w:numPr>
          <w:ilvl w:val="0"/>
          <w:numId w:val="1379"/>
        </w:numPr>
        <w:pStyle w:val="Compact"/>
      </w:pPr>
      <w:r>
        <w:t xml:space="preserve">2022 · Stafford S ·</w:t>
      </w:r>
      <w:r>
        <w:t xml:space="preserve"> </w:t>
      </w:r>
      <w:r>
        <w:rPr>
          <w:iCs/>
          <w:i/>
        </w:rPr>
        <w:t xml:space="preserve">Appl Health Econ Health Policy</w:t>
      </w:r>
      <w:r>
        <w:t xml:space="preserve"> </w:t>
      </w:r>
      <w:r>
        <w:t xml:space="preserve">· Cost-Effectiveness of Once-Weekly Semaglutide 1 mg versus Canagliflozin 300 mg in Patients with Type 2 Diabetes Mellitus in a Canadian Setting. PMID 35344191</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once-weekly semaglutide in Japanese individuals with type 2 diabetes by baseline age and body mass index. PMID 35174649</w:t>
      </w:r>
    </w:p>
    <w:p>
      <w:pPr>
        <w:numPr>
          <w:ilvl w:val="0"/>
          <w:numId w:val="1379"/>
        </w:numPr>
        <w:pStyle w:val="Compact"/>
      </w:pPr>
      <w:r>
        <w:t xml:space="preserve">2022 · Kadowaki T ·</w:t>
      </w:r>
      <w:r>
        <w:t xml:space="preserve"> </w:t>
      </w:r>
      <w:r>
        <w:rPr>
          <w:iCs/>
          <w:i/>
        </w:rPr>
        <w:t xml:space="preserve">Lancet Diabetes Endocrinol</w:t>
      </w:r>
      <w:r>
        <w:t xml:space="preserve"> </w:t>
      </w:r>
      <w:r>
        <w:t xml:space="preserve">· Semaglutide once a week in adults with overweight or obesity, with or without type 2 diabetes in an east Asian population (STEP 6): a randomised, double-blind, double-dummy, placebo-controlled, phase 3a trial. PMID 35131037</w:t>
      </w:r>
    </w:p>
    <w:p>
      <w:pPr>
        <w:numPr>
          <w:ilvl w:val="0"/>
          <w:numId w:val="1379"/>
        </w:numPr>
        <w:pStyle w:val="Compact"/>
      </w:pPr>
      <w:r>
        <w:t xml:space="preserve">2022 · Yabe D ·</w:t>
      </w:r>
      <w:r>
        <w:t xml:space="preserve"> </w:t>
      </w:r>
      <w:r>
        <w:rPr>
          <w:iCs/>
          <w:i/>
        </w:rPr>
        <w:t xml:space="preserve">J Diabetes Investig</w:t>
      </w:r>
      <w:r>
        <w:t xml:space="preserve"> </w:t>
      </w:r>
      <w:r>
        <w:t xml:space="preserve">· Efficacy and safety of oral semaglutide in Japanese patients with type 2 diabetes: A subgroup analysis by baseline variables in the PIONEER 9 and PIONEER 10 trials. PMID 35112504</w:t>
      </w:r>
    </w:p>
    <w:p>
      <w:pPr>
        <w:numPr>
          <w:ilvl w:val="0"/>
          <w:numId w:val="1379"/>
        </w:numPr>
        <w:pStyle w:val="Compact"/>
      </w:pPr>
      <w:r>
        <w:t xml:space="preserve">2022 · Rubino DM ·</w:t>
      </w:r>
      <w:r>
        <w:t xml:space="preserve"> </w:t>
      </w:r>
      <w:r>
        <w:rPr>
          <w:iCs/>
          <w:i/>
        </w:rPr>
        <w:t xml:space="preserve">JAMA</w:t>
      </w:r>
      <w:r>
        <w:t xml:space="preserve"> </w:t>
      </w:r>
      <w:r>
        <w:t xml:space="preserve">· Effect of Weekly Subcutaneous Semaglutide vs Daily Liraglutide on Body Weight in Adults With Overweight or Obesity Without Diabetes: The STEP 8 Randomized Clinical Trial. PMID 35015037</w:t>
      </w:r>
    </w:p>
    <w:p>
      <w:pPr>
        <w:numPr>
          <w:ilvl w:val="0"/>
          <w:numId w:val="1379"/>
        </w:numPr>
        <w:pStyle w:val="Compact"/>
      </w:pPr>
      <w:r>
        <w:t xml:space="preserve">2022 · Meier JJ ·</w:t>
      </w:r>
      <w:r>
        <w:t xml:space="preserve"> </w:t>
      </w:r>
      <w:r>
        <w:rPr>
          <w:iCs/>
          <w:i/>
        </w:rPr>
        <w:t xml:space="preserve">Diabetes Obes Metab</w:t>
      </w:r>
      <w:r>
        <w:t xml:space="preserve"> </w:t>
      </w:r>
      <w:r>
        <w:t xml:space="preserve">· Effect of upper gastrointestinal disease on the pharmacokinetics of oral semaglutide in subjects with type 2 diabetes. PMID 34957654</w:t>
      </w:r>
    </w:p>
    <w:p>
      <w:pPr>
        <w:numPr>
          <w:ilvl w:val="0"/>
          <w:numId w:val="1379"/>
        </w:numPr>
        <w:pStyle w:val="Compact"/>
      </w:pPr>
      <w:r>
        <w:t xml:space="preserve">2022 · Shaman AM ·</w:t>
      </w:r>
      <w:r>
        <w:t xml:space="preserve"> </w:t>
      </w:r>
      <w:r>
        <w:rPr>
          <w:iCs/>
          <w:i/>
        </w:rPr>
        <w:t xml:space="preserve">Circulation</w:t>
      </w:r>
      <w:r>
        <w:t xml:space="preserve"> </w:t>
      </w:r>
      <w:r>
        <w:t xml:space="preserve">· Effect of the Glucagon-Like Peptide-1 Receptor Agonists Semaglutide and Liraglutide on Kidney Outcomes in Patients With Type 2 Diabetes: Pooled Analysis of SUSTAIN 6 and LEADER. PMID 34903039</w:t>
      </w:r>
    </w:p>
    <w:p>
      <w:pPr>
        <w:numPr>
          <w:ilvl w:val="0"/>
          <w:numId w:val="1379"/>
        </w:numPr>
        <w:pStyle w:val="Compact"/>
      </w:pPr>
      <w:r>
        <w:t xml:space="preserve">2022 · Yamada Y ·</w:t>
      </w:r>
      <w:r>
        <w:t xml:space="preserve"> </w:t>
      </w:r>
      <w:r>
        <w:rPr>
          <w:iCs/>
          <w:i/>
        </w:rPr>
        <w:t xml:space="preserve">Diabetes Obes Metab</w:t>
      </w:r>
      <w:r>
        <w:t xml:space="preserve"> </w:t>
      </w:r>
      <w:r>
        <w:t xml:space="preserve">· Efficacy and safety of oral semaglutide by baseline age in Japanese patients with type 2 diabetes: A subgroup analysis of the PIONEER 9 and 10 Japan trials. PMID 34622548</w:t>
      </w:r>
    </w:p>
    <w:p>
      <w:pPr>
        <w:numPr>
          <w:ilvl w:val="0"/>
          <w:numId w:val="1379"/>
        </w:numPr>
        <w:pStyle w:val="Compact"/>
      </w:pPr>
      <w:r>
        <w:t xml:space="preserve">2022 · Wharton S ·</w:t>
      </w:r>
      <w:r>
        <w:t xml:space="preserve"> </w:t>
      </w:r>
      <w:r>
        <w:rPr>
          <w:iCs/>
          <w:i/>
        </w:rPr>
        <w:t xml:space="preserve">Diabetes Obes Metab</w:t>
      </w:r>
      <w:r>
        <w:t xml:space="preserve"> </w:t>
      </w:r>
      <w:r>
        <w:t xml:space="preserve">· Gastrointestinal tolerability of once-weekly semaglutide 2.4 mg in adults with overweight or obesity, and the relationship between gastrointestinal adverse events and weight loss. PMID 34514682</w:t>
      </w:r>
    </w:p>
    <w:p>
      <w:pPr>
        <w:numPr>
          <w:ilvl w:val="0"/>
          <w:numId w:val="1379"/>
        </w:numPr>
        <w:pStyle w:val="Compact"/>
      </w:pPr>
      <w:r>
        <w:t xml:space="preserve">2021 · Paquot N ·</w:t>
      </w:r>
      <w:r>
        <w:t xml:space="preserve"> </w:t>
      </w:r>
      <w:r>
        <w:rPr>
          <w:iCs/>
          <w:i/>
        </w:rPr>
        <w:t xml:space="preserve">Rev Med Liege</w:t>
      </w:r>
      <w:r>
        <w:t xml:space="preserve"> </w:t>
      </w:r>
      <w:r>
        <w:t xml:space="preserve">· [Oral semaglutide, first oral GLP-1 receptor agonist (Rybelsus®)]. PMID 34881835</w:t>
      </w:r>
    </w:p>
    <w:p>
      <w:pPr>
        <w:numPr>
          <w:ilvl w:val="0"/>
          <w:numId w:val="1379"/>
        </w:numPr>
        <w:pStyle w:val="Compact"/>
      </w:pPr>
      <w:r>
        <w:t xml:space="preserve">2021 · Overgaard RV ·</w:t>
      </w:r>
      <w:r>
        <w:t xml:space="preserve"> </w:t>
      </w:r>
      <w:r>
        <w:rPr>
          <w:iCs/>
          <w:i/>
        </w:rPr>
        <w:t xml:space="preserve">Cell Rep Med</w:t>
      </w:r>
      <w:r>
        <w:t xml:space="preserve"> </w:t>
      </w:r>
      <w:r>
        <w:t xml:space="preserve">· Levels of circulating semaglutide determine reductions in HbA1c and body weight in people with type 2 diabetes. PMID 34622228</w:t>
      </w:r>
    </w:p>
    <w:p>
      <w:pPr>
        <w:numPr>
          <w:ilvl w:val="0"/>
          <w:numId w:val="1379"/>
        </w:numPr>
        <w:pStyle w:val="Compact"/>
      </w:pPr>
      <w:r>
        <w:t xml:space="preserve">2021 · Flint A ·</w:t>
      </w:r>
      <w:r>
        <w:t xml:space="preserve"> </w:t>
      </w:r>
      <w:r>
        <w:rPr>
          <w:iCs/>
          <w:i/>
        </w:rPr>
        <w:t xml:space="preserve">Aliment Pharmacol Ther</w:t>
      </w:r>
      <w:r>
        <w:t xml:space="preserve"> </w:t>
      </w:r>
      <w:r>
        <w:t xml:space="preserve">· Randomised clinical trial: semaglutide versus placebo reduced liver steatosis but not liver stiffness in subjects with non-alcoholic fatty liver disease assessed by magnetic resonance imaging. PMID 34570916</w:t>
      </w:r>
    </w:p>
    <w:p>
      <w:pPr>
        <w:numPr>
          <w:ilvl w:val="0"/>
          <w:numId w:val="1379"/>
        </w:numPr>
        <w:pStyle w:val="Compact"/>
      </w:pPr>
      <w:r>
        <w:t xml:space="preserve">2021 · Araki E ·</w:t>
      </w:r>
      <w:r>
        <w:t xml:space="preserve"> </w:t>
      </w:r>
      <w:r>
        <w:rPr>
          <w:iCs/>
          <w:i/>
        </w:rPr>
        <w:t xml:space="preserve">Diabetes Obes Metab</w:t>
      </w:r>
      <w:r>
        <w:t xml:space="preserve"> </w:t>
      </w:r>
      <w:r>
        <w:t xml:space="preserve">· Efficacy and safety of oral semaglutide in Japanese patients with type 2 diabetes: A post hoc subgroup analysis of the PIONEER 1, 3, 4 and 8 trials. PMID 34472698</w:t>
      </w:r>
    </w:p>
    <w:p>
      <w:pPr>
        <w:numPr>
          <w:ilvl w:val="0"/>
          <w:numId w:val="1379"/>
        </w:numPr>
        <w:pStyle w:val="Compact"/>
      </w:pPr>
      <w:r>
        <w:t xml:space="preserve">2021 · Frías JP ·</w:t>
      </w:r>
      <w:r>
        <w:t xml:space="preserve"> </w:t>
      </w:r>
      <w:r>
        <w:rPr>
          <w:iCs/>
          <w:i/>
        </w:rPr>
        <w:t xml:space="preserve">Lancet Diabetes Endocrinol</w:t>
      </w:r>
      <w:r>
        <w:t xml:space="preserve"> </w:t>
      </w:r>
      <w:r>
        <w:t xml:space="preserve">· Efficacy and safety of once-weekly semaglutide 2·0 mg versus 1·0 mg in patients with type 2 diabetes (SUSTAIN FORTE): a double-blind, randomised, phase 3B trial. PMID 34293304</w:t>
      </w:r>
    </w:p>
    <w:p>
      <w:pPr>
        <w:numPr>
          <w:ilvl w:val="0"/>
          <w:numId w:val="1379"/>
        </w:numPr>
        <w:pStyle w:val="Compact"/>
      </w:pPr>
      <w:r>
        <w:t xml:space="preserve">2021 · Hauge C ·</w:t>
      </w:r>
      <w:r>
        <w:t xml:space="preserve"> </w:t>
      </w:r>
      <w:r>
        <w:rPr>
          <w:iCs/>
          <w:i/>
        </w:rPr>
        <w:t xml:space="preserve">Expert Opin Drug Metab Toxicol</w:t>
      </w:r>
      <w:r>
        <w:t xml:space="preserve"> </w:t>
      </w:r>
      <w:r>
        <w:t xml:space="preserve">· Effect of oral semaglutide on the pharmacokinetics of thyroxine after dosing of levothyroxine and the influence of co-administered tablets on the pharmacokinetics of oral semaglutide in healthy subjects: an open-label, one-sequence crossover, single-center, multiple-dose, two-part trial. PMID 34289755</w:t>
      </w:r>
    </w:p>
    <w:p>
      <w:pPr>
        <w:numPr>
          <w:ilvl w:val="0"/>
          <w:numId w:val="1379"/>
        </w:numPr>
        <w:pStyle w:val="Compact"/>
      </w:pPr>
      <w:r>
        <w:t xml:space="preserve">2021 · Jensterle M ·</w:t>
      </w:r>
      <w:r>
        <w:t xml:space="preserve"> </w:t>
      </w:r>
      <w:r>
        <w:rPr>
          <w:iCs/>
          <w:i/>
        </w:rPr>
        <w:t xml:space="preserve">Diabetes Res Clin Pract</w:t>
      </w:r>
      <w:r>
        <w:t xml:space="preserve"> </w:t>
      </w:r>
      <w:r>
        <w:t xml:space="preserve">· Semaglutide reduces fat accumulation in the tongue: A randomized single-blind, pilot study. PMID 34217774</w:t>
      </w:r>
    </w:p>
    <w:p>
      <w:pPr>
        <w:numPr>
          <w:ilvl w:val="0"/>
          <w:numId w:val="1379"/>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79"/>
        </w:numPr>
        <w:pStyle w:val="Compact"/>
      </w:pPr>
      <w:r>
        <w:t xml:space="preserve">2021 · Dichtel LE ·</w:t>
      </w:r>
      <w:r>
        <w:t xml:space="preserve"> </w:t>
      </w:r>
      <w:r>
        <w:rPr>
          <w:iCs/>
          <w:i/>
        </w:rPr>
        <w:t xml:space="preserve">Hepatology</w:t>
      </w:r>
      <w:r>
        <w:t xml:space="preserve"> </w:t>
      </w:r>
      <w:r>
        <w:t xml:space="preserve">· The Glucagon-Like Peptide-1 Receptor Agonist, Semaglutide, for the Treatment of Nonalcoholic Steatohepatitis. PMID 33960005</w:t>
      </w:r>
    </w:p>
    <w:p>
      <w:pPr>
        <w:numPr>
          <w:ilvl w:val="0"/>
          <w:numId w:val="1379"/>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p>
      <w:pPr>
        <w:numPr>
          <w:ilvl w:val="0"/>
          <w:numId w:val="1379"/>
        </w:numPr>
        <w:pStyle w:val="Compact"/>
      </w:pPr>
      <w:r>
        <w:t xml:space="preserve">2021 · Jordy AB ·</w:t>
      </w:r>
      <w:r>
        <w:t xml:space="preserve"> </w:t>
      </w:r>
      <w:r>
        <w:rPr>
          <w:iCs/>
          <w:i/>
        </w:rPr>
        <w:t xml:space="preserve">Clin Pharmacokinet</w:t>
      </w:r>
      <w:r>
        <w:t xml:space="preserve"> </w:t>
      </w:r>
      <w:r>
        <w:t xml:space="preserve">· Effect of Oral Semaglutide on the Pharmacokinetics of Levonorgestrel and Ethinylestradiol in Healthy Postmenopausal Women and Furosemide and Rosuvastatin in Healthy Subjects. PMID 33782832</w:t>
      </w:r>
    </w:p>
    <w:p>
      <w:pPr>
        <w:numPr>
          <w:ilvl w:val="0"/>
          <w:numId w:val="1379"/>
        </w:numPr>
        <w:pStyle w:val="Compact"/>
      </w:pPr>
      <w:r>
        <w:t xml:space="preserve">2021 · Rubino D ·</w:t>
      </w:r>
      <w:r>
        <w:t xml:space="preserve"> </w:t>
      </w:r>
      <w:r>
        <w:rPr>
          <w:iCs/>
          <w:i/>
        </w:rPr>
        <w:t xml:space="preserve">JAMA</w:t>
      </w:r>
      <w:r>
        <w:t xml:space="preserve"> </w:t>
      </w:r>
      <w:r>
        <w:t xml:space="preserve">· Effect of Continued Weekly Subcutaneous Semaglutide vs Placebo on Weight Loss Maintenance in Adults With Overweight or Obesity: The STEP 4 Randomized Clinical Trial. PMID 33755728</w:t>
      </w:r>
    </w:p>
    <w:p>
      <w:pPr>
        <w:numPr>
          <w:ilvl w:val="0"/>
          <w:numId w:val="1379"/>
        </w:numPr>
        <w:pStyle w:val="Compact"/>
      </w:pPr>
      <w:r>
        <w:t xml:space="preserve">2021 · Baekdal TA ·</w:t>
      </w:r>
      <w:r>
        <w:t xml:space="preserve"> </w:t>
      </w:r>
      <w:r>
        <w:rPr>
          <w:iCs/>
          <w:i/>
        </w:rPr>
        <w:t xml:space="preserve">Clin Pharmacol Drug Dev</w:t>
      </w:r>
      <w:r>
        <w:t xml:space="preserve"> </w:t>
      </w:r>
      <w:r>
        <w:t xml:space="preserve">· Relationship Between Oral Semaglutide Tablet Erosion and Pharmacokinetics: A Pharmacoscintigraphic Study. PMID 33750044</w:t>
      </w:r>
    </w:p>
    <w:p>
      <w:pPr>
        <w:numPr>
          <w:ilvl w:val="0"/>
          <w:numId w:val="1379"/>
        </w:numPr>
        <w:pStyle w:val="Compact"/>
      </w:pPr>
      <w:r>
        <w:t xml:space="preserve">2021 · Dahl K ·</w:t>
      </w:r>
      <w:r>
        <w:t xml:space="preserve"> </w:t>
      </w:r>
      <w:r>
        <w:rPr>
          <w:iCs/>
          <w:i/>
        </w:rPr>
        <w:t xml:space="preserve">Diabetes Obes Metab</w:t>
      </w:r>
      <w:r>
        <w:t xml:space="preserve"> </w:t>
      </w:r>
      <w:r>
        <w:t xml:space="preserve">· Oral semaglutide improves postprandial glucose and lipid metabolism, and delays gastric emptying, in subjects with type 2 diabetes. PMID 33710717</w:t>
      </w:r>
    </w:p>
    <w:p>
      <w:pPr>
        <w:numPr>
          <w:ilvl w:val="0"/>
          <w:numId w:val="1379"/>
        </w:numPr>
        <w:pStyle w:val="Compact"/>
      </w:pPr>
      <w:r>
        <w:t xml:space="preserve">2021 · Davies M ·</w:t>
      </w:r>
      <w:r>
        <w:t xml:space="preserve"> </w:t>
      </w:r>
      <w:r>
        <w:rPr>
          <w:iCs/>
          <w:i/>
        </w:rPr>
        <w:t xml:space="preserve">Lancet</w:t>
      </w:r>
      <w:r>
        <w:t xml:space="preserve"> </w:t>
      </w:r>
      <w:r>
        <w:t xml:space="preserve">· Semaglutide 2·4 mg once a week in adults with overweight or obesity, and type 2 diabetes (STEP 2): a randomised, double-blind, double-dummy, placebo-controlled, phase 3 trial. PMID 33667417</w:t>
      </w:r>
    </w:p>
    <w:p>
      <w:pPr>
        <w:numPr>
          <w:ilvl w:val="0"/>
          <w:numId w:val="1379"/>
        </w:numPr>
        <w:pStyle w:val="Compact"/>
      </w:pPr>
      <w:r>
        <w:t xml:space="preserve">2021 · Wadden TA ·</w:t>
      </w:r>
      <w:r>
        <w:t xml:space="preserve"> </w:t>
      </w:r>
      <w:r>
        <w:rPr>
          <w:iCs/>
          <w:i/>
        </w:rPr>
        <w:t xml:space="preserve">JAMA</w:t>
      </w:r>
      <w:r>
        <w:t xml:space="preserve"> </w:t>
      </w:r>
      <w:r>
        <w:t xml:space="preserve">· Effect of Subcutaneous Semaglutide vs Placebo as an Adjunct to Intensive Behavioral Therapy on Body Weight in Adults With Overweight or Obesity: The STEP 3 Randomized Clinical Trial. PMID 33625476</w:t>
      </w:r>
    </w:p>
    <w:p>
      <w:pPr>
        <w:numPr>
          <w:ilvl w:val="0"/>
          <w:numId w:val="1379"/>
        </w:numPr>
        <w:pStyle w:val="Compact"/>
      </w:pPr>
      <w:r>
        <w:t xml:space="preserve">2021 · Snitker S ·</w:t>
      </w:r>
      <w:r>
        <w:t xml:space="preserve"> </w:t>
      </w:r>
      <w:r>
        <w:rPr>
          <w:iCs/>
          <w:i/>
        </w:rPr>
        <w:t xml:space="preserve">Diabetes Obes Metab</w:t>
      </w:r>
      <w:r>
        <w:t xml:space="preserve"> </w:t>
      </w:r>
      <w:r>
        <w:t xml:space="preserve">· Comparison of the injection-site experience of the starting doses with semaglutide and dulaglutide: A randomized, double-blind trial in healthy subjects. PMID 33591618</w:t>
      </w:r>
    </w:p>
    <w:p>
      <w:pPr>
        <w:numPr>
          <w:ilvl w:val="0"/>
          <w:numId w:val="1379"/>
        </w:numPr>
        <w:pStyle w:val="Compact"/>
      </w:pPr>
      <w:r>
        <w:t xml:space="preserve">2021 · Wilding JPH ·</w:t>
      </w:r>
      <w:r>
        <w:t xml:space="preserve"> </w:t>
      </w:r>
      <w:r>
        <w:rPr>
          <w:iCs/>
          <w:i/>
        </w:rPr>
        <w:t xml:space="preserve">N Engl J Med</w:t>
      </w:r>
      <w:r>
        <w:t xml:space="preserve"> </w:t>
      </w:r>
      <w:r>
        <w:t xml:space="preserve">· Once-Weekly Semaglutide in Adults with Overweight or Obesity. PMID 33567185</w:t>
      </w:r>
    </w:p>
    <w:p>
      <w:pPr>
        <w:numPr>
          <w:ilvl w:val="0"/>
          <w:numId w:val="1379"/>
        </w:numPr>
        <w:pStyle w:val="Compact"/>
      </w:pPr>
      <w:r>
        <w:t xml:space="preserve">2021 · Birudaraju D ·</w:t>
      </w:r>
      <w:r>
        <w:t xml:space="preserve"> </w:t>
      </w:r>
      <w:r>
        <w:rPr>
          <w:iCs/>
          <w:i/>
        </w:rPr>
        <w:t xml:space="preserve">J Diabetes Complications</w:t>
      </w:r>
      <w:r>
        <w:t xml:space="preserve"> </w:t>
      </w:r>
      <w:r>
        <w:t xml:space="preserve">· Prevalence of normal coronary arteries by coronary computed tomography angiography (CCTA) in patients with type 2 diabetes mellitus from Semaglutide Treatment on Coronary Plaque Progression (STOP) trial. PMID 33419635</w:t>
      </w:r>
    </w:p>
    <w:p>
      <w:pPr>
        <w:numPr>
          <w:ilvl w:val="0"/>
          <w:numId w:val="1379"/>
        </w:numPr>
        <w:pStyle w:val="Compact"/>
      </w:pPr>
      <w:r>
        <w:t xml:space="preserve">2021 · Friedrichsen M ·</w:t>
      </w:r>
      <w:r>
        <w:t xml:space="preserve"> </w:t>
      </w:r>
      <w:r>
        <w:rPr>
          <w:iCs/>
          <w:i/>
        </w:rPr>
        <w:t xml:space="preserve">Diabetes Obes Metab</w:t>
      </w:r>
      <w:r>
        <w:t xml:space="preserve"> </w:t>
      </w:r>
      <w:r>
        <w:t xml:space="preserve">· The effect of semaglutide 2.4 mg once weekly on energy intake, appetite, control of eating, and gastric emptying in adults with obesity. PMID 33269530</w:t>
      </w:r>
    </w:p>
    <w:p>
      <w:pPr>
        <w:numPr>
          <w:ilvl w:val="0"/>
          <w:numId w:val="1379"/>
        </w:numPr>
        <w:pStyle w:val="Compact"/>
      </w:pPr>
      <w:r>
        <w:t xml:space="preserve">2021 · Newsome PN ·</w:t>
      </w:r>
      <w:r>
        <w:t xml:space="preserve"> </w:t>
      </w:r>
      <w:r>
        <w:rPr>
          <w:iCs/>
          <w:i/>
        </w:rPr>
        <w:t xml:space="preserve">N Engl J Med</w:t>
      </w:r>
      <w:r>
        <w:t xml:space="preserve"> </w:t>
      </w:r>
      <w:r>
        <w:t xml:space="preserve">· A Placebo-Controlled Trial of Subcutaneous Semaglutide in Nonalcoholic Steatohepatitis. PMID 33185364</w:t>
      </w:r>
    </w:p>
    <w:p>
      <w:pPr>
        <w:numPr>
          <w:ilvl w:val="0"/>
          <w:numId w:val="1379"/>
        </w:numPr>
        <w:pStyle w:val="Compact"/>
      </w:pPr>
      <w:r>
        <w:t xml:space="preserve">2021 · Gibbons C ·</w:t>
      </w:r>
      <w:r>
        <w:t xml:space="preserve"> </w:t>
      </w:r>
      <w:r>
        <w:rPr>
          <w:iCs/>
          <w:i/>
        </w:rPr>
        <w:t xml:space="preserve">Diabetes Obes Metab</w:t>
      </w:r>
      <w:r>
        <w:t xml:space="preserve"> </w:t>
      </w:r>
      <w:r>
        <w:t xml:space="preserve">· Effects of oral semaglutide on energy intake, food preference, appetite, control of eating and body weight in subjects with type 2 diabetes. PMID 33184979</w:t>
      </w:r>
    </w:p>
    <w:p>
      <w:pPr>
        <w:numPr>
          <w:ilvl w:val="0"/>
          <w:numId w:val="1379"/>
        </w:numPr>
        <w:pStyle w:val="Compact"/>
      </w:pPr>
      <w:r>
        <w:t xml:space="preserve">2021 · Shi A ·</w:t>
      </w:r>
      <w:r>
        <w:t xml:space="preserve"> </w:t>
      </w:r>
      <w:r>
        <w:rPr>
          <w:iCs/>
          <w:i/>
        </w:rPr>
        <w:t xml:space="preserve">Adv Ther</w:t>
      </w:r>
      <w:r>
        <w:t xml:space="preserve"> </w:t>
      </w:r>
      <w:r>
        <w:t xml:space="preserve">· Pharmacokinetics, Safety and Tolerability of Once-Weekly Subcutaneous Semaglutide in Healthy Chinese Subjects: A Double-Blind, Phase 1, Randomized Controlled Trial. PMID 33159658</w:t>
      </w:r>
    </w:p>
    <w:p>
      <w:pPr>
        <w:numPr>
          <w:ilvl w:val="0"/>
          <w:numId w:val="1379"/>
        </w:numPr>
        <w:pStyle w:val="Compact"/>
      </w:pPr>
      <w:r>
        <w:t xml:space="preserve">2021 · Ji L ·</w:t>
      </w:r>
      <w:r>
        <w:t xml:space="preserve"> </w:t>
      </w:r>
      <w:r>
        <w:rPr>
          <w:iCs/>
          <w:i/>
        </w:rPr>
        <w:t xml:space="preserve">Diabetes Obes Metab</w:t>
      </w:r>
      <w:r>
        <w:t xml:space="preserve"> </w:t>
      </w:r>
      <w:r>
        <w:t xml:space="preserve">· Efficacy and safety of once-weekly semaglutide versus once-daily sitagliptin as add-on to metformin in patients with type 2 diabetes in SUSTAIN China: A 30-week, double-blind, phase 3a, randomized trial. PMID 33074557</w:t>
      </w:r>
    </w:p>
    <w:p>
      <w:pPr>
        <w:numPr>
          <w:ilvl w:val="0"/>
          <w:numId w:val="1379"/>
        </w:numPr>
        <w:pStyle w:val="Compact"/>
      </w:pPr>
      <w:r>
        <w:t xml:space="preserve">2020 · Rodbard HW ·</w:t>
      </w:r>
      <w:r>
        <w:t xml:space="preserve"> </w:t>
      </w:r>
      <w:r>
        <w:rPr>
          <w:iCs/>
          <w:i/>
        </w:rPr>
        <w:t xml:space="preserve">Am J Manag Care</w:t>
      </w:r>
      <w:r>
        <w:t xml:space="preserve"> </w:t>
      </w:r>
      <w:r>
        <w:t xml:space="preserve">· Efficacy of oral semaglutide: overview of the PIONEER clinical trial program and implications for managed care. PMID 33439582</w:t>
      </w:r>
    </w:p>
    <w:p>
      <w:pPr>
        <w:numPr>
          <w:ilvl w:val="0"/>
          <w:numId w:val="1379"/>
        </w:numPr>
        <w:pStyle w:val="Compact"/>
      </w:pPr>
      <w:r>
        <w:t xml:space="preserve">2020 · Buse JB ·</w:t>
      </w:r>
      <w:r>
        <w:t xml:space="preserve"> </w:t>
      </w:r>
      <w:r>
        <w:rPr>
          <w:iCs/>
          <w:i/>
        </w:rPr>
        <w:t xml:space="preserve">BMJ Open Diabetes Res Care</w:t>
      </w:r>
      <w:r>
        <w:t xml:space="preserve"> </w:t>
      </w:r>
      <w:r>
        <w:t xml:space="preserve">· Long-term efficacy and safety of oral semaglutide and the effect of switching from sitagliptin to oral semaglutide in patients with type 2 diabetes: a 52-week, randomized, open-label extension of the PIONEER 7 trial. PMID 33318068</w:t>
      </w:r>
    </w:p>
    <w:p>
      <w:pPr>
        <w:numPr>
          <w:ilvl w:val="0"/>
          <w:numId w:val="1379"/>
        </w:numPr>
        <w:pStyle w:val="Compact"/>
      </w:pPr>
      <w:r>
        <w:t xml:space="preserve">2020 · Mann JFE ·</w:t>
      </w:r>
      <w:r>
        <w:t xml:space="preserve"> </w:t>
      </w:r>
      <w:r>
        <w:rPr>
          <w:iCs/>
          <w:i/>
        </w:rPr>
        <w:t xml:space="preserve">Lancet Diabetes Endocrinol</w:t>
      </w:r>
      <w:r>
        <w:t xml:space="preserve"> </w:t>
      </w:r>
      <w:r>
        <w:t xml:space="preserve">· Effects of once-weekly subcutaneous semaglutide on kidney function and safety in patients with type 2 diabetes: a post-hoc analysis of the SUSTAIN 1-7 randomised controlled trials. PMID 32971040</w:t>
      </w:r>
    </w:p>
    <w:p>
      <w:pPr>
        <w:numPr>
          <w:ilvl w:val="0"/>
          <w:numId w:val="1379"/>
        </w:numPr>
        <w:pStyle w:val="Compact"/>
      </w:pPr>
      <w:r>
        <w:t xml:space="preserve">2020 · Verma S ·</w:t>
      </w:r>
      <w:r>
        <w:t xml:space="preserve"> </w:t>
      </w:r>
      <w:r>
        <w:rPr>
          <w:iCs/>
          <w:i/>
        </w:rPr>
        <w:t xml:space="preserve">Diabetes Obes Metab</w:t>
      </w:r>
      <w:r>
        <w:t xml:space="preserve"> </w:t>
      </w:r>
      <w:r>
        <w:t xml:space="preserve">· Impact of microvascular disease on cardiovascular outcomes in type 2 diabetes: Results from the LEADER and SUSTAIN 6 clinical trials. PMID 32643857</w:t>
      </w:r>
    </w:p>
    <w:p>
      <w:pPr>
        <w:numPr>
          <w:ilvl w:val="0"/>
          <w:numId w:val="1379"/>
        </w:numPr>
        <w:pStyle w:val="Compact"/>
      </w:pPr>
      <w:r>
        <w:t xml:space="preserve">2020 · Kushner RF ·</w:t>
      </w:r>
      <w:r>
        <w:t xml:space="preserve"> </w:t>
      </w:r>
      <w:r>
        <w:rPr>
          <w:iCs/>
          <w:i/>
        </w:rPr>
        <w:t xml:space="preserve">Obesity (Silver Spring)</w:t>
      </w:r>
      <w:r>
        <w:t xml:space="preserve"> </w:t>
      </w:r>
      <w:r>
        <w:t xml:space="preserve">· Semaglutide 2.4 mg for the Treatment of Obesity: Key Elements of the STEP Trials 1 to 5. PMID 32441473</w:t>
      </w:r>
    </w:p>
    <w:p>
      <w:pPr>
        <w:numPr>
          <w:ilvl w:val="0"/>
          <w:numId w:val="1379"/>
        </w:numPr>
        <w:pStyle w:val="Compact"/>
      </w:pPr>
      <w:r>
        <w:t xml:space="preserve">2020 · Leiter LA ·</w:t>
      </w:r>
      <w:r>
        <w:t xml:space="preserve"> </w:t>
      </w:r>
      <w:r>
        <w:rPr>
          <w:iCs/>
          <w:i/>
        </w:rPr>
        <w:t xml:space="preserve">Diabetes Obes Metab</w:t>
      </w:r>
      <w:r>
        <w:t xml:space="preserve"> </w:t>
      </w:r>
      <w:r>
        <w:t xml:space="preserve">· The effect of glucagon-like peptide-1 receptor agonists liraglutide and semaglutide on cardiovascular and renal outcomes across baseline blood pressure categories: Analysis of the LEADER and SUSTAIN 6 trials. PMID 32372454</w:t>
      </w:r>
    </w:p>
    <w:p>
      <w:pPr>
        <w:numPr>
          <w:ilvl w:val="0"/>
          <w:numId w:val="1379"/>
        </w:numPr>
        <w:pStyle w:val="Compact"/>
      </w:pPr>
      <w:r>
        <w:t xml:space="preserve">2020 · Yabe D ·</w:t>
      </w:r>
      <w:r>
        <w:t xml:space="preserve"> </w:t>
      </w:r>
      <w:r>
        <w:rPr>
          <w:iCs/>
          <w:i/>
        </w:rPr>
        <w:t xml:space="preserve">Lancet Diabetes Endocrinol</w:t>
      </w:r>
      <w:r>
        <w:t xml:space="preserve"> </w:t>
      </w:r>
      <w:r>
        <w:t xml:space="preserve">· Safety and efficacy of oral semaglutide versus dulaglutide in Japanese patients with type 2 diabetes (PIONEER 10): an open-label, randomised, active-controlled, phase 3a trial. PMID 32333876</w:t>
      </w:r>
    </w:p>
    <w:p>
      <w:pPr>
        <w:numPr>
          <w:ilvl w:val="0"/>
          <w:numId w:val="1379"/>
        </w:numPr>
        <w:pStyle w:val="Compact"/>
      </w:pPr>
      <w:r>
        <w:t xml:space="preserve">2020 · Yamada Y ·</w:t>
      </w:r>
      <w:r>
        <w:t xml:space="preserve"> </w:t>
      </w:r>
      <w:r>
        <w:rPr>
          <w:iCs/>
          <w:i/>
        </w:rPr>
        <w:t xml:space="preserve">Lancet Diabetes Endocrinol</w:t>
      </w:r>
      <w:r>
        <w:t xml:space="preserve"> </w:t>
      </w:r>
      <w:r>
        <w:t xml:space="preserve">· Dose-response, efficacy, and safety of oral semaglutide monotherapy in Japanese patients with type 2 diabetes (PIONEER 9): a 52-week, phase 2/3a, randomised, controlled trial. PMID 32333875</w:t>
      </w:r>
    </w:p>
    <w:p>
      <w:pPr>
        <w:numPr>
          <w:ilvl w:val="0"/>
          <w:numId w:val="1379"/>
        </w:numPr>
        <w:pStyle w:val="Compact"/>
      </w:pPr>
      <w:r>
        <w:t xml:space="preserve">2020 · Jódar E ·</w:t>
      </w:r>
      <w:r>
        <w:t xml:space="preserve"> </w:t>
      </w:r>
      <w:r>
        <w:rPr>
          <w:iCs/>
          <w:i/>
        </w:rPr>
        <w:t xml:space="preserve">Diabetes Obes Metab</w:t>
      </w:r>
      <w:r>
        <w:t xml:space="preserve"> </w:t>
      </w:r>
      <w:r>
        <w:t xml:space="preserve">· Semaglutide improves health-related quality of life versus placebo when added to standard of care in patients with type 2 diabetes at high cardiovascular risk (SUSTAIN 6). PMID 32227613</w:t>
      </w:r>
    </w:p>
    <w:p>
      <w:pPr>
        <w:numPr>
          <w:ilvl w:val="0"/>
          <w:numId w:val="1379"/>
        </w:numPr>
        <w:pStyle w:val="Compact"/>
      </w:pPr>
      <w:r>
        <w:t xml:space="preserve">2020 · Doggrell SA ·</w:t>
      </w:r>
      <w:r>
        <w:t xml:space="preserve"> </w:t>
      </w:r>
      <w:r>
        <w:rPr>
          <w:iCs/>
          <w:i/>
        </w:rPr>
        <w:t xml:space="preserve">Expert Opin Biol Ther</w:t>
      </w:r>
      <w:r>
        <w:t xml:space="preserve"> </w:t>
      </w:r>
      <w:r>
        <w:t xml:space="preserve">· Will oral semaglutide be used to reduce cardiovascular risk in subjects with type 2 diabetes instead of subcutaneous semaglutide?. PMID 32005073</w:t>
      </w:r>
    </w:p>
    <w:p>
      <w:pPr>
        <w:numPr>
          <w:ilvl w:val="0"/>
          <w:numId w:val="1379"/>
        </w:numPr>
        <w:pStyle w:val="Compact"/>
      </w:pPr>
      <w:r>
        <w:t xml:space="preserve">2020 · McCrimmon RJ ·</w:t>
      </w:r>
      <w:r>
        <w:t xml:space="preserve"> </w:t>
      </w:r>
      <w:r>
        <w:rPr>
          <w:iCs/>
          <w:i/>
        </w:rPr>
        <w:t xml:space="preserve">Diabetologia</w:t>
      </w:r>
      <w:r>
        <w:t xml:space="preserve"> </w:t>
      </w:r>
      <w:r>
        <w:t xml:space="preserve">· Effects of once-weekly semaglutide vs once-daily canagliflozin on body composition in type 2 diabetes: a substudy of the SUSTAIN 8 randomised controlled clinical trial. PMID 31897524</w:t>
      </w:r>
    </w:p>
    <w:p>
      <w:pPr>
        <w:numPr>
          <w:ilvl w:val="0"/>
          <w:numId w:val="1379"/>
        </w:numPr>
        <w:pStyle w:val="Compact"/>
      </w:pPr>
      <w:r>
        <w:t xml:space="preserve">2020 · DeSouza C ·</w:t>
      </w:r>
      <w:r>
        <w:t xml:space="preserve"> </w:t>
      </w:r>
      <w:r>
        <w:rPr>
          <w:iCs/>
          <w:i/>
        </w:rPr>
        <w:t xml:space="preserve">J Clin Endocrinol Metab</w:t>
      </w:r>
      <w:r>
        <w:t xml:space="preserve"> </w:t>
      </w:r>
      <w:r>
        <w:t xml:space="preserve">· Efficacy and Safety of Semaglutide for Type 2 Diabetes by Race and Ethnicity: A Post Hoc Analysis of the SUSTAIN Trials. PMID 31769496</w:t>
      </w:r>
    </w:p>
    <w:p>
      <w:pPr>
        <w:numPr>
          <w:ilvl w:val="0"/>
          <w:numId w:val="1379"/>
        </w:numPr>
        <w:pStyle w:val="Compact"/>
      </w:pPr>
      <w:r>
        <w:t xml:space="preserve">2020 · Matza LS ·</w:t>
      </w:r>
      <w:r>
        <w:t xml:space="preserve"> </w:t>
      </w:r>
      <w:r>
        <w:rPr>
          <w:iCs/>
          <w:i/>
        </w:rPr>
        <w:t xml:space="preserve">Diabetes Obes Metab</w:t>
      </w:r>
      <w:r>
        <w:t xml:space="preserve"> </w:t>
      </w:r>
      <w:r>
        <w:t xml:space="preserve">· Assessing patient PREFERence between the dulaglutide pen and the semaglutide pen: A crossover study (PREFER). PMID 31646727</w:t>
      </w:r>
    </w:p>
    <w:p>
      <w:pPr>
        <w:numPr>
          <w:ilvl w:val="0"/>
          <w:numId w:val="1379"/>
        </w:numPr>
        <w:pStyle w:val="Compact"/>
      </w:pPr>
      <w:r>
        <w:t xml:space="preserve">2020 · Capehorn MS ·</w:t>
      </w:r>
      <w:r>
        <w:t xml:space="preserve"> </w:t>
      </w:r>
      <w:r>
        <w:rPr>
          <w:iCs/>
          <w:i/>
        </w:rPr>
        <w:t xml:space="preserve">Diabetes Metab</w:t>
      </w:r>
      <w:r>
        <w:t xml:space="preserve"> </w:t>
      </w:r>
      <w:r>
        <w:t xml:space="preserve">· Efficacy and safety of once-weekly semaglutide 1.0mg vs once-daily liraglutide 1.2mg as add-on to 1-3 oral antidiabetic drugs in subjects with type 2 diabetes (SUSTAIN 10). PMID 31539622</w:t>
      </w:r>
    </w:p>
    <w:p>
      <w:pPr>
        <w:numPr>
          <w:ilvl w:val="0"/>
          <w:numId w:val="1379"/>
        </w:numPr>
        <w:pStyle w:val="Compact"/>
      </w:pPr>
      <w:r>
        <w:t xml:space="preserve">2019 · Lingvay I ·</w:t>
      </w:r>
      <w:r>
        <w:t xml:space="preserve"> </w:t>
      </w:r>
      <w:r>
        <w:rPr>
          <w:iCs/>
          <w:i/>
        </w:rPr>
        <w:t xml:space="preserve">Lancet Diabetes Endocrinol</w:t>
      </w:r>
      <w:r>
        <w:t xml:space="preserve"> </w:t>
      </w:r>
      <w:r>
        <w:t xml:space="preserve">· Efficacy and safety of once-weekly semaglutide versus daily canagliflozin as add-on to metformin in patients with type 2 diabetes (SUSTAIN 8): a double-blind, phase 3b, randomised controlled trial. PMID 31540867</w:t>
      </w:r>
    </w:p>
    <w:p>
      <w:pPr>
        <w:numPr>
          <w:ilvl w:val="0"/>
          <w:numId w:val="1379"/>
        </w:numPr>
        <w:pStyle w:val="Compact"/>
      </w:pPr>
      <w:r>
        <w:t xml:space="preserve">2019 · Zinman B ·</w:t>
      </w:r>
      <w:r>
        <w:t xml:space="preserve"> </w:t>
      </w:r>
      <w:r>
        <w:rPr>
          <w:iCs/>
          <w:i/>
        </w:rPr>
        <w:t xml:space="preserve">Diabetes Care</w:t>
      </w:r>
      <w:r>
        <w:t xml:space="preserve"> </w:t>
      </w:r>
      <w:r>
        <w:t xml:space="preserve">· Efficacy, Safety, and Tolerability of Oral Semaglutide Versus Placebo Added to Insulin With or Without Metformin in Patients With Type 2 Diabetes: The PIONEER 8 Trial. PMID 31530667</w:t>
      </w:r>
    </w:p>
    <w:p>
      <w:pPr>
        <w:numPr>
          <w:ilvl w:val="0"/>
          <w:numId w:val="1379"/>
        </w:numPr>
        <w:pStyle w:val="Compact"/>
      </w:pPr>
      <w:r>
        <w:t xml:space="preserve">2019 · Rodbard HW ·</w:t>
      </w:r>
      <w:r>
        <w:t xml:space="preserve"> </w:t>
      </w:r>
      <w:r>
        <w:rPr>
          <w:iCs/>
          <w:i/>
        </w:rPr>
        <w:t xml:space="preserve">Diabetes Care</w:t>
      </w:r>
      <w:r>
        <w:t xml:space="preserve"> </w:t>
      </w:r>
      <w:r>
        <w:t xml:space="preserve">· Oral Semaglutide Versus Empagliflozin in Patients With Type 2 Diabetes Uncontrolled on Metformin: The PIONEER 2 Trial. PMID 31530666</w:t>
      </w:r>
    </w:p>
    <w:p>
      <w:pPr>
        <w:numPr>
          <w:ilvl w:val="0"/>
          <w:numId w:val="1379"/>
        </w:numPr>
        <w:pStyle w:val="Compact"/>
      </w:pPr>
      <w:r>
        <w:t xml:space="preserve">2019 · Jendle J ·</w:t>
      </w:r>
      <w:r>
        <w:t xml:space="preserve"> </w:t>
      </w:r>
      <w:r>
        <w:rPr>
          <w:iCs/>
          <w:i/>
        </w:rPr>
        <w:t xml:space="preserve">Diabetes Obes Metab</w:t>
      </w:r>
      <w:r>
        <w:t xml:space="preserve"> </w:t>
      </w:r>
      <w:r>
        <w:t xml:space="preserve">· Improved treatment satisfaction in patients with type 2 diabetes treated with once-weekly semaglutide in the SUSTAIN trials. PMID 31215727</w:t>
      </w:r>
    </w:p>
    <w:p>
      <w:pPr>
        <w:numPr>
          <w:ilvl w:val="0"/>
          <w:numId w:val="1379"/>
        </w:numPr>
        <w:pStyle w:val="Compact"/>
      </w:pPr>
      <w:r>
        <w:t xml:space="preserve">2019 · Pieber TR ·</w:t>
      </w:r>
      <w:r>
        <w:t xml:space="preserve"> </w:t>
      </w:r>
      <w:r>
        <w:rPr>
          <w:iCs/>
          <w:i/>
        </w:rPr>
        <w:t xml:space="preserve">Lancet Diabetes Endocrinol</w:t>
      </w:r>
      <w:r>
        <w:t xml:space="preserve"> </w:t>
      </w:r>
      <w:r>
        <w:t xml:space="preserve">· Efficacy and safety of oral semaglutide with flexible dose adjustment versus sitagliptin in type 2 diabetes (PIONEER 7): a multicentre, open-label, randomised, phase 3a trial. PMID 31189520</w:t>
      </w:r>
    </w:p>
    <w:p>
      <w:pPr>
        <w:numPr>
          <w:ilvl w:val="0"/>
          <w:numId w:val="1379"/>
        </w:numPr>
        <w:pStyle w:val="Compact"/>
      </w:pPr>
      <w:r>
        <w:t xml:space="preserve">2019 · Mosenzon O ·</w:t>
      </w:r>
      <w:r>
        <w:t xml:space="preserve"> </w:t>
      </w:r>
      <w:r>
        <w:rPr>
          <w:iCs/>
          <w:i/>
        </w:rPr>
        <w:t xml:space="preserve">Lancet Diabetes Endocrinol</w:t>
      </w:r>
      <w:r>
        <w:t xml:space="preserve"> </w:t>
      </w:r>
      <w:r>
        <w:t xml:space="preserve">· Efficacy and safety of oral semaglutide in patients with type 2 diabetes and moderate renal impairment (PIONEER 5): a placebo-controlled, randomised, phase 3a trial. PMID 31189517</w:t>
      </w:r>
    </w:p>
    <w:p>
      <w:pPr>
        <w:numPr>
          <w:ilvl w:val="0"/>
          <w:numId w:val="1379"/>
        </w:numPr>
        <w:pStyle w:val="Compact"/>
      </w:pPr>
      <w:r>
        <w:t xml:space="preserve">2019 · Pratley R ·</w:t>
      </w:r>
      <w:r>
        <w:t xml:space="preserve"> </w:t>
      </w:r>
      <w:r>
        <w:rPr>
          <w:iCs/>
          <w:i/>
        </w:rPr>
        <w:t xml:space="preserve">Lancet</w:t>
      </w:r>
      <w:r>
        <w:t xml:space="preserve"> </w:t>
      </w:r>
      <w:r>
        <w:t xml:space="preserve">· Oral semaglutide versus subcutaneous liraglutide and placebo in type 2 diabetes (PIONEER 4): a randomised, double-blind, phase 3a trial. PMID 31186120</w:t>
      </w:r>
    </w:p>
    <w:p>
      <w:pPr>
        <w:numPr>
          <w:ilvl w:val="0"/>
          <w:numId w:val="1379"/>
        </w:numPr>
        <w:pStyle w:val="Compact"/>
      </w:pPr>
      <w:r>
        <w:t xml:space="preserve">2019 · Husain M ·</w:t>
      </w:r>
      <w:r>
        <w:t xml:space="preserve"> </w:t>
      </w:r>
      <w:r>
        <w:rPr>
          <w:iCs/>
          <w:i/>
        </w:rPr>
        <w:t xml:space="preserve">N Engl J Med</w:t>
      </w:r>
      <w:r>
        <w:t xml:space="preserve"> </w:t>
      </w:r>
      <w:r>
        <w:t xml:space="preserve">· Oral Semaglutide and Cardiovascular Outcomes in Patients with Type 2 Diabetes. PMID 31185157</w:t>
      </w:r>
    </w:p>
    <w:p>
      <w:pPr>
        <w:numPr>
          <w:ilvl w:val="0"/>
          <w:numId w:val="1379"/>
        </w:numPr>
        <w:pStyle w:val="Compact"/>
      </w:pPr>
      <w:r>
        <w:t xml:space="preserve">2019 · Bækdal TA ·</w:t>
      </w:r>
      <w:r>
        <w:t xml:space="preserve"> </w:t>
      </w:r>
      <w:r>
        <w:rPr>
          <w:iCs/>
          <w:i/>
        </w:rPr>
        <w:t xml:space="preserve">Clin Pharmacokinet</w:t>
      </w:r>
      <w:r>
        <w:t xml:space="preserve"> </w:t>
      </w:r>
      <w:r>
        <w:t xml:space="preserve">· Effect of Oral Semaglutide on the Pharmacokinetics of Lisinopril, Warfarin, Digoxin, and Metformin in Healthy Subjects. PMID 30945118</w:t>
      </w:r>
    </w:p>
    <w:p>
      <w:pPr>
        <w:numPr>
          <w:ilvl w:val="0"/>
          <w:numId w:val="1379"/>
        </w:numPr>
        <w:pStyle w:val="Compact"/>
      </w:pPr>
      <w:r>
        <w:t xml:space="preserve">2019 · Rosenstock J ·</w:t>
      </w:r>
      <w:r>
        <w:t xml:space="preserve"> </w:t>
      </w:r>
      <w:r>
        <w:rPr>
          <w:iCs/>
          <w:i/>
        </w:rPr>
        <w:t xml:space="preserve">JAMA</w:t>
      </w:r>
      <w:r>
        <w:t xml:space="preserve"> </w:t>
      </w:r>
      <w:r>
        <w:t xml:space="preserve">· Effect of Additional Oral Semaglutide vs Sitagliptin on Glycated Hemoglobin in Adults With Type 2 Diabetes Uncontrolled With Metformin Alone or With Sulfonylurea: The PIONEER 3 Randomized Clinical Trial. PMID 30903796</w:t>
      </w:r>
    </w:p>
    <w:p>
      <w:pPr>
        <w:numPr>
          <w:ilvl w:val="0"/>
          <w:numId w:val="1379"/>
        </w:numPr>
        <w:pStyle w:val="Compact"/>
      </w:pPr>
      <w:r>
        <w:t xml:space="preserve">2019 · Zinman B ·</w:t>
      </w:r>
      <w:r>
        <w:t xml:space="preserve"> </w:t>
      </w:r>
      <w:r>
        <w:rPr>
          <w:iCs/>
          <w:i/>
        </w:rPr>
        <w:t xml:space="preserve">Lancet Diabetes Endocrinol</w:t>
      </w:r>
      <w:r>
        <w:t xml:space="preserve"> </w:t>
      </w:r>
      <w:r>
        <w:t xml:space="preserve">· Semaglutide once weekly as add-on to SGLT-2 inhibitor therapy in type 2 diabetes (SUSTAIN 9): a randomised, placebo-controlled trial. PMID 30833170</w:t>
      </w:r>
    </w:p>
    <w:p>
      <w:pPr>
        <w:numPr>
          <w:ilvl w:val="0"/>
          <w:numId w:val="1379"/>
        </w:numPr>
        <w:pStyle w:val="Compact"/>
      </w:pPr>
      <w:r>
        <w:t xml:space="preserve">2019 · Granhall C ·</w:t>
      </w:r>
      <w:r>
        <w:t xml:space="preserve"> </w:t>
      </w:r>
      <w:r>
        <w:rPr>
          <w:iCs/>
          <w:i/>
        </w:rPr>
        <w:t xml:space="preserve">Clin Pharmacokinet</w:t>
      </w:r>
      <w:r>
        <w:t xml:space="preserve"> </w:t>
      </w:r>
      <w:r>
        <w:t xml:space="preserve">· Safety and Pharmacokinetics of Single and Multiple Ascending Doses of the Novel Oral Human GLP-1 Analogue, Oral Semaglutide, in Healthy Subjects and Subjects with Type 2 Diabetes. PMID 30565096</w:t>
      </w:r>
    </w:p>
    <w:p>
      <w:pPr>
        <w:numPr>
          <w:ilvl w:val="0"/>
          <w:numId w:val="1379"/>
        </w:numPr>
        <w:pStyle w:val="Compact"/>
      </w:pPr>
      <w:r>
        <w:t xml:space="preserve">2019 · Overgaard RV ·</w:t>
      </w:r>
      <w:r>
        <w:t xml:space="preserve"> </w:t>
      </w:r>
      <w:r>
        <w:rPr>
          <w:iCs/>
          <w:i/>
        </w:rPr>
        <w:t xml:space="preserve">Diabetes Obes Metab</w:t>
      </w:r>
      <w:r>
        <w:t xml:space="preserve"> </w:t>
      </w:r>
      <w:r>
        <w:t xml:space="preserve">· Impact on HbA1c and body weight of switching from other GLP-1 receptor agonists to semaglutide: A model-based approach. PMID 30047216</w:t>
      </w:r>
    </w:p>
    <w:p>
      <w:pPr>
        <w:numPr>
          <w:ilvl w:val="0"/>
          <w:numId w:val="1379"/>
        </w:numPr>
        <w:pStyle w:val="Compact"/>
      </w:pPr>
      <w:r>
        <w:t xml:space="preserve">2018 · Buckley ST ·</w:t>
      </w:r>
      <w:r>
        <w:t xml:space="preserve"> </w:t>
      </w:r>
      <w:r>
        <w:rPr>
          <w:iCs/>
          <w:i/>
        </w:rPr>
        <w:t xml:space="preserve">Sci Transl Med</w:t>
      </w:r>
      <w:r>
        <w:t xml:space="preserve"> </w:t>
      </w:r>
      <w:r>
        <w:t xml:space="preserve">· Transcellular stomach absorption of a derivatized glucagon-like peptide-1 receptor agonist. PMID 30429357</w:t>
      </w:r>
    </w:p>
    <w:p>
      <w:pPr>
        <w:numPr>
          <w:ilvl w:val="0"/>
          <w:numId w:val="1379"/>
        </w:numPr>
        <w:pStyle w:val="Compact"/>
      </w:pPr>
      <w:r>
        <w:t xml:space="preserve">2018 · O’Neil PM ·</w:t>
      </w:r>
      <w:r>
        <w:t xml:space="preserve"> </w:t>
      </w:r>
      <w:r>
        <w:rPr>
          <w:iCs/>
          <w:i/>
        </w:rPr>
        <w:t xml:space="preserve">Lancet</w:t>
      </w:r>
      <w:r>
        <w:t xml:space="preserve"> </w:t>
      </w:r>
      <w:r>
        <w:t xml:space="preserve">· Efficacy and safety of semaglutide compared with liraglutide and placebo for weight loss in patients with obesity: a randomised, double-blind, placebo and active controlled, dose-ranging, phase 2 trial. PMID 30122305</w:t>
      </w:r>
    </w:p>
    <w:p>
      <w:pPr>
        <w:numPr>
          <w:ilvl w:val="0"/>
          <w:numId w:val="1379"/>
        </w:numPr>
        <w:pStyle w:val="Compact"/>
      </w:pPr>
      <w:r>
        <w:t xml:space="preserve">2018 · Lingvay I ·</w:t>
      </w:r>
      <w:r>
        <w:t xml:space="preserve"> </w:t>
      </w:r>
      <w:r>
        <w:rPr>
          <w:iCs/>
          <w:i/>
        </w:rPr>
        <w:t xml:space="preserve">Diabetes Care</w:t>
      </w:r>
      <w:r>
        <w:t xml:space="preserve"> </w:t>
      </w:r>
      <w:r>
        <w:t xml:space="preserve">· A 26-Week Randomized Controlled Trial of Semaglutide Once Daily Versus Liraglutide and Placebo in Patients With Type 2 Diabetes Suboptimally Controlled on Diet and Exercise With or Without Metformin. PMID 30026333</w:t>
      </w:r>
    </w:p>
    <w:p>
      <w:pPr>
        <w:numPr>
          <w:ilvl w:val="0"/>
          <w:numId w:val="1379"/>
        </w:numPr>
        <w:pStyle w:val="Compact"/>
      </w:pPr>
      <w:r>
        <w:t xml:space="preserve">2018 · Bækdal TA ·</w:t>
      </w:r>
      <w:r>
        <w:t xml:space="preserve"> </w:t>
      </w:r>
      <w:r>
        <w:rPr>
          <w:iCs/>
          <w:i/>
        </w:rPr>
        <w:t xml:space="preserve">Expert Opin Drug Metab Toxicol</w:t>
      </w:r>
      <w:r>
        <w:t xml:space="preserve"> </w:t>
      </w:r>
      <w:r>
        <w:t xml:space="preserve">· A randomized study investigating the effect of omeprazole on the pharmacokinetics of oral semaglutide. PMID 29897249</w:t>
      </w:r>
    </w:p>
    <w:p>
      <w:pPr>
        <w:numPr>
          <w:ilvl w:val="0"/>
          <w:numId w:val="1379"/>
        </w:numPr>
        <w:pStyle w:val="Compact"/>
      </w:pPr>
      <w:r>
        <w:t xml:space="preserve">2018 · Korsatko S ·</w:t>
      </w:r>
      <w:r>
        <w:t xml:space="preserve"> </w:t>
      </w:r>
      <w:r>
        <w:rPr>
          <w:iCs/>
          <w:i/>
        </w:rPr>
        <w:t xml:space="preserve">Diabetes Obes Metab</w:t>
      </w:r>
      <w:r>
        <w:t xml:space="preserve"> </w:t>
      </w:r>
      <w:r>
        <w:t xml:space="preserve">· Effect of once-weekly semaglutide on the counterregulatory response to hypoglycaemia in people with type 2 diabetes: A randomized, placebo-controlled, double-blind, crossover trial. PMID 29893488</w:t>
      </w:r>
    </w:p>
    <w:p>
      <w:pPr>
        <w:numPr>
          <w:ilvl w:val="0"/>
          <w:numId w:val="1379"/>
        </w:numPr>
        <w:pStyle w:val="Compact"/>
      </w:pPr>
      <w:r>
        <w:t xml:space="preserve">2018 · Ahrén B ·</w:t>
      </w:r>
      <w:r>
        <w:t xml:space="preserve"> </w:t>
      </w:r>
      <w:r>
        <w:rPr>
          <w:iCs/>
          <w:i/>
        </w:rPr>
        <w:t xml:space="preserve">Diabetes Obes Metab</w:t>
      </w:r>
      <w:r>
        <w:t xml:space="preserve"> </w:t>
      </w:r>
      <w:r>
        <w:t xml:space="preserve">· Semaglutide induces weight loss in subjects with type 2 diabetes regardless of baseline BMI or gastrointestinal adverse events in the SUSTAIN 1 to 5 trials. PMID 29766634</w:t>
      </w:r>
    </w:p>
    <w:p>
      <w:pPr>
        <w:numPr>
          <w:ilvl w:val="0"/>
          <w:numId w:val="1379"/>
        </w:numPr>
        <w:pStyle w:val="Compact"/>
      </w:pPr>
      <w:r>
        <w:t xml:space="preserve">2018 · Baekdal TA ·</w:t>
      </w:r>
      <w:r>
        <w:t xml:space="preserve"> </w:t>
      </w:r>
      <w:r>
        <w:rPr>
          <w:iCs/>
          <w:i/>
        </w:rPr>
        <w:t xml:space="preserve">J Clin Pharmacol</w:t>
      </w:r>
      <w:r>
        <w:t xml:space="preserve"> </w:t>
      </w:r>
      <w:r>
        <w:t xml:space="preserve">· Pharmacokinetics, Safety, and Tolerability of Oral Semaglutide in Subjects With Hepatic Impairment. PMID 29693715</w:t>
      </w:r>
    </w:p>
    <w:p>
      <w:pPr>
        <w:numPr>
          <w:ilvl w:val="0"/>
          <w:numId w:val="1379"/>
        </w:numPr>
        <w:pStyle w:val="Compact"/>
      </w:pPr>
      <w:r>
        <w:t xml:space="preserve">2018 · Rodbard HW ·</w:t>
      </w:r>
      <w:r>
        <w:t xml:space="preserve"> </w:t>
      </w:r>
      <w:r>
        <w:rPr>
          <w:iCs/>
          <w:i/>
        </w:rPr>
        <w:t xml:space="preserve">J Clin Endocrinol Metab</w:t>
      </w:r>
      <w:r>
        <w:t xml:space="preserve"> </w:t>
      </w:r>
      <w:r>
        <w:t xml:space="preserve">· Semaglutide Added to Basal Insulin in Type 2 Diabetes (SUSTAIN 5): A Randomized, Controlled Trial. PMID 29688502</w:t>
      </w:r>
    </w:p>
    <w:p>
      <w:pPr>
        <w:numPr>
          <w:ilvl w:val="0"/>
          <w:numId w:val="1379"/>
        </w:numPr>
        <w:pStyle w:val="Compact"/>
      </w:pPr>
      <w:r>
        <w:t xml:space="preserve">2018 · Warren M ·</w:t>
      </w:r>
      <w:r>
        <w:t xml:space="preserve"> </w:t>
      </w:r>
      <w:r>
        <w:rPr>
          <w:iCs/>
          <w:i/>
        </w:rPr>
        <w:t xml:space="preserve">Diabetes Obes Metab</w:t>
      </w:r>
      <w:r>
        <w:t xml:space="preserve"> </w:t>
      </w:r>
      <w:r>
        <w:t xml:space="preserve">· Semaglutide as a therapeutic option for elderly patients with type 2 diabetes: Pooled analysis of the SUSTAIN 1-5 trials. PMID 29687620</w:t>
      </w:r>
    </w:p>
    <w:p>
      <w:pPr>
        <w:numPr>
          <w:ilvl w:val="0"/>
          <w:numId w:val="1379"/>
        </w:numPr>
        <w:pStyle w:val="Compact"/>
      </w:pPr>
      <w:r>
        <w:t xml:space="preserve">2018 · Granhall C ·</w:t>
      </w:r>
      <w:r>
        <w:t xml:space="preserve"> </w:t>
      </w:r>
      <w:r>
        <w:rPr>
          <w:iCs/>
          <w:i/>
        </w:rPr>
        <w:t xml:space="preserve">Clin Pharmacokinet</w:t>
      </w:r>
      <w:r>
        <w:t xml:space="preserve"> </w:t>
      </w:r>
      <w:r>
        <w:t xml:space="preserve">· Pharmacokinetics, Safety and Tolerability of Oral Semaglutide in Subjects with Renal Impairment. PMID 29623579</w:t>
      </w:r>
    </w:p>
    <w:p>
      <w:pPr>
        <w:numPr>
          <w:ilvl w:val="0"/>
          <w:numId w:val="1379"/>
        </w:numPr>
        <w:pStyle w:val="Compact"/>
      </w:pPr>
      <w:r>
        <w:t xml:space="preserve">2018 · Ikushima I ·</w:t>
      </w:r>
      <w:r>
        <w:t xml:space="preserve"> </w:t>
      </w:r>
      <w:r>
        <w:rPr>
          <w:iCs/>
          <w:i/>
        </w:rPr>
        <w:t xml:space="preserve">Adv Ther</w:t>
      </w:r>
      <w:r>
        <w:t xml:space="preserve"> </w:t>
      </w:r>
      <w:r>
        <w:t xml:space="preserve">· A Randomized Trial Investigating the Pharmacokinetics, Pharmacodynamics, and Safety of Subcutaneous Semaglutide Once-Weekly in Healthy Male Japanese and Caucasian Subjects. PMID 29536338</w:t>
      </w:r>
    </w:p>
    <w:p>
      <w:pPr>
        <w:numPr>
          <w:ilvl w:val="0"/>
          <w:numId w:val="1379"/>
        </w:numPr>
        <w:pStyle w:val="Compact"/>
      </w:pPr>
      <w:r>
        <w:t xml:space="preserve">2018 · Kaneko M ·</w:t>
      </w:r>
      <w:r>
        <w:t xml:space="preserve"> </w:t>
      </w:r>
      <w:r>
        <w:rPr>
          <w:iCs/>
          <w:i/>
        </w:rPr>
        <w:t xml:space="preserve">Ann Pharmacother</w:t>
      </w:r>
      <w:r>
        <w:t xml:space="preserve"> </w:t>
      </w:r>
      <w:r>
        <w:t xml:space="preserve">· Assessment of Cardiovascular Risk With Glucagon-Like Peptide 1 Receptor Agonists in Patients With Type 2 Diabetes Using an Alternative Measure to the Hazard Ratio. PMID 29424239</w:t>
      </w:r>
    </w:p>
    <w:p>
      <w:pPr>
        <w:numPr>
          <w:ilvl w:val="0"/>
          <w:numId w:val="1379"/>
        </w:numPr>
        <w:pStyle w:val="Compact"/>
      </w:pPr>
      <w:r>
        <w:t xml:space="preserve">2018 · Pratley RE ·</w:t>
      </w:r>
      <w:r>
        <w:t xml:space="preserve"> </w:t>
      </w:r>
      <w:r>
        <w:rPr>
          <w:iCs/>
          <w:i/>
        </w:rPr>
        <w:t xml:space="preserve">Lancet Diabetes Endocrinol</w:t>
      </w:r>
      <w:r>
        <w:t xml:space="preserve"> </w:t>
      </w:r>
      <w:r>
        <w:t xml:space="preserve">· Semaglutide versus dulaglutide once weekly in patients with type 2 diabetes (SUSTAIN 7): a randomised, open-label, phase 3b trial. PMID 29397376</w:t>
      </w:r>
    </w:p>
    <w:p>
      <w:pPr>
        <w:numPr>
          <w:ilvl w:val="0"/>
          <w:numId w:val="1379"/>
        </w:numPr>
        <w:pStyle w:val="Compact"/>
      </w:pPr>
      <w:r>
        <w:t xml:space="preserve">2018 · Kaku K ·</w:t>
      </w:r>
      <w:r>
        <w:t xml:space="preserve"> </w:t>
      </w:r>
      <w:r>
        <w:rPr>
          <w:iCs/>
          <w:i/>
        </w:rPr>
        <w:t xml:space="preserve">Diabetes Obes Metab</w:t>
      </w:r>
      <w:r>
        <w:t xml:space="preserve"> </w:t>
      </w:r>
      <w:r>
        <w:t xml:space="preserve">· Safety and efficacy of once-weekly semaglutide vs additional oral antidiabetic drugs in Japanese people with inadequately controlled type 2 diabetes: A randomized trial. PMID 29322610</w:t>
      </w:r>
    </w:p>
    <w:p>
      <w:pPr>
        <w:numPr>
          <w:ilvl w:val="0"/>
          <w:numId w:val="1379"/>
        </w:numPr>
        <w:pStyle w:val="Compact"/>
      </w:pPr>
      <w:r>
        <w:t xml:space="preserve">2018 · Ahmann AJ ·</w:t>
      </w:r>
      <w:r>
        <w:t xml:space="preserve"> </w:t>
      </w:r>
      <w:r>
        <w:rPr>
          <w:iCs/>
          <w:i/>
        </w:rPr>
        <w:t xml:space="preserve">Diabetes Care</w:t>
      </w:r>
      <w:r>
        <w:t xml:space="preserve"> </w:t>
      </w:r>
      <w:r>
        <w:t xml:space="preserve">· Efficacy and Safety of Once-Weekly Semaglutide Versus Exenatide ER in Subjects With Type 2 Diabetes (SUSTAIN 3): A 56-Week, Open-Label, Randomized Clinical Trial. PMID 29246950</w:t>
      </w:r>
    </w:p>
    <w:p>
      <w:pPr>
        <w:numPr>
          <w:ilvl w:val="0"/>
          <w:numId w:val="1379"/>
        </w:numPr>
        <w:pStyle w:val="Compact"/>
      </w:pPr>
      <w:r>
        <w:t xml:space="preserve">2018 · Jensen L ·</w:t>
      </w:r>
      <w:r>
        <w:t xml:space="preserve"> </w:t>
      </w:r>
      <w:r>
        <w:rPr>
          <w:iCs/>
          <w:i/>
        </w:rPr>
        <w:t xml:space="preserve">Diabetes Obes Metab</w:t>
      </w:r>
      <w:r>
        <w:t xml:space="preserve"> </w:t>
      </w:r>
      <w:r>
        <w:t xml:space="preserve">· Pharmacokinetics and tolerability of semaglutide in people with hepatic impairment. PMID 29205786</w:t>
      </w:r>
    </w:p>
    <w:p>
      <w:pPr>
        <w:numPr>
          <w:ilvl w:val="0"/>
          <w:numId w:val="1379"/>
        </w:numPr>
        <w:pStyle w:val="Compact"/>
      </w:pPr>
      <w:r>
        <w:t xml:space="preserve">2018 · Vilsbøll T ·</w:t>
      </w:r>
      <w:r>
        <w:t xml:space="preserve"> </w:t>
      </w:r>
      <w:r>
        <w:rPr>
          <w:iCs/>
          <w:i/>
        </w:rPr>
        <w:t xml:space="preserve">Diabetes Obes Metab</w:t>
      </w:r>
      <w:r>
        <w:t xml:space="preserve"> </w:t>
      </w:r>
      <w:r>
        <w:t xml:space="preserve">· Semaglutide, reduction in glycated haemoglobin and the risk of diabetic retinopathy. PMID 29178519</w:t>
      </w:r>
    </w:p>
    <w:p>
      <w:pPr>
        <w:numPr>
          <w:ilvl w:val="0"/>
          <w:numId w:val="1379"/>
        </w:numPr>
        <w:pStyle w:val="Compact"/>
      </w:pPr>
      <w:r>
        <w:t xml:space="preserve">2018 · Hjerpsted JB ·</w:t>
      </w:r>
      <w:r>
        <w:t xml:space="preserve"> </w:t>
      </w:r>
      <w:r>
        <w:rPr>
          <w:iCs/>
          <w:i/>
        </w:rPr>
        <w:t xml:space="preserve">Diabetes Obes Metab</w:t>
      </w:r>
      <w:r>
        <w:t xml:space="preserve"> </w:t>
      </w:r>
      <w:r>
        <w:t xml:space="preserve">· Semaglutide improves postprandial glucose and lipid metabolism, and delays first-hour gastric emptying in subjects with obesity. PMID 28941314</w:t>
      </w:r>
    </w:p>
    <w:p>
      <w:pPr>
        <w:numPr>
          <w:ilvl w:val="0"/>
          <w:numId w:val="1379"/>
        </w:numPr>
        <w:pStyle w:val="Compact"/>
      </w:pPr>
      <w:r>
        <w:t xml:space="preserve">2018 · Seino Y ·</w:t>
      </w:r>
      <w:r>
        <w:t xml:space="preserve"> </w:t>
      </w:r>
      <w:r>
        <w:rPr>
          <w:iCs/>
          <w:i/>
        </w:rPr>
        <w:t xml:space="preserve">Diabetes Obes Metab</w:t>
      </w:r>
      <w:r>
        <w:t xml:space="preserve"> </w:t>
      </w:r>
      <w:r>
        <w:t xml:space="preserve">· Safety and efficacy of semaglutide once weekly vs sitagliptin once daily, both as monotherapy in Japanese people with type 2 diabetes. PMID 28786547</w:t>
      </w:r>
    </w:p>
    <w:p>
      <w:pPr>
        <w:numPr>
          <w:ilvl w:val="0"/>
          <w:numId w:val="1379"/>
        </w:numPr>
        <w:pStyle w:val="Compact"/>
      </w:pPr>
      <w:r>
        <w:t xml:space="preserve">2017 · Davies M ·</w:t>
      </w:r>
      <w:r>
        <w:t xml:space="preserve"> </w:t>
      </w:r>
      <w:r>
        <w:rPr>
          <w:iCs/>
          <w:i/>
        </w:rPr>
        <w:t xml:space="preserve">JAMA</w:t>
      </w:r>
      <w:r>
        <w:t xml:space="preserve"> </w:t>
      </w:r>
      <w:r>
        <w:t xml:space="preserve">· Effect of Oral Semaglutide Compared With Placebo and Subcutaneous Semaglutide on Glycemic Control in Patients With Type 2 Diabetes: A Randomized Clinical Trial. PMID 29049653</w:t>
      </w:r>
    </w:p>
    <w:p>
      <w:pPr>
        <w:numPr>
          <w:ilvl w:val="0"/>
          <w:numId w:val="1379"/>
        </w:numPr>
        <w:pStyle w:val="Compact"/>
      </w:pPr>
      <w:r>
        <w:t xml:space="preserve">2017 · Kapitza C ·</w:t>
      </w:r>
      <w:r>
        <w:t xml:space="preserve"> </w:t>
      </w:r>
      <w:r>
        <w:rPr>
          <w:iCs/>
          <w:i/>
        </w:rPr>
        <w:t xml:space="preserve">Diabetologia</w:t>
      </w:r>
      <w:r>
        <w:t xml:space="preserve"> </w:t>
      </w:r>
      <w:r>
        <w:t xml:space="preserve">· Effects of semaglutide on beta cell function and glycaemic control in participants with type 2 diabetes: a randomised, double-blind, placebo-controlled trial. PMID 28526920</w:t>
      </w:r>
    </w:p>
    <w:p>
      <w:pPr>
        <w:numPr>
          <w:ilvl w:val="0"/>
          <w:numId w:val="1379"/>
        </w:numPr>
        <w:pStyle w:val="Compact"/>
      </w:pPr>
      <w:r>
        <w:t xml:space="preserve">2017 · Ahrén B ·</w:t>
      </w:r>
      <w:r>
        <w:t xml:space="preserve"> </w:t>
      </w:r>
      <w:r>
        <w:rPr>
          <w:iCs/>
          <w:i/>
        </w:rPr>
        <w:t xml:space="preserve">Lancet Diabetes Endocrinol</w:t>
      </w:r>
      <w:r>
        <w:t xml:space="preserve"> </w:t>
      </w:r>
      <w:r>
        <w:t xml:space="preserve">· Efficacy and safety of once-weekly semaglutide versus once-daily sitagliptin as an add-on to metformin, thiazolidinediones, or both, in patients with type 2 diabetes (SUSTAIN 2): a 56-week, double-blind, phase 3a, randomised trial. PMID 28385659</w:t>
      </w:r>
    </w:p>
    <w:p>
      <w:pPr>
        <w:numPr>
          <w:ilvl w:val="0"/>
          <w:numId w:val="1379"/>
        </w:numPr>
        <w:pStyle w:val="Compact"/>
      </w:pPr>
      <w:r>
        <w:t xml:space="preserve">2017 · Hausner H ·</w:t>
      </w:r>
      <w:r>
        <w:t xml:space="preserve"> </w:t>
      </w:r>
      <w:r>
        <w:rPr>
          <w:iCs/>
          <w:i/>
        </w:rPr>
        <w:t xml:space="preserve">Clin Pharmacokinet</w:t>
      </w:r>
      <w:r>
        <w:t xml:space="preserve"> </w:t>
      </w:r>
      <w:r>
        <w:t xml:space="preserve">· Effect of Semaglutide on the Pharmacokinetics of Metformin, Warfarin, Atorvastatin and Digoxin in Healthy Subjects. PMID 28349387</w:t>
      </w:r>
    </w:p>
    <w:p>
      <w:pPr>
        <w:numPr>
          <w:ilvl w:val="0"/>
          <w:numId w:val="1379"/>
        </w:numPr>
        <w:pStyle w:val="Compact"/>
      </w:pPr>
      <w:r>
        <w:t xml:space="preserve">2017 · Marbury TC ·</w:t>
      </w:r>
      <w:r>
        <w:t xml:space="preserve"> </w:t>
      </w:r>
      <w:r>
        <w:rPr>
          <w:iCs/>
          <w:i/>
        </w:rPr>
        <w:t xml:space="preserve">Clin Pharmacokinet</w:t>
      </w:r>
      <w:r>
        <w:t xml:space="preserve"> </w:t>
      </w:r>
      <w:r>
        <w:t xml:space="preserve">· Pharmacokinetics and Tolerability of a Single Dose of Semaglutide, a Human Glucagon-Like Peptide-1 Analog, in Subjects With and Without Renal Impairment. PMID 28349386</w:t>
      </w:r>
    </w:p>
    <w:p>
      <w:pPr>
        <w:numPr>
          <w:ilvl w:val="0"/>
          <w:numId w:val="1379"/>
        </w:numPr>
        <w:pStyle w:val="Compact"/>
      </w:pPr>
      <w:r>
        <w:t xml:space="preserve">2017 · Aroda VR ·</w:t>
      </w:r>
      <w:r>
        <w:t xml:space="preserve"> </w:t>
      </w:r>
      <w:r>
        <w:rPr>
          <w:iCs/>
          <w:i/>
        </w:rPr>
        <w:t xml:space="preserve">Lancet Diabetes Endocrinol</w:t>
      </w:r>
      <w:r>
        <w:t xml:space="preserve"> </w:t>
      </w:r>
      <w:r>
        <w:t xml:space="preserve">· Efficacy and safety of once-weekly semaglutide versus once-daily insulin glargine as add-on to metformin (with or without sulfonylureas) in insulin-naive patients with type 2 diabetes (SUSTAIN 4): a randomised, open-label, parallel-group, multicentre, multinational, phase 3a trial. PMID 28344112</w:t>
      </w:r>
    </w:p>
    <w:p>
      <w:pPr>
        <w:numPr>
          <w:ilvl w:val="0"/>
          <w:numId w:val="1379"/>
        </w:numPr>
        <w:pStyle w:val="Compact"/>
      </w:pPr>
      <w:r>
        <w:t xml:space="preserve">2017 · Ebell MH ·</w:t>
      </w:r>
      <w:r>
        <w:t xml:space="preserve"> </w:t>
      </w:r>
      <w:r>
        <w:rPr>
          <w:iCs/>
          <w:i/>
        </w:rPr>
        <w:t xml:space="preserve">Am Fam Physician</w:t>
      </w:r>
      <w:r>
        <w:t xml:space="preserve"> </w:t>
      </w:r>
      <w:r>
        <w:t xml:space="preserve">· Semaglutide Reduces CV Events in High-Risk Patients with Type 2 Diabetes Mellitus. PMID 28318215</w:t>
      </w:r>
    </w:p>
    <w:p>
      <w:pPr>
        <w:numPr>
          <w:ilvl w:val="0"/>
          <w:numId w:val="1379"/>
        </w:numPr>
        <w:pStyle w:val="Compact"/>
      </w:pPr>
      <w:r>
        <w:t xml:space="preserve">2017 · Blundell J ·</w:t>
      </w:r>
      <w:r>
        <w:t xml:space="preserve"> </w:t>
      </w:r>
      <w:r>
        <w:rPr>
          <w:iCs/>
          <w:i/>
        </w:rPr>
        <w:t xml:space="preserve">Diabetes Obes Metab</w:t>
      </w:r>
      <w:r>
        <w:t xml:space="preserve"> </w:t>
      </w:r>
      <w:r>
        <w:t xml:space="preserve">· Effects of once-weekly semaglutide on appetite, energy intake, control of eating, food preference and body weight in subjects with obesity. PMID 28266779</w:t>
      </w:r>
    </w:p>
    <w:p>
      <w:pPr>
        <w:numPr>
          <w:ilvl w:val="0"/>
          <w:numId w:val="1379"/>
        </w:numPr>
        <w:pStyle w:val="Compact"/>
      </w:pPr>
      <w:r>
        <w:t xml:space="preserve">2017 · Sorli C ·</w:t>
      </w:r>
      <w:r>
        <w:t xml:space="preserve"> </w:t>
      </w:r>
      <w:r>
        <w:rPr>
          <w:iCs/>
          <w:i/>
        </w:rPr>
        <w:t xml:space="preserve">Lancet Diabetes Endocrinol</w:t>
      </w:r>
      <w:r>
        <w:t xml:space="preserve"> </w:t>
      </w:r>
      <w:r>
        <w:t xml:space="preserve">· Efficacy and safety of once-weekly semaglutide monotherapy versus placebo in patients with type 2 diabetes (SUSTAIN 1): a double-blind, randomised, placebo-controlled, parallel-group, multinational, multicentre phase 3a trial. PMID 28110911</w:t>
      </w:r>
    </w:p>
    <w:p>
      <w:pPr>
        <w:numPr>
          <w:ilvl w:val="0"/>
          <w:numId w:val="1379"/>
        </w:numPr>
        <w:pStyle w:val="Compact"/>
      </w:pPr>
      <w:r>
        <w:t xml:space="preserve">2016 · Marso SP ·</w:t>
      </w:r>
      <w:r>
        <w:t xml:space="preserve"> </w:t>
      </w:r>
      <w:r>
        <w:rPr>
          <w:iCs/>
          <w:i/>
        </w:rPr>
        <w:t xml:space="preserve">N Engl J Med</w:t>
      </w:r>
      <w:r>
        <w:t xml:space="preserve"> </w:t>
      </w:r>
      <w:r>
        <w:t xml:space="preserve">· Semaglutide and Cardiovascular Outcomes in Patients with Type 2 Diabetes. PMID 27633186</w:t>
      </w:r>
    </w:p>
    <w:p>
      <w:pPr>
        <w:numPr>
          <w:ilvl w:val="0"/>
          <w:numId w:val="1379"/>
        </w:numPr>
        <w:pStyle w:val="Compact"/>
      </w:pPr>
      <w:r>
        <w:t xml:space="preserve">2016 · Nauck MA ·</w:t>
      </w:r>
      <w:r>
        <w:t xml:space="preserve"> </w:t>
      </w:r>
      <w:r>
        <w:rPr>
          <w:iCs/>
          <w:i/>
        </w:rPr>
        <w:t xml:space="preserve">Diabetes Care</w:t>
      </w:r>
      <w:r>
        <w:t xml:space="preserve"> </w:t>
      </w:r>
      <w:r>
        <w:t xml:space="preserve">· A Phase 2, Randomized, Dose-Finding Study of the Novel Once-Weekly Human GLP-1 Analog, Semaglutide, Compared With Placebo and Open-Label Liraglutide in Patients With Type 2 Diabetes. PMID 26358288</w:t>
      </w:r>
    </w:p>
    <w:bookmarkEnd w:id="3015"/>
    <w:bookmarkStart w:id="3016" w:name="tirzepatide-144"/>
    <w:p>
      <w:pPr>
        <w:pStyle w:val="Heading2"/>
      </w:pPr>
      <w:r>
        <w:t xml:space="preserve">Tirzepatide (144)</w:t>
      </w:r>
    </w:p>
    <w:p>
      <w:pPr>
        <w:numPr>
          <w:ilvl w:val="0"/>
          <w:numId w:val="1380"/>
        </w:numPr>
        <w:pStyle w:val="Compact"/>
      </w:pPr>
      <w:r>
        <w:t xml:space="preserve">2026 · Falcon B ·</w:t>
      </w:r>
      <w:r>
        <w:t xml:space="preserve"> </w:t>
      </w:r>
      <w:r>
        <w:rPr>
          <w:iCs/>
          <w:i/>
        </w:rPr>
        <w:t xml:space="preserve">J Clin Sleep Med</w:t>
      </w:r>
      <w:r>
        <w:t xml:space="preserve"> </w:t>
      </w:r>
      <w:r>
        <w:t xml:space="preserve">· Association of tirzepatide with changes in OSA-related measures based on baseline characteristics - post hoc analyses of SURMOUNT-OSA. PMID 42675225</w:t>
      </w:r>
    </w:p>
    <w:p>
      <w:pPr>
        <w:numPr>
          <w:ilvl w:val="0"/>
          <w:numId w:val="1380"/>
        </w:numPr>
        <w:pStyle w:val="Compact"/>
      </w:pPr>
      <w:r>
        <w:t xml:space="preserve">2026 · Sattar N ·</w:t>
      </w:r>
      <w:r>
        <w:t xml:space="preserve"> </w:t>
      </w:r>
      <w:r>
        <w:rPr>
          <w:iCs/>
          <w:i/>
        </w:rPr>
        <w:t xml:space="preserve">PLoS One</w:t>
      </w:r>
      <w:r>
        <w:t xml:space="preserve"> </w:t>
      </w:r>
      <w:r>
        <w:t xml:space="preserve">· Achieving the triple endpoint of body weight reduction thresholds, systolic blood pressure reduction ≥5 mmHg and non-HDL cholesterol &lt;130 mg/dL with tirzepatide in people with obesity: A post hoc analysis from the SURMOUNT trials. PMID 42594122</w:t>
      </w:r>
    </w:p>
    <w:p>
      <w:pPr>
        <w:numPr>
          <w:ilvl w:val="0"/>
          <w:numId w:val="1380"/>
        </w:numPr>
        <w:pStyle w:val="Compact"/>
      </w:pPr>
      <w:r>
        <w:t xml:space="preserve">2026 · Cusi K ·</w:t>
      </w:r>
      <w:r>
        <w:t xml:space="preserve"> </w:t>
      </w:r>
      <w:r>
        <w:rPr>
          <w:iCs/>
          <w:i/>
        </w:rPr>
        <w:t xml:space="preserve">Liver Int</w:t>
      </w:r>
      <w:r>
        <w:t xml:space="preserve"> </w:t>
      </w:r>
      <w:r>
        <w:t xml:space="preserve">· Liver Fat Changes in Patients With Type 2 Diabetes by Presence of Genetic Hepatic Steatosis: A Post Hoc Analysis of SURPASS-3 MRI. PMID 42576670</w:t>
      </w:r>
    </w:p>
    <w:p>
      <w:pPr>
        <w:numPr>
          <w:ilvl w:val="0"/>
          <w:numId w:val="1380"/>
        </w:numPr>
        <w:pStyle w:val="Compact"/>
      </w:pPr>
      <w:r>
        <w:t xml:space="preserve">2026 · Kitamoto T ·</w:t>
      </w:r>
      <w:r>
        <w:t xml:space="preserve"> </w:t>
      </w:r>
      <w:r>
        <w:rPr>
          <w:iCs/>
          <w:i/>
        </w:rPr>
        <w:t xml:space="preserve">Curr Med Res Opin</w:t>
      </w:r>
      <w:r>
        <w:t xml:space="preserve"> </w:t>
      </w:r>
      <w:r>
        <w:t xml:space="preserve">· Tirzepatide compared with semaglutide in obesity disease: a subpopulation analysis applying Japan Society for the Study of Obesity criteria in the global SURMOUNT-5 trial. PMID 42434924</w:t>
      </w:r>
    </w:p>
    <w:p>
      <w:pPr>
        <w:numPr>
          <w:ilvl w:val="0"/>
          <w:numId w:val="1380"/>
        </w:numPr>
        <w:pStyle w:val="Compact"/>
      </w:pPr>
      <w:r>
        <w:t xml:space="preserve">2026 · Kanu C ·</w:t>
      </w:r>
      <w:r>
        <w:t xml:space="preserve"> </w:t>
      </w:r>
      <w:r>
        <w:rPr>
          <w:iCs/>
          <w:i/>
        </w:rPr>
        <w:t xml:space="preserve">Sleep</w:t>
      </w:r>
      <w:r>
        <w:t xml:space="preserve"> </w:t>
      </w:r>
      <w:r>
        <w:t xml:space="preserve">· Changes in patient-reported outcomes and objective assessments based on baseline symptom severity in SURMOUNT-OSA: post-hoc analyses. PMID 42412744</w:t>
      </w:r>
    </w:p>
    <w:p>
      <w:pPr>
        <w:numPr>
          <w:ilvl w:val="0"/>
          <w:numId w:val="1380"/>
        </w:numPr>
        <w:pStyle w:val="Compact"/>
      </w:pPr>
      <w:r>
        <w:t xml:space="preserve">2026 · Kokkinos A ·</w:t>
      </w:r>
      <w:r>
        <w:t xml:space="preserve"> </w:t>
      </w:r>
      <w:r>
        <w:rPr>
          <w:iCs/>
          <w:i/>
        </w:rPr>
        <w:t xml:space="preserve">Diabetes Obes Metab</w:t>
      </w:r>
      <w:r>
        <w:t xml:space="preserve"> </w:t>
      </w:r>
      <w:r>
        <w:t xml:space="preserve">· Tirzepatide Efficacy and Tolerability According to Early Weight Response: A Post Hoc Analysis of the SURMOUNT-1 and SURMOUNT-2 Trials. PMID 42348366</w:t>
      </w:r>
    </w:p>
    <w:p>
      <w:pPr>
        <w:numPr>
          <w:ilvl w:val="0"/>
          <w:numId w:val="1380"/>
        </w:numPr>
        <w:pStyle w:val="Compact"/>
      </w:pPr>
      <w:r>
        <w:t xml:space="preserve">2026 · Yin Y ·</w:t>
      </w:r>
      <w:r>
        <w:t xml:space="preserve"> </w:t>
      </w:r>
      <w:r>
        <w:rPr>
          <w:iCs/>
          <w:i/>
        </w:rPr>
        <w:t xml:space="preserve">Med</w:t>
      </w:r>
      <w:r>
        <w:t xml:space="preserve"> </w:t>
      </w:r>
      <w:r>
        <w:t xml:space="preserve">· Tirzepatide monotherapy in Chinese patients with early type 2 diabetes: A randomized, double-blind, placebo-controlled phase 3 trial (SURPASS-CN-MONO). PMID 42296968</w:t>
      </w:r>
    </w:p>
    <w:p>
      <w:pPr>
        <w:numPr>
          <w:ilvl w:val="0"/>
          <w:numId w:val="1380"/>
        </w:numPr>
        <w:pStyle w:val="Compact"/>
      </w:pPr>
      <w:r>
        <w:t xml:space="preserve">2026 · Node K ·</w:t>
      </w:r>
      <w:r>
        <w:t xml:space="preserve"> </w:t>
      </w:r>
      <w:r>
        <w:rPr>
          <w:iCs/>
          <w:i/>
        </w:rPr>
        <w:t xml:space="preserve">Curr Med Res Opin</w:t>
      </w:r>
      <w:r>
        <w:t xml:space="preserve"> </w:t>
      </w:r>
      <w:r>
        <w:t xml:space="preserve">· Post hoc analysis of SURMOUNT-J: tirzepatide versus placebo and predicted 10-year cardiovascular disease risk in Japanese adults with obesity disease. PMID 42287159</w:t>
      </w:r>
    </w:p>
    <w:p>
      <w:pPr>
        <w:numPr>
          <w:ilvl w:val="0"/>
          <w:numId w:val="1380"/>
        </w:numPr>
        <w:pStyle w:val="Compact"/>
      </w:pPr>
      <w:r>
        <w:t xml:space="preserve">2026 · Pratley RE ·</w:t>
      </w:r>
      <w:r>
        <w:t xml:space="preserve"> </w:t>
      </w:r>
      <w:r>
        <w:rPr>
          <w:iCs/>
          <w:i/>
        </w:rPr>
        <w:t xml:space="preserve">Nat Med</w:t>
      </w:r>
      <w:r>
        <w:t xml:space="preserve"> </w:t>
      </w:r>
      <w:r>
        <w:t xml:space="preserve">· Apitegromab for lean mass preservation during tirzepatide-induced weight loss: a randomized, double-blind, placebo-controlled phase 2 trial. PMID 42260100</w:t>
      </w:r>
    </w:p>
    <w:p>
      <w:pPr>
        <w:numPr>
          <w:ilvl w:val="0"/>
          <w:numId w:val="1380"/>
        </w:numPr>
        <w:pStyle w:val="Compact"/>
      </w:pPr>
      <w:r>
        <w:t xml:space="preserve">2026 · Yang Z ·</w:t>
      </w:r>
      <w:r>
        <w:t xml:space="preserve"> </w:t>
      </w:r>
      <w:r>
        <w:rPr>
          <w:iCs/>
          <w:i/>
        </w:rPr>
        <w:t xml:space="preserve">Diabetes Obes Metab</w:t>
      </w:r>
      <w:r>
        <w:t xml:space="preserve"> </w:t>
      </w:r>
      <w:r>
        <w:t xml:space="preserve">· Short-Term Combined Treatment With Tirzepatide and Metformin for Overweight/Obese Chinese Women With Polycystic Ovary Syndrome: A Prospective, Open-Label, Randomised Controlled Trial. PMID 42236268</w:t>
      </w:r>
    </w:p>
    <w:p>
      <w:pPr>
        <w:numPr>
          <w:ilvl w:val="0"/>
          <w:numId w:val="1380"/>
        </w:numPr>
        <w:pStyle w:val="Compact"/>
      </w:pPr>
      <w:r>
        <w:t xml:space="preserve">2026 · Sattar N ·</w:t>
      </w:r>
      <w:r>
        <w:t xml:space="preserve"> </w:t>
      </w:r>
      <w:r>
        <w:rPr>
          <w:iCs/>
          <w:i/>
        </w:rPr>
        <w:t xml:space="preserve">J Am Coll Cardiol</w:t>
      </w:r>
      <w:r>
        <w:t xml:space="preserve"> </w:t>
      </w:r>
      <w:r>
        <w:t xml:space="preserve">· Comprehensive Long-Term Changes in Cardiovascular Risk Biomarkers With Tirzepatide: A SURMOUNT-1 Post Hoc Analysis. PMID 42233927</w:t>
      </w:r>
    </w:p>
    <w:p>
      <w:pPr>
        <w:numPr>
          <w:ilvl w:val="0"/>
          <w:numId w:val="1380"/>
        </w:numPr>
        <w:pStyle w:val="Compact"/>
      </w:pPr>
      <w:r>
        <w:t xml:space="preserve">2026 · Del Prato S ·</w:t>
      </w:r>
      <w:r>
        <w:t xml:space="preserve"> </w:t>
      </w:r>
      <w:r>
        <w:rPr>
          <w:iCs/>
          <w:i/>
        </w:rPr>
        <w:t xml:space="preserve">Ann Intern Med</w:t>
      </w:r>
      <w:r>
        <w:t xml:space="preserve"> </w:t>
      </w:r>
      <w:r>
        <w:t xml:space="preserve">· Tirzepatide Versus Intensified Conventional Care After 2 Years of Treatment in Early Type 2 Diabetes : A Randomized Clinical Trial. PMID 42184419</w:t>
      </w:r>
    </w:p>
    <w:p>
      <w:pPr>
        <w:numPr>
          <w:ilvl w:val="0"/>
          <w:numId w:val="1380"/>
        </w:numPr>
        <w:pStyle w:val="Compact"/>
      </w:pPr>
      <w:r>
        <w:t xml:space="preserve">2026 · Lebwohl M ·</w:t>
      </w:r>
      <w:r>
        <w:t xml:space="preserve"> </w:t>
      </w:r>
      <w:r>
        <w:rPr>
          <w:iCs/>
          <w:i/>
        </w:rPr>
        <w:t xml:space="preserve">JAMA Dermatol</w:t>
      </w:r>
      <w:r>
        <w:t xml:space="preserve"> </w:t>
      </w:r>
      <w:r>
        <w:t xml:space="preserve">· Ixekizumab With or Without Tirzepatide in Adults With Psoriasis and Overweight or Obesity: A Phase 3b Randomized Clinical Trial. PMID 42139049</w:t>
      </w:r>
    </w:p>
    <w:p>
      <w:pPr>
        <w:numPr>
          <w:ilvl w:val="0"/>
          <w:numId w:val="1380"/>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0"/>
        </w:numPr>
        <w:pStyle w:val="Compact"/>
      </w:pPr>
      <w:r>
        <w:t xml:space="preserve">2026 · Horn DB ·</w:t>
      </w:r>
      <w:r>
        <w:t xml:space="preserve"> </w:t>
      </w:r>
      <w:r>
        <w:rPr>
          <w:iCs/>
          <w:i/>
        </w:rPr>
        <w:t xml:space="preserve">Lancet</w:t>
      </w:r>
      <w:r>
        <w:t xml:space="preserve"> </w:t>
      </w:r>
      <w:r>
        <w:t xml:space="preserve">· Tirzepatide for maintenance of bodyweight reduction in people with obesity in the USA (SURMOUNT-MAINTAIN): a multicentre, double-blind, randomised, placebo-controlled trial. PMID 42119587</w:t>
      </w:r>
    </w:p>
    <w:p>
      <w:pPr>
        <w:numPr>
          <w:ilvl w:val="0"/>
          <w:numId w:val="1380"/>
        </w:numPr>
        <w:pStyle w:val="Compact"/>
      </w:pPr>
      <w:r>
        <w:t xml:space="preserve">2026 · Zoungas S ·</w:t>
      </w:r>
      <w:r>
        <w:t xml:space="preserve"> </w:t>
      </w:r>
      <w:r>
        <w:rPr>
          <w:iCs/>
          <w:i/>
        </w:rPr>
        <w:t xml:space="preserve">Lancet Diabetes Endocrinol</w:t>
      </w:r>
      <w:r>
        <w:t xml:space="preserve"> </w:t>
      </w:r>
      <w:r>
        <w:t xml:space="preserve">· A comparison of the effects of tirzepatide and dulaglutide on major kidney events in people with type 2 diabetes: pre-specified exploratory analyses of the SURPASS-CVOT trial. PMID 42114520</w:t>
      </w:r>
    </w:p>
    <w:p>
      <w:pPr>
        <w:numPr>
          <w:ilvl w:val="0"/>
          <w:numId w:val="1380"/>
        </w:numPr>
        <w:pStyle w:val="Compact"/>
      </w:pPr>
      <w:r>
        <w:t xml:space="preserve">2026 · Masuzaki H ·</w:t>
      </w:r>
      <w:r>
        <w:t xml:space="preserve"> </w:t>
      </w:r>
      <w:r>
        <w:rPr>
          <w:iCs/>
          <w:i/>
        </w:rPr>
        <w:t xml:space="preserve">Diabetes Obes Metab</w:t>
      </w:r>
      <w:r>
        <w:t xml:space="preserve"> </w:t>
      </w:r>
      <w:r>
        <w:t xml:space="preserve">· Effect of Tirzepatide on Health-Related Quality of Life in Japanese Patients With Obesity Disease: Patient-Reported Outcomes From the SURMOUNT-J Study. PMID 42108080</w:t>
      </w:r>
    </w:p>
    <w:p>
      <w:pPr>
        <w:numPr>
          <w:ilvl w:val="0"/>
          <w:numId w:val="1380"/>
        </w:numPr>
        <w:pStyle w:val="Compact"/>
      </w:pPr>
      <w:r>
        <w:t xml:space="preserve">2026 · Sattar N ·</w:t>
      </w:r>
      <w:r>
        <w:t xml:space="preserve"> </w:t>
      </w:r>
      <w:r>
        <w:rPr>
          <w:iCs/>
          <w:i/>
        </w:rPr>
        <w:t xml:space="preserve">J Endocrinol Invest</w:t>
      </w:r>
      <w:r>
        <w:t xml:space="preserve"> </w:t>
      </w:r>
      <w:r>
        <w:t xml:space="preserve">· Shifts in waist-to-height ratio categories within tirzepatide groups: a post-hoc analysis of SURMOUNT-1. PMID 42082865</w:t>
      </w:r>
    </w:p>
    <w:p>
      <w:pPr>
        <w:numPr>
          <w:ilvl w:val="0"/>
          <w:numId w:val="1380"/>
        </w:numPr>
        <w:pStyle w:val="Compact"/>
      </w:pPr>
      <w:r>
        <w:t xml:space="preserve">2026 · Johansson E ·</w:t>
      </w:r>
      <w:r>
        <w:t xml:space="preserve"> </w:t>
      </w:r>
      <w:r>
        <w:rPr>
          <w:iCs/>
          <w:i/>
        </w:rPr>
        <w:t xml:space="preserve">J Med Econ</w:t>
      </w:r>
      <w:r>
        <w:t xml:space="preserve"> </w:t>
      </w:r>
      <w:r>
        <w:t xml:space="preserve">· Cost-effectiveness of tirzepatide versus semaglutide for patients with obesity or overweight in the US: evidence from the SURMOUNT-5 head-to-head phase-3 trial. PMID 42012820</w:t>
      </w:r>
    </w:p>
    <w:p>
      <w:pPr>
        <w:numPr>
          <w:ilvl w:val="0"/>
          <w:numId w:val="1380"/>
        </w:numPr>
        <w:pStyle w:val="Compact"/>
      </w:pPr>
      <w:r>
        <w:t xml:space="preserve">2026 · Thirugnanam AM ·</w:t>
      </w:r>
      <w:r>
        <w:t xml:space="preserve"> </w:t>
      </w:r>
      <w:r>
        <w:rPr>
          <w:iCs/>
          <w:i/>
        </w:rPr>
        <w:t xml:space="preserve">Cardiovasc Revasc Med</w:t>
      </w:r>
      <w:r>
        <w:t xml:space="preserve"> </w:t>
      </w:r>
      <w:r>
        <w:t xml:space="preserve">· Tirzepatide therapy reduces subclinical leaflet thrombosis and paravalvular leak after transcatheter aortic valve replacement in obese patients: The TAVR-MET trial. PMID 42000295</w:t>
      </w:r>
    </w:p>
    <w:p>
      <w:pPr>
        <w:numPr>
          <w:ilvl w:val="0"/>
          <w:numId w:val="1380"/>
        </w:numPr>
        <w:pStyle w:val="Compact"/>
      </w:pPr>
      <w:r>
        <w:t xml:space="preserve">2026 · Sattar N ·</w:t>
      </w:r>
      <w:r>
        <w:t xml:space="preserve"> </w:t>
      </w:r>
      <w:r>
        <w:rPr>
          <w:iCs/>
          <w:i/>
        </w:rPr>
        <w:t xml:space="preserve">Diabetes Care</w:t>
      </w:r>
      <w:r>
        <w:t xml:space="preserve"> </w:t>
      </w:r>
      <w:r>
        <w:t xml:space="preserve">· Estimating the True MACE Benefits From Tirzepatide in SURPASS-CVOT Using an Imputed Placebo Analysis of REWIND. PMID 41940793</w:t>
      </w:r>
    </w:p>
    <w:p>
      <w:pPr>
        <w:numPr>
          <w:ilvl w:val="0"/>
          <w:numId w:val="1380"/>
        </w:numPr>
        <w:pStyle w:val="Compact"/>
      </w:pPr>
      <w:r>
        <w:t xml:space="preserve">2026 · Violante-Ortiz R ·</w:t>
      </w:r>
      <w:r>
        <w:t xml:space="preserve"> </w:t>
      </w:r>
      <w:r>
        <w:rPr>
          <w:iCs/>
          <w:i/>
        </w:rPr>
        <w:t xml:space="preserve">BMJ Open Diabetes Res Care</w:t>
      </w:r>
      <w:r>
        <w:t xml:space="preserve"> </w:t>
      </w:r>
      <w:r>
        <w:t xml:space="preserve">· Safety and efficacy of switching from dulaglutide to tirzepatide across clinically relevant baseline characteristics in participants with T2D: subgroup analysis of SURPASS-SWITCH. PMID 41912265</w:t>
      </w:r>
    </w:p>
    <w:p>
      <w:pPr>
        <w:numPr>
          <w:ilvl w:val="0"/>
          <w:numId w:val="1380"/>
        </w:numPr>
        <w:pStyle w:val="Compact"/>
      </w:pPr>
      <w:r>
        <w:t xml:space="preserve">2026 · Nissen SE ·</w:t>
      </w:r>
      <w:r>
        <w:t xml:space="preserve"> </w:t>
      </w:r>
      <w:r>
        <w:rPr>
          <w:iCs/>
          <w:i/>
        </w:rPr>
        <w:t xml:space="preserve">JAMA Cardiol</w:t>
      </w:r>
      <w:r>
        <w:t xml:space="preserve"> </w:t>
      </w:r>
      <w:r>
        <w:t xml:space="preserve">· Cardiorenal Outcomes With Tirzepatide Compared With Dulaglutide in Patients With Diabetes and Cardiovascular Disease: A Post Hoc Analysis of the SURPASS-CVOT Randomized Clinical Trial. PMID 41903177</w:t>
      </w:r>
    </w:p>
    <w:p>
      <w:pPr>
        <w:numPr>
          <w:ilvl w:val="0"/>
          <w:numId w:val="1380"/>
        </w:numPr>
        <w:pStyle w:val="Compact"/>
      </w:pPr>
      <w:r>
        <w:t xml:space="preserve">2026 · Merola JF ·</w:t>
      </w:r>
      <w:r>
        <w:t xml:space="preserve"> </w:t>
      </w:r>
      <w:r>
        <w:rPr>
          <w:iCs/>
          <w:i/>
        </w:rPr>
        <w:t xml:space="preserve">Arthritis Rheumatol</w:t>
      </w:r>
      <w:r>
        <w:t xml:space="preserve"> </w:t>
      </w:r>
      <w:r>
        <w:t xml:space="preserve">· Ixekizumab With Tirzepatide Achieved Greater Disease Control Than Ixekizumab Alone in Adults With Psoriatic Arthritis and Overweight or Obesity: Results From a Randomized Clinical Trial. PMID 41903163</w:t>
      </w:r>
    </w:p>
    <w:p>
      <w:pPr>
        <w:numPr>
          <w:ilvl w:val="0"/>
          <w:numId w:val="1380"/>
        </w:numPr>
        <w:pStyle w:val="Compact"/>
      </w:pPr>
      <w:r>
        <w:t xml:space="preserve">2026 · Yang SI ·</w:t>
      </w:r>
      <w:r>
        <w:t xml:space="preserve"> </w:t>
      </w:r>
      <w:r>
        <w:rPr>
          <w:iCs/>
          <w:i/>
        </w:rPr>
        <w:t xml:space="preserve">Nat Commun</w:t>
      </w:r>
      <w:r>
        <w:t xml:space="preserve"> </w:t>
      </w:r>
      <w:r>
        <w:t xml:space="preserve">· Bispecific GLP-1/GLP-2 agonism in advanced type 2 diabetes: preclinical characterization and a randomized, double-blind, placebo-controlled phase I trial. PMID 41876542</w:t>
      </w:r>
    </w:p>
    <w:p>
      <w:pPr>
        <w:numPr>
          <w:ilvl w:val="0"/>
          <w:numId w:val="1380"/>
        </w:numPr>
        <w:pStyle w:val="Compact"/>
      </w:pPr>
      <w:r>
        <w:t xml:space="preserve">2026 · Aronne LJ ·</w:t>
      </w:r>
      <w:r>
        <w:t xml:space="preserve"> </w:t>
      </w:r>
      <w:r>
        <w:rPr>
          <w:iCs/>
          <w:i/>
        </w:rPr>
        <w:t xml:space="preserve">Am J Med</w:t>
      </w:r>
      <w:r>
        <w:t xml:space="preserve"> </w:t>
      </w:r>
      <w:r>
        <w:t xml:space="preserve">· Relationship of early rapid weight loss to efficacy and safety of tirzepatide and semaglutide for obesity: SURMOUNT-5 post hoc analysis. PMID 41865857</w:t>
      </w:r>
    </w:p>
    <w:p>
      <w:pPr>
        <w:numPr>
          <w:ilvl w:val="0"/>
          <w:numId w:val="1380"/>
        </w:numPr>
        <w:pStyle w:val="Compact"/>
      </w:pPr>
      <w:r>
        <w:t xml:space="preserve">2026 · Zheng Z ·</w:t>
      </w:r>
      <w:r>
        <w:t xml:space="preserve"> </w:t>
      </w:r>
      <w:r>
        <w:rPr>
          <w:iCs/>
          <w:i/>
        </w:rPr>
        <w:t xml:space="preserve">Mol Metab</w:t>
      </w:r>
      <w:r>
        <w:t xml:space="preserve"> </w:t>
      </w:r>
      <w:r>
        <w:t xml:space="preserve">· ARD-101, a gut-restricted TAS2R agonist, reduces hunger in adults and promotes weight loss in DIO mice with DPP-4 inhibition. PMID 41833222</w:t>
      </w:r>
    </w:p>
    <w:p>
      <w:pPr>
        <w:numPr>
          <w:ilvl w:val="0"/>
          <w:numId w:val="1380"/>
        </w:numPr>
        <w:pStyle w:val="Compact"/>
      </w:pPr>
      <w:r>
        <w:t xml:space="preserve">2026 · Scheen A ·</w:t>
      </w:r>
      <w:r>
        <w:t xml:space="preserve"> </w:t>
      </w:r>
      <w:r>
        <w:rPr>
          <w:iCs/>
          <w:i/>
        </w:rPr>
        <w:t xml:space="preserve">Rev Med Liege</w:t>
      </w:r>
      <w:r>
        <w:t xml:space="preserve"> </w:t>
      </w:r>
      <w:r>
        <w:t xml:space="preserve">· [SURPASS CVOT : cardiovascular benefits with tirzepatide versus dulaglutide in type 2 diabetes]. PMID 41815032</w:t>
      </w:r>
    </w:p>
    <w:p>
      <w:pPr>
        <w:numPr>
          <w:ilvl w:val="0"/>
          <w:numId w:val="1380"/>
        </w:numPr>
        <w:pStyle w:val="Compact"/>
      </w:pPr>
      <w:r>
        <w:t xml:space="preserve">2026 · Ishigaki Y ·</w:t>
      </w:r>
      <w:r>
        <w:t xml:space="preserve"> </w:t>
      </w:r>
      <w:r>
        <w:rPr>
          <w:iCs/>
          <w:i/>
        </w:rPr>
        <w:t xml:space="preserve">Obesity (Silver Spring)</w:t>
      </w:r>
      <w:r>
        <w:t xml:space="preserve"> </w:t>
      </w:r>
      <w:r>
        <w:t xml:space="preserve">· Efficacy and Safety of Tirzepatide in Japanese Participants With Obesity: A Subpopulation Analysis of the SURMOUNT-1 Trial. PMID 41612966</w:t>
      </w:r>
    </w:p>
    <w:p>
      <w:pPr>
        <w:numPr>
          <w:ilvl w:val="0"/>
          <w:numId w:val="1380"/>
        </w:numPr>
        <w:pStyle w:val="Compact"/>
      </w:pPr>
      <w:r>
        <w:t xml:space="preserve">2026 · Malhotra A ·</w:t>
      </w:r>
      <w:r>
        <w:t xml:space="preserve"> </w:t>
      </w:r>
      <w:r>
        <w:rPr>
          <w:iCs/>
          <w:i/>
        </w:rPr>
        <w:t xml:space="preserve">Nat Med</w:t>
      </w:r>
      <w:r>
        <w:t xml:space="preserve"> </w:t>
      </w:r>
      <w:r>
        <w:t xml:space="preserve">· Tirzepatide on obstructive sleep apnea-related cardiometabolic risk: secondary outcomes of the SURMOUNT-OSA randomized trial. PMID 41540105</w:t>
      </w:r>
    </w:p>
    <w:p>
      <w:pPr>
        <w:numPr>
          <w:ilvl w:val="0"/>
          <w:numId w:val="1380"/>
        </w:numPr>
        <w:pStyle w:val="Compact"/>
      </w:pPr>
      <w:r>
        <w:t xml:space="preserve">2026 · Wadden TA ·</w:t>
      </w:r>
      <w:r>
        <w:t xml:space="preserve"> </w:t>
      </w:r>
      <w:r>
        <w:rPr>
          <w:iCs/>
          <w:i/>
        </w:rPr>
        <w:t xml:space="preserve">Obesity (Silver Spring)</w:t>
      </w:r>
      <w:r>
        <w:t xml:space="preserve"> </w:t>
      </w:r>
      <w:r>
        <w:t xml:space="preserve">· Psychiatric Safety of Tirzepatide in People With Obesity and No Known Major Psychopathology: A Post Hoc Analysis of SURMOUNT. PMID 41537305</w:t>
      </w:r>
    </w:p>
    <w:p>
      <w:pPr>
        <w:numPr>
          <w:ilvl w:val="0"/>
          <w:numId w:val="1380"/>
        </w:numPr>
        <w:pStyle w:val="Compact"/>
      </w:pPr>
      <w:r>
        <w:t xml:space="preserve">2026 · Neves JS ·</w:t>
      </w:r>
      <w:r>
        <w:t xml:space="preserve"> </w:t>
      </w:r>
      <w:r>
        <w:rPr>
          <w:iCs/>
          <w:i/>
        </w:rPr>
        <w:t xml:space="preserve">Diabetologia</w:t>
      </w:r>
      <w:r>
        <w:t xml:space="preserve"> </w:t>
      </w:r>
      <w:r>
        <w:t xml:space="preserve">· Efficacy of tirzepatide versus semaglutide in achieving therapeutic targets in type 2 diabetes: a post hoc analysis of the SURPASS-2 Trial. PMID 41419618</w:t>
      </w:r>
    </w:p>
    <w:p>
      <w:pPr>
        <w:numPr>
          <w:ilvl w:val="0"/>
          <w:numId w:val="1380"/>
        </w:numPr>
        <w:pStyle w:val="Compact"/>
      </w:pPr>
      <w:r>
        <w:t xml:space="preserve">2026 · Roell W ·</w:t>
      </w:r>
      <w:r>
        <w:t xml:space="preserve"> </w:t>
      </w:r>
      <w:r>
        <w:rPr>
          <w:iCs/>
          <w:i/>
        </w:rPr>
        <w:t xml:space="preserve">Mol Metab</w:t>
      </w:r>
      <w:r>
        <w:t xml:space="preserve"> </w:t>
      </w:r>
      <w:r>
        <w:t xml:space="preserve">· Long-acting GIPR agonist LY3537021 reduces body weight and fasting blood glucose in patients with T2D: Preclinical development and phase 1 randomized ascending dose studies. PMID 41391569</w:t>
      </w:r>
    </w:p>
    <w:p>
      <w:pPr>
        <w:numPr>
          <w:ilvl w:val="0"/>
          <w:numId w:val="1380"/>
        </w:numPr>
        <w:pStyle w:val="Compact"/>
      </w:pPr>
      <w:r>
        <w:t xml:space="preserve">2026 · Yokote K ·</w:t>
      </w:r>
      <w:r>
        <w:t xml:space="preserve"> </w:t>
      </w:r>
      <w:r>
        <w:rPr>
          <w:iCs/>
          <w:i/>
        </w:rPr>
        <w:t xml:space="preserve">Diabetes Obes Metab</w:t>
      </w:r>
      <w:r>
        <w:t xml:space="preserve"> </w:t>
      </w:r>
      <w:r>
        <w:t xml:space="preserve">· Association of baseline characteristics with clinical outcomes of tirzepatide treatment in Japanese patients with obesity disease: A subgroup analysis of the SURMOUNT-J trial. PMID 41290555</w:t>
      </w:r>
    </w:p>
    <w:p>
      <w:pPr>
        <w:numPr>
          <w:ilvl w:val="0"/>
          <w:numId w:val="1380"/>
        </w:numPr>
        <w:pStyle w:val="Compact"/>
      </w:pPr>
      <w:r>
        <w:t xml:space="preserve">2026 · Horn DB ·</w:t>
      </w:r>
      <w:r>
        <w:t xml:space="preserve"> </w:t>
      </w:r>
      <w:r>
        <w:rPr>
          <w:iCs/>
          <w:i/>
        </w:rPr>
        <w:t xml:space="preserve">JAMA Intern Med</w:t>
      </w:r>
      <w:r>
        <w:t xml:space="preserve"> </w:t>
      </w:r>
      <w:r>
        <w:t xml:space="preserve">· Cardiometabolic Parameter Change by Weight Regain on Tirzepatide Withdrawal in Adults With Obesity: A Post Hoc Analysis of the SURMOUNT-4 Trial. PMID 41284285</w:t>
      </w:r>
    </w:p>
    <w:p>
      <w:pPr>
        <w:numPr>
          <w:ilvl w:val="0"/>
          <w:numId w:val="1380"/>
        </w:numPr>
        <w:pStyle w:val="Compact"/>
      </w:pPr>
      <w:r>
        <w:t xml:space="preserve">2026 · Snaith JR ·</w:t>
      </w:r>
      <w:r>
        <w:t xml:space="preserve"> </w:t>
      </w:r>
      <w:r>
        <w:rPr>
          <w:iCs/>
          <w:i/>
        </w:rPr>
        <w:t xml:space="preserve">Diabetes Care</w:t>
      </w:r>
      <w:r>
        <w:t xml:space="preserve"> </w:t>
      </w:r>
      <w:r>
        <w:t xml:space="preserve">· Tirzepatide in Adults With Type 1 Diabetes: A Phase 2 Randomized Placebo-Controlled Clinical Trial. PMID 41264593</w:t>
      </w:r>
    </w:p>
    <w:p>
      <w:pPr>
        <w:numPr>
          <w:ilvl w:val="0"/>
          <w:numId w:val="1380"/>
        </w:numPr>
        <w:pStyle w:val="Compact"/>
      </w:pPr>
      <w:r>
        <w:t xml:space="preserve">2026 · Sattar N ·</w:t>
      </w:r>
      <w:r>
        <w:t xml:space="preserve"> </w:t>
      </w:r>
      <w:r>
        <w:rPr>
          <w:iCs/>
          <w:i/>
        </w:rPr>
        <w:t xml:space="preserve">Ann Rheum Dis</w:t>
      </w:r>
      <w:r>
        <w:t xml:space="preserve"> </w:t>
      </w:r>
      <w:r>
        <w:t xml:space="preserve">· Tirzepatide and change in uric acid and its association with weight reduction: post hoc analyses of the SURMOUNT-1 randomised placebo-controlled trial. PMID 41198460</w:t>
      </w:r>
    </w:p>
    <w:p>
      <w:pPr>
        <w:numPr>
          <w:ilvl w:val="0"/>
          <w:numId w:val="1380"/>
        </w:numPr>
        <w:pStyle w:val="Compact"/>
      </w:pPr>
      <w:r>
        <w:t xml:space="preserve">2026 · Shukla AP ·</w:t>
      </w:r>
      <w:r>
        <w:t xml:space="preserve"> </w:t>
      </w:r>
      <w:r>
        <w:rPr>
          <w:iCs/>
          <w:i/>
        </w:rPr>
        <w:t xml:space="preserve">Diabetes Obes Metab</w:t>
      </w:r>
      <w:r>
        <w:t xml:space="preserve"> </w:t>
      </w:r>
      <w:r>
        <w:t xml:space="preserve">· Improved health-related quality of life with tirzepatide versus semaglutide in adults with obesity or overweight from the SURMOUNT-5 trial. PMID 41187971</w:t>
      </w:r>
    </w:p>
    <w:p>
      <w:pPr>
        <w:numPr>
          <w:ilvl w:val="0"/>
          <w:numId w:val="1380"/>
        </w:numPr>
        <w:pStyle w:val="Compact"/>
      </w:pPr>
      <w:r>
        <w:t xml:space="preserve">2026 · Li X ·</w:t>
      </w:r>
      <w:r>
        <w:t xml:space="preserve"> </w:t>
      </w:r>
      <w:r>
        <w:rPr>
          <w:iCs/>
          <w:i/>
        </w:rPr>
        <w:t xml:space="preserve">Obesity (Silver Spring)</w:t>
      </w:r>
      <w:r>
        <w:t xml:space="preserve"> </w:t>
      </w:r>
      <w:r>
        <w:t xml:space="preserve">· People With Lowest Physical Functioning Scores Showed Greatest Improvement After Tirzepatide Treatment. PMID 41187013</w:t>
      </w:r>
    </w:p>
    <w:p>
      <w:pPr>
        <w:numPr>
          <w:ilvl w:val="0"/>
          <w:numId w:val="1380"/>
        </w:numPr>
        <w:pStyle w:val="Compact"/>
      </w:pPr>
      <w:r>
        <w:t xml:space="preserve">2025 · Nicholls SJ ·</w:t>
      </w:r>
      <w:r>
        <w:t xml:space="preserve"> </w:t>
      </w:r>
      <w:r>
        <w:rPr>
          <w:iCs/>
          <w:i/>
        </w:rPr>
        <w:t xml:space="preserve">N Engl J Med</w:t>
      </w:r>
      <w:r>
        <w:t xml:space="preserve"> </w:t>
      </w:r>
      <w:r>
        <w:t xml:space="preserve">· Cardiovascular Outcomes with Tirzepatide versus Dulaglutide in Type 2 Diabetes. PMID 41406444</w:t>
      </w:r>
    </w:p>
    <w:p>
      <w:pPr>
        <w:numPr>
          <w:ilvl w:val="0"/>
          <w:numId w:val="1380"/>
        </w:numPr>
        <w:pStyle w:val="Compact"/>
      </w:pPr>
      <w:r>
        <w:t xml:space="preserve">2025 · Guo L ·</w:t>
      </w:r>
      <w:r>
        <w:t xml:space="preserve"> </w:t>
      </w:r>
      <w:r>
        <w:rPr>
          <w:iCs/>
          <w:i/>
        </w:rPr>
        <w:t xml:space="preserve">Lancet Diabetes Endocrinol</w:t>
      </w:r>
      <w:r>
        <w:t xml:space="preserve"> </w:t>
      </w:r>
      <w:r>
        <w:t xml:space="preserve">· Efficacy and safety of tirzepatide added to basal insulin in patients with type 2 diabetes in China (SURPASS-CN-INS): a double-blind, multicentre, randomised, placebo-controlled, phase 3 trial. PMID 41167231</w:t>
      </w:r>
    </w:p>
    <w:p>
      <w:pPr>
        <w:numPr>
          <w:ilvl w:val="0"/>
          <w:numId w:val="1380"/>
        </w:numPr>
        <w:pStyle w:val="Compact"/>
      </w:pPr>
      <w:r>
        <w:t xml:space="preserve">2025 · Malhotra A ·</w:t>
      </w:r>
      <w:r>
        <w:t xml:space="preserve"> </w:t>
      </w:r>
      <w:r>
        <w:rPr>
          <w:iCs/>
          <w:i/>
        </w:rPr>
        <w:t xml:space="preserve">Sleep Med</w:t>
      </w:r>
      <w:r>
        <w:t xml:space="preserve"> </w:t>
      </w:r>
      <w:r>
        <w:t xml:space="preserve">· Tirzepatide for sleep-disordered breathing in SURMOUNT-OSA: Time course and association with body weight. PMID 41135142</w:t>
      </w:r>
    </w:p>
    <w:p>
      <w:pPr>
        <w:numPr>
          <w:ilvl w:val="0"/>
          <w:numId w:val="1380"/>
        </w:numPr>
        <w:pStyle w:val="Compact"/>
      </w:pPr>
      <w:r>
        <w:t xml:space="preserve">2025 · Caussy C ·</w:t>
      </w:r>
      <w:r>
        <w:t xml:space="preserve"> </w:t>
      </w:r>
      <w:r>
        <w:rPr>
          <w:iCs/>
          <w:i/>
        </w:rPr>
        <w:t xml:space="preserve">Diabetes Care</w:t>
      </w:r>
      <w:r>
        <w:t xml:space="preserve"> </w:t>
      </w:r>
      <w:r>
        <w:t xml:space="preserve">· Relationship Between Metabolic and Histological Responses in People With Metabolic Dysfunction- Associated Steatohepatitis With and Without Type 2 Diabetes: Participant-Level Exploratory Analysis of the SYNERGY-NASH Trial With Tirzepatide. PMID 41066427</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and the 10-year predicted risk of cardiovascular disease and type 2 diabetes in adults with obesity and prediabetes: A post hoc analysis from the three-year SURMOUNT-1 trial. PMID 41017451</w:t>
      </w:r>
    </w:p>
    <w:p>
      <w:pPr>
        <w:numPr>
          <w:ilvl w:val="0"/>
          <w:numId w:val="1380"/>
        </w:numPr>
        <w:pStyle w:val="Compact"/>
      </w:pPr>
      <w:r>
        <w:t xml:space="preserve">2025 · Hannon TS ·</w:t>
      </w:r>
      <w:r>
        <w:t xml:space="preserve"> </w:t>
      </w:r>
      <w:r>
        <w:rPr>
          <w:iCs/>
          <w:i/>
        </w:rPr>
        <w:t xml:space="preserve">Lancet</w:t>
      </w:r>
      <w:r>
        <w:t xml:space="preserve"> </w:t>
      </w:r>
      <w:r>
        <w:t xml:space="preserve">· Efficacy and safety of tirzepatide in children and adolescents with type 2 diabetes (SURPASS-PEDS): a randomised, double-blind, placebo-controlled, phase 3 trial. PMID 40975112</w:t>
      </w:r>
    </w:p>
    <w:p>
      <w:pPr>
        <w:numPr>
          <w:ilvl w:val="0"/>
          <w:numId w:val="1380"/>
        </w:numPr>
        <w:pStyle w:val="Compact"/>
      </w:pPr>
      <w:r>
        <w:t xml:space="preserve">2025 · Pieber TR ·</w:t>
      </w:r>
      <w:r>
        <w:t xml:space="preserve"> </w:t>
      </w:r>
      <w:r>
        <w:rPr>
          <w:iCs/>
          <w:i/>
        </w:rPr>
        <w:t xml:space="preserve">Front Endocrinol (Lausanne)</w:t>
      </w:r>
      <w:r>
        <w:t xml:space="preserve"> </w:t>
      </w:r>
      <w:r>
        <w:t xml:space="preserve">· Counterregulatory response to hypoglycemia during a hypoglycemic clamp in people with type 2 diabetes treated with tirzepatide. PMID 40964167</w:t>
      </w:r>
    </w:p>
    <w:p>
      <w:pPr>
        <w:numPr>
          <w:ilvl w:val="0"/>
          <w:numId w:val="1380"/>
        </w:numPr>
        <w:pStyle w:val="Compact"/>
      </w:pPr>
      <w:r>
        <w:t xml:space="preserve">2025 · Lee BW ·</w:t>
      </w:r>
      <w:r>
        <w:t xml:space="preserve"> </w:t>
      </w:r>
      <w:r>
        <w:rPr>
          <w:iCs/>
          <w:i/>
        </w:rPr>
        <w:t xml:space="preserve">Diabetes Obes Metab</w:t>
      </w:r>
      <w:r>
        <w:t xml:space="preserve"> </w:t>
      </w:r>
      <w:r>
        <w:t xml:space="preserve">· Efficacy and safety in tirzepatide-treated Korean adults with type 2 diabetes-A post hoc analysis of SURPASS-AP-combo and SURPASS-3. PMID 40954943</w:t>
      </w:r>
    </w:p>
    <w:p>
      <w:pPr>
        <w:numPr>
          <w:ilvl w:val="0"/>
          <w:numId w:val="1380"/>
        </w:numPr>
        <w:pStyle w:val="Compact"/>
      </w:pPr>
      <w:r>
        <w:t xml:space="preserve">2025 · Guan H ·</w:t>
      </w:r>
      <w:r>
        <w:t xml:space="preserve"> </w:t>
      </w:r>
      <w:r>
        <w:rPr>
          <w:iCs/>
          <w:i/>
        </w:rPr>
        <w:t xml:space="preserve">Diabetes Obes Metab</w:t>
      </w:r>
      <w:r>
        <w:t xml:space="preserve"> </w:t>
      </w:r>
      <w:r>
        <w:t xml:space="preserve">· Long-term efficacy and safety of tirzepatide in participants with type 2 diabetes with inadequate glycaemic control on metformin and/or sulfonylurea: Post-hoc analysis of SURPASS-4. PMID 40926359</w:t>
      </w:r>
    </w:p>
    <w:p>
      <w:pPr>
        <w:numPr>
          <w:ilvl w:val="0"/>
          <w:numId w:val="1380"/>
        </w:numPr>
        <w:pStyle w:val="Compact"/>
      </w:pPr>
      <w:r>
        <w:t xml:space="preserve">2025 · Gibble TH ·</w:t>
      </w:r>
      <w:r>
        <w:t xml:space="preserve"> </w:t>
      </w:r>
      <w:r>
        <w:rPr>
          <w:iCs/>
          <w:i/>
        </w:rPr>
        <w:t xml:space="preserve">Obesity (Silver Spring)</w:t>
      </w:r>
      <w:r>
        <w:t xml:space="preserve"> </w:t>
      </w:r>
      <w:r>
        <w:t xml:space="preserve">· Tirzepatide Associated With Improved Health-Related Quality of Life in Adults With Obesity or Overweight in SURMOUNT-4. PMID 40903801</w:t>
      </w:r>
    </w:p>
    <w:p>
      <w:pPr>
        <w:numPr>
          <w:ilvl w:val="0"/>
          <w:numId w:val="1380"/>
        </w:numPr>
        <w:pStyle w:val="Compact"/>
      </w:pPr>
      <w:r>
        <w:t xml:space="preserve">2025 · Packer M ·</w:t>
      </w:r>
      <w:r>
        <w:t xml:space="preserve"> </w:t>
      </w:r>
      <w:r>
        <w:rPr>
          <w:iCs/>
          <w:i/>
        </w:rPr>
        <w:t xml:space="preserve">J Am Coll Cardiol</w:t>
      </w:r>
      <w:r>
        <w:t xml:space="preserve"> </w:t>
      </w:r>
      <w:r>
        <w:t xml:space="preserve">· Influence of Type 2 Diabetes on the Effects of Tirzepatide in Patients With Heart Failure and a Preserved Ejection Fraction With Obesity: A Prespecified Stratification-Based Analysis. PMID 40903131</w:t>
      </w:r>
    </w:p>
    <w:p>
      <w:pPr>
        <w:numPr>
          <w:ilvl w:val="0"/>
          <w:numId w:val="1380"/>
        </w:numPr>
        <w:pStyle w:val="Compact"/>
      </w:pPr>
      <w:r>
        <w:t xml:space="preserve">2025 · Bhatnagar P ·</w:t>
      </w:r>
      <w:r>
        <w:t xml:space="preserve"> </w:t>
      </w:r>
      <w:r>
        <w:rPr>
          <w:iCs/>
          <w:i/>
        </w:rPr>
        <w:t xml:space="preserve">Nat Med</w:t>
      </w:r>
      <w:r>
        <w:t xml:space="preserve"> </w:t>
      </w:r>
      <w:r>
        <w:t xml:space="preserve">· Tirzepatide leads to weight reduction in people with obesity due to MC4R deficiency. PMID 40858971</w:t>
      </w:r>
    </w:p>
    <w:p>
      <w:pPr>
        <w:numPr>
          <w:ilvl w:val="0"/>
          <w:numId w:val="1380"/>
        </w:numPr>
        <w:pStyle w:val="Compact"/>
      </w:pPr>
      <w:r>
        <w:t xml:space="preserve">2025 · Schiavo L ·</w:t>
      </w:r>
      <w:r>
        <w:t xml:space="preserve"> </w:t>
      </w:r>
      <w:r>
        <w:rPr>
          <w:iCs/>
          <w:i/>
        </w:rPr>
        <w:t xml:space="preserve">Nutrients</w:t>
      </w:r>
      <w:r>
        <w:t xml:space="preserve"> </w:t>
      </w:r>
      <w:r>
        <w:t xml:space="preserve">· Beyond Weight Loss: Comparative Effects of Tirzepatide Plus Low-Energy Ketogenic Versus Low-Calorie Diet on Hepatic Steatosis and Stiffness in MASLD. PMID 40805994</w:t>
      </w:r>
    </w:p>
    <w:p>
      <w:pPr>
        <w:numPr>
          <w:ilvl w:val="0"/>
          <w:numId w:val="1380"/>
        </w:numPr>
        <w:pStyle w:val="Compact"/>
      </w:pPr>
      <w:r>
        <w:t xml:space="preserve">2025 · Kanu C ·</w:t>
      </w:r>
      <w:r>
        <w:t xml:space="preserve"> </w:t>
      </w:r>
      <w:r>
        <w:rPr>
          <w:iCs/>
          <w:i/>
        </w:rPr>
        <w:t xml:space="preserve">Sleep Med</w:t>
      </w:r>
      <w:r>
        <w:t xml:space="preserve"> </w:t>
      </w:r>
      <w:r>
        <w:t xml:space="preserve">· Effect of tirzepatide treatment on patient-reported outcomes among SURMOUNT-OSA participants with obstructive sleep apnea and obesity. PMID 40774158</w:t>
      </w:r>
    </w:p>
    <w:p>
      <w:pPr>
        <w:numPr>
          <w:ilvl w:val="0"/>
          <w:numId w:val="1380"/>
        </w:numPr>
        <w:pStyle w:val="Compact"/>
      </w:pPr>
      <w:r>
        <w:t xml:space="preserve">2025 · Gourgari E ·</w:t>
      </w:r>
      <w:r>
        <w:t xml:space="preserve"> </w:t>
      </w:r>
      <w:r>
        <w:rPr>
          <w:iCs/>
          <w:i/>
        </w:rPr>
        <w:t xml:space="preserve">Obesity (Silver Spring)</w:t>
      </w:r>
      <w:r>
        <w:t xml:space="preserve"> </w:t>
      </w:r>
      <w:r>
        <w:t xml:space="preserve">· Early-Onset Obesity and Tirzepatide Treatment: A Post Hoc Analysis of the SURMOUNT Clinical Trials. PMID 40717199</w:t>
      </w:r>
    </w:p>
    <w:p>
      <w:pPr>
        <w:numPr>
          <w:ilvl w:val="0"/>
          <w:numId w:val="1380"/>
        </w:numPr>
        <w:pStyle w:val="Compact"/>
      </w:pPr>
      <w:r>
        <w:t xml:space="preserve">2025 · Borlaug BA ·</w:t>
      </w:r>
      <w:r>
        <w:t xml:space="preserve"> </w:t>
      </w:r>
      <w:r>
        <w:rPr>
          <w:iCs/>
          <w:i/>
        </w:rPr>
        <w:t xml:space="preserve">J Am Coll Cardiol</w:t>
      </w:r>
      <w:r>
        <w:t xml:space="preserve"> </w:t>
      </w:r>
      <w:r>
        <w:t xml:space="preserve">· Impact of Body Mass Index, Central Adiposity, and Weight Loss on the Benefits of Tirzepatide in HFpEF: The SUMMIT Trial. PMID 40701669</w:t>
      </w:r>
    </w:p>
    <w:p>
      <w:pPr>
        <w:numPr>
          <w:ilvl w:val="0"/>
          <w:numId w:val="1380"/>
        </w:numPr>
        <w:pStyle w:val="Compact"/>
      </w:pPr>
      <w:r>
        <w:t xml:space="preserve">2025 · Mari A ·</w:t>
      </w:r>
      <w:r>
        <w:t xml:space="preserve"> </w:t>
      </w:r>
      <w:r>
        <w:rPr>
          <w:iCs/>
          <w:i/>
        </w:rPr>
        <w:t xml:space="preserve">Diabetes Care</w:t>
      </w:r>
      <w:r>
        <w:t xml:space="preserve"> </w:t>
      </w:r>
      <w:r>
        <w:t xml:space="preserve">· Tirzepatide Treatment and Associated Changes in β-Cell Function and Insulin Sensitivity in People With Obesity or Overweight With Prediabetes or Normoglycemia: A Post Hoc Analysis From the SURMOUNT-1 Trial. PMID 40694530</w:t>
      </w:r>
    </w:p>
    <w:p>
      <w:pPr>
        <w:numPr>
          <w:ilvl w:val="0"/>
          <w:numId w:val="1380"/>
        </w:numPr>
        <w:pStyle w:val="Compact"/>
      </w:pPr>
      <w:r>
        <w:t xml:space="preserve">2025 · Yamaguchi Y ·</w:t>
      </w:r>
      <w:r>
        <w:t xml:space="preserve"> </w:t>
      </w:r>
      <w:r>
        <w:rPr>
          <w:iCs/>
          <w:i/>
        </w:rPr>
        <w:t xml:space="preserve">Diabetologia</w:t>
      </w:r>
      <w:r>
        <w:t xml:space="preserve"> </w:t>
      </w:r>
      <w:r>
        <w:t xml:space="preserve">· Early induction of insulin sensitisation treated by tirzepatide: a prospective, single-arm, open-label study in Japanese individuals with obesity and type 2 diabetes. PMID 40694059</w:t>
      </w:r>
    </w:p>
    <w:p>
      <w:pPr>
        <w:numPr>
          <w:ilvl w:val="0"/>
          <w:numId w:val="1380"/>
        </w:numPr>
        <w:pStyle w:val="Compact"/>
      </w:pPr>
      <w:r>
        <w:t xml:space="preserve">2025 · Ard J ·</w:t>
      </w:r>
      <w:r>
        <w:t xml:space="preserve"> </w:t>
      </w:r>
      <w:r>
        <w:rPr>
          <w:iCs/>
          <w:i/>
        </w:rPr>
        <w:t xml:space="preserve">Diabetes Obes Metab</w:t>
      </w:r>
      <w:r>
        <w:t xml:space="preserve"> </w:t>
      </w:r>
      <w:r>
        <w:t xml:space="preserve">· Weight reduction over time in tirzepatide-treated participants by early weight loss response: Post hoc analysis in SURMOUNT-1. PMID 40677091</w:t>
      </w:r>
    </w:p>
    <w:p>
      <w:pPr>
        <w:numPr>
          <w:ilvl w:val="0"/>
          <w:numId w:val="1380"/>
        </w:numPr>
        <w:pStyle w:val="Compact"/>
      </w:pPr>
      <w:r>
        <w:t xml:space="preserve">2025 · Pearson ER ·</w:t>
      </w:r>
      <w:r>
        <w:t xml:space="preserve"> </w:t>
      </w:r>
      <w:r>
        <w:rPr>
          <w:iCs/>
          <w:i/>
        </w:rPr>
        <w:t xml:space="preserve">Diabetes</w:t>
      </w:r>
      <w:r>
        <w:t xml:space="preserve"> </w:t>
      </w:r>
      <w:r>
        <w:t xml:space="preserve">· Predictors of Initial and Sustained Glycemic and Weight Response to Tirzepatide: A Post Hoc Analysis of SURPASS-4. PMID 40633089</w:t>
      </w:r>
    </w:p>
    <w:p>
      <w:pPr>
        <w:numPr>
          <w:ilvl w:val="0"/>
          <w:numId w:val="1380"/>
        </w:numPr>
        <w:pStyle w:val="Compact"/>
      </w:pPr>
      <w:r>
        <w:t xml:space="preserve">2025 · Chigutsa E ·</w:t>
      </w:r>
      <w:r>
        <w:t xml:space="preserve"> </w:t>
      </w:r>
      <w:r>
        <w:rPr>
          <w:iCs/>
          <w:i/>
        </w:rPr>
        <w:t xml:space="preserve">Clin Pharmacol Ther</w:t>
      </w:r>
      <w:r>
        <w:t xml:space="preserve"> </w:t>
      </w:r>
      <w:r>
        <w:t xml:space="preserve">· A Pharmacometric Method for Quantitative Determination of Improvement in Body Composition and Characterization of the Exposure-Response Relationship during Treatment of Obesity with Tirzepatide. PMID 40556483</w:t>
      </w:r>
    </w:p>
    <w:p>
      <w:pPr>
        <w:numPr>
          <w:ilvl w:val="0"/>
          <w:numId w:val="1380"/>
        </w:numPr>
        <w:pStyle w:val="Compact"/>
      </w:pPr>
      <w:r>
        <w:t xml:space="preserve">2025 · Martin CK ·</w:t>
      </w:r>
      <w:r>
        <w:t xml:space="preserve"> </w:t>
      </w:r>
      <w:r>
        <w:rPr>
          <w:iCs/>
          <w:i/>
        </w:rPr>
        <w:t xml:space="preserve">Nat Med</w:t>
      </w:r>
      <w:r>
        <w:t xml:space="preserve"> </w:t>
      </w:r>
      <w:r>
        <w:t xml:space="preserve">· Tirzepatide on ingestive behavior in adults with overweight or obesity: a randomized 6-week phase 1 trial. PMID 40555748</w:t>
      </w:r>
    </w:p>
    <w:p>
      <w:pPr>
        <w:numPr>
          <w:ilvl w:val="0"/>
          <w:numId w:val="1380"/>
        </w:numPr>
        <w:pStyle w:val="Compact"/>
      </w:pPr>
      <w:r>
        <w:t xml:space="preserve">2025 · Linetzky B ·</w:t>
      </w:r>
      <w:r>
        <w:t xml:space="preserve"> </w:t>
      </w:r>
      <w:r>
        <w:rPr>
          <w:iCs/>
          <w:i/>
        </w:rPr>
        <w:t xml:space="preserve">Ann Intern Med</w:t>
      </w:r>
      <w:r>
        <w:t xml:space="preserve"> </w:t>
      </w:r>
      <w:r>
        <w:t xml:space="preserve">· Improvements in Cardiometabolic Risk Factors by Weight Reduction: A Post Hoc Analysis of Adults With Obesity Randomly Assigned to Tirzepatide. PMID 40550133</w:t>
      </w:r>
    </w:p>
    <w:p>
      <w:pPr>
        <w:numPr>
          <w:ilvl w:val="0"/>
          <w:numId w:val="1380"/>
        </w:numPr>
        <w:pStyle w:val="Compact"/>
      </w:pPr>
      <w:r>
        <w:t xml:space="preserve">2025 · Ciudin A ·</w:t>
      </w:r>
      <w:r>
        <w:t xml:space="preserve"> </w:t>
      </w:r>
      <w:r>
        <w:rPr>
          <w:iCs/>
          <w:i/>
        </w:rPr>
        <w:t xml:space="preserve">Diabetes Obes Metab</w:t>
      </w:r>
      <w:r>
        <w:t xml:space="preserve"> </w:t>
      </w:r>
      <w:r>
        <w:t xml:space="preserve">· Indirect comparative efficacy and safety of tirzepatide 10 and 15 mg versus semaglutide 2.4 mg for the management of obesity and overweight in patients with type 2 diabetes. PMID 40537987</w:t>
      </w:r>
    </w:p>
    <w:p>
      <w:pPr>
        <w:numPr>
          <w:ilvl w:val="0"/>
          <w:numId w:val="1380"/>
        </w:numPr>
        <w:pStyle w:val="Compact"/>
      </w:pPr>
      <w:r>
        <w:t xml:space="preserve">2025 · Yamauchi T ·</w:t>
      </w:r>
      <w:r>
        <w:t xml:space="preserve"> </w:t>
      </w:r>
      <w:r>
        <w:rPr>
          <w:iCs/>
          <w:i/>
        </w:rPr>
        <w:t xml:space="preserve">Diabetes Obes Metab</w:t>
      </w:r>
      <w:r>
        <w:t xml:space="preserve"> </w:t>
      </w:r>
      <w:r>
        <w:t xml:space="preserve">· Efficacy and safety of once-weekly tirzepatide in Japanese participants with type 2 diabetes who have obesity or overweight: Subpopulation analysis of the SURMOUNT-2 trial. PMID 40490415</w:t>
      </w:r>
    </w:p>
    <w:p>
      <w:pPr>
        <w:numPr>
          <w:ilvl w:val="0"/>
          <w:numId w:val="1380"/>
        </w:numPr>
        <w:pStyle w:val="Compact"/>
      </w:pPr>
      <w:r>
        <w:t xml:space="preserve">2025 · Zhao L ·</w:t>
      </w:r>
      <w:r>
        <w:t xml:space="preserve"> </w:t>
      </w:r>
      <w:r>
        <w:rPr>
          <w:iCs/>
          <w:i/>
        </w:rPr>
        <w:t xml:space="preserve">Obesity (Silver Spring)</w:t>
      </w:r>
      <w:r>
        <w:t xml:space="preserve"> </w:t>
      </w:r>
      <w:r>
        <w:t xml:space="preserve">· Association of tirzepatide with cardiometabolic benefits in Chinese adults: post hoc subgroup analysis of SURMOUNT-CN study. PMID 40437798</w:t>
      </w:r>
    </w:p>
    <w:p>
      <w:pPr>
        <w:numPr>
          <w:ilvl w:val="0"/>
          <w:numId w:val="1380"/>
        </w:numPr>
        <w:pStyle w:val="Compact"/>
      </w:pPr>
      <w:r>
        <w:t xml:space="preserve">2025 · Gibble TH ·</w:t>
      </w:r>
      <w:r>
        <w:t xml:space="preserve"> </w:t>
      </w:r>
      <w:r>
        <w:rPr>
          <w:iCs/>
          <w:i/>
        </w:rPr>
        <w:t xml:space="preserve">Diabetes Obes Metab</w:t>
      </w:r>
      <w:r>
        <w:t xml:space="preserve"> </w:t>
      </w:r>
      <w:r>
        <w:t xml:space="preserve">· Tirzepatide and health-related quality of life in adults with obesity or overweight: Results from the SURMOUNT-3 phase 3 randomized trial. PMID 40365662</w:t>
      </w:r>
    </w:p>
    <w:p>
      <w:pPr>
        <w:numPr>
          <w:ilvl w:val="0"/>
          <w:numId w:val="1380"/>
        </w:numPr>
        <w:pStyle w:val="Compact"/>
      </w:pPr>
      <w:r>
        <w:t xml:space="preserve">2025 · Aronne LJ ·</w:t>
      </w:r>
      <w:r>
        <w:t xml:space="preserve"> </w:t>
      </w:r>
      <w:r>
        <w:rPr>
          <w:iCs/>
          <w:i/>
        </w:rPr>
        <w:t xml:space="preserve">N Engl J Med</w:t>
      </w:r>
      <w:r>
        <w:t xml:space="preserve"> </w:t>
      </w:r>
      <w:r>
        <w:t xml:space="preserve">· Tirzepatide as Compared with Semaglutide for the Treatment of Obesity. PMID 40353578</w:t>
      </w:r>
    </w:p>
    <w:p>
      <w:pPr>
        <w:numPr>
          <w:ilvl w:val="0"/>
          <w:numId w:val="1380"/>
        </w:numPr>
        <w:pStyle w:val="Compact"/>
      </w:pPr>
      <w:r>
        <w:t xml:space="preserve">2025 · Zhao L ·</w:t>
      </w:r>
      <w:r>
        <w:t xml:space="preserve"> </w:t>
      </w:r>
      <w:r>
        <w:rPr>
          <w:iCs/>
          <w:i/>
        </w:rPr>
        <w:t xml:space="preserve">Diabetes Obes Metab</w:t>
      </w:r>
      <w:r>
        <w:t xml:space="preserve"> </w:t>
      </w:r>
      <w:r>
        <w:t xml:space="preserve">· Predicting 10-year risk of type 2 diabetes in Chinese people with overweight or obesity treated with Tirzepatide: Post hoc analysis of SURMOUNT-CN trial. PMID 40329666</w:t>
      </w:r>
    </w:p>
    <w:p>
      <w:pPr>
        <w:numPr>
          <w:ilvl w:val="0"/>
          <w:numId w:val="1380"/>
        </w:numPr>
        <w:pStyle w:val="Compact"/>
      </w:pPr>
      <w:r>
        <w:t xml:space="preserve">2025 · Hankosky ER ·</w:t>
      </w:r>
      <w:r>
        <w:t xml:space="preserve"> </w:t>
      </w:r>
      <w:r>
        <w:rPr>
          <w:iCs/>
          <w:i/>
        </w:rPr>
        <w:t xml:space="preserve">Diabetes Obes Metab</w:t>
      </w:r>
      <w:r>
        <w:t xml:space="preserve"> </w:t>
      </w:r>
      <w:r>
        <w:t xml:space="preserve">· Tirzepatide 10 and 15 mg versus semaglutide 2.4 mg in people with obesity or overweight with type 2 diabetes: An indirect treatment comparison. PMID 40321113</w:t>
      </w:r>
    </w:p>
    <w:p>
      <w:pPr>
        <w:numPr>
          <w:ilvl w:val="0"/>
          <w:numId w:val="1380"/>
        </w:numPr>
        <w:pStyle w:val="Compact"/>
      </w:pPr>
      <w:r>
        <w:t xml:space="preserve">2025 · Sattar N ·</w:t>
      </w:r>
      <w:r>
        <w:t xml:space="preserve"> </w:t>
      </w:r>
      <w:r>
        <w:rPr>
          <w:iCs/>
          <w:i/>
        </w:rPr>
        <w:t xml:space="preserve">Lancet Diabetes Endocrinol</w:t>
      </w:r>
      <w:r>
        <w:t xml:space="preserve"> </w:t>
      </w:r>
      <w:r>
        <w:t xml:space="preserve">· Tirzepatide and muscle composition changes in people with type 2 diabetes (SURPASS-3 MRI): a post-hoc analysis of a randomised, open-label, parallel-group, phase 3 trial. PMID 40318682</w:t>
      </w:r>
    </w:p>
    <w:p>
      <w:pPr>
        <w:numPr>
          <w:ilvl w:val="0"/>
          <w:numId w:val="1380"/>
        </w:numPr>
        <w:pStyle w:val="Compact"/>
      </w:pPr>
      <w:r>
        <w:t xml:space="preserve">2025 · Evans M ·</w:t>
      </w:r>
      <w:r>
        <w:t xml:space="preserve"> </w:t>
      </w:r>
      <w:r>
        <w:rPr>
          <w:iCs/>
          <w:i/>
        </w:rPr>
        <w:t xml:space="preserve">Adv Ther</w:t>
      </w:r>
      <w:r>
        <w:t xml:space="preserve"> </w:t>
      </w:r>
      <w:r>
        <w:t xml:space="preserve">· Analysis of Tirzepatide Acquisition Costs and Weight Reduction Outcomes in the United Kingdom: Insights from the SURMOUNT-1 Study. PMID 40251452</w:t>
      </w:r>
    </w:p>
    <w:p>
      <w:pPr>
        <w:numPr>
          <w:ilvl w:val="0"/>
          <w:numId w:val="1380"/>
        </w:numPr>
        <w:pStyle w:val="Compact"/>
      </w:pPr>
      <w:r>
        <w:t xml:space="preserve">2025 · Ravussin E ·</w:t>
      </w:r>
      <w:r>
        <w:t xml:space="preserve"> </w:t>
      </w:r>
      <w:r>
        <w:rPr>
          <w:iCs/>
          <w:i/>
        </w:rPr>
        <w:t xml:space="preserve">Cell Metab</w:t>
      </w:r>
      <w:r>
        <w:t xml:space="preserve"> </w:t>
      </w:r>
      <w:r>
        <w:t xml:space="preserve">· Tirzepatide did not impact metabolic adaptation in people with obesity, but increased fat oxidation. PMID 40203836</w:t>
      </w:r>
    </w:p>
    <w:p>
      <w:pPr>
        <w:numPr>
          <w:ilvl w:val="0"/>
          <w:numId w:val="1380"/>
        </w:numPr>
        <w:pStyle w:val="Compact"/>
      </w:pPr>
      <w:r>
        <w:t xml:space="preserve">2025 · Billings LK ·</w:t>
      </w:r>
      <w:r>
        <w:t xml:space="preserve"> </w:t>
      </w:r>
      <w:r>
        <w:rPr>
          <w:iCs/>
          <w:i/>
        </w:rPr>
        <w:t xml:space="preserve">Ann Intern Med</w:t>
      </w:r>
      <w:r>
        <w:t xml:space="preserve"> </w:t>
      </w:r>
      <w:r>
        <w:t xml:space="preserve">· Comparison of Dose Escalation Versus Switching to Tirzepatide Among People With Type 2 Diabetes Inadequately Controlled on Lower Doses of Dulaglutide : A Randomized Clinical Trial. PMID 40183678</w:t>
      </w:r>
    </w:p>
    <w:p>
      <w:pPr>
        <w:numPr>
          <w:ilvl w:val="0"/>
          <w:numId w:val="1380"/>
        </w:numPr>
        <w:pStyle w:val="Compact"/>
      </w:pPr>
      <w:r>
        <w:t xml:space="preserve">2025 · Packer M ·</w:t>
      </w:r>
      <w:r>
        <w:t xml:space="preserve"> </w:t>
      </w:r>
      <w:r>
        <w:rPr>
          <w:iCs/>
          <w:i/>
        </w:rPr>
        <w:t xml:space="preserve">J Am Coll Cardiol</w:t>
      </w:r>
      <w:r>
        <w:t xml:space="preserve"> </w:t>
      </w:r>
      <w:r>
        <w:t xml:space="preserve">· Interplay of Chronic Kidney Disease and the Effects of Tirzepatide in Patients With Heart Failure, Preserved Ejection Fraction, and Obesity: The SUMMIT Trial. PMID 40162940</w:t>
      </w:r>
    </w:p>
    <w:p>
      <w:pPr>
        <w:numPr>
          <w:ilvl w:val="0"/>
          <w:numId w:val="1380"/>
        </w:numPr>
        <w:pStyle w:val="Compact"/>
      </w:pPr>
      <w:r>
        <w:t xml:space="preserve">2025 · Giorgino F ·</w:t>
      </w:r>
      <w:r>
        <w:t xml:space="preserve"> </w:t>
      </w:r>
      <w:r>
        <w:rPr>
          <w:iCs/>
          <w:i/>
        </w:rPr>
        <w:t xml:space="preserve">Diabetes Care</w:t>
      </w:r>
      <w:r>
        <w:t xml:space="preserve"> </w:t>
      </w:r>
      <w:r>
        <w:t xml:space="preserve">· Early Fasting Serum Glucose or Weight Reduction With Tirzepatide and Metabolic Outcomes in People With Type 2 Diabetes: A Post Hoc Analysis of the SURPASS Trials. PMID 40100982</w:t>
      </w:r>
    </w:p>
    <w:p>
      <w:pPr>
        <w:numPr>
          <w:ilvl w:val="0"/>
          <w:numId w:val="1380"/>
        </w:numPr>
        <w:pStyle w:val="Compact"/>
      </w:pPr>
      <w:r>
        <w:t xml:space="preserve">2025 · Bergman BK ·</w:t>
      </w:r>
      <w:r>
        <w:t xml:space="preserve"> </w:t>
      </w:r>
      <w:r>
        <w:rPr>
          <w:iCs/>
          <w:i/>
        </w:rPr>
        <w:t xml:space="preserve">Diabetes Obes Metab</w:t>
      </w:r>
      <w:r>
        <w:t xml:space="preserve"> </w:t>
      </w:r>
      <w:r>
        <w:t xml:space="preserve">· Time spent in glycaemic control with sustained body weight reduction with tirzepatide: A post hoc analysis of the SURPASS clinical trial programme. PMID 40083081</w:t>
      </w:r>
    </w:p>
    <w:p>
      <w:pPr>
        <w:numPr>
          <w:ilvl w:val="0"/>
          <w:numId w:val="1380"/>
        </w:numPr>
        <w:pStyle w:val="Compact"/>
      </w:pPr>
      <w:r>
        <w:t xml:space="preserve">2025 · Kadowaki T ·</w:t>
      </w:r>
      <w:r>
        <w:t xml:space="preserve"> </w:t>
      </w:r>
      <w:r>
        <w:rPr>
          <w:iCs/>
          <w:i/>
        </w:rPr>
        <w:t xml:space="preserve">Lancet Diabetes Endocrinol</w:t>
      </w:r>
      <w:r>
        <w:t xml:space="preserve"> </w:t>
      </w:r>
      <w:r>
        <w:t xml:space="preserve">· Efficacy and safety of once-weekly tirzepatide in Japanese patients with obesity disease (SURMOUNT-J): a multicentre, randomised, double-blind, placebo-controlled phase 3 trial. PMID 40031941</w:t>
      </w:r>
    </w:p>
    <w:p>
      <w:pPr>
        <w:numPr>
          <w:ilvl w:val="0"/>
          <w:numId w:val="1380"/>
        </w:numPr>
        <w:pStyle w:val="Compact"/>
      </w:pPr>
      <w:r>
        <w:t xml:space="preserve">2025 · Look M ·</w:t>
      </w:r>
      <w:r>
        <w:t xml:space="preserve"> </w:t>
      </w:r>
      <w:r>
        <w:rPr>
          <w:iCs/>
          <w:i/>
        </w:rPr>
        <w:t xml:space="preserve">Diabetes Obes Metab</w:t>
      </w:r>
      <w:r>
        <w:t xml:space="preserve"> </w:t>
      </w:r>
      <w:r>
        <w:t xml:space="preserve">· Body composition changes during weight reduction with tirzepatide in the SURMOUNT-1 study of adults with obesity or overweight. PMID 39996356</w:t>
      </w:r>
    </w:p>
    <w:p>
      <w:pPr>
        <w:numPr>
          <w:ilvl w:val="0"/>
          <w:numId w:val="1380"/>
        </w:numPr>
        <w:pStyle w:val="Compact"/>
      </w:pPr>
      <w:r>
        <w:t xml:space="preserve">2025 · Mimura H ·</w:t>
      </w:r>
      <w:r>
        <w:t xml:space="preserve"> </w:t>
      </w:r>
      <w:r>
        <w:rPr>
          <w:iCs/>
          <w:i/>
        </w:rPr>
        <w:t xml:space="preserve">J Diabetes Investig</w:t>
      </w:r>
      <w:r>
        <w:t xml:space="preserve"> </w:t>
      </w:r>
      <w:r>
        <w:t xml:space="preserve">· Association of bodyweight loss with changes in lipids, blood pressure, and fasting serum glucose following tirzepatide treatment in Japanese participants with type 2 diabetes: A post hoc analysis of the SURPASS J-mono trial. PMID 39891527</w:t>
      </w:r>
    </w:p>
    <w:p>
      <w:pPr>
        <w:numPr>
          <w:ilvl w:val="0"/>
          <w:numId w:val="1380"/>
        </w:numPr>
        <w:pStyle w:val="Compact"/>
      </w:pPr>
      <w:r>
        <w:t xml:space="preserve">2025 · Fan Y ·</w:t>
      </w:r>
      <w:r>
        <w:t xml:space="preserve"> </w:t>
      </w:r>
      <w:r>
        <w:rPr>
          <w:iCs/>
          <w:i/>
        </w:rPr>
        <w:t xml:space="preserve">Diabetes Obes Metab</w:t>
      </w:r>
      <w:r>
        <w:t xml:space="preserve"> </w:t>
      </w:r>
      <w:r>
        <w:t xml:space="preserve">· The safety, tolerability, pharmacokinetics and pharmacodynamics of an optimized dual GLP-1/GIP receptor agonist (BGM0504) in healthy volunteers: A dose-escalation Phase I study. PMID 39840511</w:t>
      </w:r>
    </w:p>
    <w:p>
      <w:pPr>
        <w:numPr>
          <w:ilvl w:val="0"/>
          <w:numId w:val="1380"/>
        </w:numPr>
        <w:pStyle w:val="Compact"/>
      </w:pPr>
      <w:r>
        <w:t xml:space="preserve">2025 · Horn DB ·</w:t>
      </w:r>
      <w:r>
        <w:t xml:space="preserve"> </w:t>
      </w:r>
      <w:r>
        <w:rPr>
          <w:iCs/>
          <w:i/>
        </w:rPr>
        <w:t xml:space="preserve">Clin Obes</w:t>
      </w:r>
      <w:r>
        <w:t xml:space="preserve"> </w:t>
      </w:r>
      <w:r>
        <w:t xml:space="preserve">· Time to weight plateau with tirzepatide treatment in the SURMOUNT-1 and SURMOUNT-4 clinical trials. PMID 39800653</w:t>
      </w:r>
    </w:p>
    <w:p>
      <w:pPr>
        <w:numPr>
          <w:ilvl w:val="0"/>
          <w:numId w:val="1380"/>
        </w:numPr>
        <w:pStyle w:val="Compact"/>
      </w:pPr>
      <w:r>
        <w:t xml:space="preserve">2025 · Rubino DM ·</w:t>
      </w:r>
      <w:r>
        <w:t xml:space="preserve"> </w:t>
      </w:r>
      <w:r>
        <w:rPr>
          <w:iCs/>
          <w:i/>
        </w:rPr>
        <w:t xml:space="preserve">Diabetes Obes Metab</w:t>
      </w:r>
      <w:r>
        <w:t xml:space="preserve"> </w:t>
      </w:r>
      <w:r>
        <w:t xml:space="preserve">· Gastrointestinal tolerability and weight reduction associated with tirzepatide in adults with obesity or overweight with and without type 2 diabetes in the SURMOUNT-1 to -4 trials. PMID 39789843</w:t>
      </w:r>
    </w:p>
    <w:p>
      <w:pPr>
        <w:numPr>
          <w:ilvl w:val="0"/>
          <w:numId w:val="1380"/>
        </w:numPr>
        <w:pStyle w:val="Compact"/>
      </w:pPr>
      <w:r>
        <w:t xml:space="preserve">2025 · Mather KJ ·</w:t>
      </w:r>
      <w:r>
        <w:t xml:space="preserve"> </w:t>
      </w:r>
      <w:r>
        <w:rPr>
          <w:iCs/>
          <w:i/>
        </w:rPr>
        <w:t xml:space="preserve">Diabetes Obes Metab</w:t>
      </w:r>
      <w:r>
        <w:t xml:space="preserve"> </w:t>
      </w:r>
      <w:r>
        <w:t xml:space="preserve">· Greater improvement in insulin sensitivity per unit weight loss associated with tirzepatide versus semaglutide: An exploratory analysis. PMID 39762971</w:t>
      </w:r>
    </w:p>
    <w:p>
      <w:pPr>
        <w:numPr>
          <w:ilvl w:val="0"/>
          <w:numId w:val="1380"/>
        </w:numPr>
        <w:pStyle w:val="Compact"/>
      </w:pPr>
      <w:r>
        <w:t xml:space="preserve">2025 · Apperloo EM ·</w:t>
      </w:r>
      <w:r>
        <w:t xml:space="preserve"> </w:t>
      </w:r>
      <w:r>
        <w:rPr>
          <w:iCs/>
          <w:i/>
        </w:rPr>
        <w:t xml:space="preserve">Diabetes Care</w:t>
      </w:r>
      <w:r>
        <w:t xml:space="preserve"> </w:t>
      </w:r>
      <w:r>
        <w:t xml:space="preserve">· Tirzepatide Associated With Reduced Albuminuria in Participants With Type 2 Diabetes: Pooled Post Hoc Analysis From the Randomized Active- and Placebo-Controlled SURPASS-1-5 Clinical Trials. PMID 39746157</w:t>
      </w:r>
    </w:p>
    <w:p>
      <w:pPr>
        <w:numPr>
          <w:ilvl w:val="0"/>
          <w:numId w:val="1380"/>
        </w:numPr>
        <w:pStyle w:val="Compact"/>
      </w:pPr>
      <w:r>
        <w:t xml:space="preserve">2025 · Kramer CM ·</w:t>
      </w:r>
      <w:r>
        <w:t xml:space="preserve"> </w:t>
      </w:r>
      <w:r>
        <w:rPr>
          <w:iCs/>
          <w:i/>
        </w:rPr>
        <w:t xml:space="preserve">J Am Coll Cardiol</w:t>
      </w:r>
      <w:r>
        <w:t xml:space="preserve"> </w:t>
      </w:r>
      <w:r>
        <w:t xml:space="preserve">· Tirzepatide Reduces LV Mass and Paracardiac Adipose Tissue in Obesity-Related Heart Failure: SUMMIT CMR Substudy. PMID 39566869</w:t>
      </w:r>
    </w:p>
    <w:p>
      <w:pPr>
        <w:numPr>
          <w:ilvl w:val="0"/>
          <w:numId w:val="1380"/>
        </w:numPr>
        <w:pStyle w:val="Compact"/>
      </w:pPr>
      <w:r>
        <w:t xml:space="preserve">2025 · Zile MR ·</w:t>
      </w:r>
      <w:r>
        <w:t xml:space="preserve"> </w:t>
      </w:r>
      <w:r>
        <w:rPr>
          <w:iCs/>
          <w:i/>
        </w:rPr>
        <w:t xml:space="preserve">Circulation</w:t>
      </w:r>
      <w:r>
        <w:t xml:space="preserve"> </w:t>
      </w:r>
      <w:r>
        <w:t xml:space="preserve">· Effects of Tirzepatide on the Clinical Trajectory of Patients With Heart Failure, Preserved Ejection Fraction, and Obesity. PMID 39556714</w:t>
      </w:r>
    </w:p>
    <w:p>
      <w:pPr>
        <w:numPr>
          <w:ilvl w:val="0"/>
          <w:numId w:val="1380"/>
        </w:numPr>
        <w:pStyle w:val="Compact"/>
      </w:pPr>
      <w:r>
        <w:t xml:space="preserve">2025 · Packer M ·</w:t>
      </w:r>
      <w:r>
        <w:t xml:space="preserve"> </w:t>
      </w:r>
      <w:r>
        <w:rPr>
          <w:iCs/>
          <w:i/>
        </w:rPr>
        <w:t xml:space="preserve">N Engl J Med</w:t>
      </w:r>
      <w:r>
        <w:t xml:space="preserve"> </w:t>
      </w:r>
      <w:r>
        <w:t xml:space="preserve">· Tirzepatide for Heart Failure with Preserved Ejection Fraction and Obesity. PMID 39555826</w:t>
      </w:r>
    </w:p>
    <w:p>
      <w:pPr>
        <w:numPr>
          <w:ilvl w:val="0"/>
          <w:numId w:val="1380"/>
        </w:numPr>
        <w:pStyle w:val="Compact"/>
      </w:pPr>
      <w:r>
        <w:t xml:space="preserve">2025 · Borlaug BA ·</w:t>
      </w:r>
      <w:r>
        <w:t xml:space="preserve"> </w:t>
      </w:r>
      <w:r>
        <w:rPr>
          <w:iCs/>
          <w:i/>
        </w:rPr>
        <w:t xml:space="preserve">Nat Med</w:t>
      </w:r>
      <w:r>
        <w:t xml:space="preserve"> </w:t>
      </w:r>
      <w:r>
        <w:t xml:space="preserve">· Effects of tirzepatide on circulatory overload and end-organ damage in heart failure with preserved ejection fraction and obesity: a secondary analysis of the SUMMIT trial. PMID 39551891</w:t>
      </w:r>
    </w:p>
    <w:p>
      <w:pPr>
        <w:numPr>
          <w:ilvl w:val="0"/>
          <w:numId w:val="1380"/>
        </w:numPr>
        <w:pStyle w:val="Compact"/>
      </w:pPr>
      <w:r>
        <w:t xml:space="preserve">2025 · Jastreboff AM ·</w:t>
      </w:r>
      <w:r>
        <w:t xml:space="preserve"> </w:t>
      </w:r>
      <w:r>
        <w:rPr>
          <w:iCs/>
          <w:i/>
        </w:rPr>
        <w:t xml:space="preserve">N Engl J Med</w:t>
      </w:r>
      <w:r>
        <w:t xml:space="preserve"> </w:t>
      </w:r>
      <w:r>
        <w:t xml:space="preserve">· Tirzepatide for Obesity Treatment and Diabetes Prevention. PMID 39536238</w:t>
      </w:r>
    </w:p>
    <w:p>
      <w:pPr>
        <w:numPr>
          <w:ilvl w:val="0"/>
          <w:numId w:val="1380"/>
        </w:numPr>
        <w:pStyle w:val="Compact"/>
      </w:pPr>
      <w:r>
        <w:t xml:space="preserve">2025 · Gudzune KA ·</w:t>
      </w:r>
      <w:r>
        <w:t xml:space="preserve"> </w:t>
      </w:r>
      <w:r>
        <w:rPr>
          <w:iCs/>
          <w:i/>
        </w:rPr>
        <w:t xml:space="preserve">Diabetes Obes Metab</w:t>
      </w:r>
      <w:r>
        <w:t xml:space="preserve"> </w:t>
      </w:r>
      <w:r>
        <w:t xml:space="preserve">· Association between weight reduction achieved with tirzepatide and quality of life in adults with obesity: Results from the SURMOUNT-1 study. PMID 39497468</w:t>
      </w:r>
    </w:p>
    <w:p>
      <w:pPr>
        <w:numPr>
          <w:ilvl w:val="0"/>
          <w:numId w:val="1380"/>
        </w:numPr>
        <w:pStyle w:val="Compact"/>
      </w:pPr>
      <w:r>
        <w:t xml:space="preserve">2025 · Peters AL ·</w:t>
      </w:r>
      <w:r>
        <w:t xml:space="preserve"> </w:t>
      </w:r>
      <w:r>
        <w:rPr>
          <w:iCs/>
          <w:i/>
        </w:rPr>
        <w:t xml:space="preserve">J Clin Endocrinol Metab</w:t>
      </w:r>
      <w:r>
        <w:t xml:space="preserve"> </w:t>
      </w:r>
      <w:r>
        <w:t xml:space="preserve">· Improved HbA1c and Body Weight in GADA-Positive Individuals Treated With Tirzepatide: A Post Hoc Analysis of SURPASS. PMID 38824910</w:t>
      </w:r>
    </w:p>
    <w:p>
      <w:pPr>
        <w:numPr>
          <w:ilvl w:val="0"/>
          <w:numId w:val="1380"/>
        </w:numPr>
        <w:pStyle w:val="Compact"/>
      </w:pPr>
      <w:r>
        <w:t xml:space="preserve">2024 · Martin JA ·</w:t>
      </w:r>
      <w:r>
        <w:t xml:space="preserve"> </w:t>
      </w:r>
      <w:r>
        <w:rPr>
          <w:iCs/>
          <w:i/>
        </w:rPr>
        <w:t xml:space="preserve">Eur J Pharm Sci</w:t>
      </w:r>
      <w:r>
        <w:t xml:space="preserve"> </w:t>
      </w:r>
      <w:r>
        <w:t xml:space="preserve">· Absorption, distribution, metabolism, and excretion of tirzepatide in humans, rats, and monkeys. PMID 39243911</w:t>
      </w:r>
    </w:p>
    <w:p>
      <w:pPr>
        <w:numPr>
          <w:ilvl w:val="0"/>
          <w:numId w:val="1380"/>
        </w:numPr>
        <w:pStyle w:val="Compact"/>
      </w:pPr>
      <w:r>
        <w:t xml:space="preserve">2024 · Fujihara K ·</w:t>
      </w:r>
      <w:r>
        <w:t xml:space="preserve"> </w:t>
      </w:r>
      <w:r>
        <w:rPr>
          <w:iCs/>
          <w:i/>
        </w:rPr>
        <w:t xml:space="preserve">Diabetes Obes Metab</w:t>
      </w:r>
      <w:r>
        <w:t xml:space="preserve"> </w:t>
      </w:r>
      <w:r>
        <w:t xml:space="preserve">· Achieving normoglycaemia with tirzepatide: Post hoc exploratory analysis of the SURPASS J-mono and J-combo studies. PMID 39192522</w:t>
      </w:r>
    </w:p>
    <w:p>
      <w:pPr>
        <w:numPr>
          <w:ilvl w:val="0"/>
          <w:numId w:val="1380"/>
        </w:numPr>
        <w:pStyle w:val="Compact"/>
      </w:pPr>
      <w:r>
        <w:t xml:space="preserve">2024 · Krumholz HM ·</w:t>
      </w:r>
      <w:r>
        <w:t xml:space="preserve"> </w:t>
      </w:r>
      <w:r>
        <w:rPr>
          <w:iCs/>
          <w:i/>
        </w:rPr>
        <w:t xml:space="preserve">Heart</w:t>
      </w:r>
      <w:r>
        <w:t xml:space="preserve"> </w:t>
      </w:r>
      <w:r>
        <w:t xml:space="preserve">· Tirzepatide and blood pressure reduction: stratified analyses of the SURMOUNT-1 randomised controlled trial. PMID 39084707</w:t>
      </w:r>
    </w:p>
    <w:p>
      <w:pPr>
        <w:numPr>
          <w:ilvl w:val="0"/>
          <w:numId w:val="1380"/>
        </w:numPr>
        <w:pStyle w:val="Compact"/>
      </w:pPr>
      <w:r>
        <w:t xml:space="preserve">2024 · Malhotra A ·</w:t>
      </w:r>
      <w:r>
        <w:t xml:space="preserve"> </w:t>
      </w:r>
      <w:r>
        <w:rPr>
          <w:iCs/>
          <w:i/>
        </w:rPr>
        <w:t xml:space="preserve">N Engl J Med</w:t>
      </w:r>
      <w:r>
        <w:t xml:space="preserve"> </w:t>
      </w:r>
      <w:r>
        <w:t xml:space="preserve">· Tirzepatide for the Treatment of Obstructive Sleep Apnea and Obesity. PMID 38912654</w:t>
      </w:r>
    </w:p>
    <w:p>
      <w:pPr>
        <w:numPr>
          <w:ilvl w:val="0"/>
          <w:numId w:val="1380"/>
        </w:numPr>
        <w:pStyle w:val="Compact"/>
      </w:pPr>
      <w:r>
        <w:t xml:space="preserve">2024 · Loomba R ·</w:t>
      </w:r>
      <w:r>
        <w:t xml:space="preserve"> </w:t>
      </w:r>
      <w:r>
        <w:rPr>
          <w:iCs/>
          <w:i/>
        </w:rPr>
        <w:t xml:space="preserve">N Engl J Med</w:t>
      </w:r>
      <w:r>
        <w:t xml:space="preserve"> </w:t>
      </w:r>
      <w:r>
        <w:t xml:space="preserve">· Tirzepatide for Metabolic Dysfunction-Associated Steatohepatitis with Liver Fibrosis. PMID 38856224</w:t>
      </w:r>
    </w:p>
    <w:p>
      <w:pPr>
        <w:numPr>
          <w:ilvl w:val="0"/>
          <w:numId w:val="1380"/>
        </w:numPr>
        <w:pStyle w:val="Compact"/>
      </w:pPr>
      <w:r>
        <w:t xml:space="preserve">2024 · Zhao L ·</w:t>
      </w:r>
      <w:r>
        <w:t xml:space="preserve"> </w:t>
      </w:r>
      <w:r>
        <w:rPr>
          <w:iCs/>
          <w:i/>
        </w:rPr>
        <w:t xml:space="preserve">JAMA</w:t>
      </w:r>
      <w:r>
        <w:t xml:space="preserve"> </w:t>
      </w:r>
      <w:r>
        <w:t xml:space="preserve">· Tirzepatide for Weight Reduction in Chinese Adults With Obesity: The SURMOUNT-CN Randomized Clinical Trial. PMID 38819983</w:t>
      </w:r>
    </w:p>
    <w:p>
      <w:pPr>
        <w:numPr>
          <w:ilvl w:val="0"/>
          <w:numId w:val="1380"/>
        </w:numPr>
        <w:pStyle w:val="Compact"/>
      </w:pPr>
      <w:r>
        <w:t xml:space="preserve">2024 · Bao Y ·</w:t>
      </w:r>
      <w:r>
        <w:t xml:space="preserve"> </w:t>
      </w:r>
      <w:r>
        <w:rPr>
          <w:iCs/>
          <w:i/>
        </w:rPr>
        <w:t xml:space="preserve">Obesity (Silver Spring)</w:t>
      </w:r>
      <w:r>
        <w:t xml:space="preserve"> </w:t>
      </w:r>
      <w:r>
        <w:t xml:space="preserve">· Characterization of tirzepatide-treated patients achieving different glycemic control levels in SURPASS-AP-Combo. PMID 38803303</w:t>
      </w:r>
    </w:p>
    <w:p>
      <w:pPr>
        <w:numPr>
          <w:ilvl w:val="0"/>
          <w:numId w:val="1380"/>
        </w:numPr>
        <w:pStyle w:val="Compact"/>
      </w:pPr>
      <w:r>
        <w:t xml:space="preserve">2024 · Mather KJ ·</w:t>
      </w:r>
      <w:r>
        <w:t xml:space="preserve"> </w:t>
      </w:r>
      <w:r>
        <w:rPr>
          <w:iCs/>
          <w:i/>
        </w:rPr>
        <w:t xml:space="preserve">J Clin Endocrinol Metab</w:t>
      </w:r>
      <w:r>
        <w:t xml:space="preserve"> </w:t>
      </w:r>
      <w:r>
        <w:t xml:space="preserve">· Effects of Tirzepatide vs Semaglutide on β-Cell Function, Insulin Sensitivity, and Glucose Control During a Meal Test. PMID 38795393</w:t>
      </w:r>
    </w:p>
    <w:p>
      <w:pPr>
        <w:numPr>
          <w:ilvl w:val="0"/>
          <w:numId w:val="1380"/>
        </w:numPr>
        <w:pStyle w:val="Compact"/>
      </w:pPr>
      <w:r>
        <w:t xml:space="preserve">2024 · Osumili B ·</w:t>
      </w:r>
      <w:r>
        <w:t xml:space="preserve"> </w:t>
      </w:r>
      <w:r>
        <w:rPr>
          <w:iCs/>
          <w:i/>
        </w:rPr>
        <w:t xml:space="preserve">Diabetes Res Clin Pract</w:t>
      </w:r>
      <w:r>
        <w:t xml:space="preserve"> </w:t>
      </w:r>
      <w:r>
        <w:t xml:space="preserve">· Tirzepatide 5, 10 and 15 mg versus injectable semaglutide 0.5 mg for the treatment of type 2 diabetes: An adjusted indirect treatment comparison. PMID 38777128</w:t>
      </w:r>
    </w:p>
    <w:p>
      <w:pPr>
        <w:numPr>
          <w:ilvl w:val="0"/>
          <w:numId w:val="1380"/>
        </w:numPr>
        <w:pStyle w:val="Compact"/>
      </w:pPr>
      <w:r>
        <w:t xml:space="preserve">2024 · Vuppalanchi R ·</w:t>
      </w:r>
      <w:r>
        <w:t xml:space="preserve"> </w:t>
      </w:r>
      <w:r>
        <w:rPr>
          <w:iCs/>
          <w:i/>
        </w:rPr>
        <w:t xml:space="preserve">Aliment Pharmacol Ther</w:t>
      </w:r>
      <w:r>
        <w:t xml:space="preserve"> </w:t>
      </w:r>
      <w:r>
        <w:t xml:space="preserve">· Randomised clinical trial: Design of the SYNERGY-NASH phase 2b trial to evaluate tirzepatide as a treatment for metabolic dysfunction-associated steatohepatitis and modification of screening strategy to reduce screen failures. PMID 38768298</w:t>
      </w:r>
    </w:p>
    <w:p>
      <w:pPr>
        <w:numPr>
          <w:ilvl w:val="0"/>
          <w:numId w:val="1380"/>
        </w:numPr>
        <w:pStyle w:val="Compact"/>
      </w:pPr>
      <w:r>
        <w:t xml:space="preserve">2024 · Bagherzadeh-Rahmani B ·</w:t>
      </w:r>
      <w:r>
        <w:t xml:space="preserve"> </w:t>
      </w:r>
      <w:r>
        <w:rPr>
          <w:iCs/>
          <w:i/>
        </w:rPr>
        <w:t xml:space="preserve">Clin Hemorheol Microcirc</w:t>
      </w:r>
      <w:r>
        <w:t xml:space="preserve"> </w:t>
      </w:r>
      <w:r>
        <w:t xml:space="preserve">· Tirzepatide and exercise training in obesity. PMID 38640145</w:t>
      </w:r>
    </w:p>
    <w:p>
      <w:pPr>
        <w:numPr>
          <w:ilvl w:val="0"/>
          <w:numId w:val="1380"/>
        </w:numPr>
        <w:pStyle w:val="Compact"/>
      </w:pPr>
      <w:r>
        <w:t xml:space="preserve">2024 · Zeitler P ·</w:t>
      </w:r>
      <w:r>
        <w:t xml:space="preserve"> </w:t>
      </w:r>
      <w:r>
        <w:rPr>
          <w:iCs/>
          <w:i/>
        </w:rPr>
        <w:t xml:space="preserve">Diabetes Care</w:t>
      </w:r>
      <w:r>
        <w:t xml:space="preserve"> </w:t>
      </w:r>
      <w:r>
        <w:t xml:space="preserve">· Early-Onset Type 2 Diabetes and Tirzepatide Treatment: A Post Hoc Analysis From the SURPASS Clinical Trial Program. PMID 38639997</w:t>
      </w:r>
    </w:p>
    <w:p>
      <w:pPr>
        <w:numPr>
          <w:ilvl w:val="0"/>
          <w:numId w:val="1380"/>
        </w:numPr>
        <w:pStyle w:val="Compact"/>
      </w:pPr>
      <w:r>
        <w:t xml:space="preserve">2024 · Giorgino F ·</w:t>
      </w:r>
      <w:r>
        <w:t xml:space="preserve"> </w:t>
      </w:r>
      <w:r>
        <w:rPr>
          <w:iCs/>
          <w:i/>
        </w:rPr>
        <w:t xml:space="preserve">Diabetes Care</w:t>
      </w:r>
      <w:r>
        <w:t xml:space="preserve"> </w:t>
      </w:r>
      <w:r>
        <w:t xml:space="preserve">· Effects of Tirzepatide Versus Basal Insulins in People With Type 2 Diabetes and Different Baseline Glycemic Patterns: Post Hoc Analyses of the SURPASS-3 and SURPASS-4 Trials. PMID 38530948</w:t>
      </w:r>
    </w:p>
    <w:p>
      <w:pPr>
        <w:numPr>
          <w:ilvl w:val="0"/>
          <w:numId w:val="1380"/>
        </w:numPr>
        <w:pStyle w:val="Compact"/>
      </w:pPr>
      <w:r>
        <w:t xml:space="preserve">2024 · Frias JP ·</w:t>
      </w:r>
      <w:r>
        <w:t xml:space="preserve"> </w:t>
      </w:r>
      <w:r>
        <w:rPr>
          <w:iCs/>
          <w:i/>
        </w:rPr>
        <w:t xml:space="preserve">J Clin Endocrinol Metab</w:t>
      </w:r>
      <w:r>
        <w:t xml:space="preserve"> </w:t>
      </w:r>
      <w:r>
        <w:t xml:space="preserve">· Tirzepatide Improved Markers of Islet Cell Function and Insulin Sensitivity in People With T2D (SURPASS-2). PMID 38252888</w:t>
      </w:r>
    </w:p>
    <w:p>
      <w:pPr>
        <w:numPr>
          <w:ilvl w:val="0"/>
          <w:numId w:val="1380"/>
        </w:numPr>
        <w:pStyle w:val="Compact"/>
      </w:pPr>
      <w:r>
        <w:t xml:space="preserve">2024 · Aronne LJ ·</w:t>
      </w:r>
      <w:r>
        <w:t xml:space="preserve"> </w:t>
      </w:r>
      <w:r>
        <w:rPr>
          <w:iCs/>
          <w:i/>
        </w:rPr>
        <w:t xml:space="preserve">JAMA</w:t>
      </w:r>
      <w:r>
        <w:t xml:space="preserve"> </w:t>
      </w:r>
      <w:r>
        <w:t xml:space="preserve">· Continued Treatment With Tirzepatide for Maintenance of Weight Reduction in Adults With Obesity: The SURMOUNT-4 Randomized Clinical Trial. PMID 38078870</w:t>
      </w:r>
    </w:p>
    <w:p>
      <w:pPr>
        <w:numPr>
          <w:ilvl w:val="0"/>
          <w:numId w:val="1380"/>
        </w:numPr>
        <w:pStyle w:val="Compact"/>
      </w:pPr>
      <w:r>
        <w:t xml:space="preserve">2024 · Hankosky ER ·</w:t>
      </w:r>
      <w:r>
        <w:t xml:space="preserve"> </w:t>
      </w:r>
      <w:r>
        <w:rPr>
          <w:iCs/>
          <w:i/>
        </w:rPr>
        <w:t xml:space="preserve">Diabetes Obes Metab</w:t>
      </w:r>
      <w:r>
        <w:t xml:space="preserve"> </w:t>
      </w:r>
      <w:r>
        <w:t xml:space="preserve">· Tirzepatide reduces the predicted risk of atherosclerotic cardiovascular disease and improves cardiometabolic risk factors in adults with obesity or overweight: SURMOUNT-1 post hoc analysis. PMID 37932236</w:t>
      </w:r>
    </w:p>
    <w:p>
      <w:pPr>
        <w:numPr>
          <w:ilvl w:val="0"/>
          <w:numId w:val="1380"/>
        </w:numPr>
        <w:pStyle w:val="Compact"/>
      </w:pPr>
      <w:r>
        <w:t xml:space="preserve">2024 · Niu S ·</w:t>
      </w:r>
      <w:r>
        <w:t xml:space="preserve"> </w:t>
      </w:r>
      <w:r>
        <w:rPr>
          <w:iCs/>
          <w:i/>
        </w:rPr>
        <w:t xml:space="preserve">Diabetes Obes Metab</w:t>
      </w:r>
      <w:r>
        <w:t xml:space="preserve"> </w:t>
      </w:r>
      <w:r>
        <w:t xml:space="preserve">· 5-Year simulation of diabetes-related complications in people treated with tirzepatide or semaglutide versus insulin glargine. PMID 37867175</w:t>
      </w:r>
    </w:p>
    <w:p>
      <w:pPr>
        <w:numPr>
          <w:ilvl w:val="0"/>
          <w:numId w:val="1380"/>
        </w:numPr>
        <w:pStyle w:val="Compact"/>
      </w:pPr>
      <w:r>
        <w:t xml:space="preserve">2024 · Patel H ·</w:t>
      </w:r>
      <w:r>
        <w:t xml:space="preserve"> </w:t>
      </w:r>
      <w:r>
        <w:rPr>
          <w:iCs/>
          <w:i/>
        </w:rPr>
        <w:t xml:space="preserve">Diabetes Obes Metab</w:t>
      </w:r>
      <w:r>
        <w:t xml:space="preserve"> </w:t>
      </w:r>
      <w:r>
        <w:t xml:space="preserve">· Gastrointestinal adverse events and weight reduction in people with type 2 diabetes treated with tirzepatide in the SURPASS clinical trials. PMID 37853960</w:t>
      </w:r>
    </w:p>
    <w:p>
      <w:pPr>
        <w:numPr>
          <w:ilvl w:val="0"/>
          <w:numId w:val="1380"/>
        </w:numPr>
        <w:pStyle w:val="Compact"/>
      </w:pPr>
      <w:r>
        <w:t xml:space="preserve">2024 · Osonoi T ·</w:t>
      </w:r>
      <w:r>
        <w:t xml:space="preserve"> </w:t>
      </w:r>
      <w:r>
        <w:rPr>
          <w:iCs/>
          <w:i/>
        </w:rPr>
        <w:t xml:space="preserve">Diabetes Obes Metab</w:t>
      </w:r>
      <w:r>
        <w:t xml:space="preserve"> </w:t>
      </w:r>
      <w:r>
        <w:t xml:space="preserve">· Glycaemic control, body weight, and safety of tirzepatide versus dulaglutide by baseline glycated haemoglobin level in Japanese patients with type 2 diabetes: A subgroup analysis of the SURPASS J-mono study. PMID 37794628</w:t>
      </w:r>
    </w:p>
    <w:p>
      <w:pPr>
        <w:numPr>
          <w:ilvl w:val="0"/>
          <w:numId w:val="1380"/>
        </w:numPr>
        <w:pStyle w:val="Compact"/>
      </w:pPr>
      <w:r>
        <w:t xml:space="preserve">2023 · Wadden TA ·</w:t>
      </w:r>
      <w:r>
        <w:t xml:space="preserve"> </w:t>
      </w:r>
      <w:r>
        <w:rPr>
          <w:iCs/>
          <w:i/>
        </w:rPr>
        <w:t xml:space="preserve">Nat Med</w:t>
      </w:r>
      <w:r>
        <w:t xml:space="preserve"> </w:t>
      </w:r>
      <w:r>
        <w:t xml:space="preserve">· Tirzepatide after intensive lifestyle intervention in adults with overweight or obesity: the SURMOUNT-3 phase 3 trial. PMID 37840095</w:t>
      </w:r>
    </w:p>
    <w:p>
      <w:pPr>
        <w:numPr>
          <w:ilvl w:val="0"/>
          <w:numId w:val="1380"/>
        </w:numPr>
        <w:pStyle w:val="Compact"/>
      </w:pPr>
      <w:r>
        <w:t xml:space="preserve">2023 · Małecki MT ·</w:t>
      </w:r>
      <w:r>
        <w:t xml:space="preserve"> </w:t>
      </w:r>
      <w:r>
        <w:rPr>
          <w:iCs/>
          <w:i/>
        </w:rPr>
        <w:t xml:space="preserve">Diabetes Care</w:t>
      </w:r>
      <w:r>
        <w:t xml:space="preserve"> </w:t>
      </w:r>
      <w:r>
        <w:t xml:space="preserve">· Predictors of ≥15% Weight Reduction and Associated Changes in Cardiometabolic Risk Factors With Tirzepatide in Adults With Type 2 Diabetes in SURPASS 1-4. PMID 37824793</w:t>
      </w:r>
    </w:p>
    <w:p>
      <w:pPr>
        <w:numPr>
          <w:ilvl w:val="0"/>
          <w:numId w:val="1380"/>
        </w:numPr>
        <w:pStyle w:val="Compact"/>
      </w:pPr>
      <w:r>
        <w:t xml:space="preserve">2023 · Rosenstock J ·</w:t>
      </w:r>
      <w:r>
        <w:t xml:space="preserve"> </w:t>
      </w:r>
      <w:r>
        <w:rPr>
          <w:iCs/>
          <w:i/>
        </w:rPr>
        <w:t xml:space="preserve">JAMA</w:t>
      </w:r>
      <w:r>
        <w:t xml:space="preserve"> </w:t>
      </w:r>
      <w:r>
        <w:t xml:space="preserve">· Tirzepatide vs Insulin Lispro Added to Basal Insulin in Type 2 Diabetes: The SURPASS-6 Randomized Clinical Trial. PMID 37786396</w:t>
      </w:r>
    </w:p>
    <w:p>
      <w:pPr>
        <w:numPr>
          <w:ilvl w:val="0"/>
          <w:numId w:val="1380"/>
        </w:numPr>
        <w:pStyle w:val="Compact"/>
      </w:pPr>
      <w:r>
        <w:t xml:space="preserve">2023 · Hankosky ER ·</w:t>
      </w:r>
      <w:r>
        <w:t xml:space="preserve"> </w:t>
      </w:r>
      <w:r>
        <w:rPr>
          <w:iCs/>
          <w:i/>
        </w:rPr>
        <w:t xml:space="preserve">Diabetes Obes Metab</w:t>
      </w:r>
      <w:r>
        <w:t xml:space="preserve"> </w:t>
      </w:r>
      <w:r>
        <w:t xml:space="preserve">· Tirzepatide reduces the predicted risk of developing type 2 diabetes in people with obesity or overweight: Post hoc analysis of the SURMOUNT-1 trial. PMID 37700443</w:t>
      </w:r>
    </w:p>
    <w:p>
      <w:pPr>
        <w:numPr>
          <w:ilvl w:val="0"/>
          <w:numId w:val="1380"/>
        </w:numPr>
        <w:pStyle w:val="Compact"/>
      </w:pPr>
      <w:r>
        <w:t xml:space="preserve">2023 · Coelho C ·</w:t>
      </w:r>
      <w:r>
        <w:t xml:space="preserve"> </w:t>
      </w:r>
      <w:r>
        <w:rPr>
          <w:iCs/>
          <w:i/>
        </w:rPr>
        <w:t xml:space="preserve">Int J Obes (Lond)</w:t>
      </w:r>
      <w:r>
        <w:t xml:space="preserve"> </w:t>
      </w:r>
      <w:r>
        <w:t xml:space="preserve">· Laparoscopic adjustable gastric banding with liraglutide in adults with obesity and type 2 diabetes (GLIDE): a pilot randomised placebo controlled trial. PMID 37696925</w:t>
      </w:r>
    </w:p>
    <w:p>
      <w:pPr>
        <w:numPr>
          <w:ilvl w:val="0"/>
          <w:numId w:val="1380"/>
        </w:numPr>
        <w:pStyle w:val="Compact"/>
      </w:pPr>
      <w:r>
        <w:t xml:space="preserve">2023 · Garvey WT ·</w:t>
      </w:r>
      <w:r>
        <w:t xml:space="preserve"> </w:t>
      </w:r>
      <w:r>
        <w:rPr>
          <w:iCs/>
          <w:i/>
        </w:rPr>
        <w:t xml:space="preserve">Lancet</w:t>
      </w:r>
      <w:r>
        <w:t xml:space="preserve"> </w:t>
      </w:r>
      <w:r>
        <w:t xml:space="preserve">· Tirzepatide once weekly for the treatment of obesity in people with type 2 diabetes (SURMOUNT-2): a double-blind, randomised, multicentre, placebo-controlled, phase 3 trial. PMID 37385275</w:t>
      </w:r>
    </w:p>
    <w:p>
      <w:pPr>
        <w:numPr>
          <w:ilvl w:val="0"/>
          <w:numId w:val="1380"/>
        </w:numPr>
        <w:pStyle w:val="Compact"/>
      </w:pPr>
      <w:r>
        <w:t xml:space="preserve">2023 · Feng P ·</w:t>
      </w:r>
      <w:r>
        <w:t xml:space="preserve"> </w:t>
      </w:r>
      <w:r>
        <w:rPr>
          <w:iCs/>
          <w:i/>
        </w:rPr>
        <w:t xml:space="preserve">Adv Ther</w:t>
      </w:r>
      <w:r>
        <w:t xml:space="preserve"> </w:t>
      </w:r>
      <w:r>
        <w:t xml:space="preserve">· A Phase 1 Multiple Dose Study of Tirzepatide in Chinese Patients with Type 2 Diabetes. PMID 37285081</w:t>
      </w:r>
    </w:p>
    <w:p>
      <w:pPr>
        <w:numPr>
          <w:ilvl w:val="0"/>
          <w:numId w:val="1380"/>
        </w:numPr>
        <w:pStyle w:val="Compact"/>
      </w:pPr>
      <w:r>
        <w:t xml:space="preserve">2023 · Gao L ·</w:t>
      </w:r>
      <w:r>
        <w:t xml:space="preserve"> </w:t>
      </w:r>
      <w:r>
        <w:rPr>
          <w:iCs/>
          <w:i/>
        </w:rPr>
        <w:t xml:space="preserve">Nat Med</w:t>
      </w:r>
      <w:r>
        <w:t xml:space="preserve"> </w:t>
      </w:r>
      <w:r>
        <w:t xml:space="preserve">· Tirzepatide versus insulin glargine as second-line or third-line therapy in type 2 diabetes in the Asia-Pacific region: the SURPASS-AP-Combo trial. PMID 37231074</w:t>
      </w:r>
    </w:p>
    <w:p>
      <w:pPr>
        <w:numPr>
          <w:ilvl w:val="0"/>
          <w:numId w:val="1380"/>
        </w:numPr>
        <w:pStyle w:val="Compact"/>
      </w:pPr>
      <w:r>
        <w:t xml:space="preserve">2023 · Heise T ·</w:t>
      </w:r>
      <w:r>
        <w:t xml:space="preserve"> </w:t>
      </w:r>
      <w:r>
        <w:rPr>
          <w:iCs/>
          <w:i/>
        </w:rPr>
        <w:t xml:space="preserve">Diabetes Care</w:t>
      </w:r>
      <w:r>
        <w:t xml:space="preserve"> </w:t>
      </w:r>
      <w:r>
        <w:t xml:space="preserve">· Tirzepatide Reduces Appetite, Energy Intake, and Fat Mass in People With Type 2 Diabetes. PMID 36857477</w:t>
      </w:r>
    </w:p>
    <w:p>
      <w:pPr>
        <w:numPr>
          <w:ilvl w:val="0"/>
          <w:numId w:val="1380"/>
        </w:numPr>
        <w:pStyle w:val="Compact"/>
      </w:pPr>
      <w:r>
        <w:t xml:space="preserve">2023 · Lingvay I ·</w:t>
      </w:r>
      <w:r>
        <w:t xml:space="preserve"> </w:t>
      </w:r>
      <w:r>
        <w:rPr>
          <w:iCs/>
          <w:i/>
        </w:rPr>
        <w:t xml:space="preserve">Diabetes Obes Metab</w:t>
      </w:r>
      <w:r>
        <w:t xml:space="preserve"> </w:t>
      </w:r>
      <w:r>
        <w:t xml:space="preserve">· Achievement of glycaemic targets with weight loss and without hypoglycaemia in type 2 diabetes with the once-weekly glucose-dependent insulinotropic polypeptide and glucagon-like peptide-1 receptor agonist tirzepatide: A post hoc analysis of the SURPASS-1 to -5 studies. PMID 36514843</w:t>
      </w:r>
    </w:p>
    <w:p>
      <w:pPr>
        <w:numPr>
          <w:ilvl w:val="0"/>
          <w:numId w:val="1380"/>
        </w:numPr>
        <w:pStyle w:val="Compact"/>
      </w:pPr>
      <w:r>
        <w:t xml:space="preserve">2023 · Yabe D ·</w:t>
      </w:r>
      <w:r>
        <w:t xml:space="preserve"> </w:t>
      </w:r>
      <w:r>
        <w:rPr>
          <w:iCs/>
          <w:i/>
        </w:rPr>
        <w:t xml:space="preserve">Diabetes Obes Metab</w:t>
      </w:r>
      <w:r>
        <w:t xml:space="preserve"> </w:t>
      </w:r>
      <w:r>
        <w:t xml:space="preserve">· Change in pharmacodynamic variables following once-weekly tirzepatide treatment versus dulaglutide in Japanese patients with type 2 diabetes (SURPASS J-mono substudy). PMID 36184780</w:t>
      </w:r>
    </w:p>
    <w:p>
      <w:pPr>
        <w:numPr>
          <w:ilvl w:val="0"/>
          <w:numId w:val="1380"/>
        </w:numPr>
        <w:pStyle w:val="Compact"/>
      </w:pPr>
      <w:r>
        <w:t xml:space="preserve">2022 · Heerspink HJL ·</w:t>
      </w:r>
      <w:r>
        <w:t xml:space="preserve"> </w:t>
      </w:r>
      <w:r>
        <w:rPr>
          <w:iCs/>
          <w:i/>
        </w:rPr>
        <w:t xml:space="preserve">Lancet Diabetes Endocrinol</w:t>
      </w:r>
      <w:r>
        <w:t xml:space="preserve"> </w:t>
      </w:r>
      <w:r>
        <w:t xml:space="preserve">· Effects of tirzepatide versus insulin glargine on kidney outcomes in type 2 diabetes in the SURPASS-4 trial: post-hoc analysis of an open-label, randomised, phase 3 trial. PMID 36152639</w:t>
      </w:r>
    </w:p>
    <w:p>
      <w:pPr>
        <w:numPr>
          <w:ilvl w:val="0"/>
          <w:numId w:val="1380"/>
        </w:numPr>
        <w:pStyle w:val="Compact"/>
      </w:pPr>
      <w:r>
        <w:t xml:space="preserve">2022 · Scheen AJ ·</w:t>
      </w:r>
      <w:r>
        <w:t xml:space="preserve"> </w:t>
      </w:r>
      <w:r>
        <w:rPr>
          <w:iCs/>
          <w:i/>
        </w:rPr>
        <w:t xml:space="preserve">Rev Med Suisse</w:t>
      </w:r>
      <w:r>
        <w:t xml:space="preserve"> </w:t>
      </w:r>
      <w:r>
        <w:t xml:space="preserve">· [Focus on tirzepatide, a dual unimolecular GIP-GLP-1 receptor agonist in type 2 diabetes]. PMID 36004653</w:t>
      </w:r>
    </w:p>
    <w:p>
      <w:pPr>
        <w:numPr>
          <w:ilvl w:val="0"/>
          <w:numId w:val="1380"/>
        </w:numPr>
        <w:pStyle w:val="Compact"/>
      </w:pPr>
      <w:r>
        <w:t xml:space="preserve">2022 · Inagaki N ·</w:t>
      </w:r>
      <w:r>
        <w:t xml:space="preserve"> </w:t>
      </w:r>
      <w:r>
        <w:rPr>
          <w:iCs/>
          <w:i/>
        </w:rPr>
        <w:t xml:space="preserve">Lancet Diabetes Endocrinol</w:t>
      </w:r>
      <w:r>
        <w:t xml:space="preserve"> </w:t>
      </w:r>
      <w:r>
        <w:t xml:space="preserve">· Efficacy and safety of tirzepatide monotherapy compared with dulaglutide in Japanese patients with type 2 diabetes (SURPASS J-mono): a double-blind, multicentre, randomised, phase 3 trial. PMID 35914543</w:t>
      </w:r>
    </w:p>
    <w:p>
      <w:pPr>
        <w:numPr>
          <w:ilvl w:val="0"/>
          <w:numId w:val="1380"/>
        </w:numPr>
        <w:pStyle w:val="Compact"/>
      </w:pPr>
      <w:r>
        <w:t xml:space="preserve">2022 · Kadowaki T ·</w:t>
      </w:r>
      <w:r>
        <w:t xml:space="preserve"> </w:t>
      </w:r>
      <w:r>
        <w:rPr>
          <w:iCs/>
          <w:i/>
        </w:rPr>
        <w:t xml:space="preserve">Lancet Diabetes Endocrinol</w:t>
      </w:r>
      <w:r>
        <w:t xml:space="preserve"> </w:t>
      </w:r>
      <w:r>
        <w:t xml:space="preserve">· Safety and efficacy of tirzepatide as an add-on to single oral antihyperglycaemic medication in patients with type 2 diabetes in Japan (SURPASS J-combo): a multicentre, randomised, open-label, parallel-group, phase 3 trial. PMID 35914542</w:t>
      </w:r>
    </w:p>
    <w:p>
      <w:pPr>
        <w:numPr>
          <w:ilvl w:val="0"/>
          <w:numId w:val="1380"/>
        </w:numPr>
        <w:pStyle w:val="Compact"/>
      </w:pPr>
      <w:r>
        <w:t xml:space="preserve">2022 · Slomski A ·</w:t>
      </w:r>
      <w:r>
        <w:t xml:space="preserve"> </w:t>
      </w:r>
      <w:r>
        <w:rPr>
          <w:iCs/>
          <w:i/>
        </w:rPr>
        <w:t xml:space="preserve">JAMA</w:t>
      </w:r>
      <w:r>
        <w:t xml:space="preserve"> </w:t>
      </w:r>
      <w:r>
        <w:t xml:space="preserve">· Tirzepatide Trial Demonstrates Substantial Weight Loss. PMID 35881126</w:t>
      </w:r>
    </w:p>
    <w:p>
      <w:pPr>
        <w:numPr>
          <w:ilvl w:val="0"/>
          <w:numId w:val="1380"/>
        </w:numPr>
        <w:pStyle w:val="Compact"/>
      </w:pPr>
      <w:r>
        <w:t xml:space="preserve">2022 · Hindson J ·</w:t>
      </w:r>
      <w:r>
        <w:t xml:space="preserve"> </w:t>
      </w:r>
      <w:r>
        <w:rPr>
          <w:iCs/>
          <w:i/>
        </w:rPr>
        <w:t xml:space="preserve">Nat Rev Gastroenterol Hepatol</w:t>
      </w:r>
      <w:r>
        <w:t xml:space="preserve"> </w:t>
      </w:r>
      <w:r>
        <w:t xml:space="preserve">· Tirzepatide to treat obesity: phase III results. PMID 35773392</w:t>
      </w:r>
    </w:p>
    <w:p>
      <w:pPr>
        <w:numPr>
          <w:ilvl w:val="0"/>
          <w:numId w:val="1380"/>
        </w:numPr>
        <w:pStyle w:val="Compact"/>
      </w:pPr>
      <w:r>
        <w:t xml:space="preserve">2022 · Jastreboff AM ·</w:t>
      </w:r>
      <w:r>
        <w:t xml:space="preserve"> </w:t>
      </w:r>
      <w:r>
        <w:rPr>
          <w:iCs/>
          <w:i/>
        </w:rPr>
        <w:t xml:space="preserve">N Engl J Med</w:t>
      </w:r>
      <w:r>
        <w:t xml:space="preserve"> </w:t>
      </w:r>
      <w:r>
        <w:t xml:space="preserve">· Tirzepatide Once Weekly for the Treatment of Obesity. PMID 35658024</w:t>
      </w:r>
    </w:p>
    <w:p>
      <w:pPr>
        <w:numPr>
          <w:ilvl w:val="0"/>
          <w:numId w:val="1380"/>
        </w:numPr>
        <w:pStyle w:val="Compact"/>
      </w:pPr>
      <w:r>
        <w:t xml:space="preserve">2022 · Gastaldelli A ·</w:t>
      </w:r>
      <w:r>
        <w:t xml:space="preserve"> </w:t>
      </w:r>
      <w:r>
        <w:rPr>
          <w:iCs/>
          <w:i/>
        </w:rPr>
        <w:t xml:space="preserve">Lancet Diabetes Endocrinol</w:t>
      </w:r>
      <w:r>
        <w:t xml:space="preserve"> </w:t>
      </w:r>
      <w:r>
        <w:t xml:space="preserve">· Effect of tirzepatide versus insulin degludec on liver fat content and abdominal adipose tissue in people with type 2 diabetes (SURPASS-3 MRI): a substudy of the randomised, open-label, parallel-group, phase 3 SURPASS-3 trial. PMID 35468325</w:t>
      </w:r>
    </w:p>
    <w:p>
      <w:pPr>
        <w:numPr>
          <w:ilvl w:val="0"/>
          <w:numId w:val="1380"/>
        </w:numPr>
        <w:pStyle w:val="Compact"/>
      </w:pPr>
      <w:r>
        <w:t xml:space="preserve">2022 · Heise T ·</w:t>
      </w:r>
      <w:r>
        <w:t xml:space="preserve"> </w:t>
      </w:r>
      <w:r>
        <w:rPr>
          <w:iCs/>
          <w:i/>
        </w:rPr>
        <w:t xml:space="preserve">Lancet Diabetes Endocrinol</w:t>
      </w:r>
      <w:r>
        <w:t xml:space="preserve"> </w:t>
      </w:r>
      <w:r>
        <w:t xml:space="preserve">· Effects of subcutaneous tirzepatide versus placebo or semaglutide on pancreatic islet function and insulin sensitivity in adults with type 2 diabetes: a multicentre, randomised, double-blind, parallel-arm, phase 1 clinical trial. PMID 35468322</w:t>
      </w:r>
    </w:p>
    <w:p>
      <w:pPr>
        <w:numPr>
          <w:ilvl w:val="0"/>
          <w:numId w:val="1380"/>
        </w:numPr>
        <w:pStyle w:val="Compact"/>
      </w:pPr>
      <w:r>
        <w:t xml:space="preserve">2022 · Battelino T ·</w:t>
      </w:r>
      <w:r>
        <w:t xml:space="preserve"> </w:t>
      </w:r>
      <w:r>
        <w:rPr>
          <w:iCs/>
          <w:i/>
        </w:rPr>
        <w:t xml:space="preserve">Lancet Diabetes Endocrinol</w:t>
      </w:r>
      <w:r>
        <w:t xml:space="preserve"> </w:t>
      </w:r>
      <w:r>
        <w:t xml:space="preserve">· Efficacy of once-weekly tirzepatide versus once-daily insulin degludec on glycaemic control measured by continuous glucose monitoring in adults with type 2 diabetes (SURPASS-3 CGM): a substudy of the randomised, open-label, parallel-group, phase 3 SURPASS-3 trial. PMID 35468321</w:t>
      </w:r>
    </w:p>
    <w:p>
      <w:pPr>
        <w:numPr>
          <w:ilvl w:val="0"/>
          <w:numId w:val="1380"/>
        </w:numPr>
        <w:pStyle w:val="Compact"/>
      </w:pPr>
      <w:r>
        <w:t xml:space="preserve">2022 · Dahl D ·</w:t>
      </w:r>
      <w:r>
        <w:t xml:space="preserve"> </w:t>
      </w:r>
      <w:r>
        <w:rPr>
          <w:iCs/>
          <w:i/>
        </w:rPr>
        <w:t xml:space="preserve">JAMA</w:t>
      </w:r>
      <w:r>
        <w:t xml:space="preserve"> </w:t>
      </w:r>
      <w:r>
        <w:t xml:space="preserve">· Effect of Subcutaneous Tirzepatide vs Placebo Added to Titrated Insulin Glargine on Glycemic Control in Patients With Type 2 Diabetes: The SURPASS-5 Randomized Clinical Trial. PMID 35133415</w:t>
      </w:r>
    </w:p>
    <w:p>
      <w:pPr>
        <w:numPr>
          <w:ilvl w:val="0"/>
          <w:numId w:val="1380"/>
        </w:numPr>
        <w:pStyle w:val="Compact"/>
      </w:pPr>
      <w:r>
        <w:t xml:space="preserve">2022 · Furihata K ·</w:t>
      </w:r>
      <w:r>
        <w:t xml:space="preserve"> </w:t>
      </w:r>
      <w:r>
        <w:rPr>
          <w:iCs/>
          <w:i/>
        </w:rPr>
        <w:t xml:space="preserve">Diabetes Obes Metab</w:t>
      </w:r>
      <w:r>
        <w:t xml:space="preserve"> </w:t>
      </w:r>
      <w:r>
        <w:t xml:space="preserve">· A phase 1 multiple-ascending dose study of tirzepatide in Japanese participants with type 2 diabetes. PMID 34647404</w:t>
      </w:r>
    </w:p>
    <w:p>
      <w:pPr>
        <w:numPr>
          <w:ilvl w:val="0"/>
          <w:numId w:val="1380"/>
        </w:numPr>
        <w:pStyle w:val="Compact"/>
      </w:pPr>
      <w:r>
        <w:t xml:space="preserve">2022 · Pirro V ·</w:t>
      </w:r>
      <w:r>
        <w:t xml:space="preserve"> </w:t>
      </w:r>
      <w:r>
        <w:rPr>
          <w:iCs/>
          <w:i/>
        </w:rPr>
        <w:t xml:space="preserve">J Clin Endocrinol Metab</w:t>
      </w:r>
      <w:r>
        <w:t xml:space="preserve"> </w:t>
      </w:r>
      <w:r>
        <w:t xml:space="preserve">· Effects of Tirzepatide, a Dual GIP and GLP-1 RA, on Lipid and Metabolite Profiles in Subjects With Type 2 Diabetes. PMID 34608929</w:t>
      </w:r>
    </w:p>
    <w:p>
      <w:pPr>
        <w:numPr>
          <w:ilvl w:val="0"/>
          <w:numId w:val="1380"/>
        </w:numPr>
        <w:pStyle w:val="Compact"/>
      </w:pPr>
      <w:r>
        <w:t xml:space="preserve">2022 · Wilson JM ·</w:t>
      </w:r>
      <w:r>
        <w:t xml:space="preserve"> </w:t>
      </w:r>
      <w:r>
        <w:rPr>
          <w:iCs/>
          <w:i/>
        </w:rPr>
        <w:t xml:space="preserve">Diabetes Obes Metab</w:t>
      </w:r>
      <w:r>
        <w:t xml:space="preserve"> </w:t>
      </w:r>
      <w:r>
        <w:t xml:space="preserve">· The dual glucose-dependent insulinotropic polypeptide and glucagon-like peptide-1 receptor agonist tirzepatide improves cardiovascular risk biomarkers in patients with type 2 diabetes: A post hoc analysis. PMID 34542221</w:t>
      </w:r>
    </w:p>
    <w:p>
      <w:pPr>
        <w:numPr>
          <w:ilvl w:val="0"/>
          <w:numId w:val="1380"/>
        </w:numPr>
        <w:pStyle w:val="Compact"/>
      </w:pPr>
      <w:r>
        <w:t xml:space="preserve">2021 · Del Prato S ·</w:t>
      </w:r>
      <w:r>
        <w:t xml:space="preserve"> </w:t>
      </w:r>
      <w:r>
        <w:rPr>
          <w:iCs/>
          <w:i/>
        </w:rPr>
        <w:t xml:space="preserve">Lancet</w:t>
      </w:r>
      <w:r>
        <w:t xml:space="preserve"> </w:t>
      </w:r>
      <w:r>
        <w:t xml:space="preserve">· Tirzepatide versus insulin glargine in type 2 diabetes and increased cardiovascular risk (SURPASS-4): a randomised, open-label, parallel-group, multicentre, phase 3 trial. PMID 34672967</w:t>
      </w:r>
    </w:p>
    <w:p>
      <w:pPr>
        <w:numPr>
          <w:ilvl w:val="0"/>
          <w:numId w:val="1380"/>
        </w:numPr>
        <w:pStyle w:val="Compact"/>
      </w:pPr>
      <w:r>
        <w:t xml:space="preserve">2021 · Ludvik B ·</w:t>
      </w:r>
      <w:r>
        <w:t xml:space="preserve"> </w:t>
      </w:r>
      <w:r>
        <w:rPr>
          <w:iCs/>
          <w:i/>
        </w:rPr>
        <w:t xml:space="preserve">Lancet</w:t>
      </w:r>
      <w:r>
        <w:t xml:space="preserve"> </w:t>
      </w:r>
      <w:r>
        <w:t xml:space="preserve">· Once-weekly tirzepatide versus once-daily insulin degludec as add-on to metformin with or without SGLT2 inhibitors in patients with type 2 diabetes (SURPASS-3): a randomised, open-label, parallel-group, phase 3 trial. PMID 34370970</w:t>
      </w:r>
    </w:p>
    <w:p>
      <w:pPr>
        <w:numPr>
          <w:ilvl w:val="0"/>
          <w:numId w:val="1380"/>
        </w:numPr>
        <w:pStyle w:val="Compact"/>
      </w:pPr>
      <w:r>
        <w:t xml:space="preserve">2021 · Rosenstock J ·</w:t>
      </w:r>
      <w:r>
        <w:t xml:space="preserve"> </w:t>
      </w:r>
      <w:r>
        <w:rPr>
          <w:iCs/>
          <w:i/>
        </w:rPr>
        <w:t xml:space="preserve">Lancet</w:t>
      </w:r>
      <w:r>
        <w:t xml:space="preserve"> </w:t>
      </w:r>
      <w:r>
        <w:t xml:space="preserve">· Efficacy and safety of a novel dual GIP and GLP-1 receptor agonist tirzepatide in patients with type 2 diabetes (SURPASS-1): a double-blind, randomised, phase 3 trial. PMID 34186022</w:t>
      </w:r>
    </w:p>
    <w:p>
      <w:pPr>
        <w:numPr>
          <w:ilvl w:val="0"/>
          <w:numId w:val="1380"/>
        </w:numPr>
        <w:pStyle w:val="Compact"/>
      </w:pPr>
      <w:r>
        <w:t xml:space="preserve">2021 · Frías JP ·</w:t>
      </w:r>
      <w:r>
        <w:t xml:space="preserve"> </w:t>
      </w:r>
      <w:r>
        <w:rPr>
          <w:iCs/>
          <w:i/>
        </w:rPr>
        <w:t xml:space="preserve">N Engl J Med</w:t>
      </w:r>
      <w:r>
        <w:t xml:space="preserve"> </w:t>
      </w:r>
      <w:r>
        <w:t xml:space="preserve">· Tirzepatide versus Semaglutide Once Weekly in Patients with Type 2 Diabetes. PMID 34170647</w:t>
      </w:r>
    </w:p>
    <w:p>
      <w:pPr>
        <w:numPr>
          <w:ilvl w:val="0"/>
          <w:numId w:val="1380"/>
        </w:numPr>
        <w:pStyle w:val="Compact"/>
      </w:pPr>
      <w:r>
        <w:t xml:space="preserve">2021 · Urva S ·</w:t>
      </w:r>
      <w:r>
        <w:t xml:space="preserve"> </w:t>
      </w:r>
      <w:r>
        <w:rPr>
          <w:iCs/>
          <w:i/>
        </w:rPr>
        <w:t xml:space="preserve">Clin Pharmacokinet</w:t>
      </w:r>
      <w:r>
        <w:t xml:space="preserve"> </w:t>
      </w:r>
      <w:r>
        <w:t xml:space="preserve">· Effects of Renal Impairment on the Pharmacokinetics of the Dual GIP and GLP-1 Receptor Agonist Tirzepatide. PMID 33778934</w:t>
      </w:r>
    </w:p>
    <w:p>
      <w:pPr>
        <w:numPr>
          <w:ilvl w:val="0"/>
          <w:numId w:val="1380"/>
        </w:numPr>
        <w:pStyle w:val="Compact"/>
      </w:pPr>
      <w:r>
        <w:t xml:space="preserve">2021 · Thomas MK ·</w:t>
      </w:r>
      <w:r>
        <w:t xml:space="preserve"> </w:t>
      </w:r>
      <w:r>
        <w:rPr>
          <w:iCs/>
          <w:i/>
        </w:rPr>
        <w:t xml:space="preserve">J Clin Endocrinol Metab</w:t>
      </w:r>
      <w:r>
        <w:t xml:space="preserve"> </w:t>
      </w:r>
      <w:r>
        <w:t xml:space="preserve">· Dual GIP and GLP-1 Receptor Agonist Tirzepatide Improves Beta-cell Function and Insulin Sensitivity in Type 2 Diabetes. PMID 33236115</w:t>
      </w:r>
    </w:p>
    <w:p>
      <w:pPr>
        <w:numPr>
          <w:ilvl w:val="0"/>
          <w:numId w:val="1380"/>
        </w:numPr>
        <w:pStyle w:val="Compact"/>
      </w:pPr>
      <w:r>
        <w:t xml:space="preserve">2020 · Wilson JM ·</w:t>
      </w:r>
      <w:r>
        <w:t xml:space="preserve"> </w:t>
      </w:r>
      <w:r>
        <w:rPr>
          <w:iCs/>
          <w:i/>
        </w:rPr>
        <w:t xml:space="preserve">Diabetes Obes Metab</w:t>
      </w:r>
      <w:r>
        <w:t xml:space="preserve"> </w:t>
      </w:r>
      <w:r>
        <w:t xml:space="preserve">· The dual glucose-dependent insulinotropic peptide and glucagon-like peptide-1 receptor agonist, tirzepatide, improves lipoprotein biomarkers associated with insulin resistance and cardiovascular risk in patients with type 2 diabetes. PMID 33462955</w:t>
      </w:r>
    </w:p>
    <w:p>
      <w:pPr>
        <w:numPr>
          <w:ilvl w:val="0"/>
          <w:numId w:val="1380"/>
        </w:numPr>
        <w:pStyle w:val="Compact"/>
      </w:pPr>
      <w:r>
        <w:t xml:space="preserve">2020 · Hartman ML ·</w:t>
      </w:r>
      <w:r>
        <w:t xml:space="preserve"> </w:t>
      </w:r>
      <w:r>
        <w:rPr>
          <w:iCs/>
          <w:i/>
        </w:rPr>
        <w:t xml:space="preserve">Diabetes Care</w:t>
      </w:r>
      <w:r>
        <w:t xml:space="preserve"> </w:t>
      </w:r>
      <w:r>
        <w:t xml:space="preserve">· Effects of Novel Dual GIP and GLP-1 Receptor Agonist Tirzepatide on Biomarkers of Nonalcoholic Steatohepatitis in Patients With Type 2 Diabetes. PMID 32291277</w:t>
      </w:r>
    </w:p>
    <w:p>
      <w:pPr>
        <w:numPr>
          <w:ilvl w:val="0"/>
          <w:numId w:val="1380"/>
        </w:numPr>
        <w:pStyle w:val="Compact"/>
      </w:pPr>
      <w:r>
        <w:t xml:space="preserve">2020 · Frias JP ·</w:t>
      </w:r>
      <w:r>
        <w:t xml:space="preserve"> </w:t>
      </w:r>
      <w:r>
        <w:rPr>
          <w:iCs/>
          <w:i/>
        </w:rPr>
        <w:t xml:space="preserve">Diabetes Obes Metab</w:t>
      </w:r>
      <w:r>
        <w:t xml:space="preserve"> </w:t>
      </w:r>
      <w:r>
        <w:t xml:space="preserve">· Efficacy and tolerability of tirzepatide, a dual glucose-dependent insulinotropic peptide and glucagon-like peptide-1 receptor agonist in patients with type 2 diabetes: A 12-week, randomized, double-blind, placebo-controlled study to evaluate different dose-escalation regimens. PMID 31984598</w:t>
      </w:r>
    </w:p>
    <w:bookmarkEnd w:id="3016"/>
    <w:bookmarkStart w:id="3017" w:name="retatrutide-10"/>
    <w:p>
      <w:pPr>
        <w:pStyle w:val="Heading2"/>
      </w:pPr>
      <w:r>
        <w:t xml:space="preserve">Retatrutide (10)</w:t>
      </w:r>
    </w:p>
    <w:p>
      <w:pPr>
        <w:numPr>
          <w:ilvl w:val="0"/>
          <w:numId w:val="1381"/>
        </w:numPr>
        <w:pStyle w:val="Compact"/>
      </w:pPr>
      <w:r>
        <w:t xml:space="preserve">2026 · Bellido V ·</w:t>
      </w:r>
      <w:r>
        <w:t xml:space="preserve"> </w:t>
      </w:r>
      <w:r>
        <w:rPr>
          <w:iCs/>
          <w:i/>
        </w:rPr>
        <w:t xml:space="preserve">Lancet</w:t>
      </w:r>
      <w:r>
        <w:t xml:space="preserve"> </w:t>
      </w:r>
      <w:r>
        <w:t xml:space="preserve">· Retatrutide in adults with obesity and type 2 diabetes (TRIUMPH-2): a double-blind, parallel-group, randomised, placebo-controlled, phase 3 trial. PMID 42810372</w:t>
      </w:r>
    </w:p>
    <w:p>
      <w:pPr>
        <w:numPr>
          <w:ilvl w:val="0"/>
          <w:numId w:val="1381"/>
        </w:numPr>
        <w:pStyle w:val="Compact"/>
      </w:pPr>
      <w:r>
        <w:t xml:space="preserve">2026 · Ruotolo G ·</w:t>
      </w:r>
      <w:r>
        <w:t xml:space="preserve"> </w:t>
      </w:r>
      <w:r>
        <w:rPr>
          <w:iCs/>
          <w:i/>
        </w:rPr>
        <w:t xml:space="preserve">Diabetes Obes Metab</w:t>
      </w:r>
      <w:r>
        <w:t xml:space="preserve"> </w:t>
      </w:r>
      <w:r>
        <w:t xml:space="preserve">· Retatrutide-Associated Improvements in Cardiovascular Risk Biomarkers in Adults With Obesity With or Without Type 2 Diabetes. PMID 42608321</w:t>
      </w:r>
    </w:p>
    <w:p>
      <w:pPr>
        <w:numPr>
          <w:ilvl w:val="0"/>
          <w:numId w:val="1381"/>
        </w:numPr>
        <w:pStyle w:val="Compact"/>
      </w:pPr>
      <w:r>
        <w:t xml:space="preserve">2026 · Bajaj HS ·</w:t>
      </w:r>
      <w:r>
        <w:t xml:space="preserve"> </w:t>
      </w:r>
      <w:r>
        <w:rPr>
          <w:iCs/>
          <w:i/>
        </w:rPr>
        <w:t xml:space="preserve">Lancet</w:t>
      </w:r>
      <w:r>
        <w:t xml:space="preserve"> </w:t>
      </w:r>
      <w:r>
        <w:t xml:space="preserve">· Efficacy and safety of retatrutide, a GIP, GLP-1, and glucagon receptor agonist, in people with type 2 diabetes and inadequate glycaemic control with diet and exercise (TRANSCEND-T2D-1): a double-blind, randomised, phase 3 trial. PMID 42250575</w:t>
      </w:r>
    </w:p>
    <w:p>
      <w:pPr>
        <w:numPr>
          <w:ilvl w:val="0"/>
          <w:numId w:val="1381"/>
        </w:numPr>
        <w:pStyle w:val="Compact"/>
      </w:pPr>
      <w:r>
        <w:t xml:space="preserve">2026 · Pearson MJ ·</w:t>
      </w:r>
      <w:r>
        <w:t xml:space="preserve"> </w:t>
      </w:r>
      <w:r>
        <w:rPr>
          <w:iCs/>
          <w:i/>
        </w:rPr>
        <w:t xml:space="preserve">J Clin Endocrinol Metab</w:t>
      </w:r>
      <w:r>
        <w:t xml:space="preserve"> </w:t>
      </w:r>
      <w:r>
        <w:t xml:space="preserve">· Retatrutide and lipid and metabolite profiles in participants with obesity with or without type 2 diabetes. PMID 42135195</w:t>
      </w:r>
    </w:p>
    <w:p>
      <w:pPr>
        <w:numPr>
          <w:ilvl w:val="0"/>
          <w:numId w:val="1381"/>
        </w:numPr>
        <w:pStyle w:val="Compact"/>
      </w:pPr>
      <w:r>
        <w:t xml:space="preserve">2025 · Kanu C ·</w:t>
      </w:r>
      <w:r>
        <w:t xml:space="preserve"> </w:t>
      </w:r>
      <w:r>
        <w:rPr>
          <w:iCs/>
          <w:i/>
        </w:rPr>
        <w:t xml:space="preserve">Diabetes Obes Metab</w:t>
      </w:r>
      <w:r>
        <w:t xml:space="preserve"> </w:t>
      </w:r>
      <w:r>
        <w:t xml:space="preserve">· Appetite, eating attitudes, and eating behaviours during treatment with retatrutide in adults with type 2 diabetes: Results of a phase 2 study. PMID 40916752</w:t>
      </w:r>
    </w:p>
    <w:p>
      <w:pPr>
        <w:numPr>
          <w:ilvl w:val="0"/>
          <w:numId w:val="1381"/>
        </w:numPr>
        <w:pStyle w:val="Compact"/>
      </w:pPr>
      <w:r>
        <w:t xml:space="preserve">2025 · Wen Y ·</w:t>
      </w:r>
      <w:r>
        <w:t xml:space="preserve"> </w:t>
      </w:r>
      <w:r>
        <w:rPr>
          <w:iCs/>
          <w:i/>
        </w:rPr>
        <w:t xml:space="preserve">Diabetes Obes Metab</w:t>
      </w:r>
      <w:r>
        <w:t xml:space="preserve"> </w:t>
      </w:r>
      <w:r>
        <w:t xml:space="preserve">· Decreases in circulating ANGPTL3/8 concentrations following retatrutide treatment parallel reductions in serum lipids. PMID 40726454</w:t>
      </w:r>
    </w:p>
    <w:p>
      <w:pPr>
        <w:numPr>
          <w:ilvl w:val="0"/>
          <w:numId w:val="1381"/>
        </w:numPr>
        <w:pStyle w:val="Compact"/>
      </w:pPr>
      <w:r>
        <w:t xml:space="preserve">2025 · Coskun T ·</w:t>
      </w:r>
      <w:r>
        <w:t xml:space="preserve"> </w:t>
      </w:r>
      <w:r>
        <w:rPr>
          <w:iCs/>
          <w:i/>
        </w:rPr>
        <w:t xml:space="preserve">Lancet Diabetes Endocrinol</w:t>
      </w:r>
      <w:r>
        <w:t xml:space="preserve"> </w:t>
      </w:r>
      <w:r>
        <w:t xml:space="preserve">· Effects of retatrutide on body composition in people with type 2 diabetes: a substudy of a phase 2, double-blind, parallel-group, placebo-controlled, randomised trial. PMID 40609566</w:t>
      </w:r>
    </w:p>
    <w:p>
      <w:pPr>
        <w:numPr>
          <w:ilvl w:val="0"/>
          <w:numId w:val="1381"/>
        </w:numPr>
        <w:pStyle w:val="Compact"/>
      </w:pPr>
      <w:r>
        <w:t xml:space="preserve">2024 · Sanyal AJ ·</w:t>
      </w:r>
      <w:r>
        <w:t xml:space="preserve"> </w:t>
      </w:r>
      <w:r>
        <w:rPr>
          <w:iCs/>
          <w:i/>
        </w:rPr>
        <w:t xml:space="preserve">Nat Med</w:t>
      </w:r>
      <w:r>
        <w:t xml:space="preserve"> </w:t>
      </w:r>
      <w:r>
        <w:t xml:space="preserve">· Triple hormone receptor agonist retatrutide for metabolic dysfunction-associated steatotic liver disease: a randomized phase 2a trial. PMID 38858523</w:t>
      </w:r>
    </w:p>
    <w:p>
      <w:pPr>
        <w:numPr>
          <w:ilvl w:val="0"/>
          <w:numId w:val="1381"/>
        </w:numPr>
        <w:pStyle w:val="Compact"/>
      </w:pPr>
      <w:r>
        <w:t xml:space="preserve">2023 · Rosenstock J ·</w:t>
      </w:r>
      <w:r>
        <w:t xml:space="preserve"> </w:t>
      </w:r>
      <w:r>
        <w:rPr>
          <w:iCs/>
          <w:i/>
        </w:rPr>
        <w:t xml:space="preserve">Lancet</w:t>
      </w:r>
      <w:r>
        <w:t xml:space="preserve"> </w:t>
      </w:r>
      <w:r>
        <w:t xml:space="preserve">· Retatrutide, a GIP, GLP-1 and glucagon receptor agonist, for people with type 2 diabetes: a randomised, double-blind, placebo and active-controlled, parallel-group, phase 2 trial conducted in the USA. PMID 37385280</w:t>
      </w:r>
    </w:p>
    <w:p>
      <w:pPr>
        <w:numPr>
          <w:ilvl w:val="0"/>
          <w:numId w:val="1381"/>
        </w:numPr>
        <w:pStyle w:val="Compact"/>
      </w:pPr>
      <w:r>
        <w:t xml:space="preserve">2023 · Jastreboff AM ·</w:t>
      </w:r>
      <w:r>
        <w:t xml:space="preserve"> </w:t>
      </w:r>
      <w:r>
        <w:rPr>
          <w:iCs/>
          <w:i/>
        </w:rPr>
        <w:t xml:space="preserve">N Engl J Med</w:t>
      </w:r>
      <w:r>
        <w:t xml:space="preserve"> </w:t>
      </w:r>
      <w:r>
        <w:t xml:space="preserve">· Triple-Hormone-Receptor Agonist Retatrutide for Obesity - A Phase 2 Trial. PMID 37366315</w:t>
      </w:r>
    </w:p>
    <w:bookmarkEnd w:id="3017"/>
    <w:bookmarkStart w:id="3018" w:name="survodutide-10"/>
    <w:p>
      <w:pPr>
        <w:pStyle w:val="Heading2"/>
      </w:pPr>
      <w:r>
        <w:t xml:space="preserve">Survodutide (10)</w:t>
      </w:r>
    </w:p>
    <w:p>
      <w:pPr>
        <w:numPr>
          <w:ilvl w:val="0"/>
          <w:numId w:val="1382"/>
        </w:numPr>
        <w:pStyle w:val="Compact"/>
      </w:pPr>
      <w:r>
        <w:t xml:space="preserve">2026 · Ekinci EI ·</w:t>
      </w:r>
      <w:r>
        <w:t xml:space="preserve"> </w:t>
      </w:r>
      <w:r>
        <w:rPr>
          <w:iCs/>
          <w:i/>
        </w:rPr>
        <w:t xml:space="preserve">Diabetes Obes Metab</w:t>
      </w:r>
      <w:r>
        <w:t xml:space="preserve"> </w:t>
      </w:r>
      <w:r>
        <w:t xml:space="preserve">· Dual Glucagon and GLP-1 Receptor Agonist Survodutide Improves Biomarkers of Beta-Cell Function and Insulin Sensitivity in People With Type 2 Diabetes or Living With Overweight/Obesity. PMID 42331726</w:t>
      </w:r>
    </w:p>
    <w:p>
      <w:pPr>
        <w:numPr>
          <w:ilvl w:val="0"/>
          <w:numId w:val="1382"/>
        </w:numPr>
        <w:pStyle w:val="Compact"/>
      </w:pPr>
      <w:r>
        <w:t xml:space="preserve">2026 · le Roux CW ·</w:t>
      </w:r>
      <w:r>
        <w:t xml:space="preserve"> </w:t>
      </w:r>
      <w:r>
        <w:rPr>
          <w:iCs/>
          <w:i/>
        </w:rPr>
        <w:t xml:space="preserve">N Engl J Med</w:t>
      </w:r>
      <w:r>
        <w:t xml:space="preserve"> </w:t>
      </w:r>
      <w:r>
        <w:t xml:space="preserve">· Survodutide Once Weekly for the Treatment of Adults with Obesity. PMID 42253238</w:t>
      </w:r>
    </w:p>
    <w:p>
      <w:pPr>
        <w:numPr>
          <w:ilvl w:val="0"/>
          <w:numId w:val="1382"/>
        </w:numPr>
        <w:pStyle w:val="Compact"/>
      </w:pPr>
      <w:r>
        <w:t xml:space="preserve">2026 · Kaplan LM ·</w:t>
      </w:r>
      <w:r>
        <w:t xml:space="preserve"> </w:t>
      </w:r>
      <w:r>
        <w:rPr>
          <w:iCs/>
          <w:i/>
        </w:rPr>
        <w:t xml:space="preserve">Nat Med</w:t>
      </w:r>
      <w:r>
        <w:t xml:space="preserve"> </w:t>
      </w:r>
      <w:r>
        <w:t xml:space="preserve">· Survodutide in adults with obesity and metabolic dysfunction-associated steatotic liver disease: SYNCHRONIZE-MASLD, a randomized, double-blind, placebo-controlled phase 3 trial. PMID 42252333</w:t>
      </w:r>
    </w:p>
    <w:p>
      <w:pPr>
        <w:numPr>
          <w:ilvl w:val="0"/>
          <w:numId w:val="1382"/>
        </w:numPr>
        <w:pStyle w:val="Compact"/>
      </w:pPr>
      <w:r>
        <w:t xml:space="preserve">2026 · Wharton S ·</w:t>
      </w:r>
      <w:r>
        <w:t xml:space="preserve"> </w:t>
      </w:r>
      <w:r>
        <w:rPr>
          <w:iCs/>
          <w:i/>
        </w:rPr>
        <w:t xml:space="preserve">Diabetes Obes Metab</w:t>
      </w:r>
      <w:r>
        <w:t xml:space="preserve"> </w:t>
      </w:r>
      <w:r>
        <w:t xml:space="preserve">· Baseline characteristics in the SYNCHRONIZE™-2 randomized phase 3 trial of survodutide, a glucagon receptor/GLP-1 receptor dual agonist, for obesity in people with type 2 diabetes. PMID 41216778</w:t>
      </w:r>
    </w:p>
    <w:p>
      <w:pPr>
        <w:numPr>
          <w:ilvl w:val="0"/>
          <w:numId w:val="1382"/>
        </w:numPr>
        <w:pStyle w:val="Compact"/>
      </w:pPr>
      <w:r>
        <w:t xml:space="preserve">2026 · le Roux CW ·</w:t>
      </w:r>
      <w:r>
        <w:t xml:space="preserve"> </w:t>
      </w:r>
      <w:r>
        <w:rPr>
          <w:iCs/>
          <w:i/>
        </w:rPr>
        <w:t xml:space="preserve">Diabetes Obes Metab</w:t>
      </w:r>
      <w:r>
        <w:t xml:space="preserve"> </w:t>
      </w:r>
      <w:r>
        <w:t xml:space="preserve">· Survodutide for treatment of obesity: Baseline characteristics of participants in a randomized, double-blind, placebo-controlled, phase 3 trial (SYNCHRONIZE™-1). PMID 41187967</w:t>
      </w:r>
    </w:p>
    <w:p>
      <w:pPr>
        <w:numPr>
          <w:ilvl w:val="0"/>
          <w:numId w:val="1382"/>
        </w:numPr>
        <w:pStyle w:val="Compact"/>
      </w:pPr>
      <w:r>
        <w:t xml:space="preserve">2025 · le Roux CW ·</w:t>
      </w:r>
      <w:r>
        <w:t xml:space="preserve"> </w:t>
      </w:r>
      <w:r>
        <w:rPr>
          <w:iCs/>
          <w:i/>
        </w:rPr>
        <w:t xml:space="preserve">Diabetes Obes Metab</w:t>
      </w:r>
      <w:r>
        <w:t xml:space="preserve"> </w:t>
      </w:r>
      <w:r>
        <w:t xml:space="preserve">· Subgroup analysis by sex and baseline BMI in people with a BMI ≥27 kg/m(2) in the phase 2 trial of survodutide, a glucagon/GLP-1 receptor dual agonist. PMID 39821928</w:t>
      </w:r>
    </w:p>
    <w:p>
      <w:pPr>
        <w:numPr>
          <w:ilvl w:val="0"/>
          <w:numId w:val="1382"/>
        </w:numPr>
        <w:pStyle w:val="Compact"/>
      </w:pPr>
      <w:r>
        <w:t xml:space="preserve">2024 · Lawitz EJ ·</w:t>
      </w:r>
      <w:r>
        <w:t xml:space="preserve"> </w:t>
      </w:r>
      <w:r>
        <w:rPr>
          <w:iCs/>
          <w:i/>
        </w:rPr>
        <w:t xml:space="preserve">J Hepatol</w:t>
      </w:r>
      <w:r>
        <w:t xml:space="preserve"> </w:t>
      </w:r>
      <w:r>
        <w:t xml:space="preserve">· Efficacy, tolerability and pharmacokinetics of survodutide, a glucagon/glucagon-like peptide-1 receptor dual agonist, in cirrhosis. PMID 38857788</w:t>
      </w:r>
    </w:p>
    <w:p>
      <w:pPr>
        <w:numPr>
          <w:ilvl w:val="0"/>
          <w:numId w:val="1382"/>
        </w:numPr>
        <w:pStyle w:val="Compact"/>
      </w:pPr>
      <w:r>
        <w:t xml:space="preserve">2024 · Sanyal AJ ·</w:t>
      </w:r>
      <w:r>
        <w:t xml:space="preserve"> </w:t>
      </w:r>
      <w:r>
        <w:rPr>
          <w:iCs/>
          <w:i/>
        </w:rPr>
        <w:t xml:space="preserve">N Engl J Med</w:t>
      </w:r>
      <w:r>
        <w:t xml:space="preserve"> </w:t>
      </w:r>
      <w:r>
        <w:t xml:space="preserve">· A Phase 2 Randomized Trial of Survodutide in MASH and Fibrosis. PMID 38847460</w:t>
      </w:r>
    </w:p>
    <w:p>
      <w:pPr>
        <w:numPr>
          <w:ilvl w:val="0"/>
          <w:numId w:val="1382"/>
        </w:numPr>
        <w:pStyle w:val="Compact"/>
      </w:pPr>
      <w:r>
        <w:t xml:space="preserve">2024 · le Roux CW ·</w:t>
      </w:r>
      <w:r>
        <w:t xml:space="preserve"> </w:t>
      </w:r>
      <w:r>
        <w:rPr>
          <w:iCs/>
          <w:i/>
        </w:rPr>
        <w:t xml:space="preserve">Lancet Diabetes Endocrinol</w:t>
      </w:r>
      <w:r>
        <w:t xml:space="preserve"> </w:t>
      </w:r>
      <w:r>
        <w:t xml:space="preserve">· Glucagon and GLP-1 receptor dual agonist survodutide for obesity: a randomised, double-blind, placebo-controlled, dose-finding phase 2 trial. PMID 38330987</w:t>
      </w:r>
    </w:p>
    <w:p>
      <w:pPr>
        <w:numPr>
          <w:ilvl w:val="0"/>
          <w:numId w:val="1382"/>
        </w:numPr>
        <w:pStyle w:val="Compact"/>
      </w:pPr>
      <w:r>
        <w:t xml:space="preserve">2024 · Blüher M ·</w:t>
      </w:r>
      <w:r>
        <w:t xml:space="preserve"> </w:t>
      </w:r>
      <w:r>
        <w:rPr>
          <w:iCs/>
          <w:i/>
        </w:rPr>
        <w:t xml:space="preserve">Diabetologia</w:t>
      </w:r>
      <w:r>
        <w:t xml:space="preserve"> </w:t>
      </w:r>
      <w:r>
        <w:t xml:space="preserve">· Dose-response effects on HbA(1c) and bodyweight reduction of survodutide, a dual glucagon/GLP-1 receptor agonist, compared with placebo and open-label semaglutide in people with type 2 diabetes: a randomised clinical trial. PMID 38095657</w:t>
      </w:r>
    </w:p>
    <w:bookmarkEnd w:id="3018"/>
    <w:bookmarkStart w:id="3019" w:name="mazdutide-9"/>
    <w:p>
      <w:pPr>
        <w:pStyle w:val="Heading2"/>
      </w:pPr>
      <w:r>
        <w:t xml:space="preserve">Mazdutide (9)</w:t>
      </w:r>
    </w:p>
    <w:p>
      <w:pPr>
        <w:numPr>
          <w:ilvl w:val="0"/>
          <w:numId w:val="1383"/>
        </w:numPr>
        <w:pStyle w:val="Compact"/>
      </w:pPr>
      <w:r>
        <w:t xml:space="preserve">2026 · Hsia SH ·</w:t>
      </w:r>
      <w:r>
        <w:t xml:space="preserve"> </w:t>
      </w:r>
      <w:r>
        <w:rPr>
          <w:iCs/>
          <w:i/>
        </w:rPr>
        <w:t xml:space="preserve">Lancet Diabetes Endocrinol</w:t>
      </w:r>
      <w:r>
        <w:t xml:space="preserve"> </w:t>
      </w:r>
      <w:r>
        <w:t xml:space="preserve">· Efficacy and safety of mazdutide in adults with obesity or overweight: a US-based, multicentre, phase 2, randomised, placebo-controlled clinical trial. PMID 42628555</w:t>
      </w:r>
    </w:p>
    <w:p>
      <w:pPr>
        <w:numPr>
          <w:ilvl w:val="0"/>
          <w:numId w:val="1383"/>
        </w:numPr>
        <w:pStyle w:val="Compact"/>
      </w:pPr>
      <w:r>
        <w:t xml:space="preserve">2026 · Gao L ·</w:t>
      </w:r>
      <w:r>
        <w:t xml:space="preserve"> </w:t>
      </w:r>
      <w:r>
        <w:rPr>
          <w:iCs/>
          <w:i/>
        </w:rPr>
        <w:t xml:space="preserve">JAMA</w:t>
      </w:r>
      <w:r>
        <w:t xml:space="preserve"> </w:t>
      </w:r>
      <w:r>
        <w:t xml:space="preserve">· Treatment With 9-mg Mazdutide for Weight Reduction in Chinese Adults With Obesity: The GLORY-2 Randomized Clinical Trial. PMID 42251595</w:t>
      </w:r>
    </w:p>
    <w:p>
      <w:pPr>
        <w:numPr>
          <w:ilvl w:val="0"/>
          <w:numId w:val="1383"/>
        </w:numPr>
        <w:pStyle w:val="Compact"/>
      </w:pPr>
      <w:r>
        <w:t xml:space="preserve">2026 · Ji L ·</w:t>
      </w:r>
      <w:r>
        <w:t xml:space="preserve"> </w:t>
      </w:r>
      <w:r>
        <w:rPr>
          <w:iCs/>
          <w:i/>
        </w:rPr>
        <w:t xml:space="preserve">Med</w:t>
      </w:r>
      <w:r>
        <w:t xml:space="preserve"> </w:t>
      </w:r>
      <w:r>
        <w:t xml:space="preserve">· Mazdutide 9 mg in Chinese adults with a body mass index ≥30 kg/m(2) but without diabetes: A phase 2 randomized controlled trial. PMID 41875890</w:t>
      </w:r>
    </w:p>
    <w:p>
      <w:pPr>
        <w:numPr>
          <w:ilvl w:val="0"/>
          <w:numId w:val="1383"/>
        </w:numPr>
        <w:pStyle w:val="Compact"/>
      </w:pPr>
      <w:r>
        <w:t xml:space="preserve">2026 · Guo L ·</w:t>
      </w:r>
      <w:r>
        <w:t xml:space="preserve"> </w:t>
      </w:r>
      <w:r>
        <w:rPr>
          <w:iCs/>
          <w:i/>
        </w:rPr>
        <w:t xml:space="preserve">Nature</w:t>
      </w:r>
      <w:r>
        <w:t xml:space="preserve"> </w:t>
      </w:r>
      <w:r>
        <w:t xml:space="preserve">· Mazdutide versus dulaglutide in Chinese adults with type 2 diabetes. PMID 41407860</w:t>
      </w:r>
    </w:p>
    <w:p>
      <w:pPr>
        <w:numPr>
          <w:ilvl w:val="0"/>
          <w:numId w:val="1383"/>
        </w:numPr>
        <w:pStyle w:val="Compact"/>
      </w:pPr>
      <w:r>
        <w:t xml:space="preserve">2026 · Zhu D ·</w:t>
      </w:r>
      <w:r>
        <w:t xml:space="preserve"> </w:t>
      </w:r>
      <w:r>
        <w:rPr>
          <w:iCs/>
          <w:i/>
        </w:rPr>
        <w:t xml:space="preserve">Nature</w:t>
      </w:r>
      <w:r>
        <w:t xml:space="preserve"> </w:t>
      </w:r>
      <w:r>
        <w:t xml:space="preserve">· Mazdutide versus placebo in Chinese adults with type 2 diabetes. PMID 41407859</w:t>
      </w:r>
    </w:p>
    <w:p>
      <w:pPr>
        <w:numPr>
          <w:ilvl w:val="0"/>
          <w:numId w:val="1383"/>
        </w:numPr>
        <w:pStyle w:val="Compact"/>
      </w:pPr>
      <w:r>
        <w:t xml:space="preserve">2025 · Bhattachar SN ·</w:t>
      </w:r>
      <w:r>
        <w:t xml:space="preserve"> </w:t>
      </w:r>
      <w:r>
        <w:rPr>
          <w:iCs/>
          <w:i/>
        </w:rPr>
        <w:t xml:space="preserve">Diabetes Obes Metab</w:t>
      </w:r>
      <w:r>
        <w:t xml:space="preserve"> </w:t>
      </w:r>
      <w:r>
        <w:t xml:space="preserve">· Mazdutide reduces body weight in adults with overweight or obesity: A high-dose Phase 1 trial. PMID 40832785</w:t>
      </w:r>
    </w:p>
    <w:p>
      <w:pPr>
        <w:numPr>
          <w:ilvl w:val="0"/>
          <w:numId w:val="1383"/>
        </w:numPr>
        <w:pStyle w:val="Compact"/>
      </w:pPr>
      <w:r>
        <w:t xml:space="preserve">2025 · Ji L ·</w:t>
      </w:r>
      <w:r>
        <w:t xml:space="preserve"> </w:t>
      </w:r>
      <w:r>
        <w:rPr>
          <w:iCs/>
          <w:i/>
        </w:rPr>
        <w:t xml:space="preserve">N Engl J Med</w:t>
      </w:r>
      <w:r>
        <w:t xml:space="preserve"> </w:t>
      </w:r>
      <w:r>
        <w:t xml:space="preserve">· Once-Weekly Mazdutide in Chinese Adults with Obesity or Overweight. PMID 40421736</w:t>
      </w:r>
    </w:p>
    <w:p>
      <w:pPr>
        <w:numPr>
          <w:ilvl w:val="0"/>
          <w:numId w:val="1383"/>
        </w:numPr>
        <w:pStyle w:val="Compact"/>
      </w:pPr>
      <w:r>
        <w:t xml:space="preserve">2024 · Zhang B ·</w:t>
      </w:r>
      <w:r>
        <w:t xml:space="preserve"> </w:t>
      </w:r>
      <w:r>
        <w:rPr>
          <w:iCs/>
          <w:i/>
        </w:rPr>
        <w:t xml:space="preserve">Diabetes Care</w:t>
      </w:r>
      <w:r>
        <w:t xml:space="preserve"> </w:t>
      </w:r>
      <w:r>
        <w:t xml:space="preserve">· Efficacy and Safety of Mazdutide in Chinese Patients With Type 2 Diabetes: A Randomized, Double-Blind, Placebo-Controlled Phase 2 Trial. PMID 37943529</w:t>
      </w:r>
    </w:p>
    <w:p>
      <w:pPr>
        <w:numPr>
          <w:ilvl w:val="0"/>
          <w:numId w:val="1383"/>
        </w:numPr>
        <w:pStyle w:val="Compact"/>
      </w:pPr>
      <w:r>
        <w:t xml:space="preserve">2023 · Ji L ·</w:t>
      </w:r>
      <w:r>
        <w:t xml:space="preserve"> </w:t>
      </w:r>
      <w:r>
        <w:rPr>
          <w:iCs/>
          <w:i/>
        </w:rPr>
        <w:t xml:space="preserve">Nat Commun</w:t>
      </w:r>
      <w:r>
        <w:t xml:space="preserve"> </w:t>
      </w:r>
      <w:r>
        <w:t xml:space="preserve">· A phase 2 randomised controlled trial of mazdutide in Chinese overweight adults or adults with obesity. PMID 38092790</w:t>
      </w:r>
    </w:p>
    <w:bookmarkEnd w:id="3019"/>
    <w:bookmarkStart w:id="3020" w:name="cagrilintide-and-cagrisema-15"/>
    <w:p>
      <w:pPr>
        <w:pStyle w:val="Heading2"/>
      </w:pPr>
      <w:r>
        <w:t xml:space="preserve">Cagrilintide and CagriSema (15)</w:t>
      </w:r>
    </w:p>
    <w:p>
      <w:pPr>
        <w:numPr>
          <w:ilvl w:val="0"/>
          <w:numId w:val="1384"/>
        </w:numPr>
        <w:pStyle w:val="Compact"/>
      </w:pPr>
      <w:r>
        <w:t xml:space="preserve">2026 · Busetto L ·</w:t>
      </w:r>
      <w:r>
        <w:t xml:space="preserve"> </w:t>
      </w:r>
      <w:r>
        <w:rPr>
          <w:iCs/>
          <w:i/>
        </w:rPr>
        <w:t xml:space="preserve">Diabetes Obes Metab</w:t>
      </w:r>
      <w:r>
        <w:t xml:space="preserve"> </w:t>
      </w:r>
      <w:r>
        <w:t xml:space="preserve">· Efficacy of CagriSema for Reaching Anthropometric Treatment Targets and Cardiometabolic Outcomes: A Secondary, Post hoc Analysis of REDEFINE 1. PMID 42503495</w:t>
      </w:r>
    </w:p>
    <w:p>
      <w:pPr>
        <w:numPr>
          <w:ilvl w:val="0"/>
          <w:numId w:val="1384"/>
        </w:numPr>
        <w:pStyle w:val="Compact"/>
      </w:pPr>
      <w:r>
        <w:t xml:space="preserve">2026 · Loomba R ·</w:t>
      </w:r>
      <w:r>
        <w:t xml:space="preserve"> </w:t>
      </w:r>
      <w:r>
        <w:rPr>
          <w:iCs/>
          <w:i/>
        </w:rPr>
        <w:t xml:space="preserve">Lancet Gastroenterol Hepatol</w:t>
      </w:r>
      <w:r>
        <w:t xml:space="preserve"> </w:t>
      </w:r>
      <w:r>
        <w:t xml:space="preserve">· Efficacy and safety of zalfermin co-administered with semaglutide in participants with fibrosis and cirrhosis due to metabolic dysfunction-associated steatohepatitis: a phase 2, dose-ranging, double-blind, randomised controlled trial. PMID 42456707</w:t>
      </w:r>
    </w:p>
    <w:p>
      <w:pPr>
        <w:numPr>
          <w:ilvl w:val="0"/>
          <w:numId w:val="1384"/>
        </w:numPr>
        <w:pStyle w:val="Compact"/>
      </w:pPr>
      <w:r>
        <w:t xml:space="preserve">2026 · Aroda VR ·</w:t>
      </w:r>
      <w:r>
        <w:t xml:space="preserve"> </w:t>
      </w:r>
      <w:r>
        <w:rPr>
          <w:iCs/>
          <w:i/>
        </w:rPr>
        <w:t xml:space="preserve">Lancet Diabetes Endocrinol</w:t>
      </w:r>
      <w:r>
        <w:t xml:space="preserve"> </w:t>
      </w:r>
      <w:r>
        <w:t xml:space="preserve">· Efficacy and safety of once-weekly cagrilintide-semaglutide (CagriSema) in adults with type 2 diabetes inadequately controlled on diet and exercise (REIMAGINE 1): a randomised, double-blind, placebo-controlled, phase 3a study. PMID 42251860</w:t>
      </w:r>
    </w:p>
    <w:p>
      <w:pPr>
        <w:numPr>
          <w:ilvl w:val="0"/>
          <w:numId w:val="1384"/>
        </w:numPr>
        <w:pStyle w:val="Compact"/>
      </w:pPr>
      <w:r>
        <w:t xml:space="preserve">2026 · Buse JB ·</w:t>
      </w:r>
      <w:r>
        <w:t xml:space="preserve"> </w:t>
      </w:r>
      <w:r>
        <w:rPr>
          <w:iCs/>
          <w:i/>
        </w:rPr>
        <w:t xml:space="preserve">Lancet Diabetes Endocrinol</w:t>
      </w:r>
      <w:r>
        <w:t xml:space="preserve"> </w:t>
      </w:r>
      <w:r>
        <w:t xml:space="preserve">· Cagrilintide-semaglutide (CagriSema) versus semaglutide or cagrilintide in people with type 2 diabetes (REIMAGINE 2): a double-blind, randomised, controlled, phase 3 study. PMID 42251859</w:t>
      </w:r>
    </w:p>
    <w:p>
      <w:pPr>
        <w:numPr>
          <w:ilvl w:val="0"/>
          <w:numId w:val="1384"/>
        </w:numPr>
        <w:pStyle w:val="Compact"/>
      </w:pPr>
      <w:r>
        <w:t xml:space="preserve">2026 · Rosenstock J ·</w:t>
      </w:r>
      <w:r>
        <w:t xml:space="preserve"> </w:t>
      </w:r>
      <w:r>
        <w:rPr>
          <w:iCs/>
          <w:i/>
        </w:rPr>
        <w:t xml:space="preserve">Lancet</w:t>
      </w:r>
      <w:r>
        <w:t xml:space="preserve"> </w:t>
      </w:r>
      <w:r>
        <w:t xml:space="preserve">· Cagrilintide-semaglutide (CagriSema) as an add-on to basal insulin in adults with type 2 diabetes (REIMAGINE 3): a randomised, double-blind, placebo-controlled, multicentre, phase 3 study. PMID 42251856</w:t>
      </w:r>
    </w:p>
    <w:p>
      <w:pPr>
        <w:numPr>
          <w:ilvl w:val="0"/>
          <w:numId w:val="1384"/>
        </w:numPr>
        <w:pStyle w:val="Compact"/>
      </w:pPr>
      <w:r>
        <w:t xml:space="preserve">2026 · Nielsen MJF ·</w:t>
      </w:r>
      <w:r>
        <w:t xml:space="preserve"> </w:t>
      </w:r>
      <w:r>
        <w:rPr>
          <w:iCs/>
          <w:i/>
        </w:rPr>
        <w:t xml:space="preserve">Clin Pharmacokinet</w:t>
      </w:r>
      <w:r>
        <w:t xml:space="preserve"> </w:t>
      </w:r>
      <w:r>
        <w:t xml:space="preserve">· Renal or Hepatic Impairment Does Not Affect Pharmacokinetics, Safety, or Tolerability of Subcutaneous Cagrilintide. PMID 42228334</w:t>
      </w:r>
    </w:p>
    <w:p>
      <w:pPr>
        <w:numPr>
          <w:ilvl w:val="0"/>
          <w:numId w:val="1384"/>
        </w:numPr>
        <w:pStyle w:val="Compact"/>
      </w:pPr>
      <w:r>
        <w:t xml:space="preserve">2026 · Yamauchi T ·</w:t>
      </w:r>
      <w:r>
        <w:t xml:space="preserve"> </w:t>
      </w:r>
      <w:r>
        <w:rPr>
          <w:iCs/>
          <w:i/>
        </w:rPr>
        <w:t xml:space="preserve">Lancet Diabetes Endocrinol</w:t>
      </w:r>
      <w:r>
        <w:t xml:space="preserve"> </w:t>
      </w:r>
      <w:r>
        <w:t xml:space="preserve">· Efficacy and safety of co-administered cagrilintide and semaglutide versus semaglutide alone in adults with overweight or obesity with or without type 2 diabetes in Japan and Taiwan (REDEFINE 5): a multicentre, randomised, active-controlled, phase 3a trial. PMID 42009015</w:t>
      </w:r>
    </w:p>
    <w:p>
      <w:pPr>
        <w:numPr>
          <w:ilvl w:val="0"/>
          <w:numId w:val="1384"/>
        </w:numPr>
        <w:pStyle w:val="Compact"/>
      </w:pPr>
      <w:r>
        <w:t xml:space="preserve">2026 · Verma S ·</w:t>
      </w:r>
      <w:r>
        <w:t xml:space="preserve"> </w:t>
      </w:r>
      <w:r>
        <w:rPr>
          <w:iCs/>
          <w:i/>
        </w:rPr>
        <w:t xml:space="preserve">Hypertension</w:t>
      </w:r>
      <w:r>
        <w:t xml:space="preserve"> </w:t>
      </w:r>
      <w:r>
        <w:t xml:space="preserve">· CagriSema Reduces Blood Pressure in Adults With Overweight or Obesity: REDEFINE 1. PMID 41328546</w:t>
      </w:r>
    </w:p>
    <w:p>
      <w:pPr>
        <w:numPr>
          <w:ilvl w:val="0"/>
          <w:numId w:val="1384"/>
        </w:numPr>
        <w:pStyle w:val="Compact"/>
      </w:pPr>
      <w:r>
        <w:t xml:space="preserve">2025 · Briere DA ·</w:t>
      </w:r>
      <w:r>
        <w:t xml:space="preserve"> </w:t>
      </w:r>
      <w:r>
        <w:rPr>
          <w:iCs/>
          <w:i/>
        </w:rPr>
        <w:t xml:space="preserve">Mol Metab</w:t>
      </w:r>
      <w:r>
        <w:t xml:space="preserve"> </w:t>
      </w:r>
      <w:r>
        <w:t xml:space="preserve">· Eloralintide (LY3841136), a novel amylin receptor agonist for the treatment of obesity: From discovery to clinical proof of concept. PMID 41109426</w:t>
      </w:r>
    </w:p>
    <w:p>
      <w:pPr>
        <w:numPr>
          <w:ilvl w:val="0"/>
          <w:numId w:val="1384"/>
        </w:numPr>
        <w:pStyle w:val="Compact"/>
      </w:pPr>
      <w:r>
        <w:t xml:space="preserve">2025 · Garvey WT ·</w:t>
      </w:r>
      <w:r>
        <w:t xml:space="preserve"> </w:t>
      </w:r>
      <w:r>
        <w:rPr>
          <w:iCs/>
          <w:i/>
        </w:rPr>
        <w:t xml:space="preserve">N Engl J Med</w:t>
      </w:r>
      <w:r>
        <w:t xml:space="preserve"> </w:t>
      </w:r>
      <w:r>
        <w:t xml:space="preserve">· Coadministered Cagrilintide and Semaglutide in Adults with Overweight or Obesity. PMID 40544433</w:t>
      </w:r>
    </w:p>
    <w:p>
      <w:pPr>
        <w:numPr>
          <w:ilvl w:val="0"/>
          <w:numId w:val="1384"/>
        </w:numPr>
        <w:pStyle w:val="Compact"/>
      </w:pPr>
      <w:r>
        <w:t xml:space="preserve">2025 · Davies MJ ·</w:t>
      </w:r>
      <w:r>
        <w:t xml:space="preserve"> </w:t>
      </w:r>
      <w:r>
        <w:rPr>
          <w:iCs/>
          <w:i/>
        </w:rPr>
        <w:t xml:space="preserve">N Engl J Med</w:t>
      </w:r>
      <w:r>
        <w:t xml:space="preserve"> </w:t>
      </w:r>
      <w:r>
        <w:t xml:space="preserve">· Cagrilintide-Semaglutide in Adults with Overweight or Obesity and Type 2 Diabetes. PMID 40544432</w:t>
      </w:r>
    </w:p>
    <w:p>
      <w:pPr>
        <w:numPr>
          <w:ilvl w:val="0"/>
          <w:numId w:val="1384"/>
        </w:numPr>
        <w:pStyle w:val="Compact"/>
      </w:pPr>
      <w:r>
        <w:t xml:space="preserve">2024 · Gabe MBN ·</w:t>
      </w:r>
      <w:r>
        <w:t xml:space="preserve"> </w:t>
      </w:r>
      <w:r>
        <w:rPr>
          <w:iCs/>
          <w:i/>
        </w:rPr>
        <w:t xml:space="preserve">Diabetes Obes Metab</w:t>
      </w:r>
      <w:r>
        <w:t xml:space="preserve"> </w:t>
      </w:r>
      <w:r>
        <w:t xml:space="preserve">· Cagrilintide is not associated with clinically relevant QTc prolongation: A thorough QT study in healthy participants. PMID 39279639</w:t>
      </w:r>
    </w:p>
    <w:p>
      <w:pPr>
        <w:numPr>
          <w:ilvl w:val="0"/>
          <w:numId w:val="1384"/>
        </w:numPr>
        <w:pStyle w:val="Compact"/>
      </w:pPr>
      <w:r>
        <w:t xml:space="preserve">2023 · Frias JP ·</w:t>
      </w:r>
      <w:r>
        <w:t xml:space="preserve"> </w:t>
      </w:r>
      <w:r>
        <w:rPr>
          <w:iCs/>
          <w:i/>
        </w:rPr>
        <w:t xml:space="preserve">Lancet</w:t>
      </w:r>
      <w:r>
        <w:t xml:space="preserve"> </w:t>
      </w:r>
      <w:r>
        <w:t xml:space="preserve">· Efficacy and safety of co-administered once-weekly cagrilintide 2·4 mg with once-weekly semaglutide 2·4 mg in type 2 diabetes: a multicentre, randomised, double-blind, active-controlled, phase 2 trial. PMID 37364590</w:t>
      </w:r>
    </w:p>
    <w:p>
      <w:pPr>
        <w:numPr>
          <w:ilvl w:val="0"/>
          <w:numId w:val="1384"/>
        </w:numPr>
        <w:pStyle w:val="Compact"/>
      </w:pPr>
      <w:r>
        <w:t xml:space="preserve">2021 · Lau DCW ·</w:t>
      </w:r>
      <w:r>
        <w:t xml:space="preserve"> </w:t>
      </w:r>
      <w:r>
        <w:rPr>
          <w:iCs/>
          <w:i/>
        </w:rPr>
        <w:t xml:space="preserve">Lancet</w:t>
      </w:r>
      <w:r>
        <w:t xml:space="preserve"> </w:t>
      </w:r>
      <w:r>
        <w:t xml:space="preserve">· Once-weekly cagrilintide for weight management in people with overweight and obesity: a multicentre, randomised, double-blind, placebo-controlled and active-controlled, dose-finding phase 2 trial. PMID 34798060</w:t>
      </w:r>
    </w:p>
    <w:p>
      <w:pPr>
        <w:numPr>
          <w:ilvl w:val="0"/>
          <w:numId w:val="1384"/>
        </w:numPr>
        <w:pStyle w:val="Compact"/>
      </w:pPr>
      <w:r>
        <w:t xml:space="preserve">2021 · Enebo LB ·</w:t>
      </w:r>
      <w:r>
        <w:t xml:space="preserve"> </w:t>
      </w:r>
      <w:r>
        <w:rPr>
          <w:iCs/>
          <w:i/>
        </w:rPr>
        <w:t xml:space="preserve">Lancet</w:t>
      </w:r>
      <w:r>
        <w:t xml:space="preserve"> </w:t>
      </w:r>
      <w:r>
        <w:t xml:space="preserve">· Safety, tolerability, pharmacokinetics, and pharmacodynamics of concomitant administration of multiple doses of cagrilintide with semaglutide 2·4 mg for weight management: a randomised, controlled, phase 1b trial. PMID 33894838</w:t>
      </w:r>
    </w:p>
    <w:bookmarkEnd w:id="3020"/>
    <w:bookmarkStart w:id="3021" w:name="amycretin-zenagamtide-4"/>
    <w:p>
      <w:pPr>
        <w:pStyle w:val="Heading2"/>
      </w:pPr>
      <w:r>
        <w:t xml:space="preserve">Amycretin (Zenagamtide) (4)</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once-weekly subcutaneous zenagamtide, a novel unimolecular GLP-1 and amylin receptor agonist, in type 2 diabetes: a multicentre, randomised, parallel, double-blind, placebo-controlled, dose-finding, phase 2 trial. PMID 42532080</w:t>
      </w:r>
    </w:p>
    <w:p>
      <w:pPr>
        <w:numPr>
          <w:ilvl w:val="0"/>
          <w:numId w:val="1385"/>
        </w:numPr>
        <w:pStyle w:val="Compact"/>
      </w:pPr>
      <w:r>
        <w:t xml:space="preserve">2026 · Mora P ·</w:t>
      </w:r>
      <w:r>
        <w:t xml:space="preserve"> </w:t>
      </w:r>
      <w:r>
        <w:rPr>
          <w:iCs/>
          <w:i/>
        </w:rPr>
        <w:t xml:space="preserve">Lancet</w:t>
      </w:r>
      <w:r>
        <w:t xml:space="preserve"> </w:t>
      </w:r>
      <w:r>
        <w:t xml:space="preserve">· Efficacy and safety of once-daily oral zenagamtide, a novel unimolecular GLP-1 and amylin receptor agonist, in adults with type 2 diabetes: a multicentre, randomised, parallel, double-blind, placebo-controlled, dose-finding, phase 2 trial. PMID 42532079</w:t>
      </w:r>
    </w:p>
    <w:p>
      <w:pPr>
        <w:numPr>
          <w:ilvl w:val="0"/>
          <w:numId w:val="1385"/>
        </w:numPr>
        <w:pStyle w:val="Compact"/>
      </w:pPr>
      <w:r>
        <w:t xml:space="preserve">2025 · Dahl K ·</w:t>
      </w:r>
      <w:r>
        <w:t xml:space="preserve"> </w:t>
      </w:r>
      <w:r>
        <w:rPr>
          <w:iCs/>
          <w:i/>
        </w:rPr>
        <w:t xml:space="preserve">Lancet</w:t>
      </w:r>
      <w:r>
        <w:t xml:space="preserve"> </w:t>
      </w:r>
      <w:r>
        <w:t xml:space="preserve">· Amycretin, a novel, unimolecular GLP-1 and amylin receptor agonist administered subcutaneously: results from a phase 1b/2a randomised controlled study. PMID 40550231</w:t>
      </w:r>
    </w:p>
    <w:p>
      <w:pPr>
        <w:numPr>
          <w:ilvl w:val="0"/>
          <w:numId w:val="1385"/>
        </w:numPr>
        <w:pStyle w:val="Compact"/>
      </w:pPr>
      <w:r>
        <w:t xml:space="preserve">2025 · Gasiorek A ·</w:t>
      </w:r>
      <w:r>
        <w:t xml:space="preserve"> </w:t>
      </w:r>
      <w:r>
        <w:rPr>
          <w:iCs/>
          <w:i/>
        </w:rPr>
        <w:t xml:space="preserve">Lancet</w:t>
      </w:r>
      <w:r>
        <w:t xml:space="preserve"> </w:t>
      </w:r>
      <w:r>
        <w:t xml:space="preserve">· Safety, tolerability, pharmacokinetics, and pharmacodynamics of the first-in-class GLP-1 and amylin receptor agonist, amycretin: a first-in-human, phase 1, double-blind, randomised, placebo-controlled trial. PMID 40550229</w:t>
      </w:r>
    </w:p>
    <w:bookmarkEnd w:id="3021"/>
    <w:bookmarkStart w:id="3022" w:name="maridebart-cafraglutide-maritide-2"/>
    <w:p>
      <w:pPr>
        <w:pStyle w:val="Heading2"/>
      </w:pPr>
      <w:r>
        <w:t xml:space="preserve">Maridebart Cafraglutide (MariTide) (2)</w:t>
      </w:r>
    </w:p>
    <w:p>
      <w:pPr>
        <w:numPr>
          <w:ilvl w:val="0"/>
          <w:numId w:val="1386"/>
        </w:numPr>
        <w:pStyle w:val="Compact"/>
      </w:pPr>
      <w:r>
        <w:t xml:space="preserve">2025 · Jastreboff AM ·</w:t>
      </w:r>
      <w:r>
        <w:t xml:space="preserve"> </w:t>
      </w:r>
      <w:r>
        <w:rPr>
          <w:iCs/>
          <w:i/>
        </w:rPr>
        <w:t xml:space="preserve">N Engl J Med</w:t>
      </w:r>
      <w:r>
        <w:t xml:space="preserve"> </w:t>
      </w:r>
      <w:r>
        <w:t xml:space="preserve">· Once-Monthly Maridebart Cafraglutide for the Treatment of Obesity - A Phase 2 Trial. PMID 40549887</w:t>
      </w:r>
    </w:p>
    <w:p>
      <w:pPr>
        <w:numPr>
          <w:ilvl w:val="0"/>
          <w:numId w:val="1386"/>
        </w:numPr>
        <w:pStyle w:val="Compact"/>
      </w:pPr>
      <w:r>
        <w:t xml:space="preserve">2024 · Véniant MM ·</w:t>
      </w:r>
      <w:r>
        <w:t xml:space="preserve"> </w:t>
      </w:r>
      <w:r>
        <w:rPr>
          <w:iCs/>
          <w:i/>
        </w:rPr>
        <w:t xml:space="preserve">Nat Metab</w:t>
      </w:r>
      <w:r>
        <w:t xml:space="preserve"> </w:t>
      </w:r>
      <w:r>
        <w:t xml:space="preserve">· A GIPR antagonist conjugated to GLP-1 analogues promotes weight loss with improved metabolic parameters in preclinical and phase 1 settings. PMID 38316982</w:t>
      </w:r>
    </w:p>
    <w:bookmarkEnd w:id="3022"/>
    <w:bookmarkStart w:id="3023" w:name="pramlintide-76"/>
    <w:p>
      <w:pPr>
        <w:pStyle w:val="Heading2"/>
      </w:pPr>
      <w:r>
        <w:t xml:space="preserve">Pramlintide (76)</w:t>
      </w:r>
    </w:p>
    <w:p>
      <w:pPr>
        <w:numPr>
          <w:ilvl w:val="0"/>
          <w:numId w:val="1387"/>
        </w:numPr>
        <w:pStyle w:val="Compact"/>
      </w:pPr>
      <w:r>
        <w:t xml:space="preserve">2025 · Odabassian M ·</w:t>
      </w:r>
      <w:r>
        <w:t xml:space="preserve"> </w:t>
      </w:r>
      <w:r>
        <w:rPr>
          <w:iCs/>
          <w:i/>
        </w:rPr>
        <w:t xml:space="preserve">J Diabetes Sci Technol</w:t>
      </w:r>
      <w:r>
        <w:t xml:space="preserve"> </w:t>
      </w:r>
      <w:r>
        <w:t xml:space="preserve">· A Pilot Outpatient Assessment of a Fully Closed-Loop Insulin and Pramlintide System. PMID 41174925</w:t>
      </w:r>
    </w:p>
    <w:p>
      <w:pPr>
        <w:numPr>
          <w:ilvl w:val="0"/>
          <w:numId w:val="1387"/>
        </w:numPr>
        <w:pStyle w:val="Compact"/>
      </w:pPr>
      <w:r>
        <w:t xml:space="preserve">2024 · Andersen G ·</w:t>
      </w:r>
      <w:r>
        <w:t xml:space="preserve"> </w:t>
      </w:r>
      <w:r>
        <w:rPr>
          <w:iCs/>
          <w:i/>
        </w:rPr>
        <w:t xml:space="preserve">Diabetes Obes Metab</w:t>
      </w:r>
      <w:r>
        <w:t xml:space="preserve"> </w:t>
      </w:r>
      <w:r>
        <w:t xml:space="preserve">· ADO09, a co-formulation of pramlintide and insulin A21G, lowers body weight versus insulin lispro in type 1 diabetes. PMID 39109464</w:t>
      </w:r>
    </w:p>
    <w:p>
      <w:pPr>
        <w:numPr>
          <w:ilvl w:val="0"/>
          <w:numId w:val="1387"/>
        </w:numPr>
        <w:pStyle w:val="Compact"/>
      </w:pPr>
      <w:r>
        <w:t xml:space="preserve">2024 · Cohen E ·</w:t>
      </w:r>
      <w:r>
        <w:t xml:space="preserve"> </w:t>
      </w:r>
      <w:r>
        <w:rPr>
          <w:iCs/>
          <w:i/>
        </w:rPr>
        <w:t xml:space="preserve">Lancet Digit Health</w:t>
      </w:r>
      <w:r>
        <w:t xml:space="preserve"> </w:t>
      </w:r>
      <w:r>
        <w:t xml:space="preserve">· Simple meal announcements and pramlintide delivery versus carbohydrate counting in type 1 diabetes with automated fast-acting insulin aspart delivery: a randomised crossover trial in Montreal, Canada. PMID 38906614</w:t>
      </w:r>
    </w:p>
    <w:p>
      <w:pPr>
        <w:numPr>
          <w:ilvl w:val="0"/>
          <w:numId w:val="1387"/>
        </w:numPr>
        <w:pStyle w:val="Compact"/>
      </w:pPr>
      <w:r>
        <w:t xml:space="preserve">2023 · Andersen G ·</w:t>
      </w:r>
      <w:r>
        <w:t xml:space="preserve"> </w:t>
      </w:r>
      <w:r>
        <w:rPr>
          <w:iCs/>
          <w:i/>
        </w:rPr>
        <w:t xml:space="preserve">Diabetes Obes Metab</w:t>
      </w:r>
      <w:r>
        <w:t xml:space="preserve"> </w:t>
      </w:r>
      <w:r>
        <w:t xml:space="preserve">· A co-formulation of pramlintide and insulin A21G (ADO09) improves postprandial glucose and short-term control of mean glucose, time in range, and body weight versus insulin aspart in adults with type 1 diabetes. PMID 36633505</w:t>
      </w:r>
    </w:p>
    <w:p>
      <w:pPr>
        <w:numPr>
          <w:ilvl w:val="0"/>
          <w:numId w:val="1387"/>
        </w:numPr>
        <w:pStyle w:val="Compact"/>
      </w:pPr>
      <w:r>
        <w:t xml:space="preserve">2021 · Tsoukas MA ·</w:t>
      </w:r>
      <w:r>
        <w:t xml:space="preserve"> </w:t>
      </w:r>
      <w:r>
        <w:rPr>
          <w:iCs/>
          <w:i/>
        </w:rPr>
        <w:t xml:space="preserve">Lancet Digit Health</w:t>
      </w:r>
      <w:r>
        <w:t xml:space="preserve"> </w:t>
      </w:r>
      <w:r>
        <w:t xml:space="preserve">· A fully artificial pancreas versus a hybrid artificial pancreas for type 1 diabetes: a single-centre, open-label, randomised controlled, crossover, non-inferiority trial. PMID 34580055</w:t>
      </w:r>
    </w:p>
    <w:p>
      <w:pPr>
        <w:numPr>
          <w:ilvl w:val="0"/>
          <w:numId w:val="1387"/>
        </w:numPr>
        <w:pStyle w:val="Compact"/>
      </w:pPr>
      <w:r>
        <w:t xml:space="preserve">2021 · Ghanizada H ·</w:t>
      </w:r>
      <w:r>
        <w:t xml:space="preserve"> </w:t>
      </w:r>
      <w:r>
        <w:rPr>
          <w:iCs/>
          <w:i/>
        </w:rPr>
        <w:t xml:space="preserve">Ann Neurol</w:t>
      </w:r>
      <w:r>
        <w:t xml:space="preserve"> </w:t>
      </w:r>
      <w:r>
        <w:t xml:space="preserve">· Amylin Analog Pramlintide Induces Migraine-like Attacks in Patients. PMID 33772845</w:t>
      </w:r>
    </w:p>
    <w:p>
      <w:pPr>
        <w:numPr>
          <w:ilvl w:val="0"/>
          <w:numId w:val="1387"/>
        </w:numPr>
        <w:pStyle w:val="Compact"/>
      </w:pPr>
      <w:r>
        <w:t xml:space="preserve">2020 · Haidar A ·</w:t>
      </w:r>
      <w:r>
        <w:t xml:space="preserve"> </w:t>
      </w:r>
      <w:r>
        <w:rPr>
          <w:iCs/>
          <w:i/>
        </w:rPr>
        <w:t xml:space="preserve">Diabetes Care</w:t>
      </w:r>
      <w:r>
        <w:t xml:space="preserve"> </w:t>
      </w:r>
      <w:r>
        <w:t xml:space="preserve">· A Novel Dual-Hormone Insulin-and-Pramlintide Artificial Pancreas for Type 1 Diabetes: A Randomized Controlled Crossover Trial. PMID 31974099</w:t>
      </w:r>
    </w:p>
    <w:p>
      <w:pPr>
        <w:numPr>
          <w:ilvl w:val="0"/>
          <w:numId w:val="1387"/>
        </w:numPr>
        <w:pStyle w:val="Compact"/>
      </w:pPr>
      <w:r>
        <w:t xml:space="preserve">2018 · Riddle MC ·</w:t>
      </w:r>
      <w:r>
        <w:t xml:space="preserve"> </w:t>
      </w:r>
      <w:r>
        <w:rPr>
          <w:iCs/>
          <w:i/>
        </w:rPr>
        <w:t xml:space="preserve">Diabetes Care</w:t>
      </w:r>
      <w:r>
        <w:t xml:space="preserve"> </w:t>
      </w:r>
      <w:r>
        <w:t xml:space="preserve">· Control of Postprandial Hyperglycemia in Type 1 Diabetes by 24-Hour Fixed-Dose Coadministration of Pramlintide and Regular Human Insulin: A Randomized, Two-Way Crossover Study. PMID 30213882</w:t>
      </w:r>
    </w:p>
    <w:p>
      <w:pPr>
        <w:numPr>
          <w:ilvl w:val="0"/>
          <w:numId w:val="1387"/>
        </w:numPr>
        <w:pStyle w:val="Compact"/>
      </w:pPr>
      <w:r>
        <w:t xml:space="preserve">2018 · Galderisi A ·</w:t>
      </w:r>
      <w:r>
        <w:t xml:space="preserve"> </w:t>
      </w:r>
      <w:r>
        <w:rPr>
          <w:iCs/>
          <w:i/>
        </w:rPr>
        <w:t xml:space="preserve">J Clin Endocrinol Metab</w:t>
      </w:r>
      <w:r>
        <w:t xml:space="preserve"> </w:t>
      </w:r>
      <w:r>
        <w:t xml:space="preserve">· Pramlintide but Not Liraglutide Suppresses Meal-Stimulated Glucagon Responses in Type 1 Diabetes. PMID 29211871</w:t>
      </w:r>
    </w:p>
    <w:p>
      <w:pPr>
        <w:numPr>
          <w:ilvl w:val="0"/>
          <w:numId w:val="1387"/>
        </w:numPr>
        <w:pStyle w:val="Compact"/>
      </w:pPr>
      <w:r>
        <w:t xml:space="preserve">2016 · Sherr JL ·</w:t>
      </w:r>
      <w:r>
        <w:t xml:space="preserve"> </w:t>
      </w:r>
      <w:r>
        <w:rPr>
          <w:iCs/>
          <w:i/>
        </w:rPr>
        <w:t xml:space="preserve">Diabetes Care</w:t>
      </w:r>
      <w:r>
        <w:t xml:space="preserve"> </w:t>
      </w:r>
      <w:r>
        <w:t xml:space="preserve">· Mitigating Meal-Related Glycemic Excursions in an Insulin-Sparing Manner During Closed-Loop Insulin Delivery: The Beneficial Effects of Adjunctive Pramlintide and Liraglutide. PMID 27208332</w:t>
      </w:r>
    </w:p>
    <w:p>
      <w:pPr>
        <w:numPr>
          <w:ilvl w:val="0"/>
          <w:numId w:val="1387"/>
        </w:numPr>
        <w:pStyle w:val="Compact"/>
      </w:pPr>
      <w:r>
        <w:t xml:space="preserve">2016 · Herrmann K ·</w:t>
      </w:r>
      <w:r>
        <w:t xml:space="preserve"> </w:t>
      </w:r>
      <w:r>
        <w:rPr>
          <w:iCs/>
          <w:i/>
        </w:rPr>
        <w:t xml:space="preserve">Adv Ther</w:t>
      </w:r>
      <w:r>
        <w:t xml:space="preserve"> </w:t>
      </w:r>
      <w:r>
        <w:t xml:space="preserve">· Impact of Disease Duration on the Effects of Pramlintide in Type 1 Diabetes: A Post Hoc Analysis of Three Clinical Trials. PMID 27071768</w:t>
      </w:r>
    </w:p>
    <w:p>
      <w:pPr>
        <w:numPr>
          <w:ilvl w:val="0"/>
          <w:numId w:val="1387"/>
        </w:numPr>
        <w:pStyle w:val="Compact"/>
      </w:pPr>
      <w:r>
        <w:t xml:space="preserve">2016 · Hinshaw L ·</w:t>
      </w:r>
      <w:r>
        <w:t xml:space="preserve"> </w:t>
      </w:r>
      <w:r>
        <w:rPr>
          <w:iCs/>
          <w:i/>
        </w:rPr>
        <w:t xml:space="preserve">J Clin Endocrinol Metab</w:t>
      </w:r>
      <w:r>
        <w:t xml:space="preserve"> </w:t>
      </w:r>
      <w:r>
        <w:t xml:space="preserve">· Effect of Pramlintide on Postprandial Glucose Fluxes in Type 1 Diabetes. PMID 26930181</w:t>
      </w:r>
    </w:p>
    <w:p>
      <w:pPr>
        <w:numPr>
          <w:ilvl w:val="0"/>
          <w:numId w:val="1387"/>
        </w:numPr>
        <w:pStyle w:val="Compact"/>
      </w:pPr>
      <w:r>
        <w:t xml:space="preserve">2016 · Chan JL ·</w:t>
      </w:r>
      <w:r>
        <w:t xml:space="preserve"> </w:t>
      </w:r>
      <w:r>
        <w:rPr>
          <w:iCs/>
          <w:i/>
        </w:rPr>
        <w:t xml:space="preserve">Clin Endocrinol (Oxf)</w:t>
      </w:r>
      <w:r>
        <w:t xml:space="preserve"> </w:t>
      </w:r>
      <w:r>
        <w:t xml:space="preserve">· Immunogenicity associated with metreleptin treatment in patients with obesity or lipodystrophy. PMID 26589105</w:t>
      </w:r>
    </w:p>
    <w:p>
      <w:pPr>
        <w:numPr>
          <w:ilvl w:val="0"/>
          <w:numId w:val="1387"/>
        </w:numPr>
        <w:pStyle w:val="Compact"/>
      </w:pPr>
      <w:r>
        <w:t xml:space="preserve">2015 · Riddle MC ·</w:t>
      </w:r>
      <w:r>
        <w:t xml:space="preserve"> </w:t>
      </w:r>
      <w:r>
        <w:rPr>
          <w:iCs/>
          <w:i/>
        </w:rPr>
        <w:t xml:space="preserve">Diabetes Obes Metab</w:t>
      </w:r>
      <w:r>
        <w:t xml:space="preserve"> </w:t>
      </w:r>
      <w:r>
        <w:t xml:space="preserve">· Fixed ratio dosing of pramlintide with regular insulin before a standard meal in patients with type 1 diabetes. PMID 26040429</w:t>
      </w:r>
    </w:p>
    <w:p>
      <w:pPr>
        <w:numPr>
          <w:ilvl w:val="0"/>
          <w:numId w:val="1387"/>
        </w:numPr>
        <w:pStyle w:val="Compact"/>
      </w:pPr>
      <w:r>
        <w:t xml:space="preserve">2014 · Herrmann K ·</w:t>
      </w:r>
      <w:r>
        <w:t xml:space="preserve"> </w:t>
      </w:r>
      <w:r>
        <w:rPr>
          <w:iCs/>
          <w:i/>
        </w:rPr>
        <w:t xml:space="preserve">Endocr Pract</w:t>
      </w:r>
      <w:r>
        <w:t xml:space="preserve"> </w:t>
      </w:r>
      <w:r>
        <w:t xml:space="preserve">· Effects of pramlintide in patients with type 2 diabetes mellitus: an analysis using daily insulin dose tertiles. PMID 25100363</w:t>
      </w:r>
    </w:p>
    <w:p>
      <w:pPr>
        <w:numPr>
          <w:ilvl w:val="0"/>
          <w:numId w:val="1387"/>
        </w:numPr>
        <w:pStyle w:val="Compact"/>
      </w:pPr>
      <w:r>
        <w:t xml:space="preserve">2014 · Renukuntla VS ·</w:t>
      </w:r>
      <w:r>
        <w:t xml:space="preserve"> </w:t>
      </w:r>
      <w:r>
        <w:rPr>
          <w:iCs/>
          <w:i/>
        </w:rPr>
        <w:t xml:space="preserve">J Diabetes Sci Technol</w:t>
      </w:r>
      <w:r>
        <w:t xml:space="preserve"> </w:t>
      </w:r>
      <w:r>
        <w:t xml:space="preserve">· Role of glucagon-like peptide-1 analogue versus amylin as an adjuvant therapy in type 1 diabetes in a closed loop setting with ePID algorithm. PMID 25030181</w:t>
      </w:r>
    </w:p>
    <w:p>
      <w:pPr>
        <w:numPr>
          <w:ilvl w:val="0"/>
          <w:numId w:val="1387"/>
        </w:numPr>
        <w:pStyle w:val="Compact"/>
      </w:pPr>
      <w:r>
        <w:t xml:space="preserve">2013 · Herrmann K ·</w:t>
      </w:r>
      <w:r>
        <w:t xml:space="preserve"> </w:t>
      </w:r>
      <w:r>
        <w:rPr>
          <w:iCs/>
          <w:i/>
        </w:rPr>
        <w:t xml:space="preserve">Postgrad Med</w:t>
      </w:r>
      <w:r>
        <w:t xml:space="preserve"> </w:t>
      </w:r>
      <w:r>
        <w:t xml:space="preserve">· Pramlintide improved measures of glycemic control and body weight in patients with type 1 diabetes mellitus undergoing continuous subcutaneous insulin infusion therapy. PMID 23748514</w:t>
      </w:r>
    </w:p>
    <w:p>
      <w:pPr>
        <w:numPr>
          <w:ilvl w:val="0"/>
          <w:numId w:val="1387"/>
        </w:numPr>
        <w:pStyle w:val="Compact"/>
      </w:pPr>
      <w:r>
        <w:t xml:space="preserve">2013 · Fang J ·</w:t>
      </w:r>
      <w:r>
        <w:t xml:space="preserve"> </w:t>
      </w:r>
      <w:r>
        <w:rPr>
          <w:iCs/>
          <w:i/>
        </w:rPr>
        <w:t xml:space="preserve">AAPS J</w:t>
      </w:r>
      <w:r>
        <w:t xml:space="preserve"> </w:t>
      </w:r>
      <w:r>
        <w:t xml:space="preserve">· Study reanalysis using a mechanism-based pharmacokinetic/pharmacodynamic model of pramlintide in subjects with type 1 diabetes. PMID 23054970</w:t>
      </w:r>
    </w:p>
    <w:p>
      <w:pPr>
        <w:numPr>
          <w:ilvl w:val="0"/>
          <w:numId w:val="1387"/>
        </w:numPr>
        <w:pStyle w:val="Compact"/>
      </w:pPr>
      <w:r>
        <w:t xml:space="preserve">2012 · Weinzimer SA ·</w:t>
      </w:r>
      <w:r>
        <w:t xml:space="preserve"> </w:t>
      </w:r>
      <w:r>
        <w:rPr>
          <w:iCs/>
          <w:i/>
        </w:rPr>
        <w:t xml:space="preserve">Diabetes Care</w:t>
      </w:r>
      <w:r>
        <w:t xml:space="preserve"> </w:t>
      </w:r>
      <w:r>
        <w:t xml:space="preserve">· Effect of pramlintide on prandial glycemic excursions during closed-loop control in adolescents and young adults with type 1 diabetes. PMID 22815298</w:t>
      </w:r>
    </w:p>
    <w:p>
      <w:pPr>
        <w:numPr>
          <w:ilvl w:val="0"/>
          <w:numId w:val="1387"/>
        </w:numPr>
        <w:pStyle w:val="Compact"/>
      </w:pPr>
      <w:r>
        <w:t xml:space="preserve">2010 · Peyrot M ·</w:t>
      </w:r>
      <w:r>
        <w:t xml:space="preserve"> </w:t>
      </w:r>
      <w:r>
        <w:rPr>
          <w:iCs/>
          <w:i/>
        </w:rPr>
        <w:t xml:space="preserve">Curr Med Res Opin</w:t>
      </w:r>
      <w:r>
        <w:t xml:space="preserve"> </w:t>
      </w:r>
      <w:r>
        <w:t xml:space="preserve">· Patient reported outcomes in adults with type 2 diabetes on basal insulin randomized to addition of mealtime pramlintide or rapid-acting insulin analogs. PMID 20199136</w:t>
      </w:r>
    </w:p>
    <w:p>
      <w:pPr>
        <w:numPr>
          <w:ilvl w:val="0"/>
          <w:numId w:val="1387"/>
        </w:numPr>
        <w:pStyle w:val="Compact"/>
      </w:pPr>
      <w:r>
        <w:t xml:space="preserve">2010 · Asmar M ·</w:t>
      </w:r>
      <w:r>
        <w:t xml:space="preserve"> </w:t>
      </w:r>
      <w:r>
        <w:rPr>
          <w:iCs/>
          <w:i/>
        </w:rPr>
        <w:t xml:space="preserve">J Clin Endocrinol Metab</w:t>
      </w:r>
      <w:r>
        <w:t xml:space="preserve"> </w:t>
      </w:r>
      <w:r>
        <w:t xml:space="preserve">· Do the actions of glucagon-like peptide-1 on gastric emptying, appetite, and food intake involve release of amylin in humans?. PMID 20194711</w:t>
      </w:r>
    </w:p>
    <w:p>
      <w:pPr>
        <w:numPr>
          <w:ilvl w:val="0"/>
          <w:numId w:val="1387"/>
        </w:numPr>
        <w:pStyle w:val="Compact"/>
      </w:pPr>
      <w:r>
        <w:t xml:space="preserve">2010 · King AB ·</w:t>
      </w:r>
      <w:r>
        <w:t xml:space="preserve"> </w:t>
      </w:r>
      <w:r>
        <w:rPr>
          <w:iCs/>
          <w:i/>
        </w:rPr>
        <w:t xml:space="preserve">Diabetes Technol Ther</w:t>
      </w:r>
      <w:r>
        <w:t xml:space="preserve"> </w:t>
      </w:r>
      <w:r>
        <w:t xml:space="preserve">· Comparison of the post-meal glucose response to different insulin bolus waveforms in insulin pump- and pre-meal pramlintide-treated type 1 diabetes patients. PMID 20105039</w:t>
      </w:r>
    </w:p>
    <w:p>
      <w:pPr>
        <w:numPr>
          <w:ilvl w:val="0"/>
          <w:numId w:val="1387"/>
        </w:numPr>
        <w:pStyle w:val="Compact"/>
      </w:pPr>
      <w:r>
        <w:t xml:space="preserve">2010 · Aronne LJ ·</w:t>
      </w:r>
      <w:r>
        <w:t xml:space="preserve"> </w:t>
      </w:r>
      <w:r>
        <w:rPr>
          <w:iCs/>
          <w:i/>
        </w:rPr>
        <w:t xml:space="preserve">Obesity (Silver Spring)</w:t>
      </w:r>
      <w:r>
        <w:t xml:space="preserve"> </w:t>
      </w:r>
      <w:r>
        <w:t xml:space="preserve">· Enhanced weight loss following coadministration of pramlintide with sibutramine or phentermine in a multicenter trial. PMID 20094043</w:t>
      </w:r>
    </w:p>
    <w:p>
      <w:pPr>
        <w:numPr>
          <w:ilvl w:val="0"/>
          <w:numId w:val="1387"/>
        </w:numPr>
        <w:pStyle w:val="Compact"/>
      </w:pPr>
      <w:r>
        <w:t xml:space="preserve">2009 · Kishiyama CM ·</w:t>
      </w:r>
      <w:r>
        <w:t xml:space="preserve"> </w:t>
      </w:r>
      <w:r>
        <w:rPr>
          <w:iCs/>
          <w:i/>
        </w:rPr>
        <w:t xml:space="preserve">Pediatrics</w:t>
      </w:r>
      <w:r>
        <w:t xml:space="preserve"> </w:t>
      </w:r>
      <w:r>
        <w:t xml:space="preserve">· A pilot trial of pramlintide home usage in adolescents with type 1 diabetes. PMID 19858155</w:t>
      </w:r>
    </w:p>
    <w:p>
      <w:pPr>
        <w:numPr>
          <w:ilvl w:val="0"/>
          <w:numId w:val="1387"/>
        </w:numPr>
        <w:pStyle w:val="Compact"/>
      </w:pPr>
      <w:r>
        <w:t xml:space="preserve">2009 · Huffman DM ·</w:t>
      </w:r>
      <w:r>
        <w:t xml:space="preserve"> </w:t>
      </w:r>
      <w:r>
        <w:rPr>
          <w:iCs/>
          <w:i/>
        </w:rPr>
        <w:t xml:space="preserve">Endocr Pract</w:t>
      </w:r>
      <w:r>
        <w:t xml:space="preserve"> </w:t>
      </w:r>
      <w:r>
        <w:t xml:space="preserve">· Continuous subcutaneous pramlintide infusion therapy in patients with type 1 diabetes: observations from a pilot study. PMID 19546056</w:t>
      </w:r>
    </w:p>
    <w:p>
      <w:pPr>
        <w:numPr>
          <w:ilvl w:val="0"/>
          <w:numId w:val="1387"/>
        </w:numPr>
        <w:pStyle w:val="Compact"/>
      </w:pPr>
      <w:r>
        <w:t xml:space="preserve">2009 · Ravussin E ·</w:t>
      </w:r>
      <w:r>
        <w:t xml:space="preserve"> </w:t>
      </w:r>
      <w:r>
        <w:rPr>
          <w:iCs/>
          <w:i/>
        </w:rPr>
        <w:t xml:space="preserve">Obesity (Silver Spring)</w:t>
      </w:r>
      <w:r>
        <w:t xml:space="preserve"> </w:t>
      </w:r>
      <w:r>
        <w:t xml:space="preserve">· Enhanced weight loss with pramlintide/metreleptin: an integrated neurohormonal approach to obesity pharmacotherapy. PMID 19521351</w:t>
      </w:r>
    </w:p>
    <w:p>
      <w:pPr>
        <w:numPr>
          <w:ilvl w:val="0"/>
          <w:numId w:val="1387"/>
        </w:numPr>
        <w:pStyle w:val="Compact"/>
      </w:pPr>
      <w:r>
        <w:t xml:space="preserve">2009 · Riddle M ·</w:t>
      </w:r>
      <w:r>
        <w:t xml:space="preserve"> </w:t>
      </w:r>
      <w:r>
        <w:rPr>
          <w:iCs/>
          <w:i/>
        </w:rPr>
        <w:t xml:space="preserve">Diabetes Care</w:t>
      </w:r>
      <w:r>
        <w:t xml:space="preserve"> </w:t>
      </w:r>
      <w:r>
        <w:t xml:space="preserve">· Randomized comparison of pramlintide or mealtime insulin added to basal insulin treatment for patients with type 2 diabetes. PMID 19502544</w:t>
      </w:r>
    </w:p>
    <w:p>
      <w:pPr>
        <w:numPr>
          <w:ilvl w:val="0"/>
          <w:numId w:val="1387"/>
        </w:numPr>
        <w:pStyle w:val="Compact"/>
      </w:pPr>
      <w:r>
        <w:t xml:space="preserve">2009 · Peyrot M ·</w:t>
      </w:r>
      <w:r>
        <w:t xml:space="preserve"> </w:t>
      </w:r>
      <w:r>
        <w:rPr>
          <w:iCs/>
          <w:i/>
        </w:rPr>
        <w:t xml:space="preserve">Diabetes Care</w:t>
      </w:r>
      <w:r>
        <w:t xml:space="preserve"> </w:t>
      </w:r>
      <w:r>
        <w:t xml:space="preserve">· How does treatment satisfaction work?: Modeling determinants of treatment satisfaction and preference. PMID 19470837</w:t>
      </w:r>
    </w:p>
    <w:p>
      <w:pPr>
        <w:numPr>
          <w:ilvl w:val="0"/>
          <w:numId w:val="1387"/>
        </w:numPr>
        <w:pStyle w:val="Compact"/>
      </w:pPr>
      <w:r>
        <w:t xml:space="preserve">2009 · Chase HP ·</w:t>
      </w:r>
      <w:r>
        <w:t xml:space="preserve"> </w:t>
      </w:r>
      <w:r>
        <w:rPr>
          <w:iCs/>
          <w:i/>
        </w:rPr>
        <w:t xml:space="preserve">J Pediatr</w:t>
      </w:r>
      <w:r>
        <w:t xml:space="preserve"> </w:t>
      </w:r>
      <w:r>
        <w:t xml:space="preserve">· Pramlintide lowered glucose excursions and was well-tolerated in adolescents with type 1 diabetes: results from a randomized, single-blind, placebo-controlled, crossover study. PMID 19464026</w:t>
      </w:r>
    </w:p>
    <w:p>
      <w:pPr>
        <w:numPr>
          <w:ilvl w:val="0"/>
          <w:numId w:val="1387"/>
        </w:numPr>
        <w:pStyle w:val="Compact"/>
      </w:pPr>
      <w:r>
        <w:t xml:space="preserve">2009 · King AB ·</w:t>
      </w:r>
      <w:r>
        <w:t xml:space="preserve"> </w:t>
      </w:r>
      <w:r>
        <w:rPr>
          <w:iCs/>
          <w:i/>
        </w:rPr>
        <w:t xml:space="preserve">Endocr Pract</w:t>
      </w:r>
      <w:r>
        <w:t xml:space="preserve"> </w:t>
      </w:r>
      <w:r>
        <w:t xml:space="preserve">· Minimal reduction in insulin dosage with pramlintide therapy when pretreatment near-normal glycemia is established and square-wave meal bolus is used. PMID 19364691</w:t>
      </w:r>
    </w:p>
    <w:p>
      <w:pPr>
        <w:numPr>
          <w:ilvl w:val="0"/>
          <w:numId w:val="1387"/>
        </w:numPr>
        <w:pStyle w:val="Compact"/>
      </w:pPr>
      <w:r>
        <w:t xml:space="preserve">2009 · Heptulla RA ·</w:t>
      </w:r>
      <w:r>
        <w:t xml:space="preserve"> </w:t>
      </w:r>
      <w:r>
        <w:rPr>
          <w:iCs/>
          <w:i/>
        </w:rPr>
        <w:t xml:space="preserve">J Clin Endocrinol Metab</w:t>
      </w:r>
      <w:r>
        <w:t xml:space="preserve"> </w:t>
      </w:r>
      <w:r>
        <w:t xml:space="preserve">· Twenty-four-hour simultaneous subcutaneous Basal-bolus administration of insulin and amylin in adolescents with type 1 diabetes decreases postprandial hyperglycemia. PMID 19190104</w:t>
      </w:r>
    </w:p>
    <w:p>
      <w:pPr>
        <w:numPr>
          <w:ilvl w:val="0"/>
          <w:numId w:val="1387"/>
        </w:numPr>
        <w:pStyle w:val="Compact"/>
      </w:pPr>
      <w:r>
        <w:t xml:space="preserve">2009 · Hassan K ·</w:t>
      </w:r>
      <w:r>
        <w:t xml:space="preserve"> </w:t>
      </w:r>
      <w:r>
        <w:rPr>
          <w:iCs/>
          <w:i/>
        </w:rPr>
        <w:t xml:space="preserve">Pediatr Diabetes</w:t>
      </w:r>
      <w:r>
        <w:t xml:space="preserve"> </w:t>
      </w:r>
      <w:r>
        <w:t xml:space="preserve">· Reducing postprandial hyperglycemia with adjuvant premeal pramlintide and postmeal insulin in children with type 1 diabetes mellitus. PMID 19140902</w:t>
      </w:r>
    </w:p>
    <w:p>
      <w:pPr>
        <w:numPr>
          <w:ilvl w:val="0"/>
          <w:numId w:val="1387"/>
        </w:numPr>
        <w:pStyle w:val="Compact"/>
      </w:pPr>
      <w:r>
        <w:t xml:space="preserve">2008 · Peyrot M ·</w:t>
      </w:r>
      <w:r>
        <w:t xml:space="preserve"> </w:t>
      </w:r>
      <w:r>
        <w:rPr>
          <w:iCs/>
          <w:i/>
        </w:rPr>
        <w:t xml:space="preserve">Diabetes Technol Ther</w:t>
      </w:r>
      <w:r>
        <w:t xml:space="preserve"> </w:t>
      </w:r>
      <w:r>
        <w:t xml:space="preserve">· Diabetes distress and its association with clinical outcomes in patients with type 2 diabetes treated with pramlintide as an adjunct to insulin therapy. PMID 19049375</w:t>
      </w:r>
    </w:p>
    <w:p>
      <w:pPr>
        <w:numPr>
          <w:ilvl w:val="0"/>
          <w:numId w:val="1387"/>
        </w:numPr>
        <w:pStyle w:val="Compact"/>
      </w:pPr>
      <w:r>
        <w:t xml:space="preserve">2008 · Smith SR ·</w:t>
      </w:r>
      <w:r>
        <w:t xml:space="preserve"> </w:t>
      </w:r>
      <w:r>
        <w:rPr>
          <w:iCs/>
          <w:i/>
        </w:rPr>
        <w:t xml:space="preserve">Diabetes Care</w:t>
      </w:r>
      <w:r>
        <w:t xml:space="preserve"> </w:t>
      </w:r>
      <w:r>
        <w:t xml:space="preserve">· Sustained weight loss following 12-month pramlintide treatment as an adjunct to lifestyle intervention in obesity. PMID 18753666</w:t>
      </w:r>
    </w:p>
    <w:p>
      <w:pPr>
        <w:numPr>
          <w:ilvl w:val="0"/>
          <w:numId w:val="1387"/>
        </w:numPr>
        <w:pStyle w:val="Compact"/>
      </w:pPr>
      <w:r>
        <w:t xml:space="preserve">2008 · Wysham C ·</w:t>
      </w:r>
      <w:r>
        <w:t xml:space="preserve"> </w:t>
      </w:r>
      <w:r>
        <w:rPr>
          <w:iCs/>
          <w:i/>
        </w:rPr>
        <w:t xml:space="preserve">Curr Med Res Opin</w:t>
      </w:r>
      <w:r>
        <w:t xml:space="preserve"> </w:t>
      </w:r>
      <w:r>
        <w:t xml:space="preserve">· Effect of pramlintide as an adjunct to basal insulin on markers of cardiovascular risk in patients with type 2 diabetes. PMID 18031595</w:t>
      </w:r>
    </w:p>
    <w:p>
      <w:pPr>
        <w:numPr>
          <w:ilvl w:val="0"/>
          <w:numId w:val="1387"/>
        </w:numPr>
        <w:pStyle w:val="Compact"/>
      </w:pPr>
      <w:r>
        <w:t xml:space="preserve">2008 · Woerle HJ ·</w:t>
      </w:r>
      <w:r>
        <w:t xml:space="preserve"> </w:t>
      </w:r>
      <w:r>
        <w:rPr>
          <w:iCs/>
          <w:i/>
        </w:rPr>
        <w:t xml:space="preserve">Am J Physiol Endocrinol Metab</w:t>
      </w:r>
      <w:r>
        <w:t xml:space="preserve"> </w:t>
      </w:r>
      <w:r>
        <w:t xml:space="preserve">· Importance of changes in gastric emptying for postprandial plasma glucose fluxes in healthy humans. PMID 17971511</w:t>
      </w:r>
    </w:p>
    <w:p>
      <w:pPr>
        <w:numPr>
          <w:ilvl w:val="0"/>
          <w:numId w:val="1387"/>
        </w:numPr>
        <w:pStyle w:val="Compact"/>
      </w:pPr>
      <w:r>
        <w:t xml:space="preserve">2008 · Ceriello A ·</w:t>
      </w:r>
      <w:r>
        <w:t xml:space="preserve"> </w:t>
      </w:r>
      <w:r>
        <w:rPr>
          <w:iCs/>
          <w:i/>
        </w:rPr>
        <w:t xml:space="preserve">Diabetes Metab Res Rev</w:t>
      </w:r>
      <w:r>
        <w:t xml:space="preserve"> </w:t>
      </w:r>
      <w:r>
        <w:t xml:space="preserve">· Pramlintide reduced markers of oxidative stress in the postprandial period in patients with type 2 diabetes. PMID 17694505</w:t>
      </w:r>
    </w:p>
    <w:p>
      <w:pPr>
        <w:numPr>
          <w:ilvl w:val="0"/>
          <w:numId w:val="1387"/>
        </w:numPr>
        <w:pStyle w:val="Compact"/>
      </w:pPr>
      <w:r>
        <w:t xml:space="preserve">2007 · Rodriguez LM ·</w:t>
      </w:r>
      <w:r>
        <w:t xml:space="preserve"> </w:t>
      </w:r>
      <w:r>
        <w:rPr>
          <w:iCs/>
          <w:i/>
        </w:rPr>
        <w:t xml:space="preserve">Pediatr Res</w:t>
      </w:r>
      <w:r>
        <w:t xml:space="preserve"> </w:t>
      </w:r>
      <w:r>
        <w:t xml:space="preserve">· The role of prandial pramlintide in the treatment of adolescents with type 1 diabetes. PMID 17957149</w:t>
      </w:r>
    </w:p>
    <w:p>
      <w:pPr>
        <w:numPr>
          <w:ilvl w:val="0"/>
          <w:numId w:val="1387"/>
        </w:numPr>
        <w:pStyle w:val="Compact"/>
      </w:pPr>
      <w:r>
        <w:t xml:space="preserve">2007 · Riddle M ·</w:t>
      </w:r>
      <w:r>
        <w:t xml:space="preserve"> </w:t>
      </w:r>
      <w:r>
        <w:rPr>
          <w:iCs/>
          <w:i/>
        </w:rPr>
        <w:t xml:space="preserve">Diabetes Care</w:t>
      </w:r>
      <w:r>
        <w:t xml:space="preserve"> </w:t>
      </w:r>
      <w:r>
        <w:t xml:space="preserve">· Pramlintide improved glycemic control and reduced weight in patients with type 2 diabetes using basal insulin. PMID 17698615</w:t>
      </w:r>
    </w:p>
    <w:p>
      <w:pPr>
        <w:numPr>
          <w:ilvl w:val="0"/>
          <w:numId w:val="1387"/>
        </w:numPr>
        <w:pStyle w:val="Compact"/>
      </w:pPr>
      <w:r>
        <w:t xml:space="preserve">2007 · Smith SR ·</w:t>
      </w:r>
      <w:r>
        <w:t xml:space="preserve"> </w:t>
      </w:r>
      <w:r>
        <w:rPr>
          <w:iCs/>
          <w:i/>
        </w:rPr>
        <w:t xml:space="preserve">Am J Physiol Endocrinol Metab</w:t>
      </w:r>
      <w:r>
        <w:t xml:space="preserve"> </w:t>
      </w:r>
      <w:r>
        <w:t xml:space="preserve">· Pramlintide treatment reduces 24-h caloric intake and meal sizes and improves control of eating in obese subjects: a 6-wk translational research study. PMID 17505051</w:t>
      </w:r>
    </w:p>
    <w:p>
      <w:pPr>
        <w:numPr>
          <w:ilvl w:val="0"/>
          <w:numId w:val="1387"/>
        </w:numPr>
        <w:pStyle w:val="Compact"/>
      </w:pPr>
      <w:r>
        <w:t xml:space="preserve">2007 · Aronne L ·</w:t>
      </w:r>
      <w:r>
        <w:t xml:space="preserve"> </w:t>
      </w:r>
      <w:r>
        <w:rPr>
          <w:iCs/>
          <w:i/>
        </w:rPr>
        <w:t xml:space="preserve">J Clin Endocrinol Metab</w:t>
      </w:r>
      <w:r>
        <w:t xml:space="preserve"> </w:t>
      </w:r>
      <w:r>
        <w:t xml:space="preserve">· Progressive reduction in body weight after treatment with the amylin analog pramlintide in obese subjects: a phase 2, randomized, placebo-controlled, dose-escalation study. PMID 17504894</w:t>
      </w:r>
    </w:p>
    <w:p>
      <w:pPr>
        <w:numPr>
          <w:ilvl w:val="0"/>
          <w:numId w:val="1387"/>
        </w:numPr>
        <w:pStyle w:val="Compact"/>
      </w:pPr>
      <w:r>
        <w:t xml:space="preserve">2007 · Chapman I ·</w:t>
      </w:r>
      <w:r>
        <w:t xml:space="preserve"> </w:t>
      </w:r>
      <w:r>
        <w:rPr>
          <w:iCs/>
          <w:i/>
        </w:rPr>
        <w:t xml:space="preserve">Obesity (Silver Spring)</w:t>
      </w:r>
      <w:r>
        <w:t xml:space="preserve"> </w:t>
      </w:r>
      <w:r>
        <w:t xml:space="preserve">· Low-dose pramlintide reduced food intake and meal duration in healthy, normal-weight subjects. PMID 17495194</w:t>
      </w:r>
    </w:p>
    <w:p>
      <w:pPr>
        <w:numPr>
          <w:ilvl w:val="0"/>
          <w:numId w:val="1387"/>
        </w:numPr>
        <w:pStyle w:val="Compact"/>
      </w:pPr>
      <w:r>
        <w:t xml:space="preserve">2007 · Kellmeyer TA ·</w:t>
      </w:r>
      <w:r>
        <w:t xml:space="preserve"> </w:t>
      </w:r>
      <w:r>
        <w:rPr>
          <w:iCs/>
          <w:i/>
        </w:rPr>
        <w:t xml:space="preserve">J Clin Pharmacol</w:t>
      </w:r>
      <w:r>
        <w:t xml:space="preserve"> </w:t>
      </w:r>
      <w:r>
        <w:t xml:space="preserve">· Pharmacokinetics of an oral drug (acetaminophen) administered at various times relative to subcutaneous injection of pramlintide in subjects with type 2 diabetes. PMID 17463219</w:t>
      </w:r>
    </w:p>
    <w:p>
      <w:pPr>
        <w:numPr>
          <w:ilvl w:val="0"/>
          <w:numId w:val="1387"/>
        </w:numPr>
        <w:pStyle w:val="Compact"/>
      </w:pPr>
      <w:r>
        <w:t xml:space="preserve">2007 · Karl D ·</w:t>
      </w:r>
      <w:r>
        <w:t xml:space="preserve"> </w:t>
      </w:r>
      <w:r>
        <w:rPr>
          <w:iCs/>
          <w:i/>
        </w:rPr>
        <w:t xml:space="preserve">Diabetes Technol Ther</w:t>
      </w:r>
      <w:r>
        <w:t xml:space="preserve"> </w:t>
      </w:r>
      <w:r>
        <w:t xml:space="preserve">· Pramlintide as an adjunct to insulin in patients with type 2 diabetes in a clinical practice setting reduced A1C, postprandial glucose excursions, and weight. PMID 17425446</w:t>
      </w:r>
    </w:p>
    <w:p>
      <w:pPr>
        <w:numPr>
          <w:ilvl w:val="0"/>
          <w:numId w:val="1387"/>
        </w:numPr>
        <w:pStyle w:val="Compact"/>
      </w:pPr>
      <w:r>
        <w:t xml:space="preserve">2007 · Marrero DG ·</w:t>
      </w:r>
      <w:r>
        <w:t xml:space="preserve"> </w:t>
      </w:r>
      <w:r>
        <w:rPr>
          <w:iCs/>
          <w:i/>
        </w:rPr>
        <w:t xml:space="preserve">Diabetes Care</w:t>
      </w:r>
      <w:r>
        <w:t xml:space="preserve"> </w:t>
      </w:r>
      <w:r>
        <w:t xml:space="preserve">· Effect of adjunctive pramlintide treatment on treatment satisfaction in patients with type 1 diabetes. PMID 17259483</w:t>
      </w:r>
    </w:p>
    <w:p>
      <w:pPr>
        <w:numPr>
          <w:ilvl w:val="0"/>
          <w:numId w:val="1387"/>
        </w:numPr>
        <w:pStyle w:val="Compact"/>
      </w:pPr>
      <w:r>
        <w:t xml:space="preserve">2006 · Edelman SV ·</w:t>
      </w:r>
      <w:r>
        <w:t xml:space="preserve"> </w:t>
      </w:r>
      <w:r>
        <w:rPr>
          <w:iCs/>
          <w:i/>
        </w:rPr>
        <w:t xml:space="preserve">Int J Clin Pract</w:t>
      </w:r>
      <w:r>
        <w:t xml:space="preserve"> </w:t>
      </w:r>
      <w:r>
        <w:t xml:space="preserve">· Pramlintide in the treatment of diabetes. PMID 17109671</w:t>
      </w:r>
    </w:p>
    <w:p>
      <w:pPr>
        <w:numPr>
          <w:ilvl w:val="0"/>
          <w:numId w:val="1387"/>
        </w:numPr>
        <w:pStyle w:val="Compact"/>
      </w:pPr>
      <w:r>
        <w:t xml:space="preserve">2006 · Edelman S ·</w:t>
      </w:r>
      <w:r>
        <w:t xml:space="preserve"> </w:t>
      </w:r>
      <w:r>
        <w:rPr>
          <w:iCs/>
          <w:i/>
        </w:rPr>
        <w:t xml:space="preserve">Diabetes Care</w:t>
      </w:r>
      <w:r>
        <w:t xml:space="preserve"> </w:t>
      </w:r>
      <w:r>
        <w:t xml:space="preserve">· A double-blind, placebo-controlled trial assessing pramlintide treatment in the setting of intensive insulin therapy in type 1 diabetes. PMID 17003291</w:t>
      </w:r>
    </w:p>
    <w:p>
      <w:pPr>
        <w:numPr>
          <w:ilvl w:val="0"/>
          <w:numId w:val="1387"/>
        </w:numPr>
        <w:pStyle w:val="Compact"/>
      </w:pPr>
      <w:r>
        <w:t xml:space="preserve">2005 · Amiel SA ·</w:t>
      </w:r>
      <w:r>
        <w:t xml:space="preserve"> </w:t>
      </w:r>
      <w:r>
        <w:rPr>
          <w:iCs/>
          <w:i/>
        </w:rPr>
        <w:t xml:space="preserve">Diabetes Obes Metab</w:t>
      </w:r>
      <w:r>
        <w:t xml:space="preserve"> </w:t>
      </w:r>
      <w:r>
        <w:t xml:space="preserve">· The effect of pramlintide on hormonal, metabolic or symptomatic responses to insulin-induced hypoglycaemia in patients with type 1 diabetes. PMID 16050943</w:t>
      </w:r>
    </w:p>
    <w:p>
      <w:pPr>
        <w:numPr>
          <w:ilvl w:val="0"/>
          <w:numId w:val="1387"/>
        </w:numPr>
        <w:pStyle w:val="Compact"/>
      </w:pPr>
      <w:r>
        <w:t xml:space="preserve">2005 · Ratner R ·</w:t>
      </w:r>
      <w:r>
        <w:t xml:space="preserve"> </w:t>
      </w:r>
      <w:r>
        <w:rPr>
          <w:iCs/>
          <w:i/>
        </w:rPr>
        <w:t xml:space="preserve">Exp Clin Endocrinol Diabetes</w:t>
      </w:r>
      <w:r>
        <w:t xml:space="preserve"> </w:t>
      </w:r>
      <w:r>
        <w:t xml:space="preserve">· Adjunctive therapy with pramlintide lowers HbA1c without concomitant weight gain and increased risk of severe hypoglycemia in patients with type 1 diabetes approaching glycemic targets. PMID 15891954</w:t>
      </w:r>
    </w:p>
    <w:p>
      <w:pPr>
        <w:numPr>
          <w:ilvl w:val="0"/>
          <w:numId w:val="1387"/>
        </w:numPr>
        <w:pStyle w:val="Compact"/>
      </w:pPr>
      <w:r>
        <w:t xml:space="preserve">2005 · Chapman I ·</w:t>
      </w:r>
      <w:r>
        <w:t xml:space="preserve"> </w:t>
      </w:r>
      <w:r>
        <w:rPr>
          <w:iCs/>
          <w:i/>
        </w:rPr>
        <w:t xml:space="preserve">Diabetologia</w:t>
      </w:r>
      <w:r>
        <w:t xml:space="preserve"> </w:t>
      </w:r>
      <w:r>
        <w:t xml:space="preserve">· Effect of pramlintide on satiety and food intake in obese subjects and subjects with type 2 diabetes. PMID 15843914</w:t>
      </w:r>
    </w:p>
    <w:p>
      <w:pPr>
        <w:numPr>
          <w:ilvl w:val="0"/>
          <w:numId w:val="1387"/>
        </w:numPr>
        <w:pStyle w:val="Compact"/>
      </w:pPr>
      <w:r>
        <w:t xml:space="preserve">2005 · Weyer C ·</w:t>
      </w:r>
      <w:r>
        <w:t xml:space="preserve"> </w:t>
      </w:r>
      <w:r>
        <w:rPr>
          <w:iCs/>
          <w:i/>
        </w:rPr>
        <w:t xml:space="preserve">Am J Health Syst Pharm</w:t>
      </w:r>
      <w:r>
        <w:t xml:space="preserve"> </w:t>
      </w:r>
      <w:r>
        <w:t xml:space="preserve">· Properties of pramlintide and insulin upon mixing. PMID 15821274</w:t>
      </w:r>
    </w:p>
    <w:p>
      <w:pPr>
        <w:numPr>
          <w:ilvl w:val="0"/>
          <w:numId w:val="1387"/>
        </w:numPr>
        <w:pStyle w:val="Compact"/>
      </w:pPr>
      <w:r>
        <w:t xml:space="preserve">2005 · Heptulla RA ·</w:t>
      </w:r>
      <w:r>
        <w:t xml:space="preserve"> </w:t>
      </w:r>
      <w:r>
        <w:rPr>
          <w:iCs/>
          <w:i/>
        </w:rPr>
        <w:t xml:space="preserve">Diabetes</w:t>
      </w:r>
      <w:r>
        <w:t xml:space="preserve"> </w:t>
      </w:r>
      <w:r>
        <w:t xml:space="preserve">· The role of amylin and glucagon in the dampening of glycemic excursions in children with type 1 diabetes. PMID 15793249</w:t>
      </w:r>
    </w:p>
    <w:p>
      <w:pPr>
        <w:numPr>
          <w:ilvl w:val="0"/>
          <w:numId w:val="1387"/>
        </w:numPr>
        <w:pStyle w:val="Compact"/>
      </w:pPr>
      <w:r>
        <w:t xml:space="preserve">2005 · Ceriello A ·</w:t>
      </w:r>
      <w:r>
        <w:t xml:space="preserve"> </w:t>
      </w:r>
      <w:r>
        <w:rPr>
          <w:iCs/>
          <w:i/>
        </w:rPr>
        <w:t xml:space="preserve">Diabetes Care</w:t>
      </w:r>
      <w:r>
        <w:t xml:space="preserve"> </w:t>
      </w:r>
      <w:r>
        <w:t xml:space="preserve">· Effects of pramlintide on postprandial glucose excursions and measures of oxidative stress in patients with type 1 diabetes. PMID 15735200</w:t>
      </w:r>
    </w:p>
    <w:p>
      <w:pPr>
        <w:numPr>
          <w:ilvl w:val="0"/>
          <w:numId w:val="1387"/>
        </w:numPr>
        <w:pStyle w:val="Compact"/>
      </w:pPr>
      <w:r>
        <w:t xml:space="preserve">2004 · Ratner RE ·</w:t>
      </w:r>
      <w:r>
        <w:t xml:space="preserve"> </w:t>
      </w:r>
      <w:r>
        <w:rPr>
          <w:iCs/>
          <w:i/>
        </w:rPr>
        <w:t xml:space="preserve">Diabet Med</w:t>
      </w:r>
      <w:r>
        <w:t xml:space="preserve"> </w:t>
      </w:r>
      <w:r>
        <w:t xml:space="preserve">· Amylin replacement with pramlintide as an adjunct to insulin therapy improves long-term glycaemic and weight control in Type 1 diabetes mellitus: a 1-year, randomized controlled trial. PMID 15498087</w:t>
      </w:r>
    </w:p>
    <w:p>
      <w:pPr>
        <w:numPr>
          <w:ilvl w:val="0"/>
          <w:numId w:val="1387"/>
        </w:numPr>
        <w:pStyle w:val="Compact"/>
      </w:pPr>
      <w:r>
        <w:t xml:space="preserve">2004 · Heise T ·</w:t>
      </w:r>
      <w:r>
        <w:t xml:space="preserve"> </w:t>
      </w:r>
      <w:r>
        <w:rPr>
          <w:iCs/>
          <w:i/>
        </w:rPr>
        <w:t xml:space="preserve">Metabolism</w:t>
      </w:r>
      <w:r>
        <w:t xml:space="preserve"> </w:t>
      </w:r>
      <w:r>
        <w:t xml:space="preserve">· Effect of pramlintide on symptom, catecholamine, and glucagon responses to hypoglycemia in healthy subjects. PMID 15334389</w:t>
      </w:r>
    </w:p>
    <w:p>
      <w:pPr>
        <w:numPr>
          <w:ilvl w:val="0"/>
          <w:numId w:val="1387"/>
        </w:numPr>
        <w:pStyle w:val="Compact"/>
      </w:pPr>
      <w:r>
        <w:t xml:space="preserve">2004 · Hollander P ·</w:t>
      </w:r>
      <w:r>
        <w:t xml:space="preserve"> </w:t>
      </w:r>
      <w:r>
        <w:rPr>
          <w:iCs/>
          <w:i/>
        </w:rPr>
        <w:t xml:space="preserve">Obes Res</w:t>
      </w:r>
      <w:r>
        <w:t xml:space="preserve"> </w:t>
      </w:r>
      <w:r>
        <w:t xml:space="preserve">· Effect of pramlintide on weight in overweight and obese insulin-treated type 2 diabetes patients. PMID 15090634</w:t>
      </w:r>
    </w:p>
    <w:p>
      <w:pPr>
        <w:numPr>
          <w:ilvl w:val="0"/>
          <w:numId w:val="1387"/>
        </w:numPr>
        <w:pStyle w:val="Compact"/>
      </w:pPr>
      <w:r>
        <w:t xml:space="preserve">2004 · Maggs DG ·</w:t>
      </w:r>
      <w:r>
        <w:t xml:space="preserve"> </w:t>
      </w:r>
      <w:r>
        <w:rPr>
          <w:iCs/>
          <w:i/>
        </w:rPr>
        <w:t xml:space="preserve">Diabetes Metab Res Rev</w:t>
      </w:r>
      <w:r>
        <w:t xml:space="preserve"> </w:t>
      </w:r>
      <w:r>
        <w:t xml:space="preserve">· Pramlintide reduces postprandial glucose excursions when added to insulin lispro in subjects with type 2 diabetes: a dose-timing study. PMID 14737746</w:t>
      </w:r>
    </w:p>
    <w:p>
      <w:pPr>
        <w:numPr>
          <w:ilvl w:val="0"/>
          <w:numId w:val="1387"/>
        </w:numPr>
        <w:pStyle w:val="Compact"/>
      </w:pPr>
      <w:r>
        <w:t xml:space="preserve">2003 · Maggs D ·</w:t>
      </w:r>
      <w:r>
        <w:t xml:space="preserve"> </w:t>
      </w:r>
      <w:r>
        <w:rPr>
          <w:iCs/>
          <w:i/>
        </w:rPr>
        <w:t xml:space="preserve">Metabolism</w:t>
      </w:r>
      <w:r>
        <w:t xml:space="preserve"> </w:t>
      </w:r>
      <w:r>
        <w:t xml:space="preserve">· Effect of pramlintide on A1C and body weight in insulin-treated African Americans and Hispanics with type 2 diabetes: a pooled post hoc analysis. PMID 14669170</w:t>
      </w:r>
    </w:p>
    <w:p>
      <w:pPr>
        <w:numPr>
          <w:ilvl w:val="0"/>
          <w:numId w:val="1387"/>
        </w:numPr>
        <w:pStyle w:val="Compact"/>
      </w:pPr>
      <w:r>
        <w:t xml:space="preserve">2003 · Weyer C ·</w:t>
      </w:r>
      <w:r>
        <w:t xml:space="preserve"> </w:t>
      </w:r>
      <w:r>
        <w:rPr>
          <w:iCs/>
          <w:i/>
        </w:rPr>
        <w:t xml:space="preserve">Diabetes Care</w:t>
      </w:r>
      <w:r>
        <w:t xml:space="preserve"> </w:t>
      </w:r>
      <w:r>
        <w:t xml:space="preserve">· Pramlintide reduces postprandial glucose excursions when added to regular insulin or insulin lispro in subjects with type 1 diabetes: a dose-timing study. PMID 14578242</w:t>
      </w:r>
    </w:p>
    <w:p>
      <w:pPr>
        <w:numPr>
          <w:ilvl w:val="0"/>
          <w:numId w:val="1387"/>
        </w:numPr>
        <w:pStyle w:val="Compact"/>
      </w:pPr>
      <w:r>
        <w:t xml:space="preserve">2003 · Hollander PA ·</w:t>
      </w:r>
      <w:r>
        <w:t xml:space="preserve"> </w:t>
      </w:r>
      <w:r>
        <w:rPr>
          <w:iCs/>
          <w:i/>
        </w:rPr>
        <w:t xml:space="preserve">Diabetes Care</w:t>
      </w:r>
      <w:r>
        <w:t xml:space="preserve"> </w:t>
      </w:r>
      <w:r>
        <w:t xml:space="preserve">· Pramlintide as an adjunct to insulin therapy improves long-term glycemic and weight control in patients with type 2 diabetes: a 1-year randomized controlled trial. PMID 12610038</w:t>
      </w:r>
    </w:p>
    <w:p>
      <w:pPr>
        <w:numPr>
          <w:ilvl w:val="0"/>
          <w:numId w:val="1387"/>
        </w:numPr>
        <w:pStyle w:val="Compact"/>
      </w:pPr>
      <w:r>
        <w:t xml:space="preserve">2003 · Levetan C ·</w:t>
      </w:r>
      <w:r>
        <w:t xml:space="preserve"> </w:t>
      </w:r>
      <w:r>
        <w:rPr>
          <w:iCs/>
          <w:i/>
        </w:rPr>
        <w:t xml:space="preserve">Diabetes Care</w:t>
      </w:r>
      <w:r>
        <w:t xml:space="preserve"> </w:t>
      </w:r>
      <w:r>
        <w:t xml:space="preserve">· Impact of pramlintide on glucose fluctuations and postprandial glucose, glucagon, and triglyceride excursions among patients with type 1 diabetes intensively treated with insulin pumps. PMID 12502651</w:t>
      </w:r>
    </w:p>
    <w:p>
      <w:pPr>
        <w:numPr>
          <w:ilvl w:val="0"/>
          <w:numId w:val="1387"/>
        </w:numPr>
        <w:pStyle w:val="Compact"/>
      </w:pPr>
      <w:r>
        <w:t xml:space="preserve">2002 · Fineman M ·</w:t>
      </w:r>
      <w:r>
        <w:t xml:space="preserve"> </w:t>
      </w:r>
      <w:r>
        <w:rPr>
          <w:iCs/>
          <w:i/>
        </w:rPr>
        <w:t xml:space="preserve">Horm Metab Res</w:t>
      </w:r>
      <w:r>
        <w:t xml:space="preserve"> </w:t>
      </w:r>
      <w:r>
        <w:t xml:space="preserve">· The human amylin analog, pramlintide, reduces postprandial hyperglucagonemia in patients with type 2 diabetes mellitus. PMID 12384827</w:t>
      </w:r>
    </w:p>
    <w:p>
      <w:pPr>
        <w:numPr>
          <w:ilvl w:val="0"/>
          <w:numId w:val="1387"/>
        </w:numPr>
        <w:pStyle w:val="Compact"/>
      </w:pPr>
      <w:r>
        <w:t xml:space="preserve">2002 · Ratner RE ·</w:t>
      </w:r>
      <w:r>
        <w:t xml:space="preserve"> </w:t>
      </w:r>
      <w:r>
        <w:rPr>
          <w:iCs/>
          <w:i/>
        </w:rPr>
        <w:t xml:space="preserve">Diabetes Technol Ther</w:t>
      </w:r>
      <w:r>
        <w:t xml:space="preserve"> </w:t>
      </w:r>
      <w:r>
        <w:t xml:space="preserve">· Adjunctive therapy with the amylin analogue pramlintide leads to a combined improvement in glycemic and weight control in insulin-treated subjects with type 2 diabetes. PMID 12017421</w:t>
      </w:r>
    </w:p>
    <w:p>
      <w:pPr>
        <w:numPr>
          <w:ilvl w:val="0"/>
          <w:numId w:val="1387"/>
        </w:numPr>
        <w:pStyle w:val="Compact"/>
      </w:pPr>
      <w:r>
        <w:t xml:space="preserve">2002 · Fineman MS ·</w:t>
      </w:r>
      <w:r>
        <w:t xml:space="preserve"> </w:t>
      </w:r>
      <w:r>
        <w:rPr>
          <w:iCs/>
          <w:i/>
        </w:rPr>
        <w:t xml:space="preserve">Metabolism</w:t>
      </w:r>
      <w:r>
        <w:t xml:space="preserve"> </w:t>
      </w:r>
      <w:r>
        <w:t xml:space="preserve">· The human amylin analog, pramlintide, corrects postprandial hyperglucagonemia in patients with type 1 diabetes. PMID 11979398</w:t>
      </w:r>
    </w:p>
    <w:p>
      <w:pPr>
        <w:numPr>
          <w:ilvl w:val="0"/>
          <w:numId w:val="1387"/>
        </w:numPr>
        <w:pStyle w:val="Compact"/>
      </w:pPr>
      <w:r>
        <w:t xml:space="preserve">2002 · Vella A ·</w:t>
      </w:r>
      <w:r>
        <w:t xml:space="preserve"> </w:t>
      </w:r>
      <w:r>
        <w:rPr>
          <w:iCs/>
          <w:i/>
        </w:rPr>
        <w:t xml:space="preserve">Neurogastroenterol Motil</w:t>
      </w:r>
      <w:r>
        <w:t xml:space="preserve"> </w:t>
      </w:r>
      <w:r>
        <w:t xml:space="preserve">· Effects of pramlintide, an amylin analogue, on gastric emptying in type 1 and 2 diabetes mellitus. PMID 11975712</w:t>
      </w:r>
    </w:p>
    <w:p>
      <w:pPr>
        <w:numPr>
          <w:ilvl w:val="0"/>
          <w:numId w:val="1387"/>
        </w:numPr>
        <w:pStyle w:val="Compact"/>
      </w:pPr>
      <w:r>
        <w:t xml:space="preserve">2002 · Whitehouse F ·</w:t>
      </w:r>
      <w:r>
        <w:t xml:space="preserve"> </w:t>
      </w:r>
      <w:r>
        <w:rPr>
          <w:iCs/>
          <w:i/>
        </w:rPr>
        <w:t xml:space="preserve">Diabetes Care</w:t>
      </w:r>
      <w:r>
        <w:t xml:space="preserve"> </w:t>
      </w:r>
      <w:r>
        <w:t xml:space="preserve">· A randomized study and open-label extension evaluating the long-term efficacy of pramlintide as an adjunct to insulin therapy in type 1 diabetes. PMID 11919132</w:t>
      </w:r>
    </w:p>
    <w:p>
      <w:pPr>
        <w:numPr>
          <w:ilvl w:val="0"/>
          <w:numId w:val="1387"/>
        </w:numPr>
        <w:pStyle w:val="Compact"/>
      </w:pPr>
      <w:r>
        <w:t xml:space="preserve">2000 · Samsom M ·</w:t>
      </w:r>
      <w:r>
        <w:t xml:space="preserve"> </w:t>
      </w:r>
      <w:r>
        <w:rPr>
          <w:iCs/>
          <w:i/>
        </w:rPr>
        <w:t xml:space="preserve">Am J Physiol Gastrointest Liver Physiol</w:t>
      </w:r>
      <w:r>
        <w:t xml:space="preserve"> </w:t>
      </w:r>
      <w:r>
        <w:t xml:space="preserve">· Pramlintide, an amylin analog, selectively delays gastric emptying: potential role of vagal inhibition. PMID 10859225</w:t>
      </w:r>
    </w:p>
    <w:p>
      <w:pPr>
        <w:numPr>
          <w:ilvl w:val="0"/>
          <w:numId w:val="1387"/>
        </w:numPr>
        <w:pStyle w:val="Compact"/>
      </w:pPr>
      <w:r>
        <w:t xml:space="preserve">1999 · Orskov L ·</w:t>
      </w:r>
      <w:r>
        <w:t xml:space="preserve"> </w:t>
      </w:r>
      <w:r>
        <w:rPr>
          <w:iCs/>
          <w:i/>
        </w:rPr>
        <w:t xml:space="preserve">Diabet Med</w:t>
      </w:r>
      <w:r>
        <w:t xml:space="preserve"> </w:t>
      </w:r>
      <w:r>
        <w:t xml:space="preserve">· Effects of the amylin analogue pramlintide on hepatic glucagon responses and intermediary metabolism in Type 1 diabetic subjects. PMID 10547215</w:t>
      </w:r>
    </w:p>
    <w:p>
      <w:pPr>
        <w:numPr>
          <w:ilvl w:val="0"/>
          <w:numId w:val="1387"/>
        </w:numPr>
        <w:pStyle w:val="Compact"/>
      </w:pPr>
      <w:r>
        <w:t xml:space="preserve">1999 · Nyholm B ·</w:t>
      </w:r>
      <w:r>
        <w:t xml:space="preserve"> </w:t>
      </w:r>
      <w:r>
        <w:rPr>
          <w:iCs/>
          <w:i/>
        </w:rPr>
        <w:t xml:space="preserve">Metabolism</w:t>
      </w:r>
      <w:r>
        <w:t xml:space="preserve"> </w:t>
      </w:r>
      <w:r>
        <w:t xml:space="preserve">· The amylin analog pramlintide improves glycemic control and reduces postprandial glucagon concentrations in patients with type 1 diabetes mellitus. PMID 10421239</w:t>
      </w:r>
    </w:p>
    <w:p>
      <w:pPr>
        <w:numPr>
          <w:ilvl w:val="0"/>
          <w:numId w:val="1387"/>
        </w:numPr>
        <w:pStyle w:val="Compact"/>
      </w:pPr>
      <w:r>
        <w:t xml:space="preserve">1998 · Kong MF ·</w:t>
      </w:r>
      <w:r>
        <w:t xml:space="preserve"> </w:t>
      </w:r>
      <w:r>
        <w:rPr>
          <w:iCs/>
          <w:i/>
        </w:rPr>
        <w:t xml:space="preserve">Diabetologia</w:t>
      </w:r>
      <w:r>
        <w:t xml:space="preserve"> </w:t>
      </w:r>
      <w:r>
        <w:t xml:space="preserve">· The effect of single doses of pramlintide on gastric emptying of two meals in men with IDDM. PMID 9628276</w:t>
      </w:r>
    </w:p>
    <w:p>
      <w:pPr>
        <w:numPr>
          <w:ilvl w:val="0"/>
          <w:numId w:val="1387"/>
        </w:numPr>
        <w:pStyle w:val="Compact"/>
      </w:pPr>
      <w:r>
        <w:t xml:space="preserve">1998 · Thompson RG ·</w:t>
      </w:r>
      <w:r>
        <w:t xml:space="preserve"> </w:t>
      </w:r>
      <w:r>
        <w:rPr>
          <w:iCs/>
          <w:i/>
        </w:rPr>
        <w:t xml:space="preserve">Diabetes Care</w:t>
      </w:r>
      <w:r>
        <w:t xml:space="preserve"> </w:t>
      </w:r>
      <w:r>
        <w:t xml:space="preserve">· Pramlintide, a synthetic analog of human amylin, improves the metabolic profile of patients with type 2 diabetes using insulin. The Pramlintide in Type 2 Diabetes Group. PMID 9614619</w:t>
      </w:r>
    </w:p>
    <w:p>
      <w:pPr>
        <w:numPr>
          <w:ilvl w:val="0"/>
          <w:numId w:val="1387"/>
        </w:numPr>
        <w:pStyle w:val="Compact"/>
      </w:pPr>
      <w:r>
        <w:t xml:space="preserve">1997 · Thompson RG ·</w:t>
      </w:r>
      <w:r>
        <w:t xml:space="preserve"> </w:t>
      </w:r>
      <w:r>
        <w:rPr>
          <w:iCs/>
          <w:i/>
        </w:rPr>
        <w:t xml:space="preserve">Diabetologia</w:t>
      </w:r>
      <w:r>
        <w:t xml:space="preserve"> </w:t>
      </w:r>
      <w:r>
        <w:t xml:space="preserve">· Effects of 4 weeks’ administration of pramlintide, a human amylin analogue, on glycaemia control in patients with IDDM: effects on plasma glucose profiles and serum fructosamine concentrations. PMID 9389419</w:t>
      </w:r>
    </w:p>
    <w:p>
      <w:pPr>
        <w:numPr>
          <w:ilvl w:val="0"/>
          <w:numId w:val="1387"/>
        </w:numPr>
        <w:pStyle w:val="Compact"/>
      </w:pPr>
      <w:r>
        <w:t xml:space="preserve">1997 · Thompson RG ·</w:t>
      </w:r>
      <w:r>
        <w:t xml:space="preserve"> </w:t>
      </w:r>
      <w:r>
        <w:rPr>
          <w:iCs/>
          <w:i/>
        </w:rPr>
        <w:t xml:space="preserve">Diabet Med</w:t>
      </w:r>
      <w:r>
        <w:t xml:space="preserve"> </w:t>
      </w:r>
      <w:r>
        <w:t xml:space="preserve">· Pramlintide: a human amylin analogue reduced postprandial plasma glucose, insulin, and C-peptide concentrations in patients with type 2 diabetes. PMID 9223392</w:t>
      </w:r>
    </w:p>
    <w:p>
      <w:pPr>
        <w:numPr>
          <w:ilvl w:val="0"/>
          <w:numId w:val="1387"/>
        </w:numPr>
        <w:pStyle w:val="Compact"/>
      </w:pPr>
      <w:r>
        <w:t xml:space="preserve">1997 · Thompson RG ·</w:t>
      </w:r>
      <w:r>
        <w:t xml:space="preserve"> </w:t>
      </w:r>
      <w:r>
        <w:rPr>
          <w:iCs/>
          <w:i/>
        </w:rPr>
        <w:t xml:space="preserve">Diabetes</w:t>
      </w:r>
      <w:r>
        <w:t xml:space="preserve"> </w:t>
      </w:r>
      <w:r>
        <w:t xml:space="preserve">· Effects of pramlintide, an analog of human amylin, on plasma glucose profiles in patients with IDDM: results of a multicenter trial. PMID 9075803</w:t>
      </w:r>
    </w:p>
    <w:p>
      <w:pPr>
        <w:numPr>
          <w:ilvl w:val="0"/>
          <w:numId w:val="1387"/>
        </w:numPr>
        <w:pStyle w:val="Compact"/>
      </w:pPr>
      <w:r>
        <w:t xml:space="preserve">1997 · Kong MF ·</w:t>
      </w:r>
      <w:r>
        <w:t xml:space="preserve"> </w:t>
      </w:r>
      <w:r>
        <w:rPr>
          <w:iCs/>
          <w:i/>
        </w:rPr>
        <w:t xml:space="preserve">Diabetologia</w:t>
      </w:r>
      <w:r>
        <w:t xml:space="preserve"> </w:t>
      </w:r>
      <w:r>
        <w:t xml:space="preserve">· Infusion of pramlintide, a human amylin analogue, delays gastric emptying in men with IDDM. PMID 9028722</w:t>
      </w:r>
    </w:p>
    <w:p>
      <w:pPr>
        <w:numPr>
          <w:ilvl w:val="0"/>
          <w:numId w:val="1387"/>
        </w:numPr>
        <w:pStyle w:val="Compact"/>
      </w:pPr>
      <w:r>
        <w:t xml:space="preserve">1996 · Kolterman OG ·</w:t>
      </w:r>
      <w:r>
        <w:t xml:space="preserve"> </w:t>
      </w:r>
      <w:r>
        <w:rPr>
          <w:iCs/>
          <w:i/>
        </w:rPr>
        <w:t xml:space="preserve">Diabetologia</w:t>
      </w:r>
      <w:r>
        <w:t xml:space="preserve"> </w:t>
      </w:r>
      <w:r>
        <w:t xml:space="preserve">· Effect of 14 days’ subcutaneous administration of the human amylin analogue, pramlintide (AC137), on an intravenous insulin challenge and response to a standard liquid meal in patients with IDDM. PMID 8778001</w:t>
      </w:r>
    </w:p>
    <w:bookmarkEnd w:id="3023"/>
    <w:bookmarkStart w:id="3024" w:name="setmelanotide-15"/>
    <w:p>
      <w:pPr>
        <w:pStyle w:val="Heading2"/>
      </w:pPr>
      <w:r>
        <w:t xml:space="preserve">Setmelanotide (15)</w:t>
      </w:r>
    </w:p>
    <w:p>
      <w:pPr>
        <w:numPr>
          <w:ilvl w:val="0"/>
          <w:numId w:val="1388"/>
        </w:numPr>
        <w:pStyle w:val="Compact"/>
      </w:pPr>
      <w:r>
        <w:t xml:space="preserve">2026 · Miller JL ·</w:t>
      </w:r>
      <w:r>
        <w:t xml:space="preserve"> </w:t>
      </w:r>
      <w:r>
        <w:rPr>
          <w:iCs/>
          <w:i/>
        </w:rPr>
        <w:t xml:space="preserve">N Engl J Med</w:t>
      </w:r>
      <w:r>
        <w:t xml:space="preserve"> </w:t>
      </w:r>
      <w:r>
        <w:t xml:space="preserve">· Setmelanotide for the Treatment of Acquired Hypothalamic Obesity. PMID 42418774</w:t>
      </w:r>
    </w:p>
    <w:p>
      <w:pPr>
        <w:numPr>
          <w:ilvl w:val="0"/>
          <w:numId w:val="1388"/>
        </w:numPr>
        <w:pStyle w:val="Compact"/>
      </w:pPr>
      <w:r>
        <w:t xml:space="preserve">2026 · Argente J ·</w:t>
      </w:r>
      <w:r>
        <w:t xml:space="preserve"> </w:t>
      </w:r>
      <w:r>
        <w:rPr>
          <w:iCs/>
          <w:i/>
        </w:rPr>
        <w:t xml:space="preserve">Obesity (Silver Spring)</w:t>
      </w:r>
      <w:r>
        <w:t xml:space="preserve"> </w:t>
      </w:r>
      <w:r>
        <w:t xml:space="preserve">· Setmelanotide in Bardet-Biedl Syndrome: A 52-Week Comparison of Phase 3 Trial Participants With a Matched Registry Cohort. PMID 41703984</w:t>
      </w:r>
    </w:p>
    <w:p>
      <w:pPr>
        <w:numPr>
          <w:ilvl w:val="0"/>
          <w:numId w:val="1388"/>
        </w:numPr>
        <w:pStyle w:val="Compact"/>
      </w:pPr>
      <w:r>
        <w:t xml:space="preserve">2025 · Haqq AM ·</w:t>
      </w:r>
      <w:r>
        <w:t xml:space="preserve"> </w:t>
      </w:r>
      <w:r>
        <w:rPr>
          <w:iCs/>
          <w:i/>
        </w:rPr>
        <w:t xml:space="preserve">J Clin Endocrinol Metab</w:t>
      </w:r>
      <w:r>
        <w:t xml:space="preserve"> </w:t>
      </w:r>
      <w:r>
        <w:t xml:space="preserve">· Impact of Setmelanotide on Metabolic Syndrome Risk in Patients With Bardet-Biedl Syndrome. PMID 39919037</w:t>
      </w:r>
    </w:p>
    <w:p>
      <w:pPr>
        <w:numPr>
          <w:ilvl w:val="0"/>
          <w:numId w:val="1388"/>
        </w:numPr>
        <w:pStyle w:val="Compact"/>
      </w:pPr>
      <w:r>
        <w:t xml:space="preserve">2025 · Argente J ·</w:t>
      </w:r>
      <w:r>
        <w:t xml:space="preserve"> </w:t>
      </w:r>
      <w:r>
        <w:rPr>
          <w:iCs/>
          <w:i/>
        </w:rPr>
        <w:t xml:space="preserve">Lancet Diabetes Endocrinol</w:t>
      </w:r>
      <w:r>
        <w:t xml:space="preserve"> </w:t>
      </w:r>
      <w:r>
        <w:t xml:space="preserve">· Setmelanotide in patients aged 2-5 years with rare MC4R pathway-associated obesity (VENTURE): a 1 year, open-label, multicenter, phase 3 trial. PMID 39549719</w:t>
      </w:r>
    </w:p>
    <w:p>
      <w:pPr>
        <w:numPr>
          <w:ilvl w:val="0"/>
          <w:numId w:val="1388"/>
        </w:numPr>
        <w:pStyle w:val="Compact"/>
      </w:pPr>
      <w:r>
        <w:t xml:space="preserve">2024 · Delplanque J ·</w:t>
      </w:r>
      <w:r>
        <w:t xml:space="preserve"> </w:t>
      </w:r>
      <w:r>
        <w:rPr>
          <w:iCs/>
          <w:i/>
        </w:rPr>
        <w:t xml:space="preserve">Am J Hum Genet</w:t>
      </w:r>
      <w:r>
        <w:t xml:space="preserve"> </w:t>
      </w:r>
      <w:r>
        <w:t xml:space="preserve">· Monoallelic pathogenic variants in LEPR do not cause obesity. PMID 39561769</w:t>
      </w:r>
    </w:p>
    <w:p>
      <w:pPr>
        <w:numPr>
          <w:ilvl w:val="0"/>
          <w:numId w:val="1388"/>
        </w:numPr>
        <w:pStyle w:val="Compact"/>
      </w:pPr>
      <w:r>
        <w:t xml:space="preserve">2024 · Roth CL ·</w:t>
      </w:r>
      <w:r>
        <w:t xml:space="preserve"> </w:t>
      </w:r>
      <w:r>
        <w:rPr>
          <w:iCs/>
          <w:i/>
        </w:rPr>
        <w:t xml:space="preserve">Lancet Diabetes Endocrinol</w:t>
      </w:r>
      <w:r>
        <w:t xml:space="preserve"> </w:t>
      </w:r>
      <w:r>
        <w:t xml:space="preserve">· Setmelanotide for the treatment of acquired hypothalamic obesity: a phase 2, open-label, multicentre trial. PMID 38697184</w:t>
      </w:r>
    </w:p>
    <w:p>
      <w:pPr>
        <w:numPr>
          <w:ilvl w:val="0"/>
          <w:numId w:val="1388"/>
        </w:numPr>
        <w:pStyle w:val="Compact"/>
      </w:pPr>
      <w:r>
        <w:t xml:space="preserve">2023 · van Santen HM ·</w:t>
      </w:r>
      <w:r>
        <w:t xml:space="preserve"> </w:t>
      </w:r>
      <w:r>
        <w:rPr>
          <w:iCs/>
          <w:i/>
        </w:rPr>
        <w:t xml:space="preserve">Front Endocrinol (Lausanne)</w:t>
      </w:r>
      <w:r>
        <w:t xml:space="preserve"> </w:t>
      </w:r>
      <w:r>
        <w:t xml:space="preserve">· Could setmelanotide be the game-changer for acquired hypothalamic obesity?. PMID 38239988</w:t>
      </w:r>
    </w:p>
    <w:p>
      <w:pPr>
        <w:numPr>
          <w:ilvl w:val="0"/>
          <w:numId w:val="1388"/>
        </w:numPr>
        <w:pStyle w:val="Compact"/>
      </w:pPr>
      <w:r>
        <w:t xml:space="preserve">2023 · Forsythe E ·</w:t>
      </w:r>
      <w:r>
        <w:t xml:space="preserve"> </w:t>
      </w:r>
      <w:r>
        <w:rPr>
          <w:iCs/>
          <w:i/>
        </w:rPr>
        <w:t xml:space="preserve">Orphanet J Rare Dis</w:t>
      </w:r>
      <w:r>
        <w:t xml:space="preserve"> </w:t>
      </w:r>
      <w:r>
        <w:t xml:space="preserve">· Quality of life improvements following one year of setmelanotide in children and adult patients with Bardet-Biedl syndrome: phase 3 trial results. PMID 36647077</w:t>
      </w:r>
    </w:p>
    <w:p>
      <w:pPr>
        <w:numPr>
          <w:ilvl w:val="0"/>
          <w:numId w:val="1388"/>
        </w:numPr>
        <w:pStyle w:val="Compact"/>
      </w:pPr>
      <w:r>
        <w:t xml:space="preserve">2022 · Haqq AM ·</w:t>
      </w:r>
      <w:r>
        <w:t xml:space="preserve"> </w:t>
      </w:r>
      <w:r>
        <w:rPr>
          <w:iCs/>
          <w:i/>
        </w:rPr>
        <w:t xml:space="preserve">Lancet Diabetes Endocrinol</w:t>
      </w:r>
      <w:r>
        <w:t xml:space="preserve"> </w:t>
      </w:r>
      <w:r>
        <w:t xml:space="preserve">· Efficacy and safety of setmelanotide, a melanocortin-4 receptor agonist, in patients with Bardet-Biedl syndrome and Alström syndrome: a multicentre, randomised, double-blind, placebo-controlled, phase 3 trial with an open-label period. PMID 36356613</w:t>
      </w:r>
    </w:p>
    <w:p>
      <w:pPr>
        <w:numPr>
          <w:ilvl w:val="0"/>
          <w:numId w:val="1388"/>
        </w:numPr>
        <w:pStyle w:val="Compact"/>
      </w:pPr>
      <w:r>
        <w:t xml:space="preserve">2022 · Kühnen P ·</w:t>
      </w:r>
      <w:r>
        <w:t xml:space="preserve"> </w:t>
      </w:r>
      <w:r>
        <w:rPr>
          <w:iCs/>
          <w:i/>
        </w:rPr>
        <w:t xml:space="preserve">Orphanet J Rare Dis</w:t>
      </w:r>
      <w:r>
        <w:t xml:space="preserve"> </w:t>
      </w:r>
      <w:r>
        <w:t xml:space="preserve">· Quality of life outcomes in two phase 3 trials of setmelanotide in patients with obesity due to LEPR or POMC deficiency. PMID 35123544</w:t>
      </w:r>
    </w:p>
    <w:p>
      <w:pPr>
        <w:numPr>
          <w:ilvl w:val="0"/>
          <w:numId w:val="1388"/>
        </w:numPr>
        <w:pStyle w:val="Compact"/>
      </w:pPr>
      <w:r>
        <w:t xml:space="preserve">2021 · Kanti V ·</w:t>
      </w:r>
      <w:r>
        <w:t xml:space="preserve"> </w:t>
      </w:r>
      <w:r>
        <w:rPr>
          <w:iCs/>
          <w:i/>
        </w:rPr>
        <w:t xml:space="preserve">Skin Pharmacol Physiol</w:t>
      </w:r>
      <w:r>
        <w:t xml:space="preserve"> </w:t>
      </w:r>
      <w:r>
        <w:t xml:space="preserve">· A Melanocortin-4 Receptor Agonist Induces Skin and Hair Pigmentation in Patients with Monogenic Mutations in the Leptin-Melanocortin Pathway. PMID 34058738</w:t>
      </w:r>
    </w:p>
    <w:p>
      <w:pPr>
        <w:numPr>
          <w:ilvl w:val="0"/>
          <w:numId w:val="1388"/>
        </w:numPr>
        <w:pStyle w:val="Compact"/>
      </w:pPr>
      <w:r>
        <w:t xml:space="preserve">2020 · Clément K ·</w:t>
      </w:r>
      <w:r>
        <w:t xml:space="preserve"> </w:t>
      </w:r>
      <w:r>
        <w:rPr>
          <w:iCs/>
          <w:i/>
        </w:rPr>
        <w:t xml:space="preserve">Lancet Diabetes Endocrinol</w:t>
      </w:r>
      <w:r>
        <w:t xml:space="preserve"> </w:t>
      </w:r>
      <w:r>
        <w:t xml:space="preserve">· Efficacy and safety of setmelanotide, an MC4R agonist, in individuals with severe obesity due to LEPR or POMC deficiency: single-arm, open-label, multicentre, phase 3 trials. PMID 33137293</w:t>
      </w:r>
    </w:p>
    <w:p>
      <w:pPr>
        <w:numPr>
          <w:ilvl w:val="0"/>
          <w:numId w:val="1388"/>
        </w:numPr>
        <w:pStyle w:val="Compact"/>
      </w:pPr>
      <w:r>
        <w:t xml:space="preserve">2018 · Clément K ·</w:t>
      </w:r>
      <w:r>
        <w:t xml:space="preserve"> </w:t>
      </w:r>
      <w:r>
        <w:rPr>
          <w:iCs/>
          <w:i/>
        </w:rPr>
        <w:t xml:space="preserve">Nat Med</w:t>
      </w:r>
      <w:r>
        <w:t xml:space="preserve"> </w:t>
      </w:r>
      <w:r>
        <w:t xml:space="preserve">· MC4R agonism promotes durable weight loss in patients with leptin receptor deficiency. PMID 29736023</w:t>
      </w:r>
    </w:p>
    <w:p>
      <w:pPr>
        <w:numPr>
          <w:ilvl w:val="0"/>
          <w:numId w:val="1388"/>
        </w:numPr>
        <w:pStyle w:val="Compact"/>
      </w:pPr>
      <w:r>
        <w:t xml:space="preserve">2017 · Collet TH ·</w:t>
      </w:r>
      <w:r>
        <w:t xml:space="preserve"> </w:t>
      </w:r>
      <w:r>
        <w:rPr>
          <w:iCs/>
          <w:i/>
        </w:rPr>
        <w:t xml:space="preserve">Mol Metab</w:t>
      </w:r>
      <w:r>
        <w:t xml:space="preserve"> </w:t>
      </w:r>
      <w:r>
        <w:t xml:space="preserve">· Evaluation of a melanocortin-4 receptor (MC4R) agonist (Setmelanotide) in MC4R deficiency. PMID 29031731</w:t>
      </w:r>
    </w:p>
    <w:p>
      <w:pPr>
        <w:numPr>
          <w:ilvl w:val="0"/>
          <w:numId w:val="1388"/>
        </w:numPr>
        <w:pStyle w:val="Compact"/>
      </w:pPr>
      <w:r>
        <w:t xml:space="preserve">2016 · Kühnen P ·</w:t>
      </w:r>
      <w:r>
        <w:t xml:space="preserve"> </w:t>
      </w:r>
      <w:r>
        <w:rPr>
          <w:iCs/>
          <w:i/>
        </w:rPr>
        <w:t xml:space="preserve">N Engl J Med</w:t>
      </w:r>
      <w:r>
        <w:t xml:space="preserve"> </w:t>
      </w:r>
      <w:r>
        <w:t xml:space="preserve">· Proopiomelanocortin Deficiency Treated with a Melanocortin-4 Receptor Agonist. PMID 27468060</w:t>
      </w:r>
    </w:p>
    <w:bookmarkEnd w:id="3024"/>
    <w:bookmarkStart w:id="3025" w:name="aod-9604-0"/>
    <w:p>
      <w:pPr>
        <w:pStyle w:val="Heading2"/>
      </w:pPr>
      <w:r>
        <w:t xml:space="preserve">AOD-9604 (0)</w:t>
      </w:r>
    </w:p>
    <w:p>
      <w:pPr>
        <w:pStyle w:val="FirstParagraph"/>
      </w:pPr>
      <w:r>
        <w:t xml:space="preserve">No publications of clinical studies in humans found.</w:t>
      </w:r>
    </w:p>
    <w:bookmarkEnd w:id="3025"/>
    <w:bookmarkStart w:id="3026" w:name="orforglipron-for-comparison-20"/>
    <w:p>
      <w:pPr>
        <w:pStyle w:val="Heading2"/>
      </w:pPr>
      <w:r>
        <w:t xml:space="preserve">Orforglipron (for comparison) (20)</w:t>
      </w:r>
    </w:p>
    <w:p>
      <w:pPr>
        <w:numPr>
          <w:ilvl w:val="0"/>
          <w:numId w:val="1389"/>
        </w:numPr>
        <w:pStyle w:val="Compact"/>
      </w:pPr>
      <w:r>
        <w:t xml:space="preserve">2026 · Klein KR ·</w:t>
      </w:r>
      <w:r>
        <w:t xml:space="preserve"> </w:t>
      </w:r>
      <w:r>
        <w:rPr>
          <w:iCs/>
          <w:i/>
        </w:rPr>
        <w:t xml:space="preserve">Lancet</w:t>
      </w:r>
      <w:r>
        <w:t xml:space="preserve"> </w:t>
      </w:r>
      <w:r>
        <w:t xml:space="preserve">· Cardiovascular safety of orforglipron versus insulin glargine in adults with type 2 diabetes at increased cardiovascular risk (ACHIEVE-4): a phase 3, event-driven, randomised, open-label, non-inferiority, active comparator trial. PMID 42815506</w:t>
      </w:r>
    </w:p>
    <w:p>
      <w:pPr>
        <w:numPr>
          <w:ilvl w:val="0"/>
          <w:numId w:val="1389"/>
        </w:numPr>
        <w:pStyle w:val="Compact"/>
      </w:pPr>
      <w:r>
        <w:t xml:space="preserve">2026 · Yabe D ·</w:t>
      </w:r>
      <w:r>
        <w:t xml:space="preserve"> </w:t>
      </w:r>
      <w:r>
        <w:rPr>
          <w:iCs/>
          <w:i/>
        </w:rPr>
        <w:t xml:space="preserve">Lancet Diabetes Endocrinol</w:t>
      </w:r>
      <w:r>
        <w:t xml:space="preserve"> </w:t>
      </w:r>
      <w:r>
        <w:t xml:space="preserve">· Long-term safety of oral orforglipron in Japanese participants with type 2 diabetes (ACHIEVE-J): a multicentre, randomised, open-label, parallel-group phase 3 trial. PMID 42607698</w:t>
      </w:r>
    </w:p>
    <w:p>
      <w:pPr>
        <w:numPr>
          <w:ilvl w:val="0"/>
          <w:numId w:val="1389"/>
        </w:numPr>
        <w:pStyle w:val="Compact"/>
      </w:pPr>
      <w:r>
        <w:t xml:space="preserve">2026 · Wharton S ·</w:t>
      </w:r>
      <w:r>
        <w:t xml:space="preserve"> </w:t>
      </w:r>
      <w:r>
        <w:rPr>
          <w:iCs/>
          <w:i/>
        </w:rPr>
        <w:t xml:space="preserve">Diabetes Obes Metab</w:t>
      </w:r>
      <w:r>
        <w:t xml:space="preserve"> </w:t>
      </w:r>
      <w:r>
        <w:t xml:space="preserve">· Hepatic Safety of Orforglipron in Adults With Obesity or Overweight and/or Type 2 Diabetes: A Pooled Analysis of the Orforglipron Phase 3 Clinical Trials. PMID 42338042</w:t>
      </w:r>
    </w:p>
    <w:p>
      <w:pPr>
        <w:numPr>
          <w:ilvl w:val="0"/>
          <w:numId w:val="1389"/>
        </w:numPr>
        <w:pStyle w:val="Compact"/>
      </w:pPr>
      <w:r>
        <w:t xml:space="preserve">2026 · Welch M ·</w:t>
      </w:r>
      <w:r>
        <w:t xml:space="preserve"> </w:t>
      </w:r>
      <w:r>
        <w:rPr>
          <w:iCs/>
          <w:i/>
        </w:rPr>
        <w:t xml:space="preserve">Lancet</w:t>
      </w:r>
      <w:r>
        <w:t xml:space="preserve"> </w:t>
      </w:r>
      <w:r>
        <w:t xml:space="preserve">· Orforglipron compared with dapagliflozin in adults with type 2 diabetes and inadequate glycaemic control with metformin (ACHIEVE-2): a multicentre, randomised, non-inferiority, open-label, phase 3 trial. PMID 42259339</w:t>
      </w:r>
    </w:p>
    <w:p>
      <w:pPr>
        <w:numPr>
          <w:ilvl w:val="0"/>
          <w:numId w:val="1389"/>
        </w:numPr>
        <w:pStyle w:val="Compact"/>
      </w:pPr>
      <w:r>
        <w:t xml:space="preserve">2026 · Giorgino F ·</w:t>
      </w:r>
      <w:r>
        <w:t xml:space="preserve"> </w:t>
      </w:r>
      <w:r>
        <w:rPr>
          <w:iCs/>
          <w:i/>
        </w:rPr>
        <w:t xml:space="preserve">JAMA</w:t>
      </w:r>
      <w:r>
        <w:t xml:space="preserve"> </w:t>
      </w:r>
      <w:r>
        <w:t xml:space="preserve">· Orforglipron Added to Titrated Insulin Glargine in Type 2 Diabetes: The ACHIEVE-5 Randomized Clinical Trial. PMID 42251769</w:t>
      </w:r>
    </w:p>
    <w:p>
      <w:pPr>
        <w:numPr>
          <w:ilvl w:val="0"/>
          <w:numId w:val="1389"/>
        </w:numPr>
        <w:pStyle w:val="Compact"/>
      </w:pPr>
      <w:r>
        <w:t xml:space="preserve">2026 · Aronne LJ ·</w:t>
      </w:r>
      <w:r>
        <w:t xml:space="preserve"> </w:t>
      </w:r>
      <w:r>
        <w:rPr>
          <w:iCs/>
          <w:i/>
        </w:rPr>
        <w:t xml:space="preserve">Nat Med</w:t>
      </w:r>
      <w:r>
        <w:t xml:space="preserve"> </w:t>
      </w:r>
      <w:r>
        <w:t xml:space="preserve">· Orforglipron for maintenance of body weight reduction: the double-blind, randomized phase 3b ATTAIN-MAINTAIN trial. PMID 42120723</w:t>
      </w:r>
    </w:p>
    <w:p>
      <w:pPr>
        <w:numPr>
          <w:ilvl w:val="0"/>
          <w:numId w:val="1389"/>
        </w:numPr>
        <w:pStyle w:val="Compact"/>
      </w:pPr>
      <w:r>
        <w:t xml:space="preserve">2026 · Ma X ·</w:t>
      </w:r>
      <w:r>
        <w:t xml:space="preserve"> </w:t>
      </w:r>
      <w:r>
        <w:rPr>
          <w:iCs/>
          <w:i/>
        </w:rPr>
        <w:t xml:space="preserve">Diabetes Obes Metab</w:t>
      </w:r>
      <w:r>
        <w:t xml:space="preserve"> </w:t>
      </w:r>
      <w:r>
        <w:t xml:space="preserve">· Pharmacokinetic Bioequivalence of Orforglipron Tablets and Capsules in Healthy Participants With Obesity or Overweight. PMID 41994902</w:t>
      </w:r>
    </w:p>
    <w:p>
      <w:pPr>
        <w:numPr>
          <w:ilvl w:val="0"/>
          <w:numId w:val="1389"/>
        </w:numPr>
        <w:pStyle w:val="Compact"/>
      </w:pPr>
      <w:r>
        <w:t xml:space="preserve">2026 · Rosenstock J ·</w:t>
      </w:r>
      <w:r>
        <w:t xml:space="preserve"> </w:t>
      </w:r>
      <w:r>
        <w:rPr>
          <w:iCs/>
          <w:i/>
        </w:rPr>
        <w:t xml:space="preserve">Lancet</w:t>
      </w:r>
      <w:r>
        <w:t xml:space="preserve"> </w:t>
      </w:r>
      <w:r>
        <w:t xml:space="preserve">· Efficacy and safety of once-daily oral orforglipron compared with oral semaglutide in adults with type 2 diabetes (ACHIEVE-3): a multinational, multicentre, non-inferiority, open-label, randomised, phase 3 trial. PMID 41765029</w:t>
      </w:r>
    </w:p>
    <w:p>
      <w:pPr>
        <w:numPr>
          <w:ilvl w:val="0"/>
          <w:numId w:val="1389"/>
        </w:numPr>
        <w:pStyle w:val="Compact"/>
      </w:pPr>
      <w:r>
        <w:t xml:space="preserve">2026 · Ohwaki K ·</w:t>
      </w:r>
      <w:r>
        <w:t xml:space="preserve"> </w:t>
      </w:r>
      <w:r>
        <w:rPr>
          <w:iCs/>
          <w:i/>
        </w:rPr>
        <w:t xml:space="preserve">J Diabetes Investig</w:t>
      </w:r>
      <w:r>
        <w:t xml:space="preserve"> </w:t>
      </w:r>
      <w:r>
        <w:t xml:space="preserve">· A phase 1 single and multiple ascending dose study of orforglipron in Japanese participants with type 2 diabetes. PMID 41325139</w:t>
      </w:r>
    </w:p>
    <w:p>
      <w:pPr>
        <w:numPr>
          <w:ilvl w:val="0"/>
          <w:numId w:val="1389"/>
        </w:numPr>
        <w:pStyle w:val="Compact"/>
      </w:pPr>
      <w:r>
        <w:t xml:space="preserve">2026 · Horn DB ·</w:t>
      </w:r>
      <w:r>
        <w:t xml:space="preserve"> </w:t>
      </w:r>
      <w:r>
        <w:rPr>
          <w:iCs/>
          <w:i/>
        </w:rPr>
        <w:t xml:space="preserve">Lancet</w:t>
      </w:r>
      <w:r>
        <w:t xml:space="preserve"> </w:t>
      </w:r>
      <w:r>
        <w:t xml:space="preserve">· Orforglipron, an oral small-molecule GLP-1 receptor agonist, for the treatment of obesity in people with type 2 diabetes (ATTAIN-2): a phase 3, double-blind, randomised, multicentre, placebo-controlled trial. PMID 41275875</w:t>
      </w:r>
    </w:p>
    <w:p>
      <w:pPr>
        <w:numPr>
          <w:ilvl w:val="0"/>
          <w:numId w:val="1389"/>
        </w:numPr>
        <w:pStyle w:val="Compact"/>
      </w:pPr>
      <w:r>
        <w:t xml:space="preserve">2026 · Morse BL ·</w:t>
      </w:r>
      <w:r>
        <w:t xml:space="preserve"> </w:t>
      </w:r>
      <w:r>
        <w:rPr>
          <w:iCs/>
          <w:i/>
        </w:rPr>
        <w:t xml:space="preserve">Clin Pharmacol Drug Dev</w:t>
      </w:r>
      <w:r>
        <w:t xml:space="preserve"> </w:t>
      </w:r>
      <w:r>
        <w:t xml:space="preserve">· Disposition and Absolute Bioavailability of Orally Administered Orforglipron in Healthy Participants. PMID 40888509</w:t>
      </w:r>
    </w:p>
    <w:p>
      <w:pPr>
        <w:numPr>
          <w:ilvl w:val="0"/>
          <w:numId w:val="1389"/>
        </w:numPr>
        <w:pStyle w:val="Compact"/>
      </w:pPr>
      <w:r>
        <w:t xml:space="preserve">2025 · Wharton S ·</w:t>
      </w:r>
      <w:r>
        <w:t xml:space="preserve"> </w:t>
      </w:r>
      <w:r>
        <w:rPr>
          <w:iCs/>
          <w:i/>
        </w:rPr>
        <w:t xml:space="preserve">N Engl J Med</w:t>
      </w:r>
      <w:r>
        <w:t xml:space="preserve"> </w:t>
      </w:r>
      <w:r>
        <w:t xml:space="preserve">· Orforglipron, an Oral Small-Molecule GLP-1 Receptor Agonist for Obesity Treatment. PMID 40960239</w:t>
      </w:r>
    </w:p>
    <w:p>
      <w:pPr>
        <w:numPr>
          <w:ilvl w:val="0"/>
          <w:numId w:val="1389"/>
        </w:numPr>
        <w:pStyle w:val="Compact"/>
      </w:pPr>
      <w:r>
        <w:t xml:space="preserve">2025 · Rosenstock J ·</w:t>
      </w:r>
      <w:r>
        <w:t xml:space="preserve"> </w:t>
      </w:r>
      <w:r>
        <w:rPr>
          <w:iCs/>
          <w:i/>
        </w:rPr>
        <w:t xml:space="preserve">Diabetes Obes Metab</w:t>
      </w:r>
      <w:r>
        <w:t xml:space="preserve"> </w:t>
      </w:r>
      <w:r>
        <w:t xml:space="preserve">· Orforglipron, an oral non-peptide glucagon-like peptide-1 receptor agonist, improves markers of β-cell function and insulin sensitivity in type 2 diabetes. PMID 40808573</w:t>
      </w:r>
    </w:p>
    <w:p>
      <w:pPr>
        <w:numPr>
          <w:ilvl w:val="0"/>
          <w:numId w:val="1389"/>
        </w:numPr>
        <w:pStyle w:val="Compact"/>
      </w:pPr>
      <w:r>
        <w:t xml:space="preserve">2025 · Rosenstock J ·</w:t>
      </w:r>
      <w:r>
        <w:t xml:space="preserve"> </w:t>
      </w:r>
      <w:r>
        <w:rPr>
          <w:iCs/>
          <w:i/>
        </w:rPr>
        <w:t xml:space="preserve">N Engl J Med</w:t>
      </w:r>
      <w:r>
        <w:t xml:space="preserve"> </w:t>
      </w:r>
      <w:r>
        <w:t xml:space="preserve">· Orforglipron, an Oral Small-Molecule GLP-1 Receptor Agonist, in Early Type 2 Diabetes. PMID 40544435</w:t>
      </w:r>
    </w:p>
    <w:p>
      <w:pPr>
        <w:numPr>
          <w:ilvl w:val="0"/>
          <w:numId w:val="1389"/>
        </w:numPr>
        <w:pStyle w:val="Compact"/>
      </w:pPr>
      <w:r>
        <w:t xml:space="preserve">2025 · Wharton S ·</w:t>
      </w:r>
      <w:r>
        <w:t xml:space="preserve"> </w:t>
      </w:r>
      <w:r>
        <w:rPr>
          <w:iCs/>
          <w:i/>
        </w:rPr>
        <w:t xml:space="preserve">Cardiovasc Diabetol</w:t>
      </w:r>
      <w:r>
        <w:t xml:space="preserve"> </w:t>
      </w:r>
      <w:r>
        <w:t xml:space="preserve">· Treatment with orforglipron, an oral glucagon like peptide-1 receptor agonist, is associated with improvements of CV risk biomarkers in participants with type 2 diabetes or obesity without diabetes. PMID 40481478</w:t>
      </w:r>
    </w:p>
    <w:p>
      <w:pPr>
        <w:numPr>
          <w:ilvl w:val="0"/>
          <w:numId w:val="1389"/>
        </w:numPr>
        <w:pStyle w:val="Compact"/>
      </w:pPr>
      <w:r>
        <w:t xml:space="preserve">2024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37997518</w:t>
      </w:r>
    </w:p>
    <w:p>
      <w:pPr>
        <w:numPr>
          <w:ilvl w:val="0"/>
          <w:numId w:val="1389"/>
        </w:numPr>
        <w:pStyle w:val="Compact"/>
      </w:pPr>
      <w:r>
        <w:t xml:space="preserve">2023 · Frias JP ·</w:t>
      </w:r>
      <w:r>
        <w:t xml:space="preserve"> </w:t>
      </w:r>
      <w:r>
        <w:rPr>
          <w:iCs/>
          <w:i/>
        </w:rPr>
        <w:t xml:space="preserve">Lancet</w:t>
      </w:r>
      <w:r>
        <w:t xml:space="preserve"> </w:t>
      </w:r>
      <w:r>
        <w:t xml:space="preserve">· Efficacy and safety of oral orforglipron in patients with type 2 diabetes: a multicentre, randomised, dose-response, phase 2 study. PMID 37369232</w:t>
      </w:r>
    </w:p>
    <w:p>
      <w:pPr>
        <w:numPr>
          <w:ilvl w:val="0"/>
          <w:numId w:val="1389"/>
        </w:numPr>
        <w:pStyle w:val="Compact"/>
      </w:pPr>
      <w:r>
        <w:t xml:space="preserve">2023 · Wharton S ·</w:t>
      </w:r>
      <w:r>
        <w:t xml:space="preserve"> </w:t>
      </w:r>
      <w:r>
        <w:rPr>
          <w:iCs/>
          <w:i/>
        </w:rPr>
        <w:t xml:space="preserve">N Engl J Med</w:t>
      </w:r>
      <w:r>
        <w:t xml:space="preserve"> </w:t>
      </w:r>
      <w:r>
        <w:t xml:space="preserve">· Daily Oral GLP-1 Receptor Agonist Orforglipron for Adults with Obesity. PMID 37351564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1a, blinded, placebo-controlled, randomized, single- and multiple-ascending-dose study in healthy participants. PMID 37344954</w:t>
      </w:r>
    </w:p>
    <w:p>
      <w:pPr>
        <w:numPr>
          <w:ilvl w:val="0"/>
          <w:numId w:val="1389"/>
        </w:numPr>
        <w:pStyle w:val="Compact"/>
      </w:pPr>
      <w:r>
        <w:t xml:space="preserve">2023 · Pratt E ·</w:t>
      </w:r>
      <w:r>
        <w:t xml:space="preserve"> </w:t>
      </w:r>
      <w:r>
        <w:rPr>
          <w:iCs/>
          <w:i/>
        </w:rPr>
        <w:t xml:space="preserve">Diabetes Obes Metab</w:t>
      </w:r>
      <w:r>
        <w:t xml:space="preserve"> </w:t>
      </w:r>
      <w:r>
        <w:t xml:space="preserve">· Orforglipron (LY3502970), a novel, oral non-peptide glucagon-like peptide-1 receptor agonist: A Phase 1b, multicentre, blinded, placebo-controlled, randomized, multiple-ascending-dose study in people with type 2 diabetes. PMID 37264711</w:t>
      </w:r>
    </w:p>
    <w:bookmarkEnd w:id="3026"/>
    <w:bookmarkStart w:id="3027" w:name="bpc-157-0"/>
    <w:p>
      <w:pPr>
        <w:pStyle w:val="Heading2"/>
      </w:pPr>
      <w:r>
        <w:t xml:space="preserve">BPC-157 (0)</w:t>
      </w:r>
    </w:p>
    <w:p>
      <w:pPr>
        <w:pStyle w:val="FirstParagraph"/>
      </w:pPr>
      <w:r>
        <w:t xml:space="preserve">No publications of clinical studies in humans found.</w:t>
      </w:r>
    </w:p>
    <w:bookmarkEnd w:id="3027"/>
    <w:bookmarkStart w:id="3028" w:name="tb-500-and-thymosin-beta-4-9"/>
    <w:p>
      <w:pPr>
        <w:pStyle w:val="Heading2"/>
      </w:pPr>
      <w:r>
        <w:t xml:space="preserve">TB-500 and Thymosin Beta-4 (9)</w:t>
      </w:r>
    </w:p>
    <w:p>
      <w:pPr>
        <w:numPr>
          <w:ilvl w:val="0"/>
          <w:numId w:val="1390"/>
        </w:numPr>
        <w:pStyle w:val="Compact"/>
      </w:pPr>
      <w:r>
        <w:t xml:space="preserve">2021 · Wang X ·</w:t>
      </w:r>
      <w:r>
        <w:t xml:space="preserve"> </w:t>
      </w:r>
      <w:r>
        <w:rPr>
          <w:iCs/>
          <w:i/>
        </w:rPr>
        <w:t xml:space="preserve">J Cell Mol Med</w:t>
      </w:r>
      <w:r>
        <w:t xml:space="preserve"> </w:t>
      </w:r>
      <w:r>
        <w:t xml:space="preserve">· A first-in-human, randomized, double-blind, single- and multiple-dose, phase I study of recombinant human thymosin β4 in healthy Chinese volunteers. PMID 34346165</w:t>
      </w:r>
    </w:p>
    <w:p>
      <w:pPr>
        <w:numPr>
          <w:ilvl w:val="0"/>
          <w:numId w:val="1390"/>
        </w:numPr>
        <w:pStyle w:val="Compact"/>
      </w:pPr>
      <w:r>
        <w:t xml:space="preserve">2020 · Pathak AK ·</w:t>
      </w:r>
      <w:r>
        <w:t xml:space="preserve"> </w:t>
      </w:r>
      <w:r>
        <w:rPr>
          <w:iCs/>
          <w:i/>
        </w:rPr>
        <w:t xml:space="preserve">Sci Rep</w:t>
      </w:r>
      <w:r>
        <w:t xml:space="preserve"> </w:t>
      </w:r>
      <w:r>
        <w:t xml:space="preserve">· Logistic regression analysis of environmental and other variables and incidences of tuberculosis in respiratory patients. PMID 33318598</w:t>
      </w:r>
    </w:p>
    <w:p>
      <w:pPr>
        <w:numPr>
          <w:ilvl w:val="0"/>
          <w:numId w:val="1390"/>
        </w:numPr>
        <w:pStyle w:val="Compact"/>
      </w:pPr>
      <w:r>
        <w:t xml:space="preserve">2016 · Zhu J ·</w:t>
      </w:r>
      <w:r>
        <w:t xml:space="preserve"> </w:t>
      </w:r>
      <w:r>
        <w:rPr>
          <w:iCs/>
          <w:i/>
        </w:rPr>
        <w:t xml:space="preserve">Cytotherapy</w:t>
      </w:r>
      <w:r>
        <w:t xml:space="preserve"> </w:t>
      </w:r>
      <w:r>
        <w:t xml:space="preserve">· Safety and efficacy of autologous thymosin β4 pre-treated endothelial progenitor cell transplantation in patients with acute ST segment elevation myocardial infarction: A pilot study. PMID 27288307</w:t>
      </w:r>
    </w:p>
    <w:p>
      <w:pPr>
        <w:numPr>
          <w:ilvl w:val="0"/>
          <w:numId w:val="1390"/>
        </w:numPr>
        <w:pStyle w:val="Compact"/>
      </w:pPr>
      <w:r>
        <w:t xml:space="preserve">2015 · Choudry FA ·</w:t>
      </w:r>
      <w:r>
        <w:t xml:space="preserve"> </w:t>
      </w:r>
      <w:r>
        <w:rPr>
          <w:iCs/>
          <w:i/>
        </w:rPr>
        <w:t xml:space="preserve">Regen Med</w:t>
      </w:r>
      <w:r>
        <w:t xml:space="preserve"> </w:t>
      </w:r>
      <w:r>
        <w:t xml:space="preserve">· Increases in plasma Tβ4 after intracardiac cell therapy in chronic ischemic heart failure is associated with symptomatic improvement. PMID 26022762</w:t>
      </w:r>
    </w:p>
    <w:p>
      <w:pPr>
        <w:numPr>
          <w:ilvl w:val="0"/>
          <w:numId w:val="1390"/>
        </w:numPr>
        <w:pStyle w:val="Compact"/>
      </w:pPr>
      <w:r>
        <w:t xml:space="preserve">2015 · Sosne G ·</w:t>
      </w:r>
      <w:r>
        <w:t xml:space="preserve"> </w:t>
      </w:r>
      <w:r>
        <w:rPr>
          <w:iCs/>
          <w:i/>
        </w:rPr>
        <w:t xml:space="preserve">Cornea</w:t>
      </w:r>
      <w:r>
        <w:t xml:space="preserve"> </w:t>
      </w:r>
      <w:r>
        <w:t xml:space="preserve">· Thymosin β4 significantly improves signs and symptoms of severe dry eye in a phase 2 randomized trial. PMID 25826322</w:t>
      </w:r>
    </w:p>
    <w:p>
      <w:pPr>
        <w:numPr>
          <w:ilvl w:val="0"/>
          <w:numId w:val="1390"/>
        </w:numPr>
        <w:pStyle w:val="Compact"/>
      </w:pPr>
      <w:r>
        <w:t xml:space="preserve">2014 · Suzuki Y ·</w:t>
      </w:r>
      <w:r>
        <w:t xml:space="preserve"> </w:t>
      </w:r>
      <w:r>
        <w:rPr>
          <w:iCs/>
          <w:i/>
        </w:rPr>
        <w:t xml:space="preserve">Biol Pharm Bull</w:t>
      </w:r>
      <w:r>
        <w:t xml:space="preserve"> </w:t>
      </w:r>
      <w:r>
        <w:t xml:space="preserve">· Significant decrease in plasma N-acetyl-seryl-aspartyl-lysyl-proline level in patients with end stage renal disease after kidney transplantation. PMID 24882420</w:t>
      </w:r>
    </w:p>
    <w:p>
      <w:pPr>
        <w:numPr>
          <w:ilvl w:val="0"/>
          <w:numId w:val="1390"/>
        </w:numPr>
        <w:pStyle w:val="Compact"/>
      </w:pPr>
      <w:r>
        <w:t xml:space="preserve">2010 · Ruff D ·</w:t>
      </w:r>
      <w:r>
        <w:t xml:space="preserve"> </w:t>
      </w:r>
      <w:r>
        <w:rPr>
          <w:iCs/>
          <w:i/>
        </w:rPr>
        <w:t xml:space="preserve">Ann N Y Acad Sci</w:t>
      </w:r>
      <w:r>
        <w:t xml:space="preserve"> </w:t>
      </w:r>
      <w:r>
        <w:t xml:space="preserve">· A randomized, placebo-controlled, single and multiple dose study of intravenous thymosin beta4 in healthy volunteers. PMID 20536472</w:t>
      </w:r>
    </w:p>
    <w:p>
      <w:pPr>
        <w:numPr>
          <w:ilvl w:val="0"/>
          <w:numId w:val="1390"/>
        </w:numPr>
        <w:pStyle w:val="Compact"/>
      </w:pPr>
      <w:r>
        <w:t xml:space="preserve">2010 · Guarnera G ·</w:t>
      </w:r>
      <w:r>
        <w:t xml:space="preserve"> </w:t>
      </w:r>
      <w:r>
        <w:rPr>
          <w:iCs/>
          <w:i/>
        </w:rPr>
        <w:t xml:space="preserve">Ann N Y Acad Sci</w:t>
      </w:r>
      <w:r>
        <w:t xml:space="preserve"> </w:t>
      </w:r>
      <w:r>
        <w:t xml:space="preserve">· The effect of thymosin treatment of venous ulcers. PMID 20536470</w:t>
      </w:r>
    </w:p>
    <w:p>
      <w:pPr>
        <w:numPr>
          <w:ilvl w:val="0"/>
          <w:numId w:val="1390"/>
        </w:numPr>
        <w:pStyle w:val="Compact"/>
      </w:pPr>
      <w:r>
        <w:t xml:space="preserve">2007 · Guarnera G ·</w:t>
      </w:r>
      <w:r>
        <w:t xml:space="preserve"> </w:t>
      </w:r>
      <w:r>
        <w:rPr>
          <w:iCs/>
          <w:i/>
        </w:rPr>
        <w:t xml:space="preserve">Ann N Y Acad Sci</w:t>
      </w:r>
      <w:r>
        <w:t xml:space="preserve"> </w:t>
      </w:r>
      <w:r>
        <w:t xml:space="preserve">· Thymosin beta-4 and venous ulcers: clinical remarks on a European prospective, randomized study on safety, tolerability, and enhancement on healing. PMID 17495250</w:t>
      </w:r>
    </w:p>
    <w:bookmarkEnd w:id="3028"/>
    <w:bookmarkStart w:id="3029" w:name="thymosin-alpha-1-thymalfasin-90"/>
    <w:p>
      <w:pPr>
        <w:pStyle w:val="Heading2"/>
      </w:pPr>
      <w:r>
        <w:t xml:space="preserve">Thymosin Alpha-1 (Thymalfasin) (90)</w:t>
      </w:r>
    </w:p>
    <w:p>
      <w:pPr>
        <w:numPr>
          <w:ilvl w:val="0"/>
          <w:numId w:val="1391"/>
        </w:numPr>
        <w:pStyle w:val="Compact"/>
      </w:pPr>
      <w:r>
        <w:t xml:space="preserve">2026 · Zhou Y ·</w:t>
      </w:r>
      <w:r>
        <w:t xml:space="preserve"> </w:t>
      </w:r>
      <w:r>
        <w:rPr>
          <w:iCs/>
          <w:i/>
        </w:rPr>
        <w:t xml:space="preserve">Radiat Oncol</w:t>
      </w:r>
      <w:r>
        <w:t xml:space="preserve"> </w:t>
      </w:r>
      <w:r>
        <w:t xml:space="preserve">· Preliminary results from a phase II trial of spatially fractionated radiotherapy combined with immunotherapy and anti-angiogenic therapy in patients with bulky solid tumors: early evidence of promising efficacy and favorable safety. PMID 42063096</w:t>
      </w:r>
    </w:p>
    <w:p>
      <w:pPr>
        <w:numPr>
          <w:ilvl w:val="0"/>
          <w:numId w:val="1391"/>
        </w:numPr>
        <w:pStyle w:val="Compact"/>
      </w:pPr>
      <w:r>
        <w:t xml:space="preserve">2026 · Li ZH ·</w:t>
      </w:r>
      <w:r>
        <w:t xml:space="preserve"> </w:t>
      </w:r>
      <w:r>
        <w:rPr>
          <w:iCs/>
          <w:i/>
        </w:rPr>
        <w:t xml:space="preserve">Immunopharmacol Immunotoxicol</w:t>
      </w:r>
      <w:r>
        <w:t xml:space="preserve"> </w:t>
      </w:r>
      <w:r>
        <w:t xml:space="preserve">· Thymosin α1 improves the outcomes of patients with hepatitis B virus-related acute-on-chronic liver failure by restoring immune balance. PMID 41887933</w:t>
      </w:r>
    </w:p>
    <w:p>
      <w:pPr>
        <w:numPr>
          <w:ilvl w:val="0"/>
          <w:numId w:val="1391"/>
        </w:numPr>
        <w:pStyle w:val="Compact"/>
      </w:pPr>
      <w:r>
        <w:t xml:space="preserve">2026 · Xu H ·</w:t>
      </w:r>
      <w:r>
        <w:t xml:space="preserve"> </w:t>
      </w:r>
      <w:r>
        <w:rPr>
          <w:iCs/>
          <w:i/>
        </w:rPr>
        <w:t xml:space="preserve">BMC Med</w:t>
      </w:r>
      <w:r>
        <w:t xml:space="preserve"> </w:t>
      </w:r>
      <w:r>
        <w:t xml:space="preserve">· Neoadjuvant immunochemotherapy plus thymalfasin in locally advanced gastric cancer: a prospective clinical trial. PMID 41749205</w:t>
      </w:r>
    </w:p>
    <w:p>
      <w:pPr>
        <w:numPr>
          <w:ilvl w:val="0"/>
          <w:numId w:val="1391"/>
        </w:numPr>
        <w:pStyle w:val="Compact"/>
      </w:pPr>
      <w:r>
        <w:t xml:space="preserve">2025 · Yu J ·</w:t>
      </w:r>
      <w:r>
        <w:t xml:space="preserve"> </w:t>
      </w:r>
      <w:r>
        <w:rPr>
          <w:iCs/>
          <w:i/>
        </w:rPr>
        <w:t xml:space="preserve">Cancer Immunol Immunother</w:t>
      </w:r>
      <w:r>
        <w:t xml:space="preserve"> </w:t>
      </w:r>
      <w:r>
        <w:t xml:space="preserve">· Hypofractionated radiotherapy combined with a PD-1 inhibitor, granulocyte macrophage-colony stimulating factor, and thymosin-α1 in advanced metastatic solid tumors: a multicenter Phase II clinical trial. PMID 39904914</w:t>
      </w:r>
    </w:p>
    <w:p>
      <w:pPr>
        <w:numPr>
          <w:ilvl w:val="0"/>
          <w:numId w:val="1391"/>
        </w:numPr>
        <w:pStyle w:val="Compact"/>
      </w:pPr>
      <w:r>
        <w:t xml:space="preserve">2025 · Wu J ·</w:t>
      </w:r>
      <w:r>
        <w:t xml:space="preserve"> </w:t>
      </w:r>
      <w:r>
        <w:rPr>
          <w:iCs/>
          <w:i/>
        </w:rPr>
        <w:t xml:space="preserve">BMJ</w:t>
      </w:r>
      <w:r>
        <w:t xml:space="preserve"> </w:t>
      </w:r>
      <w:r>
        <w:t xml:space="preserve">· The efficacy and safety of thymosin α1 for sepsis (TESTS): multicentre, double blinded, randomised, placebo controlled, phase 3 trial. PMID 39814420</w:t>
      </w:r>
    </w:p>
    <w:p>
      <w:pPr>
        <w:numPr>
          <w:ilvl w:val="0"/>
          <w:numId w:val="1391"/>
        </w:numPr>
        <w:pStyle w:val="Compact"/>
      </w:pPr>
      <w:r>
        <w:t xml:space="preserve">2024 · Huang X ·</w:t>
      </w:r>
      <w:r>
        <w:t xml:space="preserve"> </w:t>
      </w:r>
      <w:r>
        <w:rPr>
          <w:iCs/>
          <w:i/>
        </w:rPr>
        <w:t xml:space="preserve">Gut Liver</w:t>
      </w:r>
      <w:r>
        <w:t xml:space="preserve"> </w:t>
      </w:r>
      <w:r>
        <w:t xml:space="preserve">· Immune-Enhancing Treatment among Acute Necrotizing Pancreatitis Patients with Metabolic Abnormalities: A Post Hoc Analysis of a Randomized Clinical Trial. PMID 38356344</w:t>
      </w:r>
    </w:p>
    <w:p>
      <w:pPr>
        <w:numPr>
          <w:ilvl w:val="0"/>
          <w:numId w:val="1391"/>
        </w:numPr>
        <w:pStyle w:val="Compact"/>
      </w:pPr>
      <w:r>
        <w:t xml:space="preserve">2024 · Niu W ·</w:t>
      </w:r>
      <w:r>
        <w:t xml:space="preserve"> </w:t>
      </w:r>
      <w:r>
        <w:rPr>
          <w:iCs/>
          <w:i/>
        </w:rPr>
        <w:t xml:space="preserve">Biotechnol Genet Eng Rev</w:t>
      </w:r>
      <w:r>
        <w:t xml:space="preserve"> </w:t>
      </w:r>
      <w:r>
        <w:t xml:space="preserve">· A Prospective and Randomized Control Study on Effects of Thymalfasin for Injection on Perioperative Immune Function and Long-term Prognosis of Patients with Colorectal Cancer. PMID 37248723</w:t>
      </w:r>
    </w:p>
    <w:p>
      <w:pPr>
        <w:numPr>
          <w:ilvl w:val="0"/>
          <w:numId w:val="1391"/>
        </w:numPr>
        <w:pStyle w:val="Compact"/>
      </w:pPr>
      <w:r>
        <w:t xml:space="preserve">2023 · Tuthill CW ·</w:t>
      </w:r>
      <w:r>
        <w:t xml:space="preserve"> </w:t>
      </w:r>
      <w:r>
        <w:rPr>
          <w:iCs/>
          <w:i/>
        </w:rPr>
        <w:t xml:space="preserve">Int Immunopharmacol</w:t>
      </w:r>
      <w:r>
        <w:t xml:space="preserve"> </w:t>
      </w:r>
      <w:r>
        <w:t xml:space="preserve">· A pilot trial of Thymalfasin (Ta1) to prevent covid-19 infection and morbidities in renal dialysis patients: Preliminary report. PMID 36881981</w:t>
      </w:r>
    </w:p>
    <w:p>
      <w:pPr>
        <w:numPr>
          <w:ilvl w:val="0"/>
          <w:numId w:val="1391"/>
        </w:numPr>
        <w:pStyle w:val="Compact"/>
      </w:pPr>
      <w:r>
        <w:t xml:space="preserve">2022 · Bai L ·</w:t>
      </w:r>
      <w:r>
        <w:t xml:space="preserve"> </w:t>
      </w:r>
      <w:r>
        <w:rPr>
          <w:iCs/>
          <w:i/>
        </w:rPr>
        <w:t xml:space="preserve">Altern Ther Health Med</w:t>
      </w:r>
      <w:r>
        <w:t xml:space="preserve"> </w:t>
      </w:r>
      <w:r>
        <w:t xml:space="preserve">· Value of Thymosin α1 Combined With Blood Purification to Increase Successful Rescues of Shock Patients. PMID 35951068</w:t>
      </w:r>
    </w:p>
    <w:p>
      <w:pPr>
        <w:numPr>
          <w:ilvl w:val="0"/>
          <w:numId w:val="1391"/>
        </w:numPr>
        <w:pStyle w:val="Compact"/>
      </w:pPr>
      <w:r>
        <w:t xml:space="preserve">2022 · Liu F ·</w:t>
      </w:r>
      <w:r>
        <w:t xml:space="preserve"> </w:t>
      </w:r>
      <w:r>
        <w:rPr>
          <w:iCs/>
          <w:i/>
        </w:rPr>
        <w:t xml:space="preserve">Int J Radiat Oncol Biol Phys</w:t>
      </w:r>
      <w:r>
        <w:t xml:space="preserve"> </w:t>
      </w:r>
      <w:r>
        <w:t xml:space="preserve">· Efficacy of Thymosin α1 in Management of Radiation Pneumonitis in Patients With Locally Advanced Non-Small Cell Lung Cancer Treated With Concurrent Chemoradiotherapy: A Phase 2 Clinical Trial (GASTO-1043). PMID 35870709</w:t>
      </w:r>
    </w:p>
    <w:p>
      <w:pPr>
        <w:numPr>
          <w:ilvl w:val="0"/>
          <w:numId w:val="1391"/>
        </w:numPr>
        <w:pStyle w:val="Compact"/>
      </w:pPr>
      <w:r>
        <w:t xml:space="preserve">2022 · Ke L ·</w:t>
      </w:r>
      <w:r>
        <w:t xml:space="preserve"> </w:t>
      </w:r>
      <w:r>
        <w:rPr>
          <w:iCs/>
          <w:i/>
        </w:rPr>
        <w:t xml:space="preserve">Intensive Care Med</w:t>
      </w:r>
      <w:r>
        <w:t xml:space="preserve"> </w:t>
      </w:r>
      <w:r>
        <w:t xml:space="preserve">· Immune enhancement in patients with predicted severe acute necrotising pancreatitis: a multicentre double-blind randomised controlled trial. PMID 35713670</w:t>
      </w:r>
    </w:p>
    <w:p>
      <w:pPr>
        <w:numPr>
          <w:ilvl w:val="0"/>
          <w:numId w:val="1391"/>
        </w:numPr>
        <w:pStyle w:val="Compact"/>
      </w:pPr>
      <w:r>
        <w:t xml:space="preserve">2022 · Chen JF ·</w:t>
      </w:r>
      <w:r>
        <w:t xml:space="preserve"> </w:t>
      </w:r>
      <w:r>
        <w:rPr>
          <w:iCs/>
          <w:i/>
        </w:rPr>
        <w:t xml:space="preserve">Hepatol Int</w:t>
      </w:r>
      <w:r>
        <w:t xml:space="preserve"> </w:t>
      </w:r>
      <w:r>
        <w:t xml:space="preserve">· Safety and efficacy of Thymosin α1 in the treatment of hepatitis B virus-related acute-on-chronic liver failure: a randomized controlled trial. PMID 35616850</w:t>
      </w:r>
    </w:p>
    <w:p>
      <w:pPr>
        <w:numPr>
          <w:ilvl w:val="0"/>
          <w:numId w:val="1391"/>
        </w:numPr>
        <w:pStyle w:val="Compact"/>
      </w:pPr>
      <w:r>
        <w:t xml:space="preserve">2022 · Chu C ·</w:t>
      </w:r>
      <w:r>
        <w:t xml:space="preserve"> </w:t>
      </w:r>
      <w:r>
        <w:rPr>
          <w:iCs/>
          <w:i/>
        </w:rPr>
        <w:t xml:space="preserve">Int J Radiat Oncol Biol Phys</w:t>
      </w:r>
      <w:r>
        <w:t xml:space="preserve"> </w:t>
      </w:r>
      <w:r>
        <w:t xml:space="preserve">· Hypofractionated Radiation Therapy Combined With Weekly Chemotherapy in Patients With Unresectable or Recurrent Thymic Epithelial Tumor: A Prospective, Single-Arm Phase 2 Study (GASTO-1042). PMID 35598797</w:t>
      </w:r>
    </w:p>
    <w:p>
      <w:pPr>
        <w:numPr>
          <w:ilvl w:val="0"/>
          <w:numId w:val="1391"/>
        </w:numPr>
        <w:pStyle w:val="Compact"/>
      </w:pPr>
      <w:r>
        <w:t xml:space="preserve">2021 · Meng Z ·</w:t>
      </w:r>
      <w:r>
        <w:t xml:space="preserve"> </w:t>
      </w:r>
      <w:r>
        <w:rPr>
          <w:iCs/>
          <w:i/>
        </w:rPr>
        <w:t xml:space="preserve">Curr Top Med Chem</w:t>
      </w:r>
      <w:r>
        <w:t xml:space="preserve"> </w:t>
      </w:r>
      <w:r>
        <w:t xml:space="preserve">· The Effect of Recombinant Human Interferon Alpha Nasal Drops to Prevent COVID-19 Pneumonia for Medical Staff in an Epidemic Area. PMID 33970846</w:t>
      </w:r>
    </w:p>
    <w:p>
      <w:pPr>
        <w:numPr>
          <w:ilvl w:val="0"/>
          <w:numId w:val="1391"/>
        </w:numPr>
        <w:pStyle w:val="Compact"/>
      </w:pPr>
      <w:r>
        <w:t xml:space="preserve">2019 · Ma Y ·</w:t>
      </w:r>
      <w:r>
        <w:t xml:space="preserve"> </w:t>
      </w:r>
      <w:r>
        <w:rPr>
          <w:iCs/>
          <w:i/>
        </w:rPr>
        <w:t xml:space="preserve">Cell Mol Biol (Noisy-le-grand)</w:t>
      </w:r>
      <w:r>
        <w:t xml:space="preserve"> </w:t>
      </w:r>
      <w:r>
        <w:t xml:space="preserve">· The effect of thymopentin add-on in hepatitis B e antigen positive chronic hepatitis B after virus suppression by peginterferon plus entecavir therapy. PMID 30860474</w:t>
      </w:r>
    </w:p>
    <w:p>
      <w:pPr>
        <w:numPr>
          <w:ilvl w:val="0"/>
          <w:numId w:val="1391"/>
        </w:numPr>
        <w:pStyle w:val="Compact"/>
      </w:pPr>
      <w:r>
        <w:t xml:space="preserve">2018 · Wu X ·</w:t>
      </w:r>
      <w:r>
        <w:t xml:space="preserve"> </w:t>
      </w:r>
      <w:r>
        <w:rPr>
          <w:iCs/>
          <w:i/>
        </w:rPr>
        <w:t xml:space="preserve">Expert Opin Biol Ther</w:t>
      </w:r>
      <w:r>
        <w:t xml:space="preserve"> </w:t>
      </w:r>
      <w:r>
        <w:t xml:space="preserve">· Combination of entecavir with thymosin alpha-1 in HBV-related compensated cirrhosis: a prospective multicenter randomized open-label study. PMID 30063860</w:t>
      </w:r>
    </w:p>
    <w:p>
      <w:pPr>
        <w:numPr>
          <w:ilvl w:val="0"/>
          <w:numId w:val="1391"/>
        </w:numPr>
        <w:pStyle w:val="Compact"/>
      </w:pPr>
      <w:r>
        <w:t xml:space="preserve">2017 · Fang SJ ·</w:t>
      </w:r>
      <w:r>
        <w:t xml:space="preserve"> </w:t>
      </w:r>
      <w:r>
        <w:rPr>
          <w:iCs/>
          <w:i/>
        </w:rPr>
        <w:t xml:space="preserve">Zhonghua Yi Xue Za Zhi</w:t>
      </w:r>
      <w:r>
        <w:t xml:space="preserve"> </w:t>
      </w:r>
      <w:r>
        <w:t xml:space="preserve">· [Effect of transcatheter arterial chemoembolization combined with thymosin alpha 1 on the autophagy of immune cells from advanced hepatocellular carcinoma]. PMID 28693071</w:t>
      </w:r>
    </w:p>
    <w:p>
      <w:pPr>
        <w:numPr>
          <w:ilvl w:val="0"/>
          <w:numId w:val="1391"/>
        </w:numPr>
        <w:pStyle w:val="Compact"/>
      </w:pPr>
      <w:r>
        <w:t xml:space="preserve">2016 · Al-Mahtab M ·</w:t>
      </w:r>
      <w:r>
        <w:t xml:space="preserve"> </w:t>
      </w:r>
      <w:r>
        <w:rPr>
          <w:iCs/>
          <w:i/>
        </w:rPr>
        <w:t xml:space="preserve">PLoS One</w:t>
      </w:r>
      <w:r>
        <w:t xml:space="preserve"> </w:t>
      </w:r>
      <w:r>
        <w:t xml:space="preserve">· Safety and Efficacy of Nucleic Acid Polymers in Monotherapy and Combined with Immunotherapy in Treatment-Naive Bangladeshi Patients with HBeAg+ Chronic Hepatitis B Infection. PMID 27257978</w:t>
      </w:r>
    </w:p>
    <w:p>
      <w:pPr>
        <w:numPr>
          <w:ilvl w:val="0"/>
          <w:numId w:val="1391"/>
        </w:numPr>
        <w:pStyle w:val="Compact"/>
      </w:pPr>
      <w:r>
        <w:t xml:space="preserve">2015 · Zhang SS ·</w:t>
      </w:r>
      <w:r>
        <w:t xml:space="preserve"> </w:t>
      </w:r>
      <w:r>
        <w:rPr>
          <w:iCs/>
          <w:i/>
        </w:rPr>
        <w:t xml:space="preserve">Sichuan Da Xue Xue Bao Yi Xue Ban</w:t>
      </w:r>
      <w:r>
        <w:t xml:space="preserve"> </w:t>
      </w:r>
      <w:r>
        <w:t xml:space="preserve">· [Prevention Effect of Thymosin-alpha1 Aganist Early Ventilator-associated Pneumonia in Patients with Mechanical Ventilation]. PMID 26867337</w:t>
      </w:r>
    </w:p>
    <w:p>
      <w:pPr>
        <w:numPr>
          <w:ilvl w:val="0"/>
          <w:numId w:val="1391"/>
        </w:numPr>
        <w:pStyle w:val="Compact"/>
      </w:pPr>
      <w:r>
        <w:t xml:space="preserve">2015 · Xiao QS ·</w:t>
      </w:r>
      <w:r>
        <w:t xml:space="preserve"> </w:t>
      </w:r>
      <w:r>
        <w:rPr>
          <w:iCs/>
          <w:i/>
        </w:rPr>
        <w:t xml:space="preserve">Zhongguo Zhong Xi Yi Jie He Za Zhi</w:t>
      </w:r>
      <w:r>
        <w:t xml:space="preserve"> </w:t>
      </w:r>
      <w:r>
        <w:t xml:space="preserve">· [Effect of Acupuncture on Prognosis and Immune Function of Sepsis Patients]. PMID 26380438</w:t>
      </w:r>
    </w:p>
    <w:p>
      <w:pPr>
        <w:numPr>
          <w:ilvl w:val="0"/>
          <w:numId w:val="1391"/>
        </w:numPr>
        <w:pStyle w:val="Compact"/>
      </w:pPr>
      <w:r>
        <w:t xml:space="preserve">2015 · Jia Z ·</w:t>
      </w:r>
      <w:r>
        <w:t xml:space="preserve"> </w:t>
      </w:r>
      <w:r>
        <w:rPr>
          <w:iCs/>
          <w:i/>
        </w:rPr>
        <w:t xml:space="preserve">Immunopharmacol Immunotoxicol</w:t>
      </w:r>
      <w:r>
        <w:t xml:space="preserve"> </w:t>
      </w:r>
      <w:r>
        <w:t xml:space="preserve">· Thymosin α1 plus routine treatment inhibit inflammatory reaction and improve the quality of life in AECOPD patients. PMID 26250523</w:t>
      </w:r>
    </w:p>
    <w:p>
      <w:pPr>
        <w:numPr>
          <w:ilvl w:val="0"/>
          <w:numId w:val="1391"/>
        </w:numPr>
        <w:pStyle w:val="Compact"/>
      </w:pPr>
      <w:r>
        <w:t xml:space="preserve">2015 · Qiu SJ ·</w:t>
      </w:r>
      <w:r>
        <w:t xml:space="preserve"> </w:t>
      </w:r>
      <w:r>
        <w:rPr>
          <w:iCs/>
          <w:i/>
        </w:rPr>
        <w:t xml:space="preserve">Expert Opin Biol Ther</w:t>
      </w:r>
      <w:r>
        <w:t xml:space="preserve"> </w:t>
      </w:r>
      <w:r>
        <w:t xml:space="preserve">· A multicenter, randomized, observation-controlled clinical trial to evaluate the efficacy and safety of thymalfasin adjuvant therapy in patients with HBV-related HCC after curative resection - first announcement of the protocol. PMID 26094695</w:t>
      </w:r>
    </w:p>
    <w:p>
      <w:pPr>
        <w:numPr>
          <w:ilvl w:val="0"/>
          <w:numId w:val="1391"/>
        </w:numPr>
        <w:pStyle w:val="Compact"/>
      </w:pPr>
      <w:r>
        <w:t xml:space="preserve">2013 · Wu J ·</w:t>
      </w:r>
      <w:r>
        <w:t xml:space="preserve"> </w:t>
      </w:r>
      <w:r>
        <w:rPr>
          <w:iCs/>
          <w:i/>
        </w:rPr>
        <w:t xml:space="preserve">Crit Care</w:t>
      </w:r>
      <w:r>
        <w:t xml:space="preserve"> </w:t>
      </w:r>
      <w:r>
        <w:t xml:space="preserve">· The efficacy of thymosin alpha 1 for severe sepsis (ETASS): a multicenter, single-blind, randomized and controlled trial. PMID 23327199</w:t>
      </w:r>
    </w:p>
    <w:p>
      <w:pPr>
        <w:numPr>
          <w:ilvl w:val="0"/>
          <w:numId w:val="1391"/>
        </w:numPr>
        <w:pStyle w:val="Compact"/>
      </w:pPr>
      <w:r>
        <w:t xml:space="preserve">2012 · Kim BH ·</w:t>
      </w:r>
      <w:r>
        <w:t xml:space="preserve"> </w:t>
      </w:r>
      <w:r>
        <w:rPr>
          <w:iCs/>
          <w:i/>
        </w:rPr>
        <w:t xml:space="preserve">Scand J Gastroenterol</w:t>
      </w:r>
      <w:r>
        <w:t xml:space="preserve"> </w:t>
      </w:r>
      <w:r>
        <w:t xml:space="preserve">· Efficacy of thymosin α-1 plus peginterferon α-2a combination therapy compared with peginterferon α-2a monotherapy in HBeAg-positive chronic hepatitis B: a prospective, multicenter, randomized, open-label study. PMID 22726105</w:t>
      </w:r>
    </w:p>
    <w:p>
      <w:pPr>
        <w:numPr>
          <w:ilvl w:val="0"/>
          <w:numId w:val="1391"/>
        </w:numPr>
        <w:pStyle w:val="Compact"/>
      </w:pPr>
      <w:r>
        <w:t xml:space="preserve">2012 · Ciancio A ·</w:t>
      </w:r>
      <w:r>
        <w:t xml:space="preserve"> </w:t>
      </w:r>
      <w:r>
        <w:rPr>
          <w:iCs/>
          <w:i/>
        </w:rPr>
        <w:t xml:space="preserve">J Viral Hepat</w:t>
      </w:r>
      <w:r>
        <w:t xml:space="preserve"> </w:t>
      </w:r>
      <w:r>
        <w:t xml:space="preserve">· Thymosin alpha-1 with peginterferon alfa-2a/ribavirin for chronic hepatitis C not responsive to IFN/ribavirin: an adjuvant role?. PMID 22233415</w:t>
      </w:r>
    </w:p>
    <w:p>
      <w:pPr>
        <w:numPr>
          <w:ilvl w:val="0"/>
          <w:numId w:val="1391"/>
        </w:numPr>
        <w:pStyle w:val="Compact"/>
      </w:pPr>
      <w:r>
        <w:t xml:space="preserve">2011 · Wang X ·</w:t>
      </w:r>
      <w:r>
        <w:t xml:space="preserve"> </w:t>
      </w:r>
      <w:r>
        <w:rPr>
          <w:iCs/>
          <w:i/>
        </w:rPr>
        <w:t xml:space="preserve">Inflammation</w:t>
      </w:r>
      <w:r>
        <w:t xml:space="preserve"> </w:t>
      </w:r>
      <w:r>
        <w:t xml:space="preserve">· Thymosin alpha 1 is associated with improved cellular immunity and reduced infection rate in severe acute pancreatitis patients in a double-blind randomized control study. PMID 20549321</w:t>
      </w:r>
    </w:p>
    <w:p>
      <w:pPr>
        <w:numPr>
          <w:ilvl w:val="0"/>
          <w:numId w:val="1391"/>
        </w:numPr>
        <w:pStyle w:val="Compact"/>
      </w:pPr>
      <w:r>
        <w:t xml:space="preserve">2010 · Jiang YF ·</w:t>
      </w:r>
      <w:r>
        <w:t xml:space="preserve"> </w:t>
      </w:r>
      <w:r>
        <w:rPr>
          <w:iCs/>
          <w:i/>
        </w:rPr>
        <w:t xml:space="preserve">J Int Med Res</w:t>
      </w:r>
      <w:r>
        <w:t xml:space="preserve"> </w:t>
      </w:r>
      <w:r>
        <w:t xml:space="preserve">· Effect of thymosin-α(1) on T-helper 1 cell and T-helper 2 cell cytokine synthesis in patients with hepatitis B virus e antigen-positive chronic hepatitis B. PMID 21227010</w:t>
      </w:r>
    </w:p>
    <w:p>
      <w:pPr>
        <w:numPr>
          <w:ilvl w:val="0"/>
          <w:numId w:val="1391"/>
        </w:numPr>
        <w:pStyle w:val="Compact"/>
      </w:pPr>
      <w:r>
        <w:t xml:space="preserve">2010 · Maio M ·</w:t>
      </w:r>
      <w:r>
        <w:t xml:space="preserve"> </w:t>
      </w:r>
      <w:r>
        <w:rPr>
          <w:iCs/>
          <w:i/>
        </w:rPr>
        <w:t xml:space="preserve">J Clin Oncol</w:t>
      </w:r>
      <w:r>
        <w:t xml:space="preserve"> </w:t>
      </w:r>
      <w:r>
        <w:t xml:space="preserve">· Large randomized study of thymosin alpha 1, interferon alfa, or both in combination with dacarbazine in patients with metastatic melanoma. PMID 20194853</w:t>
      </w:r>
    </w:p>
    <w:p>
      <w:pPr>
        <w:numPr>
          <w:ilvl w:val="0"/>
          <w:numId w:val="1391"/>
        </w:numPr>
        <w:pStyle w:val="Compact"/>
      </w:pPr>
      <w:r>
        <w:t xml:space="preserve">2009 · Zhou LX ·</w:t>
      </w:r>
      <w:r>
        <w:t xml:space="preserve"> </w:t>
      </w:r>
      <w:r>
        <w:rPr>
          <w:iCs/>
          <w:i/>
        </w:rPr>
        <w:t xml:space="preserve">Zhonghua Yi Xue Za Zhi</w:t>
      </w:r>
      <w:r>
        <w:t xml:space="preserve"> </w:t>
      </w:r>
      <w:r>
        <w:t xml:space="preserve">· [Immune and inflammation confusion in severe sepsis and effects of bi-immunomodulation therapy: a prospective, randomized, controlled clinical trial]. PMID 19595251</w:t>
      </w:r>
    </w:p>
    <w:p>
      <w:pPr>
        <w:numPr>
          <w:ilvl w:val="0"/>
          <w:numId w:val="1391"/>
        </w:numPr>
        <w:pStyle w:val="Compact"/>
      </w:pPr>
      <w:r>
        <w:t xml:space="preserve">2009 · Chen H ·</w:t>
      </w:r>
      <w:r>
        <w:t xml:space="preserve"> </w:t>
      </w:r>
      <w:r>
        <w:rPr>
          <w:iCs/>
          <w:i/>
        </w:rPr>
        <w:t xml:space="preserve">Chin Med J (Engl)</w:t>
      </w:r>
      <w:r>
        <w:t xml:space="preserve"> </w:t>
      </w:r>
      <w:r>
        <w:t xml:space="preserve">· Treatment of patients with severe sepsis using ulinastatin and thymosin alpha1: a prospective, randomized, controlled pilot study. PMID 19493408</w:t>
      </w:r>
    </w:p>
    <w:p>
      <w:pPr>
        <w:numPr>
          <w:ilvl w:val="0"/>
          <w:numId w:val="1391"/>
        </w:numPr>
        <w:pStyle w:val="Compact"/>
      </w:pPr>
      <w:r>
        <w:t xml:space="preserve">2009 · Su L ·</w:t>
      </w:r>
      <w:r>
        <w:t xml:space="preserve"> </w:t>
      </w:r>
      <w:r>
        <w:rPr>
          <w:iCs/>
          <w:i/>
        </w:rPr>
        <w:t xml:space="preserve">Zhongguo Wei Zhong Bing Ji Jiu Yi Xue</w:t>
      </w:r>
      <w:r>
        <w:t xml:space="preserve"> </w:t>
      </w:r>
      <w:r>
        <w:t xml:space="preserve">· [Clinical effects of ulinastatin and thymosin alpha1 on immune-modulation in septic patients]. PMID 19278583</w:t>
      </w:r>
    </w:p>
    <w:p>
      <w:pPr>
        <w:numPr>
          <w:ilvl w:val="0"/>
          <w:numId w:val="1391"/>
        </w:numPr>
        <w:pStyle w:val="Compact"/>
      </w:pPr>
      <w:r>
        <w:t xml:space="preserve">2009 · Li YN ·</w:t>
      </w:r>
      <w:r>
        <w:t xml:space="preserve"> </w:t>
      </w:r>
      <w:r>
        <w:rPr>
          <w:iCs/>
          <w:i/>
        </w:rPr>
        <w:t xml:space="preserve">Zhongguo Wei Zhong Bing Ji Jiu Yi Xue</w:t>
      </w:r>
      <w:r>
        <w:t xml:space="preserve"> </w:t>
      </w:r>
      <w:r>
        <w:t xml:space="preserve">· [Effect of continuous blood purification and thymosin alpha1 on the cellular immunity in patients with severe sepsis: a prospective, randomized, controlled clinical trial]. PMID 19278581</w:t>
      </w:r>
    </w:p>
    <w:p>
      <w:pPr>
        <w:numPr>
          <w:ilvl w:val="0"/>
          <w:numId w:val="1391"/>
        </w:numPr>
        <w:pStyle w:val="Compact"/>
      </w:pPr>
      <w:r>
        <w:t xml:space="preserve">2009 · Li Yumin ·</w:t>
      </w:r>
      <w:r>
        <w:t xml:space="preserve"> </w:t>
      </w:r>
      <w:r>
        <w:rPr>
          <w:iCs/>
          <w:i/>
        </w:rPr>
        <w:t xml:space="preserve">J Intensive Care Med</w:t>
      </w:r>
      <w:r>
        <w:t xml:space="preserve"> </w:t>
      </w:r>
      <w:r>
        <w:t xml:space="preserve">· A new immunomodulatory therapy for severe sepsis: Ulinastatin Plus Thymosin {alpha} 1. PMID 19033321</w:t>
      </w:r>
    </w:p>
    <w:p>
      <w:pPr>
        <w:numPr>
          <w:ilvl w:val="0"/>
          <w:numId w:val="1391"/>
        </w:numPr>
        <w:pStyle w:val="Compact"/>
      </w:pPr>
      <w:r>
        <w:t xml:space="preserve">2008 · Poo JL ·</w:t>
      </w:r>
      <w:r>
        <w:t xml:space="preserve"> </w:t>
      </w:r>
      <w:r>
        <w:rPr>
          <w:iCs/>
          <w:i/>
        </w:rPr>
        <w:t xml:space="preserve">Ann Hepatol</w:t>
      </w:r>
      <w:r>
        <w:t xml:space="preserve"> </w:t>
      </w:r>
      <w:r>
        <w:t xml:space="preserve">· Efficacy of triple therapy with thymalfasin, peginterferon alpha-2a, and ribavirin for the treatment of hispanic chronic HCV nonresponders. PMID 19034238</w:t>
      </w:r>
    </w:p>
    <w:p>
      <w:pPr>
        <w:numPr>
          <w:ilvl w:val="0"/>
          <w:numId w:val="1391"/>
        </w:numPr>
        <w:pStyle w:val="Compact"/>
      </w:pPr>
      <w:r>
        <w:t xml:space="preserve">2008 · Zheng BX ·</w:t>
      </w:r>
      <w:r>
        <w:t xml:space="preserve"> </w:t>
      </w:r>
      <w:r>
        <w:rPr>
          <w:iCs/>
          <w:i/>
        </w:rPr>
        <w:t xml:space="preserve">Sichuan Da Xue Xue Bao Yi Xue Ban</w:t>
      </w:r>
      <w:r>
        <w:t xml:space="preserve"> </w:t>
      </w:r>
      <w:r>
        <w:t xml:space="preserve">· [The prophylactic effect of thymosin alpha 1 on the acute exacerbation of chronic obstructive pulmonary disease]. PMID 18798500</w:t>
      </w:r>
    </w:p>
    <w:p>
      <w:pPr>
        <w:numPr>
          <w:ilvl w:val="0"/>
          <w:numId w:val="1391"/>
        </w:numPr>
        <w:pStyle w:val="Compact"/>
      </w:pPr>
      <w:r>
        <w:t xml:space="preserve">2008 · Zhang Y ·</w:t>
      </w:r>
      <w:r>
        <w:t xml:space="preserve"> </w:t>
      </w:r>
      <w:r>
        <w:rPr>
          <w:iCs/>
          <w:i/>
        </w:rPr>
        <w:t xml:space="preserve">J Infect Dis</w:t>
      </w:r>
      <w:r>
        <w:t xml:space="preserve"> </w:t>
      </w:r>
      <w:r>
        <w:t xml:space="preserve">· Thymosin alpha1- and ulinastatin-based immunomodulatory strategy for sepsis arising from intra-abdominal infection due to carbapenem-resistant bacteria. PMID 18613793</w:t>
      </w:r>
    </w:p>
    <w:p>
      <w:pPr>
        <w:numPr>
          <w:ilvl w:val="0"/>
          <w:numId w:val="1391"/>
        </w:numPr>
        <w:pStyle w:val="Compact"/>
      </w:pPr>
      <w:r>
        <w:t xml:space="preserve">2008 · Loo WT ·</w:t>
      </w:r>
      <w:r>
        <w:t xml:space="preserve"> </w:t>
      </w:r>
      <w:r>
        <w:rPr>
          <w:iCs/>
          <w:i/>
        </w:rPr>
        <w:t xml:space="preserve">Am J Emerg Med</w:t>
      </w:r>
      <w:r>
        <w:t xml:space="preserve"> </w:t>
      </w:r>
      <w:r>
        <w:t xml:space="preserve">· Thymosin alpha 1 provides short-term and long-term benefits in the reimplantation of avulsed teeth: a double-blind randomized control pilot study. PMID 18534287</w:t>
      </w:r>
    </w:p>
    <w:p>
      <w:pPr>
        <w:numPr>
          <w:ilvl w:val="0"/>
          <w:numId w:val="1391"/>
        </w:numPr>
        <w:pStyle w:val="Compact"/>
      </w:pPr>
      <w:r>
        <w:t xml:space="preserve">2008 · Lee HW ·</w:t>
      </w:r>
      <w:r>
        <w:t xml:space="preserve"> </w:t>
      </w:r>
      <w:r>
        <w:rPr>
          <w:iCs/>
          <w:i/>
        </w:rPr>
        <w:t xml:space="preserve">J Gastroenterol Hepatol</w:t>
      </w:r>
      <w:r>
        <w:t xml:space="preserve"> </w:t>
      </w:r>
      <w:r>
        <w:t xml:space="preserve">· Combination therapy of thymosin alpha-1 and lamivudine for HBeAg positive chronic hepatitis B: A prospective randomized, comparative pilot study. PMID 18410608</w:t>
      </w:r>
    </w:p>
    <w:p>
      <w:pPr>
        <w:numPr>
          <w:ilvl w:val="0"/>
          <w:numId w:val="1391"/>
        </w:numPr>
        <w:pStyle w:val="Compact"/>
      </w:pPr>
      <w:r>
        <w:t xml:space="preserve">2007 · Wang L ·</w:t>
      </w:r>
      <w:r>
        <w:t xml:space="preserve"> </w:t>
      </w:r>
      <w:r>
        <w:rPr>
          <w:iCs/>
          <w:i/>
        </w:rPr>
        <w:t xml:space="preserve">Zhonghua Nei Ke Za Zhi</w:t>
      </w:r>
      <w:r>
        <w:t xml:space="preserve"> </w:t>
      </w:r>
      <w:r>
        <w:t xml:space="preserve">· [Combination therapy of thymosin alpha1 and high dose dexamethasone in patients with chronic idiopathic thrombocytopenic purpura]. PMID 17637261</w:t>
      </w:r>
    </w:p>
    <w:p>
      <w:pPr>
        <w:numPr>
          <w:ilvl w:val="0"/>
          <w:numId w:val="1391"/>
        </w:numPr>
        <w:pStyle w:val="Compact"/>
      </w:pPr>
      <w:r>
        <w:t xml:space="preserve">2007 · Ershler WB ·</w:t>
      </w:r>
      <w:r>
        <w:t xml:space="preserve"> </w:t>
      </w:r>
      <w:r>
        <w:rPr>
          <w:iCs/>
          <w:i/>
        </w:rPr>
        <w:t xml:space="preserve">Ann N Y Acad Sci</w:t>
      </w:r>
      <w:r>
        <w:t xml:space="preserve"> </w:t>
      </w:r>
      <w:r>
        <w:t xml:space="preserve">· Thymosin alpha 1 as an adjunct to influenza vaccination in the elderly: rationale and trial summaries. PMID 17600281</w:t>
      </w:r>
    </w:p>
    <w:p>
      <w:pPr>
        <w:numPr>
          <w:ilvl w:val="0"/>
          <w:numId w:val="1391"/>
        </w:numPr>
        <w:pStyle w:val="Compact"/>
      </w:pPr>
      <w:r>
        <w:t xml:space="preserve">2007 · Cooperative Group of immunomodulatory Therapy of Sepsis ·</w:t>
      </w:r>
      <w:r>
        <w:t xml:space="preserve"> </w:t>
      </w:r>
      <w:r>
        <w:rPr>
          <w:iCs/>
          <w:i/>
        </w:rPr>
        <w:t xml:space="preserve">Zhonghua Yi Xue Za Zhi</w:t>
      </w:r>
      <w:r>
        <w:t xml:space="preserve"> </w:t>
      </w:r>
      <w:r>
        <w:t xml:space="preserve">· [Clinical trial with a new immunomodulatory strategy: treatment of severe sepsis with Ulinastatin and Maipuxin]. PMID 17459221</w:t>
      </w:r>
    </w:p>
    <w:p>
      <w:pPr>
        <w:numPr>
          <w:ilvl w:val="0"/>
          <w:numId w:val="1391"/>
        </w:numPr>
        <w:pStyle w:val="Compact"/>
      </w:pPr>
      <w:r>
        <w:t xml:space="preserve">2007 · Ma LN ·</w:t>
      </w:r>
      <w:r>
        <w:t xml:space="preserve"> </w:t>
      </w:r>
      <w:r>
        <w:rPr>
          <w:iCs/>
          <w:i/>
        </w:rPr>
        <w:t xml:space="preserve">Zhonghua Gan Zang Bing Za Zhi</w:t>
      </w:r>
      <w:r>
        <w:t xml:space="preserve"> </w:t>
      </w:r>
      <w:r>
        <w:t xml:space="preserve">· [A clinical study of thymosin alpha1 as an auxiliary in treating spontaneous peritonitis in patients with liver cirrhosis]. PMID 17407720</w:t>
      </w:r>
    </w:p>
    <w:p>
      <w:pPr>
        <w:numPr>
          <w:ilvl w:val="0"/>
          <w:numId w:val="1391"/>
        </w:numPr>
        <w:pStyle w:val="Compact"/>
      </w:pPr>
      <w:r>
        <w:t xml:space="preserve">2007 · Chen J ·</w:t>
      </w:r>
      <w:r>
        <w:t xml:space="preserve"> </w:t>
      </w:r>
      <w:r>
        <w:rPr>
          <w:iCs/>
          <w:i/>
        </w:rPr>
        <w:t xml:space="preserve">Zhongguo Wei Zhong Bing Ji Jiu Yi Xue</w:t>
      </w:r>
      <w:r>
        <w:t xml:space="preserve"> </w:t>
      </w:r>
      <w:r>
        <w:t xml:space="preserve">· [Effects of thymosin-alpha1 on cell immunity function in patients with septic shock]. PMID 17376268</w:t>
      </w:r>
    </w:p>
    <w:p>
      <w:pPr>
        <w:numPr>
          <w:ilvl w:val="0"/>
          <w:numId w:val="1391"/>
        </w:numPr>
        <w:pStyle w:val="Compact"/>
      </w:pPr>
      <w:r>
        <w:t xml:space="preserve">2006 · Chien RN ·</w:t>
      </w:r>
      <w:r>
        <w:t xml:space="preserve"> </w:t>
      </w:r>
      <w:r>
        <w:rPr>
          <w:iCs/>
          <w:i/>
        </w:rPr>
        <w:t xml:space="preserve">J Viral Hepat</w:t>
      </w:r>
      <w:r>
        <w:t xml:space="preserve"> </w:t>
      </w:r>
      <w:r>
        <w:t xml:space="preserve">· Hepatitis B virus genotype B is associated with better response to thymosin alpha1 therapy than genotype C. PMID 17109685</w:t>
      </w:r>
    </w:p>
    <w:p>
      <w:pPr>
        <w:numPr>
          <w:ilvl w:val="0"/>
          <w:numId w:val="1391"/>
        </w:numPr>
        <w:pStyle w:val="Compact"/>
      </w:pPr>
      <w:r>
        <w:t xml:space="preserve">2006 · Huang SW ·</w:t>
      </w:r>
      <w:r>
        <w:t xml:space="preserve"> </w:t>
      </w:r>
      <w:r>
        <w:rPr>
          <w:iCs/>
          <w:i/>
        </w:rPr>
        <w:t xml:space="preserve">Zhongguo Wei Zhong Bing Ji Jiu Yi Xue</w:t>
      </w:r>
      <w:r>
        <w:t xml:space="preserve"> </w:t>
      </w:r>
      <w:r>
        <w:t xml:space="preserve">· [Clinical study and long-term evaluation of immunomodulation therapy on trauma, severe sepsis and multiple organ dysfunction syndrome patients]. PMID 17092412</w:t>
      </w:r>
    </w:p>
    <w:p>
      <w:pPr>
        <w:numPr>
          <w:ilvl w:val="0"/>
          <w:numId w:val="1391"/>
        </w:numPr>
        <w:pStyle w:val="Compact"/>
      </w:pPr>
      <w:r>
        <w:t xml:space="preserve">2006 · You J ·</w:t>
      </w:r>
      <w:r>
        <w:t xml:space="preserve"> </w:t>
      </w:r>
      <w:r>
        <w:rPr>
          <w:iCs/>
          <w:i/>
        </w:rPr>
        <w:t xml:space="preserve">World J Gastroenterol</w:t>
      </w:r>
      <w:r>
        <w:t xml:space="preserve"> </w:t>
      </w:r>
      <w:r>
        <w:t xml:space="preserve">· Efficacy of thymosin alpha-1 and interferon alpha in treatment of chronic viral hepatitis B: a randomized controlled study. PMID 17075991</w:t>
      </w:r>
    </w:p>
    <w:p>
      <w:pPr>
        <w:numPr>
          <w:ilvl w:val="0"/>
          <w:numId w:val="1391"/>
        </w:numPr>
        <w:pStyle w:val="Compact"/>
      </w:pPr>
      <w:r>
        <w:t xml:space="preserve">2006 · Lim SG ·</w:t>
      </w:r>
      <w:r>
        <w:t xml:space="preserve"> </w:t>
      </w:r>
      <w:r>
        <w:rPr>
          <w:iCs/>
          <w:i/>
        </w:rPr>
        <w:t xml:space="preserve">Antivir Ther</w:t>
      </w:r>
      <w:r>
        <w:t xml:space="preserve"> </w:t>
      </w:r>
      <w:r>
        <w:t xml:space="preserve">· A randomized, placebo-controlled trial of thymosin-alpha1 and lymphoblastoid interferon for HBeAg-positive chronic hepatitis B. PMID 16640105</w:t>
      </w:r>
    </w:p>
    <w:p>
      <w:pPr>
        <w:numPr>
          <w:ilvl w:val="0"/>
          <w:numId w:val="1391"/>
        </w:numPr>
        <w:pStyle w:val="Compact"/>
      </w:pPr>
      <w:r>
        <w:t xml:space="preserve">2006 · Shuqun C ·</w:t>
      </w:r>
      <w:r>
        <w:t xml:space="preserve"> </w:t>
      </w:r>
      <w:r>
        <w:rPr>
          <w:iCs/>
          <w:i/>
        </w:rPr>
        <w:t xml:space="preserve">Hepatogastroenterology</w:t>
      </w:r>
      <w:r>
        <w:t xml:space="preserve"> </w:t>
      </w:r>
      <w:r>
        <w:t xml:space="preserve">· Antiviral therapy using lamivudine and thymosin alpha1 for hepatocellular carcinoma coexisting with chronic hepatitis B infection. PMID 16608033</w:t>
      </w:r>
    </w:p>
    <w:p>
      <w:pPr>
        <w:numPr>
          <w:ilvl w:val="0"/>
          <w:numId w:val="1391"/>
        </w:numPr>
        <w:pStyle w:val="Compact"/>
      </w:pPr>
      <w:r>
        <w:t xml:space="preserve">2006 · Huang DP ·</w:t>
      </w:r>
      <w:r>
        <w:t xml:space="preserve"> </w:t>
      </w:r>
      <w:r>
        <w:rPr>
          <w:iCs/>
          <w:i/>
        </w:rPr>
        <w:t xml:space="preserve">Nan Fang Yi Ke Da Xue Xue Bao</w:t>
      </w:r>
      <w:r>
        <w:t xml:space="preserve"> </w:t>
      </w:r>
      <w:r>
        <w:t xml:space="preserve">· [Prevention and management of lung infections with thymosin alpha1 in critical patients with tracheotomy]. PMID 16495194</w:t>
      </w:r>
    </w:p>
    <w:p>
      <w:pPr>
        <w:numPr>
          <w:ilvl w:val="0"/>
          <w:numId w:val="1391"/>
        </w:numPr>
        <w:pStyle w:val="Compact"/>
      </w:pPr>
      <w:r>
        <w:t xml:space="preserve">2005 · Cui SN ·</w:t>
      </w:r>
      <w:r>
        <w:t xml:space="preserve"> </w:t>
      </w:r>
      <w:r>
        <w:rPr>
          <w:iCs/>
          <w:i/>
        </w:rPr>
        <w:t xml:space="preserve">Zhonghua Shi Yan He Lin Chuang Bing Du Xue Za Zhi</w:t>
      </w:r>
      <w:r>
        <w:t xml:space="preserve"> </w:t>
      </w:r>
      <w:r>
        <w:t xml:space="preserve">· [Antiviral therapy of chronic hepatitis B patients resistant to lamivudine]. PMID 16416004</w:t>
      </w:r>
    </w:p>
    <w:p>
      <w:pPr>
        <w:numPr>
          <w:ilvl w:val="0"/>
          <w:numId w:val="1391"/>
        </w:numPr>
        <w:pStyle w:val="Compact"/>
      </w:pPr>
      <w:r>
        <w:t xml:space="preserve">2005 · Cheng SQ ·</w:t>
      </w:r>
      <w:r>
        <w:t xml:space="preserve"> </w:t>
      </w:r>
      <w:r>
        <w:rPr>
          <w:iCs/>
          <w:i/>
        </w:rPr>
        <w:t xml:space="preserve">Zhonghua Zhong Liu Za Zhi</w:t>
      </w:r>
      <w:r>
        <w:t xml:space="preserve"> </w:t>
      </w:r>
      <w:r>
        <w:t xml:space="preserve">· [Anti-viral therapy using lamivudine and thymosin is helpful to prevent recurrence in hepatocellular carcinoma with coexisting active hepatitis B]. PMID 15946554</w:t>
      </w:r>
    </w:p>
    <w:p>
      <w:pPr>
        <w:numPr>
          <w:ilvl w:val="0"/>
          <w:numId w:val="1391"/>
        </w:numPr>
        <w:pStyle w:val="Compact"/>
      </w:pPr>
      <w:r>
        <w:t xml:space="preserve">2005 · Iino S ·</w:t>
      </w:r>
      <w:r>
        <w:t xml:space="preserve"> </w:t>
      </w:r>
      <w:r>
        <w:rPr>
          <w:iCs/>
          <w:i/>
        </w:rPr>
        <w:t xml:space="preserve">J Viral Hepat</w:t>
      </w:r>
      <w:r>
        <w:t xml:space="preserve"> </w:t>
      </w:r>
      <w:r>
        <w:t xml:space="preserve">· The efficacy and safety of thymosin alpha-1 in Japanese patients with chronic hepatitis B; results from a randomized clinical trial. PMID 15850471</w:t>
      </w:r>
    </w:p>
    <w:p>
      <w:pPr>
        <w:numPr>
          <w:ilvl w:val="0"/>
          <w:numId w:val="1391"/>
        </w:numPr>
        <w:pStyle w:val="Compact"/>
      </w:pPr>
      <w:r>
        <w:t xml:space="preserve">2005 · You J ·</w:t>
      </w:r>
      <w:r>
        <w:t xml:space="preserve"> </w:t>
      </w:r>
      <w:r>
        <w:rPr>
          <w:iCs/>
          <w:i/>
        </w:rPr>
        <w:t xml:space="preserve">J Chin Med Assoc</w:t>
      </w:r>
      <w:r>
        <w:t xml:space="preserve"> </w:t>
      </w:r>
      <w:r>
        <w:t xml:space="preserve">· A randomized, controlled, clinical study of thymosin alpha-1 versus interferon-alpha in [corrected] patients with chronic hepatitis B lacking HBeAg in China [corrected]. PMID 15759817</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15641209</w:t>
      </w:r>
    </w:p>
    <w:p>
      <w:pPr>
        <w:numPr>
          <w:ilvl w:val="0"/>
          <w:numId w:val="1391"/>
        </w:numPr>
        <w:pStyle w:val="Compact"/>
      </w:pPr>
      <w:r>
        <w:t xml:space="preserve">2004 · Poo JL ·</w:t>
      </w:r>
      <w:r>
        <w:t xml:space="preserve"> </w:t>
      </w:r>
      <w:r>
        <w:rPr>
          <w:iCs/>
          <w:i/>
        </w:rPr>
        <w:t xml:space="preserve">J Gastroenterol Hepatol</w:t>
      </w:r>
      <w:r>
        <w:t xml:space="preserve"> </w:t>
      </w:r>
      <w:r>
        <w:t xml:space="preserve">· Triple combination of thymalfasin, peginterferon alfa-2a and ribavirin in patients with chronic hepatitis C who have failed prior interferon and ribavirin treatment: 24-week interim results of a pilot study. PMID 15546256</w:t>
      </w:r>
    </w:p>
    <w:p>
      <w:pPr>
        <w:numPr>
          <w:ilvl w:val="0"/>
          <w:numId w:val="1391"/>
        </w:numPr>
        <w:pStyle w:val="Compact"/>
      </w:pPr>
      <w:r>
        <w:t xml:space="preserve">2004 · Rustgi V ·</w:t>
      </w:r>
      <w:r>
        <w:t xml:space="preserve"> </w:t>
      </w:r>
      <w:r>
        <w:rPr>
          <w:iCs/>
          <w:i/>
        </w:rPr>
        <w:t xml:space="preserve">J Gastroenterol Hepatol</w:t>
      </w:r>
      <w:r>
        <w:t xml:space="preserve"> </w:t>
      </w:r>
      <w:r>
        <w:t xml:space="preserve">· Combination therapy of thymalfasin (thymosin-alpha 1) and peginterferon alfa-2a in patients with chronic hepatitis C virus infection who are non-responders to standard treatment. PMID 15546255</w:t>
      </w:r>
    </w:p>
    <w:p>
      <w:pPr>
        <w:numPr>
          <w:ilvl w:val="0"/>
          <w:numId w:val="1391"/>
        </w:numPr>
        <w:pStyle w:val="Compact"/>
      </w:pPr>
      <w:r>
        <w:t xml:space="preserve">2004 · Chien RN ·</w:t>
      </w:r>
      <w:r>
        <w:t xml:space="preserve"> </w:t>
      </w:r>
      <w:r>
        <w:rPr>
          <w:iCs/>
          <w:i/>
        </w:rPr>
        <w:t xml:space="preserve">Expert Rev Anti Infect Ther</w:t>
      </w:r>
      <w:r>
        <w:t xml:space="preserve"> </w:t>
      </w:r>
      <w:r>
        <w:t xml:space="preserve">· Thymalfasin for the treatment of chronic hepatitis B. PMID 15482167</w:t>
      </w:r>
    </w:p>
    <w:p>
      <w:pPr>
        <w:numPr>
          <w:ilvl w:val="0"/>
          <w:numId w:val="1391"/>
        </w:numPr>
        <w:pStyle w:val="Compact"/>
      </w:pPr>
      <w:r>
        <w:t xml:space="preserve">2004 · Shuqun C ·</w:t>
      </w:r>
      <w:r>
        <w:t xml:space="preserve"> </w:t>
      </w:r>
      <w:r>
        <w:rPr>
          <w:iCs/>
          <w:i/>
        </w:rPr>
        <w:t xml:space="preserve">Hepatogastroenterology</w:t>
      </w:r>
      <w:r>
        <w:t xml:space="preserve"> </w:t>
      </w:r>
      <w:r>
        <w:t xml:space="preserve">· Combination transcatheter hepatic arterial chemoembolization with thymosin alpha1 on recurrence prevention of hepatocellular carcinoma. PMID 15362772</w:t>
      </w:r>
    </w:p>
    <w:p>
      <w:pPr>
        <w:numPr>
          <w:ilvl w:val="0"/>
          <w:numId w:val="1391"/>
        </w:numPr>
        <w:pStyle w:val="Compact"/>
      </w:pPr>
      <w:r>
        <w:t xml:space="preserve">2004 · Lei CL ·</w:t>
      </w:r>
      <w:r>
        <w:t xml:space="preserve"> </w:t>
      </w:r>
      <w:r>
        <w:rPr>
          <w:iCs/>
          <w:i/>
        </w:rPr>
        <w:t xml:space="preserve">Zhonghua Shi Yan He Lin Chuang Bing Du Xue Za Zhi</w:t>
      </w:r>
      <w:r>
        <w:t xml:space="preserve"> </w:t>
      </w:r>
      <w:r>
        <w:t xml:space="preserve">· [Clinical trial of sequential antiviral therapy for patients with chronic hepatitis B in China]. PMID 15340532</w:t>
      </w:r>
    </w:p>
    <w:p>
      <w:pPr>
        <w:numPr>
          <w:ilvl w:val="0"/>
          <w:numId w:val="1391"/>
        </w:numPr>
        <w:pStyle w:val="Compact"/>
      </w:pPr>
      <w:r>
        <w:t xml:space="preserve">2004 · Cheng SQ ·</w:t>
      </w:r>
      <w:r>
        <w:t xml:space="preserve"> </w:t>
      </w:r>
      <w:r>
        <w:rPr>
          <w:iCs/>
          <w:i/>
        </w:rPr>
        <w:t xml:space="preserve">Zhonghua Zhong Liu Za Zhi</w:t>
      </w:r>
      <w:r>
        <w:t xml:space="preserve"> </w:t>
      </w:r>
      <w:r>
        <w:t xml:space="preserve">· [Transcatheter hepatic arterial chemoembolization and thymosin alpha1 in postoperative treatment of hepatocellular carcinoma]. PMID 15312371</w:t>
      </w:r>
    </w:p>
    <w:p>
      <w:pPr>
        <w:numPr>
          <w:ilvl w:val="0"/>
          <w:numId w:val="1391"/>
        </w:numPr>
        <w:pStyle w:val="Compact"/>
      </w:pPr>
      <w:r>
        <w:t xml:space="preserve">2004 · Andreone P ·</w:t>
      </w:r>
      <w:r>
        <w:t xml:space="preserve"> </w:t>
      </w:r>
      <w:r>
        <w:rPr>
          <w:iCs/>
          <w:i/>
        </w:rPr>
        <w:t xml:space="preserve">J Viral Hepat</w:t>
      </w:r>
      <w:r>
        <w:t xml:space="preserve"> </w:t>
      </w:r>
      <w:r>
        <w:t xml:space="preserve">· Thymosin-alpha 1 plus interferon-alpha for naive patients with chronic hepatitis C: results of a randomized controlled pilot trial. PMID 14738560</w:t>
      </w:r>
    </w:p>
    <w:p>
      <w:pPr>
        <w:numPr>
          <w:ilvl w:val="0"/>
          <w:numId w:val="1391"/>
        </w:numPr>
        <w:pStyle w:val="Compact"/>
      </w:pPr>
      <w:r>
        <w:t xml:space="preserve">2003 · Chadwick D ·</w:t>
      </w:r>
      <w:r>
        <w:t xml:space="preserve"> </w:t>
      </w:r>
      <w:r>
        <w:rPr>
          <w:iCs/>
          <w:i/>
        </w:rPr>
        <w:t xml:space="preserve">Clin Exp Immunol</w:t>
      </w:r>
      <w:r>
        <w:t xml:space="preserve"> </w:t>
      </w:r>
      <w:r>
        <w:t xml:space="preserve">· A pilot study of the safety and efficacy of thymosin alpha 1 in augmenting immune reconstitution in HIV-infected patients with low CD4 counts taking highly active antiretroviral therapy. PMID 14632754</w:t>
      </w:r>
    </w:p>
    <w:p>
      <w:pPr>
        <w:numPr>
          <w:ilvl w:val="0"/>
          <w:numId w:val="1391"/>
        </w:numPr>
        <w:pStyle w:val="Compact"/>
      </w:pPr>
      <w:r>
        <w:t xml:space="preserve">2003 · Arase Y ·</w:t>
      </w:r>
      <w:r>
        <w:t xml:space="preserve"> </w:t>
      </w:r>
      <w:r>
        <w:rPr>
          <w:iCs/>
          <w:i/>
        </w:rPr>
        <w:t xml:space="preserve">Intern Med</w:t>
      </w:r>
      <w:r>
        <w:t xml:space="preserve"> </w:t>
      </w:r>
      <w:r>
        <w:t xml:space="preserve">· A pilot study of thymosin alpha1 therapy for chronic hepatitis B patients. PMID 14606705</w:t>
      </w:r>
    </w:p>
    <w:p>
      <w:pPr>
        <w:numPr>
          <w:ilvl w:val="0"/>
          <w:numId w:val="1391"/>
        </w:numPr>
        <w:pStyle w:val="Compact"/>
      </w:pPr>
      <w:r>
        <w:t xml:space="preserve">2003 · Saruc M ·</w:t>
      </w:r>
      <w:r>
        <w:t xml:space="preserve"> </w:t>
      </w:r>
      <w:r>
        <w:rPr>
          <w:iCs/>
          <w:i/>
        </w:rPr>
        <w:t xml:space="preserve">J Pharm Sci</w:t>
      </w:r>
      <w:r>
        <w:t xml:space="preserve"> </w:t>
      </w:r>
      <w:r>
        <w:t xml:space="preserve">· Long-term outcomes of thymosin-alpha 1 and interferon alpha-2b combination therapy in patients with hepatitis B e antigen (HBeAg) negative chronic hepatitis B. PMID 12820143</w:t>
      </w:r>
    </w:p>
    <w:p>
      <w:pPr>
        <w:numPr>
          <w:ilvl w:val="0"/>
          <w:numId w:val="1391"/>
        </w:numPr>
        <w:pStyle w:val="Compact"/>
      </w:pPr>
      <w:r>
        <w:t xml:space="preserve">2002 · Lau GK ·</w:t>
      </w:r>
      <w:r>
        <w:t xml:space="preserve"> </w:t>
      </w:r>
      <w:r>
        <w:rPr>
          <w:iCs/>
          <w:i/>
        </w:rPr>
        <w:t xml:space="preserve">J Viral Hepat</w:t>
      </w:r>
      <w:r>
        <w:t xml:space="preserve"> </w:t>
      </w:r>
      <w:r>
        <w:t xml:space="preserve">· Thymosin-alpha1 and famciclovir combination therapy activates T-cell response in patients with chronic hepatitis B virus infection in immune-tolerant phase. PMID 12081605</w:t>
      </w:r>
    </w:p>
    <w:p>
      <w:pPr>
        <w:numPr>
          <w:ilvl w:val="0"/>
          <w:numId w:val="1391"/>
        </w:numPr>
        <w:pStyle w:val="Compact"/>
      </w:pPr>
      <w:r>
        <w:t xml:space="preserve">2002 · Amarapurkar D ·</w:t>
      </w:r>
      <w:r>
        <w:t xml:space="preserve"> </w:t>
      </w:r>
      <w:r>
        <w:rPr>
          <w:iCs/>
          <w:i/>
        </w:rPr>
        <w:t xml:space="preserve">Indian J Gastroenterol</w:t>
      </w:r>
      <w:r>
        <w:t xml:space="preserve"> </w:t>
      </w:r>
      <w:r>
        <w:t xml:space="preserve">· Thymosin alpha in the treatment of chronic hepatitis B: an uncontrolled open-label trial. PMID 11990327</w:t>
      </w:r>
    </w:p>
    <w:p>
      <w:pPr>
        <w:numPr>
          <w:ilvl w:val="0"/>
          <w:numId w:val="1391"/>
        </w:numPr>
        <w:pStyle w:val="Compact"/>
      </w:pPr>
      <w:r>
        <w:t xml:space="preserve">2001 · Kullavanuaya P ·</w:t>
      </w:r>
      <w:r>
        <w:t xml:space="preserve"> </w:t>
      </w:r>
      <w:r>
        <w:rPr>
          <w:iCs/>
          <w:i/>
        </w:rPr>
        <w:t xml:space="preserve">J Med Assoc Thai</w:t>
      </w:r>
      <w:r>
        <w:t xml:space="preserve"> </w:t>
      </w:r>
      <w:r>
        <w:t xml:space="preserve">· The combined treatment of interferon alpha-2a and thymosin alpha 1 for chronic hepatitis C: the 48 weeks end of treatment results. PMID 11529376</w:t>
      </w:r>
    </w:p>
    <w:p>
      <w:pPr>
        <w:numPr>
          <w:ilvl w:val="0"/>
          <w:numId w:val="1391"/>
        </w:numPr>
        <w:pStyle w:val="Compact"/>
      </w:pPr>
      <w:r>
        <w:t xml:space="preserve">2000 · Rasi G ·</w:t>
      </w:r>
      <w:r>
        <w:t xml:space="preserve"> </w:t>
      </w:r>
      <w:r>
        <w:rPr>
          <w:iCs/>
          <w:i/>
        </w:rPr>
        <w:t xml:space="preserve">Melanoma Res</w:t>
      </w:r>
      <w:r>
        <w:t xml:space="preserve"> </w:t>
      </w:r>
      <w:r>
        <w:t xml:space="preserve">· Combined treatment with thymosin-alpha1 and low dose interferon-alpha after dacarbazine in advanced melanoma. PMID 10803720</w:t>
      </w:r>
    </w:p>
    <w:p>
      <w:pPr>
        <w:numPr>
          <w:ilvl w:val="0"/>
          <w:numId w:val="1391"/>
        </w:numPr>
        <w:pStyle w:val="Compact"/>
      </w:pPr>
      <w:r>
        <w:t xml:space="preserve">2000 · Zavaglia C ·</w:t>
      </w:r>
      <w:r>
        <w:t xml:space="preserve"> </w:t>
      </w:r>
      <w:r>
        <w:rPr>
          <w:iCs/>
          <w:i/>
        </w:rPr>
        <w:t xml:space="preserve">Dig Dis Sci</w:t>
      </w:r>
      <w:r>
        <w:t xml:space="preserve"> </w:t>
      </w:r>
      <w:r>
        <w:t xml:space="preserve">· A randomized, controlled study of thymosin-alpha1 therapy in patients with anti-HBe, HBV-DNA-positive chronic hepatitis B. PMID 10759236</w:t>
      </w:r>
    </w:p>
    <w:p>
      <w:pPr>
        <w:numPr>
          <w:ilvl w:val="0"/>
          <w:numId w:val="1391"/>
        </w:numPr>
        <w:pStyle w:val="Compact"/>
      </w:pPr>
      <w:r>
        <w:t xml:space="preserve">2000 · Molinero P ·</w:t>
      </w:r>
      <w:r>
        <w:t xml:space="preserve"> </w:t>
      </w:r>
      <w:r>
        <w:rPr>
          <w:iCs/>
          <w:i/>
        </w:rPr>
        <w:t xml:space="preserve">J Neuroimmunol</w:t>
      </w:r>
      <w:r>
        <w:t xml:space="preserve"> </w:t>
      </w:r>
      <w:r>
        <w:t xml:space="preserve">· Melatonin is responsible for the nocturnal increase observed in serum and thymus of thymosin alpha1 and thymulin concentrations: observations in rats and humans. PMID 10696913</w:t>
      </w:r>
    </w:p>
    <w:p>
      <w:pPr>
        <w:numPr>
          <w:ilvl w:val="0"/>
          <w:numId w:val="1391"/>
        </w:numPr>
        <w:pStyle w:val="Compact"/>
      </w:pPr>
      <w:r>
        <w:t xml:space="preserve">1999 · Mutchnick MG ·</w:t>
      </w:r>
      <w:r>
        <w:t xml:space="preserve"> </w:t>
      </w:r>
      <w:r>
        <w:rPr>
          <w:iCs/>
          <w:i/>
        </w:rPr>
        <w:t xml:space="preserve">J Viral Hepat</w:t>
      </w:r>
      <w:r>
        <w:t xml:space="preserve"> </w:t>
      </w:r>
      <w:r>
        <w:t xml:space="preserve">· Thymosin alpha1 treatment of chronic hepatitis B: results of a phase III multicentre, randomized, double-blind and placebo-controlled study. PMID 10607256</w:t>
      </w:r>
    </w:p>
    <w:p>
      <w:pPr>
        <w:numPr>
          <w:ilvl w:val="0"/>
          <w:numId w:val="1391"/>
        </w:numPr>
        <w:pStyle w:val="Compact"/>
      </w:pPr>
      <w:r>
        <w:t xml:space="preserve">1999 · Rost KL ·</w:t>
      </w:r>
      <w:r>
        <w:t xml:space="preserve"> </w:t>
      </w:r>
      <w:r>
        <w:rPr>
          <w:iCs/>
          <w:i/>
        </w:rPr>
        <w:t xml:space="preserve">Int J Clin Pharmacol Ther</w:t>
      </w:r>
      <w:r>
        <w:t xml:space="preserve"> </w:t>
      </w:r>
      <w:r>
        <w:t xml:space="preserve">· Pharmacokinetics of thymosin alpha1 after subcutaneous injection of three different formulations in healthy volunteers. PMID 10027483</w:t>
      </w:r>
    </w:p>
    <w:p>
      <w:pPr>
        <w:numPr>
          <w:ilvl w:val="0"/>
          <w:numId w:val="1391"/>
        </w:numPr>
        <w:pStyle w:val="Compact"/>
      </w:pPr>
      <w:r>
        <w:t xml:space="preserve">1998 · Moscarella S ·</w:t>
      </w:r>
      <w:r>
        <w:t xml:space="preserve"> </w:t>
      </w:r>
      <w:r>
        <w:rPr>
          <w:iCs/>
          <w:i/>
        </w:rPr>
        <w:t xml:space="preserve">Liver</w:t>
      </w:r>
      <w:r>
        <w:t xml:space="preserve"> </w:t>
      </w:r>
      <w:r>
        <w:t xml:space="preserve">· Interferon and thymosin combination therapy in naive patients with chronic hepatitis C: preliminary results. PMID 9831367</w:t>
      </w:r>
    </w:p>
    <w:p>
      <w:pPr>
        <w:numPr>
          <w:ilvl w:val="0"/>
          <w:numId w:val="1391"/>
        </w:numPr>
        <w:pStyle w:val="Compact"/>
      </w:pPr>
      <w:r>
        <w:t xml:space="preserve">1998 · Chien RN ·</w:t>
      </w:r>
      <w:r>
        <w:t xml:space="preserve"> </w:t>
      </w:r>
      <w:r>
        <w:rPr>
          <w:iCs/>
          <w:i/>
        </w:rPr>
        <w:t xml:space="preserve">Hepatology</w:t>
      </w:r>
      <w:r>
        <w:t xml:space="preserve"> </w:t>
      </w:r>
      <w:r>
        <w:t xml:space="preserve">· Efficacy of thymosin alpha1 in patients with chronic hepatitis B: a randomized, controlled trial. PMID 9581695</w:t>
      </w:r>
    </w:p>
    <w:p>
      <w:pPr>
        <w:numPr>
          <w:ilvl w:val="0"/>
          <w:numId w:val="1391"/>
        </w:numPr>
        <w:pStyle w:val="Compact"/>
      </w:pPr>
      <w:r>
        <w:t xml:space="preserve">1998 · Sherman KE ·</w:t>
      </w:r>
      <w:r>
        <w:t xml:space="preserve"> </w:t>
      </w:r>
      <w:r>
        <w:rPr>
          <w:iCs/>
          <w:i/>
        </w:rPr>
        <w:t xml:space="preserve">Hepatology</w:t>
      </w:r>
      <w:r>
        <w:t xml:space="preserve"> </w:t>
      </w:r>
      <w:r>
        <w:t xml:space="preserve">· Combination therapy with thymosin alpha1 and interferon for the treatment of chronic hepatitis C infection: a randomized, placebo-controlled double-blind trial. PMID 9537454</w:t>
      </w:r>
    </w:p>
    <w:p>
      <w:pPr>
        <w:numPr>
          <w:ilvl w:val="0"/>
          <w:numId w:val="1391"/>
        </w:numPr>
        <w:pStyle w:val="Compact"/>
      </w:pPr>
      <w:r>
        <w:t xml:space="preserve">1996 · Zavaglia C ·</w:t>
      </w:r>
      <w:r>
        <w:t xml:space="preserve"> </w:t>
      </w:r>
      <w:r>
        <w:rPr>
          <w:iCs/>
          <w:i/>
        </w:rPr>
        <w:t xml:space="preserve">J Clin Gastroenterol</w:t>
      </w:r>
      <w:r>
        <w:t xml:space="preserve"> </w:t>
      </w:r>
      <w:r>
        <w:t xml:space="preserve">· A pilot study of thymosin-alpha 1 therapy for chronic hepatitis D. PMID 8877652</w:t>
      </w:r>
    </w:p>
    <w:p>
      <w:pPr>
        <w:numPr>
          <w:ilvl w:val="0"/>
          <w:numId w:val="1391"/>
        </w:numPr>
        <w:pStyle w:val="Compact"/>
      </w:pPr>
      <w:r>
        <w:t xml:space="preserve">1996 · Andreone P ·</w:t>
      </w:r>
      <w:r>
        <w:t xml:space="preserve"> </w:t>
      </w:r>
      <w:r>
        <w:rPr>
          <w:iCs/>
          <w:i/>
        </w:rPr>
        <w:t xml:space="preserve">Liver</w:t>
      </w:r>
      <w:r>
        <w:t xml:space="preserve"> </w:t>
      </w:r>
      <w:r>
        <w:t xml:space="preserve">· A double-blind, placebo-controlled, pilot trial of thymosin alpha 1 for the treatment of chronic hepatitis C. PMID 8873009</w:t>
      </w:r>
    </w:p>
    <w:p>
      <w:pPr>
        <w:numPr>
          <w:ilvl w:val="0"/>
          <w:numId w:val="1391"/>
        </w:numPr>
        <w:pStyle w:val="Compact"/>
      </w:pPr>
      <w:r>
        <w:t xml:space="preserve">1996 · Rasi G ·</w:t>
      </w:r>
      <w:r>
        <w:t xml:space="preserve"> </w:t>
      </w:r>
      <w:r>
        <w:rPr>
          <w:iCs/>
          <w:i/>
        </w:rPr>
        <w:t xml:space="preserve">J Viral Hepat</w:t>
      </w:r>
      <w:r>
        <w:t xml:space="preserve"> </w:t>
      </w:r>
      <w:r>
        <w:t xml:space="preserve">· Combination low-dose lymphoblastoid interferon and thymosin alpha 1 therapy in the treatment of chronic hepatitis B. PMID 8871880</w:t>
      </w:r>
    </w:p>
    <w:p>
      <w:pPr>
        <w:numPr>
          <w:ilvl w:val="0"/>
          <w:numId w:val="1391"/>
        </w:numPr>
        <w:pStyle w:val="Compact"/>
      </w:pPr>
      <w:r>
        <w:t xml:space="preserve">1996 · Andreone P ·</w:t>
      </w:r>
      <w:r>
        <w:t xml:space="preserve"> </w:t>
      </w:r>
      <w:r>
        <w:rPr>
          <w:iCs/>
          <w:i/>
        </w:rPr>
        <w:t xml:space="preserve">Hepatology</w:t>
      </w:r>
      <w:r>
        <w:t xml:space="preserve"> </w:t>
      </w:r>
      <w:r>
        <w:t xml:space="preserve">· A randomized controlled trial of thymosin-alpha1 versus interferon alfa treatment in patients with hepatitis B e antigen antibody–and hepatitis B virus DNA–positive chronic hepatitis B. PMID 8855175</w:t>
      </w:r>
    </w:p>
    <w:p>
      <w:pPr>
        <w:numPr>
          <w:ilvl w:val="0"/>
          <w:numId w:val="1391"/>
        </w:numPr>
        <w:pStyle w:val="Compact"/>
      </w:pPr>
      <w:r>
        <w:t xml:space="preserve">1996 · Salvati F ·</w:t>
      </w:r>
      <w:r>
        <w:t xml:space="preserve"> </w:t>
      </w:r>
      <w:r>
        <w:rPr>
          <w:iCs/>
          <w:i/>
        </w:rPr>
        <w:t xml:space="preserve">Anticancer Res</w:t>
      </w:r>
      <w:r>
        <w:t xml:space="preserve"> </w:t>
      </w:r>
      <w:r>
        <w:t xml:space="preserve">· Combined treatment with thymosin-alpha1 and low-dose interferon-alpha after ifosfamide in non-small cell lung cancer: a phase-II controlled trial. PMID 8687090</w:t>
      </w:r>
    </w:p>
    <w:p>
      <w:pPr>
        <w:numPr>
          <w:ilvl w:val="0"/>
          <w:numId w:val="1391"/>
        </w:numPr>
        <w:pStyle w:val="Compact"/>
      </w:pPr>
      <w:r>
        <w:t xml:space="preserve">1996 · Ramachandran R ·</w:t>
      </w:r>
      <w:r>
        <w:t xml:space="preserve"> </w:t>
      </w:r>
      <w:r>
        <w:rPr>
          <w:iCs/>
          <w:i/>
        </w:rPr>
        <w:t xml:space="preserve">J Infect Dis</w:t>
      </w:r>
      <w:r>
        <w:t xml:space="preserve"> </w:t>
      </w:r>
      <w:r>
        <w:t xml:space="preserve">· Polyethylene glycol-modified interleukin-2 and thymosin alpha 1 in human immunodeficiency virus type 1 infection. PMID 8603940</w:t>
      </w:r>
    </w:p>
    <w:p>
      <w:pPr>
        <w:numPr>
          <w:ilvl w:val="0"/>
          <w:numId w:val="1391"/>
        </w:numPr>
        <w:pStyle w:val="Compact"/>
      </w:pPr>
      <w:r>
        <w:t xml:space="preserve">1995 · Garaci E ·</w:t>
      </w:r>
      <w:r>
        <w:t xml:space="preserve"> </w:t>
      </w:r>
      <w:r>
        <w:rPr>
          <w:iCs/>
          <w:i/>
        </w:rPr>
        <w:t xml:space="preserve">Eur J Cancer</w:t>
      </w:r>
      <w:r>
        <w:t xml:space="preserve"> </w:t>
      </w:r>
      <w:r>
        <w:t xml:space="preserve">· Sequential chemoimmunotherapy for advanced non-small cell lung cancer using cisplatin, etoposide, thymosin-alpha 1 and interferon-alpha 2a. PMID 8652276</w:t>
      </w:r>
    </w:p>
    <w:p>
      <w:pPr>
        <w:numPr>
          <w:ilvl w:val="0"/>
          <w:numId w:val="1391"/>
        </w:numPr>
        <w:pStyle w:val="Compact"/>
      </w:pPr>
      <w:r>
        <w:t xml:space="preserve">1995 · Naz RK ·</w:t>
      </w:r>
      <w:r>
        <w:t xml:space="preserve"> </w:t>
      </w:r>
      <w:r>
        <w:rPr>
          <w:iCs/>
          <w:i/>
        </w:rPr>
        <w:t xml:space="preserve">Arch Androl</w:t>
      </w:r>
      <w:r>
        <w:t xml:space="preserve"> </w:t>
      </w:r>
      <w:r>
        <w:t xml:space="preserve">· Treatment with thymosin alpha-1 increases fertilizing capacity of sperm of infertile men: a multicenter trial. PMID 8579476</w:t>
      </w:r>
    </w:p>
    <w:p>
      <w:pPr>
        <w:numPr>
          <w:ilvl w:val="0"/>
          <w:numId w:val="1391"/>
        </w:numPr>
        <w:pStyle w:val="Compact"/>
      </w:pPr>
      <w:r>
        <w:t xml:space="preserve">1994 · Garaci E ·</w:t>
      </w:r>
      <w:r>
        <w:t xml:space="preserve"> </w:t>
      </w:r>
      <w:r>
        <w:rPr>
          <w:iCs/>
          <w:i/>
        </w:rPr>
        <w:t xml:space="preserve">Int J Clin Lab Res</w:t>
      </w:r>
      <w:r>
        <w:t xml:space="preserve"> </w:t>
      </w:r>
      <w:r>
        <w:t xml:space="preserve">· Combination treatment with zidovudine, thymosin alpha 1 and interferon-alpha in human immunodeficiency virus infection. PMID 7910053</w:t>
      </w:r>
    </w:p>
    <w:p>
      <w:pPr>
        <w:numPr>
          <w:ilvl w:val="0"/>
          <w:numId w:val="1391"/>
        </w:numPr>
        <w:pStyle w:val="Compact"/>
      </w:pPr>
      <w:r>
        <w:t xml:space="preserve">1994 · Lopez M ·</w:t>
      </w:r>
      <w:r>
        <w:t xml:space="preserve"> </w:t>
      </w:r>
      <w:r>
        <w:rPr>
          <w:iCs/>
          <w:i/>
        </w:rPr>
        <w:t xml:space="preserve">Ann Oncol</w:t>
      </w:r>
      <w:r>
        <w:t xml:space="preserve"> </w:t>
      </w:r>
      <w:r>
        <w:t xml:space="preserve">· Biochemotherapy with thymosin alpha 1, interleukin-2 and dacarbazine in patients with metastatic melanoma: clinical and immunological effects. PMID 7826907</w:t>
      </w:r>
    </w:p>
    <w:p>
      <w:pPr>
        <w:numPr>
          <w:ilvl w:val="0"/>
          <w:numId w:val="1391"/>
        </w:numPr>
        <w:pStyle w:val="Compact"/>
      </w:pPr>
      <w:r>
        <w:t xml:space="preserve">1991 · Mutchnick MG ·</w:t>
      </w:r>
      <w:r>
        <w:t xml:space="preserve"> </w:t>
      </w:r>
      <w:r>
        <w:rPr>
          <w:iCs/>
          <w:i/>
        </w:rPr>
        <w:t xml:space="preserve">Hepatology</w:t>
      </w:r>
      <w:r>
        <w:t xml:space="preserve"> </w:t>
      </w:r>
      <w:r>
        <w:t xml:space="preserve">· Thymosin treatment of chronic hepatitis B: a placebo-controlled pilot trial. PMID 1874487</w:t>
      </w:r>
    </w:p>
    <w:p>
      <w:pPr>
        <w:numPr>
          <w:ilvl w:val="0"/>
          <w:numId w:val="1391"/>
        </w:numPr>
        <w:pStyle w:val="Compact"/>
      </w:pPr>
      <w:r>
        <w:t xml:space="preserve">1989 · Gravenstein S ·</w:t>
      </w:r>
      <w:r>
        <w:t xml:space="preserve"> </w:t>
      </w:r>
      <w:r>
        <w:rPr>
          <w:iCs/>
          <w:i/>
        </w:rPr>
        <w:t xml:space="preserve">J Am Geriatr Soc</w:t>
      </w:r>
      <w:r>
        <w:t xml:space="preserve"> </w:t>
      </w:r>
      <w:r>
        <w:t xml:space="preserve">· Augmentation of influenza antibody response in elderly men by thymosin alpha one. A double-blind placebo-controlled clinical study. PMID 2642497</w:t>
      </w:r>
    </w:p>
    <w:p>
      <w:pPr>
        <w:numPr>
          <w:ilvl w:val="0"/>
          <w:numId w:val="1391"/>
        </w:numPr>
        <w:pStyle w:val="Compact"/>
      </w:pPr>
      <w:r>
        <w:t xml:space="preserve">1985 · Schulof RS ·</w:t>
      </w:r>
      <w:r>
        <w:t xml:space="preserve"> </w:t>
      </w:r>
      <w:r>
        <w:rPr>
          <w:iCs/>
          <w:i/>
        </w:rPr>
        <w:t xml:space="preserve">J Biol Response Mod</w:t>
      </w:r>
      <w:r>
        <w:t xml:space="preserve"> </w:t>
      </w:r>
      <w:r>
        <w:t xml:space="preserve">· A randomized trial to evaluate the immunorestorative properties of synthetic thymosin-alpha 1 in patients with lung cancer. PMID 3998766</w:t>
      </w:r>
    </w:p>
    <w:p>
      <w:pPr>
        <w:numPr>
          <w:ilvl w:val="0"/>
          <w:numId w:val="1391"/>
        </w:numPr>
        <w:pStyle w:val="Compact"/>
      </w:pPr>
      <w:r>
        <w:t xml:space="preserve">1985 · Schulof RS ·</w:t>
      </w:r>
      <w:r>
        <w:t xml:space="preserve"> </w:t>
      </w:r>
      <w:r>
        <w:rPr>
          <w:iCs/>
          <w:i/>
        </w:rPr>
        <w:t xml:space="preserve">Cancer</w:t>
      </w:r>
      <w:r>
        <w:t xml:space="preserve"> </w:t>
      </w:r>
      <w:r>
        <w:t xml:space="preserve">· T-cell abnormalities after mediastinal irradiation for lung cancer. The in vitro influence of synthetic thymosin alpha-1. PMID 3155644</w:t>
      </w:r>
    </w:p>
    <w:p>
      <w:pPr>
        <w:numPr>
          <w:ilvl w:val="0"/>
          <w:numId w:val="1391"/>
        </w:numPr>
        <w:pStyle w:val="Compact"/>
      </w:pPr>
      <w:r>
        <w:t xml:space="preserve">1984 · Naylor PH ·</w:t>
      </w:r>
      <w:r>
        <w:t xml:space="preserve"> </w:t>
      </w:r>
      <w:r>
        <w:rPr>
          <w:iCs/>
          <w:i/>
        </w:rPr>
        <w:t xml:space="preserve">Ann N Y Acad Sci</w:t>
      </w:r>
      <w:r>
        <w:t xml:space="preserve"> </w:t>
      </w:r>
      <w:r>
        <w:t xml:space="preserve">· Thymosin in the early diagnosis and treatment of high risk homosexuals and hemophiliacs with AIDS-like immune dysfunction. PMID 6398657</w:t>
      </w:r>
    </w:p>
    <w:bookmarkEnd w:id="3029"/>
    <w:bookmarkStart w:id="3030" w:name="kpv-0"/>
    <w:p>
      <w:pPr>
        <w:pStyle w:val="Heading2"/>
      </w:pPr>
      <w:r>
        <w:t xml:space="preserve">KPV (0)</w:t>
      </w:r>
    </w:p>
    <w:p>
      <w:pPr>
        <w:pStyle w:val="FirstParagraph"/>
      </w:pPr>
      <w:r>
        <w:t xml:space="preserve">No publications of clinical studies in humans found.</w:t>
      </w:r>
    </w:p>
    <w:bookmarkEnd w:id="3030"/>
    <w:bookmarkStart w:id="3031" w:name="ll-37-91"/>
    <w:p>
      <w:pPr>
        <w:pStyle w:val="Heading2"/>
      </w:pPr>
      <w:r>
        <w:t xml:space="preserve">LL-37 (91)</w:t>
      </w:r>
    </w:p>
    <w:p>
      <w:pPr>
        <w:numPr>
          <w:ilvl w:val="0"/>
          <w:numId w:val="1392"/>
        </w:numPr>
        <w:pStyle w:val="Compact"/>
      </w:pPr>
      <w:r>
        <w:t xml:space="preserve">2026 · Song S ·</w:t>
      </w:r>
      <w:r>
        <w:t xml:space="preserve"> </w:t>
      </w:r>
      <w:r>
        <w:rPr>
          <w:iCs/>
          <w:i/>
        </w:rPr>
        <w:t xml:space="preserve">Probiotics Antimicrob Proteins</w:t>
      </w:r>
      <w:r>
        <w:t xml:space="preserve"> </w:t>
      </w:r>
      <w:r>
        <w:t xml:space="preserve">· Assessing the Safety and Probiotic Potential of Bifidobacterium longum subsp. infantis BI45: A Comprehensive Study from Genomic Analysis to Randomized Controlled Clinical Trial in Healthy Adults. PMID 42118446</w:t>
      </w:r>
    </w:p>
    <w:p>
      <w:pPr>
        <w:numPr>
          <w:ilvl w:val="0"/>
          <w:numId w:val="1392"/>
        </w:numPr>
        <w:pStyle w:val="Compact"/>
      </w:pPr>
      <w:r>
        <w:t xml:space="preserve">2026 · Jin M ·</w:t>
      </w:r>
      <w:r>
        <w:t xml:space="preserve"> </w:t>
      </w:r>
      <w:r>
        <w:rPr>
          <w:iCs/>
          <w:i/>
        </w:rPr>
        <w:t xml:space="preserve">Food Chem Toxicol</w:t>
      </w:r>
      <w:r>
        <w:t xml:space="preserve"> </w:t>
      </w:r>
      <w:r>
        <w:t xml:space="preserve">· Limosilactobacillus fermentum LF61: A multidimensional study on safety and functionality from genomics to clinical application. PMID 41655688</w:t>
      </w:r>
    </w:p>
    <w:p>
      <w:pPr>
        <w:numPr>
          <w:ilvl w:val="0"/>
          <w:numId w:val="1392"/>
        </w:numPr>
        <w:pStyle w:val="Compact"/>
      </w:pPr>
      <w:r>
        <w:t xml:space="preserve">2026 · Ito R ·</w:t>
      </w:r>
      <w:r>
        <w:t xml:space="preserve"> </w:t>
      </w:r>
      <w:r>
        <w:rPr>
          <w:iCs/>
          <w:i/>
        </w:rPr>
        <w:t xml:space="preserve">Eur J Appl Physiol</w:t>
      </w:r>
      <w:r>
        <w:t xml:space="preserve"> </w:t>
      </w:r>
      <w:r>
        <w:t xml:space="preserve">· Acute effects of continuous and interval cycling on salivary SIgA and anti-microbial peptide secretions: a randomized crossover trial. PMID 40810749</w:t>
      </w:r>
    </w:p>
    <w:p>
      <w:pPr>
        <w:numPr>
          <w:ilvl w:val="0"/>
          <w:numId w:val="1392"/>
        </w:numPr>
        <w:pStyle w:val="Compact"/>
      </w:pPr>
      <w:r>
        <w:t xml:space="preserve">2025 · Welling A ·</w:t>
      </w:r>
      <w:r>
        <w:t xml:space="preserve"> </w:t>
      </w:r>
      <w:r>
        <w:rPr>
          <w:iCs/>
          <w:i/>
        </w:rPr>
        <w:t xml:space="preserve">Eur Spine J</w:t>
      </w:r>
      <w:r>
        <w:t xml:space="preserve"> </w:t>
      </w:r>
      <w:r>
        <w:t xml:space="preserve">· Impact of 3-dimensional myofascial release on tumor necrosis factor (TNF) alpha biomarker in nonspecific low back pain: a randomised controlled trial. PMID 40853451</w:t>
      </w:r>
    </w:p>
    <w:p>
      <w:pPr>
        <w:numPr>
          <w:ilvl w:val="0"/>
          <w:numId w:val="1392"/>
        </w:numPr>
        <w:pStyle w:val="Compact"/>
      </w:pPr>
      <w:r>
        <w:t xml:space="preserve">2025 · Kamboj K ·</w:t>
      </w:r>
      <w:r>
        <w:t xml:space="preserve"> </w:t>
      </w:r>
      <w:r>
        <w:rPr>
          <w:iCs/>
          <w:i/>
        </w:rPr>
        <w:t xml:space="preserve">Front Immunol</w:t>
      </w:r>
      <w:r>
        <w:t xml:space="preserve"> </w:t>
      </w:r>
      <w:r>
        <w:t xml:space="preserve">· Effect of cholecalciferol on immune and vascular function in non-diabetic chronic kidney disease. PMID 40342405</w:t>
      </w:r>
    </w:p>
    <w:p>
      <w:pPr>
        <w:numPr>
          <w:ilvl w:val="0"/>
          <w:numId w:val="1392"/>
        </w:numPr>
        <w:pStyle w:val="Compact"/>
      </w:pPr>
      <w:r>
        <w:t xml:space="preserve">2025 · Gonçalves AM ·</w:t>
      </w:r>
      <w:r>
        <w:t xml:space="preserve"> </w:t>
      </w:r>
      <w:r>
        <w:rPr>
          <w:iCs/>
          <w:i/>
        </w:rPr>
        <w:t xml:space="preserve">Nutrients</w:t>
      </w:r>
      <w:r>
        <w:t xml:space="preserve"> </w:t>
      </w:r>
      <w:r>
        <w:t xml:space="preserve">· The Immunomodulatory Activity of High Doses of Vitamin D in Critical Care Patients with Severe SARS-CoV-2 Pneumonia-A Randomized Controlled Trial. PMID 39940396</w:t>
      </w:r>
    </w:p>
    <w:p>
      <w:pPr>
        <w:numPr>
          <w:ilvl w:val="0"/>
          <w:numId w:val="1392"/>
        </w:numPr>
        <w:pStyle w:val="Compact"/>
      </w:pPr>
      <w:r>
        <w:t xml:space="preserve">2025 · Picosse F ·</w:t>
      </w:r>
      <w:r>
        <w:t xml:space="preserve"> </w:t>
      </w:r>
      <w:r>
        <w:rPr>
          <w:iCs/>
          <w:i/>
        </w:rPr>
        <w:t xml:space="preserve">Int J Dermatol</w:t>
      </w:r>
      <w:r>
        <w:t xml:space="preserve"> </w:t>
      </w:r>
      <w:r>
        <w:t xml:space="preserve">· A comparative exploration of immunohistochemical markers in patients with papulopustular rosacea undergoing treatment with oral isotretinoin versus doxycycline. PMID 39097930</w:t>
      </w:r>
    </w:p>
    <w:p>
      <w:pPr>
        <w:numPr>
          <w:ilvl w:val="0"/>
          <w:numId w:val="1392"/>
        </w:numPr>
        <w:pStyle w:val="Compact"/>
      </w:pPr>
      <w:r>
        <w:t xml:space="preserve">2024 · Reyes ML ·</w:t>
      </w:r>
      <w:r>
        <w:t xml:space="preserve"> </w:t>
      </w:r>
      <w:r>
        <w:rPr>
          <w:iCs/>
          <w:i/>
        </w:rPr>
        <w:t xml:space="preserve">J Pediatr</w:t>
      </w:r>
      <w:r>
        <w:t xml:space="preserve"> </w:t>
      </w:r>
      <w:r>
        <w:t xml:space="preserve">· Weekly Vitamin D Supplementation to Prevent Acute Respiratory Infections in Young Children at Different Latitudes: A Randomized Controlled Trial. PMID 39181322</w:t>
      </w:r>
    </w:p>
    <w:p>
      <w:pPr>
        <w:numPr>
          <w:ilvl w:val="0"/>
          <w:numId w:val="1392"/>
        </w:numPr>
        <w:pStyle w:val="Compact"/>
      </w:pPr>
      <w:r>
        <w:t xml:space="preserve">2024 · Ito R ·</w:t>
      </w:r>
      <w:r>
        <w:t xml:space="preserve"> </w:t>
      </w:r>
      <w:r>
        <w:rPr>
          <w:iCs/>
          <w:i/>
        </w:rPr>
        <w:t xml:space="preserve">Am J Physiol Regul Integr Comp Physiol</w:t>
      </w:r>
      <w:r>
        <w:t xml:space="preserve"> </w:t>
      </w:r>
      <w:r>
        <w:t xml:space="preserve">· Acute salivary antimicrobial peptide secretion response to different exercise intensities and durations. PMID 39155711</w:t>
      </w:r>
    </w:p>
    <w:p>
      <w:pPr>
        <w:numPr>
          <w:ilvl w:val="0"/>
          <w:numId w:val="1392"/>
        </w:numPr>
        <w:pStyle w:val="Compact"/>
      </w:pPr>
      <w:r>
        <w:t xml:space="preserve">2024 · Ashoor TM ·</w:t>
      </w:r>
      <w:r>
        <w:t xml:space="preserve"> </w:t>
      </w:r>
      <w:r>
        <w:rPr>
          <w:iCs/>
          <w:i/>
        </w:rPr>
        <w:t xml:space="preserve">J Intensive Care Med</w:t>
      </w:r>
      <w:r>
        <w:t xml:space="preserve"> </w:t>
      </w:r>
      <w:r>
        <w:t xml:space="preserve">· Outcomes of High-Dose Versus Low-Dose Vitamin D on Prognosis of Sepsis Requiring Mechanical Ventilation: A Randomized Controlled Trial. PMID 38706151</w:t>
      </w:r>
    </w:p>
    <w:p>
      <w:pPr>
        <w:numPr>
          <w:ilvl w:val="0"/>
          <w:numId w:val="1392"/>
        </w:numPr>
        <w:pStyle w:val="Compact"/>
      </w:pPr>
      <w:r>
        <w:t xml:space="preserve">2024 · Borzutzky A ·</w:t>
      </w:r>
      <w:r>
        <w:t xml:space="preserve"> </w:t>
      </w:r>
      <w:r>
        <w:rPr>
          <w:iCs/>
          <w:i/>
        </w:rPr>
        <w:t xml:space="preserve">J Eur Acad Dermatol Venereol</w:t>
      </w:r>
      <w:r>
        <w:t xml:space="preserve"> </w:t>
      </w:r>
      <w:r>
        <w:t xml:space="preserve">· Effect of weekly vitamin D supplementation on the severity of atopic dermatitis and type 2 immunity biomarkers in children: A randomized controlled trial. PMID 38483248</w:t>
      </w:r>
    </w:p>
    <w:p>
      <w:pPr>
        <w:numPr>
          <w:ilvl w:val="0"/>
          <w:numId w:val="1392"/>
        </w:numPr>
        <w:pStyle w:val="Compact"/>
      </w:pPr>
      <w:r>
        <w:t xml:space="preserve">2024 · Chen K ·</w:t>
      </w:r>
      <w:r>
        <w:t xml:space="preserve"> </w:t>
      </w:r>
      <w:r>
        <w:rPr>
          <w:iCs/>
          <w:i/>
        </w:rPr>
        <w:t xml:space="preserve">Eur J Clin Nutr</w:t>
      </w:r>
      <w:r>
        <w:t xml:space="preserve"> </w:t>
      </w:r>
      <w:r>
        <w:t xml:space="preserve">· Adjudicative efficacy of Bifidobacterium animalis subsp. lactis BLa80 in treating acute diarrhea in children: a randomized, double-blinded, placebo-controlled study. PMID 38467857</w:t>
      </w:r>
    </w:p>
    <w:p>
      <w:pPr>
        <w:numPr>
          <w:ilvl w:val="0"/>
          <w:numId w:val="1392"/>
        </w:numPr>
        <w:pStyle w:val="Compact"/>
      </w:pPr>
      <w:r>
        <w:t xml:space="preserve">2023 · Zhao Y ·</w:t>
      </w:r>
      <w:r>
        <w:t xml:space="preserve"> </w:t>
      </w:r>
      <w:r>
        <w:rPr>
          <w:iCs/>
          <w:i/>
        </w:rPr>
        <w:t xml:space="preserve">J Med Virol</w:t>
      </w:r>
      <w:r>
        <w:t xml:space="preserve"> </w:t>
      </w:r>
      <w:r>
        <w:t xml:space="preserve">· Efficacy and safety of Oral LL-37 against the Omicron BA.5.1.3 variant of SARS-COV-2: A randomized trial. PMID 37605995</w:t>
      </w:r>
    </w:p>
    <w:p>
      <w:pPr>
        <w:numPr>
          <w:ilvl w:val="0"/>
          <w:numId w:val="1392"/>
        </w:numPr>
        <w:pStyle w:val="Compact"/>
      </w:pPr>
      <w:r>
        <w:t xml:space="preserve">2023 · Miranda E ·</w:t>
      </w:r>
      <w:r>
        <w:t xml:space="preserve"> </w:t>
      </w:r>
      <w:r>
        <w:rPr>
          <w:iCs/>
          <w:i/>
        </w:rPr>
        <w:t xml:space="preserve">Arch Dermatol Res</w:t>
      </w:r>
      <w:r>
        <w:t xml:space="preserve"> </w:t>
      </w:r>
      <w:r>
        <w:t xml:space="preserve">· Efficacy of LL-37 cream in enhancing healing of diabetic foot ulcer: a randomized double-blind controlled trial. PMID 37480520</w:t>
      </w:r>
    </w:p>
    <w:p>
      <w:pPr>
        <w:numPr>
          <w:ilvl w:val="0"/>
          <w:numId w:val="1392"/>
        </w:numPr>
        <w:pStyle w:val="Compact"/>
      </w:pPr>
      <w:r>
        <w:t xml:space="preserve">2023 · George R ·</w:t>
      </w:r>
      <w:r>
        <w:t xml:space="preserve"> </w:t>
      </w:r>
      <w:r>
        <w:rPr>
          <w:iCs/>
          <w:i/>
        </w:rPr>
        <w:t xml:space="preserve">J Drugs Dermatol</w:t>
      </w:r>
      <w:r>
        <w:t xml:space="preserve"> </w:t>
      </w:r>
      <w:r>
        <w:t xml:space="preserve">· Reduction of Erythema in Moderate-Severe Rosacea by a Low Molecular Weight Heparan Sulfate Analog (HSA). PMID 37276169</w:t>
      </w:r>
    </w:p>
    <w:p>
      <w:pPr>
        <w:numPr>
          <w:ilvl w:val="0"/>
          <w:numId w:val="1392"/>
        </w:numPr>
        <w:pStyle w:val="Compact"/>
      </w:pPr>
      <w:r>
        <w:t xml:space="preserve">2022 · Fujita K ·</w:t>
      </w:r>
      <w:r>
        <w:t xml:space="preserve"> </w:t>
      </w:r>
      <w:r>
        <w:rPr>
          <w:iCs/>
          <w:i/>
        </w:rPr>
        <w:t xml:space="preserve">BMC Pulm Med</w:t>
      </w:r>
      <w:r>
        <w:t xml:space="preserve"> </w:t>
      </w:r>
      <w:r>
        <w:t xml:space="preserve">· Comparison of frailty in patients with nontuberculous mycobacterial lung disease and bronchiectasis: a prospective cohort study. PMID 36329435</w:t>
      </w:r>
    </w:p>
    <w:p>
      <w:pPr>
        <w:numPr>
          <w:ilvl w:val="0"/>
          <w:numId w:val="1392"/>
        </w:numPr>
        <w:pStyle w:val="Compact"/>
      </w:pPr>
      <w:r>
        <w:t xml:space="preserve">2021 · Mahlapuu M ·</w:t>
      </w:r>
      <w:r>
        <w:t xml:space="preserve"> </w:t>
      </w:r>
      <w:r>
        <w:rPr>
          <w:iCs/>
          <w:i/>
        </w:rPr>
        <w:t xml:space="preserve">Wound Repair Regen</w:t>
      </w:r>
      <w:r>
        <w:t xml:space="preserve"> </w:t>
      </w:r>
      <w:r>
        <w:t xml:space="preserve">· Evaluation of LL-37 in healing of hard-to-heal venous leg ulcers: A multicentric prospective randomized placebo-controlled clinical trial. PMID 34687253</w:t>
      </w:r>
    </w:p>
    <w:p>
      <w:pPr>
        <w:numPr>
          <w:ilvl w:val="0"/>
          <w:numId w:val="1392"/>
        </w:numPr>
        <w:pStyle w:val="Compact"/>
      </w:pPr>
      <w:r>
        <w:t xml:space="preserve">2021 · Chen K ·</w:t>
      </w:r>
      <w:r>
        <w:t xml:space="preserve"> </w:t>
      </w:r>
      <w:r>
        <w:rPr>
          <w:iCs/>
          <w:i/>
        </w:rPr>
        <w:t xml:space="preserve">Benef Microbes</w:t>
      </w:r>
      <w:r>
        <w:t xml:space="preserve"> </w:t>
      </w:r>
      <w:r>
        <w:t xml:space="preserve">· Efficacy of Bifidobacterium animalis subsp. lactis, BB-12(®) on infant colic - a randomised, double-blinded, placebo-controlled study. PMID 34550055</w:t>
      </w:r>
    </w:p>
    <w:p>
      <w:pPr>
        <w:numPr>
          <w:ilvl w:val="0"/>
          <w:numId w:val="1392"/>
        </w:numPr>
        <w:pStyle w:val="Compact"/>
      </w:pPr>
      <w:r>
        <w:t xml:space="preserve">2021 · Sarker P ·</w:t>
      </w:r>
      <w:r>
        <w:t xml:space="preserve"> </w:t>
      </w:r>
      <w:r>
        <w:rPr>
          <w:iCs/>
          <w:i/>
        </w:rPr>
        <w:t xml:space="preserve">J Infect Dis</w:t>
      </w:r>
      <w:r>
        <w:t xml:space="preserve"> </w:t>
      </w:r>
      <w:r>
        <w:t xml:space="preserve">· Functional Antibodies and Innate Immune Responses to WRSS1, a Live Oral Shigella sonnei Vaccine Candidate, in Bangladeshi Adults and Children. PMID 34374425</w:t>
      </w:r>
    </w:p>
    <w:p>
      <w:pPr>
        <w:numPr>
          <w:ilvl w:val="0"/>
          <w:numId w:val="1392"/>
        </w:numPr>
        <w:pStyle w:val="Compact"/>
      </w:pPr>
      <w:r>
        <w:t xml:space="preserve">2021 · Chen K ·</w:t>
      </w:r>
      <w:r>
        <w:t xml:space="preserve"> </w:t>
      </w:r>
      <w:r>
        <w:rPr>
          <w:iCs/>
          <w:i/>
        </w:rPr>
        <w:t xml:space="preserve">Nutrition</w:t>
      </w:r>
      <w:r>
        <w:t xml:space="preserve"> </w:t>
      </w:r>
      <w:r>
        <w:t xml:space="preserve">· Dose effect of bovine lactoferrin fortification on diarrhea and respiratory tract infections in weaned infants with anemia: A randomized, controlled trial. PMID 34102559</w:t>
      </w:r>
    </w:p>
    <w:p>
      <w:pPr>
        <w:numPr>
          <w:ilvl w:val="0"/>
          <w:numId w:val="1392"/>
        </w:numPr>
        <w:pStyle w:val="Compact"/>
      </w:pPr>
      <w:r>
        <w:t xml:space="preserve">2021 · Gregório PC ·</w:t>
      </w:r>
      <w:r>
        <w:t xml:space="preserve"> </w:t>
      </w:r>
      <w:r>
        <w:rPr>
          <w:iCs/>
          <w:i/>
        </w:rPr>
        <w:t xml:space="preserve">Clinics (Sao Paulo)</w:t>
      </w:r>
      <w:r>
        <w:t xml:space="preserve"> </w:t>
      </w:r>
      <w:r>
        <w:t xml:space="preserve">· In vitro anti-inflammatory effects of vitamin D supplementation may be blurred in hemodialysis patients. PMID 33624705</w:t>
      </w:r>
    </w:p>
    <w:p>
      <w:pPr>
        <w:numPr>
          <w:ilvl w:val="0"/>
          <w:numId w:val="1392"/>
        </w:numPr>
        <w:pStyle w:val="Compact"/>
      </w:pPr>
      <w:r>
        <w:t xml:space="preserve">2021 · Farsi F ·</w:t>
      </w:r>
      <w:r>
        <w:t xml:space="preserve"> </w:t>
      </w:r>
      <w:r>
        <w:rPr>
          <w:iCs/>
          <w:i/>
        </w:rPr>
        <w:t xml:space="preserve">Eur J Nutr</w:t>
      </w:r>
      <w:r>
        <w:t xml:space="preserve"> </w:t>
      </w:r>
      <w:r>
        <w:t xml:space="preserve">· A randomized controlled trial on the coloprotective effect of coenzyme Q10 on immune-inflammatory cytokines, oxidative status, antimicrobial peptides, and microRNA-146a expression in patients with mild-to-moderate ulcerative colitis. PMID 33620550</w:t>
      </w:r>
    </w:p>
    <w:p>
      <w:pPr>
        <w:numPr>
          <w:ilvl w:val="0"/>
          <w:numId w:val="1392"/>
        </w:numPr>
        <w:pStyle w:val="Compact"/>
      </w:pPr>
      <w:r>
        <w:t xml:space="preserve">2021 · Harrison SE ·</w:t>
      </w:r>
      <w:r>
        <w:t xml:space="preserve"> </w:t>
      </w:r>
      <w:r>
        <w:rPr>
          <w:iCs/>
          <w:i/>
        </w:rPr>
        <w:t xml:space="preserve">Med Sci Sports Exerc</w:t>
      </w:r>
      <w:r>
        <w:t xml:space="preserve"> </w:t>
      </w:r>
      <w:r>
        <w:t xml:space="preserve">· Influence of Vitamin D Supplementation by Simulated Sunlight or Oral D3 on Respiratory Infection during Military Training. PMID 33481482</w:t>
      </w:r>
    </w:p>
    <w:p>
      <w:pPr>
        <w:numPr>
          <w:ilvl w:val="0"/>
          <w:numId w:val="1392"/>
        </w:numPr>
        <w:pStyle w:val="Compact"/>
      </w:pPr>
      <w:r>
        <w:t xml:space="preserve">2020 · Entrenas Castillo M ·</w:t>
      </w:r>
      <w:r>
        <w:t xml:space="preserve"> </w:t>
      </w:r>
      <w:r>
        <w:rPr>
          <w:iCs/>
          <w:i/>
        </w:rPr>
        <w:t xml:space="preserve">J Steroid Biochem Mol Biol</w:t>
      </w:r>
      <w:r>
        <w:t xml:space="preserve"> </w:t>
      </w:r>
      <w:r>
        <w:t xml:space="preserve">·</w:t>
      </w:r>
      <w:r>
        <w:t xml:space="preserve"> </w:t>
      </w:r>
      <w:r>
        <w:t xml:space="preserve">“</w:t>
      </w:r>
      <w:r>
        <w:t xml:space="preserve">Effect of calcifediol treatment and best available therapy versus best available therapy on intensive care unit admission and mortality among patients hospitalized for COVID-19: A pilot randomized clinical study</w:t>
      </w:r>
      <w:r>
        <w:t xml:space="preserve">”</w:t>
      </w:r>
      <w:r>
        <w:t xml:space="preserve">. PMID 32871238</w:t>
      </w:r>
    </w:p>
    <w:p>
      <w:pPr>
        <w:numPr>
          <w:ilvl w:val="0"/>
          <w:numId w:val="1392"/>
        </w:numPr>
        <w:pStyle w:val="Compact"/>
      </w:pPr>
      <w:r>
        <w:t xml:space="preserve">2020 · Vargas Buonfiglio LG ·</w:t>
      </w:r>
      <w:r>
        <w:t xml:space="preserve"> </w:t>
      </w:r>
      <w:r>
        <w:rPr>
          <w:iCs/>
          <w:i/>
        </w:rPr>
        <w:t xml:space="preserve">Nutrients</w:t>
      </w:r>
      <w:r>
        <w:t xml:space="preserve"> </w:t>
      </w:r>
      <w:r>
        <w:t xml:space="preserve">· Seasonal Antimicrobial Activity of the Airway: Post-Hoc Analysis of a Randomized Placebo-Controlled Double-Blind Trial. PMID 32867053</w:t>
      </w:r>
    </w:p>
    <w:p>
      <w:pPr>
        <w:numPr>
          <w:ilvl w:val="0"/>
          <w:numId w:val="1392"/>
        </w:numPr>
        <w:pStyle w:val="Compact"/>
      </w:pPr>
      <w:r>
        <w:t xml:space="preserve">2020 · Banke IJ ·</w:t>
      </w:r>
      <w:r>
        <w:t xml:space="preserve"> </w:t>
      </w:r>
      <w:r>
        <w:rPr>
          <w:iCs/>
          <w:i/>
        </w:rPr>
        <w:t xml:space="preserve">Eur J Med Res</w:t>
      </w:r>
      <w:r>
        <w:t xml:space="preserve"> </w:t>
      </w:r>
      <w:r>
        <w:t xml:space="preserve">· Antimicrobial peptides in human synovial membrane as (low-grade) periprosthetic joint infection biomarkers. PMID 32799924</w:t>
      </w:r>
    </w:p>
    <w:p>
      <w:pPr>
        <w:numPr>
          <w:ilvl w:val="0"/>
          <w:numId w:val="1392"/>
        </w:numPr>
        <w:pStyle w:val="Compact"/>
      </w:pPr>
      <w:r>
        <w:t xml:space="preserve">2020 · Nocerino R ·</w:t>
      </w:r>
      <w:r>
        <w:t xml:space="preserve"> </w:t>
      </w:r>
      <w:r>
        <w:rPr>
          <w:iCs/>
          <w:i/>
        </w:rPr>
        <w:t xml:space="preserve">Aliment Pharmacol Ther</w:t>
      </w:r>
      <w:r>
        <w:t xml:space="preserve"> </w:t>
      </w:r>
      <w:r>
        <w:t xml:space="preserve">· The therapeutic efficacy of Bifidobacterium animalis subsp. lactis BB-12(®) in infant colic: A randomised, double blind, placebo-controlled trial. PMID 31797399</w:t>
      </w:r>
    </w:p>
    <w:p>
      <w:pPr>
        <w:numPr>
          <w:ilvl w:val="0"/>
          <w:numId w:val="1392"/>
        </w:numPr>
        <w:pStyle w:val="Compact"/>
      </w:pPr>
      <w:r>
        <w:t xml:space="preserve">2019 · Huang X ·</w:t>
      </w:r>
      <w:r>
        <w:t xml:space="preserve"> </w:t>
      </w:r>
      <w:r>
        <w:rPr>
          <w:iCs/>
          <w:i/>
        </w:rPr>
        <w:t xml:space="preserve">Sci Rep</w:t>
      </w:r>
      <w:r>
        <w:t xml:space="preserve"> </w:t>
      </w:r>
      <w:r>
        <w:t xml:space="preserve">· Differential DAMP release was observed in the sputum of COPD, asthma and asthma-COPD overlap (ACO) patients. PMID 31848359</w:t>
      </w:r>
    </w:p>
    <w:p>
      <w:pPr>
        <w:numPr>
          <w:ilvl w:val="0"/>
          <w:numId w:val="1392"/>
        </w:numPr>
        <w:pStyle w:val="Compact"/>
      </w:pPr>
      <w:r>
        <w:t xml:space="preserve">2019 · Missailidis C ·</w:t>
      </w:r>
      <w:r>
        <w:t xml:space="preserve"> </w:t>
      </w:r>
      <w:r>
        <w:rPr>
          <w:iCs/>
          <w:i/>
        </w:rPr>
        <w:t xml:space="preserve">Nutrients</w:t>
      </w:r>
      <w:r>
        <w:t xml:space="preserve"> </w:t>
      </w:r>
      <w:r>
        <w:t xml:space="preserve">· Vitamin D and Phenylbutyrate Supplementation Does Not Modulate Gut Derived Immune Activation in HIV-1. PMID 31330899</w:t>
      </w:r>
    </w:p>
    <w:p>
      <w:pPr>
        <w:numPr>
          <w:ilvl w:val="0"/>
          <w:numId w:val="1392"/>
        </w:numPr>
        <w:pStyle w:val="Compact"/>
      </w:pPr>
      <w:r>
        <w:t xml:space="preserve">2019 · Scott JM ·</w:t>
      </w:r>
      <w:r>
        <w:t xml:space="preserve"> </w:t>
      </w:r>
      <w:r>
        <w:rPr>
          <w:iCs/>
          <w:i/>
        </w:rPr>
        <w:t xml:space="preserve">Scand J Med Sci Sports</w:t>
      </w:r>
      <w:r>
        <w:t xml:space="preserve"> </w:t>
      </w:r>
      <w:r>
        <w:t xml:space="preserve">· Effects of vitamin D supplementation on salivary immune responses during Marine Corps basic training. PMID 31099085</w:t>
      </w:r>
    </w:p>
    <w:p>
      <w:pPr>
        <w:numPr>
          <w:ilvl w:val="0"/>
          <w:numId w:val="1392"/>
        </w:numPr>
        <w:pStyle w:val="Compact"/>
      </w:pPr>
      <w:r>
        <w:t xml:space="preserve">2019 · Cao Y ·</w:t>
      </w:r>
      <w:r>
        <w:t xml:space="preserve"> </w:t>
      </w:r>
      <w:r>
        <w:rPr>
          <w:iCs/>
          <w:i/>
        </w:rPr>
        <w:t xml:space="preserve">Clin Exp Allergy</w:t>
      </w:r>
      <w:r>
        <w:t xml:space="preserve"> </w:t>
      </w:r>
      <w:r>
        <w:t xml:space="preserve">· LL-37 promotes neutrophil extracellular trap formation in chronic rhinosinusitis with nasal polyps. PMID 31046155</w:t>
      </w:r>
    </w:p>
    <w:p>
      <w:pPr>
        <w:numPr>
          <w:ilvl w:val="0"/>
          <w:numId w:val="1392"/>
        </w:numPr>
        <w:pStyle w:val="Compact"/>
      </w:pPr>
      <w:r>
        <w:t xml:space="preserve">2019 · Goncalves-Mendes N ·</w:t>
      </w:r>
      <w:r>
        <w:t xml:space="preserve"> </w:t>
      </w:r>
      <w:r>
        <w:rPr>
          <w:iCs/>
          <w:i/>
        </w:rPr>
        <w:t xml:space="preserve">Front Immunol</w:t>
      </w:r>
      <w:r>
        <w:t xml:space="preserve"> </w:t>
      </w:r>
      <w:r>
        <w:t xml:space="preserve">· Impact of Vitamin D Supplementation on Influenza Vaccine Response and Immune Functions in Deficient Elderly Persons: A Randomized Placebo-Controlled Trial. PMID 30800121</w:t>
      </w:r>
    </w:p>
    <w:p>
      <w:pPr>
        <w:numPr>
          <w:ilvl w:val="0"/>
          <w:numId w:val="1392"/>
        </w:numPr>
        <w:pStyle w:val="Compact"/>
      </w:pPr>
      <w:r>
        <w:t xml:space="preserve">2019 · Tangpricha V ·</w:t>
      </w:r>
      <w:r>
        <w:t xml:space="preserve"> </w:t>
      </w:r>
      <w:r>
        <w:rPr>
          <w:iCs/>
          <w:i/>
        </w:rPr>
        <w:t xml:space="preserve">Am J Clin Nutr</w:t>
      </w:r>
      <w:r>
        <w:t xml:space="preserve"> </w:t>
      </w:r>
      <w:r>
        <w:t xml:space="preserve">· Vitamin D for the Immune System in Cystic Fibrosis (DISC): a double-blind, multicenter, randomized, placebo-controlled clinical trial. PMID 30793177</w:t>
      </w:r>
    </w:p>
    <w:p>
      <w:pPr>
        <w:numPr>
          <w:ilvl w:val="0"/>
          <w:numId w:val="1392"/>
        </w:numPr>
        <w:pStyle w:val="Compact"/>
      </w:pPr>
      <w:r>
        <w:t xml:space="preserve">2019 · Hauger H ·</w:t>
      </w:r>
      <w:r>
        <w:t xml:space="preserve"> </w:t>
      </w:r>
      <w:r>
        <w:rPr>
          <w:iCs/>
          <w:i/>
        </w:rPr>
        <w:t xml:space="preserve">Eur J Nutr</w:t>
      </w:r>
      <w:r>
        <w:t xml:space="preserve"> </w:t>
      </w:r>
      <w:r>
        <w:t xml:space="preserve">· Winter cholecalciferol supplementation at 55°N has little effect on markers of innate immune defense in healthy children aged 4-8 years: a secondary analysis from a randomized controlled trial. PMID 29572676</w:t>
      </w:r>
    </w:p>
    <w:p>
      <w:pPr>
        <w:numPr>
          <w:ilvl w:val="0"/>
          <w:numId w:val="1392"/>
        </w:numPr>
        <w:pStyle w:val="Compact"/>
      </w:pPr>
      <w:r>
        <w:t xml:space="preserve">2018 · Savonius O ·</w:t>
      </w:r>
      <w:r>
        <w:t xml:space="preserve"> </w:t>
      </w:r>
      <w:r>
        <w:rPr>
          <w:iCs/>
          <w:i/>
        </w:rPr>
        <w:t xml:space="preserve">Acta Paediatr</w:t>
      </w:r>
      <w:r>
        <w:t xml:space="preserve"> </w:t>
      </w:r>
      <w:r>
        <w:t xml:space="preserve">· Vitamin D was not associated with survival or cerebrospinal fluid cathelicidin levels in children with bacterial meningitis. PMID 29751358</w:t>
      </w:r>
    </w:p>
    <w:p>
      <w:pPr>
        <w:numPr>
          <w:ilvl w:val="0"/>
          <w:numId w:val="1392"/>
        </w:numPr>
        <w:pStyle w:val="Compact"/>
      </w:pPr>
      <w:r>
        <w:t xml:space="preserve">2018 · Ramos-Martínez E ·</w:t>
      </w:r>
      <w:r>
        <w:t xml:space="preserve"> </w:t>
      </w:r>
      <w:r>
        <w:rPr>
          <w:iCs/>
          <w:i/>
        </w:rPr>
        <w:t xml:space="preserve">Cytokine</w:t>
      </w:r>
      <w:r>
        <w:t xml:space="preserve"> </w:t>
      </w:r>
      <w:r>
        <w:t xml:space="preserve">· Reduction of respiratory infections in asthma patients supplemented with vitamin D is related to increased serum IL-10 and IFNγ levels and cathelicidin expression. PMID 29402723</w:t>
      </w:r>
    </w:p>
    <w:p>
      <w:pPr>
        <w:numPr>
          <w:ilvl w:val="0"/>
          <w:numId w:val="1392"/>
        </w:numPr>
        <w:pStyle w:val="Compact"/>
      </w:pPr>
      <w:r>
        <w:t xml:space="preserve">2018 · Savonius O ·</w:t>
      </w:r>
      <w:r>
        <w:t xml:space="preserve"> </w:t>
      </w:r>
      <w:r>
        <w:rPr>
          <w:iCs/>
          <w:i/>
        </w:rPr>
        <w:t xml:space="preserve">Pediatr Infect Dis J</w:t>
      </w:r>
      <w:r>
        <w:t xml:space="preserve"> </w:t>
      </w:r>
      <w:r>
        <w:t xml:space="preserve">· Cerebrospinal Fluid Cathelicidin Correlates With the Bacterial Load and Outcomes in Childhood Bacterial Meningitis. PMID 28827496</w:t>
      </w:r>
    </w:p>
    <w:p>
      <w:pPr>
        <w:numPr>
          <w:ilvl w:val="0"/>
          <w:numId w:val="1392"/>
        </w:numPr>
        <w:pStyle w:val="Compact"/>
      </w:pPr>
      <w:r>
        <w:t xml:space="preserve">2018 · Alvarez JA ·</w:t>
      </w:r>
      <w:r>
        <w:t xml:space="preserve"> </w:t>
      </w:r>
      <w:r>
        <w:rPr>
          <w:iCs/>
          <w:i/>
        </w:rPr>
        <w:t xml:space="preserve">J Steroid Biochem Mol Biol</w:t>
      </w:r>
      <w:r>
        <w:t xml:space="preserve"> </w:t>
      </w:r>
      <w:r>
        <w:t xml:space="preserve">· Vitamin D deficiency is associated with an oxidized plasma cysteine redox potential in critically Ill children. PMID 27641738</w:t>
      </w:r>
    </w:p>
    <w:p>
      <w:pPr>
        <w:numPr>
          <w:ilvl w:val="0"/>
          <w:numId w:val="1392"/>
        </w:numPr>
        <w:pStyle w:val="Compact"/>
      </w:pPr>
      <w:r>
        <w:t xml:space="preserve">2017 · Sigal GB ·</w:t>
      </w:r>
      <w:r>
        <w:t xml:space="preserve"> </w:t>
      </w:r>
      <w:r>
        <w:rPr>
          <w:iCs/>
          <w:i/>
        </w:rPr>
        <w:t xml:space="preserve">EBioMedicine</w:t>
      </w:r>
      <w:r>
        <w:t xml:space="preserve"> </w:t>
      </w:r>
      <w:r>
        <w:t xml:space="preserve">· Biomarkers of Tuberculosis Severity and Treatment Effect: A Directed Screen of 70 Host Markers in a Randomized Clinical Trial. PMID 29100778</w:t>
      </w:r>
    </w:p>
    <w:p>
      <w:pPr>
        <w:numPr>
          <w:ilvl w:val="0"/>
          <w:numId w:val="1392"/>
        </w:numPr>
        <w:pStyle w:val="Compact"/>
      </w:pPr>
      <w:r>
        <w:t xml:space="preserve">2017 · Wirth PJ ·</w:t>
      </w:r>
      <w:r>
        <w:t xml:space="preserve"> </w:t>
      </w:r>
      <w:r>
        <w:rPr>
          <w:iCs/>
          <w:i/>
        </w:rPr>
        <w:t xml:space="preserve">Skin Therapy Lett</w:t>
      </w:r>
      <w:r>
        <w:t xml:space="preserve"> </w:t>
      </w:r>
      <w:r>
        <w:t xml:space="preserve">· Real-World Efficacy of Azelaic Acid 15% Gel for the Reduction of Inflammatory Lesions of Rosacea. PMID 29091380</w:t>
      </w:r>
    </w:p>
    <w:p>
      <w:pPr>
        <w:numPr>
          <w:ilvl w:val="0"/>
          <w:numId w:val="1392"/>
        </w:numPr>
        <w:pStyle w:val="Compact"/>
      </w:pPr>
      <w:r>
        <w:t xml:space="preserve">2017 · Uruska A ·</w:t>
      </w:r>
      <w:r>
        <w:t xml:space="preserve"> </w:t>
      </w:r>
      <w:r>
        <w:rPr>
          <w:iCs/>
          <w:i/>
        </w:rPr>
        <w:t xml:space="preserve">Clin Biochem</w:t>
      </w:r>
      <w:r>
        <w:t xml:space="preserve"> </w:t>
      </w:r>
      <w:r>
        <w:t xml:space="preserve">· Is cathelicidin a novel marker of diabetic microangiopathy in patients with type 1 diabetes?. PMID 28964758</w:t>
      </w:r>
    </w:p>
    <w:p>
      <w:pPr>
        <w:numPr>
          <w:ilvl w:val="0"/>
          <w:numId w:val="1392"/>
        </w:numPr>
        <w:pStyle w:val="Compact"/>
      </w:pPr>
      <w:r>
        <w:t xml:space="preserve">2017 · Majewski K ·</w:t>
      </w:r>
      <w:r>
        <w:t xml:space="preserve"> </w:t>
      </w:r>
      <w:r>
        <w:rPr>
          <w:iCs/>
          <w:i/>
        </w:rPr>
        <w:t xml:space="preserve">J Biol Regul Homeost Agents</w:t>
      </w:r>
      <w:r>
        <w:t xml:space="preserve"> </w:t>
      </w:r>
      <w:r>
        <w:t xml:space="preserve">· Serum level of cathelicidin LL-37 in patients with active tuberculosis and other infectious diseases. PMID 28956425</w:t>
      </w:r>
    </w:p>
    <w:p>
      <w:pPr>
        <w:numPr>
          <w:ilvl w:val="0"/>
          <w:numId w:val="1392"/>
        </w:numPr>
        <w:pStyle w:val="Compact"/>
      </w:pPr>
      <w:r>
        <w:t xml:space="preserve">2017 · Corsello G ·</w:t>
      </w:r>
      <w:r>
        <w:t xml:space="preserve"> </w:t>
      </w:r>
      <w:r>
        <w:rPr>
          <w:iCs/>
          <w:i/>
        </w:rPr>
        <w:t xml:space="preserve">Nutrients</w:t>
      </w:r>
      <w:r>
        <w:t xml:space="preserve"> </w:t>
      </w:r>
      <w:r>
        <w:t xml:space="preserve">· Preventive Effect of Cow’s Milk Fermented with Lactobacillus paracasei CBA L74 on Common Infectious Diseases in Children: A Multicenter Randomized Controlled Trial. PMID 28654019</w:t>
      </w:r>
    </w:p>
    <w:p>
      <w:pPr>
        <w:numPr>
          <w:ilvl w:val="0"/>
          <w:numId w:val="1392"/>
        </w:numPr>
        <w:pStyle w:val="Compact"/>
      </w:pPr>
      <w:r>
        <w:t xml:space="preserve">2017 · Han JE ·</w:t>
      </w:r>
      <w:r>
        <w:t xml:space="preserve"> </w:t>
      </w:r>
      <w:r>
        <w:rPr>
          <w:iCs/>
          <w:i/>
        </w:rPr>
        <w:t xml:space="preserve">Nutrition</w:t>
      </w:r>
      <w:r>
        <w:t xml:space="preserve"> </w:t>
      </w:r>
      <w:r>
        <w:t xml:space="preserve">· Impact of high-dose vitamin D(3) on plasma free 25-hydroxyvitamin D concentrations and antimicrobial peptides in critically ill mechanically ventilated adults. PMID 28526374</w:t>
      </w:r>
    </w:p>
    <w:p>
      <w:pPr>
        <w:numPr>
          <w:ilvl w:val="0"/>
          <w:numId w:val="1392"/>
        </w:numPr>
        <w:pStyle w:val="Compact"/>
      </w:pPr>
      <w:r>
        <w:t xml:space="preserve">2017 · Nakatsuji T ·</w:t>
      </w:r>
      <w:r>
        <w:t xml:space="preserve"> </w:t>
      </w:r>
      <w:r>
        <w:rPr>
          <w:iCs/>
          <w:i/>
        </w:rPr>
        <w:t xml:space="preserve">Sci Transl Med</w:t>
      </w:r>
      <w:r>
        <w:t xml:space="preserve"> </w:t>
      </w:r>
      <w:r>
        <w:t xml:space="preserve">· Antimicrobials from human skin commensal bacteria protect against Staphylococcus aureus and are deficient in atopic dermatitis. PMID 28228596</w:t>
      </w:r>
    </w:p>
    <w:p>
      <w:pPr>
        <w:numPr>
          <w:ilvl w:val="0"/>
          <w:numId w:val="1392"/>
        </w:numPr>
        <w:pStyle w:val="Compact"/>
      </w:pPr>
      <w:r>
        <w:t xml:space="preserve">2017 · Majewski K ·</w:t>
      </w:r>
      <w:r>
        <w:t xml:space="preserve"> </w:t>
      </w:r>
      <w:r>
        <w:rPr>
          <w:iCs/>
          <w:i/>
        </w:rPr>
        <w:t xml:space="preserve">Clin Invest Med</w:t>
      </w:r>
      <w:r>
        <w:t xml:space="preserve"> </w:t>
      </w:r>
      <w:r>
        <w:t xml:space="preserve">· Circulating cathelicidin LL-37 in adult patients with pulmonary infectious diseases. PMID 28218580</w:t>
      </w:r>
    </w:p>
    <w:p>
      <w:pPr>
        <w:numPr>
          <w:ilvl w:val="0"/>
          <w:numId w:val="1392"/>
        </w:numPr>
        <w:pStyle w:val="Compact"/>
      </w:pPr>
      <w:r>
        <w:t xml:space="preserve">2017 · Mathapathi MS ·</w:t>
      </w:r>
      <w:r>
        <w:t xml:space="preserve"> </w:t>
      </w:r>
      <w:r>
        <w:rPr>
          <w:iCs/>
          <w:i/>
        </w:rPr>
        <w:t xml:space="preserve">Exp Dermatol</w:t>
      </w:r>
      <w:r>
        <w:t xml:space="preserve"> </w:t>
      </w:r>
      <w:r>
        <w:t xml:space="preserve">· Niacinamide leave-on formulation provides long-lasting protection against bacteria in vivo. PMID 28094872</w:t>
      </w:r>
    </w:p>
    <w:p>
      <w:pPr>
        <w:numPr>
          <w:ilvl w:val="0"/>
          <w:numId w:val="1392"/>
        </w:numPr>
        <w:pStyle w:val="Compact"/>
      </w:pPr>
      <w:r>
        <w:t xml:space="preserve">2017 · Todd JJ ·</w:t>
      </w:r>
      <w:r>
        <w:t xml:space="preserve"> </w:t>
      </w:r>
      <w:r>
        <w:rPr>
          <w:iCs/>
          <w:i/>
        </w:rPr>
        <w:t xml:space="preserve">Scand J Med Sci Sports</w:t>
      </w:r>
      <w:r>
        <w:t xml:space="preserve"> </w:t>
      </w:r>
      <w:r>
        <w:t xml:space="preserve">· Oral spray wintertime vitamin D(3) supplementation has no impact on inflammation in Gaelic footballers. PMID 27704631</w:t>
      </w:r>
    </w:p>
    <w:p>
      <w:pPr>
        <w:numPr>
          <w:ilvl w:val="0"/>
          <w:numId w:val="1392"/>
        </w:numPr>
        <w:pStyle w:val="Compact"/>
      </w:pPr>
      <w:r>
        <w:t xml:space="preserve">2017 · Nocerino R ·</w:t>
      </w:r>
      <w:r>
        <w:t xml:space="preserve"> </w:t>
      </w:r>
      <w:r>
        <w:rPr>
          <w:iCs/>
          <w:i/>
        </w:rPr>
        <w:t xml:space="preserve">Clin Nutr</w:t>
      </w:r>
      <w:r>
        <w:t xml:space="preserve"> </w:t>
      </w:r>
      <w:r>
        <w:t xml:space="preserve">· Cow’s milk and rice fermented with Lactobacillus paracasei CBA L74 prevent infectious diseases in children: A randomized controlled trial. PMID 26732025</w:t>
      </w:r>
    </w:p>
    <w:p>
      <w:pPr>
        <w:numPr>
          <w:ilvl w:val="0"/>
          <w:numId w:val="1392"/>
        </w:numPr>
        <w:pStyle w:val="Compact"/>
      </w:pPr>
      <w:r>
        <w:t xml:space="preserve">2016 · Gupta P ·</w:t>
      </w:r>
      <w:r>
        <w:t xml:space="preserve"> </w:t>
      </w:r>
      <w:r>
        <w:rPr>
          <w:iCs/>
          <w:i/>
        </w:rPr>
        <w:t xml:space="preserve">Indian Pediatr</w:t>
      </w:r>
      <w:r>
        <w:t xml:space="preserve"> </w:t>
      </w:r>
      <w:r>
        <w:t xml:space="preserve">· Vitamin D Supplementation for Treatment and Prevention of Pneumonia in Under-five Children: A Randomized Double-blind Placebo Controlled Trial. PMID 27889723</w:t>
      </w:r>
    </w:p>
    <w:p>
      <w:pPr>
        <w:numPr>
          <w:ilvl w:val="0"/>
          <w:numId w:val="1392"/>
        </w:numPr>
        <w:pStyle w:val="Compact"/>
      </w:pPr>
      <w:r>
        <w:t xml:space="preserve">2016 · Zheng JQ ·</w:t>
      </w:r>
      <w:r>
        <w:t xml:space="preserve"> </w:t>
      </w:r>
      <w:r>
        <w:rPr>
          <w:iCs/>
          <w:i/>
        </w:rPr>
        <w:t xml:space="preserve">Nutrients</w:t>
      </w:r>
      <w:r>
        <w:t xml:space="preserve"> </w:t>
      </w:r>
      <w:r>
        <w:t xml:space="preserve">· Cholecalciferol Additively Reduces Serum Parathyroid Hormone and Increases Vitamin D and Cathelicidin Levels in Paricalcitol-Treated Secondary Hyperparathyroid Hemodialysis Patients. PMID 27827962</w:t>
      </w:r>
    </w:p>
    <w:p>
      <w:pPr>
        <w:numPr>
          <w:ilvl w:val="0"/>
          <w:numId w:val="1392"/>
        </w:numPr>
        <w:pStyle w:val="Compact"/>
      </w:pPr>
      <w:r>
        <w:t xml:space="preserve">2016 · Sharifi A ·</w:t>
      </w:r>
      <w:r>
        <w:t xml:space="preserve"> </w:t>
      </w:r>
      <w:r>
        <w:rPr>
          <w:iCs/>
          <w:i/>
        </w:rPr>
        <w:t xml:space="preserve">Saudi J Gastroenterol</w:t>
      </w:r>
      <w:r>
        <w:t xml:space="preserve"> </w:t>
      </w:r>
      <w:r>
        <w:t xml:space="preserve">· A randomized controlled trial on the effect of vitamin D3 on inflammation and cathelicidin gene expression in ulcerative colitis patients. PMID 27488327</w:t>
      </w:r>
    </w:p>
    <w:p>
      <w:pPr>
        <w:numPr>
          <w:ilvl w:val="0"/>
          <w:numId w:val="1392"/>
        </w:numPr>
        <w:pStyle w:val="Compact"/>
      </w:pPr>
      <w:r>
        <w:t xml:space="preserve">2016 · Two AM ·</w:t>
      </w:r>
      <w:r>
        <w:t xml:space="preserve"> </w:t>
      </w:r>
      <w:r>
        <w:rPr>
          <w:iCs/>
          <w:i/>
        </w:rPr>
        <w:t xml:space="preserve">J Invest Dermatol</w:t>
      </w:r>
      <w:r>
        <w:t xml:space="preserve"> </w:t>
      </w:r>
      <w:r>
        <w:t xml:space="preserve">· The Cutaneous Microbiome and Aspects of Skin Antimicrobial Defense System Resist Acute Treatment with Topical Skin Cleansers. PMID 27377698</w:t>
      </w:r>
    </w:p>
    <w:p>
      <w:pPr>
        <w:numPr>
          <w:ilvl w:val="0"/>
          <w:numId w:val="1392"/>
        </w:numPr>
        <w:pStyle w:val="Compact"/>
      </w:pPr>
      <w:r>
        <w:t xml:space="preserve">2016 · Di Nardo A ·</w:t>
      </w:r>
      <w:r>
        <w:t xml:space="preserve"> </w:t>
      </w:r>
      <w:r>
        <w:rPr>
          <w:iCs/>
          <w:i/>
        </w:rPr>
        <w:t xml:space="preserve">J Am Acad Dermatol</w:t>
      </w:r>
      <w:r>
        <w:t xml:space="preserve"> </w:t>
      </w:r>
      <w:r>
        <w:t xml:space="preserve">· Improved clinical outcome and biomarkers in adults with papulopustular rosacea treated with doxycycline modified-release capsules in a randomized trial. PMID 26951940</w:t>
      </w:r>
    </w:p>
    <w:p>
      <w:pPr>
        <w:numPr>
          <w:ilvl w:val="0"/>
          <w:numId w:val="1392"/>
        </w:numPr>
        <w:pStyle w:val="Compact"/>
      </w:pPr>
      <w:r>
        <w:t xml:space="preserve">2016 · He CS ·</w:t>
      </w:r>
      <w:r>
        <w:t xml:space="preserve"> </w:t>
      </w:r>
      <w:r>
        <w:rPr>
          <w:iCs/>
          <w:i/>
        </w:rPr>
        <w:t xml:space="preserve">J Sports Sci</w:t>
      </w:r>
      <w:r>
        <w:t xml:space="preserve"> </w:t>
      </w:r>
      <w:r>
        <w:t xml:space="preserve">· The effect of 14 weeks of vitamin D3 supplementation on antimicrobial peptides and proteins in athletes. PMID 25861808</w:t>
      </w:r>
    </w:p>
    <w:p>
      <w:pPr>
        <w:numPr>
          <w:ilvl w:val="0"/>
          <w:numId w:val="1392"/>
        </w:numPr>
        <w:pStyle w:val="Compact"/>
      </w:pPr>
      <w:r>
        <w:t xml:space="preserve">2015 · Udompataikul M ·</w:t>
      </w:r>
      <w:r>
        <w:t xml:space="preserve"> </w:t>
      </w:r>
      <w:r>
        <w:rPr>
          <w:iCs/>
          <w:i/>
        </w:rPr>
        <w:t xml:space="preserve">J Med Assoc Thai</w:t>
      </w:r>
      <w:r>
        <w:t xml:space="preserve"> </w:t>
      </w:r>
      <w:r>
        <w:t xml:space="preserve">· The Effects of Oral Vitamin D Supplement on Atopic Dermatitis: A Clinical Trial with Staphylococcus aureus Colonization Determination. PMID 26817206</w:t>
      </w:r>
    </w:p>
    <w:p>
      <w:pPr>
        <w:numPr>
          <w:ilvl w:val="0"/>
          <w:numId w:val="1392"/>
        </w:numPr>
        <w:pStyle w:val="Compact"/>
      </w:pPr>
      <w:r>
        <w:t xml:space="preserve">2015 · Thijs W ·</w:t>
      </w:r>
      <w:r>
        <w:t xml:space="preserve"> </w:t>
      </w:r>
      <w:r>
        <w:rPr>
          <w:iCs/>
          <w:i/>
        </w:rPr>
        <w:t xml:space="preserve">PLoS One</w:t>
      </w:r>
      <w:r>
        <w:t xml:space="preserve"> </w:t>
      </w:r>
      <w:r>
        <w:t xml:space="preserve">· Nasal Levels of Antimicrobial Peptides in Allergic Asthma Patients and Healthy Controls: Differences and Effect of a Short 1,25(OH)2 Vitamin D3 Treatment. PMID 26545199</w:t>
      </w:r>
    </w:p>
    <w:p>
      <w:pPr>
        <w:numPr>
          <w:ilvl w:val="0"/>
          <w:numId w:val="1392"/>
        </w:numPr>
        <w:pStyle w:val="Compact"/>
      </w:pPr>
      <w:r>
        <w:t xml:space="preserve">2015 · Mily A ·</w:t>
      </w:r>
      <w:r>
        <w:t xml:space="preserve"> </w:t>
      </w:r>
      <w:r>
        <w:rPr>
          <w:iCs/>
          <w:i/>
        </w:rPr>
        <w:t xml:space="preserve">PLoS One</w:t>
      </w:r>
      <w:r>
        <w:t xml:space="preserve"> </w:t>
      </w:r>
      <w:r>
        <w:t xml:space="preserve">· Significant Effects of Oral Phenylbutyrate and Vitamin D3 Adjunctive Therapy in Pulmonary Tuberculosis: A Randomized Controlled Trial. PMID 26394045</w:t>
      </w:r>
    </w:p>
    <w:p>
      <w:pPr>
        <w:numPr>
          <w:ilvl w:val="0"/>
          <w:numId w:val="1392"/>
        </w:numPr>
        <w:pStyle w:val="Compact"/>
      </w:pPr>
      <w:r>
        <w:t xml:space="preserve">2015 · Nair P ·</w:t>
      </w:r>
      <w:r>
        <w:t xml:space="preserve"> </w:t>
      </w:r>
      <w:r>
        <w:rPr>
          <w:iCs/>
          <w:i/>
        </w:rPr>
        <w:t xml:space="preserve">Crit Care Med</w:t>
      </w:r>
      <w:r>
        <w:t xml:space="preserve"> </w:t>
      </w:r>
      <w:r>
        <w:t xml:space="preserve">· A Randomized Study of a Single Dose of Intramuscular Cholecalciferol in Critically Ill Adults. PMID 26186566</w:t>
      </w:r>
    </w:p>
    <w:p>
      <w:pPr>
        <w:numPr>
          <w:ilvl w:val="0"/>
          <w:numId w:val="1392"/>
        </w:numPr>
        <w:pStyle w:val="Compact"/>
      </w:pPr>
      <w:r>
        <w:t xml:space="preserve">2015 · Quraishi SA ·</w:t>
      </w:r>
      <w:r>
        <w:t xml:space="preserve"> </w:t>
      </w:r>
      <w:r>
        <w:rPr>
          <w:iCs/>
          <w:i/>
        </w:rPr>
        <w:t xml:space="preserve">Crit Care Med</w:t>
      </w:r>
      <w:r>
        <w:t xml:space="preserve"> </w:t>
      </w:r>
      <w:r>
        <w:t xml:space="preserve">· Effect of Cholecalciferol Supplementation on Vitamin D Status and Cathelicidin Levels in Sepsis: A Randomized, Placebo-Controlled Trial. PMID 26086941</w:t>
      </w:r>
    </w:p>
    <w:p>
      <w:pPr>
        <w:numPr>
          <w:ilvl w:val="0"/>
          <w:numId w:val="1392"/>
        </w:numPr>
        <w:pStyle w:val="Compact"/>
      </w:pPr>
      <w:r>
        <w:t xml:space="preserve">2015 · Lachmann R ·</w:t>
      </w:r>
      <w:r>
        <w:t xml:space="preserve"> </w:t>
      </w:r>
      <w:r>
        <w:rPr>
          <w:iCs/>
          <w:i/>
        </w:rPr>
        <w:t xml:space="preserve">AIDS</w:t>
      </w:r>
      <w:r>
        <w:t xml:space="preserve"> </w:t>
      </w:r>
      <w:r>
        <w:t xml:space="preserve">· A comparative phase 1 clinical trial to identify anti-infective mechanisms of vitamin D in people with HIV infection. PMID 25870995</w:t>
      </w:r>
    </w:p>
    <w:p>
      <w:pPr>
        <w:numPr>
          <w:ilvl w:val="0"/>
          <w:numId w:val="1392"/>
        </w:numPr>
        <w:pStyle w:val="Compact"/>
      </w:pPr>
      <w:r>
        <w:t xml:space="preserve">2015 · Lim R ·</w:t>
      </w:r>
      <w:r>
        <w:t xml:space="preserve"> </w:t>
      </w:r>
      <w:r>
        <w:rPr>
          <w:iCs/>
          <w:i/>
        </w:rPr>
        <w:t xml:space="preserve">J Reprod Immunol</w:t>
      </w:r>
      <w:r>
        <w:t xml:space="preserve"> </w:t>
      </w:r>
      <w:r>
        <w:t xml:space="preserve">· Human cathelicidin antimicrobial protein 18 (hCAP18/LL-37) is increased in foetal membranes and myometrium after spontaneous labour and delivery. PMID 25435436</w:t>
      </w:r>
    </w:p>
    <w:p>
      <w:pPr>
        <w:numPr>
          <w:ilvl w:val="0"/>
          <w:numId w:val="1392"/>
        </w:numPr>
        <w:pStyle w:val="Compact"/>
      </w:pPr>
      <w:r>
        <w:t xml:space="preserve">2015 · Gad GI ·</w:t>
      </w:r>
      <w:r>
        <w:t xml:space="preserve"> </w:t>
      </w:r>
      <w:r>
        <w:rPr>
          <w:iCs/>
          <w:i/>
        </w:rPr>
        <w:t xml:space="preserve">J Matern Fetal Neonatal Med</w:t>
      </w:r>
      <w:r>
        <w:t xml:space="preserve"> </w:t>
      </w:r>
      <w:r>
        <w:t xml:space="preserve">· Diagnostic value of anti-microbial peptide, cathelicidin in congenital pneumonia. PMID 25354286</w:t>
      </w:r>
    </w:p>
    <w:p>
      <w:pPr>
        <w:numPr>
          <w:ilvl w:val="0"/>
          <w:numId w:val="1392"/>
        </w:numPr>
        <w:pStyle w:val="Compact"/>
      </w:pPr>
      <w:r>
        <w:t xml:space="preserve">2014 · Montreekachon P ·</w:t>
      </w:r>
      <w:r>
        <w:t xml:space="preserve"> </w:t>
      </w:r>
      <w:r>
        <w:rPr>
          <w:iCs/>
          <w:i/>
        </w:rPr>
        <w:t xml:space="preserve">Asian Pac J Allergy Immunol</w:t>
      </w:r>
      <w:r>
        <w:t xml:space="preserve"> </w:t>
      </w:r>
      <w:r>
        <w:t xml:space="preserve">· Favorable interleukin-8 induction in human gingival epithelial cells by the antimicrobial peptide LL-37. PMID 25268344</w:t>
      </w:r>
    </w:p>
    <w:p>
      <w:pPr>
        <w:numPr>
          <w:ilvl w:val="0"/>
          <w:numId w:val="1392"/>
        </w:numPr>
        <w:pStyle w:val="Compact"/>
      </w:pPr>
      <w:r>
        <w:t xml:space="preserve">2014 · Raqib R ·</w:t>
      </w:r>
      <w:r>
        <w:t xml:space="preserve"> </w:t>
      </w:r>
      <w:r>
        <w:rPr>
          <w:iCs/>
          <w:i/>
        </w:rPr>
        <w:t xml:space="preserve">Br J Nutr</w:t>
      </w:r>
      <w:r>
        <w:t xml:space="preserve"> </w:t>
      </w:r>
      <w:r>
        <w:t xml:space="preserve">· Prenatal vitamin D₃ supplementation suppresses LL-37 peptide expression in ex vivo activated neonatal macrophages but not their killing capacity. PMID 25089537</w:t>
      </w:r>
    </w:p>
    <w:p>
      <w:pPr>
        <w:numPr>
          <w:ilvl w:val="0"/>
          <w:numId w:val="1392"/>
        </w:numPr>
        <w:pStyle w:val="Compact"/>
      </w:pPr>
      <w:r>
        <w:t xml:space="preserve">2014 · Grönberg A ·</w:t>
      </w:r>
      <w:r>
        <w:t xml:space="preserve"> </w:t>
      </w:r>
      <w:r>
        <w:rPr>
          <w:iCs/>
          <w:i/>
        </w:rPr>
        <w:t xml:space="preserve">Wound Repair Regen</w:t>
      </w:r>
      <w:r>
        <w:t xml:space="preserve"> </w:t>
      </w:r>
      <w:r>
        <w:t xml:space="preserve">· Treatment with LL-37 is safe and effective in enhancing healing of hard-to-heal venous leg ulcers: a randomized, placebo-controlled clinical trial. PMID 25041740</w:t>
      </w:r>
    </w:p>
    <w:p>
      <w:pPr>
        <w:numPr>
          <w:ilvl w:val="0"/>
          <w:numId w:val="1392"/>
        </w:numPr>
        <w:pStyle w:val="Compact"/>
      </w:pPr>
      <w:r>
        <w:t xml:space="preserve">2014 · Leaf DE ·</w:t>
      </w:r>
      <w:r>
        <w:t xml:space="preserve"> </w:t>
      </w:r>
      <w:r>
        <w:rPr>
          <w:iCs/>
          <w:i/>
        </w:rPr>
        <w:t xml:space="preserve">Am J Respir Crit Care Med</w:t>
      </w:r>
      <w:r>
        <w:t xml:space="preserve"> </w:t>
      </w:r>
      <w:r>
        <w:t xml:space="preserve">· Randomized controlled trial of calcitriol in severe sepsis. PMID 25029202</w:t>
      </w:r>
    </w:p>
    <w:p>
      <w:pPr>
        <w:numPr>
          <w:ilvl w:val="0"/>
          <w:numId w:val="1392"/>
        </w:numPr>
        <w:pStyle w:val="Compact"/>
      </w:pPr>
      <w:r>
        <w:t xml:space="preserve">2014 · Koziel J ·</w:t>
      </w:r>
      <w:r>
        <w:t xml:space="preserve"> </w:t>
      </w:r>
      <w:r>
        <w:rPr>
          <w:iCs/>
          <w:i/>
        </w:rPr>
        <w:t xml:space="preserve">J Immunol</w:t>
      </w:r>
      <w:r>
        <w:t xml:space="preserve"> </w:t>
      </w:r>
      <w:r>
        <w:t xml:space="preserve">· Citrullination alters immunomodulatory function of LL-37 essential for prevention of endotoxin-induced sepsis. PMID 24771854</w:t>
      </w:r>
    </w:p>
    <w:p>
      <w:pPr>
        <w:numPr>
          <w:ilvl w:val="0"/>
          <w:numId w:val="1392"/>
        </w:numPr>
        <w:pStyle w:val="Compact"/>
      </w:pPr>
      <w:r>
        <w:t xml:space="preserve">2014 · Limoli DH ·</w:t>
      </w:r>
      <w:r>
        <w:t xml:space="preserve"> </w:t>
      </w:r>
      <w:r>
        <w:rPr>
          <w:iCs/>
          <w:i/>
        </w:rPr>
        <w:t xml:space="preserve">PLoS Pathog</w:t>
      </w:r>
      <w:r>
        <w:t xml:space="preserve"> </w:t>
      </w:r>
      <w:r>
        <w:t xml:space="preserve">· Cationic antimicrobial peptides promote microbial mutagenesis and pathoadaptation in chronic infections. PMID 24763694</w:t>
      </w:r>
    </w:p>
    <w:p>
      <w:pPr>
        <w:numPr>
          <w:ilvl w:val="0"/>
          <w:numId w:val="1392"/>
        </w:numPr>
        <w:pStyle w:val="Compact"/>
      </w:pPr>
      <w:r>
        <w:t xml:space="preserve">2014 · Wheelwright M ·</w:t>
      </w:r>
      <w:r>
        <w:t xml:space="preserve"> </w:t>
      </w:r>
      <w:r>
        <w:rPr>
          <w:iCs/>
          <w:i/>
        </w:rPr>
        <w:t xml:space="preserve">J Immunol</w:t>
      </w:r>
      <w:r>
        <w:t xml:space="preserve"> </w:t>
      </w:r>
      <w:r>
        <w:t xml:space="preserve">· All-trans retinoic acid-triggered antimicrobial activity against Mycobacterium tuberculosis is dependent on NPC2. PMID 24501203</w:t>
      </w:r>
    </w:p>
    <w:p>
      <w:pPr>
        <w:numPr>
          <w:ilvl w:val="0"/>
          <w:numId w:val="1392"/>
        </w:numPr>
        <w:pStyle w:val="Compact"/>
      </w:pPr>
      <w:r>
        <w:t xml:space="preserve">2014 · Das M ·</w:t>
      </w:r>
      <w:r>
        <w:t xml:space="preserve"> </w:t>
      </w:r>
      <w:r>
        <w:rPr>
          <w:iCs/>
          <w:i/>
        </w:rPr>
        <w:t xml:space="preserve">Eur J Clin Nutr</w:t>
      </w:r>
      <w:r>
        <w:t xml:space="preserve"> </w:t>
      </w:r>
      <w:r>
        <w:t xml:space="preserve">· Effect of vitamin D supplementation on cathelicidin, IFN-γ, IL-4 and Th1/Th2 transcription factors in young healthy females. PMID 24398649</w:t>
      </w:r>
    </w:p>
    <w:p>
      <w:pPr>
        <w:numPr>
          <w:ilvl w:val="0"/>
          <w:numId w:val="1392"/>
        </w:numPr>
        <w:pStyle w:val="Compact"/>
      </w:pPr>
      <w:r>
        <w:t xml:space="preserve">2014 · Hata TR ·</w:t>
      </w:r>
      <w:r>
        <w:t xml:space="preserve"> </w:t>
      </w:r>
      <w:r>
        <w:rPr>
          <w:iCs/>
          <w:i/>
        </w:rPr>
        <w:t xml:space="preserve">J Eur Acad Dermatol Venereol</w:t>
      </w:r>
      <w:r>
        <w:t xml:space="preserve"> </w:t>
      </w:r>
      <w:r>
        <w:t xml:space="preserve">· A randomized controlled double-blind investigation of the effects of vitamin D dietary supplementation in subjects with atopic dermatitis. PMID 23638978</w:t>
      </w:r>
    </w:p>
    <w:p>
      <w:pPr>
        <w:numPr>
          <w:ilvl w:val="0"/>
          <w:numId w:val="1392"/>
        </w:numPr>
        <w:pStyle w:val="Compact"/>
      </w:pPr>
      <w:r>
        <w:t xml:space="preserve">2013 · Mily A ·</w:t>
      </w:r>
      <w:r>
        <w:t xml:space="preserve"> </w:t>
      </w:r>
      <w:r>
        <w:rPr>
          <w:iCs/>
          <w:i/>
        </w:rPr>
        <w:t xml:space="preserve">BMC Pulm Med</w:t>
      </w:r>
      <w:r>
        <w:t xml:space="preserve"> </w:t>
      </w:r>
      <w:r>
        <w:t xml:space="preserve">· Oral intake of phenylbutyrate with or without vitamin D3 upregulates the cathelicidin LL-37 in human macrophages: a dose finding study for treatment of tuberculosis. PMID 23590701</w:t>
      </w:r>
    </w:p>
    <w:p>
      <w:pPr>
        <w:numPr>
          <w:ilvl w:val="0"/>
          <w:numId w:val="1392"/>
        </w:numPr>
        <w:pStyle w:val="Compact"/>
      </w:pPr>
      <w:r>
        <w:t xml:space="preserve">2013 · Gollwitzer H ·</w:t>
      </w:r>
      <w:r>
        <w:t xml:space="preserve"> </w:t>
      </w:r>
      <w:r>
        <w:rPr>
          <w:iCs/>
          <w:i/>
        </w:rPr>
        <w:t xml:space="preserve">J Bone Joint Surg Am</w:t>
      </w:r>
      <w:r>
        <w:t xml:space="preserve"> </w:t>
      </w:r>
      <w:r>
        <w:t xml:space="preserve">· Antimicrobial peptides and proinflammatory cytokines in periprosthetic joint infection. PMID 23553300</w:t>
      </w:r>
    </w:p>
    <w:p>
      <w:pPr>
        <w:numPr>
          <w:ilvl w:val="0"/>
          <w:numId w:val="1392"/>
        </w:numPr>
        <w:pStyle w:val="Compact"/>
      </w:pPr>
      <w:r>
        <w:t xml:space="preserve">2013 · Alvarez JA ·</w:t>
      </w:r>
      <w:r>
        <w:t xml:space="preserve"> </w:t>
      </w:r>
      <w:r>
        <w:rPr>
          <w:iCs/>
          <w:i/>
        </w:rPr>
        <w:t xml:space="preserve">Eur J Clin Nutr</w:t>
      </w:r>
      <w:r>
        <w:t xml:space="preserve"> </w:t>
      </w:r>
      <w:r>
        <w:t xml:space="preserve">· Effects of high-dose cholecalciferol on serum markers of inflammation and immunity in patients with early chronic kidney disease. PMID 23361158</w:t>
      </w:r>
    </w:p>
    <w:p>
      <w:pPr>
        <w:numPr>
          <w:ilvl w:val="0"/>
          <w:numId w:val="1392"/>
        </w:numPr>
        <w:pStyle w:val="Compact"/>
      </w:pPr>
      <w:r>
        <w:t xml:space="preserve">2013 · Klug-Micu GM ·</w:t>
      </w:r>
      <w:r>
        <w:t xml:space="preserve"> </w:t>
      </w:r>
      <w:r>
        <w:rPr>
          <w:iCs/>
          <w:i/>
        </w:rPr>
        <w:t xml:space="preserve">Immunology</w:t>
      </w:r>
      <w:r>
        <w:t xml:space="preserve"> </w:t>
      </w:r>
      <w:r>
        <w:t xml:space="preserve">· CD40 ligand and interferon-γ induce an antimicrobial response against Mycobacterium tuberculosis in human monocytes. PMID 23289765</w:t>
      </w:r>
    </w:p>
    <w:p>
      <w:pPr>
        <w:numPr>
          <w:ilvl w:val="0"/>
          <w:numId w:val="1392"/>
        </w:numPr>
        <w:pStyle w:val="Compact"/>
      </w:pPr>
      <w:r>
        <w:t xml:space="preserve">2012 · Campbell GR ·</w:t>
      </w:r>
      <w:r>
        <w:t xml:space="preserve"> </w:t>
      </w:r>
      <w:r>
        <w:rPr>
          <w:iCs/>
          <w:i/>
        </w:rPr>
        <w:t xml:space="preserve">PLoS Pathog</w:t>
      </w:r>
      <w:r>
        <w:t xml:space="preserve"> </w:t>
      </w:r>
      <w:r>
        <w:t xml:space="preserve">· Toll-like receptor 8 ligands activate a vitamin D mediated autophagic response that inhibits human immunodeficiency virus type 1. PMID 23166493</w:t>
      </w:r>
    </w:p>
    <w:p>
      <w:pPr>
        <w:numPr>
          <w:ilvl w:val="0"/>
          <w:numId w:val="1392"/>
        </w:numPr>
        <w:pStyle w:val="Compact"/>
      </w:pPr>
      <w:r>
        <w:t xml:space="preserve">2012 · Grossmann RE ·</w:t>
      </w:r>
      <w:r>
        <w:t xml:space="preserve"> </w:t>
      </w:r>
      <w:r>
        <w:rPr>
          <w:iCs/>
          <w:i/>
        </w:rPr>
        <w:t xml:space="preserve">Eur J Clin Nutr</w:t>
      </w:r>
      <w:r>
        <w:t xml:space="preserve"> </w:t>
      </w:r>
      <w:r>
        <w:t xml:space="preserve">· Impact of vitamin D supplementation on markers of inflammation in adults with cystic fibrosis hospitalized for a pulmonary exacerbation. PMID 22805498</w:t>
      </w:r>
    </w:p>
    <w:p>
      <w:pPr>
        <w:numPr>
          <w:ilvl w:val="0"/>
          <w:numId w:val="1392"/>
        </w:numPr>
        <w:pStyle w:val="Compact"/>
      </w:pPr>
      <w:r>
        <w:t xml:space="preserve">2012 · Raqib R ·</w:t>
      </w:r>
      <w:r>
        <w:t xml:space="preserve"> </w:t>
      </w:r>
      <w:r>
        <w:rPr>
          <w:iCs/>
          <w:i/>
        </w:rPr>
        <w:t xml:space="preserve">BMC Infect Dis</w:t>
      </w:r>
      <w:r>
        <w:t xml:space="preserve"> </w:t>
      </w:r>
      <w:r>
        <w:t xml:space="preserve">· Efficacy of sodium butyrate adjunct therapy in shigellosis: a randomized, double-blind, placebo-controlled clinical trial. PMID 22574737</w:t>
      </w:r>
    </w:p>
    <w:p>
      <w:pPr>
        <w:numPr>
          <w:ilvl w:val="0"/>
          <w:numId w:val="1392"/>
        </w:numPr>
        <w:pStyle w:val="Compact"/>
      </w:pPr>
      <w:r>
        <w:t xml:space="preserve">2012 · Nijnik A ·</w:t>
      </w:r>
      <w:r>
        <w:t xml:space="preserve"> </w:t>
      </w:r>
      <w:r>
        <w:rPr>
          <w:iCs/>
          <w:i/>
        </w:rPr>
        <w:t xml:space="preserve">J Leukoc Biol</w:t>
      </w:r>
      <w:r>
        <w:t xml:space="preserve"> </w:t>
      </w:r>
      <w:r>
        <w:t xml:space="preserve">· The role of the Src family kinase Lyn in the immunomodulatory activities of cathelicidin peptide LL-37 on monocytic cells. PMID 22246800</w:t>
      </w:r>
    </w:p>
    <w:p>
      <w:pPr>
        <w:numPr>
          <w:ilvl w:val="0"/>
          <w:numId w:val="1392"/>
        </w:numPr>
        <w:pStyle w:val="Compact"/>
      </w:pPr>
      <w:r>
        <w:t xml:space="preserve">2011 · Usui T ·</w:t>
      </w:r>
      <w:r>
        <w:t xml:space="preserve"> </w:t>
      </w:r>
      <w:r>
        <w:rPr>
          <w:iCs/>
          <w:i/>
        </w:rPr>
        <w:t xml:space="preserve">Eur J Appl Physiol</w:t>
      </w:r>
      <w:r>
        <w:t xml:space="preserve"> </w:t>
      </w:r>
      <w:r>
        <w:t xml:space="preserve">· Changes in salivary antimicrobial peptides, immunoglobulin A and cortisol after prolonged strenuous exercise. PMID 21249386</w:t>
      </w:r>
    </w:p>
    <w:p>
      <w:pPr>
        <w:numPr>
          <w:ilvl w:val="0"/>
          <w:numId w:val="1392"/>
        </w:numPr>
        <w:pStyle w:val="Compact"/>
      </w:pPr>
      <w:r>
        <w:t xml:space="preserve">2010 · Muratov V ·</w:t>
      </w:r>
      <w:r>
        <w:t xml:space="preserve"> </w:t>
      </w:r>
      <w:r>
        <w:rPr>
          <w:iCs/>
          <w:i/>
        </w:rPr>
        <w:t xml:space="preserve">J Clin Apher</w:t>
      </w:r>
      <w:r>
        <w:t xml:space="preserve"> </w:t>
      </w:r>
      <w:r>
        <w:t xml:space="preserve">· Safety and tolerability of a modified filter-type device for leukocytapheresis using ACD-A as anticoagulant in patients with mild to moderately active ulcerative colitis. Results of a pilot study. PMID 20806415</w:t>
      </w:r>
    </w:p>
    <w:p>
      <w:pPr>
        <w:numPr>
          <w:ilvl w:val="0"/>
          <w:numId w:val="1392"/>
        </w:numPr>
        <w:pStyle w:val="Compact"/>
      </w:pPr>
      <w:r>
        <w:t xml:space="preserve">2010 · Dhaliwal W ·</w:t>
      </w:r>
      <w:r>
        <w:t xml:space="preserve"> </w:t>
      </w:r>
      <w:r>
        <w:rPr>
          <w:iCs/>
          <w:i/>
        </w:rPr>
        <w:t xml:space="preserve">J Infect Dis</w:t>
      </w:r>
      <w:r>
        <w:t xml:space="preserve"> </w:t>
      </w:r>
      <w:r>
        <w:t xml:space="preserve">· Intestinal antimicrobial gene expression: impact of micronutrients in malnourished adults during a randomized trial. PMID 20695797</w:t>
      </w:r>
    </w:p>
    <w:p>
      <w:pPr>
        <w:numPr>
          <w:ilvl w:val="0"/>
          <w:numId w:val="1392"/>
        </w:numPr>
        <w:pStyle w:val="Compact"/>
      </w:pPr>
      <w:r>
        <w:t xml:space="preserve">2010 · Yamshchikov AV ·</w:t>
      </w:r>
      <w:r>
        <w:t xml:space="preserve"> </w:t>
      </w:r>
      <w:r>
        <w:rPr>
          <w:iCs/>
          <w:i/>
        </w:rPr>
        <w:t xml:space="preserve">Am J Clin Nutr</w:t>
      </w:r>
      <w:r>
        <w:t xml:space="preserve"> </w:t>
      </w:r>
      <w:r>
        <w:t xml:space="preserve">· Vitamin D status and antimicrobial peptide cathelicidin (LL-37) concentrations in patients with active pulmonary tuberculosis. PMID 20610636</w:t>
      </w:r>
    </w:p>
    <w:p>
      <w:pPr>
        <w:numPr>
          <w:ilvl w:val="0"/>
          <w:numId w:val="1392"/>
        </w:numPr>
        <w:pStyle w:val="Compact"/>
      </w:pPr>
      <w:r>
        <w:t xml:space="preserve">2010 · Park KY ·</w:t>
      </w:r>
      <w:r>
        <w:t xml:space="preserve"> </w:t>
      </w:r>
      <w:r>
        <w:rPr>
          <w:iCs/>
          <w:i/>
        </w:rPr>
        <w:t xml:space="preserve">J Korean Med Sci</w:t>
      </w:r>
      <w:r>
        <w:t xml:space="preserve"> </w:t>
      </w:r>
      <w:r>
        <w:t xml:space="preserve">· Changes of antimicrobial peptides and transepidermal water loss after topical application of tacrolimus and ceramide-dominant emollient in patients with atopic dermatitis. PMID 20436715</w:t>
      </w:r>
    </w:p>
    <w:p>
      <w:pPr>
        <w:numPr>
          <w:ilvl w:val="0"/>
          <w:numId w:val="1392"/>
        </w:numPr>
        <w:pStyle w:val="Compact"/>
      </w:pPr>
      <w:r>
        <w:t xml:space="preserve">2010 · Heilborn JD ·</w:t>
      </w:r>
      <w:r>
        <w:t xml:space="preserve"> </w:t>
      </w:r>
      <w:r>
        <w:rPr>
          <w:iCs/>
          <w:i/>
        </w:rPr>
        <w:t xml:space="preserve">Exp Dermatol</w:t>
      </w:r>
      <w:r>
        <w:t xml:space="preserve"> </w:t>
      </w:r>
      <w:r>
        <w:t xml:space="preserve">· Topical treatment with the vitamin D analogue calcipotriol enhances the upregulation of the antimicrobial protein hCAP18/LL-37 during wounding in human skin in vivo. PMID 19878298</w:t>
      </w:r>
    </w:p>
    <w:p>
      <w:pPr>
        <w:numPr>
          <w:ilvl w:val="0"/>
          <w:numId w:val="1392"/>
        </w:numPr>
        <w:pStyle w:val="Compact"/>
      </w:pPr>
      <w:r>
        <w:t xml:space="preserve">2009 · Misawa Y ·</w:t>
      </w:r>
      <w:r>
        <w:t xml:space="preserve"> </w:t>
      </w:r>
      <w:r>
        <w:rPr>
          <w:iCs/>
          <w:i/>
        </w:rPr>
        <w:t xml:space="preserve">Int J Hematol</w:t>
      </w:r>
      <w:r>
        <w:t xml:space="preserve"> </w:t>
      </w:r>
      <w:r>
        <w:t xml:space="preserve">· Vitamin D(3) induces expression of human cathelicidin antimicrobial peptide 18 in newborns. PMID 19943126</w:t>
      </w:r>
    </w:p>
    <w:p>
      <w:pPr>
        <w:numPr>
          <w:ilvl w:val="0"/>
          <w:numId w:val="1392"/>
        </w:numPr>
        <w:pStyle w:val="Compact"/>
      </w:pPr>
      <w:r>
        <w:t xml:space="preserve">2009 · Levinson P ·</w:t>
      </w:r>
      <w:r>
        <w:t xml:space="preserve"> </w:t>
      </w:r>
      <w:r>
        <w:rPr>
          <w:iCs/>
          <w:i/>
        </w:rPr>
        <w:t xml:space="preserve">AIDS</w:t>
      </w:r>
      <w:r>
        <w:t xml:space="preserve"> </w:t>
      </w:r>
      <w:r>
        <w:t xml:space="preserve">· Levels of innate immune factors in genital fluids: association of alpha defensins and LL-37 with genital infections and increased HIV acquisition. PMID 19114868</w:t>
      </w:r>
    </w:p>
    <w:p>
      <w:pPr>
        <w:numPr>
          <w:ilvl w:val="0"/>
          <w:numId w:val="1392"/>
        </w:numPr>
        <w:pStyle w:val="Compact"/>
      </w:pPr>
      <w:r>
        <w:t xml:space="preserve">2008 · Hata TR ·</w:t>
      </w:r>
      <w:r>
        <w:t xml:space="preserve"> </w:t>
      </w:r>
      <w:r>
        <w:rPr>
          <w:iCs/>
          <w:i/>
        </w:rPr>
        <w:t xml:space="preserve">J Allergy Clin Immunol</w:t>
      </w:r>
      <w:r>
        <w:t xml:space="preserve"> </w:t>
      </w:r>
      <w:r>
        <w:t xml:space="preserve">· Administration of oral vitamin D induces cathelicidin production in atopic individuals. PMID 19014773</w:t>
      </w:r>
    </w:p>
    <w:p>
      <w:pPr>
        <w:numPr>
          <w:ilvl w:val="0"/>
          <w:numId w:val="1392"/>
        </w:numPr>
        <w:pStyle w:val="Compact"/>
      </w:pPr>
      <w:r>
        <w:t xml:space="preserve">2007 · Christensen RD ·</w:t>
      </w:r>
      <w:r>
        <w:t xml:space="preserve"> </w:t>
      </w:r>
      <w:r>
        <w:rPr>
          <w:iCs/>
          <w:i/>
        </w:rPr>
        <w:t xml:space="preserve">J Perinatol</w:t>
      </w:r>
      <w:r>
        <w:t xml:space="preserve"> </w:t>
      </w:r>
      <w:r>
        <w:t xml:space="preserve">· ETCare: a randomized, controlled, masked trial comparing two solutions for upper airway care in the NICU. PMID 17568755</w:t>
      </w:r>
    </w:p>
    <w:p>
      <w:pPr>
        <w:numPr>
          <w:ilvl w:val="0"/>
          <w:numId w:val="1392"/>
        </w:numPr>
        <w:pStyle w:val="Compact"/>
      </w:pPr>
      <w:r>
        <w:t xml:space="preserve">2006 · Schauber J ·</w:t>
      </w:r>
      <w:r>
        <w:t xml:space="preserve"> </w:t>
      </w:r>
      <w:r>
        <w:rPr>
          <w:iCs/>
          <w:i/>
        </w:rPr>
        <w:t xml:space="preserve">Mol Nutr Food Res</w:t>
      </w:r>
      <w:r>
        <w:t xml:space="preserve"> </w:t>
      </w:r>
      <w:r>
        <w:t xml:space="preserve">· Human rectal mucosal gene expression after consumption of digestible and non-digestible carbohydrates. PMID 17039460</w:t>
      </w:r>
    </w:p>
    <w:bookmarkEnd w:id="3031"/>
    <w:bookmarkStart w:id="3032" w:name="ara-290-cibinetide-5"/>
    <w:p>
      <w:pPr>
        <w:pStyle w:val="Heading2"/>
      </w:pPr>
      <w:r>
        <w:t xml:space="preserve">ARA-290 (Cibinetide) (5)</w:t>
      </w:r>
    </w:p>
    <w:p>
      <w:pPr>
        <w:numPr>
          <w:ilvl w:val="0"/>
          <w:numId w:val="1393"/>
        </w:numPr>
        <w:pStyle w:val="Compact"/>
      </w:pPr>
      <w:r>
        <w:t xml:space="preserve">2017 · Culver DA ·</w:t>
      </w:r>
      <w:r>
        <w:t xml:space="preserve"> </w:t>
      </w:r>
      <w:r>
        <w:rPr>
          <w:iCs/>
          <w:i/>
        </w:rPr>
        <w:t xml:space="preserve">Invest Ophthalmol Vis Sci</w:t>
      </w:r>
      <w:r>
        <w:t xml:space="preserve"> </w:t>
      </w:r>
      <w:r>
        <w:t xml:space="preserve">· Cibinetide Improves Corneal Nerve Fiber Abundance in Patients With Sarcoidosis-Associated Small Nerve Fiber Loss and Neuropathic Pain. PMID 28475703</w:t>
      </w:r>
    </w:p>
    <w:p>
      <w:pPr>
        <w:numPr>
          <w:ilvl w:val="0"/>
          <w:numId w:val="1393"/>
        </w:numPr>
        <w:pStyle w:val="Compact"/>
      </w:pPr>
      <w:r>
        <w:t xml:space="preserve">2015 · Cerit H ·</w:t>
      </w:r>
      <w:r>
        <w:t xml:space="preserve"> </w:t>
      </w:r>
      <w:r>
        <w:rPr>
          <w:iCs/>
          <w:i/>
        </w:rPr>
        <w:t xml:space="preserve">Eur Neuropsychopharmacol</w:t>
      </w:r>
      <w:r>
        <w:t xml:space="preserve"> </w:t>
      </w:r>
      <w:r>
        <w:t xml:space="preserve">· Testing the antidepressant properties of the peptide ARA290 in a human neuropsychological model of drug action. PMID 26431906</w:t>
      </w:r>
    </w:p>
    <w:p>
      <w:pPr>
        <w:numPr>
          <w:ilvl w:val="0"/>
          <w:numId w:val="1393"/>
        </w:numPr>
        <w:pStyle w:val="Compact"/>
      </w:pPr>
      <w:r>
        <w:t xml:space="preserve">2015 · Brines M ·</w:t>
      </w:r>
      <w:r>
        <w:t xml:space="preserve"> </w:t>
      </w:r>
      <w:r>
        <w:rPr>
          <w:iCs/>
          <w:i/>
        </w:rPr>
        <w:t xml:space="preserve">Mol Med</w:t>
      </w:r>
      <w:r>
        <w:t xml:space="preserve"> </w:t>
      </w:r>
      <w:r>
        <w:t xml:space="preserve">· ARA 290, a nonerythropoietic peptide engineered from erythropoietin, improves metabolic control and neuropathic symptoms in patients with type 2 diabetes. PMID 25387363</w:t>
      </w:r>
    </w:p>
    <w:p>
      <w:pPr>
        <w:numPr>
          <w:ilvl w:val="0"/>
          <w:numId w:val="1393"/>
        </w:numPr>
        <w:pStyle w:val="Compact"/>
      </w:pPr>
      <w:r>
        <w:t xml:space="preserve">2013 · Dahan A ·</w:t>
      </w:r>
      <w:r>
        <w:t xml:space="preserve"> </w:t>
      </w:r>
      <w:r>
        <w:rPr>
          <w:iCs/>
          <w:i/>
        </w:rPr>
        <w:t xml:space="preserve">Mol Med</w:t>
      </w:r>
      <w:r>
        <w:t xml:space="preserve"> </w:t>
      </w:r>
      <w:r>
        <w:t xml:space="preserve">· ARA 290 improves symptoms in patients with sarcoidosis-associated small nerve fiber loss and increases corneal nerve fiber density. PMID 24136731</w:t>
      </w:r>
    </w:p>
    <w:p>
      <w:pPr>
        <w:numPr>
          <w:ilvl w:val="0"/>
          <w:numId w:val="1393"/>
        </w:numPr>
        <w:pStyle w:val="Compact"/>
      </w:pPr>
      <w:r>
        <w:t xml:space="preserve">2012 · Heij L ·</w:t>
      </w:r>
      <w:r>
        <w:t xml:space="preserve"> </w:t>
      </w:r>
      <w:r>
        <w:rPr>
          <w:iCs/>
          <w:i/>
        </w:rPr>
        <w:t xml:space="preserve">Mol Med</w:t>
      </w:r>
      <w:r>
        <w:t xml:space="preserve"> </w:t>
      </w:r>
      <w:r>
        <w:t xml:space="preserve">· Safety and efficacy of ARA 290 in sarcoidosis patients with symptoms of small fiber neuropathy: a randomized, double-blind pilot study. PMID 23168581</w:t>
      </w:r>
    </w:p>
    <w:bookmarkEnd w:id="3032"/>
    <w:bookmarkStart w:id="3033" w:name="larazotide-4"/>
    <w:p>
      <w:pPr>
        <w:pStyle w:val="Heading2"/>
      </w:pPr>
      <w:r>
        <w:t xml:space="preserve">Larazotide (4)</w:t>
      </w:r>
    </w:p>
    <w:p>
      <w:pPr>
        <w:numPr>
          <w:ilvl w:val="0"/>
          <w:numId w:val="1394"/>
        </w:numPr>
        <w:pStyle w:val="Compact"/>
      </w:pPr>
      <w:r>
        <w:t xml:space="preserve">2025 · Yonker LM ·</w:t>
      </w:r>
      <w:r>
        <w:t xml:space="preserve"> </w:t>
      </w:r>
      <w:r>
        <w:rPr>
          <w:iCs/>
          <w:i/>
        </w:rPr>
        <w:t xml:space="preserve">Sci Transl Med</w:t>
      </w:r>
      <w:r>
        <w:t xml:space="preserve"> </w:t>
      </w:r>
      <w:r>
        <w:t xml:space="preserve">· Viral spike antigen clearance and augmented recovery in children with post-COVID multisystem inflammatory syndrome treated with larazotide. PMID 40737433</w:t>
      </w:r>
    </w:p>
    <w:p>
      <w:pPr>
        <w:numPr>
          <w:ilvl w:val="0"/>
          <w:numId w:val="1394"/>
        </w:numPr>
        <w:pStyle w:val="Compact"/>
      </w:pPr>
      <w:r>
        <w:t xml:space="preserve">2015 · Leffler DA ·</w:t>
      </w:r>
      <w:r>
        <w:t xml:space="preserve"> </w:t>
      </w:r>
      <w:r>
        <w:rPr>
          <w:iCs/>
          <w:i/>
        </w:rPr>
        <w:t xml:space="preserve">Gastroenterology</w:t>
      </w:r>
      <w:r>
        <w:t xml:space="preserve"> </w:t>
      </w:r>
      <w:r>
        <w:t xml:space="preserve">· Larazotide acetate for persistent symptoms of celiac disease despite a gluten-free diet: a randomized controlled trial. PMID 25683116</w:t>
      </w:r>
    </w:p>
    <w:p>
      <w:pPr>
        <w:numPr>
          <w:ilvl w:val="0"/>
          <w:numId w:val="1394"/>
        </w:numPr>
        <w:pStyle w:val="Compact"/>
      </w:pPr>
      <w:r>
        <w:t xml:space="preserve">2013 · Kelly CP ·</w:t>
      </w:r>
      <w:r>
        <w:t xml:space="preserve"> </w:t>
      </w:r>
      <w:r>
        <w:rPr>
          <w:iCs/>
          <w:i/>
        </w:rPr>
        <w:t xml:space="preserve">Aliment Pharmacol Ther</w:t>
      </w:r>
      <w:r>
        <w:t xml:space="preserve"> </w:t>
      </w:r>
      <w:r>
        <w:t xml:space="preserve">· Larazotide acetate in patients with coeliac disease undergoing a gluten challenge: a randomised placebo-controlled study. PMID 23163616</w:t>
      </w:r>
    </w:p>
    <w:p>
      <w:pPr>
        <w:numPr>
          <w:ilvl w:val="0"/>
          <w:numId w:val="1394"/>
        </w:numPr>
        <w:pStyle w:val="Compact"/>
      </w:pPr>
      <w:r>
        <w:t xml:space="preserve">2012 · Leffler DA ·</w:t>
      </w:r>
      <w:r>
        <w:t xml:space="preserve"> </w:t>
      </w:r>
      <w:r>
        <w:rPr>
          <w:iCs/>
          <w:i/>
        </w:rPr>
        <w:t xml:space="preserve">Am J Gastroenterol</w:t>
      </w:r>
      <w:r>
        <w:t xml:space="preserve"> </w:t>
      </w:r>
      <w:r>
        <w:t xml:space="preserve">· A randomized, double-blind study of larazotide acetate to prevent the activation of celiac disease during gluten challenge. PMID 22825365</w:t>
      </w:r>
    </w:p>
    <w:bookmarkEnd w:id="3033"/>
    <w:bookmarkStart w:id="3034" w:name="thymalin-and-thymogen-17"/>
    <w:p>
      <w:pPr>
        <w:pStyle w:val="Heading2"/>
      </w:pPr>
      <w:r>
        <w:t xml:space="preserve">Thymalin and Thymogen (17)</w:t>
      </w:r>
    </w:p>
    <w:p>
      <w:pPr>
        <w:numPr>
          <w:ilvl w:val="0"/>
          <w:numId w:val="1395"/>
        </w:numPr>
        <w:pStyle w:val="Compact"/>
      </w:pPr>
      <w:r>
        <w:t xml:space="preserve">2015 · Litvinenko GI ·</w:t>
      </w:r>
      <w:r>
        <w:t xml:space="preserve"> </w:t>
      </w:r>
      <w:r>
        <w:rPr>
          <w:iCs/>
          <w:i/>
        </w:rPr>
        <w:t xml:space="preserve">Bull Exp Biol Med</w:t>
      </w:r>
      <w:r>
        <w:t xml:space="preserve"> </w:t>
      </w:r>
      <w:r>
        <w:t xml:space="preserve">· Chrono- and Immunocorrection of Inflammatory Disorders of Internal Reproductive Organs in Women of Reproductive Age. PMID 26033592</w:t>
      </w:r>
    </w:p>
    <w:p>
      <w:pPr>
        <w:numPr>
          <w:ilvl w:val="0"/>
          <w:numId w:val="1395"/>
        </w:numPr>
        <w:pStyle w:val="Compact"/>
      </w:pPr>
      <w:r>
        <w:t xml:space="preserve">2011 · Smirnov VS ·</w:t>
      </w:r>
      <w:r>
        <w:t xml:space="preserve"> </w:t>
      </w:r>
      <w:r>
        <w:rPr>
          <w:iCs/>
          <w:i/>
        </w:rPr>
        <w:t xml:space="preserve">Adv Gerontol</w:t>
      </w:r>
      <w:r>
        <w:t xml:space="preserve"> </w:t>
      </w:r>
      <w:r>
        <w:t xml:space="preserve">· [Application thymogen for preoperative preparation of elderly patients with tumor processes in abdominal cavity]. PMID 21957588</w:t>
      </w:r>
    </w:p>
    <w:p>
      <w:pPr>
        <w:numPr>
          <w:ilvl w:val="0"/>
          <w:numId w:val="1395"/>
        </w:numPr>
        <w:pStyle w:val="Compact"/>
      </w:pPr>
      <w:r>
        <w:t xml:space="preserve">2004 · Kopchak VM ·</w:t>
      </w:r>
      <w:r>
        <w:t xml:space="preserve"> </w:t>
      </w:r>
      <w:r>
        <w:rPr>
          <w:iCs/>
          <w:i/>
        </w:rPr>
        <w:t xml:space="preserve">Klin Khir</w:t>
      </w:r>
      <w:r>
        <w:t xml:space="preserve"> </w:t>
      </w:r>
      <w:r>
        <w:t xml:space="preserve">· [The application efficacy of immunomodulators in complex of treatment of an acute necrotic pancreatitis]. PMID 15560588</w:t>
      </w:r>
    </w:p>
    <w:p>
      <w:pPr>
        <w:numPr>
          <w:ilvl w:val="0"/>
          <w:numId w:val="1395"/>
        </w:numPr>
        <w:pStyle w:val="Compact"/>
      </w:pPr>
      <w:r>
        <w:t xml:space="preserve">2003 · Khavinson VKh ·</w:t>
      </w:r>
      <w:r>
        <w:t xml:space="preserve"> </w:t>
      </w:r>
      <w:r>
        <w:rPr>
          <w:iCs/>
          <w:i/>
        </w:rPr>
        <w:t xml:space="preserve">Neuro Endocrinol Lett</w:t>
      </w:r>
      <w:r>
        <w:t xml:space="preserve"> </w:t>
      </w:r>
      <w:r>
        <w:t xml:space="preserve">· Peptides of pineal gland and thymus prolong human life. PMID 14523363</w:t>
      </w:r>
    </w:p>
    <w:p>
      <w:pPr>
        <w:numPr>
          <w:ilvl w:val="0"/>
          <w:numId w:val="1395"/>
        </w:numPr>
        <w:pStyle w:val="Compact"/>
      </w:pPr>
      <w:r>
        <w:t xml:space="preserve">2000 · Potiĭ VV ·</w:t>
      </w:r>
      <w:r>
        <w:t xml:space="preserve"> </w:t>
      </w:r>
      <w:r>
        <w:rPr>
          <w:iCs/>
          <w:i/>
        </w:rPr>
        <w:t xml:space="preserve">Klin Khir</w:t>
      </w:r>
      <w:r>
        <w:t xml:space="preserve"> </w:t>
      </w:r>
      <w:r>
        <w:t xml:space="preserve">· [Applications of immunomodulators in complex of treatment of the soft tissue purulent wounds]. PMID 11247420</w:t>
      </w:r>
    </w:p>
    <w:p>
      <w:pPr>
        <w:numPr>
          <w:ilvl w:val="0"/>
          <w:numId w:val="1395"/>
        </w:numPr>
        <w:pStyle w:val="Compact"/>
      </w:pPr>
      <w:r>
        <w:t xml:space="preserve">1999 · Medus AI ·</w:t>
      </w:r>
      <w:r>
        <w:t xml:space="preserve"> </w:t>
      </w:r>
      <w:r>
        <w:rPr>
          <w:iCs/>
          <w:i/>
        </w:rPr>
        <w:t xml:space="preserve">Voen Med Zh</w:t>
      </w:r>
      <w:r>
        <w:t xml:space="preserve"> </w:t>
      </w:r>
      <w:r>
        <w:t xml:space="preserve">· [The effect of thymogen on the state of immunity in destructive pulmonary tuberculosis]. PMID 10605346</w:t>
      </w:r>
    </w:p>
    <w:p>
      <w:pPr>
        <w:numPr>
          <w:ilvl w:val="0"/>
          <w:numId w:val="1395"/>
        </w:numPr>
        <w:pStyle w:val="Compact"/>
      </w:pPr>
      <w:r>
        <w:t xml:space="preserve">1999 · Musienko GV ·</w:t>
      </w:r>
      <w:r>
        <w:t xml:space="preserve"> </w:t>
      </w:r>
      <w:r>
        <w:rPr>
          <w:iCs/>
          <w:i/>
        </w:rPr>
        <w:t xml:space="preserve">Lik Sprava</w:t>
      </w:r>
      <w:r>
        <w:t xml:space="preserve"> </w:t>
      </w:r>
      <w:r>
        <w:t xml:space="preserve">· [Thymalin in the combined treatment of parkinsonism patients]. PMID 10424021</w:t>
      </w:r>
    </w:p>
    <w:p>
      <w:pPr>
        <w:numPr>
          <w:ilvl w:val="0"/>
          <w:numId w:val="1395"/>
        </w:numPr>
        <w:pStyle w:val="Compact"/>
      </w:pPr>
      <w:r>
        <w:t xml:space="preserve">1994 · Bushmelev VA ·</w:t>
      </w:r>
      <w:r>
        <w:t xml:space="preserve"> </w:t>
      </w:r>
      <w:r>
        <w:rPr>
          <w:iCs/>
          <w:i/>
        </w:rPr>
        <w:t xml:space="preserve">Khirurgiia (Mosk)</w:t>
      </w:r>
      <w:r>
        <w:t xml:space="preserve"> </w:t>
      </w:r>
      <w:r>
        <w:t xml:space="preserve">· [Prevention of postoperative complications in diffuse purulent peritonitis in children]. PMID 7990325</w:t>
      </w:r>
    </w:p>
    <w:p>
      <w:pPr>
        <w:numPr>
          <w:ilvl w:val="0"/>
          <w:numId w:val="1395"/>
        </w:numPr>
        <w:pStyle w:val="Compact"/>
      </w:pPr>
      <w:r>
        <w:t xml:space="preserve">1994 · Litvinova NV ·</w:t>
      </w:r>
      <w:r>
        <w:t xml:space="preserve"> </w:t>
      </w:r>
      <w:r>
        <w:rPr>
          <w:iCs/>
          <w:i/>
        </w:rPr>
        <w:t xml:space="preserve">Probl Tuberk</w:t>
      </w:r>
      <w:r>
        <w:t xml:space="preserve"> </w:t>
      </w:r>
      <w:r>
        <w:t xml:space="preserve">· [Changes of immune and non-specific reactivity in patients with chronic suppurative obstructive bronchitis in comprehensive treatment with thymogen]. PMID 7984617</w:t>
      </w:r>
    </w:p>
    <w:p>
      <w:pPr>
        <w:numPr>
          <w:ilvl w:val="0"/>
          <w:numId w:val="1395"/>
        </w:numPr>
        <w:pStyle w:val="Compact"/>
      </w:pPr>
      <w:r>
        <w:t xml:space="preserve">1994 · Ivanova LA ·</w:t>
      </w:r>
      <w:r>
        <w:t xml:space="preserve"> </w:t>
      </w:r>
      <w:r>
        <w:rPr>
          <w:iCs/>
          <w:i/>
        </w:rPr>
        <w:t xml:space="preserve">Probl Tuberk</w:t>
      </w:r>
      <w:r>
        <w:t xml:space="preserve"> </w:t>
      </w:r>
      <w:r>
        <w:t xml:space="preserve">· [Immunotherapy in the combined treatment of chronic destructive pulmonary tuberculosis]. PMID 7937662</w:t>
      </w:r>
    </w:p>
    <w:p>
      <w:pPr>
        <w:numPr>
          <w:ilvl w:val="0"/>
          <w:numId w:val="1395"/>
        </w:numPr>
        <w:pStyle w:val="Compact"/>
      </w:pPr>
      <w:r>
        <w:t xml:space="preserve">1992 · Tsvelev IuV ·</w:t>
      </w:r>
      <w:r>
        <w:t xml:space="preserve"> </w:t>
      </w:r>
      <w:r>
        <w:rPr>
          <w:iCs/>
          <w:i/>
        </w:rPr>
        <w:t xml:space="preserve">Akush Ginekol (Mosk)</w:t>
      </w:r>
      <w:r>
        <w:t xml:space="preserve"> </w:t>
      </w:r>
      <w:r>
        <w:t xml:space="preserve">· [Thymogen in the complex treatment of inflammatory diseases of the female genital system]. PMID 1476231</w:t>
      </w:r>
    </w:p>
    <w:p>
      <w:pPr>
        <w:numPr>
          <w:ilvl w:val="0"/>
          <w:numId w:val="1395"/>
        </w:numPr>
        <w:pStyle w:val="Compact"/>
      </w:pPr>
      <w:r>
        <w:t xml:space="preserve">1992 · Tkach SM ·</w:t>
      </w:r>
      <w:r>
        <w:t xml:space="preserve"> </w:t>
      </w:r>
      <w:r>
        <w:rPr>
          <w:iCs/>
          <w:i/>
        </w:rPr>
        <w:t xml:space="preserve">Lik Sprava</w:t>
      </w:r>
      <w:r>
        <w:t xml:space="preserve"> </w:t>
      </w:r>
      <w:r>
        <w:t xml:space="preserve">· [Differentiated immunocorrective therapy in nonspecific ulcerative colitis]. PMID 1441366</w:t>
      </w:r>
    </w:p>
    <w:p>
      <w:pPr>
        <w:numPr>
          <w:ilvl w:val="0"/>
          <w:numId w:val="1395"/>
        </w:numPr>
        <w:pStyle w:val="Compact"/>
      </w:pPr>
      <w:r>
        <w:t xml:space="preserve">1990 · Govorin NV ·</w:t>
      </w:r>
      <w:r>
        <w:t xml:space="preserve"> </w:t>
      </w:r>
      <w:r>
        <w:rPr>
          <w:iCs/>
          <w:i/>
        </w:rPr>
        <w:t xml:space="preserve">Zh Nevropatol Psikhiatr Im S S Korsakova</w:t>
      </w:r>
      <w:r>
        <w:t xml:space="preserve"> </w:t>
      </w:r>
      <w:r>
        <w:t xml:space="preserve">· [Use of thymic peptide thymalin in the complex treatment of therapy-resistant schizophrenia]. PMID 2163147</w:t>
      </w:r>
    </w:p>
    <w:p>
      <w:pPr>
        <w:numPr>
          <w:ilvl w:val="0"/>
          <w:numId w:val="1395"/>
        </w:numPr>
        <w:pStyle w:val="Compact"/>
      </w:pPr>
      <w:r>
        <w:t xml:space="preserve">1990 · Kogosova LS ·</w:t>
      </w:r>
      <w:r>
        <w:t xml:space="preserve"> </w:t>
      </w:r>
      <w:r>
        <w:rPr>
          <w:iCs/>
          <w:i/>
        </w:rPr>
        <w:t xml:space="preserve">Probl Tuberk</w:t>
      </w:r>
      <w:r>
        <w:t xml:space="preserve"> </w:t>
      </w:r>
      <w:r>
        <w:t xml:space="preserve">· [Effectiveness of administration of thymalin in the complex treatment of pulmonary tuberculosis]. PMID 2080155</w:t>
      </w:r>
    </w:p>
    <w:p>
      <w:pPr>
        <w:numPr>
          <w:ilvl w:val="0"/>
          <w:numId w:val="1395"/>
        </w:numPr>
        <w:pStyle w:val="Compact"/>
      </w:pPr>
      <w:r>
        <w:t xml:space="preserve">1987 · Pateiuk VG ·</w:t>
      </w:r>
      <w:r>
        <w:t xml:space="preserve"> </w:t>
      </w:r>
      <w:r>
        <w:rPr>
          <w:iCs/>
          <w:i/>
        </w:rPr>
        <w:t xml:space="preserve">Klin Med (Mosk)</w:t>
      </w:r>
      <w:r>
        <w:t xml:space="preserve"> </w:t>
      </w:r>
      <w:r>
        <w:t xml:space="preserve">· [Thymalin in the treatment of patients with erysipelas]. PMID 3312790</w:t>
      </w:r>
    </w:p>
    <w:p>
      <w:pPr>
        <w:numPr>
          <w:ilvl w:val="0"/>
          <w:numId w:val="1395"/>
        </w:numPr>
        <w:pStyle w:val="Compact"/>
      </w:pPr>
      <w:r>
        <w:t xml:space="preserve">1985 · Boĭko IN ·</w:t>
      </w:r>
      <w:r>
        <w:t xml:space="preserve"> </w:t>
      </w:r>
      <w:r>
        <w:rPr>
          <w:iCs/>
          <w:i/>
        </w:rPr>
        <w:t xml:space="preserve">Voen Med Zh</w:t>
      </w:r>
      <w:r>
        <w:t xml:space="preserve"> </w:t>
      </w:r>
      <w:r>
        <w:t xml:space="preserve">· [Effectiveness of thymalin and prodigiozan in the complex treatment of patients with dysentery]. PMID 3901509</w:t>
      </w:r>
    </w:p>
    <w:p>
      <w:pPr>
        <w:numPr>
          <w:ilvl w:val="0"/>
          <w:numId w:val="1395"/>
        </w:numPr>
        <w:pStyle w:val="Compact"/>
      </w:pPr>
      <w:r>
        <w:t xml:space="preserve">1982 · Khavinson VKh ·</w:t>
      </w:r>
      <w:r>
        <w:t xml:space="preserve"> </w:t>
      </w:r>
      <w:r>
        <w:rPr>
          <w:iCs/>
          <w:i/>
        </w:rPr>
        <w:t xml:space="preserve">Voen Med Zh</w:t>
      </w:r>
      <w:r>
        <w:t xml:space="preserve"> </w:t>
      </w:r>
      <w:r>
        <w:t xml:space="preserve">· [Experimental and clinical study of a new immunoregulator preparation thymalin]. PMID 7048731</w:t>
      </w:r>
    </w:p>
    <w:bookmarkEnd w:id="3034"/>
    <w:bookmarkStart w:id="3035" w:name="sermorelin-0"/>
    <w:p>
      <w:pPr>
        <w:pStyle w:val="Heading2"/>
      </w:pPr>
      <w:r>
        <w:t xml:space="preserve">Sermorelin (0)</w:t>
      </w:r>
    </w:p>
    <w:p>
      <w:pPr>
        <w:pStyle w:val="FirstParagraph"/>
      </w:pPr>
      <w:r>
        <w:t xml:space="preserve">No publications of clinical studies in humans found.</w:t>
      </w:r>
    </w:p>
    <w:bookmarkEnd w:id="3035"/>
    <w:bookmarkStart w:id="3036" w:name="tesamorelin-23"/>
    <w:p>
      <w:pPr>
        <w:pStyle w:val="Heading2"/>
      </w:pPr>
      <w:r>
        <w:t xml:space="preserve">Tesamorelin (23)</w:t>
      </w:r>
    </w:p>
    <w:p>
      <w:pPr>
        <w:numPr>
          <w:ilvl w:val="0"/>
          <w:numId w:val="1396"/>
        </w:numPr>
        <w:pStyle w:val="Compact"/>
      </w:pPr>
      <w:r>
        <w:t xml:space="preserve">2025 · Ellis RJ ·</w:t>
      </w:r>
      <w:r>
        <w:t xml:space="preserve"> </w:t>
      </w:r>
      <w:r>
        <w:rPr>
          <w:iCs/>
          <w:i/>
        </w:rPr>
        <w:t xml:space="preserve">J Infect Dis</w:t>
      </w:r>
      <w:r>
        <w:t xml:space="preserve"> </w:t>
      </w:r>
      <w:r>
        <w:t xml:space="preserve">· Effects of Tesamorelin on Neurocognitive Impairment in Persons With HIV and Abdominal Obesity. PMID 39813152</w:t>
      </w:r>
    </w:p>
    <w:p>
      <w:pPr>
        <w:numPr>
          <w:ilvl w:val="0"/>
          <w:numId w:val="1396"/>
        </w:numPr>
        <w:pStyle w:val="Compact"/>
      </w:pPr>
      <w:r>
        <w:t xml:space="preserve">2024 · Russo SC ·</w:t>
      </w:r>
      <w:r>
        <w:t xml:space="preserve"> </w:t>
      </w:r>
      <w:r>
        <w:rPr>
          <w:iCs/>
          <w:i/>
        </w:rPr>
        <w:t xml:space="preserve">AIDS</w:t>
      </w:r>
      <w:r>
        <w:t xml:space="preserve"> </w:t>
      </w:r>
      <w:r>
        <w:t xml:space="preserve">· Efficacy and safety of tesamorelin in people with HIV on integrase inhibitors. PMID 38905488</w:t>
      </w:r>
    </w:p>
    <w:p>
      <w:pPr>
        <w:numPr>
          <w:ilvl w:val="0"/>
          <w:numId w:val="1396"/>
        </w:numPr>
        <w:pStyle w:val="Compact"/>
      </w:pPr>
      <w:r>
        <w:t xml:space="preserve">2021 · Stanley TL ·</w:t>
      </w:r>
      <w:r>
        <w:t xml:space="preserve"> </w:t>
      </w:r>
      <w:r>
        <w:rPr>
          <w:iCs/>
          <w:i/>
        </w:rPr>
        <w:t xml:space="preserve">Clin Infect Dis</w:t>
      </w:r>
      <w:r>
        <w:t xml:space="preserve"> </w:t>
      </w:r>
      <w:r>
        <w:t xml:space="preserve">· Growth Hormone Releasing Hormone Reduces Circulating Markers of Immune Activation in Parallel with Effects on Hepatic Immune Pathways in Individuals with HIV-infection and Nonalcoholic Fatty Liver Disease. PMID 33852720</w:t>
      </w:r>
    </w:p>
    <w:p>
      <w:pPr>
        <w:numPr>
          <w:ilvl w:val="0"/>
          <w:numId w:val="1396"/>
        </w:numPr>
        <w:pStyle w:val="Compact"/>
      </w:pPr>
      <w:r>
        <w:t xml:space="preserve">2021 · Fourman LT ·</w:t>
      </w:r>
      <w:r>
        <w:t xml:space="preserve"> </w:t>
      </w:r>
      <w:r>
        <w:rPr>
          <w:iCs/>
          <w:i/>
        </w:rPr>
        <w:t xml:space="preserve">Clin Infect Dis</w:t>
      </w:r>
      <w:r>
        <w:t xml:space="preserve"> </w:t>
      </w:r>
      <w:r>
        <w:t xml:space="preserve">· Clinical Predictors of Liver Fibrosis Presence and Progression in Human Immunodeficiency Virus-Associated Nonalcoholic Fatty Liver Disease. PMID 32270862</w:t>
      </w:r>
    </w:p>
    <w:p>
      <w:pPr>
        <w:numPr>
          <w:ilvl w:val="0"/>
          <w:numId w:val="1396"/>
        </w:numPr>
        <w:pStyle w:val="Compact"/>
      </w:pPr>
      <w:r>
        <w:t xml:space="preserve">2020 · Fourman LT ·</w:t>
      </w:r>
      <w:r>
        <w:t xml:space="preserve"> </w:t>
      </w:r>
      <w:r>
        <w:rPr>
          <w:iCs/>
          <w:i/>
        </w:rPr>
        <w:t xml:space="preserve">JCI Insight</w:t>
      </w:r>
      <w:r>
        <w:t xml:space="preserve"> </w:t>
      </w:r>
      <w:r>
        <w:t xml:space="preserve">· Effects of tesamorelin on hepatic transcriptomic signatures in HIV-associated NAFLD. PMID 32701508</w:t>
      </w:r>
    </w:p>
    <w:p>
      <w:pPr>
        <w:numPr>
          <w:ilvl w:val="0"/>
          <w:numId w:val="1396"/>
        </w:numPr>
        <w:pStyle w:val="Compact"/>
      </w:pPr>
      <w:r>
        <w:t xml:space="preserve">2019 · Stanley TL ·</w:t>
      </w:r>
      <w:r>
        <w:t xml:space="preserve"> </w:t>
      </w:r>
      <w:r>
        <w:rPr>
          <w:iCs/>
          <w:i/>
        </w:rPr>
        <w:t xml:space="preserve">Lancet HIV</w:t>
      </w:r>
      <w:r>
        <w:t xml:space="preserve"> </w:t>
      </w:r>
      <w:r>
        <w:t xml:space="preserve">· Effects of tesamorelin on non-alcoholic fatty liver disease in HIV: a randomised, double-blind, multicentre trial. PMID 31611038</w:t>
      </w:r>
    </w:p>
    <w:p>
      <w:pPr>
        <w:numPr>
          <w:ilvl w:val="0"/>
          <w:numId w:val="1396"/>
        </w:numPr>
        <w:pStyle w:val="Compact"/>
      </w:pPr>
      <w:r>
        <w:t xml:space="preserve">2019 · Adrian S ·</w:t>
      </w:r>
      <w:r>
        <w:t xml:space="preserve"> </w:t>
      </w:r>
      <w:r>
        <w:rPr>
          <w:iCs/>
          <w:i/>
        </w:rPr>
        <w:t xml:space="preserve">J Frailty Aging</w:t>
      </w:r>
      <w:r>
        <w:t xml:space="preserve"> </w:t>
      </w:r>
      <w:r>
        <w:t xml:space="preserve">· The Growth Hormone Releasing Hormone Analogue, Tesamorelin, Decreases Muscle Fat and Increases Muscle Area in Adults with HIV. PMID 31237318</w:t>
      </w:r>
    </w:p>
    <w:p>
      <w:pPr>
        <w:numPr>
          <w:ilvl w:val="0"/>
          <w:numId w:val="1396"/>
        </w:numPr>
        <w:pStyle w:val="Compact"/>
      </w:pPr>
      <w:r>
        <w:t xml:space="preserve">2017 · Braun LR ·</w:t>
      </w:r>
      <w:r>
        <w:t xml:space="preserve"> </w:t>
      </w:r>
      <w:r>
        <w:rPr>
          <w:iCs/>
          <w:i/>
        </w:rPr>
        <w:t xml:space="preserve">Growth Horm IGF Res</w:t>
      </w:r>
      <w:r>
        <w:t xml:space="preserve"> </w:t>
      </w:r>
      <w:r>
        <w:t xml:space="preserve">· Fibroblast growth factor 21 decreases after liver fat reduction via growth hormone augmentation. PMID 29031905</w:t>
      </w:r>
    </w:p>
    <w:p>
      <w:pPr>
        <w:numPr>
          <w:ilvl w:val="0"/>
          <w:numId w:val="1396"/>
        </w:numPr>
        <w:pStyle w:val="Compact"/>
      </w:pPr>
      <w:r>
        <w:t xml:space="preserve">2017 · Clemmons DR ·</w:t>
      </w:r>
      <w:r>
        <w:t xml:space="preserve"> </w:t>
      </w:r>
      <w:r>
        <w:rPr>
          <w:iCs/>
          <w:i/>
        </w:rPr>
        <w:t xml:space="preserve">PLoS One</w:t>
      </w:r>
      <w:r>
        <w:t xml:space="preserve"> </w:t>
      </w:r>
      <w:r>
        <w:t xml:space="preserve">· Safety and metabolic effects of tesamorelin, a growth hormone-releasing factor analogue, in patients with type 2 diabetes: A randomized, placebo-controlled trial. PMID 28617838</w:t>
      </w:r>
    </w:p>
    <w:p>
      <w:pPr>
        <w:numPr>
          <w:ilvl w:val="0"/>
          <w:numId w:val="1396"/>
        </w:numPr>
        <w:pStyle w:val="Compact"/>
      </w:pPr>
      <w:r>
        <w:t xml:space="preserve">2015 · Mangili A ·</w:t>
      </w:r>
      <w:r>
        <w:t xml:space="preserve"> </w:t>
      </w:r>
      <w:r>
        <w:rPr>
          <w:iCs/>
          <w:i/>
        </w:rPr>
        <w:t xml:space="preserve">PLoS One</w:t>
      </w:r>
      <w:r>
        <w:t xml:space="preserve"> </w:t>
      </w:r>
      <w:r>
        <w:t xml:space="preserve">· Predictors of Treatment Response to Tesamorelin, a Growth Hormone-Releasing Factor Analog, in HIV-Infected Patients with Excess Abdominal Fat. PMID 26457580</w:t>
      </w:r>
    </w:p>
    <w:p>
      <w:pPr>
        <w:numPr>
          <w:ilvl w:val="0"/>
          <w:numId w:val="1396"/>
        </w:numPr>
        <w:pStyle w:val="Compact"/>
      </w:pPr>
      <w:r>
        <w:t xml:space="preserve">2015 · González-Sales M ·</w:t>
      </w:r>
      <w:r>
        <w:t xml:space="preserve"> </w:t>
      </w:r>
      <w:r>
        <w:rPr>
          <w:iCs/>
          <w:i/>
        </w:rPr>
        <w:t xml:space="preserve">J Pharmacokinet Pharmacodyn</w:t>
      </w:r>
      <w:r>
        <w:t xml:space="preserve"> </w:t>
      </w:r>
      <w:r>
        <w:t xml:space="preserve">· Population pharmacokinetic and pharmacodynamic analysis of tesamorelin in HIV-infected patients and healthy subjects. PMID 25895899</w:t>
      </w:r>
    </w:p>
    <w:p>
      <w:pPr>
        <w:numPr>
          <w:ilvl w:val="0"/>
          <w:numId w:val="1396"/>
        </w:numPr>
        <w:pStyle w:val="Compact"/>
      </w:pPr>
      <w:r>
        <w:t xml:space="preserve">2015 · González-Sales M ·</w:t>
      </w:r>
      <w:r>
        <w:t xml:space="preserve"> </w:t>
      </w:r>
      <w:r>
        <w:rPr>
          <w:iCs/>
          <w:i/>
        </w:rPr>
        <w:t xml:space="preserve">Clin Pharmacokinet</w:t>
      </w:r>
      <w:r>
        <w:t xml:space="preserve"> </w:t>
      </w:r>
      <w:r>
        <w:t xml:space="preserve">· Population pharmacokinetic analysis of tesamorelin in HIV-infected patients and healthy subjects. PMID 25358450</w:t>
      </w:r>
    </w:p>
    <w:p>
      <w:pPr>
        <w:numPr>
          <w:ilvl w:val="0"/>
          <w:numId w:val="1396"/>
        </w:numPr>
        <w:pStyle w:val="Compact"/>
      </w:pPr>
      <w:r>
        <w:t xml:space="preserve">2014 · Stanley TL ·</w:t>
      </w:r>
      <w:r>
        <w:t xml:space="preserve"> </w:t>
      </w:r>
      <w:r>
        <w:rPr>
          <w:iCs/>
          <w:i/>
        </w:rPr>
        <w:t xml:space="preserve">JAMA</w:t>
      </w:r>
      <w:r>
        <w:t xml:space="preserve"> </w:t>
      </w:r>
      <w:r>
        <w:t xml:space="preserve">· Effect of tesamorelin on visceral fat and liver fat in HIV-infected patients with abdominal fat accumulation: a randomized clinical trial. PMID 25038357</w:t>
      </w:r>
    </w:p>
    <w:p>
      <w:pPr>
        <w:numPr>
          <w:ilvl w:val="0"/>
          <w:numId w:val="1396"/>
        </w:numPr>
        <w:pStyle w:val="Compact"/>
      </w:pPr>
      <w:r>
        <w:t xml:space="preserve">2014 · Makimura H ·</w:t>
      </w:r>
      <w:r>
        <w:t xml:space="preserve"> </w:t>
      </w:r>
      <w:r>
        <w:rPr>
          <w:iCs/>
          <w:i/>
        </w:rPr>
        <w:t xml:space="preserve">J Clin Endocrinol Metab</w:t>
      </w:r>
      <w:r>
        <w:t xml:space="preserve"> </w:t>
      </w:r>
      <w:r>
        <w:t xml:space="preserve">· The effects of tesamorelin on phosphocreatine recovery in obese subjects with reduced GH. PMID 24178787</w:t>
      </w:r>
    </w:p>
    <w:p>
      <w:pPr>
        <w:numPr>
          <w:ilvl w:val="0"/>
          <w:numId w:val="1396"/>
        </w:numPr>
        <w:pStyle w:val="Compact"/>
      </w:pPr>
      <w:r>
        <w:t xml:space="preserve">2013 · Friedman SD ·</w:t>
      </w:r>
      <w:r>
        <w:t xml:space="preserve"> </w:t>
      </w:r>
      <w:r>
        <w:rPr>
          <w:iCs/>
          <w:i/>
        </w:rPr>
        <w:t xml:space="preserve">JAMA Neurol</w:t>
      </w:r>
      <w:r>
        <w:t xml:space="preserve"> </w:t>
      </w:r>
      <w:r>
        <w:t xml:space="preserve">· Growth hormone-releasing hormone effects on brain γ-aminobutyric acid levels in mild cognitive impairment and healthy aging. PMID 23689947</w:t>
      </w:r>
    </w:p>
    <w:p>
      <w:pPr>
        <w:numPr>
          <w:ilvl w:val="0"/>
          <w:numId w:val="1396"/>
        </w:numPr>
        <w:pStyle w:val="Compact"/>
      </w:pPr>
      <w:r>
        <w:t xml:space="preserve">2012 · Makimura H ·</w:t>
      </w:r>
      <w:r>
        <w:t xml:space="preserve"> </w:t>
      </w:r>
      <w:r>
        <w:rPr>
          <w:iCs/>
          <w:i/>
        </w:rPr>
        <w:t xml:space="preserve">J Clin Endocrinol Metab</w:t>
      </w:r>
      <w:r>
        <w:t xml:space="preserve"> </w:t>
      </w:r>
      <w:r>
        <w:t xml:space="preserve">· Metabolic effects of a growth hormone-releasing factor in obese subjects with reduced growth hormone secretion: a randomized controlled trial. PMID 23015655</w:t>
      </w:r>
    </w:p>
    <w:p>
      <w:pPr>
        <w:numPr>
          <w:ilvl w:val="0"/>
          <w:numId w:val="1396"/>
        </w:numPr>
        <w:pStyle w:val="Compact"/>
      </w:pPr>
      <w:r>
        <w:t xml:space="preserve">2012 · Baker LD ·</w:t>
      </w:r>
      <w:r>
        <w:t xml:space="preserve"> </w:t>
      </w:r>
      <w:r>
        <w:rPr>
          <w:iCs/>
          <w:i/>
        </w:rPr>
        <w:t xml:space="preserve">Arch Neurol</w:t>
      </w:r>
      <w:r>
        <w:t xml:space="preserve"> </w:t>
      </w:r>
      <w:r>
        <w:t xml:space="preserve">· Effects of growth hormone–releasing hormone on cognitive function in adults with mild cognitive impairment and healthy older adults: results of a controlled trial. PMID 22869065</w:t>
      </w:r>
    </w:p>
    <w:p>
      <w:pPr>
        <w:numPr>
          <w:ilvl w:val="0"/>
          <w:numId w:val="1396"/>
        </w:numPr>
        <w:pStyle w:val="Compact"/>
      </w:pPr>
      <w:r>
        <w:t xml:space="preserve">2012 · Stanley TL ·</w:t>
      </w:r>
      <w:r>
        <w:t xml:space="preserve"> </w:t>
      </w:r>
      <w:r>
        <w:rPr>
          <w:iCs/>
          <w:i/>
        </w:rPr>
        <w:t xml:space="preserve">Clin Infect Dis</w:t>
      </w:r>
      <w:r>
        <w:t xml:space="preserve"> </w:t>
      </w:r>
      <w:r>
        <w:t xml:space="preserve">· Reduction in visceral adiposity is associated with an improved metabolic profile in HIV-infected patients receiving tesamorelin. PMID 22495074</w:t>
      </w:r>
    </w:p>
    <w:p>
      <w:pPr>
        <w:numPr>
          <w:ilvl w:val="0"/>
          <w:numId w:val="1396"/>
        </w:numPr>
        <w:pStyle w:val="Compact"/>
      </w:pPr>
      <w:r>
        <w:t xml:space="preserve">2011 · Makimura H ·</w:t>
      </w:r>
      <w:r>
        <w:t xml:space="preserve"> </w:t>
      </w:r>
      <w:r>
        <w:rPr>
          <w:iCs/>
          <w:i/>
        </w:rPr>
        <w:t xml:space="preserve">Growth Horm IGF Res</w:t>
      </w:r>
      <w:r>
        <w:t xml:space="preserve"> </w:t>
      </w:r>
      <w:r>
        <w:t xml:space="preserve">· Relationship of adiponectin to endogenous GH pulse secretion parameters in response to stimulation with a growth hormone releasing factor. PMID 21531600</w:t>
      </w:r>
    </w:p>
    <w:p>
      <w:pPr>
        <w:numPr>
          <w:ilvl w:val="0"/>
          <w:numId w:val="1396"/>
        </w:numPr>
        <w:pStyle w:val="Compact"/>
      </w:pPr>
      <w:r>
        <w:t xml:space="preserve">2011 · Stanley TL ·</w:t>
      </w:r>
      <w:r>
        <w:t xml:space="preserve"> </w:t>
      </w:r>
      <w:r>
        <w:rPr>
          <w:iCs/>
          <w:i/>
        </w:rPr>
        <w:t xml:space="preserve">AIDS</w:t>
      </w:r>
      <w:r>
        <w:t xml:space="preserve"> </w:t>
      </w:r>
      <w:r>
        <w:t xml:space="preserve">· Effects of tesamorelin on inflammatory markers in HIV patients with excess abdominal fat: relationship with visceral adipose reduction. PMID 21516030</w:t>
      </w:r>
    </w:p>
    <w:p>
      <w:pPr>
        <w:numPr>
          <w:ilvl w:val="0"/>
          <w:numId w:val="1396"/>
        </w:numPr>
        <w:pStyle w:val="Compact"/>
      </w:pPr>
      <w:r>
        <w:t xml:space="preserve">2010 · Falutz J ·</w:t>
      </w:r>
      <w:r>
        <w:t xml:space="preserve"> </w:t>
      </w:r>
      <w:r>
        <w:rPr>
          <w:iCs/>
          <w:i/>
        </w:rPr>
        <w:t xml:space="preserve">J Acquir Immune Defic Syndr</w:t>
      </w:r>
      <w:r>
        <w:t xml:space="preserve"> </w:t>
      </w:r>
      <w:r>
        <w:t xml:space="preserve">· Effects of tesamorelin, a growth hormone-releasing factor, in HIV-infected patients with abdominal fat accumulation: a randomized placebo-controlled trial with a safety extension. PMID 20101189</w:t>
      </w:r>
    </w:p>
    <w:p>
      <w:pPr>
        <w:numPr>
          <w:ilvl w:val="0"/>
          <w:numId w:val="1396"/>
        </w:numPr>
        <w:pStyle w:val="Compact"/>
      </w:pPr>
      <w:r>
        <w:t xml:space="preserve">2008 · Falutz J ·</w:t>
      </w:r>
      <w:r>
        <w:t xml:space="preserve"> </w:t>
      </w:r>
      <w:r>
        <w:rPr>
          <w:iCs/>
          <w:i/>
        </w:rPr>
        <w:t xml:space="preserve">AIDS</w:t>
      </w:r>
      <w:r>
        <w:t xml:space="preserve"> </w:t>
      </w:r>
      <w:r>
        <w:t xml:space="preserve">· Long-term safety and effects of tesamorelin, a growth hormone-releasing factor analogue, in HIV patients with abdominal fat accumulation. PMID 18690162</w:t>
      </w:r>
    </w:p>
    <w:p>
      <w:pPr>
        <w:numPr>
          <w:ilvl w:val="0"/>
          <w:numId w:val="1396"/>
        </w:numPr>
        <w:pStyle w:val="Compact"/>
      </w:pPr>
      <w:r>
        <w:t xml:space="preserve">2007 · Falutz J ·</w:t>
      </w:r>
      <w:r>
        <w:t xml:space="preserve"> </w:t>
      </w:r>
      <w:r>
        <w:rPr>
          <w:iCs/>
          <w:i/>
        </w:rPr>
        <w:t xml:space="preserve">N Engl J Med</w:t>
      </w:r>
      <w:r>
        <w:t xml:space="preserve"> </w:t>
      </w:r>
      <w:r>
        <w:t xml:space="preserve">· Metabolic effects of a growth hormone-releasing factor in patients with HIV. PMID 18057338</w:t>
      </w:r>
    </w:p>
    <w:bookmarkEnd w:id="3036"/>
    <w:bookmarkStart w:id="3037" w:name="cjc-1295-2"/>
    <w:p>
      <w:pPr>
        <w:pStyle w:val="Heading2"/>
      </w:pPr>
      <w:r>
        <w:t xml:space="preserve">CJC-1295 (2)</w:t>
      </w:r>
    </w:p>
    <w:p>
      <w:pPr>
        <w:numPr>
          <w:ilvl w:val="0"/>
          <w:numId w:val="1397"/>
        </w:numPr>
        <w:pStyle w:val="Compact"/>
      </w:pPr>
      <w:r>
        <w:t xml:space="preserve">2006 · Ionescu M ·</w:t>
      </w:r>
      <w:r>
        <w:t xml:space="preserve"> </w:t>
      </w:r>
      <w:r>
        <w:rPr>
          <w:iCs/>
          <w:i/>
        </w:rPr>
        <w:t xml:space="preserve">J Clin Endocrinol Metab</w:t>
      </w:r>
      <w:r>
        <w:t xml:space="preserve"> </w:t>
      </w:r>
      <w:r>
        <w:t xml:space="preserve">· Pulsatile secretion of growth hormone (GH) persists during continuous stimulation by CJC-1295, a long-acting GH-releasing hormone analog. PMID 17018654</w:t>
      </w:r>
    </w:p>
    <w:p>
      <w:pPr>
        <w:numPr>
          <w:ilvl w:val="0"/>
          <w:numId w:val="1397"/>
        </w:numPr>
        <w:pStyle w:val="Compact"/>
      </w:pPr>
      <w:r>
        <w:t xml:space="preserve">2006 · Teichman SL ·</w:t>
      </w:r>
      <w:r>
        <w:t xml:space="preserve"> </w:t>
      </w:r>
      <w:r>
        <w:rPr>
          <w:iCs/>
          <w:i/>
        </w:rPr>
        <w:t xml:space="preserve">J Clin Endocrinol Metab</w:t>
      </w:r>
      <w:r>
        <w:t xml:space="preserve"> </w:t>
      </w:r>
      <w:r>
        <w:t xml:space="preserve">· Prolonged stimulation of growth hormone (GH) and insulin-like growth factor I secretion by CJC-1295, a long-acting analog of GH-releasing hormone, in healthy adults. PMID 16352683</w:t>
      </w:r>
    </w:p>
    <w:bookmarkEnd w:id="3037"/>
    <w:bookmarkStart w:id="3038" w:name="ipamorelin-2"/>
    <w:p>
      <w:pPr>
        <w:pStyle w:val="Heading2"/>
      </w:pPr>
      <w:r>
        <w:t xml:space="preserve">Ipamorelin (2)</w:t>
      </w:r>
    </w:p>
    <w:p>
      <w:pPr>
        <w:numPr>
          <w:ilvl w:val="0"/>
          <w:numId w:val="1398"/>
        </w:numPr>
        <w:pStyle w:val="Compact"/>
      </w:pPr>
      <w:r>
        <w:t xml:space="preserve">2014 · Beck DE ·</w:t>
      </w:r>
      <w:r>
        <w:t xml:space="preserve"> </w:t>
      </w:r>
      <w:r>
        <w:rPr>
          <w:iCs/>
          <w:i/>
        </w:rPr>
        <w:t xml:space="preserve">Int J Colorectal Dis</w:t>
      </w:r>
      <w:r>
        <w:t xml:space="preserve"> </w:t>
      </w:r>
      <w:r>
        <w:t xml:space="preserve">· Prospective, randomized, controlled, proof-of-concept study of the Ghrelin mimetic ipamorelin for the management of postoperative ileus in bowel resection patients. PMID 25331030</w:t>
      </w:r>
    </w:p>
    <w:p>
      <w:pPr>
        <w:numPr>
          <w:ilvl w:val="0"/>
          <w:numId w:val="1398"/>
        </w:numPr>
        <w:pStyle w:val="Compact"/>
      </w:pPr>
      <w:r>
        <w:t xml:space="preserve">1999 · Gobburu JV ·</w:t>
      </w:r>
      <w:r>
        <w:t xml:space="preserve"> </w:t>
      </w:r>
      <w:r>
        <w:rPr>
          <w:iCs/>
          <w:i/>
        </w:rPr>
        <w:t xml:space="preserve">Pharm Res</w:t>
      </w:r>
      <w:r>
        <w:t xml:space="preserve"> </w:t>
      </w:r>
      <w:r>
        <w:t xml:space="preserve">· Pharmacokinetic-pharmacodynamic modeling of ipamorelin, a growth hormone releasing peptide, in human volunteers. PMID 10496658</w:t>
      </w:r>
    </w:p>
    <w:bookmarkEnd w:id="3038"/>
    <w:bookmarkStart w:id="3039" w:name="ghrp-2-pralmorelin-55"/>
    <w:p>
      <w:pPr>
        <w:pStyle w:val="Heading2"/>
      </w:pPr>
      <w:r>
        <w:t xml:space="preserve">GHRP-2 (Pralmorelin) (55)</w:t>
      </w:r>
    </w:p>
    <w:p>
      <w:pPr>
        <w:numPr>
          <w:ilvl w:val="0"/>
          <w:numId w:val="1399"/>
        </w:numPr>
        <w:pStyle w:val="Compact"/>
      </w:pPr>
      <w:r>
        <w:t xml:space="preserve">2016 · Arimura H ·</w:t>
      </w:r>
      <w:r>
        <w:t xml:space="preserve"> </w:t>
      </w:r>
      <w:r>
        <w:rPr>
          <w:iCs/>
          <w:i/>
        </w:rPr>
        <w:t xml:space="preserve">Endocr J</w:t>
      </w:r>
      <w:r>
        <w:t xml:space="preserve"> </w:t>
      </w:r>
      <w:r>
        <w:t xml:space="preserve">· Investigation of the clinical significance of the growth hormone-releasing peptide-2 test for the diagnosis of secondary adrenal failure. PMID 27020037</w:t>
      </w:r>
    </w:p>
    <w:p>
      <w:pPr>
        <w:numPr>
          <w:ilvl w:val="0"/>
          <w:numId w:val="1399"/>
        </w:numPr>
        <w:pStyle w:val="Compact"/>
      </w:pPr>
      <w:r>
        <w:t xml:space="preserve">2013 · Norman C ·</w:t>
      </w:r>
      <w:r>
        <w:t xml:space="preserve"> </w:t>
      </w:r>
      <w:r>
        <w:rPr>
          <w:iCs/>
          <w:i/>
        </w:rPr>
        <w:t xml:space="preserve">Am J Physiol Regul Integr Comp Physiol</w:t>
      </w:r>
      <w:r>
        <w:t xml:space="preserve"> </w:t>
      </w:r>
      <w:r>
        <w:t xml:space="preserve">· Differential pulsatile secretagogue control of GH secretion in healthy men. PMID 23485864</w:t>
      </w:r>
    </w:p>
    <w:p>
      <w:pPr>
        <w:numPr>
          <w:ilvl w:val="0"/>
          <w:numId w:val="1399"/>
        </w:numPr>
        <w:pStyle w:val="Compact"/>
      </w:pPr>
      <w:r>
        <w:t xml:space="preserve">2011 · Veldhuis JD ·</w:t>
      </w:r>
      <w:r>
        <w:t xml:space="preserve"> </w:t>
      </w:r>
      <w:r>
        <w:rPr>
          <w:iCs/>
          <w:i/>
        </w:rPr>
        <w:t xml:space="preserve">Am J Physiol Regul Integr Comp Physiol</w:t>
      </w:r>
      <w:r>
        <w:t xml:space="preserve"> </w:t>
      </w:r>
      <w:r>
        <w:t xml:space="preserve">· Regulated recovery of pulsatile growth hormone secretion from negative feedback: a preclinical investigation. PMID 21795635</w:t>
      </w:r>
    </w:p>
    <w:p>
      <w:pPr>
        <w:numPr>
          <w:ilvl w:val="0"/>
          <w:numId w:val="1399"/>
        </w:numPr>
        <w:pStyle w:val="Compact"/>
      </w:pPr>
      <w:r>
        <w:t xml:space="preserve">2011 · Veldhuis JD ·</w:t>
      </w:r>
      <w:r>
        <w:t xml:space="preserve"> </w:t>
      </w:r>
      <w:r>
        <w:rPr>
          <w:iCs/>
          <w:i/>
        </w:rPr>
        <w:t xml:space="preserve">J Clin Endocrinol Metab</w:t>
      </w:r>
      <w:r>
        <w:t xml:space="preserve"> </w:t>
      </w:r>
      <w:r>
        <w:t xml:space="preserve">· Gender, sex-steroid, and secretagogue-selective recovery from growth hormone-induced feedback in older women and men. PMID 21613353</w:t>
      </w:r>
    </w:p>
    <w:p>
      <w:pPr>
        <w:numPr>
          <w:ilvl w:val="0"/>
          <w:numId w:val="1399"/>
        </w:numPr>
        <w:pStyle w:val="Compact"/>
      </w:pPr>
      <w:r>
        <w:t xml:space="preserve">2011 · Veldhuis JD ·</w:t>
      </w:r>
      <w:r>
        <w:t xml:space="preserve"> </w:t>
      </w:r>
      <w:r>
        <w:rPr>
          <w:iCs/>
          <w:i/>
        </w:rPr>
        <w:t xml:space="preserve">Am J Physiol Endocrinol Metab</w:t>
      </w:r>
      <w:r>
        <w:t xml:space="preserve"> </w:t>
      </w:r>
      <w:r>
        <w:t xml:space="preserve">· Complex regulation of GH autofeedback under dual-peptide drive: studies under a pharmacological GH and sex steroid clamp. PMID 21467302</w:t>
      </w:r>
    </w:p>
    <w:p>
      <w:pPr>
        <w:numPr>
          <w:ilvl w:val="0"/>
          <w:numId w:val="1399"/>
        </w:numPr>
        <w:pStyle w:val="Compact"/>
      </w:pPr>
      <w:r>
        <w:t xml:space="preserve">2010 · Iranmanesh A ·</w:t>
      </w:r>
      <w:r>
        <w:t xml:space="preserve"> </w:t>
      </w:r>
      <w:r>
        <w:rPr>
          <w:iCs/>
          <w:i/>
        </w:rPr>
        <w:t xml:space="preserve">Eur J Endocrinol</w:t>
      </w:r>
      <w:r>
        <w:t xml:space="preserve"> </w:t>
      </w:r>
      <w:r>
        <w:t xml:space="preserve">· Secretagogue type, sex-steroid milieu, and abdominal visceral adiposity individually determine secretagogue-stimulated cortisol secretion. PMID 20299490</w:t>
      </w:r>
    </w:p>
    <w:p>
      <w:pPr>
        <w:numPr>
          <w:ilvl w:val="0"/>
          <w:numId w:val="1399"/>
        </w:numPr>
        <w:pStyle w:val="Compact"/>
      </w:pPr>
      <w:r>
        <w:t xml:space="preserve">2010 · Hudson SB ·</w:t>
      </w:r>
      <w:r>
        <w:t xml:space="preserve"> </w:t>
      </w:r>
      <w:r>
        <w:rPr>
          <w:iCs/>
          <w:i/>
        </w:rPr>
        <w:t xml:space="preserve">J Clin Endocrinol Metab</w:t>
      </w:r>
      <w:r>
        <w:t xml:space="preserve"> </w:t>
      </w:r>
      <w:r>
        <w:t xml:space="preserve">· Pre- versus postmenopausal age, estradiol, and peptide-secretagogue type determine pulsatile growth hormone secretion in healthy women: studies using submaximal agonist drive and an estrogen clamp. PMID 19858315</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Relative effects of estrogen, age, and visceral fat on pulsatile growth hormone secretion in healthy women. PMID 19470834</w:t>
      </w:r>
    </w:p>
    <w:p>
      <w:pPr>
        <w:numPr>
          <w:ilvl w:val="0"/>
          <w:numId w:val="1399"/>
        </w:numPr>
        <w:pStyle w:val="Compact"/>
      </w:pPr>
      <w:r>
        <w:t xml:space="preserve">2009 · Veldhuis JD ·</w:t>
      </w:r>
      <w:r>
        <w:t xml:space="preserve"> </w:t>
      </w:r>
      <w:r>
        <w:rPr>
          <w:iCs/>
          <w:i/>
        </w:rPr>
        <w:t xml:space="preserve">Eur J Endocrinol</w:t>
      </w:r>
      <w:r>
        <w:t xml:space="preserve"> </w:t>
      </w:r>
      <w:r>
        <w:t xml:space="preserve">· Preservation of GHRH and GH-releasing peptide-2 efficacy in young men with experimentally induced hypogonadism. PMID 19458139</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Factors other than sex steroids modulate GHRH and GHRP-2 efficacies in men: evaluation using a GnRH agonist/testosterone clamp. PMID 19351731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Novel relationships of age, visceral adiposity, insulin-like growth factor (IGF)-I and IGF binding protein concentrations to growth hormone (GH) releasing-hormone and GH releasing-peptide efficacies in men during experimental hypogonadal clamp. PMID 19351723</w:t>
      </w:r>
    </w:p>
    <w:p>
      <w:pPr>
        <w:numPr>
          <w:ilvl w:val="0"/>
          <w:numId w:val="1399"/>
        </w:numPr>
        <w:pStyle w:val="Compact"/>
      </w:pPr>
      <w:r>
        <w:t xml:space="preserve">2009 · Veldhuis JD ·</w:t>
      </w:r>
      <w:r>
        <w:t xml:space="preserve"> </w:t>
      </w:r>
      <w:r>
        <w:rPr>
          <w:iCs/>
          <w:i/>
        </w:rPr>
        <w:t xml:space="preserve">Am J Physiol Endocrinol Metab</w:t>
      </w:r>
      <w:r>
        <w:t xml:space="preserve"> </w:t>
      </w:r>
      <w:r>
        <w:t xml:space="preserve">· Determinants of GH-releasing hormone and GH-releasing peptide synergy in men. PMID 19240251</w:t>
      </w:r>
    </w:p>
    <w:p>
      <w:pPr>
        <w:numPr>
          <w:ilvl w:val="0"/>
          <w:numId w:val="1399"/>
        </w:numPr>
        <w:pStyle w:val="Compact"/>
      </w:pPr>
      <w:r>
        <w:t xml:space="preserve">2009 · Veldhuis JD ·</w:t>
      </w:r>
      <w:r>
        <w:t xml:space="preserve"> </w:t>
      </w:r>
      <w:r>
        <w:rPr>
          <w:iCs/>
          <w:i/>
        </w:rPr>
        <w:t xml:space="preserve">J Clin Endocrinol Metab</w:t>
      </w:r>
      <w:r>
        <w:t xml:space="preserve"> </w:t>
      </w:r>
      <w:r>
        <w:t xml:space="preserve">· Aromatase and 5alpha-reductase inhibition during an exogenous testosterone clamp unveils selective sex steroid modulation of somatostatin and growth hormone secretagogue actions in healthy older men. PMID 19088159</w:t>
      </w:r>
    </w:p>
    <w:p>
      <w:pPr>
        <w:numPr>
          <w:ilvl w:val="0"/>
          <w:numId w:val="1399"/>
        </w:numPr>
        <w:pStyle w:val="Compact"/>
      </w:pPr>
      <w:r>
        <w:t xml:space="preserve">2008 · Veldhuis JD ·</w:t>
      </w:r>
      <w:r>
        <w:t xml:space="preserve"> </w:t>
      </w:r>
      <w:r>
        <w:rPr>
          <w:iCs/>
          <w:i/>
        </w:rPr>
        <w:t xml:space="preserve">Eur J Endocrinol</w:t>
      </w:r>
      <w:r>
        <w:t xml:space="preserve"> </w:t>
      </w:r>
      <w:r>
        <w:t xml:space="preserve">· Secretagogues govern GH secretory-burst waveform and mass in healthy eugonadal and short-term hypogonadal men. PMID 18703567</w:t>
      </w:r>
    </w:p>
    <w:p>
      <w:pPr>
        <w:numPr>
          <w:ilvl w:val="0"/>
          <w:numId w:val="1399"/>
        </w:numPr>
        <w:pStyle w:val="Compact"/>
      </w:pPr>
      <w:r>
        <w:t xml:space="preserve">2008 · Paulo RC ·</w:t>
      </w:r>
      <w:r>
        <w:t xml:space="preserve"> </w:t>
      </w:r>
      <w:r>
        <w:rPr>
          <w:iCs/>
          <w:i/>
        </w:rPr>
        <w:t xml:space="preserve">J Clin Endocrinol Metab</w:t>
      </w:r>
      <w:r>
        <w:t xml:space="preserve"> </w:t>
      </w:r>
      <w:r>
        <w:t xml:space="preserve">· Gonadal status and body mass index jointly determine growth hormone (GH)-releasing hormone/GH-releasing peptide synergy in healthy men. PMID 18073313</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Peripheral estrogen receptor-alpha selectively modulates the waveform of GH secretory bursts in healthy women. PMID 17686882</w:t>
      </w:r>
    </w:p>
    <w:p>
      <w:pPr>
        <w:numPr>
          <w:ilvl w:val="0"/>
          <w:numId w:val="1399"/>
        </w:numPr>
        <w:pStyle w:val="Compact"/>
      </w:pPr>
      <w:r>
        <w:t xml:space="preserve">2007 · Chihara K ·</w:t>
      </w:r>
      <w:r>
        <w:t xml:space="preserve"> </w:t>
      </w:r>
      <w:r>
        <w:rPr>
          <w:iCs/>
          <w:i/>
        </w:rPr>
        <w:t xml:space="preserve">Eur J Endocrinol</w:t>
      </w:r>
      <w:r>
        <w:t xml:space="preserve"> </w:t>
      </w:r>
      <w:r>
        <w:t xml:space="preserve">· A simple diagnostic test using GH-releasing peptide-2 in adult GH deficiency. PMID 17609397</w:t>
      </w:r>
    </w:p>
    <w:p>
      <w:pPr>
        <w:numPr>
          <w:ilvl w:val="0"/>
          <w:numId w:val="1399"/>
        </w:numPr>
        <w:pStyle w:val="Compact"/>
      </w:pPr>
      <w:r>
        <w:t xml:space="preserve">2007 · Veldhuis JD ·</w:t>
      </w:r>
      <w:r>
        <w:t xml:space="preserve"> </w:t>
      </w:r>
      <w:r>
        <w:rPr>
          <w:iCs/>
          <w:i/>
        </w:rPr>
        <w:t xml:space="preserve">Am J Physiol Regul Integr Comp Physiol</w:t>
      </w:r>
      <w:r>
        <w:t xml:space="preserve"> </w:t>
      </w:r>
      <w:r>
        <w:t xml:space="preserve">· Estimation of the size and shape of GH secretory bursts in healthy women using a physiological estradiol clamp and variable-waveform deconvolution model. PMID 17537842</w:t>
      </w:r>
    </w:p>
    <w:p>
      <w:pPr>
        <w:numPr>
          <w:ilvl w:val="0"/>
          <w:numId w:val="1399"/>
        </w:numPr>
        <w:pStyle w:val="Compact"/>
      </w:pPr>
      <w:r>
        <w:t xml:space="preserve">2007 · Veldhuis JD ·</w:t>
      </w:r>
      <w:r>
        <w:t xml:space="preserve"> </w:t>
      </w:r>
      <w:r>
        <w:rPr>
          <w:iCs/>
          <w:i/>
        </w:rPr>
        <w:t xml:space="preserve">J Clin Endocrinol Metab</w:t>
      </w:r>
      <w:r>
        <w:t xml:space="preserve"> </w:t>
      </w:r>
      <w:r>
        <w:t xml:space="preserve">· Tripartite control of growth hormone secretion in women during controlled estradiol repletion. PMID 17405836</w:t>
      </w:r>
    </w:p>
    <w:p>
      <w:pPr>
        <w:numPr>
          <w:ilvl w:val="0"/>
          <w:numId w:val="1399"/>
        </w:numPr>
        <w:pStyle w:val="Compact"/>
      </w:pPr>
      <w:r>
        <w:t xml:space="preserve">2006 · Salvatori R ·</w:t>
      </w:r>
      <w:r>
        <w:t xml:space="preserve"> </w:t>
      </w:r>
      <w:r>
        <w:rPr>
          <w:iCs/>
          <w:i/>
        </w:rPr>
        <w:t xml:space="preserve">J Endocrinol Invest</w:t>
      </w:r>
      <w:r>
        <w:t xml:space="preserve"> </w:t>
      </w:r>
      <w:r>
        <w:t xml:space="preserve">· GH response to hypoglycemia and clonidine in the GH-releasing hormone resistance syndrome. PMID 17114911</w:t>
      </w:r>
    </w:p>
    <w:p>
      <w:pPr>
        <w:numPr>
          <w:ilvl w:val="0"/>
          <w:numId w:val="1399"/>
        </w:numPr>
        <w:pStyle w:val="Compact"/>
      </w:pPr>
      <w:r>
        <w:t xml:space="preserve">2006 · Laferrère B ·</w:t>
      </w:r>
      <w:r>
        <w:t xml:space="preserve"> </w:t>
      </w:r>
      <w:r>
        <w:rPr>
          <w:iCs/>
          <w:i/>
        </w:rPr>
        <w:t xml:space="preserve">Obesity (Silver Spring)</w:t>
      </w:r>
      <w:r>
        <w:t xml:space="preserve"> </w:t>
      </w:r>
      <w:r>
        <w:t xml:space="preserve">· Obese subjects respond to the stimulatory effect of the ghrelin agonist growth hormone-releasing peptide-2 on food intake. PMID 16861611</w:t>
      </w:r>
    </w:p>
    <w:p>
      <w:pPr>
        <w:numPr>
          <w:ilvl w:val="0"/>
          <w:numId w:val="1399"/>
        </w:numPr>
        <w:pStyle w:val="Compact"/>
      </w:pPr>
      <w:r>
        <w:t xml:space="preserve">2005 · Veldhuis JD ·</w:t>
      </w:r>
      <w:r>
        <w:t xml:space="preserve"> </w:t>
      </w:r>
      <w:r>
        <w:rPr>
          <w:iCs/>
          <w:i/>
        </w:rPr>
        <w:t xml:space="preserve">Eur J Endocrinol</w:t>
      </w:r>
      <w:r>
        <w:t xml:space="preserve"> </w:t>
      </w:r>
      <w:r>
        <w:t xml:space="preserve">· Testosterone supplementation in healthy older men drives GH and IGF-I secretion without potentiating peptidyl secretagogue efficacy. PMID 16189179</w:t>
      </w:r>
    </w:p>
    <w:p>
      <w:pPr>
        <w:numPr>
          <w:ilvl w:val="0"/>
          <w:numId w:val="1399"/>
        </w:numPr>
        <w:pStyle w:val="Compact"/>
      </w:pPr>
      <w:r>
        <w:t xml:space="preserve">2005 · Soares-Welch C ·</w:t>
      </w:r>
      <w:r>
        <w:t xml:space="preserve"> </w:t>
      </w:r>
      <w:r>
        <w:rPr>
          <w:iCs/>
          <w:i/>
        </w:rPr>
        <w:t xml:space="preserve">Clin Endocrinol (Oxf)</w:t>
      </w:r>
      <w:r>
        <w:t xml:space="preserve"> </w:t>
      </w:r>
      <w:r>
        <w:t xml:space="preserve">· Short-term testosterone supplementation does not activate GH and IGF-I production in postmenopausal women. PMID 15963058</w:t>
      </w:r>
    </w:p>
    <w:p>
      <w:pPr>
        <w:numPr>
          <w:ilvl w:val="0"/>
          <w:numId w:val="1399"/>
        </w:numPr>
        <w:pStyle w:val="Compact"/>
      </w:pPr>
      <w:r>
        <w:t xml:space="preserve">2005 · Veldhuis JD ·</w:t>
      </w:r>
      <w:r>
        <w:t xml:space="preserve"> </w:t>
      </w:r>
      <w:r>
        <w:rPr>
          <w:iCs/>
          <w:i/>
        </w:rPr>
        <w:t xml:space="preserve">J Clin Endocrinol Metab</w:t>
      </w:r>
      <w:r>
        <w:t xml:space="preserve"> </w:t>
      </w:r>
      <w:r>
        <w:t xml:space="preserve">· Joint mechanisms of impaired growth-hormone pulse renewal in aging men. PMID 15811926</w:t>
      </w:r>
    </w:p>
    <w:p>
      <w:pPr>
        <w:numPr>
          <w:ilvl w:val="0"/>
          <w:numId w:val="1399"/>
        </w:numPr>
        <w:pStyle w:val="Compact"/>
      </w:pPr>
      <w:r>
        <w:t xml:space="preserve">2005 · Erickson D ·</w:t>
      </w:r>
      <w:r>
        <w:t xml:space="preserve"> </w:t>
      </w:r>
      <w:r>
        <w:rPr>
          <w:iCs/>
          <w:i/>
        </w:rPr>
        <w:t xml:space="preserve">J Clin Endocrinol Metab</w:t>
      </w:r>
      <w:r>
        <w:t xml:space="preserve"> </w:t>
      </w:r>
      <w:r>
        <w:t xml:space="preserve">· Determinants of dual secretagogue drive of burst-like growth hormone secretion in premenopausal women studied under a selective estradiol clamp. PMID 15613434</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Contributions of gender and systemic estradiol and testosterone concentrations to maximal secretagogue drive of burst-like growth hormone secretion in healthy middle-aged and older adults. PMID 15579792</w:t>
      </w:r>
    </w:p>
    <w:p>
      <w:pPr>
        <w:numPr>
          <w:ilvl w:val="0"/>
          <w:numId w:val="1399"/>
        </w:numPr>
        <w:pStyle w:val="Compact"/>
      </w:pPr>
      <w:r>
        <w:t xml:space="preserve">2004 · Iranmanesh A ·</w:t>
      </w:r>
      <w:r>
        <w:t xml:space="preserve"> </w:t>
      </w:r>
      <w:r>
        <w:rPr>
          <w:iCs/>
          <w:i/>
        </w:rPr>
        <w:t xml:space="preserve">J Clin Endocrinol Metab</w:t>
      </w:r>
      <w:r>
        <w:t xml:space="preserve"> </w:t>
      </w:r>
      <w:r>
        <w:t xml:space="preserve">· Activation of somatostatin-receptor subtype-2/-5 suppresses the mass, frequency, and irregularity of growth hormone (GH)-releasing peptide-2-stimulated GH secretion in men. PMID 15356066</w:t>
      </w:r>
    </w:p>
    <w:p>
      <w:pPr>
        <w:numPr>
          <w:ilvl w:val="0"/>
          <w:numId w:val="1399"/>
        </w:numPr>
        <w:pStyle w:val="Compact"/>
      </w:pPr>
      <w:r>
        <w:t xml:space="preserve">2004 · Veldhuis JD ·</w:t>
      </w:r>
      <w:r>
        <w:t xml:space="preserve"> </w:t>
      </w:r>
      <w:r>
        <w:rPr>
          <w:iCs/>
          <w:i/>
        </w:rPr>
        <w:t xml:space="preserve">J Clin Endocrinol Metab</w:t>
      </w:r>
      <w:r>
        <w:t xml:space="preserve"> </w:t>
      </w:r>
      <w:r>
        <w:t xml:space="preserve">· Short-term testosterone supplementation relieves growth hormone autonegative feedback in men. PMID 15001624</w:t>
      </w:r>
    </w:p>
    <w:p>
      <w:pPr>
        <w:numPr>
          <w:ilvl w:val="0"/>
          <w:numId w:val="1399"/>
        </w:numPr>
        <w:pStyle w:val="Compact"/>
      </w:pPr>
      <w:r>
        <w:t xml:space="preserve">2003 · Mericq V ·</w:t>
      </w:r>
      <w:r>
        <w:t xml:space="preserve"> </w:t>
      </w:r>
      <w:r>
        <w:rPr>
          <w:iCs/>
          <w:i/>
        </w:rPr>
        <w:t xml:space="preserve">J Pediatr Endocrinol Metab</w:t>
      </w:r>
      <w:r>
        <w:t xml:space="preserve"> </w:t>
      </w:r>
      <w:r>
        <w:t xml:space="preserve">· Changes in appetite and body weight in response to long-term oral administration of the ghrelin agonist GHRP-2 in growth hormone deficient children. PMID 14513874</w:t>
      </w:r>
    </w:p>
    <w:p>
      <w:pPr>
        <w:numPr>
          <w:ilvl w:val="0"/>
          <w:numId w:val="1399"/>
        </w:numPr>
        <w:pStyle w:val="Compact"/>
      </w:pPr>
      <w:r>
        <w:t xml:space="preserve">2002 · Van den Berghe G ·</w:t>
      </w:r>
      <w:r>
        <w:t xml:space="preserve"> </w:t>
      </w:r>
      <w:r>
        <w:rPr>
          <w:iCs/>
          <w:i/>
        </w:rPr>
        <w:t xml:space="preserve">Clin Endocrinol (Oxf)</w:t>
      </w:r>
      <w:r>
        <w:t xml:space="preserve"> </w:t>
      </w:r>
      <w:r>
        <w:t xml:space="preserve">· The combined administration of GH-releasing peptide-2 (GHRP-2), TRH and GnRH to men with prolonged critical illness evokes superior endocrine and metabolic effects compared to treatment with GHRP-2 alone. PMID 12030918</w:t>
      </w:r>
    </w:p>
    <w:p>
      <w:pPr>
        <w:numPr>
          <w:ilvl w:val="0"/>
          <w:numId w:val="1399"/>
        </w:numPr>
        <w:pStyle w:val="Compact"/>
      </w:pPr>
      <w:r>
        <w:t xml:space="preserve">2002 · Veldhuis JD ·</w:t>
      </w:r>
      <w:r>
        <w:t xml:space="preserve"> </w:t>
      </w:r>
      <w:r>
        <w:rPr>
          <w:iCs/>
          <w:i/>
        </w:rPr>
        <w:t xml:space="preserve">J Clin Endocrinol Metab</w:t>
      </w:r>
      <w:r>
        <w:t xml:space="preserve"> </w:t>
      </w:r>
      <w:r>
        <w:t xml:space="preserve">· Impact of estradiol supplementation on dual peptidyl drive of GH secretion in postmenopausal women. PMID 11836333</w:t>
      </w:r>
    </w:p>
    <w:p>
      <w:pPr>
        <w:numPr>
          <w:ilvl w:val="0"/>
          <w:numId w:val="1399"/>
        </w:numPr>
        <w:pStyle w:val="Compact"/>
      </w:pPr>
      <w:r>
        <w:t xml:space="preserve">2001 · Anderson SM ·</w:t>
      </w:r>
      <w:r>
        <w:t xml:space="preserve"> </w:t>
      </w:r>
      <w:r>
        <w:rPr>
          <w:iCs/>
          <w:i/>
        </w:rPr>
        <w:t xml:space="preserve">J Clin Endocrinol Metab</w:t>
      </w:r>
      <w:r>
        <w:t xml:space="preserve"> </w:t>
      </w:r>
      <w:r>
        <w:t xml:space="preserve">· E2 supplementation selectively relieves GH’s autonegative feedback on GH-releasing peptide-2-stimulated GH secretion. PMID 11739462</w:t>
      </w:r>
    </w:p>
    <w:p>
      <w:pPr>
        <w:numPr>
          <w:ilvl w:val="0"/>
          <w:numId w:val="1399"/>
        </w:numPr>
        <w:pStyle w:val="Compact"/>
      </w:pPr>
      <w:r>
        <w:t xml:space="preserve">2001 · Bowers CY ·</w:t>
      </w:r>
      <w:r>
        <w:t xml:space="preserve"> </w:t>
      </w:r>
      <w:r>
        <w:rPr>
          <w:iCs/>
          <w:i/>
        </w:rPr>
        <w:t xml:space="preserve">Endocrine</w:t>
      </w:r>
      <w:r>
        <w:t xml:space="preserve"> </w:t>
      </w:r>
      <w:r>
        <w:t xml:space="preserve">· Growth hormone/insulin-like growth factor-1 response to acute and chronic growth hormone-releasing peptide-2, growth hormone-releasing hormone 1-44NH2 and in combination in older men and women with decreased growth hormone secretion. PMID 11322505</w:t>
      </w:r>
    </w:p>
    <w:p>
      <w:pPr>
        <w:numPr>
          <w:ilvl w:val="0"/>
          <w:numId w:val="1399"/>
        </w:numPr>
        <w:pStyle w:val="Compact"/>
      </w:pPr>
      <w:r>
        <w:t xml:space="preserve">2000 · Van Dam PS ·</w:t>
      </w:r>
      <w:r>
        <w:t xml:space="preserve"> </w:t>
      </w:r>
      <w:r>
        <w:rPr>
          <w:iCs/>
          <w:i/>
        </w:rPr>
        <w:t xml:space="preserve">J Clin Endocrinol Metab</w:t>
      </w:r>
      <w:r>
        <w:t xml:space="preserve"> </w:t>
      </w:r>
      <w:r>
        <w:t xml:space="preserve">· Reduction of free fatty acids by acipimox enhances the growth hormone (GH) responses to GH-releasing peptide 2 in elderly men. PMID 11134132</w:t>
      </w:r>
    </w:p>
    <w:p>
      <w:pPr>
        <w:numPr>
          <w:ilvl w:val="0"/>
          <w:numId w:val="1399"/>
        </w:numPr>
        <w:pStyle w:val="Compact"/>
      </w:pPr>
      <w:r>
        <w:t xml:space="preserve">2000 · Wideman L ·</w:t>
      </w:r>
      <w:r>
        <w:t xml:space="preserve"> </w:t>
      </w:r>
      <w:r>
        <w:rPr>
          <w:iCs/>
          <w:i/>
        </w:rPr>
        <w:t xml:space="preserve">Am J Physiol Regul Integr Comp Physiol</w:t>
      </w:r>
      <w:r>
        <w:t xml:space="preserve"> </w:t>
      </w:r>
      <w:r>
        <w:t xml:space="preserve">· Synergy of L-arginine and GHRP-2 stimulation of growth hormone in men and women: modulation by exercise. PMID 11004017</w:t>
      </w:r>
    </w:p>
    <w:p>
      <w:pPr>
        <w:numPr>
          <w:ilvl w:val="0"/>
          <w:numId w:val="1399"/>
        </w:numPr>
        <w:pStyle w:val="Compact"/>
      </w:pPr>
      <w:r>
        <w:t xml:space="preserve">2000 · Shah N ·</w:t>
      </w:r>
      <w:r>
        <w:t xml:space="preserve"> </w:t>
      </w:r>
      <w:r>
        <w:rPr>
          <w:iCs/>
          <w:i/>
        </w:rPr>
        <w:t xml:space="preserve">J Clin Endocrinol Metab</w:t>
      </w:r>
      <w:r>
        <w:t xml:space="preserve"> </w:t>
      </w:r>
      <w:r>
        <w:t xml:space="preserve">· Oral estradiol administration modulates continuous intravenous growth hormone (GH)-releasing peptide-2-driven GH secretion in postmenopausal women. PMID 10946861</w:t>
      </w:r>
    </w:p>
    <w:p>
      <w:pPr>
        <w:numPr>
          <w:ilvl w:val="0"/>
          <w:numId w:val="1399"/>
        </w:numPr>
        <w:pStyle w:val="Compact"/>
      </w:pPr>
      <w:r>
        <w:t xml:space="preserve">2000 · Van den Berghe G ·</w:t>
      </w:r>
      <w:r>
        <w:t xml:space="preserve"> </w:t>
      </w:r>
      <w:r>
        <w:rPr>
          <w:iCs/>
          <w:i/>
        </w:rPr>
        <w:t xml:space="preserve">J Clin Endocrinol Metab</w:t>
      </w:r>
      <w:r>
        <w:t xml:space="preserve"> </w:t>
      </w:r>
      <w:r>
        <w:t xml:space="preserve">· A paradoxical gender dissociation within the growth hormone/insulin-like growth factor I axis during protracted critical illness. PMID 10634385</w:t>
      </w:r>
    </w:p>
    <w:p>
      <w:pPr>
        <w:numPr>
          <w:ilvl w:val="0"/>
          <w:numId w:val="1399"/>
        </w:numPr>
        <w:pStyle w:val="Compact"/>
      </w:pPr>
      <w:r>
        <w:t xml:space="preserve">1999 · Shah N ·</w:t>
      </w:r>
      <w:r>
        <w:t xml:space="preserve"> </w:t>
      </w:r>
      <w:r>
        <w:rPr>
          <w:iCs/>
          <w:i/>
        </w:rPr>
        <w:t xml:space="preserve">J Clin Endocrinol Metab</w:t>
      </w:r>
      <w:r>
        <w:t xml:space="preserve"> </w:t>
      </w:r>
      <w:r>
        <w:t xml:space="preserve">· Tripartite neuroendocrine activation of the human growth hormone (GH) axis in women by continuous 24-hour GH-releasing peptide infusion: pulsatile, entropic, and nyctohemeral mechanisms. PMID 10372723</w:t>
      </w:r>
    </w:p>
    <w:p>
      <w:pPr>
        <w:numPr>
          <w:ilvl w:val="0"/>
          <w:numId w:val="1399"/>
        </w:numPr>
        <w:pStyle w:val="Compact"/>
      </w:pPr>
      <w:r>
        <w:t xml:space="preserve">1999 · Meacham LR ·</w:t>
      </w:r>
      <w:r>
        <w:t xml:space="preserve"> </w:t>
      </w:r>
      <w:r>
        <w:rPr>
          <w:iCs/>
          <w:i/>
        </w:rPr>
        <w:t xml:space="preserve">Metabolism</w:t>
      </w:r>
      <w:r>
        <w:t xml:space="preserve"> </w:t>
      </w:r>
      <w:r>
        <w:t xml:space="preserve">· Preservation of growth hormone secretion in response to growth hormone-releasing peptide-2 during prednisone therapy. PMID 10337858</w:t>
      </w:r>
    </w:p>
    <w:p>
      <w:pPr>
        <w:numPr>
          <w:ilvl w:val="0"/>
          <w:numId w:val="1399"/>
        </w:numPr>
        <w:pStyle w:val="Compact"/>
      </w:pPr>
      <w:r>
        <w:t xml:space="preserve">1999 · Van den Berghe G ·</w:t>
      </w:r>
      <w:r>
        <w:t xml:space="preserve"> </w:t>
      </w:r>
      <w:r>
        <w:rPr>
          <w:iCs/>
          <w:i/>
        </w:rPr>
        <w:t xml:space="preserve">J Clin Endocrinol Metab</w:t>
      </w:r>
      <w:r>
        <w:t xml:space="preserve"> </w:t>
      </w:r>
      <w:r>
        <w:t xml:space="preserve">· Reactivation of pituitary hormone release and metabolic improvement by infusion of growth hormone-releasing peptide and thyrotropin-releasing hormone in patients with protracted critical illness. PMID 10199772</w:t>
      </w:r>
    </w:p>
    <w:p>
      <w:pPr>
        <w:numPr>
          <w:ilvl w:val="0"/>
          <w:numId w:val="1399"/>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399"/>
        </w:numPr>
        <w:pStyle w:val="Compact"/>
      </w:pPr>
      <w:r>
        <w:t xml:space="preserve">1999 · Van den Berghe G ·</w:t>
      </w:r>
      <w:r>
        <w:t xml:space="preserve"> </w:t>
      </w:r>
      <w:r>
        <w:rPr>
          <w:iCs/>
          <w:i/>
        </w:rPr>
        <w:t xml:space="preserve">Eur J Endocrinol</w:t>
      </w:r>
      <w:r>
        <w:t xml:space="preserve"> </w:t>
      </w:r>
      <w:r>
        <w:t xml:space="preserve">· Growth hormone-releasing peptide-2 infusion synchronizes growth hormone, thyrotrophin and prolactin release in prolonged critical illness. PMID 10037246</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Leptin levels in protracted critical illness: effects of growth hormone-secretagogues and thyrotropin-releasing hormone. PMID 9745404</w:t>
      </w:r>
    </w:p>
    <w:p>
      <w:pPr>
        <w:numPr>
          <w:ilvl w:val="0"/>
          <w:numId w:val="1399"/>
        </w:numPr>
        <w:pStyle w:val="Compact"/>
      </w:pPr>
      <w:r>
        <w:t xml:space="preserve">1998 · Mericq V ·</w:t>
      </w:r>
      <w:r>
        <w:t xml:space="preserve"> </w:t>
      </w:r>
      <w:r>
        <w:rPr>
          <w:iCs/>
          <w:i/>
        </w:rPr>
        <w:t xml:space="preserve">J Clin Endocrinol Metab</w:t>
      </w:r>
      <w:r>
        <w:t xml:space="preserve"> </w:t>
      </w:r>
      <w:r>
        <w:t xml:space="preserve">· Effects of eight months treatment with graded doses of a growth hormone (GH)-releasing peptide in GH-deficient children. PMID 9661608</w:t>
      </w:r>
    </w:p>
    <w:p>
      <w:pPr>
        <w:numPr>
          <w:ilvl w:val="0"/>
          <w:numId w:val="1399"/>
        </w:numPr>
        <w:pStyle w:val="Compact"/>
      </w:pPr>
      <w:r>
        <w:t xml:space="preserve">1998 · Moreno-Reyes R ·</w:t>
      </w:r>
      <w:r>
        <w:t xml:space="preserve"> </w:t>
      </w:r>
      <w:r>
        <w:rPr>
          <w:iCs/>
          <w:i/>
        </w:rPr>
        <w:t xml:space="preserve">Am J Physiol</w:t>
      </w:r>
      <w:r>
        <w:t xml:space="preserve"> </w:t>
      </w:r>
      <w:r>
        <w:t xml:space="preserve">· Evidence against a role for the growth hormone-releasing peptide axis in human slow-wave sleep regulation. PMID 9612233</w:t>
      </w:r>
    </w:p>
    <w:p>
      <w:pPr>
        <w:numPr>
          <w:ilvl w:val="0"/>
          <w:numId w:val="1399"/>
        </w:numPr>
        <w:pStyle w:val="Compact"/>
      </w:pPr>
      <w:r>
        <w:t xml:space="preserve">1998 · Pihoker C ·</w:t>
      </w:r>
      <w:r>
        <w:t xml:space="preserve"> </w:t>
      </w:r>
      <w:r>
        <w:rPr>
          <w:iCs/>
          <w:i/>
        </w:rPr>
        <w:t xml:space="preserve">J Clin Endocrinol Metab</w:t>
      </w:r>
      <w:r>
        <w:t xml:space="preserve"> </w:t>
      </w:r>
      <w:r>
        <w:t xml:space="preserve">· Pharmacokinetics and pharmacodynamics of growth hormone-releasing peptide-2: a phase I study in children. PMID 9543135</w:t>
      </w:r>
    </w:p>
    <w:p>
      <w:pPr>
        <w:numPr>
          <w:ilvl w:val="0"/>
          <w:numId w:val="1399"/>
        </w:numPr>
        <w:pStyle w:val="Compact"/>
      </w:pPr>
      <w:r>
        <w:t xml:space="preserve">1998 · Van den Berghe G ·</w:t>
      </w:r>
      <w:r>
        <w:t xml:space="preserve"> </w:t>
      </w:r>
      <w:r>
        <w:rPr>
          <w:iCs/>
          <w:i/>
        </w:rPr>
        <w:t xml:space="preserve">J Clin Endocrinol Metab</w:t>
      </w:r>
      <w:r>
        <w:t xml:space="preserve"> </w:t>
      </w:r>
      <w:r>
        <w:t xml:space="preserve">· Neuroendocrinology of prolonged critical illness: effects of exogenous thyrotropin-releasing hormone and its combination with growth hormone secretagogues. PMID 9467533</w:t>
      </w:r>
    </w:p>
    <w:p>
      <w:pPr>
        <w:numPr>
          <w:ilvl w:val="0"/>
          <w:numId w:val="1399"/>
        </w:numPr>
        <w:pStyle w:val="Compact"/>
      </w:pPr>
      <w:r>
        <w:t xml:space="preserve">1997 · Van den Berghe G ·</w:t>
      </w:r>
      <w:r>
        <w:t xml:space="preserve"> </w:t>
      </w:r>
      <w:r>
        <w:rPr>
          <w:iCs/>
          <w:i/>
        </w:rPr>
        <w:t xml:space="preserve">Clin Endocrinol (Oxf)</w:t>
      </w:r>
      <w:r>
        <w:t xml:space="preserve"> </w:t>
      </w:r>
      <w:r>
        <w:t xml:space="preserve">· Thyrotrophin and prolactin release in prolonged critical illness: dynamics of spontaneous secretion and effects of growth hormone-secretagogues. PMID 9425400</w:t>
      </w:r>
    </w:p>
    <w:p>
      <w:pPr>
        <w:numPr>
          <w:ilvl w:val="0"/>
          <w:numId w:val="1399"/>
        </w:numPr>
        <w:pStyle w:val="Compact"/>
      </w:pPr>
      <w:r>
        <w:t xml:space="preserve">1997 · Pihoker C ·</w:t>
      </w:r>
      <w:r>
        <w:t xml:space="preserve"> </w:t>
      </w:r>
      <w:r>
        <w:rPr>
          <w:iCs/>
          <w:i/>
        </w:rPr>
        <w:t xml:space="preserve">J Endocrinol</w:t>
      </w:r>
      <w:r>
        <w:t xml:space="preserve"> </w:t>
      </w:r>
      <w:r>
        <w:t xml:space="preserve">· Treatment effects of intranasal growth hormone releasing peptide-2 in children with short stature. PMID 9390009</w:t>
      </w:r>
    </w:p>
    <w:p>
      <w:pPr>
        <w:numPr>
          <w:ilvl w:val="0"/>
          <w:numId w:val="1399"/>
        </w:numPr>
        <w:pStyle w:val="Compact"/>
      </w:pPr>
      <w:r>
        <w:t xml:space="preserve">1997 · Van den Berghe G ·</w:t>
      </w:r>
      <w:r>
        <w:t xml:space="preserve"> </w:t>
      </w:r>
      <w:r>
        <w:rPr>
          <w:iCs/>
          <w:i/>
        </w:rPr>
        <w:t xml:space="preserve">J Clin Endocrinol Metab</w:t>
      </w:r>
      <w:r>
        <w:t xml:space="preserve"> </w:t>
      </w:r>
      <w:r>
        <w:t xml:space="preserve">· The somatotropic axis in critical illness: effect of continuous growth hormone (GH)-releasing hormone and GH-releasing peptide-2 infusion. PMID 9024260</w:t>
      </w:r>
    </w:p>
    <w:p>
      <w:pPr>
        <w:numPr>
          <w:ilvl w:val="0"/>
          <w:numId w:val="1399"/>
        </w:numPr>
        <w:pStyle w:val="Compact"/>
      </w:pPr>
      <w:r>
        <w:t xml:space="preserve">1996 · Van den Berghe G ·</w:t>
      </w:r>
      <w:r>
        <w:t xml:space="preserve"> </w:t>
      </w:r>
      <w:r>
        <w:rPr>
          <w:iCs/>
          <w:i/>
        </w:rPr>
        <w:t xml:space="preserve">Clin Endocrinol (Oxf)</w:t>
      </w:r>
      <w:r>
        <w:t xml:space="preserve"> </w:t>
      </w:r>
      <w:r>
        <w:t xml:space="preserve">· Pituitary responsiveness to GH-releasing hormone, GH-releasing peptide-2 and thyrotrophin-releasing hormone in critical illness. PMID 8949573</w:t>
      </w:r>
    </w:p>
    <w:p>
      <w:pPr>
        <w:numPr>
          <w:ilvl w:val="0"/>
          <w:numId w:val="1399"/>
        </w:numPr>
        <w:pStyle w:val="Compact"/>
      </w:pPr>
      <w:r>
        <w:t xml:space="preserve">1996 · Bowers CY ·</w:t>
      </w:r>
      <w:r>
        <w:t xml:space="preserve"> </w:t>
      </w:r>
      <w:r>
        <w:rPr>
          <w:iCs/>
          <w:i/>
        </w:rPr>
        <w:t xml:space="preserve">J Pediatr Endocrinol Metab</w:t>
      </w:r>
      <w:r>
        <w:t xml:space="preserve"> </w:t>
      </w:r>
      <w:r>
        <w:t xml:space="preserve">· GHRP-2, GHRH and SRIF interrelationships during chronic administration of GHRP-2 to humans. PMID 8887169</w:t>
      </w:r>
    </w:p>
    <w:p>
      <w:pPr>
        <w:numPr>
          <w:ilvl w:val="0"/>
          <w:numId w:val="1399"/>
        </w:numPr>
        <w:pStyle w:val="Compact"/>
      </w:pPr>
      <w:r>
        <w:t xml:space="preserve">1995 · Tuilpakov AN ·</w:t>
      </w:r>
      <w:r>
        <w:t xml:space="preserve"> </w:t>
      </w:r>
      <w:r>
        <w:rPr>
          <w:iCs/>
          <w:i/>
        </w:rPr>
        <w:t xml:space="preserve">Metabolism</w:t>
      </w:r>
      <w:r>
        <w:t xml:space="preserve"> </w:t>
      </w:r>
      <w:r>
        <w:t xml:space="preserve">· Growth hormone (GH)-releasing effects of synthetic peptide GH-releasing peptide-2 and GH-releasing hormone (1-29NH2) in children with GH insufficiency and idiopathic short stature. PMID 7666796</w:t>
      </w:r>
    </w:p>
    <w:p>
      <w:pPr>
        <w:numPr>
          <w:ilvl w:val="0"/>
          <w:numId w:val="1399"/>
        </w:numPr>
        <w:pStyle w:val="Compact"/>
      </w:pPr>
      <w:r>
        <w:t xml:space="preserve">1995 · Tiulpakov AN ·</w:t>
      </w:r>
      <w:r>
        <w:t xml:space="preserve"> </w:t>
      </w:r>
      <w:r>
        <w:rPr>
          <w:iCs/>
          <w:i/>
        </w:rPr>
        <w:t xml:space="preserve">Clin Endocrinol (Oxf)</w:t>
      </w:r>
      <w:r>
        <w:t xml:space="preserve"> </w:t>
      </w:r>
      <w:r>
        <w:t xml:space="preserve">· GH responses to intravenous bolus infusions of GH releasing hormone and GH releasing peptide 2 separately and in combination in adult volunteers. PMID 7586605</w:t>
      </w:r>
    </w:p>
    <w:p>
      <w:pPr>
        <w:numPr>
          <w:ilvl w:val="0"/>
          <w:numId w:val="1399"/>
        </w:numPr>
        <w:pStyle w:val="Compact"/>
      </w:pPr>
      <w:r>
        <w:t xml:space="preserve">1995 · Pihoker C ·</w:t>
      </w:r>
      <w:r>
        <w:t xml:space="preserve"> </w:t>
      </w:r>
      <w:r>
        <w:rPr>
          <w:iCs/>
          <w:i/>
        </w:rPr>
        <w:t xml:space="preserve">J Clin Endocrinol Metab</w:t>
      </w:r>
      <w:r>
        <w:t xml:space="preserve"> </w:t>
      </w:r>
      <w:r>
        <w:t xml:space="preserve">· Diagnostic studies with intravenous and intranasal growth hormone-releasing peptide-2 in children of short stature. PMID 7559885</w:t>
      </w:r>
    </w:p>
    <w:bookmarkEnd w:id="3039"/>
    <w:bookmarkStart w:id="3040" w:name="ghrp-6-40"/>
    <w:p>
      <w:pPr>
        <w:pStyle w:val="Heading2"/>
      </w:pPr>
      <w:r>
        <w:t xml:space="preserve">GHRP-6 (40)</w:t>
      </w:r>
    </w:p>
    <w:p>
      <w:pPr>
        <w:numPr>
          <w:ilvl w:val="0"/>
          <w:numId w:val="1400"/>
        </w:numPr>
        <w:pStyle w:val="Compact"/>
      </w:pPr>
      <w:r>
        <w:t xml:space="preserve">2013 · Cabrales A ·</w:t>
      </w:r>
      <w:r>
        <w:t xml:space="preserve"> </w:t>
      </w:r>
      <w:r>
        <w:rPr>
          <w:iCs/>
          <w:i/>
        </w:rPr>
        <w:t xml:space="preserve">Eur J Pharm Sci</w:t>
      </w:r>
      <w:r>
        <w:t xml:space="preserve"> </w:t>
      </w:r>
      <w:r>
        <w:t xml:space="preserve">· Pharmacokinetic study of Growth Hormone-Releasing Peptide 6 (GHRP-6) in nine male healthy volunteers. PMID 23099431</w:t>
      </w:r>
    </w:p>
    <w:p>
      <w:pPr>
        <w:numPr>
          <w:ilvl w:val="0"/>
          <w:numId w:val="1400"/>
        </w:numPr>
        <w:pStyle w:val="Compact"/>
      </w:pPr>
      <w:r>
        <w:t xml:space="preserve">2010 · Molica P ·</w:t>
      </w:r>
      <w:r>
        <w:t xml:space="preserve"> </w:t>
      </w:r>
      <w:r>
        <w:rPr>
          <w:iCs/>
          <w:i/>
        </w:rPr>
        <w:t xml:space="preserve">Pituitary</w:t>
      </w:r>
      <w:r>
        <w:t xml:space="preserve"> </w:t>
      </w:r>
      <w:r>
        <w:t xml:space="preserve">· Effects of ghrelin, GH-releasing peptide-6 (GHRP-6) and GHRH on GH, ACTH and cortisol release in hyperthyroidism before and after treatment. PMID 20602173</w:t>
      </w:r>
    </w:p>
    <w:p>
      <w:pPr>
        <w:numPr>
          <w:ilvl w:val="0"/>
          <w:numId w:val="1400"/>
        </w:numPr>
        <w:pStyle w:val="Compact"/>
      </w:pPr>
      <w:r>
        <w:t xml:space="preserve">2010 · de Sá LB ·</w:t>
      </w:r>
      <w:r>
        <w:t xml:space="preserve"> </w:t>
      </w:r>
      <w:r>
        <w:rPr>
          <w:iCs/>
          <w:i/>
        </w:rPr>
        <w:t xml:space="preserve">Metabolism</w:t>
      </w:r>
      <w:r>
        <w:t xml:space="preserve"> </w:t>
      </w:r>
      <w:r>
        <w:t xml:space="preserve">· Effects of ghrelin, growth hormone-releasing peptide-6, and growth hormone-releasing hormone on growth hormone, adrenocorticotropic hormone, and cortisol release in type 1 diabetes mellitus. PMID 20189610</w:t>
      </w:r>
    </w:p>
    <w:p>
      <w:pPr>
        <w:numPr>
          <w:ilvl w:val="0"/>
          <w:numId w:val="1400"/>
        </w:numPr>
        <w:pStyle w:val="Compact"/>
      </w:pPr>
      <w:r>
        <w:t xml:space="preserve">2010 · Alaioubi B ·</w:t>
      </w:r>
      <w:r>
        <w:t xml:space="preserve"> </w:t>
      </w:r>
      <w:r>
        <w:rPr>
          <w:iCs/>
          <w:i/>
        </w:rPr>
        <w:t xml:space="preserve">Horm Metab Res</w:t>
      </w:r>
      <w:r>
        <w:t xml:space="preserve"> </w:t>
      </w:r>
      <w:r>
        <w:t xml:space="preserve">· Diagnosis of adrenal insufficiency using the GHRP-6 Test: comparison with the insulin tolerance test in patients with hypothalamic-pituitary-adrenal disease. PMID 19946832</w:t>
      </w:r>
    </w:p>
    <w:p>
      <w:pPr>
        <w:numPr>
          <w:ilvl w:val="0"/>
          <w:numId w:val="1400"/>
        </w:numPr>
        <w:pStyle w:val="Compact"/>
      </w:pPr>
      <w:r>
        <w:t xml:space="preserve">2010 · Correa-Silva SR ·</w:t>
      </w:r>
      <w:r>
        <w:t xml:space="preserve"> </w:t>
      </w:r>
      <w:r>
        <w:rPr>
          <w:iCs/>
          <w:i/>
        </w:rPr>
        <w:t xml:space="preserve">Clin Endocrinol (Oxf)</w:t>
      </w:r>
      <w:r>
        <w:t xml:space="preserve"> </w:t>
      </w:r>
      <w:r>
        <w:t xml:space="preserve">· Adrenocorticotrophic hormone (ACTH) responsiveness to ghrelin increases after 6 months of ketoconazole use in patients with Cushing’s disease: comparison with GH-releasing peptide-6 (GHRP-6). PMID 19453623</w:t>
      </w:r>
    </w:p>
    <w:p>
      <w:pPr>
        <w:numPr>
          <w:ilvl w:val="0"/>
          <w:numId w:val="1400"/>
        </w:numPr>
        <w:pStyle w:val="Compact"/>
      </w:pPr>
      <w:r>
        <w:t xml:space="preserve">2009 · Nascif SO ·</w:t>
      </w:r>
      <w:r>
        <w:t xml:space="preserve"> </w:t>
      </w:r>
      <w:r>
        <w:rPr>
          <w:iCs/>
          <w:i/>
        </w:rPr>
        <w:t xml:space="preserve">Pituitary</w:t>
      </w:r>
      <w:r>
        <w:t xml:space="preserve"> </w:t>
      </w:r>
      <w:r>
        <w:t xml:space="preserve">· Ghrelin and GHRP-6-induced ACTH and cortisol release in thyrotoxicosis. PMID 19396632</w:t>
      </w:r>
    </w:p>
    <w:p>
      <w:pPr>
        <w:numPr>
          <w:ilvl w:val="0"/>
          <w:numId w:val="1400"/>
        </w:numPr>
        <w:pStyle w:val="Compact"/>
      </w:pPr>
      <w:r>
        <w:t xml:space="preserve">2008 · Machado MC ·</w:t>
      </w:r>
      <w:r>
        <w:t xml:space="preserve"> </w:t>
      </w:r>
      <w:r>
        <w:rPr>
          <w:iCs/>
          <w:i/>
        </w:rPr>
        <w:t xml:space="preserve">Eur J Endocrinol</w:t>
      </w:r>
      <w:r>
        <w:t xml:space="preserve"> </w:t>
      </w:r>
      <w:r>
        <w:t xml:space="preserve">· Association between tumoral GH-releasing peptide receptor type 1a mRNA expression and in vivo response to GH-releasing peptide-6 in ACTH-dependent Cushing’s syndrome patients. PMID 18426818</w:t>
      </w:r>
    </w:p>
    <w:p>
      <w:pPr>
        <w:numPr>
          <w:ilvl w:val="0"/>
          <w:numId w:val="1400"/>
        </w:numPr>
        <w:pStyle w:val="Compact"/>
      </w:pPr>
      <w:r>
        <w:t xml:space="preserve">2007 · Nascif SO ·</w:t>
      </w:r>
      <w:r>
        <w:t xml:space="preserve"> </w:t>
      </w:r>
      <w:r>
        <w:rPr>
          <w:iCs/>
          <w:i/>
        </w:rPr>
        <w:t xml:space="preserve">Pituitary</w:t>
      </w:r>
      <w:r>
        <w:t xml:space="preserve"> </w:t>
      </w:r>
      <w:r>
        <w:t xml:space="preserve">· Decreased ghrelin-induced GH release in thyrotoxicosis: comparison with GH-releasing peptide-6 (GHRP-6) and GHRH. PMID 17410412</w:t>
      </w:r>
    </w:p>
    <w:p>
      <w:pPr>
        <w:numPr>
          <w:ilvl w:val="0"/>
          <w:numId w:val="1400"/>
        </w:numPr>
        <w:pStyle w:val="Compact"/>
      </w:pPr>
      <w:r>
        <w:t xml:space="preserve">2006 · Correa-Silva SR ·</w:t>
      </w:r>
      <w:r>
        <w:t xml:space="preserve"> </w:t>
      </w:r>
      <w:r>
        <w:rPr>
          <w:iCs/>
          <w:i/>
        </w:rPr>
        <w:t xml:space="preserve">Pituitary</w:t>
      </w:r>
      <w:r>
        <w:t xml:space="preserve"> </w:t>
      </w:r>
      <w:r>
        <w:t xml:space="preserve">· Decreased GH secretion and enhanced ACTH and cortisol release after ghrelin administration in Cushing’s disease: comparison with GH-releasing peptide-6 (GHRP-6) and GHRH. PMID 16832586</w:t>
      </w:r>
    </w:p>
    <w:p>
      <w:pPr>
        <w:numPr>
          <w:ilvl w:val="0"/>
          <w:numId w:val="1400"/>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0"/>
        </w:numPr>
        <w:pStyle w:val="Compact"/>
      </w:pPr>
      <w:r>
        <w:t xml:space="preserve">2004 · Micic D ·</w:t>
      </w:r>
      <w:r>
        <w:t xml:space="preserve"> </w:t>
      </w:r>
      <w:r>
        <w:rPr>
          <w:iCs/>
          <w:i/>
        </w:rPr>
        <w:t xml:space="preserve">Diabetes Res Clin Pract</w:t>
      </w:r>
      <w:r>
        <w:t xml:space="preserve"> </w:t>
      </w:r>
      <w:r>
        <w:t xml:space="preserve">· Growth hormone response to GHRH + GHRP-6 in type 2 diabetes during euglycemic and hyperglycemic clamp. PMID 14693411</w:t>
      </w:r>
    </w:p>
    <w:p>
      <w:pPr>
        <w:numPr>
          <w:ilvl w:val="0"/>
          <w:numId w:val="1400"/>
        </w:numPr>
        <w:pStyle w:val="Compact"/>
      </w:pPr>
      <w:r>
        <w:t xml:space="preserve">2003 · Cordido F ·</w:t>
      </w:r>
      <w:r>
        <w:t xml:space="preserve"> </w:t>
      </w:r>
      <w:r>
        <w:rPr>
          <w:iCs/>
          <w:i/>
        </w:rPr>
        <w:t xml:space="preserve">Eur J Endocrinol</w:t>
      </w:r>
      <w:r>
        <w:t xml:space="preserve"> </w:t>
      </w:r>
      <w:r>
        <w:t xml:space="preserve">· Comparison between insulin tolerance test, growth hormone (GH)-releasing hormone (GHRH), GHRH plus acipimox and GHRH plus GH-releasing peptide-6 for the diagnosis of adult GH deficiency in normal subjects, obese and hypopituitary patients. PMID 12887288</w:t>
      </w:r>
    </w:p>
    <w:p>
      <w:pPr>
        <w:numPr>
          <w:ilvl w:val="0"/>
          <w:numId w:val="1400"/>
        </w:numPr>
        <w:pStyle w:val="Compact"/>
      </w:pPr>
      <w:r>
        <w:t xml:space="preserve">2003 · Micić D ·</w:t>
      </w:r>
      <w:r>
        <w:t xml:space="preserve"> </w:t>
      </w:r>
      <w:r>
        <w:rPr>
          <w:iCs/>
          <w:i/>
        </w:rPr>
        <w:t xml:space="preserve">J Endocrinol Invest</w:t>
      </w:r>
      <w:r>
        <w:t xml:space="preserve"> </w:t>
      </w:r>
      <w:r>
        <w:t xml:space="preserve">· Growth-hormone response to combined stimulation with GHRH plus GH-releasing peptide-6 in obese patients with polycystic ovary syndrome before and after short-term fasting. PMID 12841541</w:t>
      </w:r>
    </w:p>
    <w:p>
      <w:pPr>
        <w:numPr>
          <w:ilvl w:val="0"/>
          <w:numId w:val="1400"/>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0"/>
        </w:numPr>
        <w:pStyle w:val="Compact"/>
      </w:pPr>
      <w:r>
        <w:t xml:space="preserve">2003 · Martins MR ·</w:t>
      </w:r>
      <w:r>
        <w:t xml:space="preserve"> </w:t>
      </w:r>
      <w:r>
        <w:rPr>
          <w:iCs/>
          <w:i/>
        </w:rPr>
        <w:t xml:space="preserve">J Endocrinol Invest</w:t>
      </w:r>
      <w:r>
        <w:t xml:space="preserve"> </w:t>
      </w:r>
      <w:r>
        <w:t xml:space="preserve">· GH-releasing peptide (GHRP-6)-induced ACTH release in patients with addison’s disease: effect of glucocorticoid withdrawal. PMID 12739742</w:t>
      </w:r>
    </w:p>
    <w:p>
      <w:pPr>
        <w:numPr>
          <w:ilvl w:val="0"/>
          <w:numId w:val="1400"/>
        </w:numPr>
        <w:pStyle w:val="Compact"/>
      </w:pPr>
      <w:r>
        <w:t xml:space="preserve">2002 · Bhatti SF ·</w:t>
      </w:r>
      <w:r>
        <w:t xml:space="preserve"> </w:t>
      </w:r>
      <w:r>
        <w:rPr>
          <w:iCs/>
          <w:i/>
        </w:rPr>
        <w:t xml:space="preserve">Mol Cell Endocrinol</w:t>
      </w:r>
      <w:r>
        <w:t xml:space="preserve"> </w:t>
      </w:r>
      <w:r>
        <w:t xml:space="preserve">· Effects of growth hormone-releasing peptides in healthy dogs and in dogs with pituitary-dependent hyperadrenocorticism. PMID 12431802</w:t>
      </w:r>
    </w:p>
    <w:p>
      <w:pPr>
        <w:numPr>
          <w:ilvl w:val="0"/>
          <w:numId w:val="1400"/>
        </w:numPr>
        <w:pStyle w:val="Compact"/>
      </w:pPr>
      <w:r>
        <w:t xml:space="preserve">2002 · Popovic V ·</w:t>
      </w:r>
      <w:r>
        <w:t xml:space="preserve"> </w:t>
      </w:r>
      <w:r>
        <w:rPr>
          <w:iCs/>
          <w:i/>
        </w:rPr>
        <w:t xml:space="preserve">Clin Endocrinol (Oxf)</w:t>
      </w:r>
      <w:r>
        <w:t xml:space="preserve"> </w:t>
      </w:r>
      <w:r>
        <w:t xml:space="preserve">· Physical activity or food intake prior to testing did not affect the reproducibility of GH secretion elicited by GH releasing hormone plus GH-releasing hexapeptide in normal adult subjects. PMID 11849251</w:t>
      </w:r>
    </w:p>
    <w:p>
      <w:pPr>
        <w:numPr>
          <w:ilvl w:val="0"/>
          <w:numId w:val="1400"/>
        </w:numPr>
        <w:pStyle w:val="Compact"/>
      </w:pPr>
      <w:r>
        <w:t xml:space="preserve">2001 · Muller AF ·</w:t>
      </w:r>
      <w:r>
        <w:t xml:space="preserve"> </w:t>
      </w:r>
      <w:r>
        <w:rPr>
          <w:iCs/>
          <w:i/>
        </w:rPr>
        <w:t xml:space="preserve">Clin Endocrinol (Oxf)</w:t>
      </w:r>
      <w:r>
        <w:t xml:space="preserve"> </w:t>
      </w:r>
      <w:r>
        <w:t xml:space="preserve">· Effects of fasting and pegvisomant on the GH-releasing hormone and GH-releasing peptide-6 stimulated growth hormone secretion. PMID 11678828</w:t>
      </w:r>
    </w:p>
    <w:p>
      <w:pPr>
        <w:numPr>
          <w:ilvl w:val="0"/>
          <w:numId w:val="1400"/>
        </w:numPr>
        <w:pStyle w:val="Compact"/>
      </w:pPr>
      <w:r>
        <w:t xml:space="preserve">2000 · Popovic V ·</w:t>
      </w:r>
      <w:r>
        <w:t xml:space="preserve"> </w:t>
      </w:r>
      <w:r>
        <w:rPr>
          <w:iCs/>
          <w:i/>
        </w:rPr>
        <w:t xml:space="preserve">Lancet</w:t>
      </w:r>
      <w:r>
        <w:t xml:space="preserve"> </w:t>
      </w:r>
      <w:r>
        <w:t xml:space="preserve">· GH-releasing hormone and GH-releasing peptide-6 for diagnostic testing in GH-deficient adults. PMID 11030292</w:t>
      </w:r>
    </w:p>
    <w:p>
      <w:pPr>
        <w:numPr>
          <w:ilvl w:val="0"/>
          <w:numId w:val="1400"/>
        </w:numPr>
        <w:pStyle w:val="Compact"/>
      </w:pPr>
      <w:r>
        <w:t xml:space="preserve">2000 · Pinto AC ·</w:t>
      </w:r>
      <w:r>
        <w:t xml:space="preserve"> </w:t>
      </w:r>
      <w:r>
        <w:rPr>
          <w:iCs/>
          <w:i/>
        </w:rPr>
        <w:t xml:space="preserve">J Clin Endocrinol Metab</w:t>
      </w:r>
      <w:r>
        <w:t xml:space="preserve"> </w:t>
      </w:r>
      <w:r>
        <w:t xml:space="preserve">· Effects of short-term glucocorticoid deprivation on growth hormone (GH) response to GH-releasing peptide-6: studies in normal men and in patients with adrenal insufficiency. PMID 10770194</w:t>
      </w:r>
    </w:p>
    <w:p>
      <w:pPr>
        <w:numPr>
          <w:ilvl w:val="0"/>
          <w:numId w:val="1400"/>
        </w:numPr>
        <w:pStyle w:val="Compact"/>
      </w:pPr>
      <w:r>
        <w:t xml:space="preserve">1999 · Pinto AC ·</w:t>
      </w:r>
      <w:r>
        <w:t xml:space="preserve"> </w:t>
      </w:r>
      <w:r>
        <w:rPr>
          <w:iCs/>
          <w:i/>
        </w:rPr>
        <w:t xml:space="preserve">Clin Endocrinol (Oxf)</w:t>
      </w:r>
      <w:r>
        <w:t xml:space="preserve"> </w:t>
      </w:r>
      <w:r>
        <w:t xml:space="preserve">· Acute dexamethasone administration enhances GH responsiveness to GH releasing peptide-6 (GHRP-6) in man. PMID 10583306</w:t>
      </w:r>
    </w:p>
    <w:p>
      <w:pPr>
        <w:numPr>
          <w:ilvl w:val="0"/>
          <w:numId w:val="1400"/>
        </w:numPr>
        <w:pStyle w:val="Compact"/>
      </w:pPr>
      <w:r>
        <w:t xml:space="preserve">1999 · Frieboes RM ·</w:t>
      </w:r>
      <w:r>
        <w:t xml:space="preserve"> </w:t>
      </w:r>
      <w:r>
        <w:rPr>
          <w:iCs/>
          <w:i/>
        </w:rPr>
        <w:t xml:space="preserve">J Neuroendocrinol</w:t>
      </w:r>
      <w:r>
        <w:t xml:space="preserve"> </w:t>
      </w:r>
      <w:r>
        <w:t xml:space="preserve">· Effects of growth hormone-releasing peptide-6 on the nocturnal secretion of GH, ACTH and cortisol and on the sleep EEG in man: role of routes of administration. PMID 10336729</w:t>
      </w:r>
    </w:p>
    <w:p>
      <w:pPr>
        <w:numPr>
          <w:ilvl w:val="0"/>
          <w:numId w:val="1400"/>
        </w:numPr>
        <w:pStyle w:val="Compact"/>
      </w:pPr>
      <w:r>
        <w:t xml:space="preserve">1999 · Micić D ·</w:t>
      </w:r>
      <w:r>
        <w:t xml:space="preserve"> </w:t>
      </w:r>
      <w:r>
        <w:rPr>
          <w:iCs/>
          <w:i/>
        </w:rPr>
        <w:t xml:space="preserve">Metabolism</w:t>
      </w:r>
      <w:r>
        <w:t xml:space="preserve"> </w:t>
      </w:r>
      <w:r>
        <w:t xml:space="preserve">· Growth hormone (GH) response to GH-releasing peptide-6 and GH-releasing hormone in normal-weight and overweight patients with non-insulin-dependent diabetes mellitus. PMID 10206449</w:t>
      </w:r>
    </w:p>
    <w:p>
      <w:pPr>
        <w:numPr>
          <w:ilvl w:val="0"/>
          <w:numId w:val="1400"/>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0"/>
        </w:numPr>
        <w:pStyle w:val="Compact"/>
      </w:pPr>
      <w:r>
        <w:t xml:space="preserve">1998 · Micic D ·</w:t>
      </w:r>
      <w:r>
        <w:t xml:space="preserve"> </w:t>
      </w:r>
      <w:r>
        <w:rPr>
          <w:iCs/>
          <w:i/>
        </w:rPr>
        <w:t xml:space="preserve">J Clin Endocrinol Metab</w:t>
      </w:r>
      <w:r>
        <w:t xml:space="preserve"> </w:t>
      </w:r>
      <w:r>
        <w:t xml:space="preserve">· Preserved growth hormone (GH) secretion in aged and very old subjects after testing with the combined stimulus GH-releasing hormone plus GH-releasing hexapeptide-6. PMID 9661645</w:t>
      </w:r>
    </w:p>
    <w:p>
      <w:pPr>
        <w:numPr>
          <w:ilvl w:val="0"/>
          <w:numId w:val="1400"/>
        </w:numPr>
        <w:pStyle w:val="Compact"/>
      </w:pPr>
      <w:r>
        <w:t xml:space="preserve">1998 · Pandya N ·</w:t>
      </w:r>
      <w:r>
        <w:t xml:space="preserve"> </w:t>
      </w:r>
      <w:r>
        <w:rPr>
          <w:iCs/>
          <w:i/>
        </w:rPr>
        <w:t xml:space="preserve">J Clin Endocrinol Metab</w:t>
      </w:r>
      <w:r>
        <w:t xml:space="preserve"> </w:t>
      </w:r>
      <w:r>
        <w:t xml:space="preserve">· Growth hormone (GH)-releasing peptide-6 requires endogenous hypothalamic GH-releasing hormone for maximal GH stimulation. PMID 9543138</w:t>
      </w:r>
    </w:p>
    <w:p>
      <w:pPr>
        <w:numPr>
          <w:ilvl w:val="0"/>
          <w:numId w:val="1400"/>
        </w:numPr>
        <w:pStyle w:val="Compact"/>
      </w:pPr>
      <w:r>
        <w:t xml:space="preserve">1997 · Borges MH ·</w:t>
      </w:r>
      <w:r>
        <w:t xml:space="preserve"> </w:t>
      </w:r>
      <w:r>
        <w:rPr>
          <w:iCs/>
          <w:i/>
        </w:rPr>
        <w:t xml:space="preserve">Clin Endocrinol (Oxf)</w:t>
      </w:r>
      <w:r>
        <w:t xml:space="preserve"> </w:t>
      </w:r>
      <w:r>
        <w:t xml:space="preserve">· Different effects of growth hormone releasing peptide (GHRP-6) and GH-releasing hormone on GH release in endogenous and exogenous hypercortisolism. PMID 9274702</w:t>
      </w:r>
    </w:p>
    <w:p>
      <w:pPr>
        <w:numPr>
          <w:ilvl w:val="0"/>
          <w:numId w:val="1400"/>
        </w:numPr>
        <w:pStyle w:val="Compact"/>
      </w:pPr>
      <w:r>
        <w:t xml:space="preserve">1997 · Pimentel-Filho FR ·</w:t>
      </w:r>
      <w:r>
        <w:t xml:space="preserve"> </w:t>
      </w:r>
      <w:r>
        <w:rPr>
          <w:iCs/>
          <w:i/>
        </w:rPr>
        <w:t xml:space="preserve">Clin Endocrinol (Oxf)</w:t>
      </w:r>
      <w:r>
        <w:t xml:space="preserve"> </w:t>
      </w:r>
      <w:r>
        <w:t xml:space="preserve">· Growth hormone responses to GH-releasing peptide (GHRP-6) in hypothyroidism. PMID 9156038</w:t>
      </w:r>
    </w:p>
    <w:p>
      <w:pPr>
        <w:numPr>
          <w:ilvl w:val="0"/>
          <w:numId w:val="1400"/>
        </w:numPr>
        <w:pStyle w:val="Compact"/>
      </w:pPr>
      <w:r>
        <w:t xml:space="preserve">1997 · Nooitgedagt A ·</w:t>
      </w:r>
      <w:r>
        <w:t xml:space="preserve"> </w:t>
      </w:r>
      <w:r>
        <w:rPr>
          <w:iCs/>
          <w:i/>
        </w:rPr>
        <w:t xml:space="preserve">Clin Endocrinol (Oxf)</w:t>
      </w:r>
      <w:r>
        <w:t xml:space="preserve"> </w:t>
      </w:r>
      <w:r>
        <w:t xml:space="preserve">· Influence of endogenous cholinergic tone and growth hormone-releasing peptide-6 on exercise induced growth hormone release. PMID 9135702</w:t>
      </w:r>
    </w:p>
    <w:p>
      <w:pPr>
        <w:numPr>
          <w:ilvl w:val="0"/>
          <w:numId w:val="1400"/>
        </w:numPr>
        <w:pStyle w:val="Compact"/>
      </w:pPr>
      <w:r>
        <w:t xml:space="preserve">1996 · Cordido F ·</w:t>
      </w:r>
      <w:r>
        <w:t xml:space="preserve"> </w:t>
      </w:r>
      <w:r>
        <w:rPr>
          <w:iCs/>
          <w:i/>
        </w:rPr>
        <w:t xml:space="preserve">J Clin Endocrinol Metab</w:t>
      </w:r>
      <w:r>
        <w:t xml:space="preserve"> </w:t>
      </w:r>
      <w:r>
        <w:t xml:space="preserve">· Impaired growth hormone secretion in obese subjects is partially reversed by acipimox-mediated plasma free fatty acid depression. PMID 8772550</w:t>
      </w:r>
    </w:p>
    <w:p>
      <w:pPr>
        <w:numPr>
          <w:ilvl w:val="0"/>
          <w:numId w:val="1400"/>
        </w:numPr>
        <w:pStyle w:val="Compact"/>
      </w:pPr>
      <w:r>
        <w:t xml:space="preserve">1996 · Peino R ·</w:t>
      </w:r>
      <w:r>
        <w:t xml:space="preserve"> </w:t>
      </w:r>
      <w:r>
        <w:rPr>
          <w:iCs/>
          <w:i/>
        </w:rPr>
        <w:t xml:space="preserve">J Clin Endocrinol Metab</w:t>
      </w:r>
      <w:r>
        <w:t xml:space="preserve"> </w:t>
      </w:r>
      <w:r>
        <w:t xml:space="preserve">· Acipimox-mediated plasma free fatty acid depression per se stimulates growth hormone (GH) secretion in normal subjects and potentiates the response to other GH-releasing stimuli. PMID 8772549</w:t>
      </w:r>
    </w:p>
    <w:p>
      <w:pPr>
        <w:numPr>
          <w:ilvl w:val="0"/>
          <w:numId w:val="1400"/>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0"/>
        </w:numPr>
        <w:pStyle w:val="Compact"/>
      </w:pPr>
      <w:r>
        <w:t xml:space="preserve">1995 · Leal-Cerro A ·</w:t>
      </w:r>
      <w:r>
        <w:t xml:space="preserve"> </w:t>
      </w:r>
      <w:r>
        <w:rPr>
          <w:iCs/>
          <w:i/>
        </w:rPr>
        <w:t xml:space="preserve">Eur J Endocrinol</w:t>
      </w:r>
      <w:r>
        <w:t xml:space="preserve"> </w:t>
      </w:r>
      <w:r>
        <w:t xml:space="preserve">· Growth hormone (GH) responses to the combined administration of GH-releasing hormone plus GH-releasing peptide 6 in adults with GH deficiency. PMID 7788011</w:t>
      </w:r>
    </w:p>
    <w:p>
      <w:pPr>
        <w:numPr>
          <w:ilvl w:val="0"/>
          <w:numId w:val="1400"/>
        </w:numPr>
        <w:pStyle w:val="Compact"/>
      </w:pPr>
      <w:r>
        <w:t xml:space="preserve">1995 · Micic D ·</w:t>
      </w:r>
      <w:r>
        <w:t xml:space="preserve"> </w:t>
      </w:r>
      <w:r>
        <w:rPr>
          <w:iCs/>
          <w:i/>
        </w:rPr>
        <w:t xml:space="preserve">Clin Endocrinol (Oxf)</w:t>
      </w:r>
      <w:r>
        <w:t xml:space="preserve"> </w:t>
      </w:r>
      <w:r>
        <w:t xml:space="preserve">· Growth hormone secretion after the administration of GHRP-6 or GHRH combined with GHRP-6 does not decline in late adulthood. PMID 7734029</w:t>
      </w:r>
    </w:p>
    <w:p>
      <w:pPr>
        <w:numPr>
          <w:ilvl w:val="0"/>
          <w:numId w:val="1400"/>
        </w:numPr>
        <w:pStyle w:val="Compact"/>
      </w:pPr>
      <w:r>
        <w:t xml:space="preserve">1995 · Frieboes RM ·</w:t>
      </w:r>
      <w:r>
        <w:t xml:space="preserve"> </w:t>
      </w:r>
      <w:r>
        <w:rPr>
          <w:iCs/>
          <w:i/>
        </w:rPr>
        <w:t xml:space="preserve">Neuroendocrinology</w:t>
      </w:r>
      <w:r>
        <w:t xml:space="preserve"> </w:t>
      </w:r>
      <w:r>
        <w:t xml:space="preserve">· Growth hormone-releasing peptide-6 stimulates sleep, growth hormone, ACTH and cortisol release in normal man. PMID 7617137</w:t>
      </w:r>
    </w:p>
    <w:p>
      <w:pPr>
        <w:numPr>
          <w:ilvl w:val="0"/>
          <w:numId w:val="1400"/>
        </w:numPr>
        <w:pStyle w:val="Compact"/>
      </w:pPr>
      <w:r>
        <w:t xml:space="preserve">1995 · Pombo M ·</w:t>
      </w:r>
      <w:r>
        <w:t xml:space="preserve"> </w:t>
      </w:r>
      <w:r>
        <w:rPr>
          <w:iCs/>
          <w:i/>
        </w:rPr>
        <w:t xml:space="preserve">J Clin Endocrinol Metab</w:t>
      </w:r>
      <w:r>
        <w:t xml:space="preserve"> </w:t>
      </w:r>
      <w:r>
        <w:t xml:space="preserve">· Absence of growth hormone (GH) secretion after the administration of either GH-releasing hormone (GHRH), GH-releasing peptide (GHRP-6), or GHRH plus GHRP-6 in children with neonatal pituitary stalk transection. PMID 7593423</w:t>
      </w:r>
    </w:p>
    <w:p>
      <w:pPr>
        <w:numPr>
          <w:ilvl w:val="0"/>
          <w:numId w:val="1400"/>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0"/>
        </w:numPr>
        <w:pStyle w:val="Compact"/>
      </w:pPr>
      <w:r>
        <w:t xml:space="preserve">1995 · Bellone J ·</w:t>
      </w:r>
      <w:r>
        <w:t xml:space="preserve"> </w:t>
      </w:r>
      <w:r>
        <w:rPr>
          <w:iCs/>
          <w:i/>
        </w:rPr>
        <w:t xml:space="preserve">Eur J Endocrinol</w:t>
      </w:r>
      <w:r>
        <w:t xml:space="preserve"> </w:t>
      </w:r>
      <w:r>
        <w:t xml:space="preserve">· Growth hormone-releasing effect of oral growth hormone-releasing peptide 6 (GHRP-6) administration in children with short stature. PMID 7581965</w:t>
      </w:r>
    </w:p>
    <w:p>
      <w:pPr>
        <w:numPr>
          <w:ilvl w:val="0"/>
          <w:numId w:val="1400"/>
        </w:numPr>
        <w:pStyle w:val="Compact"/>
      </w:pPr>
      <w:r>
        <w:t xml:space="preserve">1994 · Ghigo E ·</w:t>
      </w:r>
      <w:r>
        <w:t xml:space="preserve"> </w:t>
      </w:r>
      <w:r>
        <w:rPr>
          <w:iCs/>
          <w:i/>
        </w:rPr>
        <w:t xml:space="preserve">J Endocrinol Invest</w:t>
      </w:r>
      <w:r>
        <w:t xml:space="preserve"> </w:t>
      </w:r>
      <w:r>
        <w:t xml:space="preserve">· Arginine enhances the growth hormone-releasing activity of a synthetic hexapeptide (GHRP-6) in elderly but not in young subjects after oral administration. PMID 8051337</w:t>
      </w:r>
    </w:p>
    <w:p>
      <w:pPr>
        <w:numPr>
          <w:ilvl w:val="0"/>
          <w:numId w:val="1400"/>
        </w:numPr>
        <w:pStyle w:val="Compact"/>
      </w:pPr>
      <w:r>
        <w:t xml:space="preserve">1994 · Ghigo E ·</w:t>
      </w:r>
      <w:r>
        <w:t xml:space="preserve"> </w:t>
      </w:r>
      <w:r>
        <w:rPr>
          <w:iCs/>
          <w:i/>
        </w:rPr>
        <w:t xml:space="preserve">Eur J Endocrinol</w:t>
      </w:r>
      <w:r>
        <w:t xml:space="preserve"> </w:t>
      </w:r>
      <w:r>
        <w:t xml:space="preserve">· Growth hormone-releasing activity of growth hormone-releasing peptide-6 is maintained after short-term oral pretreatment with the hexapeptide in normal aging. PMID 7952160</w:t>
      </w:r>
    </w:p>
    <w:bookmarkEnd w:id="3040"/>
    <w:bookmarkStart w:id="3041" w:name="hexarelin-58"/>
    <w:p>
      <w:pPr>
        <w:pStyle w:val="Heading2"/>
      </w:pPr>
      <w:r>
        <w:t xml:space="preserve">Hexarelin (58)</w:t>
      </w:r>
    </w:p>
    <w:p>
      <w:pPr>
        <w:numPr>
          <w:ilvl w:val="0"/>
          <w:numId w:val="1401"/>
        </w:numPr>
        <w:pStyle w:val="Compact"/>
      </w:pPr>
      <w:r>
        <w:t xml:space="preserve">2004 · Janssen JA ·</w:t>
      </w:r>
      <w:r>
        <w:t xml:space="preserve"> </w:t>
      </w:r>
      <w:r>
        <w:rPr>
          <w:iCs/>
          <w:i/>
        </w:rPr>
        <w:t xml:space="preserve">J Endocrinol Invest</w:t>
      </w:r>
      <w:r>
        <w:t xml:space="preserve"> </w:t>
      </w:r>
      <w:r>
        <w:t xml:space="preserve">· There are no acute cardiac effects of a single iv dose of human ghrelin in severe growth hormone deficient patients. PMID 15505990</w:t>
      </w:r>
    </w:p>
    <w:p>
      <w:pPr>
        <w:numPr>
          <w:ilvl w:val="0"/>
          <w:numId w:val="1401"/>
        </w:numPr>
        <w:pStyle w:val="Compact"/>
      </w:pPr>
      <w:r>
        <w:t xml:space="preserve">2004 · de Vries WR ·</w:t>
      </w:r>
      <w:r>
        <w:t xml:space="preserve"> </w:t>
      </w:r>
      <w:r>
        <w:rPr>
          <w:iCs/>
          <w:i/>
        </w:rPr>
        <w:t xml:space="preserve">Horm Metab Res</w:t>
      </w:r>
      <w:r>
        <w:t xml:space="preserve"> </w:t>
      </w:r>
      <w:r>
        <w:t xml:space="preserve">· Age-related differences in growth hormone (GH) regulation during strenuous exercise. PMID 15305235</w:t>
      </w:r>
    </w:p>
    <w:p>
      <w:pPr>
        <w:numPr>
          <w:ilvl w:val="0"/>
          <w:numId w:val="1401"/>
        </w:numPr>
        <w:pStyle w:val="Compact"/>
      </w:pPr>
      <w:r>
        <w:t xml:space="preserve">2004 · Frieboes RM ·</w:t>
      </w:r>
      <w:r>
        <w:t xml:space="preserve"> </w:t>
      </w:r>
      <w:r>
        <w:rPr>
          <w:iCs/>
          <w:i/>
        </w:rPr>
        <w:t xml:space="preserve">Psychoneuroendocrinology</w:t>
      </w:r>
      <w:r>
        <w:t xml:space="preserve"> </w:t>
      </w:r>
      <w:r>
        <w:t xml:space="preserve">· Hexarelin decreases slow-wave sleep and stimulates the secretion of GH, ACTH, cortisol and prolactin during sleep in healthy volunteers. PMID 15177700</w:t>
      </w:r>
    </w:p>
    <w:p>
      <w:pPr>
        <w:numPr>
          <w:ilvl w:val="0"/>
          <w:numId w:val="1401"/>
        </w:numPr>
        <w:pStyle w:val="Compact"/>
      </w:pPr>
      <w:r>
        <w:t xml:space="preserve">2003 · Benso A ·</w:t>
      </w:r>
      <w:r>
        <w:t xml:space="preserve"> </w:t>
      </w:r>
      <w:r>
        <w:rPr>
          <w:iCs/>
          <w:i/>
        </w:rPr>
        <w:t xml:space="preserve">J Endocrinol Invest</w:t>
      </w:r>
      <w:r>
        <w:t xml:space="preserve"> </w:t>
      </w:r>
      <w:r>
        <w:t xml:space="preserve">· Effects of cortistatin-14 and somatostatin-14 on the endocrine response to hexarelin in humans. PMID 14594107</w:t>
      </w:r>
    </w:p>
    <w:p>
      <w:pPr>
        <w:numPr>
          <w:ilvl w:val="0"/>
          <w:numId w:val="1401"/>
        </w:numPr>
        <w:pStyle w:val="Compact"/>
      </w:pPr>
      <w:r>
        <w:t xml:space="preserve">2003 · Oliveira JH ·</w:t>
      </w:r>
      <w:r>
        <w:t xml:space="preserve"> </w:t>
      </w:r>
      <w:r>
        <w:rPr>
          <w:iCs/>
          <w:i/>
        </w:rPr>
        <w:t xml:space="preserve">J Endocrinol Invest</w:t>
      </w:r>
      <w:r>
        <w:t xml:space="preserve"> </w:t>
      </w:r>
      <w:r>
        <w:t xml:space="preserve">· GHRP-6 is able to stimulate cortisol and ACTH release in patients with Cushing’s disease: comparison with DDAVP. PMID 12809173</w:t>
      </w:r>
    </w:p>
    <w:p>
      <w:pPr>
        <w:numPr>
          <w:ilvl w:val="0"/>
          <w:numId w:val="1401"/>
        </w:numPr>
        <w:pStyle w:val="Compact"/>
      </w:pPr>
      <w:r>
        <w:t xml:space="preserve">2002 · Broglio F ·</w:t>
      </w:r>
      <w:r>
        <w:t xml:space="preserve"> </w:t>
      </w:r>
      <w:r>
        <w:rPr>
          <w:iCs/>
          <w:i/>
        </w:rPr>
        <w:t xml:space="preserve">Clin Endocrinol (Oxf)</w:t>
      </w:r>
      <w:r>
        <w:t xml:space="preserve"> </w:t>
      </w:r>
      <w:r>
        <w:t xml:space="preserve">· Effects of glucose, free fatty acids or arginine load on the GH-releasing activity of ghrelin in humans. PMID 12153607</w:t>
      </w:r>
    </w:p>
    <w:p>
      <w:pPr>
        <w:numPr>
          <w:ilvl w:val="0"/>
          <w:numId w:val="1401"/>
        </w:numPr>
        <w:pStyle w:val="Compact"/>
      </w:pPr>
      <w:r>
        <w:t xml:space="preserve">2002 · Broglio F ·</w:t>
      </w:r>
      <w:r>
        <w:t xml:space="preserve"> </w:t>
      </w:r>
      <w:r>
        <w:rPr>
          <w:iCs/>
          <w:i/>
        </w:rPr>
        <w:t xml:space="preserve">Eur J Pharmacol</w:t>
      </w:r>
      <w:r>
        <w:t xml:space="preserve"> </w:t>
      </w:r>
      <w:r>
        <w:t xml:space="preserve">· Effects of acute hexarelin administration on cardiac performance in patients with coronary artery disease during by-pass surgery. PMID 12144941</w:t>
      </w:r>
    </w:p>
    <w:p>
      <w:pPr>
        <w:numPr>
          <w:ilvl w:val="0"/>
          <w:numId w:val="1401"/>
        </w:numPr>
        <w:pStyle w:val="Compact"/>
      </w:pPr>
      <w:r>
        <w:t xml:space="preserve">2002 · Maccario M ·</w:t>
      </w:r>
      <w:r>
        <w:t xml:space="preserve"> </w:t>
      </w:r>
      <w:r>
        <w:rPr>
          <w:iCs/>
          <w:i/>
        </w:rPr>
        <w:t xml:space="preserve">Eur J Endocrinol</w:t>
      </w:r>
      <w:r>
        <w:t xml:space="preserve"> </w:t>
      </w:r>
      <w:r>
        <w:t xml:space="preserve">· Impact of two or three daily subcutaneous injections of hexarelin, a synthetic growth hormone (GH) secretagogue, on 24-h GH, prolactin, adrenocorticotropin and cortisol secretion in humans. PMID 11888836</w:t>
      </w:r>
    </w:p>
    <w:p>
      <w:pPr>
        <w:numPr>
          <w:ilvl w:val="0"/>
          <w:numId w:val="1401"/>
        </w:numPr>
        <w:pStyle w:val="Compact"/>
      </w:pPr>
      <w:r>
        <w:t xml:space="preserve">2001 · Broglio F ·</w:t>
      </w:r>
      <w:r>
        <w:t xml:space="preserve"> </w:t>
      </w:r>
      <w:r>
        <w:rPr>
          <w:iCs/>
          <w:i/>
        </w:rPr>
        <w:t xml:space="preserve">J Clin Endocrinol Metab</w:t>
      </w:r>
      <w:r>
        <w:t xml:space="preserve"> </w:t>
      </w:r>
      <w:r>
        <w:t xml:space="preserve">· Ghrelin, a natural GH secretagogue produced by the stomach, induces hyperglycemia and reduces insulin secretion in humans. PMID 11600590</w:t>
      </w:r>
    </w:p>
    <w:p>
      <w:pPr>
        <w:numPr>
          <w:ilvl w:val="0"/>
          <w:numId w:val="1401"/>
        </w:numPr>
        <w:pStyle w:val="Compact"/>
      </w:pPr>
      <w:r>
        <w:t xml:space="preserve">2001 · Broglio F ·</w:t>
      </w:r>
      <w:r>
        <w:t xml:space="preserve"> </w:t>
      </w:r>
      <w:r>
        <w:rPr>
          <w:iCs/>
          <w:i/>
        </w:rPr>
        <w:t xml:space="preserve">Endocrine</w:t>
      </w:r>
      <w:r>
        <w:t xml:space="preserve"> </w:t>
      </w:r>
      <w:r>
        <w:t xml:space="preserve">· Growth hormone-independent cardiotropic activities of growth hormone-releasing peptides in normal subjects, in patients with growth hormone deficiency, and in patients with idiopathic or ischemic dilated cardiomyopathy. PMID 11322491</w:t>
      </w:r>
    </w:p>
    <w:p>
      <w:pPr>
        <w:numPr>
          <w:ilvl w:val="0"/>
          <w:numId w:val="1401"/>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1"/>
        </w:numPr>
        <w:pStyle w:val="Compact"/>
      </w:pPr>
      <w:r>
        <w:t xml:space="preserve">2001 · Arvat E ·</w:t>
      </w:r>
      <w:r>
        <w:t xml:space="preserve"> </w:t>
      </w:r>
      <w:r>
        <w:rPr>
          <w:iCs/>
          <w:i/>
        </w:rPr>
        <w:t xml:space="preserve">J Clin Endocrinol Metab</w:t>
      </w:r>
      <w:r>
        <w:t xml:space="preserve"> </w:t>
      </w:r>
      <w:r>
        <w:t xml:space="preserve">· Endocrine activities of ghrelin, a natural growth hormone secretagogue (GHS), in humans: comparison and interactions with hexarelin, a nonnatural peptidyl GHS, and GH-releasing hormone. PMID 11238504</w:t>
      </w:r>
    </w:p>
    <w:p>
      <w:pPr>
        <w:numPr>
          <w:ilvl w:val="0"/>
          <w:numId w:val="1401"/>
        </w:numPr>
        <w:pStyle w:val="Compact"/>
      </w:pPr>
      <w:r>
        <w:t xml:space="preserve">2000 · Arvat E ·</w:t>
      </w:r>
      <w:r>
        <w:t xml:space="preserve"> </w:t>
      </w:r>
      <w:r>
        <w:rPr>
          <w:iCs/>
          <w:i/>
        </w:rPr>
        <w:t xml:space="preserve">Eur J Endocrinol</w:t>
      </w:r>
      <w:r>
        <w:t xml:space="preserve"> </w:t>
      </w:r>
      <w:r>
        <w:t xml:space="preserve">· Interaction between glucagon and hexarelin, a peptidyl GH secretagogue, on somatotroph and corticotroph secretion in humans. PMID 11078983</w:t>
      </w:r>
    </w:p>
    <w:p>
      <w:pPr>
        <w:numPr>
          <w:ilvl w:val="0"/>
          <w:numId w:val="1401"/>
        </w:numPr>
        <w:pStyle w:val="Compact"/>
      </w:pPr>
      <w:r>
        <w:t xml:space="preserve">2000 · Broglio F ·</w:t>
      </w:r>
      <w:r>
        <w:t xml:space="preserve"> </w:t>
      </w:r>
      <w:r>
        <w:rPr>
          <w:iCs/>
          <w:i/>
        </w:rPr>
        <w:t xml:space="preserve">Eur J Endocrinol</w:t>
      </w:r>
      <w:r>
        <w:t xml:space="preserve"> </w:t>
      </w:r>
      <w:r>
        <w:t xml:space="preserve">· Endocrine activities of alexamorelin (Ala-His-d-2-methyl-Trp-Ala-Trp-d-Phe-Lys-NH2), a synthetic GH secretagogue, in humans. PMID 11022186</w:t>
      </w:r>
    </w:p>
    <w:p>
      <w:pPr>
        <w:numPr>
          <w:ilvl w:val="0"/>
          <w:numId w:val="1401"/>
        </w:numPr>
        <w:pStyle w:val="Compact"/>
      </w:pPr>
      <w:r>
        <w:t xml:space="preserve">2000 · Coiro V ·</w:t>
      </w:r>
      <w:r>
        <w:t xml:space="preserve"> </w:t>
      </w:r>
      <w:r>
        <w:rPr>
          <w:iCs/>
          <w:i/>
        </w:rPr>
        <w:t xml:space="preserve">J Intern Med</w:t>
      </w:r>
      <w:r>
        <w:t xml:space="preserve"> </w:t>
      </w:r>
      <w:r>
        <w:t xml:space="preserve">· Desmopressin and hexarelin tests in alcohol-induced pseudo-Cushing’s syndrome. PMID 10886488</w:t>
      </w:r>
    </w:p>
    <w:p>
      <w:pPr>
        <w:numPr>
          <w:ilvl w:val="0"/>
          <w:numId w:val="1401"/>
        </w:numPr>
        <w:pStyle w:val="Compact"/>
      </w:pPr>
      <w:r>
        <w:t xml:space="preserve">2000 · De Marinis L ·</w:t>
      </w:r>
      <w:r>
        <w:t xml:space="preserve"> </w:t>
      </w:r>
      <w:r>
        <w:rPr>
          <w:iCs/>
          <w:i/>
        </w:rPr>
        <w:t xml:space="preserve">Horm Metab Res</w:t>
      </w:r>
      <w:r>
        <w:t xml:space="preserve"> </w:t>
      </w:r>
      <w:r>
        <w:t xml:space="preserve">· Role of food intake in the modulation of hexarelin-induced growth hormone release in normal human subjects. PMID 10824712</w:t>
      </w:r>
    </w:p>
    <w:p>
      <w:pPr>
        <w:numPr>
          <w:ilvl w:val="0"/>
          <w:numId w:val="1401"/>
        </w:numPr>
        <w:pStyle w:val="Compact"/>
      </w:pPr>
      <w:r>
        <w:t xml:space="preserve">2000 · Bellone J ·</w:t>
      </w:r>
      <w:r>
        <w:t xml:space="preserve"> </w:t>
      </w:r>
      <w:r>
        <w:rPr>
          <w:iCs/>
          <w:i/>
        </w:rPr>
        <w:t xml:space="preserve">J Endocrinol Invest</w:t>
      </w:r>
      <w:r>
        <w:t xml:space="preserve"> </w:t>
      </w:r>
      <w:r>
        <w:t xml:space="preserve">· The negative GH auto-feedback in childhood: effects of rhGH and/or GHRH on the somatotroph response to GHRH or hexarelin, a peptidyl GH secretagogue, in children. PMID 10803472</w:t>
      </w:r>
    </w:p>
    <w:p>
      <w:pPr>
        <w:numPr>
          <w:ilvl w:val="0"/>
          <w:numId w:val="1401"/>
        </w:numPr>
        <w:pStyle w:val="Compact"/>
      </w:pPr>
      <w:r>
        <w:t xml:space="preserve">1999 · Ghigo E ·</w:t>
      </w:r>
      <w:r>
        <w:t xml:space="preserve"> </w:t>
      </w:r>
      <w:r>
        <w:rPr>
          <w:iCs/>
          <w:i/>
        </w:rPr>
        <w:t xml:space="preserve">J Clin Endocrinol Metab</w:t>
      </w:r>
      <w:r>
        <w:t xml:space="preserve"> </w:t>
      </w:r>
      <w:r>
        <w:t xml:space="preserve">· Effects of recombinant human insulin-like growth factor I administration on growth hormone (GH) secretion, both spontaneous and stimulated by GH-releasing hormone or hexarelin, a peptidyl GH secretagogue, in humans. PMID 9920097</w:t>
      </w:r>
    </w:p>
    <w:p>
      <w:pPr>
        <w:numPr>
          <w:ilvl w:val="0"/>
          <w:numId w:val="1401"/>
        </w:numPr>
        <w:pStyle w:val="Compact"/>
      </w:pPr>
      <w:r>
        <w:t xml:space="preserve">1999 · Grottoli S ·</w:t>
      </w:r>
      <w:r>
        <w:t xml:space="preserve"> </w:t>
      </w:r>
      <w:r>
        <w:rPr>
          <w:iCs/>
          <w:i/>
        </w:rPr>
        <w:t xml:space="preserve">Pituitary</w:t>
      </w:r>
      <w:r>
        <w:t xml:space="preserve"> </w:t>
      </w:r>
      <w:r>
        <w:t xml:space="preserve">· Effects of alprazolam, a benzodiazepine, on the ACTH-, GH- and PRL-releasing activity of hexarelin, a synthetic peptidyl GH secretagogue (GHS), in patients with simple obesity and in patients with Cushing’s disease. PMID 11081154</w:t>
      </w:r>
    </w:p>
    <w:p>
      <w:pPr>
        <w:numPr>
          <w:ilvl w:val="0"/>
          <w:numId w:val="1401"/>
        </w:numPr>
        <w:pStyle w:val="Compact"/>
      </w:pPr>
      <w:r>
        <w:t xml:space="preserve">1999 · Bisi G ·</w:t>
      </w:r>
      <w:r>
        <w:t xml:space="preserve"> </w:t>
      </w:r>
      <w:r>
        <w:rPr>
          <w:iCs/>
          <w:i/>
        </w:rPr>
        <w:t xml:space="preserve">Eur J Pharmacol</w:t>
      </w:r>
      <w:r>
        <w:t xml:space="preserve"> </w:t>
      </w:r>
      <w:r>
        <w:t xml:space="preserve">· Cardiac effects of hexarelin in hypopituitary adults. PMID 10528131</w:t>
      </w:r>
    </w:p>
    <w:p>
      <w:pPr>
        <w:numPr>
          <w:ilvl w:val="0"/>
          <w:numId w:val="1401"/>
        </w:numPr>
        <w:pStyle w:val="Compact"/>
      </w:pPr>
      <w:r>
        <w:t xml:space="preserve">1999 · Arvat E ·</w:t>
      </w:r>
      <w:r>
        <w:t xml:space="preserve"> </w:t>
      </w:r>
      <w:r>
        <w:rPr>
          <w:iCs/>
          <w:i/>
        </w:rPr>
        <w:t xml:space="preserve">Neuroendocrinology</w:t>
      </w:r>
      <w:r>
        <w:t xml:space="preserve"> </w:t>
      </w:r>
      <w:r>
        <w:t xml:space="preserve">· Corticotropin-releasing effect of hexarelin, a peptidyl GH secretagogue, in normal subjects pretreated with metyrapone or RU-486, a glucocorticoid receptor antagonist, and in patients with Addison’s disease. PMID 10516483</w:t>
      </w:r>
    </w:p>
    <w:p>
      <w:pPr>
        <w:numPr>
          <w:ilvl w:val="0"/>
          <w:numId w:val="1401"/>
        </w:numPr>
        <w:pStyle w:val="Compact"/>
      </w:pPr>
      <w:r>
        <w:t xml:space="preserve">1999 · Korbonits M ·</w:t>
      </w:r>
      <w:r>
        <w:t xml:space="preserve"> </w:t>
      </w:r>
      <w:r>
        <w:rPr>
          <w:iCs/>
          <w:i/>
        </w:rPr>
        <w:t xml:space="preserve">J Clin Endocrinol Metab</w:t>
      </w:r>
      <w:r>
        <w:t xml:space="preserve"> </w:t>
      </w:r>
      <w:r>
        <w:t xml:space="preserve">· The growth hormone secretagogue hexarelin stimulates the hypothalamo-pituitary-adrenal axis via arginine vasopressin. PMID 10404825</w:t>
      </w:r>
    </w:p>
    <w:p>
      <w:pPr>
        <w:numPr>
          <w:ilvl w:val="0"/>
          <w:numId w:val="1401"/>
        </w:numPr>
        <w:pStyle w:val="Compact"/>
      </w:pPr>
      <w:r>
        <w:t xml:space="preserve">1999 · Bisi G ·</w:t>
      </w:r>
      <w:r>
        <w:t xml:space="preserve"> </w:t>
      </w:r>
      <w:r>
        <w:rPr>
          <w:iCs/>
          <w:i/>
        </w:rPr>
        <w:t xml:space="preserve">J Endocrinol Invest</w:t>
      </w:r>
      <w:r>
        <w:t xml:space="preserve"> </w:t>
      </w:r>
      <w:r>
        <w:t xml:space="preserve">· Acute cardiovascular and hormonal effects of GH and hexarelin, a synthetic GH-releasing peptide, in humans. PMID 10342360</w:t>
      </w:r>
    </w:p>
    <w:p>
      <w:pPr>
        <w:numPr>
          <w:ilvl w:val="0"/>
          <w:numId w:val="1401"/>
        </w:numPr>
        <w:pStyle w:val="Compact"/>
      </w:pPr>
      <w:r>
        <w:t xml:space="preserve">1999 · Rahim A ·</w:t>
      </w:r>
      <w:r>
        <w:t xml:space="preserve"> </w:t>
      </w:r>
      <w:r>
        <w:rPr>
          <w:iCs/>
          <w:i/>
        </w:rPr>
        <w:t xml:space="preserve">Clin Endocrinol (Oxf)</w:t>
      </w:r>
      <w:r>
        <w:t xml:space="preserve"> </w:t>
      </w:r>
      <w:r>
        <w:t xml:space="preserve">· The effect of chronic hexarelin administration on the pituitary-adrenal axis and prolactin. PMID 10341859</w:t>
      </w:r>
    </w:p>
    <w:p>
      <w:pPr>
        <w:numPr>
          <w:ilvl w:val="0"/>
          <w:numId w:val="1401"/>
        </w:numPr>
        <w:pStyle w:val="Compact"/>
      </w:pPr>
      <w:r>
        <w:t xml:space="preserve">1999 · Jenkins RC ·</w:t>
      </w:r>
      <w:r>
        <w:t xml:space="preserve"> </w:t>
      </w:r>
      <w:r>
        <w:rPr>
          <w:iCs/>
          <w:i/>
        </w:rPr>
        <w:t xml:space="preserve">J Clin Endocrinol Metab</w:t>
      </w:r>
      <w:r>
        <w:t xml:space="preserve"> </w:t>
      </w:r>
      <w:r>
        <w:t xml:space="preserve">· The effects of dose, nutrition, and age on hexarelin-induced anterior pituitary hormone secretion in adult patients on maintenance hemodialysis. PMID 10199757</w:t>
      </w:r>
    </w:p>
    <w:p>
      <w:pPr>
        <w:numPr>
          <w:ilvl w:val="0"/>
          <w:numId w:val="1401"/>
        </w:numPr>
        <w:pStyle w:val="Compact"/>
      </w:pPr>
      <w:r>
        <w:t xml:space="preserve">1999 · Arvat E ·</w:t>
      </w:r>
      <w:r>
        <w:t xml:space="preserve"> </w:t>
      </w:r>
      <w:r>
        <w:rPr>
          <w:iCs/>
          <w:i/>
        </w:rPr>
        <w:t xml:space="preserve">J Endocrinol Invest</w:t>
      </w:r>
      <w:r>
        <w:t xml:space="preserve"> </w:t>
      </w:r>
      <w:r>
        <w:t xml:space="preserve">· Tyr-Ala-Hexarelin, a synthetic octapeptide, possesses the same endocrine activities of Hexarelin and GHRP-2 in humans. PMID 10195374</w:t>
      </w:r>
    </w:p>
    <w:p>
      <w:pPr>
        <w:numPr>
          <w:ilvl w:val="0"/>
          <w:numId w:val="1401"/>
        </w:numPr>
        <w:pStyle w:val="Compact"/>
      </w:pPr>
      <w:r>
        <w:t xml:space="preserve">1998 · Arvat E ·</w:t>
      </w:r>
      <w:r>
        <w:t xml:space="preserve"> </w:t>
      </w:r>
      <w:r>
        <w:rPr>
          <w:iCs/>
          <w:i/>
        </w:rPr>
        <w:t xml:space="preserve">J Clin Endocrinol Metab</w:t>
      </w:r>
      <w:r>
        <w:t xml:space="preserve"> </w:t>
      </w:r>
      <w:r>
        <w:t xml:space="preserve">· Adrenocorticotropin and cortisol hyperresponsiveness to hexarelin in patients with Cushing’s disease bearing a pituitary microadenoma, but not in those with macroadenoma. PMID 9851753</w:t>
      </w:r>
    </w:p>
    <w:p>
      <w:pPr>
        <w:numPr>
          <w:ilvl w:val="0"/>
          <w:numId w:val="1401"/>
        </w:numPr>
        <w:pStyle w:val="Compact"/>
      </w:pPr>
      <w:r>
        <w:t xml:space="preserve">1998 · Maghnie M ·</w:t>
      </w:r>
      <w:r>
        <w:t xml:space="preserve"> </w:t>
      </w:r>
      <w:r>
        <w:rPr>
          <w:iCs/>
          <w:i/>
        </w:rPr>
        <w:t xml:space="preserve">J Clin Endocrinol Metab</w:t>
      </w:r>
      <w:r>
        <w:t xml:space="preserve"> </w:t>
      </w:r>
      <w:r>
        <w:t xml:space="preserve">· The growth hormone response to hexarelin in patients with different hypothalamic-pituitary abnormalities. PMID 9814463</w:t>
      </w:r>
    </w:p>
    <w:p>
      <w:pPr>
        <w:numPr>
          <w:ilvl w:val="0"/>
          <w:numId w:val="1401"/>
        </w:numPr>
        <w:pStyle w:val="Compact"/>
      </w:pPr>
      <w:r>
        <w:t xml:space="preserve">1998 · Arvat E ·</w:t>
      </w:r>
      <w:r>
        <w:t xml:space="preserve"> </w:t>
      </w:r>
      <w:r>
        <w:rPr>
          <w:iCs/>
          <w:i/>
        </w:rPr>
        <w:t xml:space="preserve">Neuroendocrinology</w:t>
      </w:r>
      <w:r>
        <w:t xml:space="preserve"> </w:t>
      </w:r>
      <w:r>
        <w:t xml:space="preserve">· Effects of dexamethasone and alprazolam, a benzodiazepine, on the stimulatory effect of hexarelin, a synthetic GHRP, on ACTH, cortisol and GH secretion in humans. PMID 9641612</w:t>
      </w:r>
    </w:p>
    <w:p>
      <w:pPr>
        <w:numPr>
          <w:ilvl w:val="0"/>
          <w:numId w:val="1401"/>
        </w:numPr>
        <w:pStyle w:val="Compact"/>
      </w:pPr>
      <w:r>
        <w:t xml:space="preserve">1998 · Arosio M ·</w:t>
      </w:r>
      <w:r>
        <w:t xml:space="preserve"> </w:t>
      </w:r>
      <w:r>
        <w:rPr>
          <w:iCs/>
          <w:i/>
        </w:rPr>
        <w:t xml:space="preserve">J Endocrinol Invest</w:t>
      </w:r>
      <w:r>
        <w:t xml:space="preserve"> </w:t>
      </w:r>
      <w:r>
        <w:t xml:space="preserve">· Lack of effect of hexarelin on TRH-induced TSH response in normal adult man. PMID 9624598</w:t>
      </w:r>
    </w:p>
    <w:p>
      <w:pPr>
        <w:numPr>
          <w:ilvl w:val="0"/>
          <w:numId w:val="1401"/>
        </w:numPr>
        <w:pStyle w:val="Compact"/>
      </w:pPr>
      <w:r>
        <w:t xml:space="preserve">1998 · Rahim A ·</w:t>
      </w:r>
      <w:r>
        <w:t xml:space="preserve"> </w:t>
      </w:r>
      <w:r>
        <w:rPr>
          <w:iCs/>
          <w:i/>
        </w:rPr>
        <w:t xml:space="preserve">J Clin Endocrinol Metab</w:t>
      </w:r>
      <w:r>
        <w:t xml:space="preserve"> </w:t>
      </w:r>
      <w:r>
        <w:t xml:space="preserve">· Growth hormone status during long-term hexarelin therapy. PMID 9589671</w:t>
      </w:r>
    </w:p>
    <w:p>
      <w:pPr>
        <w:numPr>
          <w:ilvl w:val="0"/>
          <w:numId w:val="1401"/>
        </w:numPr>
        <w:pStyle w:val="Compact"/>
      </w:pPr>
      <w:r>
        <w:t xml:space="preserve">1998 · Rahim A ·</w:t>
      </w:r>
      <w:r>
        <w:t xml:space="preserve"> </w:t>
      </w:r>
      <w:r>
        <w:rPr>
          <w:iCs/>
          <w:i/>
        </w:rPr>
        <w:t xml:space="preserve">Growth Horm IGF Res</w:t>
      </w:r>
      <w:r>
        <w:t xml:space="preserve"> </w:t>
      </w:r>
      <w:r>
        <w:t xml:space="preserve">· Does desensitization to hexarelin occur?. PMID 10990150</w:t>
      </w:r>
    </w:p>
    <w:p>
      <w:pPr>
        <w:numPr>
          <w:ilvl w:val="0"/>
          <w:numId w:val="1401"/>
        </w:numPr>
        <w:pStyle w:val="Compact"/>
      </w:pPr>
      <w:r>
        <w:t xml:space="preserve">1998 · Guzzaloni G ·</w:t>
      </w:r>
      <w:r>
        <w:t xml:space="preserve"> </w:t>
      </w:r>
      <w:r>
        <w:rPr>
          <w:iCs/>
          <w:i/>
        </w:rPr>
        <w:t xml:space="preserve">Minerva Endocrinol</w:t>
      </w:r>
      <w:r>
        <w:t xml:space="preserve"> </w:t>
      </w:r>
      <w:r>
        <w:t xml:space="preserve">· Growth hormone response to hexarelin, growth hormone-releasing hormone plus pyridostigmine and arginine plus estrogen in prepubertal and early pubertal short children. PMID 10361807</w:t>
      </w:r>
    </w:p>
    <w:p>
      <w:pPr>
        <w:numPr>
          <w:ilvl w:val="0"/>
          <w:numId w:val="1401"/>
        </w:numPr>
        <w:pStyle w:val="Compact"/>
      </w:pPr>
      <w:r>
        <w:t xml:space="preserve">1997 · Arvat E ·</w:t>
      </w:r>
      <w:r>
        <w:t xml:space="preserve"> </w:t>
      </w:r>
      <w:r>
        <w:rPr>
          <w:iCs/>
          <w:i/>
        </w:rPr>
        <w:t xml:space="preserve">Neuroendocrinology</w:t>
      </w:r>
      <w:r>
        <w:t xml:space="preserve"> </w:t>
      </w:r>
      <w:r>
        <w:t xml:space="preserve">· Hexarelin, a synthetic growth-hormone releasing peptide, shows no interaction with corticotropin-releasing hormone and vasopressin on adrenocorticotropin and cortisol secretion in humans. PMID 9430449</w:t>
      </w:r>
    </w:p>
    <w:p>
      <w:pPr>
        <w:numPr>
          <w:ilvl w:val="0"/>
          <w:numId w:val="1401"/>
        </w:numPr>
        <w:pStyle w:val="Compact"/>
      </w:pPr>
      <w:r>
        <w:t xml:space="preserve">1997 · Massoud AF ·</w:t>
      </w:r>
      <w:r>
        <w:t xml:space="preserve"> </w:t>
      </w:r>
      <w:r>
        <w:rPr>
          <w:iCs/>
          <w:i/>
        </w:rPr>
        <w:t xml:space="preserve">Clin Endocrinol (Oxf)</w:t>
      </w:r>
      <w:r>
        <w:t xml:space="preserve"> </w:t>
      </w:r>
      <w:r>
        <w:t xml:space="preserve">· Interaction of the growth hormone releasing peptide hexarelin with somatostatin. PMID 9425393</w:t>
      </w:r>
    </w:p>
    <w:p>
      <w:pPr>
        <w:numPr>
          <w:ilvl w:val="0"/>
          <w:numId w:val="1401"/>
        </w:numPr>
        <w:pStyle w:val="Compact"/>
      </w:pPr>
      <w:r>
        <w:t xml:space="preserve">1997 · Arvat E ·</w:t>
      </w:r>
      <w:r>
        <w:t xml:space="preserve"> </w:t>
      </w:r>
      <w:r>
        <w:rPr>
          <w:iCs/>
          <w:i/>
        </w:rPr>
        <w:t xml:space="preserve">Clin Endocrinol (Oxf)</w:t>
      </w:r>
      <w:r>
        <w:t xml:space="preserve"> </w:t>
      </w:r>
      <w:r>
        <w:t xml:space="preserve">· Low hexarelin dose and pyridostigmine have additive effect and potentiate to the same extent the GHRH-induced GH response in man. PMID 9404449</w:t>
      </w:r>
    </w:p>
    <w:p>
      <w:pPr>
        <w:numPr>
          <w:ilvl w:val="0"/>
          <w:numId w:val="1401"/>
        </w:numPr>
        <w:pStyle w:val="Compact"/>
      </w:pPr>
      <w:r>
        <w:t xml:space="preserve">1997 · Tolis G ·</w:t>
      </w:r>
      <w:r>
        <w:t xml:space="preserve"> </w:t>
      </w:r>
      <w:r>
        <w:rPr>
          <w:iCs/>
          <w:i/>
        </w:rPr>
        <w:t xml:space="preserve">J Pediatr Endocrinol Metab</w:t>
      </w:r>
      <w:r>
        <w:t xml:space="preserve"> </w:t>
      </w:r>
      <w:r>
        <w:t xml:space="preserve">· Growth hormone release by the novel GH releasing peptide hexarelin in patients with homozygous beta-thalassemia. PMID 9364340</w:t>
      </w:r>
    </w:p>
    <w:p>
      <w:pPr>
        <w:numPr>
          <w:ilvl w:val="0"/>
          <w:numId w:val="1401"/>
        </w:numPr>
        <w:pStyle w:val="Compact"/>
      </w:pPr>
      <w:r>
        <w:t xml:space="preserve">1997 · Giusti M ·</w:t>
      </w:r>
      <w:r>
        <w:t xml:space="preserve"> </w:t>
      </w:r>
      <w:r>
        <w:rPr>
          <w:iCs/>
          <w:i/>
        </w:rPr>
        <w:t xml:space="preserve">J Endocrinol Invest</w:t>
      </w:r>
      <w:r>
        <w:t xml:space="preserve"> </w:t>
      </w:r>
      <w:r>
        <w:t xml:space="preserve">· Hexarelin is a stronger GH-releasing peptide than GHRH in normal cycling women but not in anorexia nervosa. PMID 9258804</w:t>
      </w:r>
    </w:p>
    <w:p>
      <w:pPr>
        <w:numPr>
          <w:ilvl w:val="0"/>
          <w:numId w:val="1401"/>
        </w:numPr>
        <w:pStyle w:val="Compact"/>
      </w:pPr>
      <w:r>
        <w:t xml:space="preserve">1997 · Sartorio A ·</w:t>
      </w:r>
      <w:r>
        <w:t xml:space="preserve"> </w:t>
      </w:r>
      <w:r>
        <w:rPr>
          <w:iCs/>
          <w:i/>
        </w:rPr>
        <w:t xml:space="preserve">Clin Endocrinol (Oxf)</w:t>
      </w:r>
      <w:r>
        <w:t xml:space="preserve"> </w:t>
      </w:r>
      <w:r>
        <w:t xml:space="preserve">· Non-parametric deconvolution provides an objective assessment of GH responsiveness to GH-releasing stimuli in normal subjects. PMID 9196598</w:t>
      </w:r>
    </w:p>
    <w:p>
      <w:pPr>
        <w:numPr>
          <w:ilvl w:val="0"/>
          <w:numId w:val="1401"/>
        </w:numPr>
        <w:pStyle w:val="Compact"/>
      </w:pPr>
      <w:r>
        <w:t xml:space="preserve">1997 · Arvat E ·</w:t>
      </w:r>
      <w:r>
        <w:t xml:space="preserve"> </w:t>
      </w:r>
      <w:r>
        <w:rPr>
          <w:iCs/>
          <w:i/>
        </w:rPr>
        <w:t xml:space="preserve">Eur J Endocrinol</w:t>
      </w:r>
      <w:r>
        <w:t xml:space="preserve"> </w:t>
      </w:r>
      <w:r>
        <w:t xml:space="preserve">· Oestrogen replacement does not restore the reduced GH-releasing activity of Hexarelin, a synthetic hexapeptide, in post-menopausal women. PMID 9186268</w:t>
      </w:r>
    </w:p>
    <w:p>
      <w:pPr>
        <w:numPr>
          <w:ilvl w:val="0"/>
          <w:numId w:val="1401"/>
        </w:numPr>
        <w:pStyle w:val="Compact"/>
      </w:pPr>
      <w:r>
        <w:t xml:space="preserve">1997 · Loche S ·</w:t>
      </w:r>
      <w:r>
        <w:t xml:space="preserve"> </w:t>
      </w:r>
      <w:r>
        <w:rPr>
          <w:iCs/>
          <w:i/>
        </w:rPr>
        <w:t xml:space="preserve">Clin Endocrinol (Oxf)</w:t>
      </w:r>
      <w:r>
        <w:t xml:space="preserve"> </w:t>
      </w:r>
      <w:r>
        <w:t xml:space="preserve">· Acute administration of hexarelin stimulates GH secretion during day and night in normal men. PMID 9156035</w:t>
      </w:r>
    </w:p>
    <w:p>
      <w:pPr>
        <w:numPr>
          <w:ilvl w:val="0"/>
          <w:numId w:val="1401"/>
        </w:numPr>
        <w:pStyle w:val="Compact"/>
      </w:pPr>
      <w:r>
        <w:t xml:space="preserve">1997 · Arvat E ·</w:t>
      </w:r>
      <w:r>
        <w:t xml:space="preserve"> </w:t>
      </w:r>
      <w:r>
        <w:rPr>
          <w:iCs/>
          <w:i/>
        </w:rPr>
        <w:t xml:space="preserve">Metabolism</w:t>
      </w:r>
      <w:r>
        <w:t xml:space="preserve"> </w:t>
      </w:r>
      <w:r>
        <w:t xml:space="preserve">· Mechanisms underlying the negative growth hormone (GH) autofeedback on the GH-releasing effect of hexarelin in man. PMID 9005975</w:t>
      </w:r>
    </w:p>
    <w:p>
      <w:pPr>
        <w:numPr>
          <w:ilvl w:val="0"/>
          <w:numId w:val="1401"/>
        </w:numPr>
        <w:pStyle w:val="Compact"/>
      </w:pPr>
      <w:r>
        <w:t xml:space="preserve">1996 · Micic D ·</w:t>
      </w:r>
      <w:r>
        <w:t xml:space="preserve"> </w:t>
      </w:r>
      <w:r>
        <w:rPr>
          <w:iCs/>
          <w:i/>
        </w:rPr>
        <w:t xml:space="preserve">Clin Endocrinol (Oxf)</w:t>
      </w:r>
      <w:r>
        <w:t xml:space="preserve"> </w:t>
      </w:r>
      <w:r>
        <w:t xml:space="preserve">· The sequential administration of growth hormone-releasing hormone followed 120 minutes later by hexarelin, as an effective test to assess the pituitary GH reserve in man. PMID 8977750</w:t>
      </w:r>
    </w:p>
    <w:p>
      <w:pPr>
        <w:numPr>
          <w:ilvl w:val="0"/>
          <w:numId w:val="1401"/>
        </w:numPr>
        <w:pStyle w:val="Compact"/>
      </w:pPr>
      <w:r>
        <w:t xml:space="preserve">1996 · Massoud AF ·</w:t>
      </w:r>
      <w:r>
        <w:t xml:space="preserve"> </w:t>
      </w:r>
      <w:r>
        <w:rPr>
          <w:iCs/>
          <w:i/>
        </w:rPr>
        <w:t xml:space="preserve">J Clin Endocrinol Metab</w:t>
      </w:r>
      <w:r>
        <w:t xml:space="preserve"> </w:t>
      </w:r>
      <w:r>
        <w:t xml:space="preserve">· Hexarelin-induced growth hormone, cortisol, and prolactin release: a dose-response study. PMID 8954038</w:t>
      </w:r>
    </w:p>
    <w:p>
      <w:pPr>
        <w:numPr>
          <w:ilvl w:val="0"/>
          <w:numId w:val="1401"/>
        </w:numPr>
        <w:pStyle w:val="Compact"/>
      </w:pPr>
      <w:r>
        <w:t xml:space="preserve">1996 · Ghigo E ·</w:t>
      </w:r>
      <w:r>
        <w:t xml:space="preserve"> </w:t>
      </w:r>
      <w:r>
        <w:rPr>
          <w:iCs/>
          <w:i/>
        </w:rPr>
        <w:t xml:space="preserve">Eur J Endocrinol</w:t>
      </w:r>
      <w:r>
        <w:t xml:space="preserve"> </w:t>
      </w:r>
      <w:r>
        <w:t xml:space="preserve">· Short-term administration of intranasal or oral Hexarelin, a synthetic hexapeptide, does not desensitize the growth hormone responsiveness in human aging. PMID 8921821</w:t>
      </w:r>
    </w:p>
    <w:p>
      <w:pPr>
        <w:numPr>
          <w:ilvl w:val="0"/>
          <w:numId w:val="1401"/>
        </w:numPr>
        <w:pStyle w:val="Compact"/>
      </w:pPr>
      <w:r>
        <w:t xml:space="preserve">1996 · Arvat E ·</w:t>
      </w:r>
      <w:r>
        <w:t xml:space="preserve"> </w:t>
      </w:r>
      <w:r>
        <w:rPr>
          <w:iCs/>
          <w:i/>
        </w:rPr>
        <w:t xml:space="preserve">J Endocrinol Invest</w:t>
      </w:r>
      <w:r>
        <w:t xml:space="preserve"> </w:t>
      </w:r>
      <w:r>
        <w:t xml:space="preserve">· Influence of beta-adrenergic agonists and antagonists on the GH-releasing effect of Hexarelin in man. PMID 8851688</w:t>
      </w:r>
    </w:p>
    <w:p>
      <w:pPr>
        <w:numPr>
          <w:ilvl w:val="0"/>
          <w:numId w:val="1401"/>
        </w:numPr>
        <w:pStyle w:val="Compact"/>
      </w:pPr>
      <w:r>
        <w:t xml:space="preserve">1996 · Klinger B ·</w:t>
      </w:r>
      <w:r>
        <w:t xml:space="preserve"> </w:t>
      </w:r>
      <w:r>
        <w:rPr>
          <w:iCs/>
          <w:i/>
        </w:rPr>
        <w:t xml:space="preserve">Eur J Endocrinol</w:t>
      </w:r>
      <w:r>
        <w:t xml:space="preserve"> </w:t>
      </w:r>
      <w:r>
        <w:t xml:space="preserve">· Desensitization from long-term intranasal treatment with hexarelin does not interfere with the biological effects of this growth hormone-releasing peptide in short children. PMID 8766941</w:t>
      </w:r>
    </w:p>
    <w:p>
      <w:pPr>
        <w:numPr>
          <w:ilvl w:val="0"/>
          <w:numId w:val="1401"/>
        </w:numPr>
        <w:pStyle w:val="Compact"/>
      </w:pPr>
      <w:r>
        <w:t xml:space="preserve">1996 · Massoud AF ·</w:t>
      </w:r>
      <w:r>
        <w:t xml:space="preserve"> </w:t>
      </w:r>
      <w:r>
        <w:rPr>
          <w:iCs/>
          <w:i/>
        </w:rPr>
        <w:t xml:space="preserve">Clin Endocrinol (Oxf)</w:t>
      </w:r>
      <w:r>
        <w:t xml:space="preserve"> </w:t>
      </w:r>
      <w:r>
        <w:t xml:space="preserve">· The effect of repeated administration of hexarelin, a growth hormone releasing peptide, and growth hormone releasing hormone on growth hormone responsivity. PMID 8762732</w:t>
      </w:r>
    </w:p>
    <w:p>
      <w:pPr>
        <w:numPr>
          <w:ilvl w:val="0"/>
          <w:numId w:val="1401"/>
        </w:numPr>
        <w:pStyle w:val="Compact"/>
      </w:pPr>
      <w:r>
        <w:t xml:space="preserve">1996 · Ciccarelli E ·</w:t>
      </w:r>
      <w:r>
        <w:t xml:space="preserve"> </w:t>
      </w:r>
      <w:r>
        <w:rPr>
          <w:iCs/>
          <w:i/>
        </w:rPr>
        <w:t xml:space="preserve">Clin Endocrinol (Oxf)</w:t>
      </w:r>
      <w:r>
        <w:t xml:space="preserve"> </w:t>
      </w:r>
      <w:r>
        <w:t xml:space="preserve">· Hexarelin, a synthetic growth hormone releasing peptide, stimulates prolactin secretion in acromegalic but not in hyperprolactinaemic patients. PMID 8706295</w:t>
      </w:r>
    </w:p>
    <w:p>
      <w:pPr>
        <w:numPr>
          <w:ilvl w:val="0"/>
          <w:numId w:val="1401"/>
        </w:numPr>
        <w:pStyle w:val="Compact"/>
      </w:pPr>
      <w:r>
        <w:t xml:space="preserve">1995 · Sartorio A ·</w:t>
      </w:r>
      <w:r>
        <w:t xml:space="preserve"> </w:t>
      </w:r>
      <w:r>
        <w:rPr>
          <w:iCs/>
          <w:i/>
        </w:rPr>
        <w:t xml:space="preserve">J Endocrinol Invest</w:t>
      </w:r>
      <w:r>
        <w:t xml:space="preserve"> </w:t>
      </w:r>
      <w:r>
        <w:t xml:space="preserve">· GH responsiveness to repeated GHRH or hexarelin administration in normal adults. PMID 8719303</w:t>
      </w:r>
    </w:p>
    <w:p>
      <w:pPr>
        <w:numPr>
          <w:ilvl w:val="0"/>
          <w:numId w:val="1401"/>
        </w:numPr>
        <w:pStyle w:val="Compact"/>
      </w:pPr>
      <w:r>
        <w:t xml:space="preserve">1995 · Laron Z ·</w:t>
      </w:r>
      <w:r>
        <w:t xml:space="preserve"> </w:t>
      </w:r>
      <w:r>
        <w:rPr>
          <w:iCs/>
          <w:i/>
        </w:rPr>
        <w:t xml:space="preserve">Clin Endocrinol (Oxf)</w:t>
      </w:r>
      <w:r>
        <w:t xml:space="preserve"> </w:t>
      </w:r>
      <w:r>
        <w:t xml:space="preserve">· Intranasal administration of the GHRP hexarelin accelerates growth in short children. PMID 8548949</w:t>
      </w:r>
    </w:p>
    <w:p>
      <w:pPr>
        <w:numPr>
          <w:ilvl w:val="0"/>
          <w:numId w:val="1401"/>
        </w:numPr>
        <w:pStyle w:val="Compact"/>
      </w:pPr>
      <w:r>
        <w:t xml:space="preserve">1995 · Massoud AF ·</w:t>
      </w:r>
      <w:r>
        <w:t xml:space="preserve"> </w:t>
      </w:r>
      <w:r>
        <w:rPr>
          <w:iCs/>
          <w:i/>
        </w:rPr>
        <w:t xml:space="preserve">Clin Endocrinol (Oxf)</w:t>
      </w:r>
      <w:r>
        <w:t xml:space="preserve"> </w:t>
      </w:r>
      <w:r>
        <w:t xml:space="preserve">· Hexarelin induced growth hormone release is influenced by exogenous growth hormone. PMID 8548947</w:t>
      </w:r>
    </w:p>
    <w:p>
      <w:pPr>
        <w:numPr>
          <w:ilvl w:val="0"/>
          <w:numId w:val="1401"/>
        </w:numPr>
        <w:pStyle w:val="Compact"/>
      </w:pPr>
      <w:r>
        <w:t xml:space="preserve">1995 · Loche S ·</w:t>
      </w:r>
      <w:r>
        <w:t xml:space="preserve"> </w:t>
      </w:r>
      <w:r>
        <w:rPr>
          <w:iCs/>
          <w:i/>
        </w:rPr>
        <w:t xml:space="preserve">J Clin Endocrinol Metab</w:t>
      </w:r>
      <w:r>
        <w:t xml:space="preserve"> </w:t>
      </w:r>
      <w:r>
        <w:t xml:space="preserve">· The effect of hexarelin on growth hormone (GH) secretion in patients with GH deficiency. PMID 7673411</w:t>
      </w:r>
    </w:p>
    <w:p>
      <w:pPr>
        <w:numPr>
          <w:ilvl w:val="0"/>
          <w:numId w:val="1401"/>
        </w:numPr>
        <w:pStyle w:val="Compact"/>
      </w:pPr>
      <w:r>
        <w:t xml:space="preserve">1995 · Korbonits M ·</w:t>
      </w:r>
      <w:r>
        <w:t xml:space="preserve"> </w:t>
      </w:r>
      <w:r>
        <w:rPr>
          <w:iCs/>
          <w:i/>
        </w:rPr>
        <w:t xml:space="preserve">Clin Endocrinol (Oxf)</w:t>
      </w:r>
      <w:r>
        <w:t xml:space="preserve"> </w:t>
      </w:r>
      <w:r>
        <w:t xml:space="preserve">· The effect of an opiate antagonist on the hormonal changes induced by hexarelin. PMID 7586608</w:t>
      </w:r>
    </w:p>
    <w:p>
      <w:pPr>
        <w:numPr>
          <w:ilvl w:val="0"/>
          <w:numId w:val="1401"/>
        </w:numPr>
        <w:pStyle w:val="Compact"/>
      </w:pPr>
      <w:r>
        <w:t xml:space="preserve">1995 · Frenkel J ·</w:t>
      </w:r>
      <w:r>
        <w:t xml:space="preserve"> </w:t>
      </w:r>
      <w:r>
        <w:rPr>
          <w:iCs/>
          <w:i/>
        </w:rPr>
        <w:t xml:space="preserve">J Pediatr Endocrinol Metab</w:t>
      </w:r>
      <w:r>
        <w:t xml:space="preserve"> </w:t>
      </w:r>
      <w:r>
        <w:t xml:space="preserve">· Short term effect of intranasal administration of hexarelin–a synthetic growth hormone-releasing peptide. Preliminary communication. PMID 7584696</w:t>
      </w:r>
    </w:p>
    <w:p>
      <w:pPr>
        <w:numPr>
          <w:ilvl w:val="0"/>
          <w:numId w:val="1401"/>
        </w:numPr>
        <w:pStyle w:val="Compact"/>
      </w:pPr>
      <w:r>
        <w:t xml:space="preserve">1995 · Giustina A ·</w:t>
      </w:r>
      <w:r>
        <w:t xml:space="preserve"> </w:t>
      </w:r>
      <w:r>
        <w:rPr>
          <w:iCs/>
          <w:i/>
        </w:rPr>
        <w:t xml:space="preserve">J Endocrinol</w:t>
      </w:r>
      <w:r>
        <w:t xml:space="preserve"> </w:t>
      </w:r>
      <w:r>
        <w:t xml:space="preserve">· Comparison of the effects of growth hormone-releasing hormone and hexarelin, a novel growth hormone-releasing peptide-6 analog, on growth hormone secretion in humans with or without glucocorticoid excess. PMID 7561633</w:t>
      </w:r>
    </w:p>
    <w:p>
      <w:pPr>
        <w:numPr>
          <w:ilvl w:val="0"/>
          <w:numId w:val="1401"/>
        </w:numPr>
        <w:pStyle w:val="Compact"/>
      </w:pPr>
      <w:r>
        <w:t xml:space="preserve">1994 · Arvat E ·</w:t>
      </w:r>
      <w:r>
        <w:t xml:space="preserve"> </w:t>
      </w:r>
      <w:r>
        <w:rPr>
          <w:iCs/>
          <w:i/>
        </w:rPr>
        <w:t xml:space="preserve">J Clin Endocrinol Metab</w:t>
      </w:r>
      <w:r>
        <w:t xml:space="preserve"> </w:t>
      </w:r>
      <w:r>
        <w:t xml:space="preserve">· Arginine and growth hormone-releasing hormone restore the blunted growth hormone-releasing activity of hexarelin in elderly subjects. PMID 7962341</w:t>
      </w:r>
    </w:p>
    <w:p>
      <w:pPr>
        <w:numPr>
          <w:ilvl w:val="0"/>
          <w:numId w:val="1401"/>
        </w:numPr>
        <w:pStyle w:val="Compact"/>
      </w:pPr>
      <w:r>
        <w:t xml:space="preserve">1994 · Imbimbo BP ·</w:t>
      </w:r>
      <w:r>
        <w:t xml:space="preserve"> </w:t>
      </w:r>
      <w:r>
        <w:rPr>
          <w:iCs/>
          <w:i/>
        </w:rPr>
        <w:t xml:space="preserve">Eur J Clin Pharmacol</w:t>
      </w:r>
      <w:r>
        <w:t xml:space="preserve"> </w:t>
      </w:r>
      <w:r>
        <w:t xml:space="preserve">· Growth hormone-releasing activity of hexarelin in humans. A dose-response study. PMID 7957536</w:t>
      </w:r>
    </w:p>
    <w:bookmarkEnd w:id="3041"/>
    <w:bookmarkStart w:id="3042" w:name="macimorelin-4"/>
    <w:p>
      <w:pPr>
        <w:pStyle w:val="Heading2"/>
      </w:pPr>
      <w:r>
        <w:t xml:space="preserve">Macimorelin (4)</w:t>
      </w:r>
    </w:p>
    <w:p>
      <w:pPr>
        <w:numPr>
          <w:ilvl w:val="0"/>
          <w:numId w:val="1402"/>
        </w:numPr>
        <w:pStyle w:val="Compact"/>
      </w:pPr>
      <w:r>
        <w:t xml:space="preserve">2023 · Herodes M ·</w:t>
      </w:r>
      <w:r>
        <w:t xml:space="preserve"> </w:t>
      </w:r>
      <w:r>
        <w:rPr>
          <w:iCs/>
          <w:i/>
        </w:rPr>
        <w:t xml:space="preserve">J Cachexia Sarcopenia Muscle</w:t>
      </w:r>
      <w:r>
        <w:t xml:space="preserve"> </w:t>
      </w:r>
      <w:r>
        <w:t xml:space="preserve">· Pilot clinical trial of macimorelin to assess safety and efficacy in patients with cancer cachexia. PMID 36860137</w:t>
      </w:r>
    </w:p>
    <w:p>
      <w:pPr>
        <w:numPr>
          <w:ilvl w:val="0"/>
          <w:numId w:val="1402"/>
        </w:numPr>
        <w:pStyle w:val="Compact"/>
      </w:pPr>
      <w:r>
        <w:t xml:space="preserve">2021 · Lissy M ·</w:t>
      </w:r>
      <w:r>
        <w:t xml:space="preserve"> </w:t>
      </w:r>
      <w:r>
        <w:rPr>
          <w:iCs/>
          <w:i/>
        </w:rPr>
        <w:t xml:space="preserve">Clin Pharmacol Drug Dev</w:t>
      </w:r>
      <w:r>
        <w:t xml:space="preserve"> </w:t>
      </w:r>
      <w:r>
        <w:t xml:space="preserve">· Thorough QT/QTc Study Evaluating the Effect of Macimorelin on Cardiac Safety Parameters in Healthy Participants. PMID 32961034</w:t>
      </w:r>
    </w:p>
    <w:p>
      <w:pPr>
        <w:numPr>
          <w:ilvl w:val="0"/>
          <w:numId w:val="1402"/>
        </w:numPr>
        <w:pStyle w:val="Compact"/>
      </w:pPr>
      <w:r>
        <w:t xml:space="preserve">2020 · Klaus B ·</w:t>
      </w:r>
      <w:r>
        <w:t xml:space="preserve"> </w:t>
      </w:r>
      <w:r>
        <w:rPr>
          <w:iCs/>
          <w:i/>
        </w:rPr>
        <w:t xml:space="preserve">Growth Horm IGF Res</w:t>
      </w:r>
      <w:r>
        <w:t xml:space="preserve"> </w:t>
      </w:r>
      <w:r>
        <w:t xml:space="preserve">· Safety, tolerability, pharmacokinetics, and pharmacodynamics of macimorelin in healthy adults: Results of a single-dose, randomized controlled study. PMID 32325373</w:t>
      </w:r>
    </w:p>
    <w:p>
      <w:pPr>
        <w:numPr>
          <w:ilvl w:val="0"/>
          <w:numId w:val="1402"/>
        </w:numPr>
        <w:pStyle w:val="Compact"/>
      </w:pPr>
      <w:r>
        <w:t xml:space="preserve">2018 · Garcia JM ·</w:t>
      </w:r>
      <w:r>
        <w:t xml:space="preserve"> </w:t>
      </w:r>
      <w:r>
        <w:rPr>
          <w:iCs/>
          <w:i/>
        </w:rPr>
        <w:t xml:space="preserve">J Clin Endocrinol Metab</w:t>
      </w:r>
      <w:r>
        <w:t xml:space="preserve"> </w:t>
      </w:r>
      <w:r>
        <w:t xml:space="preserve">· Macimorelin as a Diagnostic Test for Adult GH Deficiency. PMID 29860473</w:t>
      </w:r>
    </w:p>
    <w:bookmarkEnd w:id="3042"/>
    <w:bookmarkStart w:id="3043" w:name="mecasermin-igf-1-21"/>
    <w:p>
      <w:pPr>
        <w:pStyle w:val="Heading2"/>
      </w:pPr>
      <w:r>
        <w:t xml:space="preserve">Mecasermin (IGF-1) (21)</w:t>
      </w:r>
    </w:p>
    <w:p>
      <w:pPr>
        <w:numPr>
          <w:ilvl w:val="0"/>
          <w:numId w:val="1403"/>
        </w:numPr>
        <w:pStyle w:val="Compact"/>
      </w:pPr>
      <w:r>
        <w:t xml:space="preserve">2021 · Haines MS ·</w:t>
      </w:r>
      <w:r>
        <w:t xml:space="preserve"> </w:t>
      </w:r>
      <w:r>
        <w:rPr>
          <w:iCs/>
          <w:i/>
        </w:rPr>
        <w:t xml:space="preserve">J Bone Miner Res</w:t>
      </w:r>
      <w:r>
        <w:t xml:space="preserve"> </w:t>
      </w:r>
      <w:r>
        <w:t xml:space="preserve">· Sequential Therapy With Recombinant Human IGF-1 Followed by Risedronate Increases Spine Bone Mineral Density in Women With Anorexia Nervosa: A Randomized, Placebo-Controlled Trial. PMID 34355814</w:t>
      </w:r>
    </w:p>
    <w:p>
      <w:pPr>
        <w:numPr>
          <w:ilvl w:val="0"/>
          <w:numId w:val="1403"/>
        </w:numPr>
        <w:pStyle w:val="Compact"/>
      </w:pPr>
      <w:r>
        <w:t xml:space="preserve">2021 · Singhal V ·</w:t>
      </w:r>
      <w:r>
        <w:t xml:space="preserve"> </w:t>
      </w:r>
      <w:r>
        <w:rPr>
          <w:iCs/>
          <w:i/>
        </w:rPr>
        <w:t xml:space="preserve">J Clin Endocrinol Metab</w:t>
      </w:r>
      <w:r>
        <w:t xml:space="preserve"> </w:t>
      </w:r>
      <w:r>
        <w:t xml:space="preserve">· Effect of Transdermal Estradiol and Insulin-like Growth Factor-1 on Bone Endpoints of Young Women With Anorexia Nervosa. PMID 33693703</w:t>
      </w:r>
    </w:p>
    <w:p>
      <w:pPr>
        <w:numPr>
          <w:ilvl w:val="0"/>
          <w:numId w:val="1403"/>
        </w:numPr>
        <w:pStyle w:val="Compact"/>
      </w:pPr>
      <w:r>
        <w:t xml:space="preserve">2021 · Guha N ·</w:t>
      </w:r>
      <w:r>
        <w:t xml:space="preserve"> </w:t>
      </w:r>
      <w:r>
        <w:rPr>
          <w:iCs/>
          <w:i/>
        </w:rPr>
        <w:t xml:space="preserve">Clin Endocrinol (Oxf)</w:t>
      </w:r>
      <w:r>
        <w:t xml:space="preserve"> </w:t>
      </w:r>
      <w:r>
        <w:t xml:space="preserve">· The effects of recombinant human insulin-like growth factor-1/insulin-like growth factor binding protein-3 administration on lipid and carbohydrate metabolism in recreational athletes. PMID 33249593</w:t>
      </w:r>
    </w:p>
    <w:p>
      <w:pPr>
        <w:numPr>
          <w:ilvl w:val="0"/>
          <w:numId w:val="1403"/>
        </w:numPr>
        <w:pStyle w:val="Compact"/>
      </w:pPr>
      <w:r>
        <w:t xml:space="preserve">2020 · Rutter MM ·</w:t>
      </w:r>
      <w:r>
        <w:t xml:space="preserve"> </w:t>
      </w:r>
      <w:r>
        <w:rPr>
          <w:iCs/>
          <w:i/>
        </w:rPr>
        <w:t xml:space="preserve">Muscle Nerve</w:t>
      </w:r>
      <w:r>
        <w:t xml:space="preserve"> </w:t>
      </w:r>
      <w:r>
        <w:t xml:space="preserve">· Recombinant human insulin-like growth factor-1 therapy for 6 months improves growth but not motor function in boys with Duchenne muscular dystrophy. PMID 32108355</w:t>
      </w:r>
    </w:p>
    <w:p>
      <w:pPr>
        <w:numPr>
          <w:ilvl w:val="0"/>
          <w:numId w:val="1403"/>
        </w:numPr>
        <w:pStyle w:val="Compact"/>
      </w:pPr>
      <w:r>
        <w:t xml:space="preserve">2019 · Ley D ·</w:t>
      </w:r>
      <w:r>
        <w:t xml:space="preserve"> </w:t>
      </w:r>
      <w:r>
        <w:rPr>
          <w:iCs/>
          <w:i/>
        </w:rPr>
        <w:t xml:space="preserve">J Pediatr</w:t>
      </w:r>
      <w:r>
        <w:t xml:space="preserve"> </w:t>
      </w:r>
      <w:r>
        <w:t xml:space="preserve">· rhIGF-1/rhIGFBP-3 in Preterm Infants: A Phase 2 Randomized Controlled Trial. PMID 30471715</w:t>
      </w:r>
    </w:p>
    <w:p>
      <w:pPr>
        <w:numPr>
          <w:ilvl w:val="0"/>
          <w:numId w:val="1403"/>
        </w:numPr>
        <w:pStyle w:val="Compact"/>
      </w:pPr>
      <w:r>
        <w:t xml:space="preserve">2017 · Cabrera-Salcedo C ·</w:t>
      </w:r>
      <w:r>
        <w:t xml:space="preserve"> </w:t>
      </w:r>
      <w:r>
        <w:rPr>
          <w:iCs/>
          <w:i/>
        </w:rPr>
        <w:t xml:space="preserve">J Clin Endocrinol Metab</w:t>
      </w:r>
      <w:r>
        <w:t xml:space="preserve"> </w:t>
      </w:r>
      <w:r>
        <w:t xml:space="preserve">· Pharmacokinetics of IGF-1 in PAPP-A2-Deficient Patients, Growth Response, and Effects on Glucose and Bone Density. PMID 29029190</w:t>
      </w:r>
    </w:p>
    <w:p>
      <w:pPr>
        <w:numPr>
          <w:ilvl w:val="0"/>
          <w:numId w:val="1403"/>
        </w:numPr>
        <w:pStyle w:val="Compact"/>
      </w:pPr>
      <w:r>
        <w:t xml:space="preserve">2017 · Hansen-Pupp I ·</w:t>
      </w:r>
      <w:r>
        <w:t xml:space="preserve"> </w:t>
      </w:r>
      <w:r>
        <w:rPr>
          <w:iCs/>
          <w:i/>
        </w:rPr>
        <w:t xml:space="preserve">Growth Horm IGF Res</w:t>
      </w:r>
      <w:r>
        <w:t xml:space="preserve"> </w:t>
      </w:r>
      <w:r>
        <w:t xml:space="preserve">· Continuous longitudinal infusion of rhIGF-1/rhIGFBP-3 in extremely preterm infants: Evaluation of feasibility in a phase II study. PMID 28934640</w:t>
      </w:r>
    </w:p>
    <w:p>
      <w:pPr>
        <w:numPr>
          <w:ilvl w:val="0"/>
          <w:numId w:val="1403"/>
        </w:numPr>
        <w:pStyle w:val="Compact"/>
      </w:pPr>
      <w:r>
        <w:t xml:space="preserve">2017 · Dy ME ·</w:t>
      </w:r>
      <w:r>
        <w:t xml:space="preserve"> </w:t>
      </w:r>
      <w:r>
        <w:rPr>
          <w:iCs/>
          <w:i/>
        </w:rPr>
        <w:t xml:space="preserve">Pediatr Neurol</w:t>
      </w:r>
      <w:r>
        <w:t xml:space="preserve"> </w:t>
      </w:r>
      <w:r>
        <w:t xml:space="preserve">· Defining Hand Stereotypies in Rett Syndrome: A Movement Disorders Perspective. PMID 28838622</w:t>
      </w:r>
    </w:p>
    <w:p>
      <w:pPr>
        <w:numPr>
          <w:ilvl w:val="0"/>
          <w:numId w:val="1403"/>
        </w:numPr>
        <w:pStyle w:val="Compact"/>
      </w:pPr>
      <w:r>
        <w:t xml:space="preserve">2017 · Chung JK ·</w:t>
      </w:r>
      <w:r>
        <w:t xml:space="preserve"> </w:t>
      </w:r>
      <w:r>
        <w:rPr>
          <w:iCs/>
          <w:i/>
        </w:rPr>
        <w:t xml:space="preserve">Pediatr Res</w:t>
      </w:r>
      <w:r>
        <w:t xml:space="preserve"> </w:t>
      </w:r>
      <w:r>
        <w:t xml:space="preserve">· Development and verification of a pharmacokinetic model to optimize physiologic replacement of rhIGF-1/rhIGFBP-3 in preterm infants. PMID 27870826</w:t>
      </w:r>
    </w:p>
    <w:p>
      <w:pPr>
        <w:numPr>
          <w:ilvl w:val="0"/>
          <w:numId w:val="1403"/>
        </w:numPr>
        <w:pStyle w:val="Compact"/>
      </w:pPr>
      <w:r>
        <w:t xml:space="preserve">2015 · Backeljauw PF ·</w:t>
      </w:r>
      <w:r>
        <w:t xml:space="preserve"> </w:t>
      </w:r>
      <w:r>
        <w:rPr>
          <w:iCs/>
          <w:i/>
        </w:rPr>
        <w:t xml:space="preserve">Horm Res Paediatr</w:t>
      </w:r>
      <w:r>
        <w:t xml:space="preserve"> </w:t>
      </w:r>
      <w:r>
        <w:t xml:space="preserve">· Recombinant human growth hormone plus recombinant human insulin-like growth factor-1 coadministration therapy in short children with low insulin-like growth factor-1 and growth hormone sufficiency: results from a randomized, multicenter, open-label, parallel-group, active treatment-controlled trial. PMID 25765099</w:t>
      </w:r>
    </w:p>
    <w:p>
      <w:pPr>
        <w:numPr>
          <w:ilvl w:val="0"/>
          <w:numId w:val="1403"/>
        </w:numPr>
        <w:pStyle w:val="Compact"/>
      </w:pPr>
      <w:r>
        <w:t xml:space="preserve">2011 · Heatwole CR ·</w:t>
      </w:r>
      <w:r>
        <w:t xml:space="preserve"> </w:t>
      </w:r>
      <w:r>
        <w:rPr>
          <w:iCs/>
          <w:i/>
        </w:rPr>
        <w:t xml:space="preserve">Arch Neurol</w:t>
      </w:r>
      <w:r>
        <w:t xml:space="preserve"> </w:t>
      </w:r>
      <w:r>
        <w:t xml:space="preserve">· Open-label trial of recombinant human insulin-like growth factor 1/recombinant human insulin-like growth factor binding protein 3 in myotonic dystrophy type 1. PMID 20837825</w:t>
      </w:r>
    </w:p>
    <w:p>
      <w:pPr>
        <w:numPr>
          <w:ilvl w:val="0"/>
          <w:numId w:val="1403"/>
        </w:numPr>
        <w:pStyle w:val="Compact"/>
      </w:pPr>
      <w:r>
        <w:t xml:space="preserve">2003 · Hladunewich MA ·</w:t>
      </w:r>
      <w:r>
        <w:t xml:space="preserve"> </w:t>
      </w:r>
      <w:r>
        <w:rPr>
          <w:iCs/>
          <w:i/>
        </w:rPr>
        <w:t xml:space="preserve">Kidney Int</w:t>
      </w:r>
      <w:r>
        <w:t xml:space="preserve"> </w:t>
      </w:r>
      <w:r>
        <w:t xml:space="preserve">· A randomized, placebo-controlled trial of IGF-1 for delayed graft function: a human model to study postischemic ARF. PMID 12846755</w:t>
      </w:r>
    </w:p>
    <w:p>
      <w:pPr>
        <w:numPr>
          <w:ilvl w:val="0"/>
          <w:numId w:val="1403"/>
        </w:numPr>
        <w:pStyle w:val="Compact"/>
      </w:pPr>
      <w:r>
        <w:t xml:space="preserve">2002 · Frank JA ·</w:t>
      </w:r>
      <w:r>
        <w:t xml:space="preserve"> </w:t>
      </w:r>
      <w:r>
        <w:rPr>
          <w:iCs/>
          <w:i/>
        </w:rPr>
        <w:t xml:space="preserve">Mult Scler</w:t>
      </w:r>
      <w:r>
        <w:t xml:space="preserve"> </w:t>
      </w:r>
      <w:r>
        <w:t xml:space="preserve">· A pilot study of recombinant insulin-like growth factor-1 in seven multiple sderosis patients. PMID 11936485</w:t>
      </w:r>
    </w:p>
    <w:p>
      <w:pPr>
        <w:numPr>
          <w:ilvl w:val="0"/>
          <w:numId w:val="1403"/>
        </w:numPr>
        <w:pStyle w:val="Compact"/>
      </w:pPr>
      <w:r>
        <w:t xml:space="preserve">2000 · Fouque D ·</w:t>
      </w:r>
      <w:r>
        <w:t xml:space="preserve"> </w:t>
      </w:r>
      <w:r>
        <w:rPr>
          <w:iCs/>
          <w:i/>
        </w:rPr>
        <w:t xml:space="preserve">Kidney Int</w:t>
      </w:r>
      <w:r>
        <w:t xml:space="preserve"> </w:t>
      </w:r>
      <w:r>
        <w:t xml:space="preserve">· Recombinant human insulin-like growth factor-1 induces an anabolic response in malnourished CAPD patients. PMID 10652043</w:t>
      </w:r>
    </w:p>
    <w:p>
      <w:pPr>
        <w:numPr>
          <w:ilvl w:val="0"/>
          <w:numId w:val="1403"/>
        </w:numPr>
        <w:pStyle w:val="Compact"/>
      </w:pPr>
      <w:r>
        <w:t xml:space="preserve">1999 · Rockich KT ·</w:t>
      </w:r>
      <w:r>
        <w:t xml:space="preserve"> </w:t>
      </w:r>
      <w:r>
        <w:rPr>
          <w:iCs/>
          <w:i/>
        </w:rPr>
        <w:t xml:space="preserve">Pharmacotherapy</w:t>
      </w:r>
      <w:r>
        <w:t xml:space="preserve"> </w:t>
      </w:r>
      <w:r>
        <w:t xml:space="preserve">· Effect of recombinant human growth hormone and insulin-like growth factor-1 administration on IGF-1 and IGF-binding protein-3 levels in brain injury. PMID 10600092</w:t>
      </w:r>
    </w:p>
    <w:p>
      <w:pPr>
        <w:numPr>
          <w:ilvl w:val="0"/>
          <w:numId w:val="1403"/>
        </w:numPr>
        <w:pStyle w:val="Compact"/>
      </w:pPr>
      <w:r>
        <w:t xml:space="preserve">1998 · Fouque D ·</w:t>
      </w:r>
      <w:r>
        <w:t xml:space="preserve"> </w:t>
      </w:r>
      <w:r>
        <w:rPr>
          <w:iCs/>
          <w:i/>
        </w:rPr>
        <w:t xml:space="preserve">Kidney Int</w:t>
      </w:r>
      <w:r>
        <w:t xml:space="preserve"> </w:t>
      </w:r>
      <w:r>
        <w:t xml:space="preserve">· Acute leptin regulation in end-stage renal failure: the role of growth hormone and IGF-1. PMID 9734619</w:t>
      </w:r>
    </w:p>
    <w:p>
      <w:pPr>
        <w:numPr>
          <w:ilvl w:val="0"/>
          <w:numId w:val="1403"/>
        </w:numPr>
        <w:pStyle w:val="Compact"/>
      </w:pPr>
      <w:r>
        <w:t xml:space="preserve">1998 · Nguyen BY ·</w:t>
      </w:r>
      <w:r>
        <w:t xml:space="preserve"> </w:t>
      </w:r>
      <w:r>
        <w:rPr>
          <w:iCs/>
          <w:i/>
        </w:rPr>
        <w:t xml:space="preserve">AIDS</w:t>
      </w:r>
      <w:r>
        <w:t xml:space="preserve"> </w:t>
      </w:r>
      <w:r>
        <w:t xml:space="preserve">· Pilot study of the immunologic effects of recombinant human growth hormone and recombinant insulin-like growth factor in HIV-infected patients. PMID 9631143</w:t>
      </w:r>
    </w:p>
    <w:p>
      <w:pPr>
        <w:numPr>
          <w:ilvl w:val="0"/>
          <w:numId w:val="1403"/>
        </w:numPr>
        <w:pStyle w:val="Compact"/>
      </w:pPr>
      <w:r>
        <w:t xml:space="preserve">1998 · Tabakian A ·</w:t>
      </w:r>
      <w:r>
        <w:t xml:space="preserve"> </w:t>
      </w:r>
      <w:r>
        <w:rPr>
          <w:iCs/>
          <w:i/>
        </w:rPr>
        <w:t xml:space="preserve">Miner Electrolyte Metab</w:t>
      </w:r>
      <w:r>
        <w:t xml:space="preserve"> </w:t>
      </w:r>
      <w:r>
        <w:t xml:space="preserve">· Effects of recombinant growth factors on energy expenditure in maintenance hemodialysis patients. PMID 9554567</w:t>
      </w:r>
    </w:p>
    <w:p>
      <w:pPr>
        <w:numPr>
          <w:ilvl w:val="0"/>
          <w:numId w:val="1403"/>
        </w:numPr>
        <w:pStyle w:val="Compact"/>
      </w:pPr>
      <w:r>
        <w:t xml:space="preserve">1996 · Waters D ·</w:t>
      </w:r>
      <w:r>
        <w:t xml:space="preserve"> </w:t>
      </w:r>
      <w:r>
        <w:rPr>
          <w:iCs/>
          <w:i/>
        </w:rPr>
        <w:t xml:space="preserve">Ann Intern Med</w:t>
      </w:r>
      <w:r>
        <w:t xml:space="preserve"> </w:t>
      </w:r>
      <w:r>
        <w:t xml:space="preserve">· Recombinant human growth hormone, insulin-like growth factor 1, and combination therapy in AIDS-associated wasting. A randomized, double-blind, placebo-controlled trial. PMID 8967666</w:t>
      </w:r>
    </w:p>
    <w:p>
      <w:pPr>
        <w:numPr>
          <w:ilvl w:val="0"/>
          <w:numId w:val="1403"/>
        </w:numPr>
        <w:pStyle w:val="Compact"/>
      </w:pPr>
      <w:r>
        <w:t xml:space="preserve">1995 · Fouque D ·</w:t>
      </w:r>
      <w:r>
        <w:t xml:space="preserve"> </w:t>
      </w:r>
      <w:r>
        <w:rPr>
          <w:iCs/>
          <w:i/>
        </w:rPr>
        <w:t xml:space="preserve">Kidney Int</w:t>
      </w:r>
      <w:r>
        <w:t xml:space="preserve"> </w:t>
      </w:r>
      <w:r>
        <w:t xml:space="preserve">· Impaired metabolic response to recombinant insulin-like growth factor-1 in dialysis patients. PMID 7752587</w:t>
      </w:r>
    </w:p>
    <w:p>
      <w:pPr>
        <w:numPr>
          <w:ilvl w:val="0"/>
          <w:numId w:val="1403"/>
        </w:numPr>
        <w:pStyle w:val="Compact"/>
      </w:pPr>
      <w:r>
        <w:t xml:space="preserve">1995 · Fouque D ·</w:t>
      </w:r>
      <w:r>
        <w:t xml:space="preserve"> </w:t>
      </w:r>
      <w:r>
        <w:rPr>
          <w:iCs/>
          <w:i/>
        </w:rPr>
        <w:t xml:space="preserve">Kidney Int</w:t>
      </w:r>
      <w:r>
        <w:t xml:space="preserve"> </w:t>
      </w:r>
      <w:r>
        <w:t xml:space="preserve">· Pharmacokinetics of recombinant human insulin-like growth factor-1 in dialysis patients. PMID 7752586</w:t>
      </w:r>
    </w:p>
    <w:bookmarkEnd w:id="3043"/>
    <w:bookmarkStart w:id="3044" w:name="igf-1-lr3-0"/>
    <w:p>
      <w:pPr>
        <w:pStyle w:val="Heading2"/>
      </w:pPr>
      <w:r>
        <w:t xml:space="preserve">IGF-1 LR3 (0)</w:t>
      </w:r>
    </w:p>
    <w:p>
      <w:pPr>
        <w:pStyle w:val="FirstParagraph"/>
      </w:pPr>
      <w:r>
        <w:t xml:space="preserve">No publications of clinical studies in humans found.</w:t>
      </w:r>
    </w:p>
    <w:bookmarkEnd w:id="3044"/>
    <w:bookmarkStart w:id="3045" w:name="ibutamoren-mk-677-19"/>
    <w:p>
      <w:pPr>
        <w:pStyle w:val="Heading2"/>
      </w:pPr>
      <w:r>
        <w:t xml:space="preserve">Ibutamoren (MK-677) (19)</w:t>
      </w:r>
    </w:p>
    <w:p>
      <w:pPr>
        <w:numPr>
          <w:ilvl w:val="0"/>
          <w:numId w:val="1404"/>
        </w:numPr>
        <w:pStyle w:val="Compact"/>
      </w:pPr>
      <w:r>
        <w:t xml:space="preserve">2018 · Campbell GA ·</w:t>
      </w:r>
      <w:r>
        <w:t xml:space="preserve"> </w:t>
      </w:r>
      <w:r>
        <w:rPr>
          <w:iCs/>
          <w:i/>
        </w:rPr>
        <w:t xml:space="preserve">Nephrol Dial Transplant</w:t>
      </w:r>
      <w:r>
        <w:t xml:space="preserve"> </w:t>
      </w:r>
      <w:r>
        <w:t xml:space="preserve">· Oral ghrelin receptor agonist MK-0677 increases serum insulin-like growth factor 1 in hemodialysis patients: a randomized blinded study. PMID 28340044</w:t>
      </w:r>
    </w:p>
    <w:p>
      <w:pPr>
        <w:numPr>
          <w:ilvl w:val="0"/>
          <w:numId w:val="1404"/>
        </w:numPr>
        <w:pStyle w:val="Compact"/>
      </w:pPr>
      <w:r>
        <w:t xml:space="preserve">2011 · Adunsky A ·</w:t>
      </w:r>
      <w:r>
        <w:t xml:space="preserve"> </w:t>
      </w:r>
      <w:r>
        <w:rPr>
          <w:iCs/>
          <w:i/>
        </w:rPr>
        <w:t xml:space="preserve">Arch Gerontol Geriatr</w:t>
      </w:r>
      <w:r>
        <w:t xml:space="preserve"> </w:t>
      </w:r>
      <w:r>
        <w:t xml:space="preserve">· MK-0677 (ibutamoren mesylate) for the treatment of patients recovering from hip fracture: a multicenter, randomized, placebo-controlled phase IIb study. PMID 21067829</w:t>
      </w:r>
    </w:p>
    <w:p>
      <w:pPr>
        <w:numPr>
          <w:ilvl w:val="0"/>
          <w:numId w:val="1404"/>
        </w:numPr>
        <w:pStyle w:val="Compact"/>
      </w:pPr>
      <w:r>
        <w:t xml:space="preserve">2008 · Sevigny JJ ·</w:t>
      </w:r>
      <w:r>
        <w:t xml:space="preserve"> </w:t>
      </w:r>
      <w:r>
        <w:rPr>
          <w:iCs/>
          <w:i/>
        </w:rPr>
        <w:t xml:space="preserve">Neurology</w:t>
      </w:r>
      <w:r>
        <w:t xml:space="preserve"> </w:t>
      </w:r>
      <w:r>
        <w:t xml:space="preserve">· Growth hormone secretagogue MK-677: no clinical effect on AD progression in a randomized trial. PMID 19015485</w:t>
      </w:r>
    </w:p>
    <w:p>
      <w:pPr>
        <w:numPr>
          <w:ilvl w:val="0"/>
          <w:numId w:val="1404"/>
        </w:numPr>
        <w:pStyle w:val="Compact"/>
      </w:pPr>
      <w:r>
        <w:t xml:space="preserve">2008 · Nass R ·</w:t>
      </w:r>
      <w:r>
        <w:t xml:space="preserve"> </w:t>
      </w:r>
      <w:r>
        <w:rPr>
          <w:iCs/>
          <w:i/>
        </w:rPr>
        <w:t xml:space="preserve">Ann Intern Med</w:t>
      </w:r>
      <w:r>
        <w:t xml:space="preserve"> </w:t>
      </w:r>
      <w:r>
        <w:t xml:space="preserve">· Effects of an oral ghrelin mimetic on body composition and clinical outcomes in healthy older adults: a randomized trial. PMID 18981485</w:t>
      </w:r>
    </w:p>
    <w:p>
      <w:pPr>
        <w:numPr>
          <w:ilvl w:val="0"/>
          <w:numId w:val="1404"/>
        </w:numPr>
        <w:pStyle w:val="Compact"/>
      </w:pPr>
      <w:r>
        <w:t xml:space="preserve">2004 · Bach MA ·</w:t>
      </w:r>
      <w:r>
        <w:t xml:space="preserve"> </w:t>
      </w:r>
      <w:r>
        <w:rPr>
          <w:iCs/>
          <w:i/>
        </w:rPr>
        <w:t xml:space="preserve">J Am Geriatr Soc</w:t>
      </w:r>
      <w:r>
        <w:t xml:space="preserve"> </w:t>
      </w:r>
      <w:r>
        <w:t xml:space="preserve">· The effects of MK-0677, an oral growth hormone secretagogue, in patients with hip fracture. PMID 15066065</w:t>
      </w:r>
    </w:p>
    <w:p>
      <w:pPr>
        <w:numPr>
          <w:ilvl w:val="0"/>
          <w:numId w:val="1404"/>
        </w:numPr>
        <w:pStyle w:val="Compact"/>
      </w:pPr>
      <w:r>
        <w:t xml:space="preserve">2003 · Svensson J ·</w:t>
      </w:r>
      <w:r>
        <w:t xml:space="preserve"> </w:t>
      </w:r>
      <w:r>
        <w:rPr>
          <w:iCs/>
          <w:i/>
        </w:rPr>
        <w:t xml:space="preserve">Growth Horm IGF Res</w:t>
      </w:r>
      <w:r>
        <w:t xml:space="preserve"> </w:t>
      </w:r>
      <w:r>
        <w:t xml:space="preserve">· The effect of treatment with the oral growth hormone (GH) secretagogue MK-677 on GH isoforms. PMID 12550076</w:t>
      </w:r>
    </w:p>
    <w:p>
      <w:pPr>
        <w:numPr>
          <w:ilvl w:val="0"/>
          <w:numId w:val="1404"/>
        </w:numPr>
        <w:pStyle w:val="Compact"/>
      </w:pPr>
      <w:r>
        <w:t xml:space="preserve">2001 · Codner E ·</w:t>
      </w:r>
      <w:r>
        <w:t xml:space="preserve"> </w:t>
      </w:r>
      <w:r>
        <w:rPr>
          <w:iCs/>
          <w:i/>
        </w:rPr>
        <w:t xml:space="preserve">Clin Pharmacol Ther</w:t>
      </w:r>
      <w:r>
        <w:t xml:space="preserve"> </w:t>
      </w:r>
      <w:r>
        <w:t xml:space="preserve">· Effects of oral administration of ibutamoren mesylate, a nonpeptide growth hormone secretagogue, on the growth hormone-insulin-like growth factor I axis in growth hormone-deficient children. PMID 11452249</w:t>
      </w:r>
    </w:p>
    <w:p>
      <w:pPr>
        <w:numPr>
          <w:ilvl w:val="0"/>
          <w:numId w:val="1404"/>
        </w:numPr>
        <w:pStyle w:val="Compact"/>
      </w:pPr>
      <w:r>
        <w:t xml:space="preserve">2001 · Gianotti L ·</w:t>
      </w:r>
      <w:r>
        <w:t xml:space="preserve"> </w:t>
      </w:r>
      <w:r>
        <w:rPr>
          <w:iCs/>
          <w:i/>
        </w:rPr>
        <w:t xml:space="preserve">J Endocrinol Invest</w:t>
      </w:r>
      <w:r>
        <w:t xml:space="preserve"> </w:t>
      </w:r>
      <w:r>
        <w:t xml:space="preserve">· Recombinant human IGF-I does not modify the ACTH and cortisol responses to hCRH and hexarelin, a peptidyl GH secretagogue, in humans. PMID 11263473</w:t>
      </w:r>
    </w:p>
    <w:p>
      <w:pPr>
        <w:numPr>
          <w:ilvl w:val="0"/>
          <w:numId w:val="1404"/>
        </w:numPr>
        <w:pStyle w:val="Compact"/>
      </w:pPr>
      <w:r>
        <w:t xml:space="preserve">2001 · Murphy MG ·</w:t>
      </w:r>
      <w:r>
        <w:t xml:space="preserve"> </w:t>
      </w:r>
      <w:r>
        <w:rPr>
          <w:iCs/>
          <w:i/>
        </w:rPr>
        <w:t xml:space="preserve">J Clin Endocrinol Metab</w:t>
      </w:r>
      <w:r>
        <w:t xml:space="preserve"> </w:t>
      </w:r>
      <w:r>
        <w:t xml:space="preserve">· Effect of alendronate and MK-677 (a growth hormone secretagogue), individually and in combination, on markers of bone turnover and bone mineral density in postmenopausal osteoporotic women. PMID 11238495</w:t>
      </w:r>
    </w:p>
    <w:p>
      <w:pPr>
        <w:numPr>
          <w:ilvl w:val="0"/>
          <w:numId w:val="1404"/>
        </w:numPr>
        <w:pStyle w:val="Compact"/>
      </w:pPr>
      <w:r>
        <w:t xml:space="preserve">1999 · Svensson J ·</w:t>
      </w:r>
      <w:r>
        <w:t xml:space="preserve"> </w:t>
      </w:r>
      <w:r>
        <w:rPr>
          <w:iCs/>
          <w:i/>
        </w:rPr>
        <w:t xml:space="preserve">Clin Endocrinol (Oxf)</w:t>
      </w:r>
      <w:r>
        <w:t xml:space="preserve"> </w:t>
      </w:r>
      <w:r>
        <w:t xml:space="preserve">· Discrepancy between serum leptin values and total body fat in response to the oral growth hormone secretagogue MK-677. PMID 10468903</w:t>
      </w:r>
    </w:p>
    <w:p>
      <w:pPr>
        <w:numPr>
          <w:ilvl w:val="0"/>
          <w:numId w:val="1404"/>
        </w:numPr>
        <w:pStyle w:val="Compact"/>
      </w:pPr>
      <w:r>
        <w:t xml:space="preserve">1999 · Murphy MG ·</w:t>
      </w:r>
      <w:r>
        <w:t xml:space="preserve"> </w:t>
      </w:r>
      <w:r>
        <w:rPr>
          <w:iCs/>
          <w:i/>
        </w:rPr>
        <w:t xml:space="preserve">J Bone Miner Res</w:t>
      </w:r>
      <w:r>
        <w:t xml:space="preserve"> </w:t>
      </w:r>
      <w:r>
        <w:t xml:space="preserve">· Oral administration of the growth hormone secretagogue MK-677 increases markers of bone turnover in healthy and functionally impaired elderly adults. The MK-677 Study Group. PMID 10404019</w:t>
      </w:r>
    </w:p>
    <w:p>
      <w:pPr>
        <w:numPr>
          <w:ilvl w:val="0"/>
          <w:numId w:val="1404"/>
        </w:numPr>
        <w:pStyle w:val="Compact"/>
      </w:pPr>
      <w:r>
        <w:t xml:space="preserve">1999 · Svensson J ·</w:t>
      </w:r>
      <w:r>
        <w:t xml:space="preserve"> </w:t>
      </w:r>
      <w:r>
        <w:rPr>
          <w:iCs/>
          <w:i/>
        </w:rPr>
        <w:t xml:space="preserve">J Clin Endocrinol Metab</w:t>
      </w:r>
      <w:r>
        <w:t xml:space="preserve"> </w:t>
      </w:r>
      <w:r>
        <w:t xml:space="preserve">· Treatment of obese subjects with the oral growth hormone secretagogue MK-677 affects serum concentrations of several lipoproteins, but not lipoprotein(a). PMID 10372705</w:t>
      </w:r>
    </w:p>
    <w:p>
      <w:pPr>
        <w:numPr>
          <w:ilvl w:val="0"/>
          <w:numId w:val="1404"/>
        </w:numPr>
        <w:pStyle w:val="Compact"/>
      </w:pPr>
      <w:r>
        <w:t xml:space="preserve">1998 · Svensson J ·</w:t>
      </w:r>
      <w:r>
        <w:t xml:space="preserve"> </w:t>
      </w:r>
      <w:r>
        <w:rPr>
          <w:iCs/>
          <w:i/>
        </w:rPr>
        <w:t xml:space="preserve">J Bone Miner Res</w:t>
      </w:r>
      <w:r>
        <w:t xml:space="preserve"> </w:t>
      </w:r>
      <w:r>
        <w:t xml:space="preserve">· Treatment with the oral growth hormone secretagogue MK-677 increases markers of bone formation and bone resorption in obese young males. PMID 9661080</w:t>
      </w:r>
    </w:p>
    <w:p>
      <w:pPr>
        <w:numPr>
          <w:ilvl w:val="0"/>
          <w:numId w:val="1404"/>
        </w:numPr>
        <w:pStyle w:val="Compact"/>
      </w:pPr>
      <w:r>
        <w:t xml:space="preserve">1998 · Svensson J ·</w:t>
      </w:r>
      <w:r>
        <w:t xml:space="preserve"> </w:t>
      </w:r>
      <w:r>
        <w:rPr>
          <w:iCs/>
          <w:i/>
        </w:rPr>
        <w:t xml:space="preserve">J Clin Endocrinol Metab</w:t>
      </w:r>
      <w:r>
        <w:t xml:space="preserve"> </w:t>
      </w:r>
      <w:r>
        <w:t xml:space="preserve">· Two-month treatment of obese subjects with the oral growth hormone (GH) secretagogue MK-677 increases GH secretion, fat-free mass, and energy expenditure. PMID 9467542</w:t>
      </w:r>
    </w:p>
    <w:p>
      <w:pPr>
        <w:numPr>
          <w:ilvl w:val="0"/>
          <w:numId w:val="1404"/>
        </w:numPr>
        <w:pStyle w:val="Compact"/>
      </w:pPr>
      <w:r>
        <w:t xml:space="preserve">1998 · Murphy MG ·</w:t>
      </w:r>
      <w:r>
        <w:t xml:space="preserve"> </w:t>
      </w:r>
      <w:r>
        <w:rPr>
          <w:iCs/>
          <w:i/>
        </w:rPr>
        <w:t xml:space="preserve">J Clin Endocrinol Metab</w:t>
      </w:r>
      <w:r>
        <w:t xml:space="preserve"> </w:t>
      </w:r>
      <w:r>
        <w:t xml:space="preserve">· MK-677, an orally active growth hormone secretagogue, reverses diet-induced catabolism. PMID 9467534</w:t>
      </w:r>
    </w:p>
    <w:p>
      <w:pPr>
        <w:numPr>
          <w:ilvl w:val="0"/>
          <w:numId w:val="1404"/>
        </w:numPr>
        <w:pStyle w:val="Compact"/>
      </w:pPr>
      <w:r>
        <w:t xml:space="preserve">1997 · Copinschi G ·</w:t>
      </w:r>
      <w:r>
        <w:t xml:space="preserve"> </w:t>
      </w:r>
      <w:r>
        <w:rPr>
          <w:iCs/>
          <w:i/>
        </w:rPr>
        <w:t xml:space="preserve">Neuroendocrinology</w:t>
      </w:r>
      <w:r>
        <w:t xml:space="preserve"> </w:t>
      </w:r>
      <w:r>
        <w:t xml:space="preserve">· Prolonged oral treatment with MK-677, a novel growth hormone secretagogue, improves sleep quality in man. PMID 9349662</w:t>
      </w:r>
    </w:p>
    <w:p>
      <w:pPr>
        <w:numPr>
          <w:ilvl w:val="0"/>
          <w:numId w:val="1404"/>
        </w:numPr>
        <w:pStyle w:val="Compact"/>
      </w:pPr>
      <w:r>
        <w:t xml:space="preserve">1997 · Chapman IM ·</w:t>
      </w:r>
      <w:r>
        <w:t xml:space="preserve"> </w:t>
      </w:r>
      <w:r>
        <w:rPr>
          <w:iCs/>
          <w:i/>
        </w:rPr>
        <w:t xml:space="preserve">J Clin Endocrinol Metab</w:t>
      </w:r>
      <w:r>
        <w:t xml:space="preserve"> </w:t>
      </w:r>
      <w:r>
        <w:t xml:space="preserve">· Oral administration of growth hormone (GH) releasing peptide-mimetic MK-677 stimulates the GH/insulin-like growth factor-I axis in selected GH-deficient adults. PMID 9329386</w:t>
      </w:r>
    </w:p>
    <w:p>
      <w:pPr>
        <w:numPr>
          <w:ilvl w:val="0"/>
          <w:numId w:val="1404"/>
        </w:numPr>
        <w:pStyle w:val="Compact"/>
      </w:pPr>
      <w:r>
        <w:t xml:space="preserve">1996 · Chapman IM ·</w:t>
      </w:r>
      <w:r>
        <w:t xml:space="preserve"> </w:t>
      </w:r>
      <w:r>
        <w:rPr>
          <w:iCs/>
          <w:i/>
        </w:rPr>
        <w:t xml:space="preserve">J Clin Endocrinol Metab</w:t>
      </w:r>
      <w:r>
        <w:t xml:space="preserve"> </w:t>
      </w:r>
      <w:r>
        <w:t xml:space="preserve">· Stimulation of the growth hormone (GH)-insulin-like growth factor I axis by daily oral administration of a GH secretogogue (MK-677) in healthy elderly subjects. PMID 8954023</w:t>
      </w:r>
    </w:p>
    <w:p>
      <w:pPr>
        <w:numPr>
          <w:ilvl w:val="0"/>
          <w:numId w:val="1404"/>
        </w:numPr>
        <w:pStyle w:val="Compact"/>
      </w:pPr>
      <w:r>
        <w:t xml:space="preserve">1996 · Copinschi G ·</w:t>
      </w:r>
      <w:r>
        <w:t xml:space="preserve"> </w:t>
      </w:r>
      <w:r>
        <w:rPr>
          <w:iCs/>
          <w:i/>
        </w:rPr>
        <w:t xml:space="preserve">J Clin Endocrinol Metab</w:t>
      </w:r>
      <w:r>
        <w:t xml:space="preserve"> </w:t>
      </w:r>
      <w:r>
        <w:t xml:space="preserve">· Effects of a 7-day treatment with a novel, orally active, growth hormone (GH) secretagogue, MK-677, on 24-hour GH profiles, insulin-like growth factor I, and adrenocortical function in normal young men. PMID 8768828</w:t>
      </w:r>
    </w:p>
    <w:bookmarkEnd w:id="3045"/>
    <w:bookmarkStart w:id="3046" w:name="semax-4"/>
    <w:p>
      <w:pPr>
        <w:pStyle w:val="Heading2"/>
      </w:pPr>
      <w:r>
        <w:t xml:space="preserve">Semax (4)</w:t>
      </w:r>
    </w:p>
    <w:p>
      <w:pPr>
        <w:numPr>
          <w:ilvl w:val="0"/>
          <w:numId w:val="1405"/>
        </w:numPr>
        <w:pStyle w:val="Compact"/>
      </w:pPr>
      <w:r>
        <w:t xml:space="preserve">2018 · Gusev EI ·</w:t>
      </w:r>
      <w:r>
        <w:t xml:space="preserve"> </w:t>
      </w:r>
      <w:r>
        <w:rPr>
          <w:iCs/>
          <w:i/>
        </w:rPr>
        <w:t xml:space="preserve">Zh Nevrol Psikhiatr Im S S Korsakova</w:t>
      </w:r>
      <w:r>
        <w:t xml:space="preserve"> </w:t>
      </w:r>
      <w:r>
        <w:t xml:space="preserve">· [The efficacy of semax in the tretament of patients at different stages of ischemic stroke]. PMID 29798983</w:t>
      </w:r>
    </w:p>
    <w:p>
      <w:pPr>
        <w:numPr>
          <w:ilvl w:val="0"/>
          <w:numId w:val="1405"/>
        </w:numPr>
        <w:pStyle w:val="Compact"/>
      </w:pPr>
      <w:r>
        <w:t xml:space="preserve">2007 · Serdiuk AV ·</w:t>
      </w:r>
      <w:r>
        <w:t xml:space="preserve"> </w:t>
      </w:r>
      <w:r>
        <w:rPr>
          <w:iCs/>
          <w:i/>
        </w:rPr>
        <w:t xml:space="preserve">Zh Nevrol Psikhiatr Im S S Korsakova</w:t>
      </w:r>
      <w:r>
        <w:t xml:space="preserve"> </w:t>
      </w:r>
      <w:r>
        <w:t xml:space="preserve">· [The study of chronic partial denervation and quality of life in patients with motor neuron disease treated with semax]. PMID 18379501</w:t>
      </w:r>
    </w:p>
    <w:p>
      <w:pPr>
        <w:numPr>
          <w:ilvl w:val="0"/>
          <w:numId w:val="1405"/>
        </w:numPr>
        <w:pStyle w:val="Compact"/>
      </w:pPr>
      <w:r>
        <w:t xml:space="preserve">2000 · Polunin GS ·</w:t>
      </w:r>
      <w:r>
        <w:t xml:space="preserve"> </w:t>
      </w:r>
      <w:r>
        <w:rPr>
          <w:iCs/>
          <w:i/>
        </w:rPr>
        <w:t xml:space="preserve">Vestn Oftalmol</w:t>
      </w:r>
      <w:r>
        <w:t xml:space="preserve"> </w:t>
      </w:r>
      <w:r>
        <w:t xml:space="preserve">· [Evaluation of therapeutic effect of new Russian drug semax in optic nerve disease]. PMID 10741256</w:t>
      </w:r>
    </w:p>
    <w:p>
      <w:pPr>
        <w:numPr>
          <w:ilvl w:val="0"/>
          <w:numId w:val="1405"/>
        </w:numPr>
        <w:pStyle w:val="Compact"/>
      </w:pPr>
      <w:r>
        <w:t xml:space="preserve">1997 · Gusev EI ·</w:t>
      </w:r>
      <w:r>
        <w:t xml:space="preserve"> </w:t>
      </w:r>
      <w:r>
        <w:rPr>
          <w:iCs/>
          <w:i/>
        </w:rPr>
        <w:t xml:space="preserve">Zh Nevrol Psikhiatr Im S S Korsakova</w:t>
      </w:r>
      <w:r>
        <w:t xml:space="preserve"> </w:t>
      </w:r>
      <w:r>
        <w:t xml:space="preserve">· [Effectiveness of semax in acute period of hemispheric ischemic stroke (a clinical and electrophysiological study)]. PMID 11517472</w:t>
      </w:r>
    </w:p>
    <w:bookmarkEnd w:id="3046"/>
    <w:bookmarkStart w:id="3047" w:name="selank-3"/>
    <w:p>
      <w:pPr>
        <w:pStyle w:val="Heading2"/>
      </w:pPr>
      <w:r>
        <w:t xml:space="preserve">Selank (3)</w:t>
      </w:r>
    </w:p>
    <w:p>
      <w:pPr>
        <w:numPr>
          <w:ilvl w:val="0"/>
          <w:numId w:val="1406"/>
        </w:numPr>
        <w:pStyle w:val="Compact"/>
      </w:pPr>
      <w:r>
        <w:t xml:space="preserve">2015 · Medvedev VE ·</w:t>
      </w:r>
      <w:r>
        <w:t xml:space="preserve"> </w:t>
      </w:r>
      <w:r>
        <w:rPr>
          <w:iCs/>
          <w:i/>
        </w:rPr>
        <w:t xml:space="preserve">Zh Nevrol Psikhiatr Im S S Korsakova</w:t>
      </w:r>
      <w:r>
        <w:t xml:space="preserve"> </w:t>
      </w:r>
      <w:r>
        <w:t xml:space="preserve">· [Optimization of the treatment of anxiety disorders with selank]. PMID 26356395</w:t>
      </w:r>
    </w:p>
    <w:p>
      <w:pPr>
        <w:numPr>
          <w:ilvl w:val="0"/>
          <w:numId w:val="1406"/>
        </w:numPr>
        <w:pStyle w:val="Compact"/>
      </w:pPr>
      <w:r>
        <w:t xml:space="preserve">2014 · Medvedev VE ·</w:t>
      </w:r>
      <w:r>
        <w:t xml:space="preserve"> </w:t>
      </w:r>
      <w:r>
        <w:rPr>
          <w:iCs/>
          <w:i/>
        </w:rPr>
        <w:t xml:space="preserve">Zh Nevrol Psikhiatr Im S S Korsakova</w:t>
      </w:r>
      <w:r>
        <w:t xml:space="preserve"> </w:t>
      </w:r>
      <w:r>
        <w:t xml:space="preserve">· [A comparison of the anxiolytic effect and tolerability of selank and phenazepam in the treatment of anxiety disorders]. PMID 25176261</w:t>
      </w:r>
    </w:p>
    <w:p>
      <w:pPr>
        <w:numPr>
          <w:ilvl w:val="0"/>
          <w:numId w:val="1406"/>
        </w:numPr>
        <w:pStyle w:val="Compact"/>
      </w:pPr>
      <w:r>
        <w:t xml:space="preserve">2008 · Zozulia AA ·</w:t>
      </w:r>
      <w:r>
        <w:t xml:space="preserve"> </w:t>
      </w:r>
      <w:r>
        <w:rPr>
          <w:iCs/>
          <w:i/>
        </w:rPr>
        <w:t xml:space="preserve">Zh Nevrol Psikhiatr Im S S Korsakova</w:t>
      </w:r>
      <w:r>
        <w:t xml:space="preserve"> </w:t>
      </w:r>
      <w:r>
        <w:t xml:space="preserve">· [Efficacy and possible mechanisms of action of a new peptide anxiolytic selank in the therapy of generalized anxiety disorders and neurasthenia]. PMID 18454096</w:t>
      </w:r>
    </w:p>
    <w:bookmarkEnd w:id="3047"/>
    <w:bookmarkStart w:id="3048" w:name="cerebrolysin-88"/>
    <w:p>
      <w:pPr>
        <w:pStyle w:val="Heading2"/>
      </w:pPr>
      <w:r>
        <w:t xml:space="preserve">Cerebrolysin (88)</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with reperfusion therapy in ischemic stroke: a prospective analysis of multimodal brain imaging data from the CEREHETIS trial]. PMID 40577185</w:t>
      </w:r>
    </w:p>
    <w:p>
      <w:pPr>
        <w:numPr>
          <w:ilvl w:val="0"/>
          <w:numId w:val="1407"/>
        </w:numPr>
        <w:pStyle w:val="Compact"/>
      </w:pPr>
      <w:r>
        <w:t xml:space="preserve">2025 · Staszewski J ·</w:t>
      </w:r>
      <w:r>
        <w:t xml:space="preserve"> </w:t>
      </w:r>
      <w:r>
        <w:rPr>
          <w:iCs/>
          <w:i/>
        </w:rPr>
        <w:t xml:space="preserve">Transl Stroke Res</w:t>
      </w:r>
      <w:r>
        <w:t xml:space="preserve"> </w:t>
      </w:r>
      <w:r>
        <w:t xml:space="preserve">· Efficacy of Cerebrolysin Treatment as an Add-On Therapy to Mechanical Thrombectomy in Patients with Acute Ischemic Stroke Due to Large Vessel Occlusion in Anterior Circulation: Results of a 3-Month Follow-up of a Prospective, Open Label, Single-Center Study. PMID 40325343</w:t>
      </w:r>
    </w:p>
    <w:p>
      <w:pPr>
        <w:numPr>
          <w:ilvl w:val="0"/>
          <w:numId w:val="1407"/>
        </w:numPr>
        <w:pStyle w:val="Compact"/>
      </w:pPr>
      <w:r>
        <w:t xml:space="preserve">2025 · Kalinin MN ·</w:t>
      </w:r>
      <w:r>
        <w:t xml:space="preserve"> </w:t>
      </w:r>
      <w:r>
        <w:rPr>
          <w:iCs/>
          <w:i/>
        </w:rPr>
        <w:t xml:space="preserve">Zh Nevrol Psikhiatr Im S S Korsakova</w:t>
      </w:r>
      <w:r>
        <w:t xml:space="preserve"> </w:t>
      </w:r>
      <w:r>
        <w:t xml:space="preserve">· [Cerebrolysin and the optimal timing of anticoagulation resumption in stroke: combined post hoc survival analysis of the CEREHETIS trial]. PMID 40123141</w:t>
      </w:r>
    </w:p>
    <w:p>
      <w:pPr>
        <w:numPr>
          <w:ilvl w:val="0"/>
          <w:numId w:val="1407"/>
        </w:numPr>
        <w:pStyle w:val="Compact"/>
      </w:pPr>
      <w:r>
        <w:t xml:space="preserve">2025 · Homberg V ·</w:t>
      </w:r>
      <w:r>
        <w:t xml:space="preserve"> </w:t>
      </w:r>
      <w:r>
        <w:rPr>
          <w:iCs/>
          <w:i/>
        </w:rPr>
        <w:t xml:space="preserve">Stroke</w:t>
      </w:r>
      <w:r>
        <w:t xml:space="preserve"> </w:t>
      </w:r>
      <w:r>
        <w:t xml:space="preserve">· Speech Therapy Combined With Cerebrolysin in Enhancing Nonfluent Aphasia Recovery After Acute Ischemic Stroke: ESCAS Randomized Pilot Study. PMID 39957612</w:t>
      </w:r>
    </w:p>
    <w:p>
      <w:pPr>
        <w:numPr>
          <w:ilvl w:val="0"/>
          <w:numId w:val="1407"/>
        </w:numPr>
        <w:pStyle w:val="Compact"/>
      </w:pPr>
      <w:r>
        <w:t xml:space="preserve">2024 · Ponomareva EV ·</w:t>
      </w:r>
      <w:r>
        <w:t xml:space="preserve"> </w:t>
      </w:r>
      <w:r>
        <w:rPr>
          <w:iCs/>
          <w:i/>
        </w:rPr>
        <w:t xml:space="preserve">Zh Nevrol Psikhiatr Im S S Korsakova</w:t>
      </w:r>
      <w:r>
        <w:t xml:space="preserve"> </w:t>
      </w:r>
      <w:r>
        <w:t xml:space="preserve">· [Cerebrolysin in the preventive therapy of dementia in elderly patients with mild cognitive impairment: a three-year prospective comparative study]. PMID 39435777</w:t>
      </w:r>
    </w:p>
    <w:p>
      <w:pPr>
        <w:numPr>
          <w:ilvl w:val="0"/>
          <w:numId w:val="1407"/>
        </w:numPr>
        <w:pStyle w:val="Compact"/>
      </w:pPr>
      <w:r>
        <w:t xml:space="preserve">2023 · Firstenfeld AJ ·</w:t>
      </w:r>
      <w:r>
        <w:t xml:space="preserve"> </w:t>
      </w:r>
      <w:r>
        <w:rPr>
          <w:iCs/>
          <w:i/>
        </w:rPr>
        <w:t xml:space="preserve">J Med Life</w:t>
      </w:r>
      <w:r>
        <w:t xml:space="preserve"> </w:t>
      </w:r>
      <w:r>
        <w:t xml:space="preserve">· Add-on treatment with Cerebrolysin improves clinical symptoms in patients with ALS: results from a prospective, single-center, placebo-controlled, randomized, double-blind, phase II study. PMID 38585517</w:t>
      </w:r>
    </w:p>
    <w:p>
      <w:pPr>
        <w:numPr>
          <w:ilvl w:val="0"/>
          <w:numId w:val="1407"/>
        </w:numPr>
        <w:pStyle w:val="Compact"/>
      </w:pPr>
      <w:r>
        <w:t xml:space="preserve">2023 · Hamed SA ·</w:t>
      </w:r>
      <w:r>
        <w:t xml:space="preserve"> </w:t>
      </w:r>
      <w:r>
        <w:rPr>
          <w:iCs/>
          <w:i/>
        </w:rPr>
        <w:t xml:space="preserve">Expert Rev Clin Pharmacol</w:t>
      </w:r>
      <w:r>
        <w:t xml:space="preserve"> </w:t>
      </w:r>
      <w:r>
        <w:t xml:space="preserve">· The effectiveness of cerebrolysin, a multi-modal neurotrophic factor, for treatment of post-covid-19 persistent olfactory, gustatory and trigeminal chemosensory dysfunctions: a randomized clinical trial. PMID 37950370</w:t>
      </w:r>
    </w:p>
    <w:p>
      <w:pPr>
        <w:numPr>
          <w:ilvl w:val="0"/>
          <w:numId w:val="1407"/>
        </w:numPr>
        <w:pStyle w:val="Compact"/>
      </w:pPr>
      <w:r>
        <w:t xml:space="preserve">2023 · Khasanova DR ·</w:t>
      </w:r>
      <w:r>
        <w:t xml:space="preserve"> </w:t>
      </w:r>
      <w:r>
        <w:rPr>
          <w:iCs/>
          <w:i/>
        </w:rPr>
        <w:t xml:space="preserve">Zh Nevrol Psikhiatr Im S S Korsakova</w:t>
      </w:r>
      <w:r>
        <w:t xml:space="preserve"> </w:t>
      </w:r>
      <w:r>
        <w:t xml:space="preserve">· [Effects of simultaneous use of Cerebrolysin and alteplase on hemorrhagic transformation of brain infarction and functional outcome in stroke patients: CEREHETIS, a randomized, multicenter pilot trial]. PMID 37682097</w:t>
      </w:r>
    </w:p>
    <w:p>
      <w:pPr>
        <w:numPr>
          <w:ilvl w:val="0"/>
          <w:numId w:val="1407"/>
        </w:numPr>
        <w:pStyle w:val="Compact"/>
      </w:pPr>
      <w:r>
        <w:t xml:space="preserve">2023 · Khasanova DR ·</w:t>
      </w:r>
      <w:r>
        <w:t xml:space="preserve"> </w:t>
      </w:r>
      <w:r>
        <w:rPr>
          <w:iCs/>
          <w:i/>
        </w:rPr>
        <w:t xml:space="preserve">BMC Neurol</w:t>
      </w:r>
      <w:r>
        <w:t xml:space="preserve"> </w:t>
      </w:r>
      <w:r>
        <w:t xml:space="preserve">· Cerebrolysin as an Early Add-on to Reperfusion Therapy: Risk of Hemorrhagic Transformation after Ischemic Stroke (CEREHETIS), a prospective, randomized, multicenter pilot study. PMID 36973684</w:t>
      </w:r>
    </w:p>
    <w:p>
      <w:pPr>
        <w:numPr>
          <w:ilvl w:val="0"/>
          <w:numId w:val="1407"/>
        </w:numPr>
        <w:pStyle w:val="Compact"/>
      </w:pPr>
      <w:r>
        <w:t xml:space="preserve">2023 · Mitrović SZ ·</w:t>
      </w:r>
      <w:r>
        <w:t xml:space="preserve"> </w:t>
      </w:r>
      <w:r>
        <w:rPr>
          <w:iCs/>
          <w:i/>
        </w:rPr>
        <w:t xml:space="preserve">Medicina (Kaunas)</w:t>
      </w:r>
      <w:r>
        <w:t xml:space="preserve"> </w:t>
      </w:r>
      <w:r>
        <w:t xml:space="preserve">· Extended Poststroke Rehabilitation Combined with Cerebrolysin Promotes Upper Limb Motor Recovery in Early Subacute Phase of Rehabilitation: A Randomized Clinical Study. PMID 36837492</w:t>
      </w:r>
    </w:p>
    <w:p>
      <w:pPr>
        <w:numPr>
          <w:ilvl w:val="0"/>
          <w:numId w:val="1407"/>
        </w:numPr>
        <w:pStyle w:val="Compact"/>
      </w:pPr>
      <w:r>
        <w:t xml:space="preserve">2023 · Sharma A ·</w:t>
      </w:r>
      <w:r>
        <w:t xml:space="preserve"> </w:t>
      </w:r>
      <w:r>
        <w:rPr>
          <w:iCs/>
          <w:i/>
        </w:rPr>
        <w:t xml:space="preserve">Spine (Phila Pa 1976)</w:t>
      </w:r>
      <w:r>
        <w:t xml:space="preserve"> </w:t>
      </w:r>
      <w:r>
        <w:t xml:space="preserve">· Prospective Randomized Control Trial to Compare the Role of Injection Cerebrolysin for 10 Days Duration Against Placebo in Operated Cases of Degenerative Cervical Myelopathy. PMID 36730671</w:t>
      </w:r>
    </w:p>
    <w:p>
      <w:pPr>
        <w:numPr>
          <w:ilvl w:val="0"/>
          <w:numId w:val="1407"/>
        </w:numPr>
        <w:pStyle w:val="Compact"/>
      </w:pPr>
      <w:r>
        <w:t xml:space="preserve">2022 · Alvarez XA ·</w:t>
      </w:r>
      <w:r>
        <w:t xml:space="preserve"> </w:t>
      </w:r>
      <w:r>
        <w:rPr>
          <w:iCs/>
          <w:i/>
        </w:rPr>
        <w:t xml:space="preserve">J Alzheimers Dis</w:t>
      </w:r>
      <w:r>
        <w:t xml:space="preserve"> </w:t>
      </w:r>
      <w:r>
        <w:t xml:space="preserve">· Modulation of Amyloid-β and Tau in Alzheimer’s Disease Plasma Neuronal-Derived Extracellular Vesicles by Cerebrolysin® and Donepezil. PMID 36155516</w:t>
      </w:r>
    </w:p>
    <w:p>
      <w:pPr>
        <w:numPr>
          <w:ilvl w:val="0"/>
          <w:numId w:val="1407"/>
        </w:numPr>
        <w:pStyle w:val="Compact"/>
      </w:pPr>
      <w:r>
        <w:t xml:space="preserve">2022 · Sharma A ·</w:t>
      </w:r>
      <w:r>
        <w:t xml:space="preserve"> </w:t>
      </w:r>
      <w:r>
        <w:rPr>
          <w:iCs/>
          <w:i/>
        </w:rPr>
        <w:t xml:space="preserve">Spine (Phila Pa 1976)</w:t>
      </w:r>
      <w:r>
        <w:t xml:space="preserve"> </w:t>
      </w:r>
      <w:r>
        <w:t xml:space="preserve">· Prospective Randomized Control Pilot Study to Compare the Role of Injection Cerebrolysin in Operated cases of Degenerative Cervical Myelopathy. PMID 34889883</w:t>
      </w:r>
    </w:p>
    <w:p>
      <w:pPr>
        <w:numPr>
          <w:ilvl w:val="0"/>
          <w:numId w:val="1407"/>
        </w:numPr>
        <w:pStyle w:val="Compact"/>
      </w:pPr>
      <w:r>
        <w:t xml:space="preserve">2022 · Samir A ·</w:t>
      </w:r>
      <w:r>
        <w:t xml:space="preserve"> </w:t>
      </w:r>
      <w:r>
        <w:rPr>
          <w:iCs/>
          <w:i/>
        </w:rPr>
        <w:t xml:space="preserve">J Neonatal Perinatal Med</w:t>
      </w:r>
      <w:r>
        <w:t xml:space="preserve"> </w:t>
      </w:r>
      <w:r>
        <w:t xml:space="preserve">· Effect of cerebrolysin on neurodevelopmental outcome of high risk preterm infants: A randomized controlled trial. PMID 33935111</w:t>
      </w:r>
    </w:p>
    <w:p>
      <w:pPr>
        <w:numPr>
          <w:ilvl w:val="0"/>
          <w:numId w:val="1407"/>
        </w:numPr>
        <w:pStyle w:val="Compact"/>
      </w:pPr>
      <w:r>
        <w:t xml:space="preserve">2021 · Poljakovic Z ·</w:t>
      </w:r>
      <w:r>
        <w:t xml:space="preserve"> </w:t>
      </w:r>
      <w:r>
        <w:rPr>
          <w:iCs/>
          <w:i/>
        </w:rPr>
        <w:t xml:space="preserve">Clin Neurol Neurosurg</w:t>
      </w:r>
      <w:r>
        <w:t xml:space="preserve"> </w:t>
      </w:r>
      <w:r>
        <w:t xml:space="preserve">· Efficacy and safety of Cerebrolysin after futile recanalisation therapy in patients with severe stroke. PMID 34214867</w:t>
      </w:r>
    </w:p>
    <w:p>
      <w:pPr>
        <w:numPr>
          <w:ilvl w:val="0"/>
          <w:numId w:val="1407"/>
        </w:numPr>
        <w:pStyle w:val="Compact"/>
      </w:pPr>
      <w:r>
        <w:t xml:space="preserve">2020 · Woo PYM ·</w:t>
      </w:r>
      <w:r>
        <w:t xml:space="preserve"> </w:t>
      </w:r>
      <w:r>
        <w:rPr>
          <w:iCs/>
          <w:i/>
        </w:rPr>
        <w:t xml:space="preserve">BMC Neurol</w:t>
      </w:r>
      <w:r>
        <w:t xml:space="preserve"> </w:t>
      </w:r>
      <w:r>
        <w:t xml:space="preserve">· Randomized, placebo-controlled, double-blind, pilot trial to investigate safety and efficacy of Cerebrolysin in patients with aneurysmal subarachnoid hemorrhage. PMID 33143640</w:t>
      </w:r>
    </w:p>
    <w:p>
      <w:pPr>
        <w:numPr>
          <w:ilvl w:val="0"/>
          <w:numId w:val="1407"/>
        </w:numPr>
        <w:pStyle w:val="Compact"/>
      </w:pPr>
      <w:r>
        <w:t xml:space="preserve">2020 · Birle C ·</w:t>
      </w:r>
      <w:r>
        <w:t xml:space="preserve"> </w:t>
      </w:r>
      <w:r>
        <w:rPr>
          <w:iCs/>
          <w:i/>
        </w:rPr>
        <w:t xml:space="preserve">J Med Life</w:t>
      </w:r>
      <w:r>
        <w:t xml:space="preserve"> </w:t>
      </w:r>
      <w:r>
        <w:t xml:space="preserve">· The Effect of Cerebrolysin on the Predictive Value of Baseline Prognostic Risk Score in Moderate and Severe Traumatic Brain Injury. PMID 33072197</w:t>
      </w:r>
    </w:p>
    <w:p>
      <w:pPr>
        <w:numPr>
          <w:ilvl w:val="0"/>
          <w:numId w:val="1407"/>
        </w:numPr>
        <w:pStyle w:val="Compact"/>
      </w:pPr>
      <w:r>
        <w:t xml:space="preserve">2020 · Muresanu DF ·</w:t>
      </w:r>
      <w:r>
        <w:t xml:space="preserve"> </w:t>
      </w:r>
      <w:r>
        <w:rPr>
          <w:iCs/>
          <w:i/>
        </w:rPr>
        <w:t xml:space="preserve">Neurol Sci</w:t>
      </w:r>
      <w:r>
        <w:t xml:space="preserve"> </w:t>
      </w:r>
      <w:r>
        <w:t xml:space="preserve">· Efficacy and safety of cerebrolysin in neurorecovery after moderate-severe traumatic brain injury: results from the CAPTAIN II trial. PMID 31897941</w:t>
      </w:r>
    </w:p>
    <w:p>
      <w:pPr>
        <w:numPr>
          <w:ilvl w:val="0"/>
          <w:numId w:val="1407"/>
        </w:numPr>
        <w:pStyle w:val="Compact"/>
      </w:pPr>
      <w:r>
        <w:t xml:space="preserve">2020 · Poon W ·</w:t>
      </w:r>
      <w:r>
        <w:t xml:space="preserve"> </w:t>
      </w:r>
      <w:r>
        <w:rPr>
          <w:iCs/>
          <w:i/>
        </w:rPr>
        <w:t xml:space="preserve">Neurol Sci</w:t>
      </w:r>
      <w:r>
        <w:t xml:space="preserve"> </w:t>
      </w:r>
      <w:r>
        <w:t xml:space="preserve">· Safety and efficacy of Cerebrolysin in acute brain injury and neurorecovery: CAPTAIN I-a randomized, placebo-controlled, double-blind, Asian-Pacific trial. PMID 31494820</w:t>
      </w:r>
    </w:p>
    <w:p>
      <w:pPr>
        <w:numPr>
          <w:ilvl w:val="0"/>
          <w:numId w:val="1407"/>
        </w:numPr>
        <w:pStyle w:val="Compact"/>
      </w:pPr>
      <w:r>
        <w:t xml:space="preserve">2018 · Allam AFA ·</w:t>
      </w:r>
      <w:r>
        <w:t xml:space="preserve"> </w:t>
      </w:r>
      <w:r>
        <w:rPr>
          <w:iCs/>
          <w:i/>
        </w:rPr>
        <w:t xml:space="preserve">Spine J</w:t>
      </w:r>
      <w:r>
        <w:t xml:space="preserve"> </w:t>
      </w:r>
      <w:r>
        <w:t xml:space="preserve">· Role of Cerebrolysin in cervical spondylotic myelopathy patients: a prospective randomized study. PMID 29155000</w:t>
      </w:r>
    </w:p>
    <w:p>
      <w:pPr>
        <w:numPr>
          <w:ilvl w:val="0"/>
          <w:numId w:val="1407"/>
        </w:numPr>
        <w:pStyle w:val="Compact"/>
      </w:pPr>
      <w:r>
        <w:t xml:space="preserve">2017 · Stan A ·</w:t>
      </w:r>
      <w:r>
        <w:t xml:space="preserve"> </w:t>
      </w:r>
      <w:r>
        <w:rPr>
          <w:iCs/>
          <w:i/>
        </w:rPr>
        <w:t xml:space="preserve">J Med Life</w:t>
      </w:r>
      <w:r>
        <w:t xml:space="preserve"> </w:t>
      </w:r>
      <w:r>
        <w:t xml:space="preserve">· Cerebrolysin and early neurorehabilitation in patients with acute ischemic stroke: a prospective, randomized, placebo-controlled clinical study. PMID 29362596</w:t>
      </w:r>
    </w:p>
    <w:p>
      <w:pPr>
        <w:numPr>
          <w:ilvl w:val="0"/>
          <w:numId w:val="1407"/>
        </w:numPr>
        <w:pStyle w:val="Compact"/>
      </w:pPr>
      <w:r>
        <w:t xml:space="preserve">2017 · Karakulova YV ·</w:t>
      </w:r>
      <w:r>
        <w:t xml:space="preserve"> </w:t>
      </w:r>
      <w:r>
        <w:rPr>
          <w:iCs/>
          <w:i/>
        </w:rPr>
        <w:t xml:space="preserve">Zh Nevrol Psikhiatr Im S S Korsakova</w:t>
      </w:r>
      <w:r>
        <w:t xml:space="preserve"> </w:t>
      </w:r>
      <w:r>
        <w:t xml:space="preserve">· [Monitoring of neurotrophic factors and cognitive function in patients with traumatic brain injury]. PMID 29171486</w:t>
      </w:r>
    </w:p>
    <w:p>
      <w:pPr>
        <w:numPr>
          <w:ilvl w:val="0"/>
          <w:numId w:val="1407"/>
        </w:numPr>
        <w:pStyle w:val="Compact"/>
      </w:pPr>
      <w:r>
        <w:t xml:space="preserve">2017 · Gharagozli K ·</w:t>
      </w:r>
      <w:r>
        <w:t xml:space="preserve"> </w:t>
      </w:r>
      <w:r>
        <w:rPr>
          <w:iCs/>
          <w:i/>
        </w:rPr>
        <w:t xml:space="preserve">J Med Life</w:t>
      </w:r>
      <w:r>
        <w:t xml:space="preserve"> </w:t>
      </w:r>
      <w:r>
        <w:t xml:space="preserve">· Efficacy and safety of Cerebrolysin treatment in early recovery after acute ischemic stroke: a randomized, placebo-controlled, double-blinded, multicenter clinical trial. PMID 29075343</w:t>
      </w:r>
    </w:p>
    <w:p>
      <w:pPr>
        <w:numPr>
          <w:ilvl w:val="0"/>
          <w:numId w:val="1407"/>
        </w:numPr>
        <w:pStyle w:val="Compact"/>
      </w:pPr>
      <w:r>
        <w:t xml:space="preserve">2017 · Nasiri J ·</w:t>
      </w:r>
      <w:r>
        <w:t xml:space="preserve"> </w:t>
      </w:r>
      <w:r>
        <w:rPr>
          <w:iCs/>
          <w:i/>
        </w:rPr>
        <w:t xml:space="preserve">Acta Neurol Belg</w:t>
      </w:r>
      <w:r>
        <w:t xml:space="preserve"> </w:t>
      </w:r>
      <w:r>
        <w:t xml:space="preserve">· Effect of cerebrolysin on gross motor function of children with cerebral palsy: a clinical trial. PMID 28074392</w:t>
      </w:r>
    </w:p>
    <w:p>
      <w:pPr>
        <w:numPr>
          <w:ilvl w:val="0"/>
          <w:numId w:val="1407"/>
        </w:numPr>
        <w:pStyle w:val="Compact"/>
      </w:pPr>
      <w:r>
        <w:t xml:space="preserve">2016 · Khabirov FA ·</w:t>
      </w:r>
      <w:r>
        <w:t xml:space="preserve"> </w:t>
      </w:r>
      <w:r>
        <w:rPr>
          <w:iCs/>
          <w:i/>
        </w:rPr>
        <w:t xml:space="preserve">Zh Nevrol Psikhiatr Im S S Korsakova</w:t>
      </w:r>
      <w:r>
        <w:t xml:space="preserve"> </w:t>
      </w:r>
      <w:r>
        <w:t xml:space="preserve">· [Effect of cerebrolysin on remyelination processes in multiple sclerosis patients in stage of relapse regression]. PMID 28139626</w:t>
      </w:r>
    </w:p>
    <w:p>
      <w:pPr>
        <w:numPr>
          <w:ilvl w:val="0"/>
          <w:numId w:val="1407"/>
        </w:numPr>
        <w:pStyle w:val="Compact"/>
      </w:pPr>
      <w:r>
        <w:t xml:space="preserve">2016 · Iznak AF ·</w:t>
      </w:r>
      <w:r>
        <w:t xml:space="preserve"> </w:t>
      </w:r>
      <w:r>
        <w:rPr>
          <w:iCs/>
          <w:i/>
        </w:rPr>
        <w:t xml:space="preserve">Zh Nevrol Psikhiatr Im S S Korsakova</w:t>
      </w:r>
      <w:r>
        <w:t xml:space="preserve"> </w:t>
      </w:r>
      <w:r>
        <w:t xml:space="preserve">· [Comparative dynamics of EEG parameters in elderly depressive patients during monotherapy and combined therapy]. PMID 26977625</w:t>
      </w:r>
    </w:p>
    <w:p>
      <w:pPr>
        <w:numPr>
          <w:ilvl w:val="0"/>
          <w:numId w:val="1407"/>
        </w:numPr>
        <w:pStyle w:val="Compact"/>
      </w:pPr>
      <w:r>
        <w:t xml:space="preserve">2016 · Chang WH ·</w:t>
      </w:r>
      <w:r>
        <w:t xml:space="preserve"> </w:t>
      </w:r>
      <w:r>
        <w:rPr>
          <w:iCs/>
          <w:i/>
        </w:rPr>
        <w:t xml:space="preserve">BMC Neurol</w:t>
      </w:r>
      <w:r>
        <w:t xml:space="preserve"> </w:t>
      </w:r>
      <w:r>
        <w:t xml:space="preserve">· Cerebrolysin combined with rehabilitation promotes motor recovery in patients with severe motor impairment after stroke. PMID 26934986</w:t>
      </w:r>
    </w:p>
    <w:p>
      <w:pPr>
        <w:numPr>
          <w:ilvl w:val="0"/>
          <w:numId w:val="1407"/>
        </w:numPr>
        <w:pStyle w:val="Compact"/>
      </w:pPr>
      <w:r>
        <w:t xml:space="preserve">2016 · Muresanu DF ·</w:t>
      </w:r>
      <w:r>
        <w:t xml:space="preserve"> </w:t>
      </w:r>
      <w:r>
        <w:rPr>
          <w:iCs/>
          <w:i/>
        </w:rPr>
        <w:t xml:space="preserve">Stroke</w:t>
      </w:r>
      <w:r>
        <w:t xml:space="preserve"> </w:t>
      </w:r>
      <w:r>
        <w:t xml:space="preserve">· Cerebrolysin and Recovery After Stroke (CARS): A Randomized, Placebo-Controlled, Double-Blind, Multicenter Trial. PMID 26564102</w:t>
      </w:r>
    </w:p>
    <w:p>
      <w:pPr>
        <w:numPr>
          <w:ilvl w:val="0"/>
          <w:numId w:val="1407"/>
        </w:numPr>
        <w:pStyle w:val="Compact"/>
      </w:pPr>
      <w:r>
        <w:t xml:space="preserve">2015 · Shishkova VN ·</w:t>
      </w:r>
      <w:r>
        <w:t xml:space="preserve"> </w:t>
      </w:r>
      <w:r>
        <w:rPr>
          <w:iCs/>
          <w:i/>
        </w:rPr>
        <w:t xml:space="preserve">Zh Nevrol Psikhiatr Im S S Korsakova</w:t>
      </w:r>
      <w:r>
        <w:t xml:space="preserve"> </w:t>
      </w:r>
      <w:r>
        <w:t xml:space="preserve">· [An assessment of cerebrolysin effect on BDNF level in patients with post stroke aphasia depending on carbohydrate metabolism disorders]. PMID 26356162</w:t>
      </w:r>
    </w:p>
    <w:p>
      <w:pPr>
        <w:numPr>
          <w:ilvl w:val="0"/>
          <w:numId w:val="1407"/>
        </w:numPr>
        <w:pStyle w:val="Compact"/>
      </w:pPr>
      <w:r>
        <w:t xml:space="preserve">2014 · Talypov AE ·</w:t>
      </w:r>
      <w:r>
        <w:t xml:space="preserve"> </w:t>
      </w:r>
      <w:r>
        <w:rPr>
          <w:iCs/>
          <w:i/>
        </w:rPr>
        <w:t xml:space="preserve">Zh Nevrol Psikhiatr Im S S Korsakova</w:t>
      </w:r>
      <w:r>
        <w:t xml:space="preserve"> </w:t>
      </w:r>
      <w:r>
        <w:t xml:space="preserve">· [Cerebrolysin in the treatment of brain injuries of moderate severity]. PMID 25591645</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[An impact of neuroprotective therapy on blood rheological and morphodensitometric parameters in patients with chronic cerebral ischemia]. PMID 25591521</w:t>
      </w:r>
    </w:p>
    <w:p>
      <w:pPr>
        <w:numPr>
          <w:ilvl w:val="0"/>
          <w:numId w:val="1407"/>
        </w:numPr>
        <w:pStyle w:val="Compact"/>
      </w:pPr>
      <w:r>
        <w:t xml:space="preserve">2014 · Anisimova AV ·</w:t>
      </w:r>
      <w:r>
        <w:t xml:space="preserve"> </w:t>
      </w:r>
      <w:r>
        <w:rPr>
          <w:iCs/>
          <w:i/>
        </w:rPr>
        <w:t xml:space="preserve">Zh Nevrol Psikhiatr Im S S Korsakova</w:t>
      </w:r>
      <w:r>
        <w:t xml:space="preserve"> </w:t>
      </w:r>
      <w:r>
        <w:t xml:space="preserve">· [Neuroprotective treatment of chronic cerebrovascular insufficiency]. PMID 25176263</w:t>
      </w:r>
    </w:p>
    <w:p>
      <w:pPr>
        <w:numPr>
          <w:ilvl w:val="0"/>
          <w:numId w:val="1407"/>
        </w:numPr>
        <w:pStyle w:val="Compact"/>
      </w:pPr>
      <w:r>
        <w:t xml:space="preserve">2013 · Zavadenko NN ·</w:t>
      </w:r>
      <w:r>
        <w:t xml:space="preserve"> </w:t>
      </w:r>
      <w:r>
        <w:rPr>
          <w:iCs/>
          <w:i/>
        </w:rPr>
        <w:t xml:space="preserve">Zh Nevrol Psikhiatr Im S S Korsakova</w:t>
      </w:r>
      <w:r>
        <w:t xml:space="preserve"> </w:t>
      </w:r>
      <w:r>
        <w:t xml:space="preserve">· [Developmental dysphasia in children: perspectives of neurotrophic therapy]. PMID 23739513</w:t>
      </w:r>
    </w:p>
    <w:p>
      <w:pPr>
        <w:numPr>
          <w:ilvl w:val="0"/>
          <w:numId w:val="1407"/>
        </w:numPr>
        <w:pStyle w:val="Compact"/>
      </w:pPr>
      <w:r>
        <w:t xml:space="preserve">2013 · Chen CC ·</w:t>
      </w:r>
      <w:r>
        <w:t xml:space="preserve"> </w:t>
      </w:r>
      <w:r>
        <w:rPr>
          <w:iCs/>
          <w:i/>
        </w:rPr>
        <w:t xml:space="preserve">Br J Neurosurg</w:t>
      </w:r>
      <w:r>
        <w:t xml:space="preserve"> </w:t>
      </w:r>
      <w:r>
        <w:t xml:space="preserve">· Cerebrolysin enhances cognitive recovery of mild traumatic brain injury patients: double-blind, placebo-controlled, randomized study. PMID 23656173</w:t>
      </w:r>
    </w:p>
    <w:p>
      <w:pPr>
        <w:numPr>
          <w:ilvl w:val="0"/>
          <w:numId w:val="1407"/>
        </w:numPr>
        <w:pStyle w:val="Compact"/>
      </w:pPr>
      <w:r>
        <w:t xml:space="preserve">2013 · Lang W ·</w:t>
      </w:r>
      <w:r>
        <w:t xml:space="preserve"> </w:t>
      </w:r>
      <w:r>
        <w:rPr>
          <w:iCs/>
          <w:i/>
        </w:rPr>
        <w:t xml:space="preserve">Int J Stroke</w:t>
      </w:r>
      <w:r>
        <w:t xml:space="preserve"> </w:t>
      </w:r>
      <w:r>
        <w:t xml:space="preserve">· A prospective, randomized, placebo-controlled, double-blind trial about safety and efficacy of combined treatment with alteplase (rt-PA) and Cerebrolysin in acute ischaemic hemispheric stroke. PMID 23009193</w:t>
      </w:r>
    </w:p>
    <w:p>
      <w:pPr>
        <w:numPr>
          <w:ilvl w:val="0"/>
          <w:numId w:val="1407"/>
        </w:numPr>
        <w:pStyle w:val="Compact"/>
      </w:pPr>
      <w:r>
        <w:t xml:space="preserve">2012 · Xiao S ·</w:t>
      </w:r>
      <w:r>
        <w:t xml:space="preserve"> </w:t>
      </w:r>
      <w:r>
        <w:rPr>
          <w:iCs/>
          <w:i/>
        </w:rPr>
        <w:t xml:space="preserve">Aust N Z J Psychiatry</w:t>
      </w:r>
      <w:r>
        <w:t xml:space="preserve"> </w:t>
      </w:r>
      <w:r>
        <w:t xml:space="preserve">· Therapeutic effects of cerebrolysin added to risperidone in patients with schizophrenia dominated by negative symptoms. PMID 22311531</w:t>
      </w:r>
    </w:p>
    <w:p>
      <w:pPr>
        <w:numPr>
          <w:ilvl w:val="0"/>
          <w:numId w:val="1407"/>
        </w:numPr>
        <w:pStyle w:val="Compact"/>
      </w:pPr>
      <w:r>
        <w:t xml:space="preserve">2012 · Heiss WD ·</w:t>
      </w:r>
      <w:r>
        <w:t xml:space="preserve"> </w:t>
      </w:r>
      <w:r>
        <w:rPr>
          <w:iCs/>
          <w:i/>
        </w:rPr>
        <w:t xml:space="preserve">Stroke</w:t>
      </w:r>
      <w:r>
        <w:t xml:space="preserve"> </w:t>
      </w:r>
      <w:r>
        <w:t xml:space="preserve">· Cerebrolysin in patients with acute ischemic stroke in Asia: results of a double-blind, placebo-controlled randomized trial. PMID 22282884</w:t>
      </w:r>
    </w:p>
    <w:p>
      <w:pPr>
        <w:numPr>
          <w:ilvl w:val="0"/>
          <w:numId w:val="1407"/>
        </w:numPr>
        <w:pStyle w:val="Compact"/>
      </w:pPr>
      <w:r>
        <w:t xml:space="preserve">2011 · Ershov VI ·</w:t>
      </w:r>
      <w:r>
        <w:t xml:space="preserve"> </w:t>
      </w:r>
      <w:r>
        <w:rPr>
          <w:iCs/>
          <w:i/>
        </w:rPr>
        <w:t xml:space="preserve">Zh Nevrol Psikhiatr Im S S Korsakova</w:t>
      </w:r>
      <w:r>
        <w:t xml:space="preserve"> </w:t>
      </w:r>
      <w:r>
        <w:t xml:space="preserve">· [Comparative aspects of using neuroprotectors in the management of patients with ischemic stroke]. PMID 22224244</w:t>
      </w:r>
    </w:p>
    <w:p>
      <w:pPr>
        <w:numPr>
          <w:ilvl w:val="0"/>
          <w:numId w:val="1407"/>
        </w:numPr>
        <w:pStyle w:val="Compact"/>
      </w:pPr>
      <w:r>
        <w:t xml:space="preserve">2011 · Alvarez XA ·</w:t>
      </w:r>
      <w:r>
        <w:t xml:space="preserve"> </w:t>
      </w:r>
      <w:r>
        <w:rPr>
          <w:iCs/>
          <w:i/>
        </w:rPr>
        <w:t xml:space="preserve">Curr Alzheimer Res</w:t>
      </w:r>
      <w:r>
        <w:t xml:space="preserve"> </w:t>
      </w:r>
      <w:r>
        <w:t xml:space="preserve">· Combination treatment in Alzheimer’s disease: results of a randomized, controlled trial with cerebrolysin and donepezil. PMID 21679156</w:t>
      </w:r>
    </w:p>
    <w:p>
      <w:pPr>
        <w:numPr>
          <w:ilvl w:val="0"/>
          <w:numId w:val="1407"/>
        </w:numPr>
        <w:pStyle w:val="Compact"/>
      </w:pPr>
      <w:r>
        <w:t xml:space="preserve">2011 · Zhivolupov SA ·</w:t>
      </w:r>
      <w:r>
        <w:t xml:space="preserve"> </w:t>
      </w:r>
      <w:r>
        <w:rPr>
          <w:iCs/>
          <w:i/>
        </w:rPr>
        <w:t xml:space="preserve">Zh Nevrol Psikhiatr Im S S Korsakova</w:t>
      </w:r>
      <w:r>
        <w:t xml:space="preserve"> </w:t>
      </w:r>
      <w:r>
        <w:t xml:space="preserve">· [The сomparative analysis of neyromidin and cerebrolysin effects on neurodynamic processes during craniocerebral injury]. PMID 21512498</w:t>
      </w:r>
    </w:p>
    <w:p>
      <w:pPr>
        <w:numPr>
          <w:ilvl w:val="0"/>
          <w:numId w:val="1407"/>
        </w:numPr>
        <w:pStyle w:val="Compact"/>
      </w:pPr>
      <w:r>
        <w:t xml:space="preserve">2011 · Bogdanov EI ·</w:t>
      </w:r>
      <w:r>
        <w:t xml:space="preserve"> </w:t>
      </w:r>
      <w:r>
        <w:rPr>
          <w:iCs/>
          <w:i/>
        </w:rPr>
        <w:t xml:space="preserve">Zh Nevrol Psikhiatr Im S S Korsakova</w:t>
      </w:r>
      <w:r>
        <w:t xml:space="preserve"> </w:t>
      </w:r>
      <w:r>
        <w:t xml:space="preserve">· [Efficiency of cerebrolysin in the diabetic polyneuropathy in patients with insulin-dependency diabetes mellitus]. PMID 21350421</w:t>
      </w:r>
    </w:p>
    <w:p>
      <w:pPr>
        <w:numPr>
          <w:ilvl w:val="0"/>
          <w:numId w:val="1407"/>
        </w:numPr>
        <w:pStyle w:val="Compact"/>
      </w:pPr>
      <w:r>
        <w:t xml:space="preserve">2011 · Guekht AB ·</w:t>
      </w:r>
      <w:r>
        <w:t xml:space="preserve"> </w:t>
      </w:r>
      <w:r>
        <w:rPr>
          <w:iCs/>
          <w:i/>
        </w:rPr>
        <w:t xml:space="preserve">J Stroke Cerebrovasc Dis</w:t>
      </w:r>
      <w:r>
        <w:t xml:space="preserve"> </w:t>
      </w:r>
      <w:r>
        <w:t xml:space="preserve">· Cerebrolysin in vascular dementia: improvement of clinical outcome in a randomized, double-blind, placebo-controlled multicenter trial. PMID 20656516</w:t>
      </w:r>
    </w:p>
    <w:p>
      <w:pPr>
        <w:numPr>
          <w:ilvl w:val="0"/>
          <w:numId w:val="1407"/>
        </w:numPr>
        <w:pStyle w:val="Compact"/>
      </w:pPr>
      <w:r>
        <w:t xml:space="preserve">2011 · Alvarez XA ·</w:t>
      </w:r>
      <w:r>
        <w:t xml:space="preserve"> </w:t>
      </w:r>
      <w:r>
        <w:rPr>
          <w:iCs/>
          <w:i/>
        </w:rPr>
        <w:t xml:space="preserve">Eur J Neurol</w:t>
      </w:r>
      <w:r>
        <w:t xml:space="preserve"> </w:t>
      </w:r>
      <w:r>
        <w:t xml:space="preserve">· Efficacy and safety of Cerebrolysin in moderate to moderately severe Alzheimer’s disease: results of a randomized, double-blind, controlled trial investigating three dosages of Cerebrolysin. PMID 20500802</w:t>
      </w:r>
    </w:p>
    <w:p>
      <w:pPr>
        <w:numPr>
          <w:ilvl w:val="0"/>
          <w:numId w:val="1407"/>
        </w:numPr>
        <w:pStyle w:val="Compact"/>
      </w:pPr>
      <w:r>
        <w:t xml:space="preserve">2010 · Shamalov NA ·</w:t>
      </w:r>
      <w:r>
        <w:t xml:space="preserve"> </w:t>
      </w:r>
      <w:r>
        <w:rPr>
          <w:iCs/>
          <w:i/>
        </w:rPr>
        <w:t xml:space="preserve">Zh Nevrol Psikhiatr Im S S Korsakova</w:t>
      </w:r>
      <w:r>
        <w:t xml:space="preserve"> </w:t>
      </w:r>
      <w:r>
        <w:t xml:space="preserve">· [The effect of cerebrolysin in dosage 50 ml on the volume of lesion in ischemic stroke]. PMID 21626816</w:t>
      </w:r>
    </w:p>
    <w:p>
      <w:pPr>
        <w:numPr>
          <w:ilvl w:val="0"/>
          <w:numId w:val="1407"/>
        </w:numPr>
        <w:pStyle w:val="Compact"/>
      </w:pPr>
      <w:r>
        <w:t xml:space="preserve">2010 · Iznak EV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21322822</w:t>
      </w:r>
    </w:p>
    <w:p>
      <w:pPr>
        <w:numPr>
          <w:ilvl w:val="0"/>
          <w:numId w:val="1407"/>
        </w:numPr>
        <w:pStyle w:val="Compact"/>
      </w:pPr>
      <w:r>
        <w:t xml:space="preserve">2010 · Bajenaru O ·</w:t>
      </w:r>
      <w:r>
        <w:t xml:space="preserve"> </w:t>
      </w:r>
      <w:r>
        <w:rPr>
          <w:iCs/>
          <w:i/>
        </w:rPr>
        <w:t xml:space="preserve">J Med Life</w:t>
      </w:r>
      <w:r>
        <w:t xml:space="preserve"> </w:t>
      </w:r>
      <w:r>
        <w:t xml:space="preserve">· Efficacy and safety of Cerebrolysin in patients with hemorrhagic stroke. PMID 20968198</w:t>
      </w:r>
    </w:p>
    <w:p>
      <w:pPr>
        <w:numPr>
          <w:ilvl w:val="0"/>
          <w:numId w:val="1407"/>
        </w:numPr>
        <w:pStyle w:val="Compact"/>
      </w:pPr>
      <w:r>
        <w:t xml:space="preserve">2010 · Jianu DC ·</w:t>
      </w:r>
      <w:r>
        <w:t xml:space="preserve"> </w:t>
      </w:r>
      <w:r>
        <w:rPr>
          <w:iCs/>
          <w:i/>
        </w:rPr>
        <w:t xml:space="preserve">J Med Life</w:t>
      </w:r>
      <w:r>
        <w:t xml:space="preserve"> </w:t>
      </w:r>
      <w:r>
        <w:t xml:space="preserve">· Cerebrolysin adjuvant treatment in Broca’s aphasics following first acute ischemic stroke of the left middle cerebral artery. PMID 20945821</w:t>
      </w:r>
    </w:p>
    <w:p>
      <w:pPr>
        <w:numPr>
          <w:ilvl w:val="0"/>
          <w:numId w:val="1407"/>
        </w:numPr>
        <w:pStyle w:val="Compact"/>
      </w:pPr>
      <w:r>
        <w:t xml:space="preserve">2010 · Muresanu DF ·</w:t>
      </w:r>
      <w:r>
        <w:t xml:space="preserve"> </w:t>
      </w:r>
      <w:r>
        <w:rPr>
          <w:iCs/>
          <w:i/>
        </w:rPr>
        <w:t xml:space="preserve">J Neurol Sci</w:t>
      </w:r>
      <w:r>
        <w:t xml:space="preserve"> </w:t>
      </w:r>
      <w:r>
        <w:t xml:space="preserve">· Persistence of the effects of Cerebrolysin on cognition and qEEG slowing in vascular dementia patients: results of a 3-month extension study. PMID 20923712</w:t>
      </w:r>
    </w:p>
    <w:p>
      <w:pPr>
        <w:numPr>
          <w:ilvl w:val="0"/>
          <w:numId w:val="1407"/>
        </w:numPr>
        <w:pStyle w:val="Compact"/>
      </w:pPr>
      <w:r>
        <w:t xml:space="preserve">2010 · ·</w:t>
      </w:r>
      <w:r>
        <w:t xml:space="preserve"> </w:t>
      </w:r>
      <w:r>
        <w:rPr>
          <w:iCs/>
          <w:i/>
        </w:rPr>
        <w:t xml:space="preserve">Zh Nevrol Psikhiatr Im S S Korsakova</w:t>
      </w:r>
      <w:r>
        <w:t xml:space="preserve"> </w:t>
      </w:r>
      <w:r>
        <w:t xml:space="preserve">· [Electrophysiological correlates of efficacy of nootropic drugs in the treatment of consequences of traumatic brain injury in adolescents]. PMID 20559264</w:t>
      </w:r>
    </w:p>
    <w:p>
      <w:pPr>
        <w:numPr>
          <w:ilvl w:val="0"/>
          <w:numId w:val="1407"/>
        </w:numPr>
        <w:pStyle w:val="Compact"/>
      </w:pPr>
      <w:r>
        <w:t xml:space="preserve">2010 · Gavrilova SI ·</w:t>
      </w:r>
      <w:r>
        <w:t xml:space="preserve"> </w:t>
      </w:r>
      <w:r>
        <w:rPr>
          <w:iCs/>
          <w:i/>
        </w:rPr>
        <w:t xml:space="preserve">Zh Nevrol Psikhiatr Im S S Korsakova</w:t>
      </w:r>
      <w:r>
        <w:t xml:space="preserve"> </w:t>
      </w:r>
      <w:r>
        <w:t xml:space="preserve">· [Possibilities of preventive treatment of Alzheimer’s disease: results of the 3-year open prospective comparative study on efficacy and safety of the course therapy with cerebrolysin and cavinton in elderly patients with the syndrome of mild cognitive impairment]. PMID 20436440</w:t>
      </w:r>
    </w:p>
    <w:p>
      <w:pPr>
        <w:numPr>
          <w:ilvl w:val="0"/>
          <w:numId w:val="1407"/>
        </w:numPr>
        <w:pStyle w:val="Compact"/>
      </w:pPr>
      <w:r>
        <w:t xml:space="preserve">2009 · Hong Z ·</w:t>
      </w:r>
      <w:r>
        <w:t xml:space="preserve"> </w:t>
      </w:r>
      <w:r>
        <w:rPr>
          <w:iCs/>
          <w:i/>
        </w:rPr>
        <w:t xml:space="preserve">Int J Stroke</w:t>
      </w:r>
      <w:r>
        <w:t xml:space="preserve"> </w:t>
      </w:r>
      <w:r>
        <w:t xml:space="preserve">· A double-blind, placebo-controlled, randomized trial to evaluate the safety and efficacy of Cerebrolysin in patients with acute ischaemic stroke in Asia–CASTA. PMID 19765131</w:t>
      </w:r>
    </w:p>
    <w:p>
      <w:pPr>
        <w:numPr>
          <w:ilvl w:val="0"/>
          <w:numId w:val="1407"/>
        </w:numPr>
        <w:pStyle w:val="Compact"/>
      </w:pPr>
      <w:r>
        <w:t xml:space="preserve">2009 · Alvarez XA ·</w:t>
      </w:r>
      <w:r>
        <w:t xml:space="preserve"> </w:t>
      </w:r>
      <w:r>
        <w:rPr>
          <w:iCs/>
          <w:i/>
        </w:rPr>
        <w:t xml:space="preserve">Int J Neuropsychopharmacol</w:t>
      </w:r>
      <w:r>
        <w:t xml:space="preserve"> </w:t>
      </w:r>
      <w:r>
        <w:t xml:space="preserve">· Reduced TNF-α and increased IGF-I levels in the serum of Alzheimer’s disease patients treated with the neurotrophic agent cerebrolysin. PMID 19531281</w:t>
      </w:r>
    </w:p>
    <w:p>
      <w:pPr>
        <w:numPr>
          <w:ilvl w:val="0"/>
          <w:numId w:val="1407"/>
        </w:numPr>
        <w:pStyle w:val="Compact"/>
      </w:pPr>
      <w:r>
        <w:t xml:space="preserve">2009 · Maksimova MIu ·</w:t>
      </w:r>
      <w:r>
        <w:t xml:space="preserve"> </w:t>
      </w:r>
      <w:r>
        <w:rPr>
          <w:iCs/>
          <w:i/>
        </w:rPr>
        <w:t xml:space="preserve">Zh Nevrol Psikhiatr Im S S Korsakova</w:t>
      </w:r>
      <w:r>
        <w:t xml:space="preserve"> </w:t>
      </w:r>
      <w:r>
        <w:t xml:space="preserve">· [Effectiveness of cerebrolysin in hypertensive supratentorial intracranial hemorrhages: results of a randomized triple blind placebo-controled study]. PMID 19156082</w:t>
      </w:r>
    </w:p>
    <w:p>
      <w:pPr>
        <w:numPr>
          <w:ilvl w:val="0"/>
          <w:numId w:val="1407"/>
        </w:numPr>
        <w:pStyle w:val="Compact"/>
      </w:pPr>
      <w:r>
        <w:t xml:space="preserve">2008 · Kul’chikov AE ·</w:t>
      </w:r>
      <w:r>
        <w:t xml:space="preserve"> </w:t>
      </w:r>
      <w:r>
        <w:rPr>
          <w:iCs/>
          <w:i/>
        </w:rPr>
        <w:t xml:space="preserve">Eksp Klin Farmakol</w:t>
      </w:r>
      <w:r>
        <w:t xml:space="preserve"> </w:t>
      </w:r>
      <w:r>
        <w:t xml:space="preserve">· [Neuroimmunocorrection therapy for the prophylaxis of infectious complications in acute stroke patients]. PMID 19140514</w:t>
      </w:r>
    </w:p>
    <w:p>
      <w:pPr>
        <w:numPr>
          <w:ilvl w:val="0"/>
          <w:numId w:val="1407"/>
        </w:numPr>
        <w:pStyle w:val="Compact"/>
      </w:pPr>
      <w:r>
        <w:t xml:space="preserve">2008 · Serkina EV ·</w:t>
      </w:r>
      <w:r>
        <w:t xml:space="preserve"> </w:t>
      </w:r>
      <w:r>
        <w:rPr>
          <w:iCs/>
          <w:i/>
        </w:rPr>
        <w:t xml:space="preserve">Zh Nevrol Psikhiatr Im S S Korsakova</w:t>
      </w:r>
      <w:r>
        <w:t xml:space="preserve"> </w:t>
      </w:r>
      <w:r>
        <w:t xml:space="preserve">· [Cerebrolysin alleviates perinatal CNS disorders through the autoimmune modulation and antioxidant protection]. PMID 19008804</w:t>
      </w:r>
    </w:p>
    <w:p>
      <w:pPr>
        <w:numPr>
          <w:ilvl w:val="0"/>
          <w:numId w:val="1407"/>
        </w:numPr>
        <w:pStyle w:val="Compact"/>
      </w:pPr>
      <w:r>
        <w:t xml:space="preserve">2008 · Damulin IV ·</w:t>
      </w:r>
      <w:r>
        <w:t xml:space="preserve"> </w:t>
      </w:r>
      <w:r>
        <w:rPr>
          <w:iCs/>
          <w:i/>
        </w:rPr>
        <w:t xml:space="preserve">Neurosci Behav Physiol</w:t>
      </w:r>
      <w:r>
        <w:t xml:space="preserve"> </w:t>
      </w:r>
      <w:r>
        <w:t xml:space="preserve">· Effects of cerebrolysin on moderate cognitive impairments in cerebral vascular insufficiency (a clinical-electrophysiological study). PMID 18607744</w:t>
      </w:r>
    </w:p>
    <w:p>
      <w:pPr>
        <w:numPr>
          <w:ilvl w:val="0"/>
          <w:numId w:val="1407"/>
        </w:numPr>
        <w:pStyle w:val="Compact"/>
      </w:pPr>
      <w:r>
        <w:t xml:space="preserve">2008 · Alvarez XA ·</w:t>
      </w:r>
      <w:r>
        <w:t xml:space="preserve"> </w:t>
      </w:r>
      <w:r>
        <w:rPr>
          <w:iCs/>
          <w:i/>
        </w:rPr>
        <w:t xml:space="preserve">J Neural Transm (Vienna)</w:t>
      </w:r>
      <w:r>
        <w:t xml:space="preserve"> </w:t>
      </w:r>
      <w:r>
        <w:t xml:space="preserve">· Reductions in qEEG slowing over 1 year and after treatment with Cerebrolysin in patients with moderate-severe traumatic brain injury. PMID 18273537</w:t>
      </w:r>
    </w:p>
    <w:p>
      <w:pPr>
        <w:numPr>
          <w:ilvl w:val="0"/>
          <w:numId w:val="1407"/>
        </w:numPr>
        <w:pStyle w:val="Compact"/>
      </w:pPr>
      <w:r>
        <w:t xml:space="preserve">2008 · Muresanu DF ·</w:t>
      </w:r>
      <w:r>
        <w:t xml:space="preserve"> </w:t>
      </w:r>
      <w:r>
        <w:rPr>
          <w:iCs/>
          <w:i/>
        </w:rPr>
        <w:t xml:space="preserve">J Neurol Sci</w:t>
      </w:r>
      <w:r>
        <w:t xml:space="preserve"> </w:t>
      </w:r>
      <w:r>
        <w:t xml:space="preserve">· A pilot study to evaluate the effects of Cerebrolysin on cognition and qEEG in vascular dementia: cognitive improvement correlates with qEEG acceleration. PMID 18048059</w:t>
      </w:r>
    </w:p>
    <w:p>
      <w:pPr>
        <w:numPr>
          <w:ilvl w:val="0"/>
          <w:numId w:val="1407"/>
        </w:numPr>
        <w:pStyle w:val="Compact"/>
      </w:pPr>
      <w:r>
        <w:t xml:space="preserve">2007 · Damulin IV ·</w:t>
      </w:r>
      <w:r>
        <w:t xml:space="preserve"> </w:t>
      </w:r>
      <w:r>
        <w:rPr>
          <w:iCs/>
          <w:i/>
        </w:rPr>
        <w:t xml:space="preserve">Zh Nevrol Psikhiatr Im S S Korsakova</w:t>
      </w:r>
      <w:r>
        <w:t xml:space="preserve"> </w:t>
      </w:r>
      <w:r>
        <w:t xml:space="preserve">· [The effect of cerebrolysin on moderate cognitive impairment in cerebral vascular insufficiency (a clinical and electrophysiological study)]. PMID 18379494</w:t>
      </w:r>
    </w:p>
    <w:p>
      <w:pPr>
        <w:numPr>
          <w:ilvl w:val="0"/>
          <w:numId w:val="1407"/>
        </w:numPr>
        <w:pStyle w:val="Compact"/>
      </w:pPr>
      <w:r>
        <w:t xml:space="preserve">2006 · Skwortsova VI ·</w:t>
      </w:r>
      <w:r>
        <w:t xml:space="preserve"> </w:t>
      </w:r>
      <w:r>
        <w:rPr>
          <w:iCs/>
          <w:i/>
        </w:rPr>
        <w:t xml:space="preserve">Zh Nevrol Psikhiatr Im S S Korsakova</w:t>
      </w:r>
      <w:r>
        <w:t xml:space="preserve"> </w:t>
      </w:r>
      <w:r>
        <w:t xml:space="preserve">· [Results of the multicenter prospective study of cerebrolysin safety and efficacy in acute stroke]. PMID 18196634</w:t>
      </w:r>
    </w:p>
    <w:p>
      <w:pPr>
        <w:numPr>
          <w:ilvl w:val="0"/>
          <w:numId w:val="1407"/>
        </w:numPr>
        <w:pStyle w:val="Compact"/>
      </w:pPr>
      <w:r>
        <w:t xml:space="preserve">2006 · Skorokhodov AP ·</w:t>
      </w:r>
      <w:r>
        <w:t xml:space="preserve"> </w:t>
      </w:r>
      <w:r>
        <w:rPr>
          <w:iCs/>
          <w:i/>
        </w:rPr>
        <w:t xml:space="preserve">Zh Nevrol Psikhiatr Im S S Korsakova</w:t>
      </w:r>
      <w:r>
        <w:t xml:space="preserve"> </w:t>
      </w:r>
      <w:r>
        <w:t xml:space="preserve">· [Comparative analysis of efficacy of certain neuroprotectors in ischemic stroke]. PMID 18193579</w:t>
      </w:r>
    </w:p>
    <w:p>
      <w:pPr>
        <w:numPr>
          <w:ilvl w:val="0"/>
          <w:numId w:val="1407"/>
        </w:numPr>
        <w:pStyle w:val="Compact"/>
      </w:pPr>
      <w:r>
        <w:t xml:space="preserve">2006 · Gaĭtetdinova DD ·</w:t>
      </w:r>
      <w:r>
        <w:t xml:space="preserve"> </w:t>
      </w:r>
      <w:r>
        <w:rPr>
          <w:iCs/>
          <w:i/>
        </w:rPr>
        <w:t xml:space="preserve">Eksp Klin Farmakol</w:t>
      </w:r>
      <w:r>
        <w:t xml:space="preserve"> </w:t>
      </w:r>
      <w:r>
        <w:t xml:space="preserve">· [Clastogenic, aneugenic, pro- and antioxidant properties of some neurotropic preparations]. PMID 16878503</w:t>
      </w:r>
    </w:p>
    <w:p>
      <w:pPr>
        <w:numPr>
          <w:ilvl w:val="0"/>
          <w:numId w:val="1407"/>
        </w:numPr>
        <w:pStyle w:val="Compact"/>
      </w:pPr>
      <w:r>
        <w:t xml:space="preserve">2006 · Radzivil MG ·</w:t>
      </w:r>
      <w:r>
        <w:t xml:space="preserve"> </w:t>
      </w:r>
      <w:r>
        <w:rPr>
          <w:iCs/>
          <w:i/>
        </w:rPr>
        <w:t xml:space="preserve">Zh Nevrol Psikhiatr Im S S Korsakova</w:t>
      </w:r>
      <w:r>
        <w:t xml:space="preserve"> </w:t>
      </w:r>
      <w:r>
        <w:t xml:space="preserve">· [An effect of long-term cerebrolysin therapy in combination with neuroleptics on behavioral and cognitive disturbances in endogenous childhood autism]. PMID 16548370</w:t>
      </w:r>
    </w:p>
    <w:p>
      <w:pPr>
        <w:numPr>
          <w:ilvl w:val="0"/>
          <w:numId w:val="1407"/>
        </w:numPr>
        <w:pStyle w:val="Compact"/>
      </w:pPr>
      <w:r>
        <w:t xml:space="preserve">2006 · Alvarez XA ·</w:t>
      </w:r>
      <w:r>
        <w:t xml:space="preserve"> </w:t>
      </w:r>
      <w:r>
        <w:rPr>
          <w:iCs/>
          <w:i/>
        </w:rPr>
        <w:t xml:space="preserve">Eur J Neurol</w:t>
      </w:r>
      <w:r>
        <w:t xml:space="preserve"> </w:t>
      </w:r>
      <w:r>
        <w:t xml:space="preserve">· A 24-week, double-blind, placebo-controlled study of three dosages of Cerebrolysin in patients with mild to moderate Alzheimer’s disease. PMID 16420392</w:t>
      </w:r>
    </w:p>
    <w:p>
      <w:pPr>
        <w:numPr>
          <w:ilvl w:val="0"/>
          <w:numId w:val="1407"/>
        </w:numPr>
        <w:pStyle w:val="Compact"/>
      </w:pPr>
      <w:r>
        <w:t xml:space="preserve">2005 · Wong GK ·</w:t>
      </w:r>
      <w:r>
        <w:t xml:space="preserve"> </w:t>
      </w:r>
      <w:r>
        <w:rPr>
          <w:iCs/>
          <w:i/>
        </w:rPr>
        <w:t xml:space="preserve">Acta Neurochir Suppl</w:t>
      </w:r>
      <w:r>
        <w:t xml:space="preserve"> </w:t>
      </w:r>
      <w:r>
        <w:t xml:space="preserve">· Beneficial effect of cerebrolysin on moderate and severe head injury patients: result of a cohort study. PMID 16463821</w:t>
      </w:r>
    </w:p>
    <w:p>
      <w:pPr>
        <w:numPr>
          <w:ilvl w:val="0"/>
          <w:numId w:val="1407"/>
        </w:numPr>
        <w:pStyle w:val="Compact"/>
      </w:pPr>
      <w:r>
        <w:t xml:space="preserve">2005 · Gavrilova SI ·</w:t>
      </w:r>
      <w:r>
        <w:t xml:space="preserve"> </w:t>
      </w:r>
      <w:r>
        <w:rPr>
          <w:iCs/>
          <w:i/>
        </w:rPr>
        <w:t xml:space="preserve">Zh Nevrol Psikhiatr Im S S Korsakova</w:t>
      </w:r>
      <w:r>
        <w:t xml:space="preserve"> </w:t>
      </w:r>
      <w:r>
        <w:t xml:space="preserve">· [ApoE genotype and efficacy of neurotrophic and cholinergic therapy in Alzheimer’s disease]. PMID 15880838</w:t>
      </w:r>
    </w:p>
    <w:p>
      <w:pPr>
        <w:numPr>
          <w:ilvl w:val="0"/>
          <w:numId w:val="1407"/>
        </w:numPr>
        <w:pStyle w:val="Compact"/>
      </w:pPr>
      <w:r>
        <w:t xml:space="preserve">2005 · Crook TH ·</w:t>
      </w:r>
      <w:r>
        <w:t xml:space="preserve"> </w:t>
      </w:r>
      <w:r>
        <w:rPr>
          <w:iCs/>
          <w:i/>
        </w:rPr>
        <w:t xml:space="preserve">Int Clin Psychopharmacol</w:t>
      </w:r>
      <w:r>
        <w:t xml:space="preserve"> </w:t>
      </w:r>
      <w:r>
        <w:t xml:space="preserve">· Effects of N-PEP-12 on memory among older adults. PMID 15729085</w:t>
      </w:r>
    </w:p>
    <w:p>
      <w:pPr>
        <w:numPr>
          <w:ilvl w:val="0"/>
          <w:numId w:val="1407"/>
        </w:numPr>
        <w:pStyle w:val="Compact"/>
      </w:pPr>
      <w:r>
        <w:t xml:space="preserve">2005 · Roshchina IF ·</w:t>
      </w:r>
      <w:r>
        <w:t xml:space="preserve"> </w:t>
      </w:r>
      <w:r>
        <w:rPr>
          <w:iCs/>
          <w:i/>
        </w:rPr>
        <w:t xml:space="preserve">Zh Nevrol Psikhiatr Im S S Korsakova</w:t>
      </w:r>
      <w:r>
        <w:t xml:space="preserve"> </w:t>
      </w:r>
      <w:r>
        <w:t xml:space="preserve">· [Neuropsychological evaluation of long-term therapy of Alzheimer’s disease using different cerebrolysin dosages]. PMID 15704485</w:t>
      </w:r>
    </w:p>
    <w:p>
      <w:pPr>
        <w:numPr>
          <w:ilvl w:val="0"/>
          <w:numId w:val="1407"/>
        </w:numPr>
        <w:pStyle w:val="Compact"/>
      </w:pPr>
      <w:r>
        <w:t xml:space="preserve">2005 · Chukanova EI ·</w:t>
      </w:r>
      <w:r>
        <w:t xml:space="preserve"> </w:t>
      </w:r>
      <w:r>
        <w:rPr>
          <w:iCs/>
          <w:i/>
        </w:rPr>
        <w:t xml:space="preserve">Zh Nevrol Psikhiatr Im S S Korsakova</w:t>
      </w:r>
      <w:r>
        <w:t xml:space="preserve"> </w:t>
      </w:r>
      <w:r>
        <w:t xml:space="preserve">· [The effect of cerebrolysin on the clinical symptoms and the course of ischemic encephalopathy]. PMID 15704482</w:t>
      </w:r>
    </w:p>
    <w:p>
      <w:pPr>
        <w:numPr>
          <w:ilvl w:val="0"/>
          <w:numId w:val="1407"/>
        </w:numPr>
        <w:pStyle w:val="Compact"/>
      </w:pPr>
      <w:r>
        <w:t xml:space="preserve">2005 · Ladurner G ·</w:t>
      </w:r>
      <w:r>
        <w:t xml:space="preserve"> </w:t>
      </w:r>
      <w:r>
        <w:rPr>
          <w:iCs/>
          <w:i/>
        </w:rPr>
        <w:t xml:space="preserve">J Neural Transm (Vienna)</w:t>
      </w:r>
      <w:r>
        <w:t xml:space="preserve"> </w:t>
      </w:r>
      <w:r>
        <w:t xml:space="preserve">· Neuroprotective treatment with cerebrolysin in patients with acute stroke: a randomised controlled trial. PMID 15583955</w:t>
      </w:r>
    </w:p>
    <w:p>
      <w:pPr>
        <w:numPr>
          <w:ilvl w:val="0"/>
          <w:numId w:val="1407"/>
        </w:numPr>
        <w:pStyle w:val="Compact"/>
      </w:pPr>
      <w:r>
        <w:t xml:space="preserve">2004 · Skvortsova VI ·</w:t>
      </w:r>
      <w:r>
        <w:t xml:space="preserve"> </w:t>
      </w:r>
      <w:r>
        <w:rPr>
          <w:iCs/>
          <w:i/>
        </w:rPr>
        <w:t xml:space="preserve">Zh Nevrol Psikhiatr Im S S Korsakova</w:t>
      </w:r>
      <w:r>
        <w:t xml:space="preserve"> </w:t>
      </w:r>
      <w:r>
        <w:t xml:space="preserve">· [A randomized, double-blind, placebo-controlled study of Cerebrolysin safety and efficacy in the treatment of acute ischemic stroke]. PMID 15559222</w:t>
      </w:r>
    </w:p>
    <w:p>
      <w:pPr>
        <w:numPr>
          <w:ilvl w:val="0"/>
          <w:numId w:val="1407"/>
        </w:numPr>
        <w:pStyle w:val="Compact"/>
      </w:pPr>
      <w:r>
        <w:t xml:space="preserve">2003 · Alvarez XA ·</w:t>
      </w:r>
      <w:r>
        <w:t xml:space="preserve"> </w:t>
      </w:r>
      <w:r>
        <w:rPr>
          <w:iCs/>
          <w:i/>
        </w:rPr>
        <w:t xml:space="preserve">Int Clin Psychopharmacol</w:t>
      </w:r>
      <w:r>
        <w:t xml:space="preserve"> </w:t>
      </w:r>
      <w:r>
        <w:t xml:space="preserve">· Positive effects of cerebrolysin on electroencephalogram slowing, cognition and clinical outcome in patients with postacute traumatic brain injury: an exploratory study. PMID 12920387</w:t>
      </w:r>
    </w:p>
    <w:p>
      <w:pPr>
        <w:numPr>
          <w:ilvl w:val="0"/>
          <w:numId w:val="1407"/>
        </w:numPr>
        <w:pStyle w:val="Compact"/>
      </w:pPr>
      <w:r>
        <w:t xml:space="preserve">2002 · Muresanu DF ·</w:t>
      </w:r>
      <w:r>
        <w:t xml:space="preserve"> </w:t>
      </w:r>
      <w:r>
        <w:rPr>
          <w:iCs/>
          <w:i/>
        </w:rPr>
        <w:t xml:space="preserve">J Neural Transm Suppl</w:t>
      </w:r>
      <w:r>
        <w:t xml:space="preserve"> </w:t>
      </w:r>
      <w:r>
        <w:t xml:space="preserve">· Improved global function and activities of daily living in patients with AD: a placebo-controlled clinical study with the neurotrophic agent Cerebrolysin. PMID 12456070</w:t>
      </w:r>
    </w:p>
    <w:p>
      <w:pPr>
        <w:numPr>
          <w:ilvl w:val="0"/>
          <w:numId w:val="1407"/>
        </w:numPr>
        <w:pStyle w:val="Compact"/>
      </w:pPr>
      <w:r>
        <w:t xml:space="preserve">2002 · Ruether E ·</w:t>
      </w:r>
      <w:r>
        <w:t xml:space="preserve"> </w:t>
      </w:r>
      <w:r>
        <w:rPr>
          <w:iCs/>
          <w:i/>
        </w:rPr>
        <w:t xml:space="preserve">J Neural Transm Suppl</w:t>
      </w:r>
      <w:r>
        <w:t xml:space="preserve"> </w:t>
      </w:r>
      <w:r>
        <w:t xml:space="preserve">· Sustained improvement of cognition and global function in patients with moderately severe Alzheimer’s disease: a double-blind, placebo-controlled study with the neurotrophic agent Cerebrolysin. PMID 12456069</w:t>
      </w:r>
    </w:p>
    <w:p>
      <w:pPr>
        <w:numPr>
          <w:ilvl w:val="0"/>
          <w:numId w:val="1407"/>
        </w:numPr>
        <w:pStyle w:val="Compact"/>
      </w:pPr>
      <w:r>
        <w:t xml:space="preserve">2002 · Odinak MM ·</w:t>
      </w:r>
      <w:r>
        <w:t xml:space="preserve"> </w:t>
      </w:r>
      <w:r>
        <w:rPr>
          <w:iCs/>
          <w:i/>
        </w:rPr>
        <w:t xml:space="preserve">Zh Nevrol Psikhiatr Im S S Korsakova</w:t>
      </w:r>
      <w:r>
        <w:t xml:space="preserve"> </w:t>
      </w:r>
      <w:r>
        <w:t xml:space="preserve">· [New approaches to antioxidant therapy in multiple sclerosis]. PMID 12418396</w:t>
      </w:r>
    </w:p>
    <w:p>
      <w:pPr>
        <w:numPr>
          <w:ilvl w:val="0"/>
          <w:numId w:val="1407"/>
        </w:numPr>
        <w:pStyle w:val="Compact"/>
      </w:pPr>
      <w:r>
        <w:t xml:space="preserve">2002 · Panisset M ·</w:t>
      </w:r>
      <w:r>
        <w:t xml:space="preserve"> </w:t>
      </w:r>
      <w:r>
        <w:rPr>
          <w:iCs/>
          <w:i/>
        </w:rPr>
        <w:t xml:space="preserve">J Neural Transm (Vienna)</w:t>
      </w:r>
      <w:r>
        <w:t xml:space="preserve"> </w:t>
      </w:r>
      <w:r>
        <w:t xml:space="preserve">· Cerebrolysin in Alzheimer’s disease: a randomized, double-blind, placebo-controlled trial with a neurotrophic agent. PMID 12111446</w:t>
      </w:r>
    </w:p>
    <w:p>
      <w:pPr>
        <w:numPr>
          <w:ilvl w:val="0"/>
          <w:numId w:val="1407"/>
        </w:numPr>
        <w:pStyle w:val="Compact"/>
      </w:pPr>
      <w:r>
        <w:t xml:space="preserve">2001 · Gorbachevskaya N ·</w:t>
      </w:r>
      <w:r>
        <w:t xml:space="preserve"> </w:t>
      </w:r>
      <w:r>
        <w:rPr>
          <w:iCs/>
          <w:i/>
        </w:rPr>
        <w:t xml:space="preserve">Brain Dev</w:t>
      </w:r>
      <w:r>
        <w:t xml:space="preserve"> </w:t>
      </w:r>
      <w:r>
        <w:t xml:space="preserve">· Cerebrolysin therapy in Rett syndrome: clinical and EEG mapping study. PMID 11738849</w:t>
      </w:r>
    </w:p>
    <w:p>
      <w:pPr>
        <w:numPr>
          <w:ilvl w:val="0"/>
          <w:numId w:val="1407"/>
        </w:numPr>
        <w:pStyle w:val="Compact"/>
      </w:pPr>
      <w:r>
        <w:t xml:space="preserve">2001 · Ruether E ·</w:t>
      </w:r>
      <w:r>
        <w:t xml:space="preserve"> </w:t>
      </w:r>
      <w:r>
        <w:rPr>
          <w:iCs/>
          <w:i/>
        </w:rPr>
        <w:t xml:space="preserve">Int Clin Psychopharmacol</w:t>
      </w:r>
      <w:r>
        <w:t xml:space="preserve"> </w:t>
      </w:r>
      <w:r>
        <w:t xml:space="preserve">· A 28-week, double-blind, placebo-controlled study with Cerebrolysin in patients with mild to moderate Alzheimer’s disease. PMID 11552768</w:t>
      </w:r>
    </w:p>
    <w:p>
      <w:pPr>
        <w:numPr>
          <w:ilvl w:val="0"/>
          <w:numId w:val="1407"/>
        </w:numPr>
        <w:pStyle w:val="Compact"/>
      </w:pPr>
      <w:r>
        <w:t xml:space="preserve">2001 · Vereshchagin NV ·</w:t>
      </w:r>
      <w:r>
        <w:t xml:space="preserve"> </w:t>
      </w:r>
      <w:r>
        <w:rPr>
          <w:iCs/>
          <w:i/>
        </w:rPr>
        <w:t xml:space="preserve">Ter Arkh</w:t>
      </w:r>
      <w:r>
        <w:t xml:space="preserve"> </w:t>
      </w:r>
      <w:r>
        <w:t xml:space="preserve">· [Treatment and prevention of cognitive dysfunction in patients with arterial hypertension and atherosclerosis: results of a randomized double-blind placebo-controlled trial of cerebrolysin]. PMID 11494441</w:t>
      </w:r>
    </w:p>
    <w:p>
      <w:pPr>
        <w:numPr>
          <w:ilvl w:val="0"/>
          <w:numId w:val="1407"/>
        </w:numPr>
        <w:pStyle w:val="Compact"/>
      </w:pPr>
      <w:r>
        <w:t xml:space="preserve">2000 · Bae CY ·</w:t>
      </w:r>
      <w:r>
        <w:t xml:space="preserve"> </w:t>
      </w:r>
      <w:r>
        <w:rPr>
          <w:iCs/>
          <w:i/>
        </w:rPr>
        <w:t xml:space="preserve">J Am Geriatr Soc</w:t>
      </w:r>
      <w:r>
        <w:t xml:space="preserve"> </w:t>
      </w:r>
      <w:r>
        <w:t xml:space="preserve">· A double-blind, placebo-controlled, multicenter study of Cerebrolysin for Alzheimer’s disease. PMID 11129744</w:t>
      </w:r>
    </w:p>
    <w:p>
      <w:pPr>
        <w:numPr>
          <w:ilvl w:val="0"/>
          <w:numId w:val="1407"/>
        </w:numPr>
        <w:pStyle w:val="Compact"/>
      </w:pPr>
      <w:r>
        <w:t xml:space="preserve">1999 · Roshchina IF ·</w:t>
      </w:r>
      <w:r>
        <w:t xml:space="preserve"> </w:t>
      </w:r>
      <w:r>
        <w:rPr>
          <w:iCs/>
          <w:i/>
        </w:rPr>
        <w:t xml:space="preserve">Zh Nevrol Psikhiatr Im S S Korsakova</w:t>
      </w:r>
      <w:r>
        <w:t xml:space="preserve"> </w:t>
      </w:r>
      <w:r>
        <w:t xml:space="preserve">· [The influence of cerebrolysin on the efficiency of subsequent therapy with amiridine++ in Alzheimer’s disease patients (neuropsychological investigation)]. PMID 10629930</w:t>
      </w:r>
    </w:p>
    <w:p>
      <w:pPr>
        <w:numPr>
          <w:ilvl w:val="0"/>
          <w:numId w:val="1407"/>
        </w:numPr>
        <w:pStyle w:val="Compact"/>
      </w:pPr>
      <w:r>
        <w:t xml:space="preserve">1998 · Gruzman AV ·</w:t>
      </w:r>
      <w:r>
        <w:t xml:space="preserve"> </w:t>
      </w:r>
      <w:r>
        <w:rPr>
          <w:iCs/>
          <w:i/>
        </w:rPr>
        <w:t xml:space="preserve">Zh Nevrol Psikhiatr Im S S Korsakova</w:t>
      </w:r>
      <w:r>
        <w:t xml:space="preserve"> </w:t>
      </w:r>
      <w:r>
        <w:t xml:space="preserve">· [The effect of cerebrolysin intravenous injections in resistant forms of night enuresis in children]. PMID 9845942</w:t>
      </w:r>
    </w:p>
    <w:p>
      <w:pPr>
        <w:numPr>
          <w:ilvl w:val="0"/>
          <w:numId w:val="1407"/>
        </w:numPr>
        <w:pStyle w:val="Compact"/>
      </w:pPr>
      <w:r>
        <w:t xml:space="preserve">1998 · Funke M ·</w:t>
      </w:r>
      <w:r>
        <w:t xml:space="preserve"> </w:t>
      </w:r>
      <w:r>
        <w:rPr>
          <w:iCs/>
          <w:i/>
        </w:rPr>
        <w:t xml:space="preserve">J Neural Transm Suppl</w:t>
      </w:r>
      <w:r>
        <w:t xml:space="preserve"> </w:t>
      </w:r>
      <w:r>
        <w:t xml:space="preserve">· Dose-dependent effects of Cerebrolysin on EEG and short-term memory of healthy volunteers during control and hyperventilation induced cerebral ischemia. PMID 9700674</w:t>
      </w:r>
    </w:p>
    <w:p>
      <w:pPr>
        <w:numPr>
          <w:ilvl w:val="0"/>
          <w:numId w:val="1407"/>
        </w:numPr>
        <w:pStyle w:val="Compact"/>
      </w:pPr>
      <w:r>
        <w:t xml:space="preserve">1997 · Biesenbach G ·</w:t>
      </w:r>
      <w:r>
        <w:t xml:space="preserve"> </w:t>
      </w:r>
      <w:r>
        <w:rPr>
          <w:iCs/>
          <w:i/>
        </w:rPr>
        <w:t xml:space="preserve">Wien Med Wochenschr</w:t>
      </w:r>
      <w:r>
        <w:t xml:space="preserve"> </w:t>
      </w:r>
      <w:r>
        <w:t xml:space="preserve">· [Cerebrolysin in treatment of painful diabetic neuropathy]. PMID 9173675</w:t>
      </w:r>
    </w:p>
    <w:p>
      <w:pPr>
        <w:numPr>
          <w:ilvl w:val="0"/>
          <w:numId w:val="1407"/>
        </w:numPr>
        <w:pStyle w:val="Compact"/>
      </w:pPr>
      <w:r>
        <w:t xml:space="preserve">1995 · Sidorenko EI ·</w:t>
      </w:r>
      <w:r>
        <w:t xml:space="preserve"> </w:t>
      </w:r>
      <w:r>
        <w:rPr>
          <w:iCs/>
          <w:i/>
        </w:rPr>
        <w:t xml:space="preserve">Zh Nevrol Psikhiatr Im S S Korsakova</w:t>
      </w:r>
      <w:r>
        <w:t xml:space="preserve"> </w:t>
      </w:r>
      <w:r>
        <w:t xml:space="preserve">· [Cerebrolysin in the treatment of partial optic atrophy in children]. PMID 7571926</w:t>
      </w:r>
    </w:p>
    <w:p>
      <w:pPr>
        <w:numPr>
          <w:ilvl w:val="0"/>
          <w:numId w:val="1407"/>
        </w:numPr>
        <w:pStyle w:val="Compact"/>
      </w:pPr>
      <w:r>
        <w:t xml:space="preserve">1994 · Rüther E ·</w:t>
      </w:r>
      <w:r>
        <w:t xml:space="preserve"> </w:t>
      </w:r>
      <w:r>
        <w:rPr>
          <w:iCs/>
          <w:i/>
        </w:rPr>
        <w:t xml:space="preserve">Pharmacopsychiatry</w:t>
      </w:r>
      <w:r>
        <w:t xml:space="preserve"> </w:t>
      </w:r>
      <w:r>
        <w:t xml:space="preserve">· Efficacy of the peptidergic nootropic drug cerebrolysin in patients with senile dementia of the Alzheimer type (SDAT). PMID 8159781</w:t>
      </w:r>
    </w:p>
    <w:p>
      <w:pPr>
        <w:numPr>
          <w:ilvl w:val="0"/>
          <w:numId w:val="1407"/>
        </w:numPr>
        <w:pStyle w:val="Compact"/>
      </w:pPr>
      <w:r>
        <w:t xml:space="preserve">1991 · Vereshchagin NV ·</w:t>
      </w:r>
      <w:r>
        <w:t xml:space="preserve"> </w:t>
      </w:r>
      <w:r>
        <w:rPr>
          <w:iCs/>
          <w:i/>
        </w:rPr>
        <w:t xml:space="preserve">Sov Med</w:t>
      </w:r>
      <w:r>
        <w:t xml:space="preserve"> </w:t>
      </w:r>
      <w:r>
        <w:t xml:space="preserve">· [Mild forms of multi-infarct dementia: effectiveness of cerebrolysin]. PMID 1767322</w:t>
      </w:r>
    </w:p>
    <w:p>
      <w:pPr>
        <w:numPr>
          <w:ilvl w:val="0"/>
          <w:numId w:val="1407"/>
        </w:numPr>
        <w:pStyle w:val="Compact"/>
      </w:pPr>
      <w:r>
        <w:t xml:space="preserve">1990 · Kofler B ·</w:t>
      </w:r>
      <w:r>
        <w:t xml:space="preserve"> </w:t>
      </w:r>
      <w:r>
        <w:rPr>
          <w:iCs/>
          <w:i/>
        </w:rPr>
        <w:t xml:space="preserve">EEG EMG Z Elektroenzephalogr Elektromyogr Verwandte Geb</w:t>
      </w:r>
      <w:r>
        <w:t xml:space="preserve"> </w:t>
      </w:r>
      <w:r>
        <w:t xml:space="preserve">· [The usefulness of event-related negativity in demonstrating the therapeutic effects of nootropic drugs using cerebrolysin as an example]. PMID 2123433</w:t>
      </w:r>
    </w:p>
    <w:bookmarkEnd w:id="3048"/>
    <w:bookmarkStart w:id="3049" w:name="dihexa-0"/>
    <w:p>
      <w:pPr>
        <w:pStyle w:val="Heading2"/>
      </w:pPr>
      <w:r>
        <w:t xml:space="preserve">Dihexa (0)</w:t>
      </w:r>
    </w:p>
    <w:p>
      <w:pPr>
        <w:pStyle w:val="FirstParagraph"/>
      </w:pPr>
      <w:r>
        <w:t xml:space="preserve">No publications of clinical studies in humans found.</w:t>
      </w:r>
    </w:p>
    <w:bookmarkEnd w:id="3049"/>
    <w:bookmarkStart w:id="3050" w:name="dsip-delta-sleepinducing-peptide-18"/>
    <w:p>
      <w:pPr>
        <w:pStyle w:val="Heading2"/>
      </w:pPr>
      <w:r>
        <w:t xml:space="preserve">DSIP (Delta Sleep–Inducing Peptide) (18)</w:t>
      </w:r>
    </w:p>
    <w:p>
      <w:pPr>
        <w:numPr>
          <w:ilvl w:val="0"/>
          <w:numId w:val="1408"/>
        </w:numPr>
        <w:pStyle w:val="Compact"/>
      </w:pPr>
      <w:r>
        <w:t xml:space="preserve">2016 · Zhao L ·</w:t>
      </w:r>
      <w:r>
        <w:t xml:space="preserve"> </w:t>
      </w:r>
      <w:r>
        <w:rPr>
          <w:iCs/>
          <w:i/>
        </w:rPr>
        <w:t xml:space="preserve">Eur Spine J</w:t>
      </w:r>
      <w:r>
        <w:t xml:space="preserve"> </w:t>
      </w:r>
      <w:r>
        <w:t xml:space="preserve">· An RCT study on the feasibility of anterior transpedicular screw fixation in the cervicothoracic junction. PMID 26931331</w:t>
      </w:r>
    </w:p>
    <w:p>
      <w:pPr>
        <w:numPr>
          <w:ilvl w:val="0"/>
          <w:numId w:val="1408"/>
        </w:numPr>
        <w:pStyle w:val="Compact"/>
      </w:pPr>
      <w:r>
        <w:t xml:space="preserve">2014 · Kresiun NV ·</w:t>
      </w:r>
      <w:r>
        <w:t xml:space="preserve"> </w:t>
      </w:r>
      <w:r>
        <w:rPr>
          <w:iCs/>
          <w:i/>
        </w:rPr>
        <w:t xml:space="preserve">Eksp Klin Farmakol</w:t>
      </w:r>
      <w:r>
        <w:t xml:space="preserve"> </w:t>
      </w:r>
      <w:r>
        <w:t xml:space="preserve">· [Using deltalicin for the treatment of patients with diabetic retinopathy]. PMID 25739189</w:t>
      </w:r>
    </w:p>
    <w:p>
      <w:pPr>
        <w:numPr>
          <w:ilvl w:val="0"/>
          <w:numId w:val="1408"/>
        </w:numPr>
        <w:pStyle w:val="Compact"/>
      </w:pPr>
      <w:r>
        <w:t xml:space="preserve">2009 · Pomfrett CJ ·</w:t>
      </w:r>
      <w:r>
        <w:t xml:space="preserve"> </w:t>
      </w:r>
      <w:r>
        <w:rPr>
          <w:iCs/>
          <w:i/>
        </w:rPr>
        <w:t xml:space="preserve">Eur J Anaesthesiol</w:t>
      </w:r>
      <w:r>
        <w:t xml:space="preserve"> </w:t>
      </w:r>
      <w:r>
        <w:t xml:space="preserve">· Delta sleep-inducing peptide alters bispectral index, the electroencephalogram and heart rate variability when used as an adjunct to isoflurane anaesthesia. PMID 19142086</w:t>
      </w:r>
    </w:p>
    <w:p>
      <w:pPr>
        <w:numPr>
          <w:ilvl w:val="0"/>
          <w:numId w:val="1408"/>
        </w:numPr>
        <w:pStyle w:val="Compact"/>
      </w:pPr>
      <w:r>
        <w:t xml:space="preserve">1998 · Backmund M ·</w:t>
      </w:r>
      <w:r>
        <w:t xml:space="preserve"> </w:t>
      </w:r>
      <w:r>
        <w:rPr>
          <w:iCs/>
          <w:i/>
        </w:rPr>
        <w:t xml:space="preserve">J Clin Psychopharmacol</w:t>
      </w:r>
      <w:r>
        <w:t xml:space="preserve"> </w:t>
      </w:r>
      <w:r>
        <w:t xml:space="preserve">· Opioid detoxification with delta sleep-inducing peptide: results of an open clinical trial. PMID 9617990</w:t>
      </w:r>
    </w:p>
    <w:p>
      <w:pPr>
        <w:numPr>
          <w:ilvl w:val="0"/>
          <w:numId w:val="1408"/>
        </w:numPr>
        <w:pStyle w:val="Compact"/>
      </w:pPr>
      <w:r>
        <w:t xml:space="preserve">1995 · Späth-Schwalbe E ·</w:t>
      </w:r>
      <w:r>
        <w:t xml:space="preserve"> </w:t>
      </w:r>
      <w:r>
        <w:rPr>
          <w:iCs/>
          <w:i/>
        </w:rPr>
        <w:t xml:space="preserve">Psychoneuroendocrinology</w:t>
      </w:r>
      <w:r>
        <w:t xml:space="preserve"> </w:t>
      </w:r>
      <w:r>
        <w:t xml:space="preserve">· Delta-sleep-inducing peptide does not affect CRH and meal-induced ACTH and cortisol secretion. PMID 7777652</w:t>
      </w:r>
    </w:p>
    <w:p>
      <w:pPr>
        <w:numPr>
          <w:ilvl w:val="0"/>
          <w:numId w:val="1408"/>
        </w:numPr>
        <w:pStyle w:val="Compact"/>
      </w:pPr>
      <w:r>
        <w:t xml:space="preserve">1994 · Schulz P ·</w:t>
      </w:r>
      <w:r>
        <w:t xml:space="preserve"> </w:t>
      </w:r>
      <w:r>
        <w:rPr>
          <w:iCs/>
          <w:i/>
        </w:rPr>
        <w:t xml:space="preserve">Chronobiol Int</w:t>
      </w:r>
      <w:r>
        <w:t xml:space="preserve"> </w:t>
      </w:r>
      <w:r>
        <w:t xml:space="preserve">· Plasma concentration of nine hormones and neurotransmitters during usual activities or constant bed rest for 34 H. PMID 7895296</w:t>
      </w:r>
    </w:p>
    <w:p>
      <w:pPr>
        <w:numPr>
          <w:ilvl w:val="0"/>
          <w:numId w:val="1408"/>
        </w:numPr>
        <w:pStyle w:val="Compact"/>
      </w:pPr>
      <w:r>
        <w:t xml:space="preserve">1994 · Chiodera P ·</w:t>
      </w:r>
      <w:r>
        <w:t xml:space="preserve"> </w:t>
      </w:r>
      <w:r>
        <w:rPr>
          <w:iCs/>
          <w:i/>
        </w:rPr>
        <w:t xml:space="preserve">Horm Res</w:t>
      </w:r>
      <w:r>
        <w:t xml:space="preserve"> </w:t>
      </w:r>
      <w:r>
        <w:t xml:space="preserve">· Different effects of delta-sleep-inducing peptide on arginine-vasopressin and ACTH secretion in normal men. PMID 7698722</w:t>
      </w:r>
    </w:p>
    <w:p>
      <w:pPr>
        <w:numPr>
          <w:ilvl w:val="0"/>
          <w:numId w:val="1408"/>
        </w:numPr>
        <w:pStyle w:val="Compact"/>
      </w:pPr>
      <w:r>
        <w:t xml:space="preserve">1993 · Giusti M ·</w:t>
      </w:r>
      <w:r>
        <w:t xml:space="preserve"> </w:t>
      </w:r>
      <w:r>
        <w:rPr>
          <w:iCs/>
          <w:i/>
        </w:rPr>
        <w:t xml:space="preserve">Psychoneuroendocrinology</w:t>
      </w:r>
      <w:r>
        <w:t xml:space="preserve"> </w:t>
      </w:r>
      <w:r>
        <w:t xml:space="preserve">· Delta sleep-inducing peptide administration does not influence growth hormone and prolactin secretion in normal women. PMID 8475226</w:t>
      </w:r>
    </w:p>
    <w:p>
      <w:pPr>
        <w:numPr>
          <w:ilvl w:val="0"/>
          <w:numId w:val="1408"/>
        </w:numPr>
        <w:pStyle w:val="Compact"/>
      </w:pPr>
      <w:r>
        <w:t xml:space="preserve">1992 · Bes F ·</w:t>
      </w:r>
      <w:r>
        <w:t xml:space="preserve"> </w:t>
      </w:r>
      <w:r>
        <w:rPr>
          <w:iCs/>
          <w:i/>
        </w:rPr>
        <w:t xml:space="preserve">Neuropsychobiology</w:t>
      </w:r>
      <w:r>
        <w:t xml:space="preserve"> </w:t>
      </w:r>
      <w:r>
        <w:t xml:space="preserve">· Effects of delta sleep-inducing peptide on sleep of chronic insomniac patients. A double-blind study. PMID 1299794</w:t>
      </w:r>
    </w:p>
    <w:p>
      <w:pPr>
        <w:numPr>
          <w:ilvl w:val="0"/>
          <w:numId w:val="1408"/>
        </w:numPr>
        <w:pStyle w:val="Compact"/>
      </w:pPr>
      <w:r>
        <w:t xml:space="preserve">1989 · Bjartell A ·</w:t>
      </w:r>
      <w:r>
        <w:t xml:space="preserve"> </w:t>
      </w:r>
      <w:r>
        <w:rPr>
          <w:iCs/>
          <w:i/>
        </w:rPr>
        <w:t xml:space="preserve">Psychoneuroendocrinology</w:t>
      </w:r>
      <w:r>
        <w:t xml:space="preserve"> </w:t>
      </w:r>
      <w:r>
        <w:t xml:space="preserve">· Reduction of immunoreactive ACTH in plasma following intravenous injection of delta sleep-inducing peptide in man. PMID 2554357</w:t>
      </w:r>
    </w:p>
    <w:p>
      <w:pPr>
        <w:numPr>
          <w:ilvl w:val="0"/>
          <w:numId w:val="1408"/>
        </w:numPr>
        <w:pStyle w:val="Compact"/>
      </w:pPr>
      <w:r>
        <w:t xml:space="preserve">1987 · Schneider-Helmert D ·</w:t>
      </w:r>
      <w:r>
        <w:t xml:space="preserve"> </w:t>
      </w:r>
      <w:r>
        <w:rPr>
          <w:iCs/>
          <w:i/>
        </w:rPr>
        <w:t xml:space="preserve">Eur Neurol</w:t>
      </w:r>
      <w:r>
        <w:t xml:space="preserve"> </w:t>
      </w:r>
      <w:r>
        <w:t xml:space="preserve">· Effects of delta-sleep-inducing peptide on 24-hour sleep-wake behaviour in severe chronic insomnia. PMID 3622582</w:t>
      </w:r>
    </w:p>
    <w:p>
      <w:pPr>
        <w:numPr>
          <w:ilvl w:val="0"/>
          <w:numId w:val="1408"/>
        </w:numPr>
        <w:pStyle w:val="Compact"/>
      </w:pPr>
      <w:r>
        <w:t xml:space="preserve">1987 · Monti JM ·</w:t>
      </w:r>
      <w:r>
        <w:t xml:space="preserve"> </w:t>
      </w:r>
      <w:r>
        <w:rPr>
          <w:iCs/>
          <w:i/>
        </w:rPr>
        <w:t xml:space="preserve">Int J Clin Pharmacol Res</w:t>
      </w:r>
      <w:r>
        <w:t xml:space="preserve"> </w:t>
      </w:r>
      <w:r>
        <w:t xml:space="preserve">· Study of delta sleep-inducing peptide efficacy in improving sleep on short-term administration to chronic insomniacs. PMID 3583493</w:t>
      </w:r>
    </w:p>
    <w:p>
      <w:pPr>
        <w:numPr>
          <w:ilvl w:val="0"/>
          <w:numId w:val="1408"/>
        </w:numPr>
        <w:pStyle w:val="Compact"/>
      </w:pPr>
      <w:r>
        <w:t xml:space="preserve">1984 · Kaeser HE ·</w:t>
      </w:r>
      <w:r>
        <w:t xml:space="preserve"> </w:t>
      </w:r>
      <w:r>
        <w:rPr>
          <w:iCs/>
          <w:i/>
        </w:rPr>
        <w:t xml:space="preserve">Eur Neurol</w:t>
      </w:r>
      <w:r>
        <w:t xml:space="preserve"> </w:t>
      </w:r>
      <w:r>
        <w:t xml:space="preserve">· A clinical trial with DSIP. PMID 6391926</w:t>
      </w:r>
    </w:p>
    <w:p>
      <w:pPr>
        <w:numPr>
          <w:ilvl w:val="0"/>
          <w:numId w:val="1408"/>
        </w:numPr>
        <w:pStyle w:val="Compact"/>
      </w:pPr>
      <w:r>
        <w:t xml:space="preserve">1984 · Schneider-Helmert D ·</w:t>
      </w:r>
      <w:r>
        <w:t xml:space="preserve"> </w:t>
      </w:r>
      <w:r>
        <w:rPr>
          <w:iCs/>
          <w:i/>
        </w:rPr>
        <w:t xml:space="preserve">Eur Neurol</w:t>
      </w:r>
      <w:r>
        <w:t xml:space="preserve"> </w:t>
      </w:r>
      <w:r>
        <w:t xml:space="preserve">· DSIP in insomnia. PMID 6391925</w:t>
      </w:r>
    </w:p>
    <w:p>
      <w:pPr>
        <w:numPr>
          <w:ilvl w:val="0"/>
          <w:numId w:val="1408"/>
        </w:numPr>
        <w:pStyle w:val="Compact"/>
      </w:pPr>
      <w:r>
        <w:t xml:space="preserve">1983 · Schneider-Helmert D ·</w:t>
      </w:r>
      <w:r>
        <w:t xml:space="preserve"> </w:t>
      </w:r>
      <w:r>
        <w:rPr>
          <w:iCs/>
          <w:i/>
        </w:rPr>
        <w:t xml:space="preserve">Neuropsychobiology</w:t>
      </w:r>
      <w:r>
        <w:t xml:space="preserve"> </w:t>
      </w:r>
      <w:r>
        <w:t xml:space="preserve">· Effects of DSIP in man. Multifunctional psychophysiological properties besides induction of natural sleep. PMID 6689058</w:t>
      </w:r>
    </w:p>
    <w:p>
      <w:pPr>
        <w:numPr>
          <w:ilvl w:val="0"/>
          <w:numId w:val="1408"/>
        </w:numPr>
        <w:pStyle w:val="Compact"/>
      </w:pPr>
      <w:r>
        <w:t xml:space="preserve">1981 · Schneider-Helmert D ·</w:t>
      </w:r>
      <w:r>
        <w:t xml:space="preserve"> </w:t>
      </w:r>
      <w:r>
        <w:rPr>
          <w:iCs/>
          <w:i/>
        </w:rPr>
        <w:t xml:space="preserve">Experientia</w:t>
      </w:r>
      <w:r>
        <w:t xml:space="preserve"> </w:t>
      </w:r>
      <w:r>
        <w:t xml:space="preserve">· The influence of synthetic DSIP (delta-sleep-inducing-peptide) on disturbed human sleep. PMID 7028502</w:t>
      </w:r>
    </w:p>
    <w:p>
      <w:pPr>
        <w:numPr>
          <w:ilvl w:val="0"/>
          <w:numId w:val="1408"/>
        </w:numPr>
        <w:pStyle w:val="Compact"/>
      </w:pPr>
      <w:r>
        <w:t xml:space="preserve">1981 · Schneider-Helmert D ·</w:t>
      </w:r>
      <w:r>
        <w:t xml:space="preserve"> </w:t>
      </w:r>
      <w:r>
        <w:rPr>
          <w:iCs/>
          <w:i/>
        </w:rPr>
        <w:t xml:space="preserve">Int J Clin Pharmacol Ther Toxicol</w:t>
      </w:r>
      <w:r>
        <w:t xml:space="preserve"> </w:t>
      </w:r>
      <w:r>
        <w:t xml:space="preserve">· Acute and delayed effects of DSIP (delta sleep-inducing peptide) on human sleep behavior. PMID 6895513</w:t>
      </w:r>
    </w:p>
    <w:p>
      <w:pPr>
        <w:numPr>
          <w:ilvl w:val="0"/>
          <w:numId w:val="1408"/>
        </w:numPr>
        <w:pStyle w:val="Compact"/>
      </w:pPr>
      <w:r>
        <w:t xml:space="preserve">1981 · Schneider-Helmert D ·</w:t>
      </w:r>
      <w:r>
        <w:t xml:space="preserve"> </w:t>
      </w:r>
      <w:r>
        <w:rPr>
          <w:iCs/>
          <w:i/>
        </w:rPr>
        <w:t xml:space="preserve">Lancet</w:t>
      </w:r>
      <w:r>
        <w:t xml:space="preserve"> </w:t>
      </w:r>
      <w:r>
        <w:t xml:space="preserve">· Synthetic delta-sleep-inducing peptide improves sleep in insomniacs. PMID 6112579</w:t>
      </w:r>
    </w:p>
    <w:bookmarkEnd w:id="3050"/>
    <w:bookmarkStart w:id="3051" w:name="epitalon-epithalon-1"/>
    <w:p>
      <w:pPr>
        <w:pStyle w:val="Heading2"/>
      </w:pPr>
      <w:r>
        <w:t xml:space="preserve">Epitalon (Epithalon) (1)</w:t>
      </w:r>
    </w:p>
    <w:p>
      <w:pPr>
        <w:numPr>
          <w:ilvl w:val="0"/>
          <w:numId w:val="1409"/>
        </w:numPr>
        <w:pStyle w:val="Compact"/>
      </w:pPr>
      <w:r>
        <w:t xml:space="preserve">2002 · Khavinson V ·</w:t>
      </w:r>
      <w:r>
        <w:t xml:space="preserve"> </w:t>
      </w:r>
      <w:r>
        <w:rPr>
          <w:iCs/>
          <w:i/>
        </w:rPr>
        <w:t xml:space="preserve">Neuro Endocrinol Lett</w:t>
      </w:r>
      <w:r>
        <w:t xml:space="preserve"> </w:t>
      </w:r>
      <w:r>
        <w:t xml:space="preserve">· Pineal-regulating tetrapeptide epitalon improves eye retina condition in retinitis pigmentosa. PMID 12195242</w:t>
      </w:r>
    </w:p>
    <w:bookmarkEnd w:id="3051"/>
    <w:bookmarkStart w:id="3052" w:name="pinealon-1"/>
    <w:p>
      <w:pPr>
        <w:pStyle w:val="Heading2"/>
      </w:pPr>
      <w:r>
        <w:t xml:space="preserve">Pinealon (1)</w:t>
      </w:r>
    </w:p>
    <w:p>
      <w:pPr>
        <w:numPr>
          <w:ilvl w:val="0"/>
          <w:numId w:val="1410"/>
        </w:numPr>
        <w:pStyle w:val="Compact"/>
      </w:pPr>
      <w:r>
        <w:t xml:space="preserve">2012 · Bashkireva AS ·</w:t>
      </w:r>
      <w:r>
        <w:t xml:space="preserve"> </w:t>
      </w:r>
      <w:r>
        <w:rPr>
          <w:iCs/>
          <w:i/>
        </w:rPr>
        <w:t xml:space="preserve">Adv Gerontol</w:t>
      </w:r>
      <w:r>
        <w:t xml:space="preserve"> </w:t>
      </w:r>
      <w:r>
        <w:t xml:space="preserve">· [The peptide correction of neurotic disorders among professional truck-drivers]. PMID 23734521</w:t>
      </w:r>
    </w:p>
    <w:bookmarkEnd w:id="3052"/>
    <w:bookmarkStart w:id="3053" w:name="mots-c-5"/>
    <w:p>
      <w:pPr>
        <w:pStyle w:val="Heading2"/>
      </w:pPr>
      <w:r>
        <w:t xml:space="preserve">MOTS-c (5)</w:t>
      </w:r>
    </w:p>
    <w:p>
      <w:pPr>
        <w:numPr>
          <w:ilvl w:val="0"/>
          <w:numId w:val="1411"/>
        </w:numPr>
        <w:pStyle w:val="Compact"/>
      </w:pPr>
      <w:r>
        <w:t xml:space="preserve">2025 · Elhusseiny R ·</w:t>
      </w:r>
      <w:r>
        <w:t xml:space="preserve"> </w:t>
      </w:r>
      <w:r>
        <w:rPr>
          <w:iCs/>
          <w:i/>
        </w:rPr>
        <w:t xml:space="preserve">Med Sci Sports Exerc</w:t>
      </w:r>
      <w:r>
        <w:t xml:space="preserve"> </w:t>
      </w:r>
      <w:r>
        <w:t xml:space="preserve">· Repeated Heat Stress Modulates the Levels of the Mitokines MOTS-C and FGF21 in Active Men during Calf Muscle Immobilization. PMID 40674654</w:t>
      </w:r>
    </w:p>
    <w:p>
      <w:pPr>
        <w:numPr>
          <w:ilvl w:val="0"/>
          <w:numId w:val="1411"/>
        </w:numPr>
        <w:pStyle w:val="Compact"/>
      </w:pPr>
      <w:r>
        <w:t xml:space="preserve">2022 · Cuyàs E ·</w:t>
      </w:r>
      <w:r>
        <w:t xml:space="preserve"> </w:t>
      </w:r>
      <w:r>
        <w:rPr>
          <w:iCs/>
          <w:i/>
        </w:rPr>
        <w:t xml:space="preserve">Aging (Albany NY)</w:t>
      </w:r>
      <w:r>
        <w:t xml:space="preserve"> </w:t>
      </w:r>
      <w:r>
        <w:t xml:space="preserve">· Circulating levels of MOTS-c in patients with breast cancer treated with metformin. PMID 36490309</w:t>
      </w:r>
    </w:p>
    <w:p>
      <w:pPr>
        <w:numPr>
          <w:ilvl w:val="0"/>
          <w:numId w:val="1411"/>
        </w:numPr>
        <w:pStyle w:val="Compact"/>
      </w:pPr>
      <w:r>
        <w:t xml:space="preserve">2021 · Dieli-Conwright CM ·</w:t>
      </w:r>
      <w:r>
        <w:t xml:space="preserve"> </w:t>
      </w:r>
      <w:r>
        <w:rPr>
          <w:iCs/>
          <w:i/>
        </w:rPr>
        <w:t xml:space="preserve">Sci Rep</w:t>
      </w:r>
      <w:r>
        <w:t xml:space="preserve"> </w:t>
      </w:r>
      <w:r>
        <w:t xml:space="preserve">· Effect of aerobic and resistance exercise on the mitochondrial peptide MOTS-c in Hispanic and Non-Hispanic White breast cancer survivors. PMID 34413391</w:t>
      </w:r>
    </w:p>
    <w:p>
      <w:pPr>
        <w:numPr>
          <w:ilvl w:val="0"/>
          <w:numId w:val="1411"/>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1"/>
        </w:numPr>
        <w:pStyle w:val="Compact"/>
      </w:pPr>
      <w:r>
        <w:t xml:space="preserve">2020 · Ikonomidis I ·</w:t>
      </w:r>
      <w:r>
        <w:t xml:space="preserve"> </w:t>
      </w:r>
      <w:r>
        <w:rPr>
          <w:iCs/>
          <w:i/>
        </w:rPr>
        <w:t xml:space="preserve">J Thromb Thrombolysis</w:t>
      </w:r>
      <w:r>
        <w:t xml:space="preserve"> </w:t>
      </w:r>
      <w:r>
        <w:t xml:space="preserve">· β-Amyloid and mitochondrial-derived peptide-c are additive predictors of adverse outcome to high-on-treatment platelet reactivity in type 2 diabetics with revascularized coronary artery disease. PMID 32052315</w:t>
      </w:r>
    </w:p>
    <w:bookmarkEnd w:id="3053"/>
    <w:bookmarkStart w:id="3054" w:name="humanin-8"/>
    <w:p>
      <w:pPr>
        <w:pStyle w:val="Heading2"/>
      </w:pPr>
      <w:r>
        <w:t xml:space="preserve">Humanin (8)</w:t>
      </w:r>
    </w:p>
    <w:p>
      <w:pPr>
        <w:numPr>
          <w:ilvl w:val="0"/>
          <w:numId w:val="1412"/>
        </w:numPr>
        <w:pStyle w:val="Compact"/>
      </w:pPr>
      <w:r>
        <w:t xml:space="preserve">2026 · Hosseini MH ·</w:t>
      </w:r>
      <w:r>
        <w:t xml:space="preserve"> </w:t>
      </w:r>
      <w:r>
        <w:rPr>
          <w:iCs/>
          <w:i/>
        </w:rPr>
        <w:t xml:space="preserve">BMC Geriatr</w:t>
      </w:r>
      <w:r>
        <w:t xml:space="preserve"> </w:t>
      </w:r>
      <w:r>
        <w:t xml:space="preserve">· Preserving brain health in aging: structural and biochemical benefits of water based resistance training, a randomized controlled trial. PMID 41975304</w:t>
      </w:r>
    </w:p>
    <w:p>
      <w:pPr>
        <w:numPr>
          <w:ilvl w:val="0"/>
          <w:numId w:val="1412"/>
        </w:numPr>
        <w:pStyle w:val="Compact"/>
      </w:pPr>
      <w:r>
        <w:t xml:space="preserve">2025 · Basereh A ·</w:t>
      </w:r>
      <w:r>
        <w:t xml:space="preserve"> </w:t>
      </w:r>
      <w:r>
        <w:rPr>
          <w:iCs/>
          <w:i/>
        </w:rPr>
        <w:t xml:space="preserve">Sci Rep</w:t>
      </w:r>
      <w:r>
        <w:t xml:space="preserve"> </w:t>
      </w:r>
      <w:r>
        <w:t xml:space="preserve">· Redox-sensitive miRNAs and Humanin could mediate effects of exercise and astaxanthin on oxidative stress and inflammation in type 2 diabetes. PMID 41249265</w:t>
      </w:r>
    </w:p>
    <w:p>
      <w:pPr>
        <w:numPr>
          <w:ilvl w:val="0"/>
          <w:numId w:val="1412"/>
        </w:numPr>
        <w:pStyle w:val="Compact"/>
      </w:pPr>
      <w:r>
        <w:t xml:space="preserve">2023 · Delgado-Peraza F ·</w:t>
      </w:r>
      <w:r>
        <w:t xml:space="preserve"> </w:t>
      </w:r>
      <w:r>
        <w:rPr>
          <w:iCs/>
          <w:i/>
        </w:rPr>
        <w:t xml:space="preserve">Alzheimers Res Ther</w:t>
      </w:r>
      <w:r>
        <w:t xml:space="preserve"> </w:t>
      </w:r>
      <w:r>
        <w:t xml:space="preserve">· Neuron-derived extracellular vesicles in blood reveal effects of exercise in Alzheimer’s disease. PMID 37730689</w:t>
      </w:r>
    </w:p>
    <w:p>
      <w:pPr>
        <w:numPr>
          <w:ilvl w:val="0"/>
          <w:numId w:val="1412"/>
        </w:numPr>
        <w:pStyle w:val="Compact"/>
      </w:pPr>
      <w:r>
        <w:t xml:space="preserve">2021 · von Walden F ·</w:t>
      </w:r>
      <w:r>
        <w:t xml:space="preserve"> </w:t>
      </w:r>
      <w:r>
        <w:rPr>
          <w:iCs/>
          <w:i/>
        </w:rPr>
        <w:t xml:space="preserve">J Appl Physiol (1985)</w:t>
      </w:r>
      <w:r>
        <w:t xml:space="preserve"> </w:t>
      </w:r>
      <w:r>
        <w:t xml:space="preserve">· Acute endurance exercise stimulates circulating levels of mitochondrial-derived peptides in humans. PMID 34351816</w:t>
      </w:r>
    </w:p>
    <w:p>
      <w:pPr>
        <w:numPr>
          <w:ilvl w:val="0"/>
          <w:numId w:val="1412"/>
        </w:numPr>
        <w:pStyle w:val="Compact"/>
      </w:pPr>
      <w:r>
        <w:t xml:space="preserve">2019 · Xu Y ·</w:t>
      </w:r>
      <w:r>
        <w:t xml:space="preserve"> </w:t>
      </w:r>
      <w:r>
        <w:rPr>
          <w:iCs/>
          <w:i/>
        </w:rPr>
        <w:t xml:space="preserve">Cell Transplant</w:t>
      </w:r>
      <w:r>
        <w:t xml:space="preserve"> </w:t>
      </w:r>
      <w:r>
        <w:t xml:space="preserve">· Protective Effect of Hyperbaric Oxygen Therapy on Cognitive Function in Patients with Vascular Dementia. PMID 31134827</w:t>
      </w:r>
    </w:p>
    <w:p>
      <w:pPr>
        <w:numPr>
          <w:ilvl w:val="0"/>
          <w:numId w:val="1412"/>
        </w:numPr>
        <w:pStyle w:val="Compact"/>
      </w:pPr>
      <w:r>
        <w:t xml:space="preserve">2019 · Shen Y ·</w:t>
      </w:r>
      <w:r>
        <w:t xml:space="preserve"> </w:t>
      </w:r>
      <w:r>
        <w:rPr>
          <w:iCs/>
          <w:i/>
        </w:rPr>
        <w:t xml:space="preserve">Stroke</w:t>
      </w:r>
      <w:r>
        <w:t xml:space="preserve"> </w:t>
      </w:r>
      <w:r>
        <w:t xml:space="preserve">· Epigenome-Wide Association Study Indicates Hypomethylation of MTRNR2L8 in Large-Artery Atherosclerosis Stroke. PMID 31084332</w:t>
      </w:r>
    </w:p>
    <w:p>
      <w:pPr>
        <w:numPr>
          <w:ilvl w:val="0"/>
          <w:numId w:val="1412"/>
        </w:numPr>
        <w:pStyle w:val="Compact"/>
      </w:pPr>
      <w:r>
        <w:t xml:space="preserve">2017 · Nashine S ·</w:t>
      </w:r>
      <w:r>
        <w:t xml:space="preserve"> </w:t>
      </w:r>
      <w:r>
        <w:rPr>
          <w:iCs/>
          <w:i/>
        </w:rPr>
        <w:t xml:space="preserve">Cell Death Dis</w:t>
      </w:r>
      <w:r>
        <w:t xml:space="preserve"> </w:t>
      </w:r>
      <w:r>
        <w:t xml:space="preserve">· Humanin G (HNG) protects age-related macular degeneration (AMD) transmitochondrial ARPE-19 cybrids from mitochondrial and cellular damage. PMID 28726777</w:t>
      </w:r>
    </w:p>
    <w:p>
      <w:pPr>
        <w:numPr>
          <w:ilvl w:val="0"/>
          <w:numId w:val="1412"/>
        </w:numPr>
        <w:pStyle w:val="Compact"/>
      </w:pPr>
      <w:r>
        <w:t xml:space="preserve">2016 · Gidlund EK ·</w:t>
      </w:r>
      <w:r>
        <w:t xml:space="preserve"> </w:t>
      </w:r>
      <w:r>
        <w:rPr>
          <w:iCs/>
          <w:i/>
        </w:rPr>
        <w:t xml:space="preserve">Physiol Rep</w:t>
      </w:r>
      <w:r>
        <w:t xml:space="preserve"> </w:t>
      </w:r>
      <w:r>
        <w:t xml:space="preserve">· Humanin skeletal muscle protein levels increase after resistance training in men with impaired glucose metabolism. PMID 27923980</w:t>
      </w:r>
    </w:p>
    <w:bookmarkEnd w:id="3054"/>
    <w:bookmarkStart w:id="3055" w:name="ss-31-elamipretide-19"/>
    <w:p>
      <w:pPr>
        <w:pStyle w:val="Heading2"/>
      </w:pPr>
      <w:r>
        <w:t xml:space="preserve">SS-31 (Elamipretide) (19)</w:t>
      </w:r>
    </w:p>
    <w:p>
      <w:pPr>
        <w:numPr>
          <w:ilvl w:val="0"/>
          <w:numId w:val="1413"/>
        </w:numPr>
        <w:pStyle w:val="Compact"/>
      </w:pPr>
      <w:r>
        <w:t xml:space="preserve">2025 · Gwaltney C ·</w:t>
      </w:r>
      <w:r>
        <w:t xml:space="preserve"> </w:t>
      </w:r>
      <w:r>
        <w:rPr>
          <w:iCs/>
          <w:i/>
        </w:rPr>
        <w:t xml:space="preserve">Orphanet J Rare Dis</w:t>
      </w:r>
      <w:r>
        <w:t xml:space="preserve"> </w:t>
      </w:r>
      <w:r>
        <w:t xml:space="preserve">· Initial Psychometric Evaluation of the Barth Syndrome Symptom Assessment (BTHS-SA) for Adolescents and Adults in a Phase 2 Clinical Study. PMID 40281531</w:t>
      </w:r>
    </w:p>
    <w:p>
      <w:pPr>
        <w:numPr>
          <w:ilvl w:val="0"/>
          <w:numId w:val="1413"/>
        </w:numPr>
        <w:pStyle w:val="Compact"/>
      </w:pPr>
      <w:r>
        <w:t xml:space="preserve">2024 · Karaa A ·</w:t>
      </w:r>
      <w:r>
        <w:t xml:space="preserve"> </w:t>
      </w:r>
      <w:r>
        <w:rPr>
          <w:iCs/>
          <w:i/>
        </w:rPr>
        <w:t xml:space="preserve">Orphanet J Rare Dis</w:t>
      </w:r>
      <w:r>
        <w:t xml:space="preserve"> </w:t>
      </w:r>
      <w:r>
        <w:t xml:space="preserve">· Genotype-specific effects of elamipretide in patients with primary mitochondrial myopathy: a post hoc analysis of the MMPOWER-3 trial. PMID 39574155</w:t>
      </w:r>
    </w:p>
    <w:p>
      <w:pPr>
        <w:numPr>
          <w:ilvl w:val="0"/>
          <w:numId w:val="1413"/>
        </w:numPr>
        <w:pStyle w:val="Compact"/>
      </w:pPr>
      <w:r>
        <w:t xml:space="preserve">2024 · Sherrod CF 4th ·</w:t>
      </w:r>
      <w:r>
        <w:t xml:space="preserve"> </w:t>
      </w:r>
      <w:r>
        <w:rPr>
          <w:iCs/>
          <w:i/>
        </w:rPr>
        <w:t xml:space="preserve">J Am Coll Cardiol</w:t>
      </w:r>
      <w:r>
        <w:t xml:space="preserve"> </w:t>
      </w:r>
      <w:r>
        <w:t xml:space="preserve">· Effect of Aficamten on Health Status Outcomes in Obstructive Hypertrophic Cardiomyopathy: Results From SEQUOIA-HCM. PMID 39217569</w:t>
      </w:r>
    </w:p>
    <w:p>
      <w:pPr>
        <w:numPr>
          <w:ilvl w:val="0"/>
          <w:numId w:val="1413"/>
        </w:numPr>
        <w:pStyle w:val="Compact"/>
      </w:pPr>
      <w:r>
        <w:t xml:space="preserve">2024 · Thompson WR ·</w:t>
      </w:r>
      <w:r>
        <w:t xml:space="preserve"> </w:t>
      </w:r>
      <w:r>
        <w:rPr>
          <w:iCs/>
          <w:i/>
        </w:rPr>
        <w:t xml:space="preserve">Genet Med</w:t>
      </w:r>
      <w:r>
        <w:t xml:space="preserve"> </w:t>
      </w:r>
      <w:r>
        <w:t xml:space="preserve">· Long-term efficacy and safety of elamipretide in patients with Barth syndrome: 168-week open-label extension results of TAZPOWER. PMID 38602181</w:t>
      </w:r>
    </w:p>
    <w:p>
      <w:pPr>
        <w:numPr>
          <w:ilvl w:val="0"/>
          <w:numId w:val="1413"/>
        </w:numPr>
        <w:pStyle w:val="Compact"/>
      </w:pPr>
      <w:r>
        <w:t xml:space="preserve">2024 · Karanjia R ·</w:t>
      </w:r>
      <w:r>
        <w:t xml:space="preserve"> </w:t>
      </w:r>
      <w:r>
        <w:rPr>
          <w:iCs/>
          <w:i/>
        </w:rPr>
        <w:t xml:space="preserve">Ophthalmology</w:t>
      </w:r>
      <w:r>
        <w:t xml:space="preserve"> </w:t>
      </w:r>
      <w:r>
        <w:t xml:space="preserve">· Elamipretide Topical Ophthalmic Solution for the Treatment of Subjects with Leber Hereditary Optic Neuropathy: A Randomized Trial. PMID 37923251</w:t>
      </w:r>
    </w:p>
    <w:p>
      <w:pPr>
        <w:numPr>
          <w:ilvl w:val="0"/>
          <w:numId w:val="1413"/>
        </w:numPr>
        <w:pStyle w:val="Compact"/>
      </w:pPr>
      <w:r>
        <w:t xml:space="preserve">2023 · Karaa A ·</w:t>
      </w:r>
      <w:r>
        <w:t xml:space="preserve"> </w:t>
      </w:r>
      <w:r>
        <w:rPr>
          <w:iCs/>
          <w:i/>
        </w:rPr>
        <w:t xml:space="preserve">Neurology</w:t>
      </w:r>
      <w:r>
        <w:t xml:space="preserve"> </w:t>
      </w:r>
      <w:r>
        <w:t xml:space="preserve">· Efficacy and Safety of Elamipretide in Individuals With Primary Mitochondrial Myopathy: The MMPOWER-3 Randomized Clinical Trial. PMID 37268435</w:t>
      </w:r>
    </w:p>
    <w:p>
      <w:pPr>
        <w:numPr>
          <w:ilvl w:val="0"/>
          <w:numId w:val="1413"/>
        </w:numPr>
        <w:pStyle w:val="Compact"/>
      </w:pPr>
      <w:r>
        <w:t xml:space="preserve">2023 · Van den Eynde J ·</w:t>
      </w:r>
      <w:r>
        <w:t xml:space="preserve"> </w:t>
      </w:r>
      <w:r>
        <w:rPr>
          <w:iCs/>
          <w:i/>
        </w:rPr>
        <w:t xml:space="preserve">Orphanet J Rare Dis</w:t>
      </w:r>
      <w:r>
        <w:t xml:space="preserve"> </w:t>
      </w:r>
      <w:r>
        <w:t xml:space="preserve">· Identifying responders to elamipretide in Barth syndrome: Hierarchical clustering for time series data. PMID 37041653</w:t>
      </w:r>
    </w:p>
    <w:p>
      <w:pPr>
        <w:numPr>
          <w:ilvl w:val="0"/>
          <w:numId w:val="1413"/>
        </w:numPr>
        <w:pStyle w:val="Compact"/>
      </w:pPr>
      <w:r>
        <w:t xml:space="preserve">2022 · Hornby B ·</w:t>
      </w:r>
      <w:r>
        <w:t xml:space="preserve"> </w:t>
      </w:r>
      <w:r>
        <w:rPr>
          <w:iCs/>
          <w:i/>
        </w:rPr>
        <w:t xml:space="preserve">Orphanet J Rare Dis</w:t>
      </w:r>
      <w:r>
        <w:t xml:space="preserve"> </w:t>
      </w:r>
      <w:r>
        <w:t xml:space="preserve">· Natural history comparison study to assess the efficacy of elamipretide in patients with Barth syndrome. PMID 36056411</w:t>
      </w:r>
    </w:p>
    <w:p>
      <w:pPr>
        <w:numPr>
          <w:ilvl w:val="0"/>
          <w:numId w:val="1413"/>
        </w:numPr>
        <w:pStyle w:val="Compact"/>
      </w:pPr>
      <w:r>
        <w:t xml:space="preserve">2021 · Roshanravan B ·</w:t>
      </w:r>
      <w:r>
        <w:t xml:space="preserve"> </w:t>
      </w:r>
      <w:r>
        <w:rPr>
          <w:iCs/>
          <w:i/>
        </w:rPr>
        <w:t xml:space="preserve">PLoS One</w:t>
      </w:r>
      <w:r>
        <w:t xml:space="preserve"> </w:t>
      </w:r>
      <w:r>
        <w:t xml:space="preserve">· In vivo mitochondrial ATP production is improved in older adult skeletal muscle after a single dose of elamipretide in a randomized trial. PMID 34264994</w:t>
      </w:r>
    </w:p>
    <w:p>
      <w:pPr>
        <w:numPr>
          <w:ilvl w:val="0"/>
          <w:numId w:val="1413"/>
        </w:numPr>
        <w:pStyle w:val="Compact"/>
      </w:pPr>
      <w:r>
        <w:t xml:space="preserve">2021 · Reid Thompson W ·</w:t>
      </w:r>
      <w:r>
        <w:t xml:space="preserve"> </w:t>
      </w:r>
      <w:r>
        <w:rPr>
          <w:iCs/>
          <w:i/>
        </w:rPr>
        <w:t xml:space="preserve">Genet Med</w:t>
      </w:r>
      <w:r>
        <w:t xml:space="preserve"> </w:t>
      </w:r>
      <w:r>
        <w:t xml:space="preserve">· A phase 2/3 randomized clinical trial followed by an open-label extension to evaluate the effectiveness of elamipretide in Barth syndrome, a genetic disorder of mitochondrial cardiolipin metabolism. PMID 33077895</w:t>
      </w:r>
    </w:p>
    <w:p>
      <w:pPr>
        <w:numPr>
          <w:ilvl w:val="0"/>
          <w:numId w:val="1413"/>
        </w:numPr>
        <w:pStyle w:val="Compact"/>
      </w:pPr>
      <w:r>
        <w:t xml:space="preserve">2020 · Karaa A ·</w:t>
      </w:r>
      <w:r>
        <w:t xml:space="preserve"> </w:t>
      </w:r>
      <w:r>
        <w:rPr>
          <w:iCs/>
          <w:i/>
        </w:rPr>
        <w:t xml:space="preserve">J Cachexia Sarcopenia Muscle</w:t>
      </w:r>
      <w:r>
        <w:t xml:space="preserve"> </w:t>
      </w:r>
      <w:r>
        <w:t xml:space="preserve">· A randomized crossover trial of elamipretide in adults with primary mitochondrial myopathy. PMID 32096613</w:t>
      </w:r>
    </w:p>
    <w:p>
      <w:pPr>
        <w:numPr>
          <w:ilvl w:val="0"/>
          <w:numId w:val="1413"/>
        </w:numPr>
        <w:pStyle w:val="Compact"/>
      </w:pPr>
      <w:r>
        <w:t xml:space="preserve">2020 · Butler J ·</w:t>
      </w:r>
      <w:r>
        <w:t xml:space="preserve"> </w:t>
      </w:r>
      <w:r>
        <w:rPr>
          <w:iCs/>
          <w:i/>
        </w:rPr>
        <w:t xml:space="preserve">J Card Fail</w:t>
      </w:r>
      <w:r>
        <w:t xml:space="preserve"> </w:t>
      </w:r>
      <w:r>
        <w:t xml:space="preserve">· Effects of Elamipretide on Left Ventricular Function in Patients With Heart Failure With Reduced Ejection Fraction: The PROGRESS-HF Phase 2 Trial. PMID 32068002</w:t>
      </w:r>
    </w:p>
    <w:p>
      <w:pPr>
        <w:numPr>
          <w:ilvl w:val="0"/>
          <w:numId w:val="1413"/>
        </w:numPr>
        <w:pStyle w:val="Compact"/>
      </w:pPr>
      <w:r>
        <w:t xml:space="preserve">2019 · Hortmann M ·</w:t>
      </w:r>
      <w:r>
        <w:t xml:space="preserve"> </w:t>
      </w:r>
      <w:r>
        <w:rPr>
          <w:iCs/>
          <w:i/>
        </w:rPr>
        <w:t xml:space="preserve">Eur Heart J Acute Cardiovasc Care</w:t>
      </w:r>
      <w:r>
        <w:t xml:space="preserve"> </w:t>
      </w:r>
      <w:r>
        <w:t xml:space="preserve">· The mitochondria-targeting peptide elamipretide diminishes circulating HtrA2 in ST-segment elevation myocardial infarction. PMID 28534645</w:t>
      </w:r>
    </w:p>
    <w:p>
      <w:pPr>
        <w:numPr>
          <w:ilvl w:val="0"/>
          <w:numId w:val="1413"/>
        </w:numPr>
        <w:pStyle w:val="Compact"/>
      </w:pPr>
      <w:r>
        <w:t xml:space="preserve">2018 · Karaa A ·</w:t>
      </w:r>
      <w:r>
        <w:t xml:space="preserve"> </w:t>
      </w:r>
      <w:r>
        <w:rPr>
          <w:iCs/>
          <w:i/>
        </w:rPr>
        <w:t xml:space="preserve">Neurology</w:t>
      </w:r>
      <w:r>
        <w:t xml:space="preserve"> </w:t>
      </w:r>
      <w:r>
        <w:t xml:space="preserve">· Randomized dose-escalation trial of elamipretide in adults with primary mitochondrial myopathy. PMID 29500292</w:t>
      </w:r>
    </w:p>
    <w:p>
      <w:pPr>
        <w:numPr>
          <w:ilvl w:val="0"/>
          <w:numId w:val="1413"/>
        </w:numPr>
        <w:pStyle w:val="Compact"/>
      </w:pPr>
      <w:r>
        <w:t xml:space="preserve">2017 · Daubert MA ·</w:t>
      </w:r>
      <w:r>
        <w:t xml:space="preserve"> </w:t>
      </w:r>
      <w:r>
        <w:rPr>
          <w:iCs/>
          <w:i/>
        </w:rPr>
        <w:t xml:space="preserve">Circ Heart Fail</w:t>
      </w:r>
      <w:r>
        <w:t xml:space="preserve"> </w:t>
      </w:r>
      <w:r>
        <w:t xml:space="preserve">· Novel Mitochondria-Targeting Peptide in Heart Failure Treatment: A Randomized, Placebo-Controlled Trial of Elamipretide. PMID 29217757</w:t>
      </w:r>
    </w:p>
    <w:p>
      <w:pPr>
        <w:numPr>
          <w:ilvl w:val="0"/>
          <w:numId w:val="1413"/>
        </w:numPr>
        <w:pStyle w:val="Compact"/>
      </w:pPr>
      <w:r>
        <w:t xml:space="preserve">2017 · Saad A ·</w:t>
      </w:r>
      <w:r>
        <w:t xml:space="preserve"> </w:t>
      </w:r>
      <w:r>
        <w:rPr>
          <w:iCs/>
          <w:i/>
        </w:rPr>
        <w:t xml:space="preserve">Circ Cardiovasc Interv</w:t>
      </w:r>
      <w:r>
        <w:t xml:space="preserve"> </w:t>
      </w:r>
      <w:r>
        <w:t xml:space="preserve">· Phase 2a Clinical Trial of Mitochondrial Protection (Elamipretide) During Stent Revascularization in Patients With Atherosclerotic Renal Artery Stenosis. PMID 28916603</w:t>
      </w:r>
    </w:p>
    <w:p>
      <w:pPr>
        <w:numPr>
          <w:ilvl w:val="0"/>
          <w:numId w:val="1413"/>
        </w:numPr>
        <w:pStyle w:val="Compact"/>
      </w:pPr>
      <w:r>
        <w:t xml:space="preserve">2016 · Schoenell MC ·</w:t>
      </w:r>
      <w:r>
        <w:t xml:space="preserve"> </w:t>
      </w:r>
      <w:r>
        <w:rPr>
          <w:iCs/>
          <w:i/>
        </w:rPr>
        <w:t xml:space="preserve">Int J Sports Med</w:t>
      </w:r>
      <w:r>
        <w:t xml:space="preserve"> </w:t>
      </w:r>
      <w:r>
        <w:t xml:space="preserve">· Effects of Single Vs. Multiple Sets during 10 Weeks of Water-based Resistance Training on Neuromuscular Adaptations in Young Women. PMID 27286183</w:t>
      </w:r>
    </w:p>
    <w:p>
      <w:pPr>
        <w:numPr>
          <w:ilvl w:val="0"/>
          <w:numId w:val="1413"/>
        </w:numPr>
        <w:pStyle w:val="Compact"/>
      </w:pPr>
      <w:r>
        <w:t xml:space="preserve">2012 · Bernardo-Escudero R ·</w:t>
      </w:r>
      <w:r>
        <w:t xml:space="preserve"> </w:t>
      </w:r>
      <w:r>
        <w:rPr>
          <w:iCs/>
          <w:i/>
        </w:rPr>
        <w:t xml:space="preserve">Eur J Drug Metab Pharmacokinet</w:t>
      </w:r>
      <w:r>
        <w:t xml:space="preserve"> </w:t>
      </w:r>
      <w:r>
        <w:t xml:space="preserve">· Comparison of the pharmacokinetics of a new 30 mg modified-release tablet formulation of metoclopramide for once-a-day administration versus 10 mg immediate-release tablets: a single and multiple-dose, randomized, open-label, parallel study in healthy male subjects. PMID 22328192</w:t>
      </w:r>
    </w:p>
    <w:p>
      <w:pPr>
        <w:numPr>
          <w:ilvl w:val="0"/>
          <w:numId w:val="1413"/>
        </w:numPr>
        <w:pStyle w:val="Compact"/>
      </w:pPr>
      <w:r>
        <w:t xml:space="preserve">1977 · Ludwig H ·</w:t>
      </w:r>
      <w:r>
        <w:t xml:space="preserve"> </w:t>
      </w:r>
      <w:r>
        <w:rPr>
          <w:iCs/>
          <w:i/>
        </w:rPr>
        <w:t xml:space="preserve">Gut</w:t>
      </w:r>
      <w:r>
        <w:t xml:space="preserve"> </w:t>
      </w:r>
      <w:r>
        <w:t xml:space="preserve">· Antibodies to pancreatic duct cells in Sjögren’s syndrome and rheumatoid arthritis. PMID 405283</w:t>
      </w:r>
    </w:p>
    <w:bookmarkEnd w:id="3055"/>
    <w:bookmarkStart w:id="3056" w:name="foxo4-dri-0"/>
    <w:p>
      <w:pPr>
        <w:pStyle w:val="Heading2"/>
      </w:pPr>
      <w:r>
        <w:t xml:space="preserve">FOXO4-DRI (0)</w:t>
      </w:r>
    </w:p>
    <w:p>
      <w:pPr>
        <w:pStyle w:val="FirstParagraph"/>
      </w:pPr>
      <w:r>
        <w:t xml:space="preserve">No publications of clinical studies in humans found.</w:t>
      </w:r>
    </w:p>
    <w:bookmarkEnd w:id="3056"/>
    <w:bookmarkStart w:id="3057" w:name="glutathione-161"/>
    <w:p>
      <w:pPr>
        <w:pStyle w:val="Heading2"/>
      </w:pPr>
      <w:r>
        <w:t xml:space="preserve">Glutathione (161)</w:t>
      </w:r>
    </w:p>
    <w:p>
      <w:pPr>
        <w:numPr>
          <w:ilvl w:val="0"/>
          <w:numId w:val="1414"/>
        </w:numPr>
        <w:pStyle w:val="Compact"/>
      </w:pPr>
      <w:r>
        <w:t xml:space="preserve">2026 · Bai JL ·</w:t>
      </w:r>
      <w:r>
        <w:t xml:space="preserve"> </w:t>
      </w:r>
      <w:r>
        <w:rPr>
          <w:iCs/>
          <w:i/>
        </w:rPr>
        <w:t xml:space="preserve">Medicine (Baltimore)</w:t>
      </w:r>
      <w:r>
        <w:t xml:space="preserve"> </w:t>
      </w:r>
      <w:r>
        <w:t xml:space="preserve">· Hyaluronic acid-based skin booster with glutathione combined with 1064-nm Nd:YAG laser and oral tranexamic acid for melasma: A prospective comparative study. PMID 42888572</w:t>
      </w:r>
    </w:p>
    <w:p>
      <w:pPr>
        <w:numPr>
          <w:ilvl w:val="0"/>
          <w:numId w:val="1414"/>
        </w:numPr>
        <w:pStyle w:val="Compact"/>
      </w:pPr>
      <w:r>
        <w:t xml:space="preserve">2026 · Jung ES ·</w:t>
      </w:r>
      <w:r>
        <w:t xml:space="preserve"> </w:t>
      </w:r>
      <w:r>
        <w:rPr>
          <w:iCs/>
          <w:i/>
        </w:rPr>
        <w:t xml:space="preserve">Eur J Pharm Biopharm</w:t>
      </w:r>
      <w:r>
        <w:t xml:space="preserve"> </w:t>
      </w:r>
      <w:r>
        <w:t xml:space="preserve">· Formulation-dependent differences in systemic glutathione availability: Comparative pharmacokinetics of orally dissolving film and tablet formulations in healthy adults. PMID 42392376</w:t>
      </w:r>
    </w:p>
    <w:p>
      <w:pPr>
        <w:numPr>
          <w:ilvl w:val="0"/>
          <w:numId w:val="1414"/>
        </w:numPr>
        <w:pStyle w:val="Compact"/>
      </w:pPr>
      <w:r>
        <w:t xml:space="preserve">2026 · Ramos-Hernández R ·</w:t>
      </w:r>
      <w:r>
        <w:t xml:space="preserve"> </w:t>
      </w:r>
      <w:r>
        <w:rPr>
          <w:iCs/>
          <w:i/>
        </w:rPr>
        <w:t xml:space="preserve">Biogerontology</w:t>
      </w:r>
      <w:r>
        <w:t xml:space="preserve"> </w:t>
      </w:r>
      <w:r>
        <w:t xml:space="preserve">· Creatine plus β-Hydroxy-β-Methylbutyrate supplementation is associated with preserved glutathione redox-balance and redox-function associations in older adults: a secondary analysis of a randomized crossover trial. PMID 41712056</w:t>
      </w:r>
    </w:p>
    <w:p>
      <w:pPr>
        <w:numPr>
          <w:ilvl w:val="0"/>
          <w:numId w:val="1414"/>
        </w:numPr>
        <w:pStyle w:val="Compact"/>
      </w:pPr>
      <w:r>
        <w:t xml:space="preserve">2025 · Mawu FO ·</w:t>
      </w:r>
      <w:r>
        <w:t xml:space="preserve"> </w:t>
      </w:r>
      <w:r>
        <w:rPr>
          <w:iCs/>
          <w:i/>
        </w:rPr>
        <w:t xml:space="preserve">Acta Dermatovenerol Alp Pannonica Adriat</w:t>
      </w:r>
      <w:r>
        <w:t xml:space="preserve"> </w:t>
      </w:r>
      <w:r>
        <w:t xml:space="preserve">· Effectiveness of oral glutathione in reducing nitric oxide and IL-1α concentrations for clinical improvement in mild to moderate acne vulgaris: a randomized controlled trial. PMID 41014073</w:t>
      </w:r>
    </w:p>
    <w:p>
      <w:pPr>
        <w:numPr>
          <w:ilvl w:val="0"/>
          <w:numId w:val="1414"/>
        </w:numPr>
        <w:pStyle w:val="Compact"/>
      </w:pPr>
      <w:r>
        <w:t xml:space="preserve">2025 · Williams PG ·</w:t>
      </w:r>
      <w:r>
        <w:t xml:space="preserve"> </w:t>
      </w:r>
      <w:r>
        <w:rPr>
          <w:iCs/>
          <w:i/>
        </w:rPr>
        <w:t xml:space="preserve">J Dev Behav Pediatr</w:t>
      </w:r>
      <w:r>
        <w:t xml:space="preserve"> </w:t>
      </w:r>
      <w:r>
        <w:t xml:space="preserve">· Glutathione, Vitamin C, and Cysteine Use in Autistic Children With Disruptive Behavior: A Double-Blind, Placebo-Controlled Crossover Pilot Study. PMID 39960783</w:t>
      </w:r>
    </w:p>
    <w:p>
      <w:pPr>
        <w:numPr>
          <w:ilvl w:val="0"/>
          <w:numId w:val="1414"/>
        </w:numPr>
        <w:pStyle w:val="Compact"/>
      </w:pPr>
      <w:r>
        <w:t xml:space="preserve">2024 · Copetti CLK ·</w:t>
      </w:r>
      <w:r>
        <w:t xml:space="preserve"> </w:t>
      </w:r>
      <w:r>
        <w:rPr>
          <w:iCs/>
          <w:i/>
        </w:rPr>
        <w:t xml:space="preserve">Appl Physiol Nutr Metab</w:t>
      </w:r>
      <w:r>
        <w:t xml:space="preserve"> </w:t>
      </w:r>
      <w:r>
        <w:t xml:space="preserve">· Juçara (Euterpe edulis Martius) improves time-to-exhaustion cycling performance and increased reduced glutathione: a randomized, placebo-controlled, crossover, and triple-blind study. PMID 38502949</w:t>
      </w:r>
    </w:p>
    <w:p>
      <w:pPr>
        <w:numPr>
          <w:ilvl w:val="0"/>
          <w:numId w:val="1414"/>
        </w:numPr>
        <w:pStyle w:val="Compact"/>
      </w:pPr>
      <w:r>
        <w:t xml:space="preserve">2023 · Radwan K ·</w:t>
      </w:r>
      <w:r>
        <w:t xml:space="preserve"> </w:t>
      </w:r>
      <w:r>
        <w:rPr>
          <w:iCs/>
          <w:i/>
        </w:rPr>
        <w:t xml:space="preserve">Med Sci (Basel)</w:t>
      </w:r>
      <w:r>
        <w:t xml:space="preserve"> </w:t>
      </w:r>
      <w:r>
        <w:t xml:space="preserve">· An Open-Label Case Series of Glutathione Use for Symptomatic Management in Children with Autism Spectrum Disorder. PMID 37987328</w:t>
      </w:r>
    </w:p>
    <w:p>
      <w:pPr>
        <w:numPr>
          <w:ilvl w:val="0"/>
          <w:numId w:val="1414"/>
        </w:numPr>
        <w:pStyle w:val="Compact"/>
      </w:pPr>
      <w:r>
        <w:t xml:space="preserve">2023 · Gaike AH ·</w:t>
      </w:r>
      <w:r>
        <w:t xml:space="preserve"> </w:t>
      </w:r>
      <w:r>
        <w:rPr>
          <w:iCs/>
          <w:i/>
        </w:rPr>
        <w:t xml:space="preserve">FEMS Microbiol Lett</w:t>
      </w:r>
      <w:r>
        <w:t xml:space="preserve"> </w:t>
      </w:r>
      <w:r>
        <w:t xml:space="preserve">· Effect of long-term oral glutathione supplementation on gut microbiome of type 2 diabetic individuals. PMID 37935462</w:t>
      </w:r>
    </w:p>
    <w:p>
      <w:pPr>
        <w:numPr>
          <w:ilvl w:val="0"/>
          <w:numId w:val="1414"/>
        </w:numPr>
        <w:pStyle w:val="Compact"/>
      </w:pPr>
      <w:r>
        <w:t xml:space="preserve">2023 · Juchem C ·</w:t>
      </w:r>
      <w:r>
        <w:t xml:space="preserve"> </w:t>
      </w:r>
      <w:r>
        <w:rPr>
          <w:iCs/>
          <w:i/>
        </w:rPr>
        <w:t xml:space="preserve">Neuroimage Clin</w:t>
      </w:r>
      <w:r>
        <w:t xml:space="preserve"> </w:t>
      </w:r>
      <w:r>
        <w:t xml:space="preserve">· In vivo cortical glutathione response to oral fumarate therapy in relapsing-remitting multiple sclerosis: A single-arm open-label phase IV trial using 7-Tesla (1)H MRS. PMID 37651844</w:t>
      </w:r>
    </w:p>
    <w:p>
      <w:pPr>
        <w:numPr>
          <w:ilvl w:val="0"/>
          <w:numId w:val="1414"/>
        </w:numPr>
        <w:pStyle w:val="Compact"/>
      </w:pPr>
      <w:r>
        <w:t xml:space="preserve">2023 · Benson M ·</w:t>
      </w:r>
      <w:r>
        <w:t xml:space="preserve"> </w:t>
      </w:r>
      <w:r>
        <w:rPr>
          <w:iCs/>
          <w:i/>
        </w:rPr>
        <w:t xml:space="preserve">Nutr Res</w:t>
      </w:r>
      <w:r>
        <w:t xml:space="preserve"> </w:t>
      </w:r>
      <w:r>
        <w:t xml:space="preserve">· Improved glycemic control either alone, or combined with antioxidant supplementation, fails to restore blood glutathione or markers of oxidative stress in adolescents with poorly controlled type 1 diabetes. PMID 37515943</w:t>
      </w:r>
    </w:p>
    <w:p>
      <w:pPr>
        <w:numPr>
          <w:ilvl w:val="0"/>
          <w:numId w:val="1414"/>
        </w:numPr>
        <w:pStyle w:val="Compact"/>
      </w:pPr>
      <w:r>
        <w:t xml:space="preserve">2023 · Figueroa A ·</w:t>
      </w:r>
      <w:r>
        <w:t xml:space="preserve"> </w:t>
      </w:r>
      <w:r>
        <w:rPr>
          <w:iCs/>
          <w:i/>
        </w:rPr>
        <w:t xml:space="preserve">Nutrients</w:t>
      </w:r>
      <w:r>
        <w:t xml:space="preserve"> </w:t>
      </w:r>
      <w:r>
        <w:t xml:space="preserve">· Combined Citrulline and Glutathione Supplementation Improves Endothelial Function and Blood Pressure Reactivity in Postmenopausal Women. PMID 37049398</w:t>
      </w:r>
    </w:p>
    <w:p>
      <w:pPr>
        <w:numPr>
          <w:ilvl w:val="0"/>
          <w:numId w:val="1414"/>
        </w:numPr>
        <w:pStyle w:val="Compact"/>
      </w:pPr>
      <w:r>
        <w:t xml:space="preserve">2023 · Chung JW ·</w:t>
      </w:r>
      <w:r>
        <w:t xml:space="preserve"> </w:t>
      </w:r>
      <w:r>
        <w:rPr>
          <w:iCs/>
          <w:i/>
        </w:rPr>
        <w:t xml:space="preserve">J Hum Nutr Diet</w:t>
      </w:r>
      <w:r>
        <w:t xml:space="preserve"> </w:t>
      </w:r>
      <w:r>
        <w:t xml:space="preserve">· Eight-week supplementation of Aronia berry extract promoted the glutathione defence system against acute aerobic exercise-induced oxidative load immediately and 30 min post-exercise in healthy adults: a double-blind, randomised controlled trial. PMID 36727618</w:t>
      </w:r>
    </w:p>
    <w:p>
      <w:pPr>
        <w:numPr>
          <w:ilvl w:val="0"/>
          <w:numId w:val="1414"/>
        </w:numPr>
        <w:pStyle w:val="Compact"/>
      </w:pPr>
      <w:r>
        <w:t xml:space="preserve">2023 · Arrivi A ·</w:t>
      </w:r>
      <w:r>
        <w:t xml:space="preserve"> </w:t>
      </w:r>
      <w:r>
        <w:rPr>
          <w:iCs/>
          <w:i/>
        </w:rPr>
        <w:t xml:space="preserve">Minerva Cardiol Angiol</w:t>
      </w:r>
      <w:r>
        <w:t xml:space="preserve"> </w:t>
      </w:r>
      <w:r>
        <w:t xml:space="preserve">· Early and prolonged glutathione infusion favorably impacts length of hospital stay in ST-elevation myocardial infarction patients: a subanalysis of the GSH2014 Trial. PMID 36083043</w:t>
      </w:r>
    </w:p>
    <w:p>
      <w:pPr>
        <w:numPr>
          <w:ilvl w:val="0"/>
          <w:numId w:val="1414"/>
        </w:numPr>
        <w:pStyle w:val="Compact"/>
      </w:pPr>
      <w:r>
        <w:t xml:space="preserve">2023 · Kumar P ·</w:t>
      </w:r>
      <w:r>
        <w:t xml:space="preserve"> </w:t>
      </w:r>
      <w:r>
        <w:rPr>
          <w:iCs/>
          <w:i/>
        </w:rPr>
        <w:t xml:space="preserve">J Gerontol A Biol Sci Med Sci</w:t>
      </w:r>
      <w:r>
        <w:t xml:space="preserve"> </w:t>
      </w:r>
      <w:r>
        <w:t xml:space="preserve">· Supplementing Glycine and N-Acetylcysteine (GlyNAC) in Older Adults Improves Glutathione Deficiency, Oxidative Stress, Mitochondrial Dysfunction, Inflammation, Physical Function, and Aging Hallmarks: A Randomized Clinical Trial. PMID 35975308</w:t>
      </w:r>
    </w:p>
    <w:p>
      <w:pPr>
        <w:numPr>
          <w:ilvl w:val="0"/>
          <w:numId w:val="1414"/>
        </w:numPr>
        <w:pStyle w:val="Compact"/>
      </w:pPr>
      <w:r>
        <w:t xml:space="preserve">2022 · Khosravi Z ·</w:t>
      </w:r>
      <w:r>
        <w:t xml:space="preserve"> </w:t>
      </w:r>
      <w:r>
        <w:rPr>
          <w:iCs/>
          <w:i/>
        </w:rPr>
        <w:t xml:space="preserve">Clin Nutr ESPEN</w:t>
      </w:r>
      <w:r>
        <w:t xml:space="preserve"> </w:t>
      </w:r>
      <w:r>
        <w:t xml:space="preserve">· The effects of butyrate supplementation on glycemic control, lipid profile, blood pressure, nitric oxide level and glutathione peroxidase activity in type 2 diabetic patients: A randomized triple -blind, placebo-controlled trial. PMID 35623879</w:t>
      </w:r>
    </w:p>
    <w:p>
      <w:pPr>
        <w:numPr>
          <w:ilvl w:val="0"/>
          <w:numId w:val="1414"/>
        </w:numPr>
        <w:pStyle w:val="Compact"/>
      </w:pPr>
      <w:r>
        <w:t xml:space="preserve">2022 · Wangdi JT ·</w:t>
      </w:r>
      <w:r>
        <w:t xml:space="preserve"> </w:t>
      </w:r>
      <w:r>
        <w:rPr>
          <w:iCs/>
          <w:i/>
        </w:rPr>
        <w:t xml:space="preserve">Med Sci Sports Exerc</w:t>
      </w:r>
      <w:r>
        <w:t xml:space="preserve"> </w:t>
      </w:r>
      <w:r>
        <w:t xml:space="preserve">· Tart Cherry Supplement Enhances Skeletal Muscle Glutathione Peroxidase Expression and Functional Recovery after Muscle Damage. PMID 34772901</w:t>
      </w:r>
    </w:p>
    <w:p>
      <w:pPr>
        <w:numPr>
          <w:ilvl w:val="0"/>
          <w:numId w:val="1414"/>
        </w:numPr>
        <w:pStyle w:val="Compact"/>
      </w:pPr>
      <w:r>
        <w:t xml:space="preserve">2022 · McAllister MJ ·</w:t>
      </w:r>
      <w:r>
        <w:t xml:space="preserve"> </w:t>
      </w:r>
      <w:r>
        <w:rPr>
          <w:iCs/>
          <w:i/>
        </w:rPr>
        <w:t xml:space="preserve">Int J Sport Nutr Exerc Metab</w:t>
      </w:r>
      <w:r>
        <w:t xml:space="preserve"> </w:t>
      </w:r>
      <w:r>
        <w:t xml:space="preserve">· Astaxanthin Supplementation Increases Glutathione Concentrations but Does Not Impact Fat Oxidation During Exercise in Active Young Men. PMID 34611051</w:t>
      </w:r>
    </w:p>
    <w:p>
      <w:pPr>
        <w:numPr>
          <w:ilvl w:val="0"/>
          <w:numId w:val="1414"/>
        </w:numPr>
        <w:pStyle w:val="Compact"/>
      </w:pPr>
      <w:r>
        <w:t xml:space="preserve">2022 · Duperray J ·</w:t>
      </w:r>
      <w:r>
        <w:t xml:space="preserve"> </w:t>
      </w:r>
      <w:r>
        <w:rPr>
          <w:iCs/>
          <w:i/>
        </w:rPr>
        <w:t xml:space="preserve">J Cosmet Dermatol</w:t>
      </w:r>
      <w:r>
        <w:t xml:space="preserve"> </w:t>
      </w:r>
      <w:r>
        <w:t xml:space="preserve">· The effects of the oral supplementation of L-Cystine associated with reduced L-Glutathione-GSH on human skin pigmentation: a randomized, double-blinded, benchmark- and placebo-controlled clinical trial. PMID 33834608</w:t>
      </w:r>
    </w:p>
    <w:p>
      <w:pPr>
        <w:numPr>
          <w:ilvl w:val="0"/>
          <w:numId w:val="1414"/>
        </w:numPr>
        <w:pStyle w:val="Compact"/>
      </w:pPr>
      <w:r>
        <w:t xml:space="preserve">2021 · To K ·</w:t>
      </w:r>
      <w:r>
        <w:t xml:space="preserve"> </w:t>
      </w:r>
      <w:r>
        <w:rPr>
          <w:iCs/>
          <w:i/>
        </w:rPr>
        <w:t xml:space="preserve">Front Cell Infect Microbiol</w:t>
      </w:r>
      <w:r>
        <w:t xml:space="preserve"> </w:t>
      </w:r>
      <w:r>
        <w:t xml:space="preserve">· Effects of Oral Liposomal Glutathione in Altering the Immune Responses Against Mycobacterium tuberculosis and the Mycobacterium bovis BCG Strain in Individuals With Type 2 Diabetes. PMID 34150674</w:t>
      </w:r>
    </w:p>
    <w:p>
      <w:pPr>
        <w:numPr>
          <w:ilvl w:val="0"/>
          <w:numId w:val="1414"/>
        </w:numPr>
        <w:pStyle w:val="Compact"/>
      </w:pPr>
      <w:r>
        <w:t xml:space="preserve">2021 · To K ·</w:t>
      </w:r>
      <w:r>
        <w:t xml:space="preserve"> </w:t>
      </w:r>
      <w:r>
        <w:rPr>
          <w:iCs/>
          <w:i/>
        </w:rPr>
        <w:t xml:space="preserve">Biomol Concepts</w:t>
      </w:r>
      <w:r>
        <w:t xml:space="preserve"> </w:t>
      </w:r>
      <w:r>
        <w:t xml:space="preserve">· The Effects of Oral Liposomal Glutathione and In Vitro Everolimus in Altering the Immune Responses against Mycobacterium bovis BCG Strain in Individuals with Type 2 Diabetes. PMID 33966361</w:t>
      </w:r>
    </w:p>
    <w:p>
      <w:pPr>
        <w:numPr>
          <w:ilvl w:val="0"/>
          <w:numId w:val="1414"/>
        </w:numPr>
        <w:pStyle w:val="Compact"/>
      </w:pPr>
      <w:r>
        <w:t xml:space="preserve">2021 · Martins ML ·</w:t>
      </w:r>
      <w:r>
        <w:t xml:space="preserve"> </w:t>
      </w:r>
      <w:r>
        <w:rPr>
          <w:iCs/>
          <w:i/>
        </w:rPr>
        <w:t xml:space="preserve">Int Urol Nephrol</w:t>
      </w:r>
      <w:r>
        <w:t xml:space="preserve"> </w:t>
      </w:r>
      <w:r>
        <w:t xml:space="preserve">· Vitamin C decreases reduced glutathione in chronic haemodialysis patients: a pilot, randomised, double-blind trial. PMID 33905041</w:t>
      </w:r>
    </w:p>
    <w:p>
      <w:pPr>
        <w:numPr>
          <w:ilvl w:val="0"/>
          <w:numId w:val="1414"/>
        </w:numPr>
        <w:pStyle w:val="Compact"/>
      </w:pPr>
      <w:r>
        <w:t xml:space="preserve">2021 · Wahab S ·</w:t>
      </w:r>
      <w:r>
        <w:t xml:space="preserve"> </w:t>
      </w:r>
      <w:r>
        <w:rPr>
          <w:iCs/>
          <w:i/>
        </w:rPr>
        <w:t xml:space="preserve">Int J Dermatol</w:t>
      </w:r>
      <w:r>
        <w:t xml:space="preserve"> </w:t>
      </w:r>
      <w:r>
        <w:t xml:space="preserve">· Combination of topical and oral glutathione as a skin-whitening agent: a double-blind randomized controlled clinical trial. PMID 33871071</w:t>
      </w:r>
    </w:p>
    <w:p>
      <w:pPr>
        <w:numPr>
          <w:ilvl w:val="0"/>
          <w:numId w:val="1414"/>
        </w:numPr>
        <w:pStyle w:val="Compact"/>
      </w:pPr>
      <w:r>
        <w:t xml:space="preserve">2021 · Søndergård SD ·</w:t>
      </w:r>
      <w:r>
        <w:t xml:space="preserve"> </w:t>
      </w:r>
      <w:r>
        <w:rPr>
          <w:iCs/>
          <w:i/>
        </w:rPr>
        <w:t xml:space="preserve">Appl Physiol Nutr Metab</w:t>
      </w:r>
      <w:r>
        <w:t xml:space="preserve"> </w:t>
      </w:r>
      <w:r>
        <w:t xml:space="preserve">· The effects of 3 weeks of oral glutathione supplementation on whole body insulin sensitivity in obese males with and without type 2 diabetes: a randomized trial. PMID 33740389</w:t>
      </w:r>
    </w:p>
    <w:p>
      <w:pPr>
        <w:numPr>
          <w:ilvl w:val="0"/>
          <w:numId w:val="1414"/>
        </w:numPr>
        <w:pStyle w:val="Compact"/>
      </w:pPr>
      <w:r>
        <w:t xml:space="preserve">2021 · Haidari F ·</w:t>
      </w:r>
      <w:r>
        <w:t xml:space="preserve"> </w:t>
      </w:r>
      <w:r>
        <w:rPr>
          <w:iCs/>
          <w:i/>
        </w:rPr>
        <w:t xml:space="preserve">Hum Fertil (Camb)</w:t>
      </w:r>
      <w:r>
        <w:t xml:space="preserve"> </w:t>
      </w:r>
      <w:r>
        <w:t xml:space="preserve">· Effect of lipoic acid supplementation on gene expression and activity of glutathione S-transferase enzyme in infertile men. PMID 31291793</w:t>
      </w:r>
    </w:p>
    <w:p>
      <w:pPr>
        <w:numPr>
          <w:ilvl w:val="0"/>
          <w:numId w:val="1414"/>
        </w:numPr>
        <w:pStyle w:val="Compact"/>
      </w:pPr>
      <w:r>
        <w:t xml:space="preserve">2020 · Biswas P ·</w:t>
      </w:r>
      <w:r>
        <w:t xml:space="preserve"> </w:t>
      </w:r>
      <w:r>
        <w:rPr>
          <w:iCs/>
          <w:i/>
        </w:rPr>
        <w:t xml:space="preserve">Nutrients</w:t>
      </w:r>
      <w:r>
        <w:t xml:space="preserve"> </w:t>
      </w:r>
      <w:r>
        <w:t xml:space="preserve">· Antioxidant Activity with Increased Endogenous Levels of Vitamin C, E and A Following Dietary Supplementation with a Combination of Glutathione and Resveratrol Precursors. PMID 33105552</w:t>
      </w:r>
    </w:p>
    <w:p>
      <w:pPr>
        <w:numPr>
          <w:ilvl w:val="0"/>
          <w:numId w:val="1414"/>
        </w:numPr>
        <w:pStyle w:val="Compact"/>
      </w:pPr>
      <w:r>
        <w:t xml:space="preserve">2020 · Bozic M ·</w:t>
      </w:r>
      <w:r>
        <w:t xml:space="preserve"> </w:t>
      </w:r>
      <w:r>
        <w:rPr>
          <w:iCs/>
          <w:i/>
        </w:rPr>
        <w:t xml:space="preserve">J Pediatr Gastroenterol Nutr</w:t>
      </w:r>
      <w:r>
        <w:t xml:space="preserve"> </w:t>
      </w:r>
      <w:r>
        <w:t xml:space="preserve">· Oral Glutathione and Growth in Cystic Fibrosis: A Multicenter, Randomized, Placebo-controlled, Double-blind Trial. PMID 32960827</w:t>
      </w:r>
    </w:p>
    <w:p>
      <w:pPr>
        <w:numPr>
          <w:ilvl w:val="0"/>
          <w:numId w:val="1414"/>
        </w:numPr>
        <w:pStyle w:val="Compact"/>
      </w:pPr>
      <w:r>
        <w:t xml:space="preserve">2020 · Lai CY ·</w:t>
      </w:r>
      <w:r>
        <w:t xml:space="preserve"> </w:t>
      </w:r>
      <w:r>
        <w:rPr>
          <w:iCs/>
          <w:i/>
        </w:rPr>
        <w:t xml:space="preserve">Nutrients</w:t>
      </w:r>
      <w:r>
        <w:t xml:space="preserve"> </w:t>
      </w:r>
      <w:r>
        <w:t xml:space="preserve">· Impact of Glutathione and Vitamin B-6 in Cirrhosis Patients: A Randomized Controlled Trial and Follow-Up Study. PMID 32635181</w:t>
      </w:r>
    </w:p>
    <w:p>
      <w:pPr>
        <w:numPr>
          <w:ilvl w:val="0"/>
          <w:numId w:val="1414"/>
        </w:numPr>
        <w:pStyle w:val="Compact"/>
      </w:pPr>
      <w:r>
        <w:t xml:space="preserve">2020 · Mastaloudis A ·</w:t>
      </w:r>
      <w:r>
        <w:t xml:space="preserve"> </w:t>
      </w:r>
      <w:r>
        <w:rPr>
          <w:iCs/>
          <w:i/>
        </w:rPr>
        <w:t xml:space="preserve">Free Radic Biol Med</w:t>
      </w:r>
      <w:r>
        <w:t xml:space="preserve"> </w:t>
      </w:r>
      <w:r>
        <w:t xml:space="preserve">· Supplementation with a putative calorie restriction mimetic micronutrient blend increases glutathione concentrations and improves neuroenergetics in brain of healthy middle-aged men and women. PMID 32335159</w:t>
      </w:r>
    </w:p>
    <w:p>
      <w:pPr>
        <w:numPr>
          <w:ilvl w:val="0"/>
          <w:numId w:val="1414"/>
        </w:numPr>
        <w:pStyle w:val="Compact"/>
      </w:pPr>
      <w:r>
        <w:t xml:space="preserve">2019 · de Souza RGM ·</w:t>
      </w:r>
      <w:r>
        <w:t xml:space="preserve"> </w:t>
      </w:r>
      <w:r>
        <w:rPr>
          <w:iCs/>
          <w:i/>
        </w:rPr>
        <w:t xml:space="preserve">Nutrients</w:t>
      </w:r>
      <w:r>
        <w:t xml:space="preserve"> </w:t>
      </w:r>
      <w:r>
        <w:t xml:space="preserve">· Baru Almonds Increase the Activity of Glutathione Peroxidase in Overweight and Obese Women: A Randomized, Placebo-Controlled Trial. PMID 31366053</w:t>
      </w:r>
    </w:p>
    <w:p>
      <w:pPr>
        <w:numPr>
          <w:ilvl w:val="0"/>
          <w:numId w:val="1414"/>
        </w:numPr>
        <w:pStyle w:val="Compact"/>
      </w:pPr>
      <w:r>
        <w:t xml:space="preserve">2019 · Girgis RR ·</w:t>
      </w:r>
      <w:r>
        <w:t xml:space="preserve"> </w:t>
      </w:r>
      <w:r>
        <w:rPr>
          <w:iCs/>
          <w:i/>
        </w:rPr>
        <w:t xml:space="preserve">Psychiatry Res</w:t>
      </w:r>
      <w:r>
        <w:t xml:space="preserve"> </w:t>
      </w:r>
      <w:r>
        <w:t xml:space="preserve">· Effects of acute N-acetylcysteine challenge on cortical glutathione and glutamate in schizophrenia: A pilot in vivo proton magnetic resonance spectroscopy study. PMID 30884334</w:t>
      </w:r>
    </w:p>
    <w:p>
      <w:pPr>
        <w:numPr>
          <w:ilvl w:val="0"/>
          <w:numId w:val="1414"/>
        </w:numPr>
        <w:pStyle w:val="Compact"/>
      </w:pPr>
      <w:r>
        <w:t xml:space="preserve">2019 · Pickering G ·</w:t>
      </w:r>
      <w:r>
        <w:t xml:space="preserve"> </w:t>
      </w:r>
      <w:r>
        <w:rPr>
          <w:iCs/>
          <w:i/>
        </w:rPr>
        <w:t xml:space="preserve">Fundam Clin Pharmacol</w:t>
      </w:r>
      <w:r>
        <w:t xml:space="preserve"> </w:t>
      </w:r>
      <w:r>
        <w:t xml:space="preserve">· N-acetylcysteine prevents glutathione decrease and does not interfere with paracetamol antinociceptive effect at therapeutic dosage: a randomized double-blind controlled trial in healthy subjects. PMID 30471141</w:t>
      </w:r>
    </w:p>
    <w:p>
      <w:pPr>
        <w:numPr>
          <w:ilvl w:val="0"/>
          <w:numId w:val="1414"/>
        </w:numPr>
        <w:pStyle w:val="Compact"/>
      </w:pPr>
      <w:r>
        <w:t xml:space="preserve">2019 · Grandi V ·</w:t>
      </w:r>
      <w:r>
        <w:t xml:space="preserve"> </w:t>
      </w:r>
      <w:r>
        <w:rPr>
          <w:iCs/>
          <w:i/>
        </w:rPr>
        <w:t xml:space="preserve">G Ital Dermatol Venereol</w:t>
      </w:r>
      <w:r>
        <w:t xml:space="preserve"> </w:t>
      </w:r>
      <w:r>
        <w:t xml:space="preserve">· Efficacy and safety of S-acyl glutathione 2% cream vs. placebo against UVB-induced erythema: a randomized, double-blinded clinical trial. PMID 28399620</w:t>
      </w:r>
    </w:p>
    <w:p>
      <w:pPr>
        <w:numPr>
          <w:ilvl w:val="0"/>
          <w:numId w:val="1414"/>
        </w:numPr>
        <w:pStyle w:val="Compact"/>
      </w:pPr>
      <w:r>
        <w:t xml:space="preserve">2018 · Parida S ·</w:t>
      </w:r>
      <w:r>
        <w:t xml:space="preserve"> </w:t>
      </w:r>
      <w:r>
        <w:rPr>
          <w:iCs/>
          <w:i/>
        </w:rPr>
        <w:t xml:space="preserve">Indian J Gastroenterol</w:t>
      </w:r>
      <w:r>
        <w:t xml:space="preserve"> </w:t>
      </w:r>
      <w:r>
        <w:t xml:space="preserve">· Study of glutathione S-transferase levels in patients receiving intravenous paracetamol perioperatively: A randomized controlled trial. PMID 30421393</w:t>
      </w:r>
    </w:p>
    <w:p>
      <w:pPr>
        <w:numPr>
          <w:ilvl w:val="0"/>
          <w:numId w:val="1414"/>
        </w:numPr>
        <w:pStyle w:val="Compact"/>
      </w:pPr>
      <w:r>
        <w:t xml:space="preserve">2018 · Hwang P ·</w:t>
      </w:r>
      <w:r>
        <w:t xml:space="preserve"> </w:t>
      </w:r>
      <w:r>
        <w:rPr>
          <w:iCs/>
          <w:i/>
        </w:rPr>
        <w:t xml:space="preserve">J Int Soc Sports Nutr</w:t>
      </w:r>
      <w:r>
        <w:t xml:space="preserve"> </w:t>
      </w:r>
      <w:r>
        <w:t xml:space="preserve">· Eight weeks of resistance training in conjunction with glutathione and L-Citrulline supplementation increases lean mass and has no adverse effects on blood clinical safety markers in resistance-trained males. PMID 29945625</w:t>
      </w:r>
    </w:p>
    <w:p>
      <w:pPr>
        <w:numPr>
          <w:ilvl w:val="0"/>
          <w:numId w:val="1414"/>
        </w:numPr>
        <w:pStyle w:val="Compact"/>
      </w:pPr>
      <w:r>
        <w:t xml:space="preserve">2018 · Kleniewska P ·</w:t>
      </w:r>
      <w:r>
        <w:t xml:space="preserve"> </w:t>
      </w:r>
      <w:r>
        <w:rPr>
          <w:iCs/>
          <w:i/>
        </w:rPr>
        <w:t xml:space="preserve">Adv Med Sci</w:t>
      </w:r>
      <w:r>
        <w:t xml:space="preserve"> </w:t>
      </w:r>
      <w:r>
        <w:t xml:space="preserve">· Assessment of human 4-hydroxynonenal, 8-isoprostane concentrations and glutathione reductase activity after synbiotics administration. PMID 29859494</w:t>
      </w:r>
    </w:p>
    <w:p>
      <w:pPr>
        <w:numPr>
          <w:ilvl w:val="0"/>
          <w:numId w:val="1414"/>
        </w:numPr>
        <w:pStyle w:val="Compact"/>
      </w:pPr>
      <w:r>
        <w:t xml:space="preserve">2018 · Bumrungpert A ·</w:t>
      </w:r>
      <w:r>
        <w:t xml:space="preserve"> </w:t>
      </w:r>
      <w:r>
        <w:rPr>
          <w:iCs/>
          <w:i/>
        </w:rPr>
        <w:t xml:space="preserve">J Med Food</w:t>
      </w:r>
      <w:r>
        <w:t xml:space="preserve"> </w:t>
      </w:r>
      <w:r>
        <w:t xml:space="preserve">· Whey Protein Supplementation Improves Nutritional Status, Glutathione Levels, and Immune Function in Cancer Patients: A Randomized, Double-Blind Controlled Trial. PMID 29565716</w:t>
      </w:r>
    </w:p>
    <w:p>
      <w:pPr>
        <w:numPr>
          <w:ilvl w:val="0"/>
          <w:numId w:val="1414"/>
        </w:numPr>
        <w:pStyle w:val="Compact"/>
      </w:pPr>
      <w:r>
        <w:t xml:space="preserve">2018 · Moss HG ·</w:t>
      </w:r>
      <w:r>
        <w:t xml:space="preserve"> </w:t>
      </w:r>
      <w:r>
        <w:rPr>
          <w:iCs/>
          <w:i/>
        </w:rPr>
        <w:t xml:space="preserve">J Cereb Blood Flow Metab</w:t>
      </w:r>
      <w:r>
        <w:t xml:space="preserve"> </w:t>
      </w:r>
      <w:r>
        <w:t xml:space="preserve">· N-Acetylcysteine rapidly replenishes central nervous system glutathione measured via magnetic resonance spectroscopy in human neonates with hypoxic-ischemic encephalopathy. PMID 29561203</w:t>
      </w:r>
    </w:p>
    <w:p>
      <w:pPr>
        <w:numPr>
          <w:ilvl w:val="0"/>
          <w:numId w:val="1414"/>
        </w:numPr>
        <w:pStyle w:val="Compact"/>
      </w:pPr>
      <w:r>
        <w:t xml:space="preserve">2018 · Kanhai KMS ·</w:t>
      </w:r>
      <w:r>
        <w:t xml:space="preserve"> </w:t>
      </w:r>
      <w:r>
        <w:rPr>
          <w:iCs/>
          <w:i/>
        </w:rPr>
        <w:t xml:space="preserve">Br J Clin Pharmacol</w:t>
      </w:r>
      <w:r>
        <w:t xml:space="preserve"> </w:t>
      </w:r>
      <w:r>
        <w:t xml:space="preserve">· Glutathione-PEGylated liposomal methylprednisolone in comparison to free methylprednisolone: slow release characteristics and prolonged lymphocyte depression in a first-in-human study. PMID 29385232</w:t>
      </w:r>
    </w:p>
    <w:p>
      <w:pPr>
        <w:numPr>
          <w:ilvl w:val="0"/>
          <w:numId w:val="1414"/>
        </w:numPr>
        <w:pStyle w:val="Compact"/>
      </w:pPr>
      <w:r>
        <w:t xml:space="preserve">2018 · Coles LD ·</w:t>
      </w:r>
      <w:r>
        <w:t xml:space="preserve"> </w:t>
      </w:r>
      <w:r>
        <w:rPr>
          <w:iCs/>
          <w:i/>
        </w:rPr>
        <w:t xml:space="preserve">J Clin Pharmacol</w:t>
      </w:r>
      <w:r>
        <w:t xml:space="preserve"> </w:t>
      </w:r>
      <w:r>
        <w:t xml:space="preserve">· Repeated-Dose Oral N-Acetylcysteine in Parkinson’s Disease: Pharmacokinetics and Effect on Brain Glutathione and Oxidative Stress. PMID 28940353</w:t>
      </w:r>
    </w:p>
    <w:p>
      <w:pPr>
        <w:numPr>
          <w:ilvl w:val="0"/>
          <w:numId w:val="1414"/>
        </w:numPr>
        <w:pStyle w:val="Compact"/>
      </w:pPr>
      <w:r>
        <w:t xml:space="preserve">2017 · Honda Y ·</w:t>
      </w:r>
      <w:r>
        <w:t xml:space="preserve"> </w:t>
      </w:r>
      <w:r>
        <w:rPr>
          <w:iCs/>
          <w:i/>
        </w:rPr>
        <w:t xml:space="preserve">BMC Gastroenterol</w:t>
      </w:r>
      <w:r>
        <w:t xml:space="preserve"> </w:t>
      </w:r>
      <w:r>
        <w:t xml:space="preserve">· Efficacy of glutathione for the treatment of nonalcoholic fatty liver disease: an open-label, single-arm, multicenter, pilot study. PMID 28789631</w:t>
      </w:r>
    </w:p>
    <w:p>
      <w:pPr>
        <w:numPr>
          <w:ilvl w:val="0"/>
          <w:numId w:val="1414"/>
        </w:numPr>
        <w:pStyle w:val="Compact"/>
      </w:pPr>
      <w:r>
        <w:t xml:space="preserve">2017 · Campolo J ·</w:t>
      </w:r>
      <w:r>
        <w:t xml:space="preserve"> </w:t>
      </w:r>
      <w:r>
        <w:rPr>
          <w:iCs/>
          <w:i/>
        </w:rPr>
        <w:t xml:space="preserve">Nutrition</w:t>
      </w:r>
      <w:r>
        <w:t xml:space="preserve"> </w:t>
      </w:r>
      <w:r>
        <w:t xml:space="preserve">· Medium-term effect of sublingual l-glutathione supplementation on flow-mediated dilation in subjects with cardiovascular risk factors. PMID 28526381</w:t>
      </w:r>
    </w:p>
    <w:p>
      <w:pPr>
        <w:numPr>
          <w:ilvl w:val="0"/>
          <w:numId w:val="1414"/>
        </w:numPr>
        <w:pStyle w:val="Compact"/>
      </w:pPr>
      <w:r>
        <w:t xml:space="preserve">2017 · Zarka MH ·</w:t>
      </w:r>
      <w:r>
        <w:t xml:space="preserve"> </w:t>
      </w:r>
      <w:r>
        <w:rPr>
          <w:iCs/>
          <w:i/>
        </w:rPr>
        <w:t xml:space="preserve">Redox Biol</w:t>
      </w:r>
      <w:r>
        <w:t xml:space="preserve"> </w:t>
      </w:r>
      <w:r>
        <w:t xml:space="preserve">· Oral administration of γ-glutamylcysteine increases intracellular glutathione levels above homeostasis in a randomised human trial pilot study. PMID 28131081</w:t>
      </w:r>
    </w:p>
    <w:p>
      <w:pPr>
        <w:numPr>
          <w:ilvl w:val="0"/>
          <w:numId w:val="1414"/>
        </w:numPr>
        <w:pStyle w:val="Compact"/>
      </w:pPr>
      <w:r>
        <w:t xml:space="preserve">2016 · Yuan JM ·</w:t>
      </w:r>
      <w:r>
        <w:t xml:space="preserve"> </w:t>
      </w:r>
      <w:r>
        <w:rPr>
          <w:iCs/>
          <w:i/>
        </w:rPr>
        <w:t xml:space="preserve">Cancer Prev Res (Phila)</w:t>
      </w:r>
      <w:r>
        <w:t xml:space="preserve"> </w:t>
      </w:r>
      <w:r>
        <w:t xml:space="preserve">· 2-Phenethyl Isothiocyanate, Glutathione S-transferase M1 and T1 Polymorphisms, and Detoxification of Volatile Organic Carcinogens and Toxicants in Tobacco Smoke. PMID 27099270</w:t>
      </w:r>
    </w:p>
    <w:p>
      <w:pPr>
        <w:numPr>
          <w:ilvl w:val="0"/>
          <w:numId w:val="1414"/>
        </w:numPr>
        <w:pStyle w:val="Compact"/>
      </w:pPr>
      <w:r>
        <w:t xml:space="preserve">2016 · Handog EB ·</w:t>
      </w:r>
      <w:r>
        <w:t xml:space="preserve"> </w:t>
      </w:r>
      <w:r>
        <w:rPr>
          <w:iCs/>
          <w:i/>
        </w:rPr>
        <w:t xml:space="preserve">Int J Dermatol</w:t>
      </w:r>
      <w:r>
        <w:t xml:space="preserve"> </w:t>
      </w:r>
      <w:r>
        <w:t xml:space="preserve">· An open-label, single-arm trial of the safety and efficacy of a novel preparation of glutathione as a skin-lightening agent in Filipino women. PMID 26148180</w:t>
      </w:r>
    </w:p>
    <w:p>
      <w:pPr>
        <w:numPr>
          <w:ilvl w:val="0"/>
          <w:numId w:val="1414"/>
        </w:numPr>
        <w:pStyle w:val="Compact"/>
      </w:pPr>
      <w:r>
        <w:t xml:space="preserve">2016 · Calkins KL ·</w:t>
      </w:r>
      <w:r>
        <w:t xml:space="preserve"> </w:t>
      </w:r>
      <w:r>
        <w:rPr>
          <w:iCs/>
          <w:i/>
        </w:rPr>
        <w:t xml:space="preserve">JPEN J Parenter Enteral Nutr</w:t>
      </w:r>
      <w:r>
        <w:t xml:space="preserve"> </w:t>
      </w:r>
      <w:r>
        <w:t xml:space="preserve">· Effect of High-Dose Cysteine Supplementation on Erythrocyte Glutathione: A Double-Blinded, Randomized Placebo-Controlled Pilot Study in Critically Ill Neonates. PMID 25139979</w:t>
      </w:r>
    </w:p>
    <w:p>
      <w:pPr>
        <w:numPr>
          <w:ilvl w:val="0"/>
          <w:numId w:val="1414"/>
        </w:numPr>
        <w:pStyle w:val="Compact"/>
      </w:pPr>
      <w:r>
        <w:t xml:space="preserve">2015 · Duffy SL ·</w:t>
      </w:r>
      <w:r>
        <w:t xml:space="preserve"> </w:t>
      </w:r>
      <w:r>
        <w:rPr>
          <w:iCs/>
          <w:i/>
        </w:rPr>
        <w:t xml:space="preserve">Nutrition</w:t>
      </w:r>
      <w:r>
        <w:t xml:space="preserve"> </w:t>
      </w:r>
      <w:r>
        <w:t xml:space="preserve">· The effect of 12-wk ω-3 fatty acid supplementation on in vivo thalamus glutathione concentration in patients</w:t>
      </w:r>
      <w:r>
        <w:t xml:space="preserve"> </w:t>
      </w:r>
      <w:r>
        <w:t xml:space="preserve">“</w:t>
      </w:r>
      <w:r>
        <w:t xml:space="preserve">at risk</w:t>
      </w:r>
      <w:r>
        <w:t xml:space="preserve">”</w:t>
      </w:r>
      <w:r>
        <w:t xml:space="preserve"> </w:t>
      </w:r>
      <w:r>
        <w:t xml:space="preserve">for major depression. PMID 26333890</w:t>
      </w:r>
    </w:p>
    <w:p>
      <w:pPr>
        <w:numPr>
          <w:ilvl w:val="0"/>
          <w:numId w:val="1414"/>
        </w:numPr>
        <w:pStyle w:val="Compact"/>
      </w:pPr>
      <w:r>
        <w:t xml:space="preserve">2015 · Schmitt B ·</w:t>
      </w:r>
      <w:r>
        <w:t xml:space="preserve"> </w:t>
      </w:r>
      <w:r>
        <w:rPr>
          <w:iCs/>
          <w:i/>
        </w:rPr>
        <w:t xml:space="preserve">Redox Biol</w:t>
      </w:r>
      <w:r>
        <w:t xml:space="preserve"> </w:t>
      </w:r>
      <w:r>
        <w:t xml:space="preserve">· Effects of N-acetylcysteine, oral glutathione (GSH) and a novel sublingual form of GSH on oxidative stress markers: A comparative crossover study. PMID 26262996</w:t>
      </w:r>
    </w:p>
    <w:p>
      <w:pPr>
        <w:numPr>
          <w:ilvl w:val="0"/>
          <w:numId w:val="1414"/>
        </w:numPr>
        <w:pStyle w:val="Compact"/>
      </w:pPr>
      <w:r>
        <w:t xml:space="preserve">2015 · McKinley-Barnard S ·</w:t>
      </w:r>
      <w:r>
        <w:t xml:space="preserve"> </w:t>
      </w:r>
      <w:r>
        <w:rPr>
          <w:iCs/>
          <w:i/>
        </w:rPr>
        <w:t xml:space="preserve">J Int Soc Sports Nutr</w:t>
      </w:r>
      <w:r>
        <w:t xml:space="preserve"> </w:t>
      </w:r>
      <w:r>
        <w:t xml:space="preserve">· Combined L-citrulline and glutathione supplementation increases the concentration of markers indicative of nitric oxide synthesis. PMID 26097441</w:t>
      </w:r>
    </w:p>
    <w:p>
      <w:pPr>
        <w:numPr>
          <w:ilvl w:val="0"/>
          <w:numId w:val="1414"/>
        </w:numPr>
        <w:pStyle w:val="Compact"/>
      </w:pPr>
      <w:r>
        <w:t xml:space="preserve">2015 · Visca A ·</w:t>
      </w:r>
      <w:r>
        <w:t xml:space="preserve"> </w:t>
      </w:r>
      <w:r>
        <w:rPr>
          <w:iCs/>
          <w:i/>
        </w:rPr>
        <w:t xml:space="preserve">J Pediatr Gastroenterol Nutr</w:t>
      </w:r>
      <w:r>
        <w:t xml:space="preserve"> </w:t>
      </w:r>
      <w:r>
        <w:t xml:space="preserve">· Oral reduced L-glutathione improves growth in pediatric cystic fibrosis patients. PMID 25633497</w:t>
      </w:r>
    </w:p>
    <w:p>
      <w:pPr>
        <w:numPr>
          <w:ilvl w:val="0"/>
          <w:numId w:val="1414"/>
        </w:numPr>
        <w:pStyle w:val="Compact"/>
      </w:pPr>
      <w:r>
        <w:t xml:space="preserve">2015 · Richie JP Jr ·</w:t>
      </w:r>
      <w:r>
        <w:t xml:space="preserve"> </w:t>
      </w:r>
      <w:r>
        <w:rPr>
          <w:iCs/>
          <w:i/>
        </w:rPr>
        <w:t xml:space="preserve">Eur J Nutr</w:t>
      </w:r>
      <w:r>
        <w:t xml:space="preserve"> </w:t>
      </w:r>
      <w:r>
        <w:t xml:space="preserve">· Randomized controlled trial of oral glutathione supplementation on body stores of glutathione. PMID 24791752</w:t>
      </w:r>
    </w:p>
    <w:p>
      <w:pPr>
        <w:numPr>
          <w:ilvl w:val="0"/>
          <w:numId w:val="1414"/>
        </w:numPr>
        <w:pStyle w:val="Compact"/>
      </w:pPr>
      <w:r>
        <w:t xml:space="preserve">2014 · Kasperczyk S ·</w:t>
      </w:r>
      <w:r>
        <w:t xml:space="preserve"> </w:t>
      </w:r>
      <w:r>
        <w:rPr>
          <w:iCs/>
          <w:i/>
        </w:rPr>
        <w:t xml:space="preserve">Toxicol Appl Pharmacol</w:t>
      </w:r>
      <w:r>
        <w:t xml:space="preserve"> </w:t>
      </w:r>
      <w:r>
        <w:t xml:space="preserve">· Beta-carotene reduces oxidative stress, improves glutathione metabolism and modifies antioxidant defense systems in lead-exposed workers. PMID 25038314</w:t>
      </w:r>
    </w:p>
    <w:p>
      <w:pPr>
        <w:numPr>
          <w:ilvl w:val="0"/>
          <w:numId w:val="1414"/>
        </w:numPr>
        <w:pStyle w:val="Compact"/>
      </w:pPr>
      <w:r>
        <w:t xml:space="preserve">2014 · Park EY ·</w:t>
      </w:r>
      <w:r>
        <w:t xml:space="preserve"> </w:t>
      </w:r>
      <w:r>
        <w:rPr>
          <w:iCs/>
          <w:i/>
        </w:rPr>
        <w:t xml:space="preserve">J Agric Food Chem</w:t>
      </w:r>
      <w:r>
        <w:t xml:space="preserve"> </w:t>
      </w:r>
      <w:r>
        <w:t xml:space="preserve">· Increase in the protein-bound form of glutathione in human blood after the oral administration of glutathione. PMID 24877771</w:t>
      </w:r>
    </w:p>
    <w:p>
      <w:pPr>
        <w:numPr>
          <w:ilvl w:val="0"/>
          <w:numId w:val="1414"/>
        </w:numPr>
        <w:pStyle w:val="Compact"/>
      </w:pPr>
      <w:r>
        <w:t xml:space="preserve">2014 · Giacosa A ·</w:t>
      </w:r>
      <w:r>
        <w:t xml:space="preserve"> </w:t>
      </w:r>
      <w:r>
        <w:rPr>
          <w:iCs/>
          <w:i/>
        </w:rPr>
        <w:t xml:space="preserve">Nutrients</w:t>
      </w:r>
      <w:r>
        <w:t xml:space="preserve"> </w:t>
      </w:r>
      <w:r>
        <w:t xml:space="preserve">· Selenium fortification of an Italian rice cultivar via foliar fertilization with sodium selenate and its effects on human serum selenium levels and on erythrocyte glutathione peroxidase activity. PMID 24667132</w:t>
      </w:r>
    </w:p>
    <w:p>
      <w:pPr>
        <w:numPr>
          <w:ilvl w:val="0"/>
          <w:numId w:val="1414"/>
        </w:numPr>
        <w:pStyle w:val="Compact"/>
      </w:pPr>
      <w:r>
        <w:t xml:space="preserve">2014 · Green CO ·</w:t>
      </w:r>
      <w:r>
        <w:t xml:space="preserve"> </w:t>
      </w:r>
      <w:r>
        <w:rPr>
          <w:iCs/>
          <w:i/>
        </w:rPr>
        <w:t xml:space="preserve">Am J Clin Nutr</w:t>
      </w:r>
      <w:r>
        <w:t xml:space="preserve"> </w:t>
      </w:r>
      <w:r>
        <w:t xml:space="preserve">· Effects of randomized supplementation of methionine or alanine on cysteine and glutathione production during the early phase of treatment of children with edematous malnutrition. PMID 24598154</w:t>
      </w:r>
    </w:p>
    <w:p>
      <w:pPr>
        <w:numPr>
          <w:ilvl w:val="0"/>
          <w:numId w:val="1414"/>
        </w:numPr>
        <w:pStyle w:val="Compact"/>
      </w:pPr>
      <w:r>
        <w:t xml:space="preserve">2014 · Nguyen D ·</w:t>
      </w:r>
      <w:r>
        <w:t xml:space="preserve"> </w:t>
      </w:r>
      <w:r>
        <w:rPr>
          <w:iCs/>
          <w:i/>
        </w:rPr>
        <w:t xml:space="preserve">J Clin Endocrinol Metab</w:t>
      </w:r>
      <w:r>
        <w:t xml:space="preserve"> </w:t>
      </w:r>
      <w:r>
        <w:t xml:space="preserve">· Effect of increasing glutathione with cysteine and glycine supplementation on mitochondrial fuel oxidation, insulin sensitivity, and body composition in older HIV-infected patients. PMID 24081740</w:t>
      </w:r>
    </w:p>
    <w:p>
      <w:pPr>
        <w:numPr>
          <w:ilvl w:val="0"/>
          <w:numId w:val="1414"/>
        </w:numPr>
        <w:pStyle w:val="Compact"/>
      </w:pPr>
      <w:r>
        <w:t xml:space="preserve">2013 · Holmay MJ ·</w:t>
      </w:r>
      <w:r>
        <w:t xml:space="preserve"> </w:t>
      </w:r>
      <w:r>
        <w:rPr>
          <w:iCs/>
          <w:i/>
        </w:rPr>
        <w:t xml:space="preserve">Clin Neuropharmacol</w:t>
      </w:r>
      <w:r>
        <w:t xml:space="preserve"> </w:t>
      </w:r>
      <w:r>
        <w:t xml:space="preserve">· N-Acetylcysteine boosts brain and blood glutathione in Gaucher and Parkinson diseases. PMID 23860343</w:t>
      </w:r>
    </w:p>
    <w:p>
      <w:pPr>
        <w:numPr>
          <w:ilvl w:val="0"/>
          <w:numId w:val="1414"/>
        </w:numPr>
        <w:pStyle w:val="Compact"/>
      </w:pPr>
      <w:r>
        <w:t xml:space="preserve">2013 · Basu A ·</w:t>
      </w:r>
      <w:r>
        <w:t xml:space="preserve"> </w:t>
      </w:r>
      <w:r>
        <w:rPr>
          <w:iCs/>
          <w:i/>
        </w:rPr>
        <w:t xml:space="preserve">Nutr Res</w:t>
      </w:r>
      <w:r>
        <w:t xml:space="preserve"> </w:t>
      </w:r>
      <w:r>
        <w:t xml:space="preserve">· Green tea supplementation increases glutathione and plasma antioxidant capacity in adults with the metabolic syndrome. PMID 23507223</w:t>
      </w:r>
    </w:p>
    <w:p>
      <w:pPr>
        <w:numPr>
          <w:ilvl w:val="0"/>
          <w:numId w:val="1414"/>
        </w:numPr>
        <w:pStyle w:val="Compact"/>
      </w:pPr>
      <w:r>
        <w:t xml:space="preserve">2013 · Morris D ·</w:t>
      </w:r>
      <w:r>
        <w:t xml:space="preserve"> </w:t>
      </w:r>
      <w:r>
        <w:rPr>
          <w:iCs/>
          <w:i/>
        </w:rPr>
        <w:t xml:space="preserve">J Interferon Cytokine Res</w:t>
      </w:r>
      <w:r>
        <w:t xml:space="preserve"> </w:t>
      </w:r>
      <w:r>
        <w:t xml:space="preserve">· Glutathione supplementation improves macrophage functions in HIV. PMID 23409922</w:t>
      </w:r>
    </w:p>
    <w:p>
      <w:pPr>
        <w:numPr>
          <w:ilvl w:val="0"/>
          <w:numId w:val="1414"/>
        </w:numPr>
        <w:pStyle w:val="Compact"/>
      </w:pPr>
      <w:r>
        <w:t xml:space="preserve">2012 · Miller JC ·</w:t>
      </w:r>
      <w:r>
        <w:t xml:space="preserve"> </w:t>
      </w:r>
      <w:r>
        <w:rPr>
          <w:iCs/>
          <w:i/>
        </w:rPr>
        <w:t xml:space="preserve">Am J Clin Nutr</w:t>
      </w:r>
      <w:r>
        <w:t xml:space="preserve"> </w:t>
      </w:r>
      <w:r>
        <w:t xml:space="preserve">· Influence of the glutathione peroxidase 1 Pro200Leu polymorphism on the response of glutathione peroxidase activity to selenium supplementation: a randomized controlled trial. PMID 22952184</w:t>
      </w:r>
    </w:p>
    <w:p>
      <w:pPr>
        <w:numPr>
          <w:ilvl w:val="0"/>
          <w:numId w:val="1414"/>
        </w:numPr>
        <w:pStyle w:val="Compact"/>
      </w:pPr>
      <w:r>
        <w:t xml:space="preserve">2012 · Treweeke AT ·</w:t>
      </w:r>
      <w:r>
        <w:t xml:space="preserve"> </w:t>
      </w:r>
      <w:r>
        <w:rPr>
          <w:iCs/>
          <w:i/>
        </w:rPr>
        <w:t xml:space="preserve">Diabetologia</w:t>
      </w:r>
      <w:r>
        <w:t xml:space="preserve"> </w:t>
      </w:r>
      <w:r>
        <w:t xml:space="preserve">· N-Acetylcysteine inhibits platelet-monocyte conjugation in patients with type 2 diabetes with depleted intraplatelet glutathione: a randomised controlled trial. PMID 22935960</w:t>
      </w:r>
    </w:p>
    <w:p>
      <w:pPr>
        <w:numPr>
          <w:ilvl w:val="0"/>
          <w:numId w:val="1414"/>
        </w:numPr>
        <w:pStyle w:val="Compact"/>
      </w:pPr>
      <w:r>
        <w:t xml:space="preserve">2012 · Fu P ·</w:t>
      </w:r>
      <w:r>
        <w:t xml:space="preserve"> </w:t>
      </w:r>
      <w:r>
        <w:rPr>
          <w:iCs/>
          <w:i/>
        </w:rPr>
        <w:t xml:space="preserve">Zhong Xi Yi Jie He Xue Bao</w:t>
      </w:r>
      <w:r>
        <w:t xml:space="preserve"> </w:t>
      </w:r>
      <w:r>
        <w:t xml:space="preserve">· [Effects of salvianolate combined with alprostadil and reduced glutathione on progression of chronic renal failure in patients with chronic kidney diseases: a long-term randomized controlled trial]. PMID 22704412</w:t>
      </w:r>
    </w:p>
    <w:p>
      <w:pPr>
        <w:numPr>
          <w:ilvl w:val="0"/>
          <w:numId w:val="1414"/>
        </w:numPr>
        <w:pStyle w:val="Compact"/>
      </w:pPr>
      <w:r>
        <w:t xml:space="preserve">2012 · Chazov EI ·</w:t>
      </w:r>
      <w:r>
        <w:t xml:space="preserve"> </w:t>
      </w:r>
      <w:r>
        <w:rPr>
          <w:iCs/>
          <w:i/>
        </w:rPr>
        <w:t xml:space="preserve">Nitric Oxide</w:t>
      </w:r>
      <w:r>
        <w:t xml:space="preserve"> </w:t>
      </w:r>
      <w:r>
        <w:t xml:space="preserve">· Hypotensive effect of Oxacom® containing a dinitrosyl iron complex with glutathione: animal studies and clinical trials on healthy volunteers. PMID 22326933</w:t>
      </w:r>
    </w:p>
    <w:p>
      <w:pPr>
        <w:numPr>
          <w:ilvl w:val="0"/>
          <w:numId w:val="1414"/>
        </w:numPr>
        <w:pStyle w:val="Compact"/>
      </w:pPr>
      <w:r>
        <w:t xml:space="preserve">2012 · Borges-Santos MD ·</w:t>
      </w:r>
      <w:r>
        <w:t xml:space="preserve"> </w:t>
      </w:r>
      <w:r>
        <w:rPr>
          <w:iCs/>
          <w:i/>
        </w:rPr>
        <w:t xml:space="preserve">Nutrition</w:t>
      </w:r>
      <w:r>
        <w:t xml:space="preserve"> </w:t>
      </w:r>
      <w:r>
        <w:t xml:space="preserve">· Plasma glutathione of HIV⁺ patients responded positively and differently to dietary supplementation with cysteine or glutamine. PMID 22261571</w:t>
      </w:r>
    </w:p>
    <w:p>
      <w:pPr>
        <w:numPr>
          <w:ilvl w:val="0"/>
          <w:numId w:val="1414"/>
        </w:numPr>
        <w:pStyle w:val="Compact"/>
      </w:pPr>
      <w:r>
        <w:t xml:space="preserve">2012 · DiFrancisco-Donoghue J ·</w:t>
      </w:r>
      <w:r>
        <w:t xml:space="preserve"> </w:t>
      </w:r>
      <w:r>
        <w:rPr>
          <w:iCs/>
          <w:i/>
        </w:rPr>
        <w:t xml:space="preserve">Neurodegener Dis</w:t>
      </w:r>
      <w:r>
        <w:t xml:space="preserve"> </w:t>
      </w:r>
      <w:r>
        <w:t xml:space="preserve">· Effects of exercise and B vitamins on homocysteine and glutathione in Parkinson’s disease: a randomized trial. PMID 22261439</w:t>
      </w:r>
    </w:p>
    <w:p>
      <w:pPr>
        <w:numPr>
          <w:ilvl w:val="0"/>
          <w:numId w:val="1414"/>
        </w:numPr>
        <w:pStyle w:val="Compact"/>
      </w:pPr>
      <w:r>
        <w:t xml:space="preserve">2012 · Arjinpathana N ·</w:t>
      </w:r>
      <w:r>
        <w:t xml:space="preserve"> </w:t>
      </w:r>
      <w:r>
        <w:rPr>
          <w:iCs/>
          <w:i/>
        </w:rPr>
        <w:t xml:space="preserve">J Dermatolog Treat</w:t>
      </w:r>
      <w:r>
        <w:t xml:space="preserve"> </w:t>
      </w:r>
      <w:r>
        <w:t xml:space="preserve">· Glutathione as an oral whitening agent: a randomized, double-blind, placebo-controlled study. PMID 20524875</w:t>
      </w:r>
    </w:p>
    <w:p>
      <w:pPr>
        <w:numPr>
          <w:ilvl w:val="0"/>
          <w:numId w:val="1414"/>
        </w:numPr>
        <w:pStyle w:val="Compact"/>
      </w:pPr>
      <w:r>
        <w:t xml:space="preserve">2011 · Kern JK ·</w:t>
      </w:r>
      <w:r>
        <w:t xml:space="preserve"> </w:t>
      </w:r>
      <w:r>
        <w:rPr>
          <w:iCs/>
          <w:i/>
        </w:rPr>
        <w:t xml:space="preserve">Med Sci Monit</w:t>
      </w:r>
      <w:r>
        <w:t xml:space="preserve"> </w:t>
      </w:r>
      <w:r>
        <w:t xml:space="preserve">· A clinical trial of glutathione supplementation in autism spectrum disorders. PMID 22129897</w:t>
      </w:r>
    </w:p>
    <w:p>
      <w:pPr>
        <w:numPr>
          <w:ilvl w:val="0"/>
          <w:numId w:val="1414"/>
        </w:numPr>
        <w:pStyle w:val="Compact"/>
      </w:pPr>
      <w:r>
        <w:t xml:space="preserve">2011 · Chazov EI ·</w:t>
      </w:r>
      <w:r>
        <w:t xml:space="preserve"> </w:t>
      </w:r>
      <w:r>
        <w:rPr>
          <w:iCs/>
          <w:i/>
        </w:rPr>
        <w:t xml:space="preserve">Kardiologiia</w:t>
      </w:r>
      <w:r>
        <w:t xml:space="preserve"> </w:t>
      </w:r>
      <w:r>
        <w:t xml:space="preserve">· [The study of hypotensive action of dinitrosyl-iron complex with glutathione containing drug oxacom in healthy volunteers]. PMID 22117768</w:t>
      </w:r>
    </w:p>
    <w:p>
      <w:pPr>
        <w:numPr>
          <w:ilvl w:val="0"/>
          <w:numId w:val="1414"/>
        </w:numPr>
        <w:pStyle w:val="Compact"/>
      </w:pPr>
      <w:r>
        <w:t xml:space="preserve">2011 · Allen J ·</w:t>
      </w:r>
      <w:r>
        <w:t xml:space="preserve"> </w:t>
      </w:r>
      <w:r>
        <w:rPr>
          <w:iCs/>
          <w:i/>
        </w:rPr>
        <w:t xml:space="preserve">J Altern Complement Med</w:t>
      </w:r>
      <w:r>
        <w:t xml:space="preserve"> </w:t>
      </w:r>
      <w:r>
        <w:t xml:space="preserve">· Effects of oral glutathione supplementation on systemic oxidative stress biomarkers in human volunteers. PMID 21875351</w:t>
      </w:r>
    </w:p>
    <w:p>
      <w:pPr>
        <w:numPr>
          <w:ilvl w:val="0"/>
          <w:numId w:val="1414"/>
        </w:numPr>
        <w:pStyle w:val="Compact"/>
      </w:pPr>
      <w:r>
        <w:t xml:space="preserve">2011 · Sekhar RV ·</w:t>
      </w:r>
      <w:r>
        <w:t xml:space="preserve"> </w:t>
      </w:r>
      <w:r>
        <w:rPr>
          <w:iCs/>
          <w:i/>
        </w:rPr>
        <w:t xml:space="preserve">Am J Clin Nutr</w:t>
      </w:r>
      <w:r>
        <w:t xml:space="preserve"> </w:t>
      </w:r>
      <w:r>
        <w:t xml:space="preserve">· Deficient synthesis of glutathione underlies oxidative stress in aging and can be corrected by dietary cysteine and glycine supplementation. PMID 21795440</w:t>
      </w:r>
    </w:p>
    <w:p>
      <w:pPr>
        <w:numPr>
          <w:ilvl w:val="0"/>
          <w:numId w:val="1414"/>
        </w:numPr>
        <w:pStyle w:val="Compact"/>
      </w:pPr>
      <w:r>
        <w:t xml:space="preserve">2011 · Richie JP Jr ·</w:t>
      </w:r>
      <w:r>
        <w:t xml:space="preserve"> </w:t>
      </w:r>
      <w:r>
        <w:rPr>
          <w:iCs/>
          <w:i/>
        </w:rPr>
        <w:t xml:space="preserve">Nutr Cancer</w:t>
      </w:r>
      <w:r>
        <w:t xml:space="preserve"> </w:t>
      </w:r>
      <w:r>
        <w:t xml:space="preserve">· Association of selenium status and blood glutathione concentrations in blacks and whites. PMID 21462082</w:t>
      </w:r>
    </w:p>
    <w:p>
      <w:pPr>
        <w:numPr>
          <w:ilvl w:val="0"/>
          <w:numId w:val="1414"/>
        </w:numPr>
        <w:pStyle w:val="Compact"/>
      </w:pPr>
      <w:r>
        <w:t xml:space="preserve">2011 · Zhang W ·</w:t>
      </w:r>
      <w:r>
        <w:t xml:space="preserve"> </w:t>
      </w:r>
      <w:r>
        <w:rPr>
          <w:iCs/>
          <w:i/>
        </w:rPr>
        <w:t xml:space="preserve">Nutr Res</w:t>
      </w:r>
      <w:r>
        <w:t xml:space="preserve"> </w:t>
      </w:r>
      <w:r>
        <w:t xml:space="preserve">· Selenium glycinate supplementation increases blood glutathione peroxidase activities and decreases prostate-specific antigen readings in middle-aged US men. PMID 21419321</w:t>
      </w:r>
    </w:p>
    <w:p>
      <w:pPr>
        <w:numPr>
          <w:ilvl w:val="0"/>
          <w:numId w:val="1414"/>
        </w:numPr>
        <w:pStyle w:val="Compact"/>
      </w:pPr>
      <w:r>
        <w:t xml:space="preserve">2011 · Cominetti C ·</w:t>
      </w:r>
      <w:r>
        <w:t xml:space="preserve"> </w:t>
      </w:r>
      <w:r>
        <w:rPr>
          <w:iCs/>
          <w:i/>
        </w:rPr>
        <w:t xml:space="preserve">Nutrition</w:t>
      </w:r>
      <w:r>
        <w:t xml:space="preserve"> </w:t>
      </w:r>
      <w:r>
        <w:t xml:space="preserve">· Associations between glutathione peroxidase-1 Pro198Leu polymorphism, selenium status, and DNA damage levels in obese women after consumption of Brazil nuts. PMID 21208780</w:t>
      </w:r>
    </w:p>
    <w:p>
      <w:pPr>
        <w:numPr>
          <w:ilvl w:val="0"/>
          <w:numId w:val="1414"/>
        </w:numPr>
        <w:pStyle w:val="Compact"/>
      </w:pPr>
      <w:r>
        <w:t xml:space="preserve">2011 · Saitoh T ·</w:t>
      </w:r>
      <w:r>
        <w:t xml:space="preserve"> </w:t>
      </w:r>
      <w:r>
        <w:rPr>
          <w:iCs/>
          <w:i/>
        </w:rPr>
        <w:t xml:space="preserve">Heart Vessels</w:t>
      </w:r>
      <w:r>
        <w:t xml:space="preserve"> </w:t>
      </w:r>
      <w:r>
        <w:t xml:space="preserve">· Intravenous glutathione prevents renal oxidative stress after coronary angiography more effectively than oral N-acetylcysteine. PMID 21127883</w:t>
      </w:r>
    </w:p>
    <w:p>
      <w:pPr>
        <w:numPr>
          <w:ilvl w:val="0"/>
          <w:numId w:val="1414"/>
        </w:numPr>
        <w:pStyle w:val="Compact"/>
      </w:pPr>
      <w:r>
        <w:t xml:space="preserve">2011 · Almog S ·</w:t>
      </w:r>
      <w:r>
        <w:t xml:space="preserve"> </w:t>
      </w:r>
      <w:r>
        <w:rPr>
          <w:iCs/>
          <w:i/>
        </w:rPr>
        <w:t xml:space="preserve">Biol Blood Marrow Transplant</w:t>
      </w:r>
      <w:r>
        <w:t xml:space="preserve"> </w:t>
      </w:r>
      <w:r>
        <w:t xml:space="preserve">· Linearity and stability of intravenous busulfan pharmacokinetics and the role of glutathione in busulfan elimination. PMID 20601034</w:t>
      </w:r>
    </w:p>
    <w:p>
      <w:pPr>
        <w:numPr>
          <w:ilvl w:val="0"/>
          <w:numId w:val="1414"/>
        </w:numPr>
        <w:pStyle w:val="Compact"/>
      </w:pPr>
      <w:r>
        <w:t xml:space="preserve">2010 · Stockler-Pinto MB ·</w:t>
      </w:r>
      <w:r>
        <w:t xml:space="preserve"> </w:t>
      </w:r>
      <w:r>
        <w:rPr>
          <w:iCs/>
          <w:i/>
        </w:rPr>
        <w:t xml:space="preserve">Nutrition</w:t>
      </w:r>
      <w:r>
        <w:t xml:space="preserve"> </w:t>
      </w:r>
      <w:r>
        <w:t xml:space="preserve">· Effect of Brazil nut supplementation on the blood levels of selenium and glutathione peroxidase in hemodialysis patients. PMID 20018488</w:t>
      </w:r>
    </w:p>
    <w:p>
      <w:pPr>
        <w:numPr>
          <w:ilvl w:val="0"/>
          <w:numId w:val="1414"/>
        </w:numPr>
        <w:pStyle w:val="Compact"/>
      </w:pPr>
      <w:r>
        <w:t xml:space="preserve">2010 · Courtney-Martin G ·</w:t>
      </w:r>
      <w:r>
        <w:t xml:space="preserve"> </w:t>
      </w:r>
      <w:r>
        <w:rPr>
          <w:iCs/>
          <w:i/>
        </w:rPr>
        <w:t xml:space="preserve">Pediatr Res</w:t>
      </w:r>
      <w:r>
        <w:t xml:space="preserve"> </w:t>
      </w:r>
      <w:r>
        <w:t xml:space="preserve">· The addition of cysteine to the total sulphur amino acid requirement as methionine does not increase erythrocytes glutathione synthesis in the parenterally fed human neonate. PMID 19915518</w:t>
      </w:r>
    </w:p>
    <w:p>
      <w:pPr>
        <w:numPr>
          <w:ilvl w:val="0"/>
          <w:numId w:val="1414"/>
        </w:numPr>
        <w:pStyle w:val="Compact"/>
      </w:pPr>
      <w:r>
        <w:t xml:space="preserve">2009 · Greenblatt DJ ·</w:t>
      </w:r>
      <w:r>
        <w:t xml:space="preserve"> </w:t>
      </w:r>
      <w:r>
        <w:rPr>
          <w:iCs/>
          <w:i/>
        </w:rPr>
        <w:t xml:space="preserve">Br J Clin Pharmacol</w:t>
      </w:r>
      <w:r>
        <w:t xml:space="preserve"> </w:t>
      </w:r>
      <w:r>
        <w:t xml:space="preserve">· Inhibition of oral midazolam clearance by boosting doses of ritonavir, and by 4,4-dimethyl-benziso-(2H)-selenazine (ALT-2074), an experimental catalytic mimic of glutathione oxidase. PMID 20002087</w:t>
      </w:r>
    </w:p>
    <w:p>
      <w:pPr>
        <w:numPr>
          <w:ilvl w:val="0"/>
          <w:numId w:val="1414"/>
        </w:numPr>
        <w:pStyle w:val="Compact"/>
      </w:pPr>
      <w:r>
        <w:t xml:space="preserve">2009 · Navarro SL ·</w:t>
      </w:r>
      <w:r>
        <w:t xml:space="preserve"> </w:t>
      </w:r>
      <w:r>
        <w:rPr>
          <w:iCs/>
          <w:i/>
        </w:rPr>
        <w:t xml:space="preserve">Cancer Epidemiol Biomarkers Prev</w:t>
      </w:r>
      <w:r>
        <w:t xml:space="preserve"> </w:t>
      </w:r>
      <w:r>
        <w:t xml:space="preserve">· Modulation of human serum glutathione S-transferase A1/2 concentration by cruciferous vegetables in a controlled feeding study is influenced by GSTM1 and GSTT1 genotypes. PMID 19900941</w:t>
      </w:r>
    </w:p>
    <w:p>
      <w:pPr>
        <w:numPr>
          <w:ilvl w:val="0"/>
          <w:numId w:val="1414"/>
        </w:numPr>
        <w:pStyle w:val="Compact"/>
      </w:pPr>
      <w:r>
        <w:t xml:space="preserve">2009 · te Braake FW ·</w:t>
      </w:r>
      <w:r>
        <w:t xml:space="preserve"> </w:t>
      </w:r>
      <w:r>
        <w:rPr>
          <w:iCs/>
          <w:i/>
        </w:rPr>
        <w:t xml:space="preserve">Pediatrics</w:t>
      </w:r>
      <w:r>
        <w:t xml:space="preserve"> </w:t>
      </w:r>
      <w:r>
        <w:t xml:space="preserve">· High-dose cysteine administration does not increase synthesis of the antioxidant glutathione preterm infants. PMID 19822595</w:t>
      </w:r>
    </w:p>
    <w:p>
      <w:pPr>
        <w:numPr>
          <w:ilvl w:val="0"/>
          <w:numId w:val="1414"/>
        </w:numPr>
        <w:pStyle w:val="Compact"/>
      </w:pPr>
      <w:r>
        <w:t xml:space="preserve">2009 · Engel JM ·</w:t>
      </w:r>
      <w:r>
        <w:t xml:space="preserve"> </w:t>
      </w:r>
      <w:r>
        <w:rPr>
          <w:iCs/>
          <w:i/>
        </w:rPr>
        <w:t xml:space="preserve">Acta Anaesthesiol Scand</w:t>
      </w:r>
      <w:r>
        <w:t xml:space="preserve"> </w:t>
      </w:r>
      <w:r>
        <w:t xml:space="preserve">· Glutamine administration in patients undergoing cardiac surgery and the influence on blood glutathione levels. PMID 19681775</w:t>
      </w:r>
    </w:p>
    <w:p>
      <w:pPr>
        <w:numPr>
          <w:ilvl w:val="0"/>
          <w:numId w:val="1414"/>
        </w:numPr>
        <w:pStyle w:val="Compact"/>
      </w:pPr>
      <w:r>
        <w:t xml:space="preserve">2009 · Eroglu A ·</w:t>
      </w:r>
      <w:r>
        <w:t xml:space="preserve"> </w:t>
      </w:r>
      <w:r>
        <w:rPr>
          <w:iCs/>
          <w:i/>
        </w:rPr>
        <w:t xml:space="preserve">Anesth Analg</w:t>
      </w:r>
      <w:r>
        <w:t xml:space="preserve"> </w:t>
      </w:r>
      <w:r>
        <w:t xml:space="preserve">· The effect of intravenous alanyl-glutamine supplementation on plasma glutathione levels in intensive care unit trauma patients receiving enteral nutrition: the results of a randomized controlled trial. PMID 19608826</w:t>
      </w:r>
    </w:p>
    <w:p>
      <w:pPr>
        <w:numPr>
          <w:ilvl w:val="0"/>
          <w:numId w:val="1414"/>
        </w:numPr>
        <w:pStyle w:val="Compact"/>
      </w:pPr>
      <w:r>
        <w:t xml:space="preserve">2009 · Raza A ·</w:t>
      </w:r>
      <w:r>
        <w:t xml:space="preserve"> </w:t>
      </w:r>
      <w:r>
        <w:rPr>
          <w:iCs/>
          <w:i/>
        </w:rPr>
        <w:t xml:space="preserve">J Hematol Oncol</w:t>
      </w:r>
      <w:r>
        <w:t xml:space="preserve"> </w:t>
      </w:r>
      <w:r>
        <w:t xml:space="preserve">· Phase 1-2a multicenter dose-escalation study of ezatiostat hydrochloride liposomes for injection (Telintra, TLK199), a novel glutathione analog prodrug in patients with myelodysplastic syndrome. PMID 19439093</w:t>
      </w:r>
    </w:p>
    <w:p>
      <w:pPr>
        <w:numPr>
          <w:ilvl w:val="0"/>
          <w:numId w:val="1414"/>
        </w:numPr>
        <w:pStyle w:val="Compact"/>
      </w:pPr>
      <w:r>
        <w:t xml:space="preserve">2009 · Yang P ·</w:t>
      </w:r>
      <w:r>
        <w:t xml:space="preserve"> </w:t>
      </w:r>
      <w:r>
        <w:rPr>
          <w:iCs/>
          <w:i/>
        </w:rPr>
        <w:t xml:space="preserve">J Thorac Oncol</w:t>
      </w:r>
      <w:r>
        <w:t xml:space="preserve"> </w:t>
      </w:r>
      <w:r>
        <w:t xml:space="preserve">· Evaluation of glutathione metabolic genes on outcomes in advanced non-small cell lung cancer patients after initial treatment with platinum-based chemotherapy: an NCCTG-97-24-51 based study. PMID 19347979</w:t>
      </w:r>
    </w:p>
    <w:p>
      <w:pPr>
        <w:numPr>
          <w:ilvl w:val="0"/>
          <w:numId w:val="1414"/>
        </w:numPr>
        <w:pStyle w:val="Compact"/>
      </w:pPr>
      <w:r>
        <w:t xml:space="preserve">2009 · Zachara BA ·</w:t>
      </w:r>
      <w:r>
        <w:t xml:space="preserve"> </w:t>
      </w:r>
      <w:r>
        <w:rPr>
          <w:iCs/>
          <w:i/>
        </w:rPr>
        <w:t xml:space="preserve">Acta Biochim Pol</w:t>
      </w:r>
      <w:r>
        <w:t xml:space="preserve"> </w:t>
      </w:r>
      <w:r>
        <w:t xml:space="preserve">· Selenium supplementation to chronic kidney disease patients on hemodialysis does not induce the synthesis of plasma glutathione peroxidase. PMID 19238255</w:t>
      </w:r>
    </w:p>
    <w:p>
      <w:pPr>
        <w:numPr>
          <w:ilvl w:val="0"/>
          <w:numId w:val="1414"/>
        </w:numPr>
        <w:pStyle w:val="Compact"/>
      </w:pPr>
      <w:r>
        <w:t xml:space="preserve">2009 · Hauser RA ·</w:t>
      </w:r>
      <w:r>
        <w:t xml:space="preserve"> </w:t>
      </w:r>
      <w:r>
        <w:rPr>
          <w:iCs/>
          <w:i/>
        </w:rPr>
        <w:t xml:space="preserve">Mov Disord</w:t>
      </w:r>
      <w:r>
        <w:t xml:space="preserve"> </w:t>
      </w:r>
      <w:r>
        <w:t xml:space="preserve">· Randomized, double-blind, pilot evaluation of intravenous glutathione in Parkinson’s disease. PMID 19230029</w:t>
      </w:r>
    </w:p>
    <w:p>
      <w:pPr>
        <w:numPr>
          <w:ilvl w:val="0"/>
          <w:numId w:val="1414"/>
        </w:numPr>
        <w:pStyle w:val="Compact"/>
      </w:pPr>
      <w:r>
        <w:t xml:space="preserve">2009 · Wang Y ·</w:t>
      </w:r>
      <w:r>
        <w:t xml:space="preserve"> </w:t>
      </w:r>
      <w:r>
        <w:rPr>
          <w:iCs/>
          <w:i/>
        </w:rPr>
        <w:t xml:space="preserve">J Nutr</w:t>
      </w:r>
      <w:r>
        <w:t xml:space="preserve"> </w:t>
      </w:r>
      <w:r>
        <w:t xml:space="preserve">· Long-term garlic or micronutrient supplementation, but not anti-Helicobacter pylori therapy, increases serum folate or glutathione without affecting serum vitamin B-12 or homocysteine in a rural Chinese population. PMID 19056661</w:t>
      </w:r>
    </w:p>
    <w:p>
      <w:pPr>
        <w:numPr>
          <w:ilvl w:val="0"/>
          <w:numId w:val="1414"/>
        </w:numPr>
        <w:pStyle w:val="Compact"/>
      </w:pPr>
      <w:r>
        <w:t xml:space="preserve">2008 · Darmaun D ·</w:t>
      </w:r>
      <w:r>
        <w:t xml:space="preserve"> </w:t>
      </w:r>
      <w:r>
        <w:rPr>
          <w:iCs/>
          <w:i/>
        </w:rPr>
        <w:t xml:space="preserve">Pediatr Diabetes</w:t>
      </w:r>
      <w:r>
        <w:t xml:space="preserve"> </w:t>
      </w:r>
      <w:r>
        <w:t xml:space="preserve">· Poorly controlled type 1 diabetes is associated with altered glutathione homeostasis in adolescents: apparent resistance to N-acetylcysteine supplementation. PMID 19067892</w:t>
      </w:r>
    </w:p>
    <w:p>
      <w:pPr>
        <w:numPr>
          <w:ilvl w:val="0"/>
          <w:numId w:val="1414"/>
        </w:numPr>
        <w:pStyle w:val="Compact"/>
      </w:pPr>
      <w:r>
        <w:t xml:space="preserve">2008 · Courtney-Martin G ·</w:t>
      </w:r>
      <w:r>
        <w:t xml:space="preserve"> </w:t>
      </w:r>
      <w:r>
        <w:rPr>
          <w:iCs/>
          <w:i/>
        </w:rPr>
        <w:t xml:space="preserve">J Nutr</w:t>
      </w:r>
      <w:r>
        <w:t xml:space="preserve"> </w:t>
      </w:r>
      <w:r>
        <w:t xml:space="preserve">· Methionine-adequate cysteine-free diet does not limit erythrocyte glutathione synthesis in young healthy adult men. PMID 18936215</w:t>
      </w:r>
    </w:p>
    <w:p>
      <w:pPr>
        <w:numPr>
          <w:ilvl w:val="0"/>
          <w:numId w:val="1414"/>
        </w:numPr>
        <w:pStyle w:val="Compact"/>
      </w:pPr>
      <w:r>
        <w:t xml:space="preserve">2008 · Bede O ·</w:t>
      </w:r>
      <w:r>
        <w:t xml:space="preserve"> </w:t>
      </w:r>
      <w:r>
        <w:rPr>
          <w:iCs/>
          <w:i/>
        </w:rPr>
        <w:t xml:space="preserve">Inflamm Res</w:t>
      </w:r>
      <w:r>
        <w:t xml:space="preserve"> </w:t>
      </w:r>
      <w:r>
        <w:t xml:space="preserve">· Effects of magnesium supplementation on the glutathione redox system in atopic asthmatic children. PMID 18516713</w:t>
      </w:r>
    </w:p>
    <w:p>
      <w:pPr>
        <w:numPr>
          <w:ilvl w:val="0"/>
          <w:numId w:val="1414"/>
        </w:numPr>
        <w:pStyle w:val="Compact"/>
      </w:pPr>
      <w:r>
        <w:t xml:space="preserve">2008 · Berk M ·</w:t>
      </w:r>
      <w:r>
        <w:t xml:space="preserve"> </w:t>
      </w:r>
      <w:r>
        <w:rPr>
          <w:iCs/>
          <w:i/>
        </w:rPr>
        <w:t xml:space="preserve">Biol Psychiatry</w:t>
      </w:r>
      <w:r>
        <w:t xml:space="preserve"> </w:t>
      </w:r>
      <w:r>
        <w:t xml:space="preserve">· N-acetyl cysteine as a glutathione precursor for schizophrenia–a double-blind, randomized, placebo-controlled trial. PMID 18436195</w:t>
      </w:r>
    </w:p>
    <w:p>
      <w:pPr>
        <w:numPr>
          <w:ilvl w:val="0"/>
          <w:numId w:val="1414"/>
        </w:numPr>
        <w:pStyle w:val="Compact"/>
      </w:pPr>
      <w:r>
        <w:t xml:space="preserve">2008 · Méplan C ·</w:t>
      </w:r>
      <w:r>
        <w:t xml:space="preserve"> </w:t>
      </w:r>
      <w:r>
        <w:rPr>
          <w:iCs/>
          <w:i/>
        </w:rPr>
        <w:t xml:space="preserve">Am J Clin Nutr</w:t>
      </w:r>
      <w:r>
        <w:t xml:space="preserve"> </w:t>
      </w:r>
      <w:r>
        <w:t xml:space="preserve">· Functional effects of a common single-nucleotide polymorphism (GPX4c718t) in the glutathione peroxidase 4 gene: interaction with sex. PMID 18400727</w:t>
      </w:r>
    </w:p>
    <w:p>
      <w:pPr>
        <w:numPr>
          <w:ilvl w:val="0"/>
          <w:numId w:val="1414"/>
        </w:numPr>
        <w:pStyle w:val="Compact"/>
      </w:pPr>
      <w:r>
        <w:t xml:space="preserve">2008 · Jariwalla RJ ·</w:t>
      </w:r>
      <w:r>
        <w:t xml:space="preserve"> </w:t>
      </w:r>
      <w:r>
        <w:rPr>
          <w:iCs/>
          <w:i/>
        </w:rPr>
        <w:t xml:space="preserve">J Altern Complement Med</w:t>
      </w:r>
      <w:r>
        <w:t xml:space="preserve"> </w:t>
      </w:r>
      <w:r>
        <w:t xml:space="preserve">· Restoration of blood total glutathione status and lymphocyte function following alpha-lipoic acid supplementation in patients with HIV infection. PMID 18315507</w:t>
      </w:r>
    </w:p>
    <w:p>
      <w:pPr>
        <w:numPr>
          <w:ilvl w:val="0"/>
          <w:numId w:val="1414"/>
        </w:numPr>
        <w:pStyle w:val="Compact"/>
      </w:pPr>
      <w:r>
        <w:t xml:space="preserve">2007 · Zavorsky GS ·</w:t>
      </w:r>
      <w:r>
        <w:t xml:space="preserve"> </w:t>
      </w:r>
      <w:r>
        <w:rPr>
          <w:iCs/>
          <w:i/>
        </w:rPr>
        <w:t xml:space="preserve">Int J Food Sci Nutr</w:t>
      </w:r>
      <w:r>
        <w:t xml:space="preserve"> </w:t>
      </w:r>
      <w:r>
        <w:t xml:space="preserve">· An open-label dose-response study of lymphocyte glutathione levels in healthy men and women receiving pressurized whey protein isolate supplements. PMID 17710587</w:t>
      </w:r>
    </w:p>
    <w:p>
      <w:pPr>
        <w:numPr>
          <w:ilvl w:val="0"/>
          <w:numId w:val="1414"/>
        </w:numPr>
        <w:pStyle w:val="Compact"/>
      </w:pPr>
      <w:r>
        <w:t xml:space="preserve">2006 · Karunasinghe N ·</w:t>
      </w:r>
      <w:r>
        <w:t xml:space="preserve"> </w:t>
      </w:r>
      <w:r>
        <w:rPr>
          <w:iCs/>
          <w:i/>
        </w:rPr>
        <w:t xml:space="preserve">J Nutr</w:t>
      </w:r>
      <w:r>
        <w:t xml:space="preserve"> </w:t>
      </w:r>
      <w:r>
        <w:t xml:space="preserve">· Hemolysate thioredoxin reductase and glutathione peroxidase activities correlate with serum selenium in a group of New Zealand men at high prostate cancer risk. PMID 16857846</w:t>
      </w:r>
    </w:p>
    <w:p>
      <w:pPr>
        <w:numPr>
          <w:ilvl w:val="0"/>
          <w:numId w:val="1414"/>
        </w:numPr>
        <w:pStyle w:val="Compact"/>
      </w:pPr>
      <w:r>
        <w:t xml:space="preserve">2006 · Muran PJ ·</w:t>
      </w:r>
      <w:r>
        <w:t xml:space="preserve"> </w:t>
      </w:r>
      <w:r>
        <w:rPr>
          <w:iCs/>
          <w:i/>
        </w:rPr>
        <w:t xml:space="preserve">Altern Ther Health Med</w:t>
      </w:r>
      <w:r>
        <w:t xml:space="preserve"> </w:t>
      </w:r>
      <w:r>
        <w:t xml:space="preserve">· Mercury elimination with oral DMPS, DMSA, vitamin C, and glutathione: an observational clinical review. PMID 16708769</w:t>
      </w:r>
    </w:p>
    <w:p>
      <w:pPr>
        <w:numPr>
          <w:ilvl w:val="0"/>
          <w:numId w:val="1414"/>
        </w:numPr>
        <w:pStyle w:val="Compact"/>
      </w:pPr>
      <w:r>
        <w:t xml:space="preserve">2006 · Tirouvanziam R ·</w:t>
      </w:r>
      <w:r>
        <w:t xml:space="preserve"> </w:t>
      </w:r>
      <w:r>
        <w:rPr>
          <w:iCs/>
          <w:i/>
        </w:rPr>
        <w:t xml:space="preserve">Proc Natl Acad Sci U S A</w:t>
      </w:r>
      <w:r>
        <w:t xml:space="preserve"> </w:t>
      </w:r>
      <w:r>
        <w:t xml:space="preserve">· High-dose oral N-acetylcysteine, a glutathione prodrug, modulates inflammation in cystic fibrosis. PMID 16537378</w:t>
      </w:r>
    </w:p>
    <w:p>
      <w:pPr>
        <w:numPr>
          <w:ilvl w:val="0"/>
          <w:numId w:val="1414"/>
        </w:numPr>
        <w:pStyle w:val="Compact"/>
      </w:pPr>
      <w:r>
        <w:t xml:space="preserve">2006 · Lavergne SN ·</w:t>
      </w:r>
      <w:r>
        <w:t xml:space="preserve"> </w:t>
      </w:r>
      <w:r>
        <w:rPr>
          <w:iCs/>
          <w:i/>
        </w:rPr>
        <w:t xml:space="preserve">Toxicology</w:t>
      </w:r>
      <w:r>
        <w:t xml:space="preserve"> </w:t>
      </w:r>
      <w:r>
        <w:t xml:space="preserve">· Roles of endogenous ascorbate and glutathione in the cellular reduction and cytotoxicity of sulfamethoxazole-nitroso. PMID 16473451</w:t>
      </w:r>
    </w:p>
    <w:p>
      <w:pPr>
        <w:numPr>
          <w:ilvl w:val="0"/>
          <w:numId w:val="1414"/>
        </w:numPr>
        <w:pStyle w:val="Compact"/>
      </w:pPr>
      <w:r>
        <w:t xml:space="preserve">2006 · Kusama M ·</w:t>
      </w:r>
      <w:r>
        <w:t xml:space="preserve"> </w:t>
      </w:r>
      <w:r>
        <w:rPr>
          <w:iCs/>
          <w:i/>
        </w:rPr>
        <w:t xml:space="preserve">Clin Chim Acta</w:t>
      </w:r>
      <w:r>
        <w:t xml:space="preserve"> </w:t>
      </w:r>
      <w:r>
        <w:t xml:space="preserve">· Influence of glutathione S-transferase A1 polymorphism on the pharmacokinetics of busulfan. PMID 16448639</w:t>
      </w:r>
    </w:p>
    <w:p>
      <w:pPr>
        <w:numPr>
          <w:ilvl w:val="0"/>
          <w:numId w:val="1414"/>
        </w:numPr>
        <w:pStyle w:val="Compact"/>
      </w:pPr>
      <w:r>
        <w:t xml:space="preserve">2005 · Huang ZW ·</w:t>
      </w:r>
      <w:r>
        <w:t xml:space="preserve"> </w:t>
      </w:r>
      <w:r>
        <w:rPr>
          <w:iCs/>
          <w:i/>
        </w:rPr>
        <w:t xml:space="preserve">Zhongguo Wei Zhong Bing Ji Jiu Yi Xue</w:t>
      </w:r>
      <w:r>
        <w:t xml:space="preserve"> </w:t>
      </w:r>
      <w:r>
        <w:t xml:space="preserve">· [Protective effect of reduced glutathione on multiple organ function in patient with acute pancreatitis]. PMID 16297323</w:t>
      </w:r>
    </w:p>
    <w:p>
      <w:pPr>
        <w:numPr>
          <w:ilvl w:val="0"/>
          <w:numId w:val="1414"/>
        </w:numPr>
        <w:pStyle w:val="Compact"/>
      </w:pPr>
      <w:r>
        <w:t xml:space="preserve">2005 · Becker K ·</w:t>
      </w:r>
      <w:r>
        <w:t xml:space="preserve"> </w:t>
      </w:r>
      <w:r>
        <w:rPr>
          <w:iCs/>
          <w:i/>
        </w:rPr>
        <w:t xml:space="preserve">Redox Rep</w:t>
      </w:r>
      <w:r>
        <w:t xml:space="preserve"> </w:t>
      </w:r>
      <w:r>
        <w:t xml:space="preserve">· Effects of antioxidants on glutathione levels and clinical recovery from the malnutrition syndrome kwashiorkor–a pilot study. PMID 16259789</w:t>
      </w:r>
    </w:p>
    <w:p>
      <w:pPr>
        <w:numPr>
          <w:ilvl w:val="0"/>
          <w:numId w:val="1414"/>
        </w:numPr>
        <w:pStyle w:val="Compact"/>
      </w:pPr>
      <w:r>
        <w:t xml:space="preserve">2005 · Rundle AG ·</w:t>
      </w:r>
      <w:r>
        <w:t xml:space="preserve"> </w:t>
      </w:r>
      <w:r>
        <w:rPr>
          <w:iCs/>
          <w:i/>
        </w:rPr>
        <w:t xml:space="preserve">Biomarkers</w:t>
      </w:r>
      <w:r>
        <w:t xml:space="preserve"> </w:t>
      </w:r>
      <w:r>
        <w:t xml:space="preserve">· Preliminary studies on the effect of moderate physical activity on blood levels of glutathione. PMID 16243723</w:t>
      </w:r>
    </w:p>
    <w:p>
      <w:pPr>
        <w:numPr>
          <w:ilvl w:val="0"/>
          <w:numId w:val="1414"/>
        </w:numPr>
        <w:pStyle w:val="Compact"/>
      </w:pPr>
      <w:r>
        <w:t xml:space="preserve">2005 · Janse van Rensburg C ·</w:t>
      </w:r>
      <w:r>
        <w:t xml:space="preserve"> </w:t>
      </w:r>
      <w:r>
        <w:rPr>
          <w:iCs/>
          <w:i/>
        </w:rPr>
        <w:t xml:space="preserve">Eur J Nutr</w:t>
      </w:r>
      <w:r>
        <w:t xml:space="preserve"> </w:t>
      </w:r>
      <w:r>
        <w:t xml:space="preserve">· Rosa roxburghii supplementation in a controlled feeding study increases plasma antioxidant capacity and glutathione redox state. PMID 15782288</w:t>
      </w:r>
    </w:p>
    <w:p>
      <w:pPr>
        <w:numPr>
          <w:ilvl w:val="0"/>
          <w:numId w:val="1414"/>
        </w:numPr>
        <w:pStyle w:val="Compact"/>
      </w:pPr>
      <w:r>
        <w:t xml:space="preserve">2005 · Garolla A ·</w:t>
      </w:r>
      <w:r>
        <w:t xml:space="preserve"> </w:t>
      </w:r>
      <w:r>
        <w:rPr>
          <w:iCs/>
          <w:i/>
        </w:rPr>
        <w:t xml:space="preserve">Fertil Steril</w:t>
      </w:r>
      <w:r>
        <w:t xml:space="preserve"> </w:t>
      </w:r>
      <w:r>
        <w:t xml:space="preserve">· Oral carnitine supplementation increases sperm motility in asthenozoospermic men with normal sperm phospholipid hydroperoxide glutathione peroxidase levels. PMID 15705374</w:t>
      </w:r>
    </w:p>
    <w:p>
      <w:pPr>
        <w:numPr>
          <w:ilvl w:val="0"/>
          <w:numId w:val="1414"/>
        </w:numPr>
        <w:pStyle w:val="Compact"/>
      </w:pPr>
      <w:r>
        <w:t xml:space="preserve">2004 · Chełchowska M ·</w:t>
      </w:r>
      <w:r>
        <w:t xml:space="preserve"> </w:t>
      </w:r>
      <w:r>
        <w:rPr>
          <w:iCs/>
          <w:i/>
        </w:rPr>
        <w:t xml:space="preserve">Przegl Lek</w:t>
      </w:r>
      <w:r>
        <w:t xml:space="preserve"> </w:t>
      </w:r>
      <w:r>
        <w:t xml:space="preserve">· [The effect of vitamin-mineral supplementation on the level of MDA and activity of glutathione peroxidase and superoxide dismutase in blood of matched maternal-cord pairs]. PMID 15792016</w:t>
      </w:r>
    </w:p>
    <w:p>
      <w:pPr>
        <w:numPr>
          <w:ilvl w:val="0"/>
          <w:numId w:val="1414"/>
        </w:numPr>
        <w:pStyle w:val="Compact"/>
      </w:pPr>
      <w:r>
        <w:t xml:space="preserve">2004 · Child DF ·</w:t>
      </w:r>
      <w:r>
        <w:t xml:space="preserve"> </w:t>
      </w:r>
      <w:r>
        <w:rPr>
          <w:iCs/>
          <w:i/>
        </w:rPr>
        <w:t xml:space="preserve">Diabetes Nutr Metab</w:t>
      </w:r>
      <w:r>
        <w:t xml:space="preserve"> </w:t>
      </w:r>
      <w:r>
        <w:t xml:space="preserve">· The effect of oral folic acid on glutathione, glycaemia and lipids in Type 2 diabetes. PMID 15244101</w:t>
      </w:r>
    </w:p>
    <w:p>
      <w:pPr>
        <w:numPr>
          <w:ilvl w:val="0"/>
          <w:numId w:val="1414"/>
        </w:numPr>
        <w:pStyle w:val="Compact"/>
      </w:pPr>
      <w:r>
        <w:t xml:space="preserve">2004 · Zhu BD ·</w:t>
      </w:r>
      <w:r>
        <w:t xml:space="preserve"> </w:t>
      </w:r>
      <w:r>
        <w:rPr>
          <w:iCs/>
          <w:i/>
        </w:rPr>
        <w:t xml:space="preserve">Ai Zheng</w:t>
      </w:r>
      <w:r>
        <w:t xml:space="preserve"> </w:t>
      </w:r>
      <w:r>
        <w:t xml:space="preserve">· [Enhancement of antioxidant capability of cancer patients during chemotherapy by reduced glutathione]. PMID 15087038</w:t>
      </w:r>
    </w:p>
    <w:p>
      <w:pPr>
        <w:numPr>
          <w:ilvl w:val="0"/>
          <w:numId w:val="1414"/>
        </w:numPr>
        <w:pStyle w:val="Compact"/>
      </w:pPr>
      <w:r>
        <w:t xml:space="preserve">2004 · Middleton N ·</w:t>
      </w:r>
      <w:r>
        <w:t xml:space="preserve"> </w:t>
      </w:r>
      <w:r>
        <w:rPr>
          <w:iCs/>
          <w:i/>
        </w:rPr>
        <w:t xml:space="preserve">Int J Food Sci Nutr</w:t>
      </w:r>
      <w:r>
        <w:t xml:space="preserve"> </w:t>
      </w:r>
      <w:r>
        <w:t xml:space="preserve">· Whole blood and mononuclear cell glutathione response to dietary whey protein supplementation in sedentary and trained male human subjects. PMID 14985185</w:t>
      </w:r>
    </w:p>
    <w:p>
      <w:pPr>
        <w:numPr>
          <w:ilvl w:val="0"/>
          <w:numId w:val="1414"/>
        </w:numPr>
        <w:pStyle w:val="Compact"/>
      </w:pPr>
      <w:r>
        <w:t xml:space="preserve">2004 · Vrca VB ·</w:t>
      </w:r>
      <w:r>
        <w:t xml:space="preserve"> </w:t>
      </w:r>
      <w:r>
        <w:rPr>
          <w:iCs/>
          <w:i/>
        </w:rPr>
        <w:t xml:space="preserve">Clin Chim Acta</w:t>
      </w:r>
      <w:r>
        <w:t xml:space="preserve"> </w:t>
      </w:r>
      <w:r>
        <w:t xml:space="preserve">· Supplementation with antioxidants in the treatment of Graves’ disease; the effect on glutathione peroxidase activity and concentration of selenium. PMID 14967159</w:t>
      </w:r>
    </w:p>
    <w:p>
      <w:pPr>
        <w:numPr>
          <w:ilvl w:val="0"/>
          <w:numId w:val="1414"/>
        </w:numPr>
        <w:pStyle w:val="Compact"/>
      </w:pPr>
      <w:r>
        <w:t xml:space="preserve">2003 · Grey V ·</w:t>
      </w:r>
      <w:r>
        <w:t xml:space="preserve"> </w:t>
      </w:r>
      <w:r>
        <w:rPr>
          <w:iCs/>
          <w:i/>
        </w:rPr>
        <w:t xml:space="preserve">J Cyst Fibros</w:t>
      </w:r>
      <w:r>
        <w:t xml:space="preserve"> </w:t>
      </w:r>
      <w:r>
        <w:t xml:space="preserve">· Improved glutathione status in young adult patients with cystic fibrosis supplemented with whey protein. PMID 15463873</w:t>
      </w:r>
    </w:p>
    <w:p>
      <w:pPr>
        <w:numPr>
          <w:ilvl w:val="0"/>
          <w:numId w:val="1414"/>
        </w:numPr>
        <w:pStyle w:val="Compact"/>
      </w:pPr>
      <w:r>
        <w:t xml:space="preserve">2003 · Al-Taie OH ·</w:t>
      </w:r>
      <w:r>
        <w:t xml:space="preserve"> </w:t>
      </w:r>
      <w:r>
        <w:rPr>
          <w:iCs/>
          <w:i/>
        </w:rPr>
        <w:t xml:space="preserve">Nutr Cancer</w:t>
      </w:r>
      <w:r>
        <w:t xml:space="preserve"> </w:t>
      </w:r>
      <w:r>
        <w:t xml:space="preserve">· Selenium supplementation enhances low selenium levels and stimulates glutathione peroxidase activity in peripheral blood and distal colon mucosa in past and present carriers of colon adenomas. PMID 14690787</w:t>
      </w:r>
    </w:p>
    <w:p>
      <w:pPr>
        <w:numPr>
          <w:ilvl w:val="0"/>
          <w:numId w:val="1414"/>
        </w:numPr>
        <w:pStyle w:val="Compact"/>
      </w:pPr>
      <w:r>
        <w:t xml:space="preserve">2003 · Aukrust P ·</w:t>
      </w:r>
      <w:r>
        <w:t xml:space="preserve"> </w:t>
      </w:r>
      <w:r>
        <w:rPr>
          <w:iCs/>
          <w:i/>
        </w:rPr>
        <w:t xml:space="preserve">J Infect Dis</w:t>
      </w:r>
      <w:r>
        <w:t xml:space="preserve"> </w:t>
      </w:r>
      <w:r>
        <w:t xml:space="preserve">· Disturbed glutathione metabolism and decreased antioxidant levels in human immunodeficiency virus-infected patients during highly active antiretroviral therapy–potential immunomodulatory effects of antioxidants. PMID 12854078</w:t>
      </w:r>
    </w:p>
    <w:p>
      <w:pPr>
        <w:numPr>
          <w:ilvl w:val="0"/>
          <w:numId w:val="1414"/>
        </w:numPr>
        <w:pStyle w:val="Compact"/>
      </w:pPr>
      <w:r>
        <w:t xml:space="preserve">2003 · Fläring UB ·</w:t>
      </w:r>
      <w:r>
        <w:t xml:space="preserve"> </w:t>
      </w:r>
      <w:r>
        <w:rPr>
          <w:iCs/>
          <w:i/>
        </w:rPr>
        <w:t xml:space="preserve">Clin Sci (Lond)</w:t>
      </w:r>
      <w:r>
        <w:t xml:space="preserve"> </w:t>
      </w:r>
      <w:r>
        <w:t xml:space="preserve">· Glutamine attenuates post-traumatic glutathione depletion in human muscle. PMID 12605586</w:t>
      </w:r>
    </w:p>
    <w:p>
      <w:pPr>
        <w:numPr>
          <w:ilvl w:val="0"/>
          <w:numId w:val="1414"/>
        </w:numPr>
        <w:pStyle w:val="Compact"/>
      </w:pPr>
      <w:r>
        <w:t xml:space="preserve">2003 · Lenton KJ ·</w:t>
      </w:r>
      <w:r>
        <w:t xml:space="preserve"> </w:t>
      </w:r>
      <w:r>
        <w:rPr>
          <w:iCs/>
          <w:i/>
        </w:rPr>
        <w:t xml:space="preserve">Am J Clin Nutr</w:t>
      </w:r>
      <w:r>
        <w:t xml:space="preserve"> </w:t>
      </w:r>
      <w:r>
        <w:t xml:space="preserve">· Vitamin C augments lymphocyte glutathione in subjects with ascorbate deficiency. PMID 12499341</w:t>
      </w:r>
    </w:p>
    <w:p>
      <w:pPr>
        <w:numPr>
          <w:ilvl w:val="0"/>
          <w:numId w:val="1414"/>
        </w:numPr>
        <w:pStyle w:val="Compact"/>
      </w:pPr>
      <w:r>
        <w:t xml:space="preserve">2002 · Patel BP ·</w:t>
      </w:r>
      <w:r>
        <w:t xml:space="preserve"> </w:t>
      </w:r>
      <w:r>
        <w:rPr>
          <w:iCs/>
          <w:i/>
        </w:rPr>
        <w:t xml:space="preserve">Neoplasma</w:t>
      </w:r>
      <w:r>
        <w:t xml:space="preserve"> </w:t>
      </w:r>
      <w:r>
        <w:t xml:space="preserve">· Serum glutathione-S-transferase and glutathione reductase activity in head and neck cancer patients. PMID 12382026</w:t>
      </w:r>
    </w:p>
    <w:p>
      <w:pPr>
        <w:numPr>
          <w:ilvl w:val="0"/>
          <w:numId w:val="1414"/>
        </w:numPr>
        <w:pStyle w:val="Compact"/>
      </w:pPr>
      <w:r>
        <w:t xml:space="preserve">2002 · Kasperczyk S ·</w:t>
      </w:r>
      <w:r>
        <w:t xml:space="preserve"> </w:t>
      </w:r>
      <w:r>
        <w:rPr>
          <w:iCs/>
          <w:i/>
        </w:rPr>
        <w:t xml:space="preserve">Wiad Lek</w:t>
      </w:r>
      <w:r>
        <w:t xml:space="preserve"> </w:t>
      </w:r>
      <w:r>
        <w:t xml:space="preserve">· [Effect of hyperglycemia on glutathione peroxidase and superoxide dismutase activity in patients with newly diagnosed carbohydrate metabolism disturbances]. PMID 12235692</w:t>
      </w:r>
    </w:p>
    <w:p>
      <w:pPr>
        <w:numPr>
          <w:ilvl w:val="0"/>
          <w:numId w:val="1414"/>
        </w:numPr>
        <w:pStyle w:val="Compact"/>
      </w:pPr>
      <w:r>
        <w:t xml:space="preserve">2002 · Badaloo A ·</w:t>
      </w:r>
      <w:r>
        <w:t xml:space="preserve"> </w:t>
      </w:r>
      <w:r>
        <w:rPr>
          <w:iCs/>
          <w:i/>
        </w:rPr>
        <w:t xml:space="preserve">Am J Clin Nutr</w:t>
      </w:r>
      <w:r>
        <w:t xml:space="preserve"> </w:t>
      </w:r>
      <w:r>
        <w:t xml:space="preserve">· Cysteine supplementation improves the erythrocyte glutathione synthesis rate in children with severe edematous malnutrition. PMID 12198013</w:t>
      </w:r>
    </w:p>
    <w:p>
      <w:pPr>
        <w:numPr>
          <w:ilvl w:val="0"/>
          <w:numId w:val="1414"/>
        </w:numPr>
        <w:pStyle w:val="Compact"/>
      </w:pPr>
      <w:r>
        <w:t xml:space="preserve">2002 · Arosio E ·</w:t>
      </w:r>
      <w:r>
        <w:t xml:space="preserve"> </w:t>
      </w:r>
      <w:r>
        <w:rPr>
          <w:iCs/>
          <w:i/>
        </w:rPr>
        <w:t xml:space="preserve">Mayo Clin Proc</w:t>
      </w:r>
      <w:r>
        <w:t xml:space="preserve"> </w:t>
      </w:r>
      <w:r>
        <w:t xml:space="preserve">· Effect of glutathione infusion on leg arterial circulation, cutaneous microcirculation, and pain-free walking distance in patients with peripheral obstructive arterial disease: a randomized, double-blind, placebo-controlled trial. PMID 12173710</w:t>
      </w:r>
    </w:p>
    <w:p>
      <w:pPr>
        <w:numPr>
          <w:ilvl w:val="0"/>
          <w:numId w:val="1414"/>
        </w:numPr>
        <w:pStyle w:val="Compact"/>
      </w:pPr>
      <w:r>
        <w:t xml:space="preserve">2002 · Roes EM ·</w:t>
      </w:r>
      <w:r>
        <w:t xml:space="preserve"> </w:t>
      </w:r>
      <w:r>
        <w:rPr>
          <w:iCs/>
          <w:i/>
        </w:rPr>
        <w:t xml:space="preserve">Clin Chem Lab Med</w:t>
      </w:r>
      <w:r>
        <w:t xml:space="preserve"> </w:t>
      </w:r>
      <w:r>
        <w:t xml:space="preserve">· Effects of oral N-acetylcysteine on plasma homocysteine and whole blood glutathione levels in healthy, non-pregnant women. PMID 12113295</w:t>
      </w:r>
    </w:p>
    <w:p>
      <w:pPr>
        <w:numPr>
          <w:ilvl w:val="0"/>
          <w:numId w:val="1414"/>
        </w:numPr>
        <w:pStyle w:val="Compact"/>
      </w:pPr>
      <w:r>
        <w:t xml:space="preserve">2002 · Behr J ·</w:t>
      </w:r>
      <w:r>
        <w:t xml:space="preserve"> </w:t>
      </w:r>
      <w:r>
        <w:rPr>
          <w:iCs/>
          <w:i/>
        </w:rPr>
        <w:t xml:space="preserve">Eur Respir J</w:t>
      </w:r>
      <w:r>
        <w:t xml:space="preserve"> </w:t>
      </w:r>
      <w:r>
        <w:t xml:space="preserve">· Intracellular glutathione and bronchoalveolar cells in fibrosing alveolitis: effects of N-acetylcysteine. PMID 12030732</w:t>
      </w:r>
    </w:p>
    <w:p>
      <w:pPr>
        <w:numPr>
          <w:ilvl w:val="0"/>
          <w:numId w:val="1414"/>
        </w:numPr>
        <w:pStyle w:val="Compact"/>
      </w:pPr>
      <w:r>
        <w:t xml:space="preserve">2002 · Micke P ·</w:t>
      </w:r>
      <w:r>
        <w:t xml:space="preserve"> </w:t>
      </w:r>
      <w:r>
        <w:rPr>
          <w:iCs/>
          <w:i/>
        </w:rPr>
        <w:t xml:space="preserve">Eur J Nutr</w:t>
      </w:r>
      <w:r>
        <w:t xml:space="preserve"> </w:t>
      </w:r>
      <w:r>
        <w:t xml:space="preserve">· Effects of long-term supplementation with whey proteins on plasma glutathione levels of HIV-infected patients. PMID 11990003</w:t>
      </w:r>
    </w:p>
    <w:p>
      <w:pPr>
        <w:numPr>
          <w:ilvl w:val="0"/>
          <w:numId w:val="1414"/>
        </w:numPr>
        <w:pStyle w:val="Compact"/>
      </w:pPr>
      <w:r>
        <w:t xml:space="preserve">2001 · Micke P ·</w:t>
      </w:r>
      <w:r>
        <w:t xml:space="preserve"> </w:t>
      </w:r>
      <w:r>
        <w:rPr>
          <w:iCs/>
          <w:i/>
        </w:rPr>
        <w:t xml:space="preserve">Eur J Clin Invest</w:t>
      </w:r>
      <w:r>
        <w:t xml:space="preserve"> </w:t>
      </w:r>
      <w:r>
        <w:t xml:space="preserve">· Oral supplementation with whey proteins increases plasma glutathione levels of HIV-infected patients. PMID 11168457</w:t>
      </w:r>
    </w:p>
    <w:p>
      <w:pPr>
        <w:numPr>
          <w:ilvl w:val="0"/>
          <w:numId w:val="1414"/>
        </w:numPr>
        <w:pStyle w:val="Compact"/>
      </w:pPr>
      <w:r>
        <w:t xml:space="preserve">2000 · Alfthan G ·</w:t>
      </w:r>
      <w:r>
        <w:t xml:space="preserve"> </w:t>
      </w:r>
      <w:r>
        <w:rPr>
          <w:iCs/>
          <w:i/>
        </w:rPr>
        <w:t xml:space="preserve">Biol Trace Elem Res</w:t>
      </w:r>
      <w:r>
        <w:t xml:space="preserve"> </w:t>
      </w:r>
      <w:r>
        <w:t xml:space="preserve">· Selenium supplementation of children in a selenium-deficient area in China: blood selenium levels and glutathione peroxidase activities. PMID 11049204</w:t>
      </w:r>
    </w:p>
    <w:p>
      <w:pPr>
        <w:numPr>
          <w:ilvl w:val="0"/>
          <w:numId w:val="1414"/>
        </w:numPr>
        <w:pStyle w:val="Compact"/>
      </w:pPr>
      <w:r>
        <w:t xml:space="preserve">2000 · De Rosa SC ·</w:t>
      </w:r>
      <w:r>
        <w:t xml:space="preserve"> </w:t>
      </w:r>
      <w:r>
        <w:rPr>
          <w:iCs/>
          <w:i/>
        </w:rPr>
        <w:t xml:space="preserve">Eur J Clin Invest</w:t>
      </w:r>
      <w:r>
        <w:t xml:space="preserve"> </w:t>
      </w:r>
      <w:r>
        <w:t xml:space="preserve">· N-acetylcysteine replenishes glutathione in HIV infection. PMID 11029607</w:t>
      </w:r>
    </w:p>
    <w:p>
      <w:pPr>
        <w:numPr>
          <w:ilvl w:val="0"/>
          <w:numId w:val="1414"/>
        </w:numPr>
        <w:pStyle w:val="Compact"/>
      </w:pPr>
      <w:r>
        <w:t xml:space="preserve">2000 · Jain SK ·</w:t>
      </w:r>
      <w:r>
        <w:t xml:space="preserve"> </w:t>
      </w:r>
      <w:r>
        <w:rPr>
          <w:iCs/>
          <w:i/>
        </w:rPr>
        <w:t xml:space="preserve">Diabetes Care</w:t>
      </w:r>
      <w:r>
        <w:t xml:space="preserve"> </w:t>
      </w:r>
      <w:r>
        <w:t xml:space="preserve">· Vitamin E supplementation restores glutathione and malondialdehyde to normal concentrations in erythrocytes of type 1 diabetic children. PMID 10977039</w:t>
      </w:r>
    </w:p>
    <w:p>
      <w:pPr>
        <w:numPr>
          <w:ilvl w:val="0"/>
          <w:numId w:val="1414"/>
        </w:numPr>
        <w:pStyle w:val="Compact"/>
      </w:pPr>
      <w:r>
        <w:t xml:space="preserve">2000 · Lampe JW ·</w:t>
      </w:r>
      <w:r>
        <w:t xml:space="preserve"> </w:t>
      </w:r>
      <w:r>
        <w:rPr>
          <w:iCs/>
          <w:i/>
        </w:rPr>
        <w:t xml:space="preserve">Cancer Epidemiol Biomarkers Prev</w:t>
      </w:r>
      <w:r>
        <w:t xml:space="preserve"> </w:t>
      </w:r>
      <w:r>
        <w:t xml:space="preserve">· Modulation of human glutathione S-transferases by botanically defined vegetable diets. PMID 10952095</w:t>
      </w:r>
    </w:p>
    <w:p>
      <w:pPr>
        <w:numPr>
          <w:ilvl w:val="0"/>
          <w:numId w:val="1414"/>
        </w:numPr>
        <w:pStyle w:val="Compact"/>
      </w:pPr>
      <w:r>
        <w:t xml:space="preserve">2000 · Polyak MM ·</w:t>
      </w:r>
      <w:r>
        <w:t xml:space="preserve"> </w:t>
      </w:r>
      <w:r>
        <w:rPr>
          <w:iCs/>
          <w:i/>
        </w:rPr>
        <w:t xml:space="preserve">Transplantation</w:t>
      </w:r>
      <w:r>
        <w:t xml:space="preserve"> </w:t>
      </w:r>
      <w:r>
        <w:t xml:space="preserve">· Glutathione supplementation during cold ischemia does not confer early functional advantage in renal transplantation. PMID 10919601</w:t>
      </w:r>
    </w:p>
    <w:p>
      <w:pPr>
        <w:numPr>
          <w:ilvl w:val="0"/>
          <w:numId w:val="1414"/>
        </w:numPr>
        <w:pStyle w:val="Compact"/>
      </w:pPr>
      <w:r>
        <w:t xml:space="preserve">2000 · Ortolani O ·</w:t>
      </w:r>
      <w:r>
        <w:t xml:space="preserve"> </w:t>
      </w:r>
      <w:r>
        <w:rPr>
          <w:iCs/>
          <w:i/>
        </w:rPr>
        <w:t xml:space="preserve">Am J Respir Crit Care Med</w:t>
      </w:r>
      <w:r>
        <w:t xml:space="preserve"> </w:t>
      </w:r>
      <w:r>
        <w:t xml:space="preserve">· The effect of glutathione and N-acetylcysteine on lipoperoxidative damage in patients with early septic shock. PMID 10852765</w:t>
      </w:r>
    </w:p>
    <w:p>
      <w:pPr>
        <w:numPr>
          <w:ilvl w:val="0"/>
          <w:numId w:val="1414"/>
        </w:numPr>
        <w:pStyle w:val="Compact"/>
      </w:pPr>
      <w:r>
        <w:t xml:space="preserve">2000 · Pendyala L ·</w:t>
      </w:r>
      <w:r>
        <w:t xml:space="preserve"> </w:t>
      </w:r>
      <w:r>
        <w:rPr>
          <w:iCs/>
          <w:i/>
        </w:rPr>
        <w:t xml:space="preserve">Clin Cancer Res</w:t>
      </w:r>
      <w:r>
        <w:t xml:space="preserve"> </w:t>
      </w:r>
      <w:r>
        <w:t xml:space="preserve">· Intravenous ifosfamide/mesna is associated with depletion of plasma thiols without depletion of leukocyte glutathione. PMID 10778956</w:t>
      </w:r>
    </w:p>
    <w:p>
      <w:pPr>
        <w:numPr>
          <w:ilvl w:val="0"/>
          <w:numId w:val="1414"/>
        </w:numPr>
        <w:pStyle w:val="Compact"/>
      </w:pPr>
      <w:r>
        <w:t xml:space="preserve">2000 · Jeevanandam M ·</w:t>
      </w:r>
      <w:r>
        <w:t xml:space="preserve"> </w:t>
      </w:r>
      <w:r>
        <w:rPr>
          <w:iCs/>
          <w:i/>
        </w:rPr>
        <w:t xml:space="preserve">Crit Care Med</w:t>
      </w:r>
      <w:r>
        <w:t xml:space="preserve"> </w:t>
      </w:r>
      <w:r>
        <w:t xml:space="preserve">· Altered plasma cytokines and total glutathione levels in parenterally fed critically ill trauma patients with adjuvant recombinant human growth hormone (rhGH) therapy. PMID 10708161</w:t>
      </w:r>
    </w:p>
    <w:p>
      <w:pPr>
        <w:numPr>
          <w:ilvl w:val="0"/>
          <w:numId w:val="1414"/>
        </w:numPr>
        <w:pStyle w:val="Compact"/>
      </w:pPr>
      <w:r>
        <w:t xml:space="preserve">1999 · Barbagallo M ·</w:t>
      </w:r>
      <w:r>
        <w:t xml:space="preserve"> </w:t>
      </w:r>
      <w:r>
        <w:rPr>
          <w:iCs/>
          <w:i/>
        </w:rPr>
        <w:t xml:space="preserve">Hypertension</w:t>
      </w:r>
      <w:r>
        <w:t xml:space="preserve"> </w:t>
      </w:r>
      <w:r>
        <w:t xml:space="preserve">· Effects of vitamin E and glutathione on glucose metabolism: role of magnesium. PMID 10523398</w:t>
      </w:r>
    </w:p>
    <w:p>
      <w:pPr>
        <w:numPr>
          <w:ilvl w:val="0"/>
          <w:numId w:val="1414"/>
        </w:numPr>
        <w:pStyle w:val="Compact"/>
      </w:pPr>
      <w:r>
        <w:t xml:space="preserve">1999 · Galli F ·</w:t>
      </w:r>
      <w:r>
        <w:t xml:space="preserve"> </w:t>
      </w:r>
      <w:r>
        <w:rPr>
          <w:iCs/>
          <w:i/>
        </w:rPr>
        <w:t xml:space="preserve">Clin Chem</w:t>
      </w:r>
      <w:r>
        <w:t xml:space="preserve"> </w:t>
      </w:r>
      <w:r>
        <w:t xml:space="preserve">· Overexpression of erythrocyte glutathione S-transferase in uremia and dialysis. PMID 10508125</w:t>
      </w:r>
    </w:p>
    <w:p>
      <w:pPr>
        <w:numPr>
          <w:ilvl w:val="0"/>
          <w:numId w:val="1414"/>
        </w:numPr>
        <w:pStyle w:val="Compact"/>
      </w:pPr>
      <w:r>
        <w:t xml:space="preserve">1998 · Apostolski S ·</w:t>
      </w:r>
      <w:r>
        <w:t xml:space="preserve"> </w:t>
      </w:r>
      <w:r>
        <w:rPr>
          <w:iCs/>
          <w:i/>
        </w:rPr>
        <w:t xml:space="preserve">J Environ Pathol Toxicol Oncol</w:t>
      </w:r>
      <w:r>
        <w:t xml:space="preserve"> </w:t>
      </w:r>
      <w:r>
        <w:t xml:space="preserve">· Glutathione peroxidase in amyotrophic lateral sclerosis: the effects of selenium supplementation. PMID 9726810</w:t>
      </w:r>
    </w:p>
    <w:p>
      <w:pPr>
        <w:numPr>
          <w:ilvl w:val="0"/>
          <w:numId w:val="1414"/>
        </w:numPr>
        <w:pStyle w:val="Compact"/>
      </w:pPr>
      <w:r>
        <w:t xml:space="preserve">1998 · De Mattia G ·</w:t>
      </w:r>
      <w:r>
        <w:t xml:space="preserve"> </w:t>
      </w:r>
      <w:r>
        <w:rPr>
          <w:iCs/>
          <w:i/>
        </w:rPr>
        <w:t xml:space="preserve">Metabolism</w:t>
      </w:r>
      <w:r>
        <w:t xml:space="preserve"> </w:t>
      </w:r>
      <w:r>
        <w:t xml:space="preserve">· Influence of reduced glutathione infusion on glucose metabolism in patients with non-insulin-dependent diabetes mellitus. PMID 9711998</w:t>
      </w:r>
    </w:p>
    <w:p>
      <w:pPr>
        <w:numPr>
          <w:ilvl w:val="0"/>
          <w:numId w:val="1414"/>
        </w:numPr>
        <w:pStyle w:val="Compact"/>
      </w:pPr>
      <w:r>
        <w:t xml:space="preserve">1998 · Cimino L ·</w:t>
      </w:r>
      <w:r>
        <w:t xml:space="preserve"> </w:t>
      </w:r>
      <w:r>
        <w:rPr>
          <w:iCs/>
          <w:i/>
        </w:rPr>
        <w:t xml:space="preserve">Ital J Gastroenterol Hepatol</w:t>
      </w:r>
      <w:r>
        <w:t xml:space="preserve"> </w:t>
      </w:r>
      <w:r>
        <w:t xml:space="preserve">· Effect of N-acetyl-cysteine on lymphomonocyte glutathione and response to interferon treatment in C-virus chronic hepatitis. PMID 9675657</w:t>
      </w:r>
    </w:p>
    <w:p>
      <w:pPr>
        <w:numPr>
          <w:ilvl w:val="0"/>
          <w:numId w:val="1414"/>
        </w:numPr>
        <w:pStyle w:val="Compact"/>
      </w:pPr>
      <w:r>
        <w:t xml:space="preserve">1998 · Bernhard MC ·</w:t>
      </w:r>
      <w:r>
        <w:t xml:space="preserve"> </w:t>
      </w:r>
      <w:r>
        <w:rPr>
          <w:iCs/>
          <w:i/>
        </w:rPr>
        <w:t xml:space="preserve">J Hepatol</w:t>
      </w:r>
      <w:r>
        <w:t xml:space="preserve"> </w:t>
      </w:r>
      <w:r>
        <w:t xml:space="preserve">· Time course of total cysteine, glutathione and homocysteine in plasma of patients with chronic hepatitis C treated with interferon-alpha with and without supplementation with N-acetylcysteine. PMID 9625308</w:t>
      </w:r>
    </w:p>
    <w:p>
      <w:pPr>
        <w:numPr>
          <w:ilvl w:val="0"/>
          <w:numId w:val="1414"/>
        </w:numPr>
        <w:pStyle w:val="Compact"/>
      </w:pPr>
      <w:r>
        <w:t xml:space="preserve">1997 · Clapper ML ·</w:t>
      </w:r>
      <w:r>
        <w:t xml:space="preserve"> </w:t>
      </w:r>
      <w:r>
        <w:rPr>
          <w:iCs/>
          <w:i/>
        </w:rPr>
        <w:t xml:space="preserve">Clin Cancer Res</w:t>
      </w:r>
      <w:r>
        <w:t xml:space="preserve"> </w:t>
      </w:r>
      <w:r>
        <w:t xml:space="preserve">· Preclinical and clinical evaluation of broccoli supplements as inducers of glutathione S-transferase activity. PMID 9815533</w:t>
      </w:r>
    </w:p>
    <w:p>
      <w:pPr>
        <w:numPr>
          <w:ilvl w:val="0"/>
          <w:numId w:val="1414"/>
        </w:numPr>
        <w:pStyle w:val="Compact"/>
      </w:pPr>
      <w:r>
        <w:t xml:space="preserve">1997 · Konukoğlu D ·</w:t>
      </w:r>
      <w:r>
        <w:t xml:space="preserve"> </w:t>
      </w:r>
      <w:r>
        <w:rPr>
          <w:iCs/>
          <w:i/>
        </w:rPr>
        <w:t xml:space="preserve">J Endocrinol Invest</w:t>
      </w:r>
      <w:r>
        <w:t xml:space="preserve"> </w:t>
      </w:r>
      <w:r>
        <w:t xml:space="preserve">· The erythrocyte glutathione levels during oral glucose tolerance test. PMID 9364250</w:t>
      </w:r>
    </w:p>
    <w:p>
      <w:pPr>
        <w:numPr>
          <w:ilvl w:val="0"/>
          <w:numId w:val="1414"/>
        </w:numPr>
        <w:pStyle w:val="Compact"/>
      </w:pPr>
      <w:r>
        <w:t xml:space="preserve">1997 · Herzenberg LA ·</w:t>
      </w:r>
      <w:r>
        <w:t xml:space="preserve"> </w:t>
      </w:r>
      <w:r>
        <w:rPr>
          <w:iCs/>
          <w:i/>
        </w:rPr>
        <w:t xml:space="preserve">Proc Natl Acad Sci U S A</w:t>
      </w:r>
      <w:r>
        <w:t xml:space="preserve"> </w:t>
      </w:r>
      <w:r>
        <w:t xml:space="preserve">· Glutathione deficiency is associated with impaired survival in HIV disease. PMID 9050888</w:t>
      </w:r>
    </w:p>
    <w:p>
      <w:pPr>
        <w:numPr>
          <w:ilvl w:val="0"/>
          <w:numId w:val="1414"/>
        </w:numPr>
        <w:pStyle w:val="Compact"/>
      </w:pPr>
      <w:r>
        <w:t xml:space="preserve">1996 · Sechi G ·</w:t>
      </w:r>
      <w:r>
        <w:t xml:space="preserve"> </w:t>
      </w:r>
      <w:r>
        <w:rPr>
          <w:iCs/>
          <w:i/>
        </w:rPr>
        <w:t xml:space="preserve">Prog Neuropsychopharmacol Biol Psychiatry</w:t>
      </w:r>
      <w:r>
        <w:t xml:space="preserve"> </w:t>
      </w:r>
      <w:r>
        <w:t xml:space="preserve">· Reduced intravenous glutathione in the treatment of early Parkinson’s disease. PMID 8938817</w:t>
      </w:r>
    </w:p>
    <w:p>
      <w:pPr>
        <w:numPr>
          <w:ilvl w:val="0"/>
          <w:numId w:val="1414"/>
        </w:numPr>
        <w:pStyle w:val="Compact"/>
      </w:pPr>
      <w:r>
        <w:t xml:space="preserve">1996 · Hu JJ ·</w:t>
      </w:r>
      <w:r>
        <w:t xml:space="preserve"> </w:t>
      </w:r>
      <w:r>
        <w:rPr>
          <w:iCs/>
          <w:i/>
        </w:rPr>
        <w:t xml:space="preserve">Cancer Epidemiol Biomarkers Prev</w:t>
      </w:r>
      <w:r>
        <w:t xml:space="preserve"> </w:t>
      </w:r>
      <w:r>
        <w:t xml:space="preserve">· Effects of dietary supplementation of alpha-tocopherol on plasma glutathione and DNA repair activities. PMID 8722217</w:t>
      </w:r>
    </w:p>
    <w:p>
      <w:pPr>
        <w:numPr>
          <w:ilvl w:val="0"/>
          <w:numId w:val="1414"/>
        </w:numPr>
        <w:pStyle w:val="Compact"/>
      </w:pPr>
      <w:r>
        <w:t xml:space="preserve">1996 · Delmas-Beauvieux MC ·</w:t>
      </w:r>
      <w:r>
        <w:t xml:space="preserve"> </w:t>
      </w:r>
      <w:r>
        <w:rPr>
          <w:iCs/>
          <w:i/>
        </w:rPr>
        <w:t xml:space="preserve">Am J Clin Nutr</w:t>
      </w:r>
      <w:r>
        <w:t xml:space="preserve"> </w:t>
      </w:r>
      <w:r>
        <w:t xml:space="preserve">· The enzymatic antioxidant system in blood and glutathione status in human immunodeficiency virus (HIV)-infected patients: effects of supplementation with selenium or beta-carotene. PMID 8669404</w:t>
      </w:r>
    </w:p>
    <w:p>
      <w:pPr>
        <w:numPr>
          <w:ilvl w:val="0"/>
          <w:numId w:val="1414"/>
        </w:numPr>
        <w:pStyle w:val="Compact"/>
      </w:pPr>
      <w:r>
        <w:t xml:space="preserve">1995 · Ramsay B ·</w:t>
      </w:r>
      <w:r>
        <w:t xml:space="preserve"> </w:t>
      </w:r>
      <w:r>
        <w:rPr>
          <w:iCs/>
          <w:i/>
        </w:rPr>
        <w:t xml:space="preserve">Br J Clin Pharmacol</w:t>
      </w:r>
      <w:r>
        <w:t xml:space="preserve"> </w:t>
      </w:r>
      <w:r>
        <w:t xml:space="preserve">· Systemic effects of S-nitroso-glutathione in the human following intravenous infusion. PMID 8527258</w:t>
      </w:r>
    </w:p>
    <w:p>
      <w:pPr>
        <w:numPr>
          <w:ilvl w:val="0"/>
          <w:numId w:val="1414"/>
        </w:numPr>
        <w:pStyle w:val="Compact"/>
      </w:pPr>
      <w:r>
        <w:t xml:space="preserve">1995 · Tessier F ·</w:t>
      </w:r>
      <w:r>
        <w:t xml:space="preserve"> </w:t>
      </w:r>
      <w:r>
        <w:rPr>
          <w:iCs/>
          <w:i/>
        </w:rPr>
        <w:t xml:space="preserve">Med Sci Sports Exerc</w:t>
      </w:r>
      <w:r>
        <w:t xml:space="preserve"> </w:t>
      </w:r>
      <w:r>
        <w:t xml:space="preserve">· Selenium and training effects on the glutathione system and aerobic performance. PMID 7752866</w:t>
      </w:r>
    </w:p>
    <w:p>
      <w:pPr>
        <w:numPr>
          <w:ilvl w:val="0"/>
          <w:numId w:val="1414"/>
        </w:numPr>
        <w:pStyle w:val="Compact"/>
      </w:pPr>
      <w:r>
        <w:t xml:space="preserve">1994 · Bailey HH ·</w:t>
      </w:r>
      <w:r>
        <w:t xml:space="preserve"> </w:t>
      </w:r>
      <w:r>
        <w:rPr>
          <w:iCs/>
          <w:i/>
        </w:rPr>
        <w:t xml:space="preserve">J Clin Oncol</w:t>
      </w:r>
      <w:r>
        <w:t xml:space="preserve"> </w:t>
      </w:r>
      <w:r>
        <w:t xml:space="preserve">· Phase I clinical trial of intravenous L-buthionine sulfoximine and melphalan: an attempt at modulation of glutathione. PMID 8270977</w:t>
      </w:r>
    </w:p>
    <w:p>
      <w:pPr>
        <w:numPr>
          <w:ilvl w:val="0"/>
          <w:numId w:val="1414"/>
        </w:numPr>
        <w:pStyle w:val="Compact"/>
      </w:pPr>
      <w:r>
        <w:t xml:space="preserve">1994 · Meyer A ·</w:t>
      </w:r>
      <w:r>
        <w:t xml:space="preserve"> </w:t>
      </w:r>
      <w:r>
        <w:rPr>
          <w:iCs/>
          <w:i/>
        </w:rPr>
        <w:t xml:space="preserve">Eur Respir J</w:t>
      </w:r>
      <w:r>
        <w:t xml:space="preserve"> </w:t>
      </w:r>
      <w:r>
        <w:t xml:space="preserve">· The effect of oral N-acetylcysteine on lung glutathione levels in idiopathic pulmonary fibrosis. PMID 8013597</w:t>
      </w:r>
    </w:p>
    <w:p>
      <w:pPr>
        <w:numPr>
          <w:ilvl w:val="0"/>
          <w:numId w:val="1414"/>
        </w:numPr>
        <w:pStyle w:val="Compact"/>
      </w:pPr>
      <w:r>
        <w:t xml:space="preserve">1994 · Plaxe S ·</w:t>
      </w:r>
      <w:r>
        <w:t xml:space="preserve"> </w:t>
      </w:r>
      <w:r>
        <w:rPr>
          <w:iCs/>
          <w:i/>
        </w:rPr>
        <w:t xml:space="preserve">Gynecol Oncol</w:t>
      </w:r>
      <w:r>
        <w:t xml:space="preserve"> </w:t>
      </w:r>
      <w:r>
        <w:t xml:space="preserve">· Phase I trial of cisplatin in combination with glutathione. PMID 7959273</w:t>
      </w:r>
    </w:p>
    <w:p>
      <w:pPr>
        <w:numPr>
          <w:ilvl w:val="0"/>
          <w:numId w:val="1414"/>
        </w:numPr>
        <w:pStyle w:val="Compact"/>
      </w:pPr>
      <w:r>
        <w:t xml:space="preserve">1994 · Kinscherf R ·</w:t>
      </w:r>
      <w:r>
        <w:t xml:space="preserve"> </w:t>
      </w:r>
      <w:r>
        <w:rPr>
          <w:iCs/>
          <w:i/>
        </w:rPr>
        <w:t xml:space="preserve">FASEB J</w:t>
      </w:r>
      <w:r>
        <w:t xml:space="preserve"> </w:t>
      </w:r>
      <w:r>
        <w:t xml:space="preserve">· Effect of glutathione depletion and oral N-acetyl-cysteine treatment on CD4+ and CD8+ cells. PMID 7909525</w:t>
      </w:r>
    </w:p>
    <w:p>
      <w:pPr>
        <w:numPr>
          <w:ilvl w:val="0"/>
          <w:numId w:val="1414"/>
        </w:numPr>
        <w:pStyle w:val="Compact"/>
      </w:pPr>
      <w:r>
        <w:t xml:space="preserve">1993 · Thomson CD ·</w:t>
      </w:r>
      <w:r>
        <w:t xml:space="preserve"> </w:t>
      </w:r>
      <w:r>
        <w:rPr>
          <w:iCs/>
          <w:i/>
        </w:rPr>
        <w:t xml:space="preserve">Br J Nutr</w:t>
      </w:r>
      <w:r>
        <w:t xml:space="preserve"> </w:t>
      </w:r>
      <w:r>
        <w:t xml:space="preserve">· Long-term supplementation with selenate and selenomethionine: selenium and glutathione peroxidase (EC 1.11.1.9) in blood components of New Zealand women. PMID 8490010</w:t>
      </w:r>
    </w:p>
    <w:p>
      <w:pPr>
        <w:numPr>
          <w:ilvl w:val="0"/>
          <w:numId w:val="1414"/>
        </w:numPr>
        <w:pStyle w:val="Compact"/>
      </w:pPr>
      <w:r>
        <w:t xml:space="preserve">1993 · Johnston CS ·</w:t>
      </w:r>
      <w:r>
        <w:t xml:space="preserve"> </w:t>
      </w:r>
      <w:r>
        <w:rPr>
          <w:iCs/>
          <w:i/>
        </w:rPr>
        <w:t xml:space="preserve">Am J Clin Nutr</w:t>
      </w:r>
      <w:r>
        <w:t xml:space="preserve"> </w:t>
      </w:r>
      <w:r>
        <w:t xml:space="preserve">· Vitamin C elevates red blood cell glutathione in healthy adults. PMID 8317379</w:t>
      </w:r>
    </w:p>
    <w:p>
      <w:pPr>
        <w:numPr>
          <w:ilvl w:val="0"/>
          <w:numId w:val="1414"/>
        </w:numPr>
        <w:pStyle w:val="Compact"/>
      </w:pPr>
      <w:r>
        <w:t xml:space="preserve">1993 · Jendryczko A ·</w:t>
      </w:r>
      <w:r>
        <w:t xml:space="preserve"> </w:t>
      </w:r>
      <w:r>
        <w:rPr>
          <w:iCs/>
          <w:i/>
        </w:rPr>
        <w:t xml:space="preserve">Zentralbl Gynakol</w:t>
      </w:r>
      <w:r>
        <w:t xml:space="preserve"> </w:t>
      </w:r>
      <w:r>
        <w:t xml:space="preserve">· Effects of two low-dose oral contraceptives on erythrocyte superoxide dismutase, catalase and glutathione peroxidase activities. PMID 8296490</w:t>
      </w:r>
    </w:p>
    <w:p>
      <w:pPr>
        <w:numPr>
          <w:ilvl w:val="0"/>
          <w:numId w:val="1414"/>
        </w:numPr>
        <w:pStyle w:val="Compact"/>
      </w:pPr>
      <w:r>
        <w:t xml:space="preserve">1993 · Suthutvoravut U ·</w:t>
      </w:r>
      <w:r>
        <w:t xml:space="preserve"> </w:t>
      </w:r>
      <w:r>
        <w:rPr>
          <w:iCs/>
          <w:i/>
        </w:rPr>
        <w:t xml:space="preserve">J Med Assoc Thai</w:t>
      </w:r>
      <w:r>
        <w:t xml:space="preserve"> </w:t>
      </w:r>
      <w:r>
        <w:t xml:space="preserve">· Vitamin E status, glutathione peroxidase activity and the effect of vitamin E supplementation in children with thalassemia. PMID 7822984</w:t>
      </w:r>
    </w:p>
    <w:p>
      <w:pPr>
        <w:numPr>
          <w:ilvl w:val="0"/>
          <w:numId w:val="1414"/>
        </w:numPr>
        <w:pStyle w:val="Compact"/>
      </w:pPr>
      <w:r>
        <w:t xml:space="preserve">1992 · Costagliola C ·</w:t>
      </w:r>
      <w:r>
        <w:t xml:space="preserve"> </w:t>
      </w:r>
      <w:r>
        <w:rPr>
          <w:iCs/>
          <w:i/>
        </w:rPr>
        <w:t xml:space="preserve">Nephron</w:t>
      </w:r>
      <w:r>
        <w:t xml:space="preserve"> </w:t>
      </w:r>
      <w:r>
        <w:t xml:space="preserve">· Anemia and chronic renal failure: a therapeutical approach by reduced glutathione parenteral administration. PMID 1501736</w:t>
      </w:r>
    </w:p>
    <w:p>
      <w:pPr>
        <w:numPr>
          <w:ilvl w:val="0"/>
          <w:numId w:val="1414"/>
        </w:numPr>
        <w:pStyle w:val="Compact"/>
      </w:pPr>
      <w:r>
        <w:t xml:space="preserve">1992 · Ortolani O ·</w:t>
      </w:r>
      <w:r>
        <w:t xml:space="preserve"> </w:t>
      </w:r>
      <w:r>
        <w:rPr>
          <w:iCs/>
          <w:i/>
        </w:rPr>
        <w:t xml:space="preserve">Boll Soc Ital Biol Sper</w:t>
      </w:r>
      <w:r>
        <w:t xml:space="preserve"> </w:t>
      </w:r>
      <w:r>
        <w:t xml:space="preserve">· [Usefulness of the prevention of oxygen radical damage in the critical patient using the parenteral administration of reduced glutathione in high doses]. PMID 1463596</w:t>
      </w:r>
    </w:p>
    <w:p>
      <w:pPr>
        <w:numPr>
          <w:ilvl w:val="0"/>
          <w:numId w:val="1414"/>
        </w:numPr>
        <w:pStyle w:val="Compact"/>
      </w:pPr>
      <w:r>
        <w:t xml:space="preserve">1990 · Corbucci GG ·</w:t>
      </w:r>
      <w:r>
        <w:t xml:space="preserve"> </w:t>
      </w:r>
      <w:r>
        <w:rPr>
          <w:iCs/>
          <w:i/>
        </w:rPr>
        <w:t xml:space="preserve">Int J Clin Pharmacol Res</w:t>
      </w:r>
      <w:r>
        <w:t xml:space="preserve"> </w:t>
      </w:r>
      <w:r>
        <w:t xml:space="preserve">· The role of reduced glutathione during the course of acute haemolysis in glucose-6-phosphate dehydrogenase deficient patients: clinical and pharmacodynamic aspects. PMID 1981880</w:t>
      </w:r>
    </w:p>
    <w:p>
      <w:pPr>
        <w:numPr>
          <w:ilvl w:val="0"/>
          <w:numId w:val="1414"/>
        </w:numPr>
        <w:pStyle w:val="Compact"/>
      </w:pPr>
      <w:r>
        <w:t xml:space="preserve">1989 · Vendemiale G ·</w:t>
      </w:r>
      <w:r>
        <w:t xml:space="preserve"> </w:t>
      </w:r>
      <w:r>
        <w:rPr>
          <w:iCs/>
          <w:i/>
        </w:rPr>
        <w:t xml:space="preserve">Scand J Gastroenterol</w:t>
      </w:r>
      <w:r>
        <w:t xml:space="preserve"> </w:t>
      </w:r>
      <w:r>
        <w:t xml:space="preserve">· Effects of oral S-adenosyl-L-methionine on hepatic glutathione in patients with liver disease. PMID 2781235</w:t>
      </w:r>
    </w:p>
    <w:p>
      <w:pPr>
        <w:numPr>
          <w:ilvl w:val="0"/>
          <w:numId w:val="1414"/>
        </w:numPr>
        <w:pStyle w:val="Compact"/>
      </w:pPr>
      <w:r>
        <w:t xml:space="preserve">1988 · Thomson CD ·</w:t>
      </w:r>
      <w:r>
        <w:t xml:space="preserve"> </w:t>
      </w:r>
      <w:r>
        <w:rPr>
          <w:iCs/>
          <w:i/>
        </w:rPr>
        <w:t xml:space="preserve">Am J Clin Nutr</w:t>
      </w:r>
      <w:r>
        <w:t xml:space="preserve"> </w:t>
      </w:r>
      <w:r>
        <w:t xml:space="preserve">· Selenium and vitamin E supplementation: activities of glutathione peroxidase in human tissues. PMID 3407611</w:t>
      </w:r>
    </w:p>
    <w:p>
      <w:pPr>
        <w:numPr>
          <w:ilvl w:val="0"/>
          <w:numId w:val="1414"/>
        </w:numPr>
        <w:pStyle w:val="Compact"/>
      </w:pPr>
      <w:r>
        <w:t xml:space="preserve">1988 · Nève J ·</w:t>
      </w:r>
      <w:r>
        <w:t xml:space="preserve"> </w:t>
      </w:r>
      <w:r>
        <w:rPr>
          <w:iCs/>
          <w:i/>
        </w:rPr>
        <w:t xml:space="preserve">Am J Clin Nutr</w:t>
      </w:r>
      <w:r>
        <w:t xml:space="preserve"> </w:t>
      </w:r>
      <w:r>
        <w:t xml:space="preserve">· Selenium supplementation in healthy Belgian adults: response in platelet glutathione peroxidase activity and other blood indices. PMID 3389320</w:t>
      </w:r>
    </w:p>
    <w:p>
      <w:pPr>
        <w:numPr>
          <w:ilvl w:val="0"/>
          <w:numId w:val="1414"/>
        </w:numPr>
        <w:pStyle w:val="Compact"/>
      </w:pPr>
      <w:r>
        <w:t xml:space="preserve">1988 · Thomson CD ·</w:t>
      </w:r>
      <w:r>
        <w:t xml:space="preserve"> </w:t>
      </w:r>
      <w:r>
        <w:rPr>
          <w:iCs/>
          <w:i/>
        </w:rPr>
        <w:t xml:space="preserve">Biochem Int</w:t>
      </w:r>
      <w:r>
        <w:t xml:space="preserve"> </w:t>
      </w:r>
      <w:r>
        <w:t xml:space="preserve">· The absence of adaptive changes in tissue activities of glutathione-S-transferase, superoxide dismutase and catalase following selenium and vitamin E supplementation in subjects with low selenium status. PMID 3355578</w:t>
      </w:r>
    </w:p>
    <w:p>
      <w:pPr>
        <w:numPr>
          <w:ilvl w:val="0"/>
          <w:numId w:val="1414"/>
        </w:numPr>
        <w:pStyle w:val="Compact"/>
      </w:pPr>
      <w:r>
        <w:t xml:space="preserve">1988 · Clausen J ·</w:t>
      </w:r>
      <w:r>
        <w:t xml:space="preserve"> </w:t>
      </w:r>
      <w:r>
        <w:rPr>
          <w:iCs/>
          <w:i/>
        </w:rPr>
        <w:t xml:space="preserve">Biol Trace Elem Res</w:t>
      </w:r>
      <w:r>
        <w:t xml:space="preserve"> </w:t>
      </w:r>
      <w:r>
        <w:t xml:space="preserve">· Comparison of whole blood selenium values and erythrocyte glutathione peroxidase activities of normal individuals on supplementation with selenate, selenite, L-selenomethionine, and high selenium yeast. PMID 2484510</w:t>
      </w:r>
    </w:p>
    <w:p>
      <w:pPr>
        <w:numPr>
          <w:ilvl w:val="0"/>
          <w:numId w:val="1414"/>
        </w:numPr>
        <w:pStyle w:val="Compact"/>
      </w:pPr>
      <w:r>
        <w:t xml:space="preserve">1985 · Batist G ·</w:t>
      </w:r>
      <w:r>
        <w:t xml:space="preserve"> </w:t>
      </w:r>
      <w:r>
        <w:rPr>
          <w:iCs/>
          <w:i/>
        </w:rPr>
        <w:t xml:space="preserve">Cancer Res</w:t>
      </w:r>
      <w:r>
        <w:t xml:space="preserve"> </w:t>
      </w:r>
      <w:r>
        <w:t xml:space="preserve">· Cardiac and red blood cell glutathione peroxidase: results of a prospective randomized trial in patients on total parenteral nutrition. PMID 3931910</w:t>
      </w:r>
    </w:p>
    <w:p>
      <w:pPr>
        <w:numPr>
          <w:ilvl w:val="0"/>
          <w:numId w:val="1414"/>
        </w:numPr>
        <w:pStyle w:val="Compact"/>
      </w:pPr>
      <w:r>
        <w:t xml:space="preserve">1984 · Sundström H ·</w:t>
      </w:r>
      <w:r>
        <w:t xml:space="preserve"> </w:t>
      </w:r>
      <w:r>
        <w:rPr>
          <w:iCs/>
          <w:i/>
        </w:rPr>
        <w:t xml:space="preserve">Cancer Lett</w:t>
      </w:r>
      <w:r>
        <w:t xml:space="preserve"> </w:t>
      </w:r>
      <w:r>
        <w:t xml:space="preserve">· Serum selenium and glutathione peroxidase, and plasma lipid peroxides in uterine, ovarian or vulvar cancer, and their responses to antioxidants in patients with ovarian cancer. PMID 6498792</w:t>
      </w:r>
    </w:p>
    <w:bookmarkEnd w:id="3057"/>
    <w:bookmarkStart w:id="3058" w:name="bremelanotide-pt-141-16"/>
    <w:p>
      <w:pPr>
        <w:pStyle w:val="Heading2"/>
      </w:pPr>
      <w:r>
        <w:t xml:space="preserve">Bremelanotide (PT-141) (16)</w:t>
      </w:r>
    </w:p>
    <w:p>
      <w:pPr>
        <w:numPr>
          <w:ilvl w:val="0"/>
          <w:numId w:val="1415"/>
        </w:numPr>
        <w:pStyle w:val="Compact"/>
      </w:pPr>
      <w:r>
        <w:t xml:space="preserve">2022 · Simon JA ·</w:t>
      </w:r>
      <w:r>
        <w:t xml:space="preserve"> </w:t>
      </w:r>
      <w:r>
        <w:rPr>
          <w:iCs/>
          <w:i/>
        </w:rPr>
        <w:t xml:space="preserve">J Womens Health (Larchmt)</w:t>
      </w:r>
      <w:r>
        <w:t xml:space="preserve"> </w:t>
      </w:r>
      <w:r>
        <w:t xml:space="preserve">· Prespecified and Integrated Subgroup Analyses from the RECONNECT Phase 3 Studies of Bremelanotide. PMID 35230162</w:t>
      </w:r>
    </w:p>
    <w:p>
      <w:pPr>
        <w:numPr>
          <w:ilvl w:val="0"/>
          <w:numId w:val="1415"/>
        </w:numPr>
        <w:pStyle w:val="Compact"/>
      </w:pPr>
      <w:r>
        <w:t xml:space="preserve">2022 · Clayton AH ·</w:t>
      </w:r>
      <w:r>
        <w:t xml:space="preserve"> </w:t>
      </w:r>
      <w:r>
        <w:rPr>
          <w:iCs/>
          <w:i/>
        </w:rPr>
        <w:t xml:space="preserve">J Womens Health (Larchmt)</w:t>
      </w:r>
      <w:r>
        <w:t xml:space="preserve"> </w:t>
      </w:r>
      <w:r>
        <w:t xml:space="preserve">· Safety Profile of Bremelanotide Across the Clinical Development Program. PMID 35147466</w:t>
      </w:r>
    </w:p>
    <w:p>
      <w:pPr>
        <w:numPr>
          <w:ilvl w:val="0"/>
          <w:numId w:val="1415"/>
        </w:numPr>
        <w:pStyle w:val="Compact"/>
      </w:pPr>
      <w:r>
        <w:t xml:space="preserve">2021 · Koochaki P ·</w:t>
      </w:r>
      <w:r>
        <w:t xml:space="preserve"> </w:t>
      </w:r>
      <w:r>
        <w:rPr>
          <w:iCs/>
          <w:i/>
        </w:rPr>
        <w:t xml:space="preserve">J Womens Health (Larchmt)</w:t>
      </w:r>
      <w:r>
        <w:t xml:space="preserve"> </w:t>
      </w:r>
      <w:r>
        <w:t xml:space="preserve">· The Patient Experience of Premenopausal Women Treated with Bremelanotide for Hypoactive Sexual Desire Disorder: RECONNECT Exit Study Results. PMID 33538638</w:t>
      </w:r>
    </w:p>
    <w:p>
      <w:pPr>
        <w:numPr>
          <w:ilvl w:val="0"/>
          <w:numId w:val="1415"/>
        </w:numPr>
        <w:pStyle w:val="Compact"/>
      </w:pPr>
      <w:r>
        <w:t xml:space="preserve">2019 · Kingsberg SA ·</w:t>
      </w:r>
      <w:r>
        <w:t xml:space="preserve"> </w:t>
      </w:r>
      <w:r>
        <w:rPr>
          <w:iCs/>
          <w:i/>
        </w:rPr>
        <w:t xml:space="preserve">Obstet Gynecol</w:t>
      </w:r>
      <w:r>
        <w:t xml:space="preserve"> </w:t>
      </w:r>
      <w:r>
        <w:t xml:space="preserve">· Bremelanotide for the Treatment of Hypoactive Sexual Desire Disorder: Two Randomized Phase 3 Trials. PMID 31599840</w:t>
      </w:r>
    </w:p>
    <w:p>
      <w:pPr>
        <w:numPr>
          <w:ilvl w:val="0"/>
          <w:numId w:val="1415"/>
        </w:numPr>
        <w:pStyle w:val="Compact"/>
      </w:pPr>
      <w:r>
        <w:t xml:space="preserve">2019 · Althof S ·</w:t>
      </w:r>
      <w:r>
        <w:t xml:space="preserve"> </w:t>
      </w:r>
      <w:r>
        <w:rPr>
          <w:iCs/>
          <w:i/>
        </w:rPr>
        <w:t xml:space="preserve">J Sex Med</w:t>
      </w:r>
      <w:r>
        <w:t xml:space="preserve"> </w:t>
      </w:r>
      <w:r>
        <w:t xml:space="preserve">· Responder Analyses from a Phase 2b Dose-Ranging Study of Bremelanotide. PMID 31277966</w:t>
      </w:r>
    </w:p>
    <w:p>
      <w:pPr>
        <w:numPr>
          <w:ilvl w:val="0"/>
          <w:numId w:val="1415"/>
        </w:numPr>
        <w:pStyle w:val="Compact"/>
      </w:pPr>
      <w:r>
        <w:t xml:space="preserve">2017 · Clayton AH ·</w:t>
      </w:r>
      <w:r>
        <w:t xml:space="preserve"> </w:t>
      </w:r>
      <w:r>
        <w:rPr>
          <w:iCs/>
          <w:i/>
        </w:rPr>
        <w:t xml:space="preserve">Clin Ther</w:t>
      </w:r>
      <w:r>
        <w:t xml:space="preserve"> </w:t>
      </w:r>
      <w:r>
        <w:t xml:space="preserve">· Phase I Randomized Placebo-controlled, Double-blind Study of the Safety and Tolerability of Bremelanotide Coadministered With Ethanol in Healthy Male and Female Participants. PMID 28189361</w:t>
      </w:r>
    </w:p>
    <w:p>
      <w:pPr>
        <w:numPr>
          <w:ilvl w:val="0"/>
          <w:numId w:val="1415"/>
        </w:numPr>
        <w:pStyle w:val="Compact"/>
      </w:pPr>
      <w:r>
        <w:t xml:space="preserve">2017 · White WB ·</w:t>
      </w:r>
      <w:r>
        <w:t xml:space="preserve"> </w:t>
      </w:r>
      <w:r>
        <w:rPr>
          <w:iCs/>
          <w:i/>
        </w:rPr>
        <w:t xml:space="preserve">J Hypertens</w:t>
      </w:r>
      <w:r>
        <w:t xml:space="preserve"> </w:t>
      </w:r>
      <w:r>
        <w:t xml:space="preserve">· Usefulness of ambulatory blood pressure monitoring to assess the melanocortin receptor agonist bremelanotide. PMID 27977473</w:t>
      </w:r>
    </w:p>
    <w:p>
      <w:pPr>
        <w:numPr>
          <w:ilvl w:val="0"/>
          <w:numId w:val="1415"/>
        </w:numPr>
        <w:pStyle w:val="Compact"/>
      </w:pPr>
      <w:r>
        <w:t xml:space="preserve">2016 · Clayton AH ·</w:t>
      </w:r>
      <w:r>
        <w:t xml:space="preserve"> </w:t>
      </w:r>
      <w:r>
        <w:rPr>
          <w:iCs/>
          <w:i/>
        </w:rPr>
        <w:t xml:space="preserve">Womens Health (Lond)</w:t>
      </w:r>
      <w:r>
        <w:t xml:space="preserve"> </w:t>
      </w:r>
      <w:r>
        <w:t xml:space="preserve">· Bremelanotide for female sexual dysfunctions in premenopausal women: a randomized, placebo-controlled dose-finding trial. PMID 27181790</w:t>
      </w:r>
    </w:p>
    <w:p>
      <w:pPr>
        <w:numPr>
          <w:ilvl w:val="0"/>
          <w:numId w:val="1415"/>
        </w:numPr>
        <w:pStyle w:val="Compact"/>
      </w:pPr>
      <w:r>
        <w:t xml:space="preserve">2008 · Safarinejad MR ·</w:t>
      </w:r>
      <w:r>
        <w:t xml:space="preserve"> </w:t>
      </w:r>
      <w:r>
        <w:rPr>
          <w:iCs/>
          <w:i/>
        </w:rPr>
        <w:t xml:space="preserve">J Urol</w:t>
      </w:r>
      <w:r>
        <w:t xml:space="preserve"> </w:t>
      </w:r>
      <w:r>
        <w:t xml:space="preserve">· Salvage of sildenafil failures with bremelanotide: a randomized, double-blind, placebo controlled study. PMID 18206919</w:t>
      </w:r>
    </w:p>
    <w:p>
      <w:pPr>
        <w:numPr>
          <w:ilvl w:val="0"/>
          <w:numId w:val="1415"/>
        </w:numPr>
        <w:pStyle w:val="Compact"/>
      </w:pPr>
      <w:r>
        <w:t xml:space="preserve">2008 · Safarinejad MR ·</w:t>
      </w:r>
      <w:r>
        <w:t xml:space="preserve"> </w:t>
      </w:r>
      <w:r>
        <w:rPr>
          <w:iCs/>
          <w:i/>
        </w:rPr>
        <w:t xml:space="preserve">J Sex Med</w:t>
      </w:r>
      <w:r>
        <w:t xml:space="preserve"> </w:t>
      </w:r>
      <w:r>
        <w:t xml:space="preserve">· RETRACTED: Evaluation of the safety and efficacy of bremelanotide, a melanocortin receptor agonist, in female subjects with arousal disorder: a double-blind placebo-controlled, fixed dose, randomized study. PMID 18179455</w:t>
      </w:r>
    </w:p>
    <w:p>
      <w:pPr>
        <w:numPr>
          <w:ilvl w:val="0"/>
          <w:numId w:val="1415"/>
        </w:numPr>
        <w:pStyle w:val="Compact"/>
      </w:pPr>
      <w:r>
        <w:t xml:space="preserve">2006 · Diamond LE ·</w:t>
      </w:r>
      <w:r>
        <w:t xml:space="preserve"> </w:t>
      </w:r>
      <w:r>
        <w:rPr>
          <w:iCs/>
          <w:i/>
        </w:rPr>
        <w:t xml:space="preserve">J Sex Med</w:t>
      </w:r>
      <w:r>
        <w:t xml:space="preserve"> </w:t>
      </w:r>
      <w:r>
        <w:t xml:space="preserve">· An effect on the subjective sexual response in premenopausal women with sexual arousal disorder by bremelanotide (PT-141), a melanocortin receptor agonist. PMID 16839319</w:t>
      </w:r>
    </w:p>
    <w:p>
      <w:pPr>
        <w:numPr>
          <w:ilvl w:val="0"/>
          <w:numId w:val="1415"/>
        </w:numPr>
        <w:pStyle w:val="Compact"/>
      </w:pPr>
      <w:r>
        <w:t xml:space="preserve">2005 · Diamond LE ·</w:t>
      </w:r>
      <w:r>
        <w:t xml:space="preserve"> </w:t>
      </w:r>
      <w:r>
        <w:rPr>
          <w:iCs/>
          <w:i/>
        </w:rPr>
        <w:t xml:space="preserve">Urology</w:t>
      </w:r>
      <w:r>
        <w:t xml:space="preserve"> </w:t>
      </w:r>
      <w:r>
        <w:t xml:space="preserve">· Co-administration of low doses of intranasal PT-141, a melanocortin receptor agonist, and sildenafil to men with erectile dysfunction results in an enhanced erectile response. PMID 15833522</w:t>
      </w:r>
    </w:p>
    <w:p>
      <w:pPr>
        <w:numPr>
          <w:ilvl w:val="0"/>
          <w:numId w:val="1415"/>
        </w:numPr>
        <w:pStyle w:val="Compact"/>
      </w:pPr>
      <w:r>
        <w:t xml:space="preserve">2004 · Bayés M ·</w:t>
      </w:r>
      <w:r>
        <w:t xml:space="preserve"> </w:t>
      </w:r>
      <w:r>
        <w:rPr>
          <w:iCs/>
          <w:i/>
        </w:rPr>
        <w:t xml:space="preserve">Methods Find Exp Clin Pharmacol</w:t>
      </w:r>
      <w:r>
        <w:t xml:space="preserve"> </w:t>
      </w:r>
      <w:r>
        <w:t xml:space="preserve">· Gateways to clinical trials. PMID 15672123</w:t>
      </w:r>
    </w:p>
    <w:p>
      <w:pPr>
        <w:numPr>
          <w:ilvl w:val="0"/>
          <w:numId w:val="1415"/>
        </w:numPr>
        <w:pStyle w:val="Compact"/>
      </w:pPr>
      <w:r>
        <w:t xml:space="preserve">2004 · Rosen RC ·</w:t>
      </w:r>
      <w:r>
        <w:t xml:space="preserve"> </w:t>
      </w:r>
      <w:r>
        <w:rPr>
          <w:iCs/>
          <w:i/>
        </w:rPr>
        <w:t xml:space="preserve">Int J Impot Res</w:t>
      </w:r>
      <w:r>
        <w:t xml:space="preserve"> </w:t>
      </w:r>
      <w:r>
        <w:t xml:space="preserve">· Evaluation of the safety, pharmacokinetics and pharmacodynamic effects of subcutaneously administered PT-141, a melanocortin receptor agonist, in healthy male subjects and in patients with an inadequate response to Viagra. PMID 14999221</w:t>
      </w:r>
    </w:p>
    <w:p>
      <w:pPr>
        <w:numPr>
          <w:ilvl w:val="0"/>
          <w:numId w:val="1415"/>
        </w:numPr>
        <w:pStyle w:val="Compact"/>
      </w:pPr>
      <w:r>
        <w:t xml:space="preserve">2004 · Diamond LE ·</w:t>
      </w:r>
      <w:r>
        <w:t xml:space="preserve"> </w:t>
      </w:r>
      <w:r>
        <w:rPr>
          <w:iCs/>
          <w:i/>
        </w:rPr>
        <w:t xml:space="preserve">Int J Impot Res</w:t>
      </w:r>
      <w:r>
        <w:t xml:space="preserve"> </w:t>
      </w:r>
      <w:r>
        <w:t xml:space="preserve">· Double-blind, placebo-controlled evaluation of the safety, pharmacokinetic properties and pharmacodynamic effects of intranasal PT-141, a melanocortin receptor agonist, in healthy males and patients with mild-to-moderate erectile dysfunction. PMID 14963471</w:t>
      </w:r>
    </w:p>
    <w:p>
      <w:pPr>
        <w:numPr>
          <w:ilvl w:val="0"/>
          <w:numId w:val="1415"/>
        </w:numPr>
        <w:pStyle w:val="Compact"/>
      </w:pPr>
      <w:r>
        <w:t xml:space="preserve">2003 · Molinoff PB ·</w:t>
      </w:r>
      <w:r>
        <w:t xml:space="preserve"> </w:t>
      </w:r>
      <w:r>
        <w:rPr>
          <w:iCs/>
          <w:i/>
        </w:rPr>
        <w:t xml:space="preserve">Ann N Y Acad Sci</w:t>
      </w:r>
      <w:r>
        <w:t xml:space="preserve"> </w:t>
      </w:r>
      <w:r>
        <w:t xml:space="preserve">· PT-141: a melanocortin agonist for the treatment of sexual dysfunction. PMID 12851303</w:t>
      </w:r>
    </w:p>
    <w:bookmarkEnd w:id="3058"/>
    <w:bookmarkStart w:id="3059" w:name="melanotan-ii-8"/>
    <w:p>
      <w:pPr>
        <w:pStyle w:val="Heading2"/>
      </w:pPr>
      <w:r>
        <w:t xml:space="preserve">Melanotan II (8)</w:t>
      </w:r>
    </w:p>
    <w:p>
      <w:pPr>
        <w:numPr>
          <w:ilvl w:val="0"/>
          <w:numId w:val="1416"/>
        </w:numPr>
        <w:pStyle w:val="Compact"/>
      </w:pPr>
      <w:r>
        <w:t xml:space="preserve">2006 · Fitzgerald LM ·</w:t>
      </w:r>
      <w:r>
        <w:t xml:space="preserve"> </w:t>
      </w:r>
      <w:r>
        <w:rPr>
          <w:iCs/>
          <w:i/>
        </w:rPr>
        <w:t xml:space="preserve">Peptides</w:t>
      </w:r>
      <w:r>
        <w:t xml:space="preserve"> </w:t>
      </w:r>
      <w:r>
        <w:t xml:space="preserve">· Effect of MELANOTAN, [Nle(4), D-Phe(7)]-alpha-MSH, on melanin synthesis in humans with MC1R variant alleles. PMID 16293341</w:t>
      </w:r>
    </w:p>
    <w:p>
      <w:pPr>
        <w:numPr>
          <w:ilvl w:val="0"/>
          <w:numId w:val="1416"/>
        </w:numPr>
        <w:pStyle w:val="Compact"/>
      </w:pPr>
      <w:r>
        <w:t xml:space="preserve">2004 · Dorr RT ·</w:t>
      </w:r>
      <w:r>
        <w:t xml:space="preserve"> </w:t>
      </w:r>
      <w:r>
        <w:rPr>
          <w:iCs/>
          <w:i/>
        </w:rPr>
        <w:t xml:space="preserve">Arch Dermatol</w:t>
      </w:r>
      <w:r>
        <w:t xml:space="preserve"> </w:t>
      </w:r>
      <w:r>
        <w:t xml:space="preserve">· Effects of a superpotent melanotropic peptide in combination with solar UV radiation on tanning of the skin in human volunteers. PMID 15262693</w:t>
      </w:r>
    </w:p>
    <w:p>
      <w:pPr>
        <w:numPr>
          <w:ilvl w:val="0"/>
          <w:numId w:val="1416"/>
        </w:numPr>
        <w:pStyle w:val="Compact"/>
      </w:pPr>
      <w:r>
        <w:t xml:space="preserve">2000 · Dorr RT ·</w:t>
      </w:r>
      <w:r>
        <w:t xml:space="preserve"> </w:t>
      </w:r>
      <w:r>
        <w:rPr>
          <w:iCs/>
          <w:i/>
        </w:rPr>
        <w:t xml:space="preserve">Photochem Photobiol</w:t>
      </w:r>
      <w:r>
        <w:t xml:space="preserve"> </w:t>
      </w:r>
      <w:r>
        <w:t xml:space="preserve">· Increased eumelanin expression and tanning is induced by a superpotent melanotropin [Nle4-D-Phe7]-alpha-MSH in humans. PMID 11045725</w:t>
      </w:r>
    </w:p>
    <w:p>
      <w:pPr>
        <w:numPr>
          <w:ilvl w:val="0"/>
          <w:numId w:val="1416"/>
        </w:numPr>
        <w:pStyle w:val="Compact"/>
      </w:pPr>
      <w:r>
        <w:t xml:space="preserve">2000 · Wessells H ·</w:t>
      </w:r>
      <w:r>
        <w:t xml:space="preserve"> </w:t>
      </w:r>
      <w:r>
        <w:rPr>
          <w:iCs/>
          <w:i/>
        </w:rPr>
        <w:t xml:space="preserve">Int J Impot Res</w:t>
      </w:r>
      <w:r>
        <w:t xml:space="preserve"> </w:t>
      </w:r>
      <w:r>
        <w:t xml:space="preserve">· Melanocortin receptor agonists, penile erection, and sexual motivation: human studies with Melanotan II. PMID 11035391</w:t>
      </w:r>
    </w:p>
    <w:p>
      <w:pPr>
        <w:numPr>
          <w:ilvl w:val="0"/>
          <w:numId w:val="1416"/>
        </w:numPr>
        <w:pStyle w:val="Compact"/>
      </w:pPr>
      <w:r>
        <w:t xml:space="preserve">2000 · Wessells H ·</w:t>
      </w:r>
      <w:r>
        <w:t xml:space="preserve"> </w:t>
      </w:r>
      <w:r>
        <w:rPr>
          <w:iCs/>
          <w:i/>
        </w:rPr>
        <w:t xml:space="preserve">Urology</w:t>
      </w:r>
      <w:r>
        <w:t xml:space="preserve"> </w:t>
      </w:r>
      <w:r>
        <w:t xml:space="preserve">· Effect of an alpha-melanocyte stimulating hormone analog on penile erection and sexual desire in men with organic erectile dysfunction. PMID 11018622</w:t>
      </w:r>
    </w:p>
    <w:p>
      <w:pPr>
        <w:numPr>
          <w:ilvl w:val="0"/>
          <w:numId w:val="1416"/>
        </w:numPr>
        <w:pStyle w:val="Compact"/>
      </w:pPr>
      <w:r>
        <w:t xml:space="preserve">1998 · Wessells H ·</w:t>
      </w:r>
      <w:r>
        <w:t xml:space="preserve"> </w:t>
      </w:r>
      <w:r>
        <w:rPr>
          <w:iCs/>
          <w:i/>
        </w:rPr>
        <w:t xml:space="preserve">J Urol</w:t>
      </w:r>
      <w:r>
        <w:t xml:space="preserve"> </w:t>
      </w:r>
      <w:r>
        <w:t xml:space="preserve">· Synthetic melanotropic peptide initiates erections in men with psychogenic erectile dysfunction: double-blind, placebo controlled crossover study. PMID 9679884</w:t>
      </w:r>
    </w:p>
    <w:p>
      <w:pPr>
        <w:numPr>
          <w:ilvl w:val="0"/>
          <w:numId w:val="1416"/>
        </w:numPr>
        <w:pStyle w:val="Compact"/>
      </w:pPr>
      <w:r>
        <w:t xml:space="preserve">1997 · Ugwu SO ·</w:t>
      </w:r>
      <w:r>
        <w:t xml:space="preserve"> </w:t>
      </w:r>
      <w:r>
        <w:rPr>
          <w:iCs/>
          <w:i/>
        </w:rPr>
        <w:t xml:space="preserve">Biopharm Drug Dispos</w:t>
      </w:r>
      <w:r>
        <w:t xml:space="preserve"> </w:t>
      </w:r>
      <w:r>
        <w:t xml:space="preserve">· Skin pigmentation and pharmacokinetics of melanotan-I in humans. PMID 9113347</w:t>
      </w:r>
    </w:p>
    <w:p>
      <w:pPr>
        <w:numPr>
          <w:ilvl w:val="0"/>
          <w:numId w:val="1416"/>
        </w:numPr>
        <w:pStyle w:val="Compact"/>
      </w:pPr>
      <w:r>
        <w:t xml:space="preserve">1996 · Dorr RT ·</w:t>
      </w:r>
      <w:r>
        <w:t xml:space="preserve"> </w:t>
      </w:r>
      <w:r>
        <w:rPr>
          <w:iCs/>
          <w:i/>
        </w:rPr>
        <w:t xml:space="preserve">Life Sci</w:t>
      </w:r>
      <w:r>
        <w:t xml:space="preserve"> </w:t>
      </w:r>
      <w:r>
        <w:t xml:space="preserve">· Evaluation of melanotan-II, a superpotent cyclic melanotropic peptide in a pilot phase-I clinical study. PMID 8637402</w:t>
      </w:r>
    </w:p>
    <w:bookmarkEnd w:id="3059"/>
    <w:bookmarkStart w:id="3060" w:name="afamelanotide-10"/>
    <w:p>
      <w:pPr>
        <w:pStyle w:val="Heading2"/>
      </w:pPr>
      <w:r>
        <w:t xml:space="preserve">Afamelanotide (10)</w:t>
      </w:r>
    </w:p>
    <w:p>
      <w:pPr>
        <w:numPr>
          <w:ilvl w:val="0"/>
          <w:numId w:val="1417"/>
        </w:numPr>
        <w:pStyle w:val="Compact"/>
      </w:pPr>
      <w:r>
        <w:t xml:space="preserve">2026 · Shetty N ·</w:t>
      </w:r>
      <w:r>
        <w:t xml:space="preserve"> </w:t>
      </w:r>
      <w:r>
        <w:rPr>
          <w:iCs/>
          <w:i/>
        </w:rPr>
        <w:t xml:space="preserve">Photochem Photobiol</w:t>
      </w:r>
      <w:r>
        <w:t xml:space="preserve"> </w:t>
      </w:r>
      <w:r>
        <w:t xml:space="preserve">· Adjunctive use of Polypodium leucotomos extract in patients with erythropoietic protoporphyria: An exploratory study. PMID 41766687</w:t>
      </w:r>
    </w:p>
    <w:p>
      <w:pPr>
        <w:numPr>
          <w:ilvl w:val="0"/>
          <w:numId w:val="1417"/>
        </w:numPr>
        <w:pStyle w:val="Compact"/>
      </w:pPr>
      <w:r>
        <w:t xml:space="preserve">2023 · Stanislaus V ·</w:t>
      </w:r>
      <w:r>
        <w:t xml:space="preserve"> </w:t>
      </w:r>
      <w:r>
        <w:rPr>
          <w:iCs/>
          <w:i/>
        </w:rPr>
        <w:t xml:space="preserve">BMC Neurol</w:t>
      </w:r>
      <w:r>
        <w:t xml:space="preserve"> </w:t>
      </w:r>
      <w:r>
        <w:t xml:space="preserve">· A feasibility and safety study of afamelanotide in acute stroke patients - an open label, proof of concept, phase iia clinical trial. PMID 37496004</w:t>
      </w:r>
    </w:p>
    <w:p>
      <w:pPr>
        <w:numPr>
          <w:ilvl w:val="0"/>
          <w:numId w:val="1417"/>
        </w:numPr>
        <w:pStyle w:val="Compact"/>
      </w:pPr>
      <w:r>
        <w:t xml:space="preserve">2020 · Toh JJH ·</w:t>
      </w:r>
      <w:r>
        <w:t xml:space="preserve"> </w:t>
      </w:r>
      <w:r>
        <w:rPr>
          <w:iCs/>
          <w:i/>
        </w:rPr>
        <w:t xml:space="preserve">J Am Acad Dermatol</w:t>
      </w:r>
      <w:r>
        <w:t xml:space="preserve"> </w:t>
      </w:r>
      <w:r>
        <w:t xml:space="preserve">· Afamelanotide implants and narrow-band ultraviolet B phototherapy for the treatment of nonsegmental vitiligo in Asians. PMID 31987791</w:t>
      </w:r>
    </w:p>
    <w:p>
      <w:pPr>
        <w:numPr>
          <w:ilvl w:val="0"/>
          <w:numId w:val="1417"/>
        </w:numPr>
        <w:pStyle w:val="Compact"/>
      </w:pPr>
      <w:r>
        <w:t xml:space="preserve">2015 · Langendonk JG ·</w:t>
      </w:r>
      <w:r>
        <w:t xml:space="preserve"> </w:t>
      </w:r>
      <w:r>
        <w:rPr>
          <w:iCs/>
          <w:i/>
        </w:rPr>
        <w:t xml:space="preserve">N Engl J Med</w:t>
      </w:r>
      <w:r>
        <w:t xml:space="preserve"> </w:t>
      </w:r>
      <w:r>
        <w:t xml:space="preserve">· Afamelanotide for Erythropoietic Protoporphyria. PMID 26132941</w:t>
      </w:r>
    </w:p>
    <w:p>
      <w:pPr>
        <w:numPr>
          <w:ilvl w:val="0"/>
          <w:numId w:val="1417"/>
        </w:numPr>
        <w:pStyle w:val="Compact"/>
      </w:pPr>
      <w:r>
        <w:t xml:space="preserve">2015 · Lengweiler S ·</w:t>
      </w:r>
      <w:r>
        <w:t xml:space="preserve"> </w:t>
      </w:r>
      <w:r>
        <w:rPr>
          <w:iCs/>
          <w:i/>
        </w:rPr>
        <w:t xml:space="preserve">Skin Pharmacol Physiol</w:t>
      </w:r>
      <w:r>
        <w:t xml:space="preserve"> </w:t>
      </w:r>
      <w:r>
        <w:t xml:space="preserve">· Evaluation of the immunogenicity of the synthetic α-melanocyte-stimulating hormone (α-MSH) analogue afamelanotide ([Nle4-D-Phe7]-α-MSH, Scenesse®) in erythropoietic protoporphyria patients by ELISA detecting both anti-afamelanotide and anti-α-MSH antibodies. PMID 25402764</w:t>
      </w:r>
    </w:p>
    <w:p>
      <w:pPr>
        <w:numPr>
          <w:ilvl w:val="0"/>
          <w:numId w:val="1417"/>
        </w:numPr>
        <w:pStyle w:val="Compact"/>
      </w:pPr>
      <w:r>
        <w:t xml:space="preserve">2015 · Lim HW ·</w:t>
      </w:r>
      <w:r>
        <w:t xml:space="preserve"> </w:t>
      </w:r>
      <w:r>
        <w:rPr>
          <w:iCs/>
          <w:i/>
        </w:rPr>
        <w:t xml:space="preserve">JAMA Dermatol</w:t>
      </w:r>
      <w:r>
        <w:t xml:space="preserve"> </w:t>
      </w:r>
      <w:r>
        <w:t xml:space="preserve">· Afamelanotide and narrowband UV-B phototherapy for the treatment of vitiligo: a randomized multicenter trial. PMID 25230094</w:t>
      </w:r>
    </w:p>
    <w:p>
      <w:pPr>
        <w:numPr>
          <w:ilvl w:val="0"/>
          <w:numId w:val="1417"/>
        </w:numPr>
        <w:pStyle w:val="Compact"/>
      </w:pPr>
      <w:r>
        <w:t xml:space="preserve">2014 · Biolcati G ·</w:t>
      </w:r>
      <w:r>
        <w:t xml:space="preserve"> </w:t>
      </w:r>
      <w:r>
        <w:rPr>
          <w:iCs/>
          <w:i/>
        </w:rPr>
        <w:t xml:space="preserve">Clin Exp Dermatol</w:t>
      </w:r>
      <w:r>
        <w:t xml:space="preserve"> </w:t>
      </w:r>
      <w:r>
        <w:t xml:space="preserve">· Efficacy of the melanocortin analogue Nle4-D-Phe7-α-melanocyte-stimulating hormone in the treatment of patients with Hailey-Hailey disease. PMID 24256215</w:t>
      </w:r>
    </w:p>
    <w:p>
      <w:pPr>
        <w:numPr>
          <w:ilvl w:val="0"/>
          <w:numId w:val="1417"/>
        </w:numPr>
        <w:pStyle w:val="Compact"/>
      </w:pPr>
      <w:r>
        <w:t xml:space="preserve">2014 · Böhm M ·</w:t>
      </w:r>
      <w:r>
        <w:t xml:space="preserve"> </w:t>
      </w:r>
      <w:r>
        <w:rPr>
          <w:iCs/>
          <w:i/>
        </w:rPr>
        <w:t xml:space="preserve">J Eur Acad Dermatol Venereol</w:t>
      </w:r>
      <w:r>
        <w:t xml:space="preserve"> </w:t>
      </w:r>
      <w:r>
        <w:t xml:space="preserve">· Beneficial effects of the melanocortin analogue Nle4-D-Phe7-α-MSH in acne vulgaris. PMID 22845050</w:t>
      </w:r>
    </w:p>
    <w:p>
      <w:pPr>
        <w:numPr>
          <w:ilvl w:val="0"/>
          <w:numId w:val="1417"/>
        </w:numPr>
        <w:pStyle w:val="Compact"/>
      </w:pPr>
      <w:r>
        <w:t xml:space="preserve">2011 · Haylett AK ·</w:t>
      </w:r>
      <w:r>
        <w:t xml:space="preserve"> </w:t>
      </w:r>
      <w:r>
        <w:rPr>
          <w:iCs/>
          <w:i/>
        </w:rPr>
        <w:t xml:space="preserve">Br J Dermatol</w:t>
      </w:r>
      <w:r>
        <w:t xml:space="preserve"> </w:t>
      </w:r>
      <w:r>
        <w:t xml:space="preserve">· Systemic photoprotection in solar urticaria with α-melanocyte-stimulating hormone analogue [Nle4-D-Phe7]-α-MSH. PMID 20969564</w:t>
      </w:r>
    </w:p>
    <w:p>
      <w:pPr>
        <w:numPr>
          <w:ilvl w:val="0"/>
          <w:numId w:val="1417"/>
        </w:numPr>
        <w:pStyle w:val="Compact"/>
      </w:pPr>
      <w:r>
        <w:t xml:space="preserve">2009 · Harms JH ·</w:t>
      </w:r>
      <w:r>
        <w:t xml:space="preserve"> </w:t>
      </w:r>
      <w:r>
        <w:rPr>
          <w:iCs/>
          <w:i/>
        </w:rPr>
        <w:t xml:space="preserve">Photochem Photobiol</w:t>
      </w:r>
      <w:r>
        <w:t xml:space="preserve"> </w:t>
      </w:r>
      <w:r>
        <w:t xml:space="preserve">· Mitigating photosensitivity of erythropoietic protoporphyria patients by an agonistic analog of alpha-melanocyte stimulating hormone. PMID 19656325</w:t>
      </w:r>
    </w:p>
    <w:bookmarkEnd w:id="3060"/>
    <w:bookmarkStart w:id="3061" w:name="kisspeptin-37"/>
    <w:p>
      <w:pPr>
        <w:pStyle w:val="Heading2"/>
      </w:pPr>
      <w:r>
        <w:t xml:space="preserve">Kisspeptin (37)</w:t>
      </w:r>
    </w:p>
    <w:p>
      <w:pPr>
        <w:numPr>
          <w:ilvl w:val="0"/>
          <w:numId w:val="1418"/>
        </w:numPr>
        <w:pStyle w:val="Compact"/>
      </w:pPr>
      <w:r>
        <w:t xml:space="preserve">2026 · Yeung AC ·</w:t>
      </w:r>
      <w:r>
        <w:t xml:space="preserve"> </w:t>
      </w:r>
      <w:r>
        <w:rPr>
          <w:iCs/>
          <w:i/>
        </w:rPr>
        <w:t xml:space="preserve">Eur J Endocrinol</w:t>
      </w:r>
      <w:r>
        <w:t xml:space="preserve"> </w:t>
      </w:r>
      <w:r>
        <w:t xml:space="preserve">· Chronic subcutaneous kisspeptin-10 stimulates gonadotropin secretion for 12 days in healthy men. PMID 42549827</w:t>
      </w:r>
    </w:p>
    <w:p>
      <w:pPr>
        <w:numPr>
          <w:ilvl w:val="0"/>
          <w:numId w:val="1418"/>
        </w:numPr>
        <w:pStyle w:val="Compact"/>
      </w:pPr>
      <w:r>
        <w:t xml:space="preserve">2026 · Galbiati F ·</w:t>
      </w:r>
      <w:r>
        <w:t xml:space="preserve"> </w:t>
      </w:r>
      <w:r>
        <w:rPr>
          <w:iCs/>
          <w:i/>
        </w:rPr>
        <w:t xml:space="preserve">J Neuroendocrinol</w:t>
      </w:r>
      <w:r>
        <w:t xml:space="preserve"> </w:t>
      </w:r>
      <w:r>
        <w:t xml:space="preserve">· Intravenous kisspeptin 112-121 bolus does not acutely impact circulating vasopressin in humans. PMID 41273106</w:t>
      </w:r>
    </w:p>
    <w:p>
      <w:pPr>
        <w:numPr>
          <w:ilvl w:val="0"/>
          <w:numId w:val="1418"/>
        </w:numPr>
        <w:pStyle w:val="Compact"/>
      </w:pPr>
      <w:r>
        <w:t xml:space="preserve">2025 · Mills EG ·</w:t>
      </w:r>
      <w:r>
        <w:t xml:space="preserve"> </w:t>
      </w:r>
      <w:r>
        <w:rPr>
          <w:iCs/>
          <w:i/>
        </w:rPr>
        <w:t xml:space="preserve">EBioMedicine</w:t>
      </w:r>
      <w:r>
        <w:t xml:space="preserve"> </w:t>
      </w:r>
      <w:r>
        <w:t xml:space="preserve">· Intranasal kisspeptin administration rapidly stimulates gonadotropin release in humans. PMID 40215751</w:t>
      </w:r>
    </w:p>
    <w:p>
      <w:pPr>
        <w:numPr>
          <w:ilvl w:val="0"/>
          <w:numId w:val="1418"/>
        </w:numPr>
        <w:pStyle w:val="Compact"/>
      </w:pPr>
      <w:r>
        <w:t xml:space="preserve">2025 · Mills EG ·</w:t>
      </w:r>
      <w:r>
        <w:t xml:space="preserve"> </w:t>
      </w:r>
      <w:r>
        <w:rPr>
          <w:iCs/>
          <w:i/>
        </w:rPr>
        <w:t xml:space="preserve">J Clin Endocrinol Metab</w:t>
      </w:r>
      <w:r>
        <w:t xml:space="preserve"> </w:t>
      </w:r>
      <w:r>
        <w:t xml:space="preserve">· Kisspeptin Administration Stimulates Reproductive Hormones but Does Not Affect Anxiety in Humans. PMID 40036336</w:t>
      </w:r>
    </w:p>
    <w:p>
      <w:pPr>
        <w:numPr>
          <w:ilvl w:val="0"/>
          <w:numId w:val="1418"/>
        </w:numPr>
        <w:pStyle w:val="Compact"/>
      </w:pPr>
      <w:r>
        <w:t xml:space="preserve">2025 · Galbiati F ·</w:t>
      </w:r>
      <w:r>
        <w:t xml:space="preserve"> </w:t>
      </w:r>
      <w:r>
        <w:rPr>
          <w:iCs/>
          <w:i/>
        </w:rPr>
        <w:t xml:space="preserve">Eur J Endocrinol</w:t>
      </w:r>
      <w:r>
        <w:t xml:space="preserve"> </w:t>
      </w:r>
      <w:r>
        <w:t xml:space="preserve">· Sex-dependent increases in oxytocin levels in response to intravenous kisspeptin in humans. PMID 39965102</w:t>
      </w:r>
    </w:p>
    <w:p>
      <w:pPr>
        <w:numPr>
          <w:ilvl w:val="0"/>
          <w:numId w:val="1418"/>
        </w:numPr>
        <w:pStyle w:val="Compact"/>
      </w:pPr>
      <w:r>
        <w:t xml:space="preserve">2025 · Rodanaki M ·</w:t>
      </w:r>
      <w:r>
        <w:t xml:space="preserve"> </w:t>
      </w:r>
      <w:r>
        <w:rPr>
          <w:iCs/>
          <w:i/>
        </w:rPr>
        <w:t xml:space="preserve">J Pediatr Endocrinol Metab</w:t>
      </w:r>
      <w:r>
        <w:t xml:space="preserve"> </w:t>
      </w:r>
      <w:r>
        <w:t xml:space="preserve">· Effect of a GnRH injection on kisspeptin levels in girls with suspected precocious puberty: a randomized-controlled pilot study. PMID 39847034</w:t>
      </w:r>
    </w:p>
    <w:p>
      <w:pPr>
        <w:numPr>
          <w:ilvl w:val="0"/>
          <w:numId w:val="1418"/>
        </w:numPr>
        <w:pStyle w:val="Compact"/>
      </w:pPr>
      <w:r>
        <w:t xml:space="preserve">2024 · Abbara A ·</w:t>
      </w:r>
      <w:r>
        <w:t xml:space="preserve"> </w:t>
      </w:r>
      <w:r>
        <w:rPr>
          <w:iCs/>
          <w:i/>
        </w:rPr>
        <w:t xml:space="preserve">Fertil Steril</w:t>
      </w:r>
      <w:r>
        <w:t xml:space="preserve"> </w:t>
      </w:r>
      <w:r>
        <w:t xml:space="preserve">· Endocrine profile of the kisspeptin receptor agonist MVT-602 in healthy premenopausal women with and without ovarian stimulation: results from 2 randomized, placebo-controlled clinical tricals. PMID 37925096</w:t>
      </w:r>
    </w:p>
    <w:p>
      <w:pPr>
        <w:numPr>
          <w:ilvl w:val="0"/>
          <w:numId w:val="1418"/>
        </w:numPr>
        <w:pStyle w:val="Compact"/>
      </w:pPr>
      <w:r>
        <w:t xml:space="preserve">2023 · Bavato F ·</w:t>
      </w:r>
      <w:r>
        <w:t xml:space="preserve"> </w:t>
      </w:r>
      <w:r>
        <w:rPr>
          <w:iCs/>
          <w:i/>
        </w:rPr>
        <w:t xml:space="preserve">J Psychopharmacol</w:t>
      </w:r>
      <w:r>
        <w:t xml:space="preserve"> </w:t>
      </w:r>
      <w:r>
        <w:t xml:space="preserve">· Oral sodium oxybate does not alter plasma kisspeptin levels in healthy male volunteers. PMID 37401623</w:t>
      </w:r>
    </w:p>
    <w:p>
      <w:pPr>
        <w:numPr>
          <w:ilvl w:val="0"/>
          <w:numId w:val="1418"/>
        </w:numPr>
        <w:pStyle w:val="Compact"/>
      </w:pPr>
      <w:r>
        <w:t xml:space="preserve">2023 · Mills EG ·</w:t>
      </w:r>
      <w:r>
        <w:t xml:space="preserve"> </w:t>
      </w:r>
      <w:r>
        <w:rPr>
          <w:iCs/>
          <w:i/>
        </w:rPr>
        <w:t xml:space="preserve">JAMA Netw Open</w:t>
      </w:r>
      <w:r>
        <w:t xml:space="preserve"> </w:t>
      </w:r>
      <w:r>
        <w:t xml:space="preserve">· Effects of Kisspeptin on Sexual Brain Processing and Penile Tumescence in Men With Hypoactive Sexual Desire Disorder: A Randomized Clinical Trial. PMID 36735255</w:t>
      </w:r>
    </w:p>
    <w:p>
      <w:pPr>
        <w:numPr>
          <w:ilvl w:val="0"/>
          <w:numId w:val="1418"/>
        </w:numPr>
        <w:pStyle w:val="Compact"/>
      </w:pPr>
      <w:r>
        <w:t xml:space="preserve">2022 · Thurston L ·</w:t>
      </w:r>
      <w:r>
        <w:t xml:space="preserve"> </w:t>
      </w:r>
      <w:r>
        <w:rPr>
          <w:iCs/>
          <w:i/>
        </w:rPr>
        <w:t xml:space="preserve">JAMA Netw Open</w:t>
      </w:r>
      <w:r>
        <w:t xml:space="preserve"> </w:t>
      </w:r>
      <w:r>
        <w:t xml:space="preserve">· Effects of Kisspeptin Administration in Women With Hypoactive Sexual Desire Disorder: A Randomized Clinical Trial. PMID 36287566</w:t>
      </w:r>
    </w:p>
    <w:p>
      <w:pPr>
        <w:numPr>
          <w:ilvl w:val="0"/>
          <w:numId w:val="1418"/>
        </w:numPr>
        <w:pStyle w:val="Compact"/>
      </w:pPr>
      <w:r>
        <w:t xml:space="preserve">2022 · Comninos AN ·</w:t>
      </w:r>
      <w:r>
        <w:t xml:space="preserve"> </w:t>
      </w:r>
      <w:r>
        <w:rPr>
          <w:iCs/>
          <w:i/>
        </w:rPr>
        <w:t xml:space="preserve">J Clin Endocrinol Metab</w:t>
      </w:r>
      <w:r>
        <w:t xml:space="preserve"> </w:t>
      </w:r>
      <w:r>
        <w:t xml:space="preserve">· Acute Effects of Kisspeptin Administration on Bone Metabolism in Healthy Men. PMID 35244717</w:t>
      </w:r>
    </w:p>
    <w:p>
      <w:pPr>
        <w:numPr>
          <w:ilvl w:val="0"/>
          <w:numId w:val="1418"/>
        </w:numPr>
        <w:pStyle w:val="Compact"/>
      </w:pPr>
      <w:r>
        <w:t xml:space="preserve">2021 · Yang L ·</w:t>
      </w:r>
      <w:r>
        <w:t xml:space="preserve"> </w:t>
      </w:r>
      <w:r>
        <w:rPr>
          <w:iCs/>
          <w:i/>
        </w:rPr>
        <w:t xml:space="preserve">J Clin Endocrinol Metab</w:t>
      </w:r>
      <w:r>
        <w:t xml:space="preserve"> </w:t>
      </w:r>
      <w:r>
        <w:t xml:space="preserve">· The Effects of Kisspeptin on Brain Response to Food Images and Psychometric Parameters of Appetite in Healthy Men. PMID 33075807</w:t>
      </w:r>
    </w:p>
    <w:p>
      <w:pPr>
        <w:numPr>
          <w:ilvl w:val="0"/>
          <w:numId w:val="1418"/>
        </w:numPr>
        <w:pStyle w:val="Compact"/>
      </w:pPr>
      <w:r>
        <w:t xml:space="preserve">2020 · Skorupskaite K ·</w:t>
      </w:r>
      <w:r>
        <w:t xml:space="preserve"> </w:t>
      </w:r>
      <w:r>
        <w:rPr>
          <w:iCs/>
          <w:i/>
        </w:rPr>
        <w:t xml:space="preserve">Hum Reprod</w:t>
      </w:r>
      <w:r>
        <w:t xml:space="preserve"> </w:t>
      </w:r>
      <w:r>
        <w:t xml:space="preserve">· Kisspeptin and neurokinin B interactions in modulating gonadotropin secretion in women with polycystic ovary syndrome. PMID 32510130</w:t>
      </w:r>
    </w:p>
    <w:p>
      <w:pPr>
        <w:numPr>
          <w:ilvl w:val="0"/>
          <w:numId w:val="1418"/>
        </w:numPr>
        <w:pStyle w:val="Compact"/>
      </w:pPr>
      <w:r>
        <w:t xml:space="preserve">2019 · Romero-Ruiz A ·</w:t>
      </w:r>
      <w:r>
        <w:t xml:space="preserve"> </w:t>
      </w:r>
      <w:r>
        <w:rPr>
          <w:iCs/>
          <w:i/>
        </w:rPr>
        <w:t xml:space="preserve">Hum Reprod</w:t>
      </w:r>
      <w:r>
        <w:t xml:space="preserve"> </w:t>
      </w:r>
      <w:r>
        <w:t xml:space="preserve">· Kisspeptin treatment induces gonadotropic responses and rescues ovulation in a subset of preclinical models and women with polycystic ovary syndrome. PMID 31820802</w:t>
      </w:r>
    </w:p>
    <w:p>
      <w:pPr>
        <w:numPr>
          <w:ilvl w:val="0"/>
          <w:numId w:val="1418"/>
        </w:numPr>
        <w:pStyle w:val="Compact"/>
      </w:pPr>
      <w:r>
        <w:t xml:space="preserve">2019 · Ullah H ·</w:t>
      </w:r>
      <w:r>
        <w:t xml:space="preserve"> </w:t>
      </w:r>
      <w:r>
        <w:rPr>
          <w:iCs/>
          <w:i/>
        </w:rPr>
        <w:t xml:space="preserve">Andrologia</w:t>
      </w:r>
      <w:r>
        <w:t xml:space="preserve"> </w:t>
      </w:r>
      <w:r>
        <w:t xml:space="preserve">· Age-dependent changes in the reproductive axis responsiveness to kisspeptin-10 administration in healthy men. PMID 30590872</w:t>
      </w:r>
    </w:p>
    <w:p>
      <w:pPr>
        <w:numPr>
          <w:ilvl w:val="0"/>
          <w:numId w:val="1418"/>
        </w:numPr>
        <w:pStyle w:val="Compact"/>
      </w:pPr>
      <w:r>
        <w:t xml:space="preserve">2018 · Izzi-Engbeaya C ·</w:t>
      </w:r>
      <w:r>
        <w:t xml:space="preserve"> </w:t>
      </w:r>
      <w:r>
        <w:rPr>
          <w:iCs/>
          <w:i/>
        </w:rPr>
        <w:t xml:space="preserve">Diabetes Obes Metab</w:t>
      </w:r>
      <w:r>
        <w:t xml:space="preserve"> </w:t>
      </w:r>
      <w:r>
        <w:t xml:space="preserve">· The effects of kisspeptin on β-cell function, serum metabolites and appetite in humans. PMID 29974637</w:t>
      </w:r>
    </w:p>
    <w:p>
      <w:pPr>
        <w:numPr>
          <w:ilvl w:val="0"/>
          <w:numId w:val="1418"/>
        </w:numPr>
        <w:pStyle w:val="Compact"/>
      </w:pPr>
      <w:r>
        <w:t xml:space="preserve">2018 · Chan YM ·</w:t>
      </w:r>
      <w:r>
        <w:t xml:space="preserve"> </w:t>
      </w:r>
      <w:r>
        <w:rPr>
          <w:iCs/>
          <w:i/>
        </w:rPr>
        <w:t xml:space="preserve">JCI Insight</w:t>
      </w:r>
      <w:r>
        <w:t xml:space="preserve"> </w:t>
      </w:r>
      <w:r>
        <w:t xml:space="preserve">· Divergent responses to kisspeptin in children with delayed puberty. PMID 29669934</w:t>
      </w:r>
    </w:p>
    <w:p>
      <w:pPr>
        <w:numPr>
          <w:ilvl w:val="0"/>
          <w:numId w:val="1418"/>
        </w:numPr>
        <w:pStyle w:val="Compact"/>
      </w:pPr>
      <w:r>
        <w:t xml:space="preserve">2018 · Owens LA ·</w:t>
      </w:r>
      <w:r>
        <w:t xml:space="preserve"> </w:t>
      </w:r>
      <w:r>
        <w:rPr>
          <w:iCs/>
          <w:i/>
        </w:rPr>
        <w:t xml:space="preserve">Hum Reprod</w:t>
      </w:r>
      <w:r>
        <w:t xml:space="preserve"> </w:t>
      </w:r>
      <w:r>
        <w:t xml:space="preserve">· The direct and indirect effects of kisspeptin-54 on granulosa lutein cell function. PMID 29206944</w:t>
      </w:r>
    </w:p>
    <w:p>
      <w:pPr>
        <w:numPr>
          <w:ilvl w:val="0"/>
          <w:numId w:val="1418"/>
        </w:numPr>
        <w:pStyle w:val="Compact"/>
      </w:pPr>
      <w:r>
        <w:t xml:space="preserve">2017 · Abbara A ·</w:t>
      </w:r>
      <w:r>
        <w:t xml:space="preserve"> </w:t>
      </w:r>
      <w:r>
        <w:rPr>
          <w:iCs/>
          <w:i/>
        </w:rPr>
        <w:t xml:space="preserve">Hum Reprod</w:t>
      </w:r>
      <w:r>
        <w:t xml:space="preserve"> </w:t>
      </w:r>
      <w:r>
        <w:t xml:space="preserve">· A second dose of kisspeptin-54 improves oocyte maturation in women at high risk of ovarian hyperstimulation syndrome: a Phase 2 randomized controlled trial. PMID 28854728</w:t>
      </w:r>
    </w:p>
    <w:p>
      <w:pPr>
        <w:numPr>
          <w:ilvl w:val="0"/>
          <w:numId w:val="1418"/>
        </w:numPr>
        <w:pStyle w:val="Compact"/>
      </w:pPr>
      <w:r>
        <w:t xml:space="preserve">2017 · Comninos AN ·</w:t>
      </w:r>
      <w:r>
        <w:t xml:space="preserve"> </w:t>
      </w:r>
      <w:r>
        <w:rPr>
          <w:iCs/>
          <w:i/>
        </w:rPr>
        <w:t xml:space="preserve">J Clin Invest</w:t>
      </w:r>
      <w:r>
        <w:t xml:space="preserve"> </w:t>
      </w:r>
      <w:r>
        <w:t xml:space="preserve">· Kisspeptin modulates sexual and emotional brain processing in humans. PMID 28112678</w:t>
      </w:r>
    </w:p>
    <w:p>
      <w:pPr>
        <w:numPr>
          <w:ilvl w:val="0"/>
          <w:numId w:val="1418"/>
        </w:numPr>
        <w:pStyle w:val="Compact"/>
      </w:pPr>
      <w:r>
        <w:t xml:space="preserve">2016 · Skorupskaite K ·</w:t>
      </w:r>
      <w:r>
        <w:t xml:space="preserve"> </w:t>
      </w:r>
      <w:r>
        <w:rPr>
          <w:iCs/>
          <w:i/>
        </w:rPr>
        <w:t xml:space="preserve">J Clin Endocrinol Metab</w:t>
      </w:r>
      <w:r>
        <w:t xml:space="preserve"> </w:t>
      </w:r>
      <w:r>
        <w:t xml:space="preserve">· Interactions Between Neurokinin B and Kisspeptin in Mediating Estrogen Feedback in Healthy Women. PMID 27636018</w:t>
      </w:r>
    </w:p>
    <w:p>
      <w:pPr>
        <w:numPr>
          <w:ilvl w:val="0"/>
          <w:numId w:val="1418"/>
        </w:numPr>
        <w:pStyle w:val="Compact"/>
      </w:pPr>
      <w:r>
        <w:t xml:space="preserve">2016 · Lippincott MF ·</w:t>
      </w:r>
      <w:r>
        <w:t xml:space="preserve"> </w:t>
      </w:r>
      <w:r>
        <w:rPr>
          <w:iCs/>
          <w:i/>
        </w:rPr>
        <w:t xml:space="preserve">J Clin Endocrinol Metab</w:t>
      </w:r>
      <w:r>
        <w:t xml:space="preserve"> </w:t>
      </w:r>
      <w:r>
        <w:t xml:space="preserve">· Kisspeptin Responsiveness Signals Emergence of Reproductive Endocrine Activity: Implications for Human Puberty. PMID 27214398</w:t>
      </w:r>
    </w:p>
    <w:p>
      <w:pPr>
        <w:numPr>
          <w:ilvl w:val="0"/>
          <w:numId w:val="1418"/>
        </w:numPr>
        <w:pStyle w:val="Compact"/>
      </w:pPr>
      <w:r>
        <w:t xml:space="preserve">2016 · Narayanaswamy S ·</w:t>
      </w:r>
      <w:r>
        <w:t xml:space="preserve"> </w:t>
      </w:r>
      <w:r>
        <w:rPr>
          <w:iCs/>
          <w:i/>
        </w:rPr>
        <w:t xml:space="preserve">Clin Endocrinol (Oxf)</w:t>
      </w:r>
      <w:r>
        <w:t xml:space="preserve"> </w:t>
      </w:r>
      <w:r>
        <w:t xml:space="preserve">· Subcutaneous infusion of kisspeptin-54 stimulates gonadotrophin release in women and the response correlates with basal oestradiol levels. PMID 26572695</w:t>
      </w:r>
    </w:p>
    <w:p>
      <w:pPr>
        <w:numPr>
          <w:ilvl w:val="0"/>
          <w:numId w:val="1418"/>
        </w:numPr>
        <w:pStyle w:val="Compact"/>
      </w:pPr>
      <w:r>
        <w:t xml:space="preserve">2015 · Abbara A ·</w:t>
      </w:r>
      <w:r>
        <w:t xml:space="preserve"> </w:t>
      </w:r>
      <w:r>
        <w:rPr>
          <w:iCs/>
          <w:i/>
        </w:rPr>
        <w:t xml:space="preserve">J Clin Endocrinol Metab</w:t>
      </w:r>
      <w:r>
        <w:t xml:space="preserve"> </w:t>
      </w:r>
      <w:r>
        <w:t xml:space="preserve">· Efficacy of Kisspeptin-54 to Trigger Oocyte Maturation in Women at High Risk of Ovarian Hyperstimulation Syndrome (OHSS) During In Vitro Fertilization (IVF) Therapy. PMID 26192876</w:t>
      </w:r>
    </w:p>
    <w:p>
      <w:pPr>
        <w:numPr>
          <w:ilvl w:val="0"/>
          <w:numId w:val="1418"/>
        </w:numPr>
        <w:pStyle w:val="Compact"/>
      </w:pPr>
      <w:r>
        <w:t xml:space="preserve">2014 · Jayasena CN ·</w:t>
      </w:r>
      <w:r>
        <w:t xml:space="preserve"> </w:t>
      </w:r>
      <w:r>
        <w:rPr>
          <w:iCs/>
          <w:i/>
        </w:rPr>
        <w:t xml:space="preserve">J Clin Invest</w:t>
      </w:r>
      <w:r>
        <w:t xml:space="preserve"> </w:t>
      </w:r>
      <w:r>
        <w:t xml:space="preserve">· Kisspeptin-54 triggers egg maturation in women undergoing in vitro fertilization. PMID 25036713</w:t>
      </w:r>
    </w:p>
    <w:p>
      <w:pPr>
        <w:numPr>
          <w:ilvl w:val="0"/>
          <w:numId w:val="1418"/>
        </w:numPr>
        <w:pStyle w:val="Compact"/>
      </w:pPr>
      <w:r>
        <w:t xml:space="preserve">2014 · Jayasena CN ·</w:t>
      </w:r>
      <w:r>
        <w:t xml:space="preserve"> </w:t>
      </w:r>
      <w:r>
        <w:rPr>
          <w:iCs/>
          <w:i/>
        </w:rPr>
        <w:t xml:space="preserve">Clin Endocrinol (Oxf)</w:t>
      </w:r>
      <w:r>
        <w:t xml:space="preserve"> </w:t>
      </w:r>
      <w:r>
        <w:t xml:space="preserve">· Acute and chronic effects of kisspeptin-54 administration on GH, prolactin and TSH secretion in healthy women. PMID 24863252</w:t>
      </w:r>
    </w:p>
    <w:p>
      <w:pPr>
        <w:numPr>
          <w:ilvl w:val="0"/>
          <w:numId w:val="1418"/>
        </w:numPr>
        <w:pStyle w:val="Compact"/>
      </w:pPr>
      <w:r>
        <w:t xml:space="preserve">2014 · MacLean DB ·</w:t>
      </w:r>
      <w:r>
        <w:t xml:space="preserve"> </w:t>
      </w:r>
      <w:r>
        <w:rPr>
          <w:iCs/>
          <w:i/>
        </w:rPr>
        <w:t xml:space="preserve">J Clin Endocrinol Metab</w:t>
      </w:r>
      <w:r>
        <w:t xml:space="preserve"> </w:t>
      </w:r>
      <w:r>
        <w:t xml:space="preserve">· Sustained exposure to the investigational Kisspeptin analog, TAK-448, down-regulates testosterone into the castration range in healthy males and in patients with prostate cancer: results from two phase 1 studies. PMID 24762108</w:t>
      </w:r>
    </w:p>
    <w:p>
      <w:pPr>
        <w:numPr>
          <w:ilvl w:val="0"/>
          <w:numId w:val="1418"/>
        </w:numPr>
        <w:pStyle w:val="Compact"/>
      </w:pPr>
      <w:r>
        <w:t xml:space="preserve">2014 · Jayasena CN ·</w:t>
      </w:r>
      <w:r>
        <w:t xml:space="preserve"> </w:t>
      </w:r>
      <w:r>
        <w:rPr>
          <w:iCs/>
          <w:i/>
        </w:rPr>
        <w:t xml:space="preserve">J Clin Endocrinol Metab</w:t>
      </w:r>
      <w:r>
        <w:t xml:space="preserve"> </w:t>
      </w:r>
      <w:r>
        <w:t xml:space="preserve">· Increasing LH pulsatility in women with hypothalamic amenorrhoea using intravenous infusion of Kisspeptin-54. PMID 24517142</w:t>
      </w:r>
    </w:p>
    <w:p>
      <w:pPr>
        <w:numPr>
          <w:ilvl w:val="0"/>
          <w:numId w:val="1418"/>
        </w:numPr>
        <w:pStyle w:val="Compact"/>
      </w:pPr>
      <w:r>
        <w:t xml:space="preserve">2013 · Jayasena CN ·</w:t>
      </w:r>
      <w:r>
        <w:t xml:space="preserve"> </w:t>
      </w:r>
      <w:r>
        <w:rPr>
          <w:iCs/>
          <w:i/>
        </w:rPr>
        <w:t xml:space="preserve">J Clin Endocrinol Metab</w:t>
      </w:r>
      <w:r>
        <w:t xml:space="preserve"> </w:t>
      </w:r>
      <w:r>
        <w:t xml:space="preserve">· Twice-daily subcutaneous injection of kisspeptin-54 does not abolish menstrual cyclicity in healthy female volunteers. PMID 24030945</w:t>
      </w:r>
    </w:p>
    <w:p>
      <w:pPr>
        <w:numPr>
          <w:ilvl w:val="0"/>
          <w:numId w:val="1418"/>
        </w:numPr>
        <w:pStyle w:val="Compact"/>
      </w:pPr>
      <w:r>
        <w:t xml:space="preserve">2013 · Jayasena CN ·</w:t>
      </w:r>
      <w:r>
        <w:t xml:space="preserve"> </w:t>
      </w:r>
      <w:r>
        <w:rPr>
          <w:iCs/>
          <w:i/>
        </w:rPr>
        <w:t xml:space="preserve">Clin Endocrinol (Oxf)</w:t>
      </w:r>
      <w:r>
        <w:t xml:space="preserve"> </w:t>
      </w:r>
      <w:r>
        <w:t xml:space="preserve">· A single injection of kisspeptin-54 temporarily increases luteinizing hormone pulsatility in healthy women. PMID 23452073</w:t>
      </w:r>
    </w:p>
    <w:p>
      <w:pPr>
        <w:numPr>
          <w:ilvl w:val="0"/>
          <w:numId w:val="1418"/>
        </w:numPr>
        <w:pStyle w:val="Compact"/>
      </w:pPr>
      <w:r>
        <w:t xml:space="preserve">2013 · George JT ·</w:t>
      </w:r>
      <w:r>
        <w:t xml:space="preserve"> </w:t>
      </w:r>
      <w:r>
        <w:rPr>
          <w:iCs/>
          <w:i/>
        </w:rPr>
        <w:t xml:space="preserve">Clin Endocrinol (Oxf)</w:t>
      </w:r>
      <w:r>
        <w:t xml:space="preserve"> </w:t>
      </w:r>
      <w:r>
        <w:t xml:space="preserve">· Exploring the pathophysiology of hypogonadism in men with type 2 diabetes: kisspeptin-10 stimulates serum testosterone and LH secretion in men with type 2 diabetes and mild biochemical hypogonadism. PMID 23153270</w:t>
      </w:r>
    </w:p>
    <w:p>
      <w:pPr>
        <w:numPr>
          <w:ilvl w:val="0"/>
          <w:numId w:val="1418"/>
        </w:numPr>
        <w:pStyle w:val="Compact"/>
      </w:pPr>
      <w:r>
        <w:t xml:space="preserve">2013 · Young J ·</w:t>
      </w:r>
      <w:r>
        <w:t xml:space="preserve"> </w:t>
      </w:r>
      <w:r>
        <w:rPr>
          <w:iCs/>
          <w:i/>
        </w:rPr>
        <w:t xml:space="preserve">Neuroendocrinology</w:t>
      </w:r>
      <w:r>
        <w:t xml:space="preserve"> </w:t>
      </w:r>
      <w:r>
        <w:t xml:space="preserve">· Kisspeptin restores pulsatile LH secretion in patients with neurokinin B signaling deficiencies: physiological, pathophysiological and therapeutic implications. PMID 22377698</w:t>
      </w:r>
    </w:p>
    <w:p>
      <w:pPr>
        <w:numPr>
          <w:ilvl w:val="0"/>
          <w:numId w:val="1418"/>
        </w:numPr>
        <w:pStyle w:val="Compact"/>
      </w:pPr>
      <w:r>
        <w:t xml:space="preserve">2011 · George JT ·</w:t>
      </w:r>
      <w:r>
        <w:t xml:space="preserve"> </w:t>
      </w:r>
      <w:r>
        <w:rPr>
          <w:iCs/>
          <w:i/>
        </w:rPr>
        <w:t xml:space="preserve">J Clin Endocrinol Metab</w:t>
      </w:r>
      <w:r>
        <w:t xml:space="preserve"> </w:t>
      </w:r>
      <w:r>
        <w:t xml:space="preserve">· Kisspeptin-10 is a potent stimulator of LH and increases pulse frequency in men. PMID 21632807</w:t>
      </w:r>
    </w:p>
    <w:p>
      <w:pPr>
        <w:numPr>
          <w:ilvl w:val="0"/>
          <w:numId w:val="1418"/>
        </w:numPr>
        <w:pStyle w:val="Compact"/>
      </w:pPr>
      <w:r>
        <w:t xml:space="preserve">2010 · Jayasena CN ·</w:t>
      </w:r>
      <w:r>
        <w:t xml:space="preserve"> </w:t>
      </w:r>
      <w:r>
        <w:rPr>
          <w:iCs/>
          <w:i/>
        </w:rPr>
        <w:t xml:space="preserve">Clin Pharmacol Ther</w:t>
      </w:r>
      <w:r>
        <w:t xml:space="preserve"> </w:t>
      </w:r>
      <w:r>
        <w:t xml:space="preserve">· Twice-weekly administration of kisspeptin-54 for 8 weeks stimulates release of reproductive hormones in women with hypothalamic amenorrhea. PMID 20980998</w:t>
      </w:r>
    </w:p>
    <w:p>
      <w:pPr>
        <w:numPr>
          <w:ilvl w:val="0"/>
          <w:numId w:val="1418"/>
        </w:numPr>
        <w:pStyle w:val="Compact"/>
      </w:pPr>
      <w:r>
        <w:t xml:space="preserve">2009 · Jayasena CN ·</w:t>
      </w:r>
      <w:r>
        <w:t xml:space="preserve"> </w:t>
      </w:r>
      <w:r>
        <w:rPr>
          <w:iCs/>
          <w:i/>
        </w:rPr>
        <w:t xml:space="preserve">J Clin Endocrinol Metab</w:t>
      </w:r>
      <w:r>
        <w:t xml:space="preserve"> </w:t>
      </w:r>
      <w:r>
        <w:t xml:space="preserve">· Subcutaneous injection of kisspeptin-54 acutely stimulates gonadotropin secretion in women with hypothalamic amenorrhea, but chronic administration causes tachyphylaxis. PMID 19820030</w:t>
      </w:r>
    </w:p>
    <w:p>
      <w:pPr>
        <w:numPr>
          <w:ilvl w:val="0"/>
          <w:numId w:val="1418"/>
        </w:numPr>
        <w:pStyle w:val="Compact"/>
      </w:pPr>
      <w:r>
        <w:t xml:space="preserve">2007 · Dhillo WS ·</w:t>
      </w:r>
      <w:r>
        <w:t xml:space="preserve"> </w:t>
      </w:r>
      <w:r>
        <w:rPr>
          <w:iCs/>
          <w:i/>
        </w:rPr>
        <w:t xml:space="preserve">J Clin Endocrinol Metab</w:t>
      </w:r>
      <w:r>
        <w:t xml:space="preserve"> </w:t>
      </w:r>
      <w:r>
        <w:t xml:space="preserve">· Kisspeptin-54 stimulates gonadotropin release most potently during the preovulatory phase of the menstrual cycle in women. PMID 17635940</w:t>
      </w:r>
    </w:p>
    <w:p>
      <w:pPr>
        <w:numPr>
          <w:ilvl w:val="0"/>
          <w:numId w:val="1418"/>
        </w:numPr>
        <w:pStyle w:val="Compact"/>
      </w:pPr>
      <w:r>
        <w:t xml:space="preserve">2005 · Dhillo WS ·</w:t>
      </w:r>
      <w:r>
        <w:t xml:space="preserve"> </w:t>
      </w:r>
      <w:r>
        <w:rPr>
          <w:iCs/>
          <w:i/>
        </w:rPr>
        <w:t xml:space="preserve">J Clin Endocrinol Metab</w:t>
      </w:r>
      <w:r>
        <w:t xml:space="preserve"> </w:t>
      </w:r>
      <w:r>
        <w:t xml:space="preserve">· Kisspeptin-54 stimulates the hypothalamic-pituitary gonadal axis in human males. PMID 16174713</w:t>
      </w:r>
    </w:p>
    <w:bookmarkEnd w:id="3061"/>
    <w:bookmarkStart w:id="3062" w:name="oxytocin-nasal-spray-349"/>
    <w:p>
      <w:pPr>
        <w:pStyle w:val="Heading2"/>
      </w:pPr>
      <w:r>
        <w:t xml:space="preserve">Oxytocin (Nasal Spray) (349)</w:t>
      </w:r>
    </w:p>
    <w:p>
      <w:pPr>
        <w:numPr>
          <w:ilvl w:val="0"/>
          <w:numId w:val="1419"/>
        </w:numPr>
        <w:pStyle w:val="Compact"/>
      </w:pPr>
      <w:r>
        <w:t xml:space="preserve">2026 · van der Straaten M ·</w:t>
      </w:r>
      <w:r>
        <w:t xml:space="preserve"> </w:t>
      </w:r>
      <w:r>
        <w:rPr>
          <w:iCs/>
          <w:i/>
        </w:rPr>
        <w:t xml:space="preserve">Womens Health (Lond)</w:t>
      </w:r>
      <w:r>
        <w:t xml:space="preserve"> </w:t>
      </w:r>
      <w:r>
        <w:t xml:space="preserve">· Oxytocin selectively enhances the recognition of infant sadness in postpartum depression. PMID 42904460</w:t>
      </w:r>
    </w:p>
    <w:p>
      <w:pPr>
        <w:numPr>
          <w:ilvl w:val="0"/>
          <w:numId w:val="1419"/>
        </w:numPr>
        <w:pStyle w:val="Compact"/>
      </w:pPr>
      <w:r>
        <w:t xml:space="preserve">2026 · Tiouririne NA ·</w:t>
      </w:r>
      <w:r>
        <w:t xml:space="preserve"> </w:t>
      </w:r>
      <w:r>
        <w:rPr>
          <w:iCs/>
          <w:i/>
        </w:rPr>
        <w:t xml:space="preserve">Alcohol Clin Exp Res (Hoboken)</w:t>
      </w:r>
      <w:r>
        <w:t xml:space="preserve"> </w:t>
      </w:r>
      <w:r>
        <w:t xml:space="preserve">· Intranasal Oxytocin for Alcohol Use Disorder: A Randomized, Double-Blind, Placebo-Controlled Multisite Trial Assessing Efficacy and Safety. PMID 42458234</w:t>
      </w:r>
    </w:p>
    <w:p>
      <w:pPr>
        <w:numPr>
          <w:ilvl w:val="0"/>
          <w:numId w:val="1419"/>
        </w:numPr>
        <w:pStyle w:val="Compact"/>
      </w:pPr>
      <w:r>
        <w:t xml:space="preserve">2026 · Arqueros M ·</w:t>
      </w:r>
      <w:r>
        <w:t xml:space="preserve"> </w:t>
      </w:r>
      <w:r>
        <w:rPr>
          <w:iCs/>
          <w:i/>
        </w:rPr>
        <w:t xml:space="preserve">Psychiatry Res</w:t>
      </w:r>
      <w:r>
        <w:t xml:space="preserve"> </w:t>
      </w:r>
      <w:r>
        <w:t xml:space="preserve">· Promoting self-compassion meditation with intranasal oxytocin in borderline personality disorder: a pilot study. PMID 42372695</w:t>
      </w:r>
    </w:p>
    <w:p>
      <w:pPr>
        <w:numPr>
          <w:ilvl w:val="0"/>
          <w:numId w:val="1419"/>
        </w:numPr>
        <w:pStyle w:val="Compact"/>
      </w:pPr>
      <w:r>
        <w:t xml:space="preserve">2026 · Silva JU ·</w:t>
      </w:r>
      <w:r>
        <w:t xml:space="preserve"> </w:t>
      </w:r>
      <w:r>
        <w:rPr>
          <w:iCs/>
          <w:i/>
        </w:rPr>
        <w:t xml:space="preserve">Neuropeptides</w:t>
      </w:r>
      <w:r>
        <w:t xml:space="preserve"> </w:t>
      </w:r>
      <w:r>
        <w:t xml:space="preserve">· Effects of intranasal oxytocin on fear, pain and aversive memory. PMID 42066687</w:t>
      </w:r>
    </w:p>
    <w:p>
      <w:pPr>
        <w:numPr>
          <w:ilvl w:val="0"/>
          <w:numId w:val="1419"/>
        </w:numPr>
        <w:pStyle w:val="Compact"/>
      </w:pPr>
      <w:r>
        <w:t xml:space="preserve">2026 · Riem MME ·</w:t>
      </w:r>
      <w:r>
        <w:t xml:space="preserve"> </w:t>
      </w:r>
      <w:r>
        <w:rPr>
          <w:iCs/>
          <w:i/>
        </w:rPr>
        <w:t xml:space="preserve">Ned Tijdschr Geneeskd</w:t>
      </w:r>
      <w:r>
        <w:t xml:space="preserve"> </w:t>
      </w:r>
      <w:r>
        <w:t xml:space="preserve">· [Boosting oxytocin in postpartum depression]. PMID 41989096</w:t>
      </w:r>
    </w:p>
    <w:p>
      <w:pPr>
        <w:numPr>
          <w:ilvl w:val="0"/>
          <w:numId w:val="1419"/>
        </w:numPr>
        <w:pStyle w:val="Compact"/>
      </w:pPr>
      <w:r>
        <w:t xml:space="preserve">2026 · Galbiati F ·</w:t>
      </w:r>
      <w:r>
        <w:t xml:space="preserve"> </w:t>
      </w:r>
      <w:r>
        <w:rPr>
          <w:iCs/>
          <w:i/>
        </w:rPr>
        <w:t xml:space="preserve">Int J Obes (Lond)</w:t>
      </w:r>
      <w:r>
        <w:t xml:space="preserve"> </w:t>
      </w:r>
      <w:r>
        <w:t xml:space="preserve">· Reproductive hormone stability with prolonged intranasal oxytocin in adults with obesity. PMID 41951782</w:t>
      </w:r>
    </w:p>
    <w:p>
      <w:pPr>
        <w:numPr>
          <w:ilvl w:val="0"/>
          <w:numId w:val="1419"/>
        </w:numPr>
        <w:pStyle w:val="Compact"/>
      </w:pPr>
      <w:r>
        <w:t xml:space="preserve">2026 · Kiss O ·</w:t>
      </w:r>
      <w:r>
        <w:t xml:space="preserve"> </w:t>
      </w:r>
      <w:r>
        <w:rPr>
          <w:iCs/>
          <w:i/>
        </w:rPr>
        <w:t xml:space="preserve">Psychol Res</w:t>
      </w:r>
      <w:r>
        <w:t xml:space="preserve"> </w:t>
      </w:r>
      <w:r>
        <w:t xml:space="preserve">· The impact of intranasal oxytocin administration and social observation on time perception and task execution in a simple motor task. PMID 41944895</w:t>
      </w:r>
    </w:p>
    <w:p>
      <w:pPr>
        <w:numPr>
          <w:ilvl w:val="0"/>
          <w:numId w:val="1419"/>
        </w:numPr>
        <w:pStyle w:val="Compact"/>
      </w:pPr>
      <w:r>
        <w:t xml:space="preserve">2026 · Margaux E ·</w:t>
      </w:r>
      <w:r>
        <w:t xml:space="preserve"> </w:t>
      </w:r>
      <w:r>
        <w:rPr>
          <w:iCs/>
          <w:i/>
        </w:rPr>
        <w:t xml:space="preserve">Brain Behav Immun</w:t>
      </w:r>
      <w:r>
        <w:t xml:space="preserve"> </w:t>
      </w:r>
      <w:r>
        <w:t xml:space="preserve">· A pilot study on the role of the oxytocinergic system in gut microbiome composition in children with autism: baseline associations and effects of intranasal oxytocin. PMID 41941984</w:t>
      </w:r>
    </w:p>
    <w:p>
      <w:pPr>
        <w:numPr>
          <w:ilvl w:val="0"/>
          <w:numId w:val="1419"/>
        </w:numPr>
        <w:pStyle w:val="Compact"/>
      </w:pPr>
      <w:r>
        <w:t xml:space="preserve">2026 · Evenepoel M ·</w:t>
      </w:r>
      <w:r>
        <w:t xml:space="preserve"> </w:t>
      </w:r>
      <w:r>
        <w:rPr>
          <w:iCs/>
          <w:i/>
        </w:rPr>
        <w:t xml:space="preserve">Transl Psychiatry</w:t>
      </w:r>
      <w:r>
        <w:t xml:space="preserve"> </w:t>
      </w:r>
      <w:r>
        <w:t xml:space="preserve">· The role of the oxytocinergic system in oral microbiome composition in children with autism: evidence from a randomized controlled trial of intranasal oxytocin. PMID 41876480</w:t>
      </w:r>
    </w:p>
    <w:p>
      <w:pPr>
        <w:numPr>
          <w:ilvl w:val="0"/>
          <w:numId w:val="1419"/>
        </w:numPr>
        <w:pStyle w:val="Compact"/>
      </w:pPr>
      <w:r>
        <w:t xml:space="preserve">2026 · Breithaupt L ·</w:t>
      </w:r>
      <w:r>
        <w:t xml:space="preserve"> </w:t>
      </w:r>
      <w:r>
        <w:rPr>
          <w:iCs/>
          <w:i/>
        </w:rPr>
        <w:t xml:space="preserve">Endocrine</w:t>
      </w:r>
      <w:r>
        <w:t xml:space="preserve"> </w:t>
      </w:r>
      <w:r>
        <w:t xml:space="preserve">· Identification of intranasal oxytocin plasma proteome signatures. PMID 41806102</w:t>
      </w:r>
    </w:p>
    <w:p>
      <w:pPr>
        <w:numPr>
          <w:ilvl w:val="0"/>
          <w:numId w:val="1419"/>
        </w:numPr>
        <w:pStyle w:val="Compact"/>
      </w:pPr>
      <w:r>
        <w:t xml:space="preserve">2026 · Gether IM ·</w:t>
      </w:r>
      <w:r>
        <w:t xml:space="preserve"> </w:t>
      </w:r>
      <w:r>
        <w:rPr>
          <w:iCs/>
          <w:i/>
        </w:rPr>
        <w:t xml:space="preserve">Diabetes Obes Metab</w:t>
      </w:r>
      <w:r>
        <w:t xml:space="preserve"> </w:t>
      </w:r>
      <w:r>
        <w:t xml:space="preserve">· Intravenous Oxytocin Has no Effect on Ad Libitum Food Intake or Postprandial Plasma Glucose Concentrations in Individuals With Obesity: A Randomised, Placebo-Controlled, Double-Blind, Crossover Study. PMID 41804830</w:t>
      </w:r>
    </w:p>
    <w:p>
      <w:pPr>
        <w:numPr>
          <w:ilvl w:val="0"/>
          <w:numId w:val="1419"/>
        </w:numPr>
        <w:pStyle w:val="Compact"/>
      </w:pPr>
      <w:r>
        <w:t xml:space="preserve">2026 · Wang Y ·</w:t>
      </w:r>
      <w:r>
        <w:t xml:space="preserve"> </w:t>
      </w:r>
      <w:r>
        <w:rPr>
          <w:iCs/>
          <w:i/>
        </w:rPr>
        <w:t xml:space="preserve">Brain Imaging Behav</w:t>
      </w:r>
      <w:r>
        <w:t xml:space="preserve"> </w:t>
      </w:r>
      <w:r>
        <w:t xml:space="preserve">· The effect of intranasal oxytocin on the neuropsychological substrates of intergroup categorization. PMID 41779290</w:t>
      </w:r>
    </w:p>
    <w:p>
      <w:pPr>
        <w:numPr>
          <w:ilvl w:val="0"/>
          <w:numId w:val="1419"/>
        </w:numPr>
        <w:pStyle w:val="Compact"/>
      </w:pPr>
      <w:r>
        <w:t xml:space="preserve">2026 · Mendonça TP ·</w:t>
      </w:r>
      <w:r>
        <w:t xml:space="preserve"> </w:t>
      </w:r>
      <w:r>
        <w:rPr>
          <w:iCs/>
          <w:i/>
        </w:rPr>
        <w:t xml:space="preserve">Eur J Appl Physiol</w:t>
      </w:r>
      <w:r>
        <w:t xml:space="preserve"> </w:t>
      </w:r>
      <w:r>
        <w:t xml:space="preserve">· Effects of intranasal oxytocin combined with resistance training on testosterone, cortisol, fatigue, and skin temperature in paralympic powerlifting athletes. PMID 41711901</w:t>
      </w:r>
    </w:p>
    <w:p>
      <w:pPr>
        <w:numPr>
          <w:ilvl w:val="0"/>
          <w:numId w:val="1419"/>
        </w:numPr>
        <w:pStyle w:val="Compact"/>
      </w:pPr>
      <w:r>
        <w:t xml:space="preserve">2026 · Liu W ·</w:t>
      </w:r>
      <w:r>
        <w:t xml:space="preserve"> </w:t>
      </w:r>
      <w:r>
        <w:rPr>
          <w:iCs/>
          <w:i/>
        </w:rPr>
        <w:t xml:space="preserve">Proc Natl Acad Sci U S A</w:t>
      </w:r>
      <w:r>
        <w:t xml:space="preserve"> </w:t>
      </w:r>
      <w:r>
        <w:t xml:space="preserve">· Post-encoding administration of oxytocin selectively enhances memory consolidation of male faces in females. PMID 41557801</w:t>
      </w:r>
    </w:p>
    <w:p>
      <w:pPr>
        <w:numPr>
          <w:ilvl w:val="0"/>
          <w:numId w:val="1419"/>
        </w:numPr>
        <w:pStyle w:val="Compact"/>
      </w:pPr>
      <w:r>
        <w:t xml:space="preserve">2026 · Boulton KA ·</w:t>
      </w:r>
      <w:r>
        <w:t xml:space="preserve"> </w:t>
      </w:r>
      <w:r>
        <w:rPr>
          <w:iCs/>
          <w:i/>
        </w:rPr>
        <w:t xml:space="preserve">J Child Psychol Psychiatry</w:t>
      </w:r>
      <w:r>
        <w:t xml:space="preserve"> </w:t>
      </w:r>
      <w:r>
        <w:t xml:space="preserve">· Evaluating placebo responses to intranasal oxytocin in autism: findings from the placebo lead-in phase of a randomised controlled trial. PMID 41550040</w:t>
      </w:r>
    </w:p>
    <w:p>
      <w:pPr>
        <w:numPr>
          <w:ilvl w:val="0"/>
          <w:numId w:val="1419"/>
        </w:numPr>
        <w:pStyle w:val="Compact"/>
      </w:pPr>
      <w:r>
        <w:t xml:space="preserve">2026 · Prinsen J ·</w:t>
      </w:r>
      <w:r>
        <w:t xml:space="preserve"> </w:t>
      </w:r>
      <w:r>
        <w:rPr>
          <w:iCs/>
          <w:i/>
        </w:rPr>
        <w:t xml:space="preserve">Psychoneuroendocrinology</w:t>
      </w:r>
      <w:r>
        <w:t xml:space="preserve"> </w:t>
      </w:r>
      <w:r>
        <w:t xml:space="preserve">· Impact of chronic oxytocin on gaze and pupil dynamics during live dyadic interactions in children with autism. PMID 41547341</w:t>
      </w:r>
    </w:p>
    <w:p>
      <w:pPr>
        <w:numPr>
          <w:ilvl w:val="0"/>
          <w:numId w:val="1419"/>
        </w:numPr>
        <w:pStyle w:val="Compact"/>
      </w:pPr>
      <w:r>
        <w:t xml:space="preserve">2026 · Song D ·</w:t>
      </w:r>
      <w:r>
        <w:t xml:space="preserve"> </w:t>
      </w:r>
      <w:r>
        <w:rPr>
          <w:iCs/>
          <w:i/>
        </w:rPr>
        <w:t xml:space="preserve">Behav Brain Res</w:t>
      </w:r>
      <w:r>
        <w:t xml:space="preserve"> </w:t>
      </w:r>
      <w:r>
        <w:t xml:space="preserve">· Age-dependent effects of intranasal oxytocin administration were revealed by resting brain entropy (BEN). PMID 41360155</w:t>
      </w:r>
    </w:p>
    <w:p>
      <w:pPr>
        <w:numPr>
          <w:ilvl w:val="0"/>
          <w:numId w:val="1419"/>
        </w:numPr>
        <w:pStyle w:val="Compact"/>
      </w:pPr>
      <w:r>
        <w:t xml:space="preserve">2026 · Schneider E ·</w:t>
      </w:r>
      <w:r>
        <w:t xml:space="preserve"> </w:t>
      </w:r>
      <w:r>
        <w:rPr>
          <w:iCs/>
          <w:i/>
        </w:rPr>
        <w:t xml:space="preserve">JAMA Psychiatry</w:t>
      </w:r>
      <w:r>
        <w:t xml:space="preserve"> </w:t>
      </w:r>
      <w:r>
        <w:t xml:space="preserve">· Intranasal Oxytocin and Physical Intimacy for Dermatological Wound Healing and Neuroendocrine Stress: A Randomized Clinical Trial. PMID 41222549</w:t>
      </w:r>
    </w:p>
    <w:p>
      <w:pPr>
        <w:numPr>
          <w:ilvl w:val="0"/>
          <w:numId w:val="1419"/>
        </w:numPr>
        <w:pStyle w:val="Compact"/>
      </w:pPr>
      <w:r>
        <w:t xml:space="preserve">2026 · Saker T ·</w:t>
      </w:r>
      <w:r>
        <w:t xml:space="preserve"> </w:t>
      </w:r>
      <w:r>
        <w:rPr>
          <w:iCs/>
          <w:i/>
        </w:rPr>
        <w:t xml:space="preserve">J Psychiatr Res</w:t>
      </w:r>
      <w:r>
        <w:t xml:space="preserve"> </w:t>
      </w:r>
      <w:r>
        <w:t xml:space="preserve">· The effect of intranasal oxytocin on theory of mind in children with attention deficit/hyperactive disorder. PMID 41138507</w:t>
      </w:r>
    </w:p>
    <w:p>
      <w:pPr>
        <w:numPr>
          <w:ilvl w:val="0"/>
          <w:numId w:val="1419"/>
        </w:numPr>
        <w:pStyle w:val="Compact"/>
      </w:pPr>
      <w:r>
        <w:t xml:space="preserve">2026 · Nannt J ·</w:t>
      </w:r>
      <w:r>
        <w:t xml:space="preserve"> </w:t>
      </w:r>
      <w:r>
        <w:rPr>
          <w:iCs/>
          <w:i/>
        </w:rPr>
        <w:t xml:space="preserve">Int J Eat Disord</w:t>
      </w:r>
      <w:r>
        <w:t xml:space="preserve"> </w:t>
      </w:r>
      <w:r>
        <w:t xml:space="preserve">· Oxytocin Effects on Food Stimulus Processing and Food Intake in Females With or Without Binge Eating Disorder. PMID 41131747</w:t>
      </w:r>
    </w:p>
    <w:p>
      <w:pPr>
        <w:numPr>
          <w:ilvl w:val="0"/>
          <w:numId w:val="1419"/>
        </w:numPr>
        <w:pStyle w:val="Compact"/>
      </w:pPr>
      <w:r>
        <w:t xml:space="preserve">2025 · Riem MME ·</w:t>
      </w:r>
      <w:r>
        <w:t xml:space="preserve"> </w:t>
      </w:r>
      <w:r>
        <w:rPr>
          <w:iCs/>
          <w:i/>
        </w:rPr>
        <w:t xml:space="preserve">Psychoneuroendocrinology</w:t>
      </w:r>
      <w:r>
        <w:t xml:space="preserve"> </w:t>
      </w:r>
      <w:r>
        <w:t xml:space="preserve">· Boosting oxytocin in postpartum depression: Intranasal oxytocin enhances maternal positive affect and regard for the infant. PMID 40614394</w:t>
      </w:r>
    </w:p>
    <w:p>
      <w:pPr>
        <w:numPr>
          <w:ilvl w:val="0"/>
          <w:numId w:val="1419"/>
        </w:numPr>
        <w:pStyle w:val="Compact"/>
      </w:pPr>
      <w:r>
        <w:t xml:space="preserve">2025 · Cosme G ·</w:t>
      </w:r>
      <w:r>
        <w:t xml:space="preserve"> </w:t>
      </w:r>
      <w:r>
        <w:rPr>
          <w:iCs/>
          <w:i/>
        </w:rPr>
        <w:t xml:space="preserve">Psychoneuroendocrinology</w:t>
      </w:r>
      <w:r>
        <w:t xml:space="preserve"> </w:t>
      </w:r>
      <w:r>
        <w:t xml:space="preserve">· Intranasal oxytocin increases cooperation of heterosexual men with women. PMID 40578004</w:t>
      </w:r>
    </w:p>
    <w:p>
      <w:pPr>
        <w:numPr>
          <w:ilvl w:val="0"/>
          <w:numId w:val="1419"/>
        </w:numPr>
        <w:pStyle w:val="Compact"/>
      </w:pPr>
      <w:r>
        <w:t xml:space="preserve">2025 · Julius NC ·</w:t>
      </w:r>
      <w:r>
        <w:t xml:space="preserve"> </w:t>
      </w:r>
      <w:r>
        <w:rPr>
          <w:iCs/>
          <w:i/>
        </w:rPr>
        <w:t xml:space="preserve">Sci Rep</w:t>
      </w:r>
      <w:r>
        <w:t xml:space="preserve"> </w:t>
      </w:r>
      <w:r>
        <w:t xml:space="preserve">· Nasal dominance potentiates intranasal oxytocin’s anxiolytic effects. PMID 40425808</w:t>
      </w:r>
    </w:p>
    <w:p>
      <w:pPr>
        <w:numPr>
          <w:ilvl w:val="0"/>
          <w:numId w:val="1419"/>
        </w:numPr>
        <w:pStyle w:val="Compact"/>
      </w:pPr>
      <w:r>
        <w:t xml:space="preserve">2025 · Flanagan JC ·</w:t>
      </w:r>
      <w:r>
        <w:t xml:space="preserve"> </w:t>
      </w:r>
      <w:r>
        <w:rPr>
          <w:iCs/>
          <w:i/>
        </w:rPr>
        <w:t xml:space="preserve">J Clin Psychiatry</w:t>
      </w:r>
      <w:r>
        <w:t xml:space="preserve"> </w:t>
      </w:r>
      <w:r>
        <w:t xml:space="preserve">· Results of a Randomized Controlled Trial Examining the Efficacy of Intranasal Oxytocin to Enhance Alcohol Behavioral Couple Therapy. PMID 40392716</w:t>
      </w:r>
    </w:p>
    <w:p>
      <w:pPr>
        <w:numPr>
          <w:ilvl w:val="0"/>
          <w:numId w:val="1419"/>
        </w:numPr>
        <w:pStyle w:val="Compact"/>
      </w:pPr>
      <w:r>
        <w:t xml:space="preserve">2025 · Aulinas A ·</w:t>
      </w:r>
      <w:r>
        <w:t xml:space="preserve"> </w:t>
      </w:r>
      <w:r>
        <w:rPr>
          <w:iCs/>
          <w:i/>
        </w:rPr>
        <w:t xml:space="preserve">J Clin Endocrinol Metab</w:t>
      </w:r>
      <w:r>
        <w:t xml:space="preserve"> </w:t>
      </w:r>
      <w:r>
        <w:t xml:space="preserve">· Arginine-Vasopressin Dynamics in Relation to Food Intake and 8-Week Intranasal Oxytocin Treatment in Adults With Obesity. PMID 40314146</w:t>
      </w:r>
    </w:p>
    <w:p>
      <w:pPr>
        <w:numPr>
          <w:ilvl w:val="0"/>
          <w:numId w:val="1419"/>
        </w:numPr>
        <w:pStyle w:val="Compact"/>
      </w:pPr>
      <w:r>
        <w:t xml:space="preserve">2025 · Vetter S ·</w:t>
      </w:r>
      <w:r>
        <w:t xml:space="preserve"> </w:t>
      </w:r>
      <w:r>
        <w:rPr>
          <w:iCs/>
          <w:i/>
        </w:rPr>
        <w:t xml:space="preserve">Psychopharmacology (Berl)</w:t>
      </w:r>
      <w:r>
        <w:t xml:space="preserve"> </w:t>
      </w:r>
      <w:r>
        <w:t xml:space="preserve">· Intranasal oxytocin blunts amygdala response to negative affective stimuli in males and females with alcohol use disorder: a randomized controlled cross-over trial. PMID 40232386</w:t>
      </w:r>
    </w:p>
    <w:p>
      <w:pPr>
        <w:numPr>
          <w:ilvl w:val="0"/>
          <w:numId w:val="1419"/>
        </w:numPr>
        <w:pStyle w:val="Compact"/>
      </w:pPr>
      <w:r>
        <w:t xml:space="preserve">2025 · O’ Brien S ·</w:t>
      </w:r>
      <w:r>
        <w:t xml:space="preserve"> </w:t>
      </w:r>
      <w:r>
        <w:rPr>
          <w:iCs/>
          <w:i/>
        </w:rPr>
        <w:t xml:space="preserve">Sci Rep</w:t>
      </w:r>
      <w:r>
        <w:t xml:space="preserve"> </w:t>
      </w:r>
      <w:r>
        <w:t xml:space="preserve">· Intranasal oxytocin modulates brain activity during emotional processing in children with treatment resistant conduct problems. PMID 40180973</w:t>
      </w:r>
    </w:p>
    <w:p>
      <w:pPr>
        <w:numPr>
          <w:ilvl w:val="0"/>
          <w:numId w:val="1419"/>
        </w:numPr>
        <w:pStyle w:val="Compact"/>
      </w:pPr>
      <w:r>
        <w:t xml:space="preserve">2025 · Andari E ·</w:t>
      </w:r>
      <w:r>
        <w:t xml:space="preserve"> </w:t>
      </w:r>
      <w:r>
        <w:rPr>
          <w:iCs/>
          <w:i/>
        </w:rPr>
        <w:t xml:space="preserve">Neuropsychopharmacology</w:t>
      </w:r>
      <w:r>
        <w:t xml:space="preserve"> </w:t>
      </w:r>
      <w:r>
        <w:t xml:space="preserve">· Random forest and Shapley Additive exPlanations predict oxytocin targeted effects on brain functional networks involved in salience and sensorimotor processing, in a randomized clinical trial in autism. PMID 40175527</w:t>
      </w:r>
    </w:p>
    <w:p>
      <w:pPr>
        <w:numPr>
          <w:ilvl w:val="0"/>
          <w:numId w:val="1419"/>
        </w:numPr>
        <w:pStyle w:val="Compact"/>
      </w:pPr>
      <w:r>
        <w:t xml:space="preserve">2025 · Shafer SL ·</w:t>
      </w:r>
      <w:r>
        <w:t xml:space="preserve"> </w:t>
      </w:r>
      <w:r>
        <w:rPr>
          <w:iCs/>
          <w:i/>
        </w:rPr>
        <w:t xml:space="preserve">Br J Anaesth</w:t>
      </w:r>
      <w:r>
        <w:t xml:space="preserve"> </w:t>
      </w:r>
      <w:r>
        <w:t xml:space="preserve">· Plasma pharmacokinetics of intravenous and intranasal oxytocin in nonpregnant adults. PMID 40121179</w:t>
      </w:r>
    </w:p>
    <w:p>
      <w:pPr>
        <w:numPr>
          <w:ilvl w:val="0"/>
          <w:numId w:val="1419"/>
        </w:numPr>
        <w:pStyle w:val="Compact"/>
      </w:pPr>
      <w:r>
        <w:t xml:space="preserve">2025 · Liu J ·</w:t>
      </w:r>
      <w:r>
        <w:t xml:space="preserve"> </w:t>
      </w:r>
      <w:r>
        <w:rPr>
          <w:iCs/>
          <w:i/>
        </w:rPr>
        <w:t xml:space="preserve">Psychoneuroendocrinology</w:t>
      </w:r>
      <w:r>
        <w:t xml:space="preserve"> </w:t>
      </w:r>
      <w:r>
        <w:t xml:space="preserve">· The complex role of oxytocin in fear acquisition and generalization. PMID 40073548</w:t>
      </w:r>
    </w:p>
    <w:p>
      <w:pPr>
        <w:numPr>
          <w:ilvl w:val="0"/>
          <w:numId w:val="1419"/>
        </w:numPr>
        <w:pStyle w:val="Compact"/>
      </w:pPr>
      <w:r>
        <w:t xml:space="preserve">2025 · Rosenfeld-Ganzel A ·</w:t>
      </w:r>
      <w:r>
        <w:t xml:space="preserve"> </w:t>
      </w:r>
      <w:r>
        <w:rPr>
          <w:iCs/>
          <w:i/>
        </w:rPr>
        <w:t xml:space="preserve">Biol Psychol</w:t>
      </w:r>
      <w:r>
        <w:t xml:space="preserve"> </w:t>
      </w:r>
      <w:r>
        <w:t xml:space="preserve">· Oxytocin’s role in the interaction between emotion and cognitive control. PMID 39987954</w:t>
      </w:r>
    </w:p>
    <w:p>
      <w:pPr>
        <w:numPr>
          <w:ilvl w:val="0"/>
          <w:numId w:val="1419"/>
        </w:numPr>
        <w:pStyle w:val="Compact"/>
      </w:pPr>
      <w:r>
        <w:t xml:space="preserve">2025 · Verdes A ·</w:t>
      </w:r>
      <w:r>
        <w:t xml:space="preserve"> </w:t>
      </w:r>
      <w:r>
        <w:rPr>
          <w:iCs/>
          <w:i/>
        </w:rPr>
        <w:t xml:space="preserve">J Child Adolesc Psychopharmacol</w:t>
      </w:r>
      <w:r>
        <w:t xml:space="preserve"> </w:t>
      </w:r>
      <w:r>
        <w:t xml:space="preserve">· Predictors of Placebo Response in the Study of Oxytocin in Autism to Improve Reciprocal Social Behaviors. PMID 39970017</w:t>
      </w:r>
    </w:p>
    <w:p>
      <w:pPr>
        <w:numPr>
          <w:ilvl w:val="0"/>
          <w:numId w:val="1419"/>
        </w:numPr>
        <w:pStyle w:val="Compact"/>
      </w:pPr>
      <w:r>
        <w:t xml:space="preserve">2025 · Lindley Baron-Cohen K ·</w:t>
      </w:r>
      <w:r>
        <w:t xml:space="preserve"> </w:t>
      </w:r>
      <w:r>
        <w:rPr>
          <w:iCs/>
          <w:i/>
        </w:rPr>
        <w:t xml:space="preserve">Psychoneuroendocrinology</w:t>
      </w:r>
      <w:r>
        <w:t xml:space="preserve"> </w:t>
      </w:r>
      <w:r>
        <w:t xml:space="preserve">· Intranasal oxytocin increases breast milk oxytocin, but has a reduced effect in depressed mothers: A randomized controlled trial. PMID 39891981</w:t>
      </w:r>
    </w:p>
    <w:p>
      <w:pPr>
        <w:numPr>
          <w:ilvl w:val="0"/>
          <w:numId w:val="1419"/>
        </w:numPr>
        <w:pStyle w:val="Compact"/>
      </w:pPr>
      <w:r>
        <w:t xml:space="preserve">2025 · Burmester V ·</w:t>
      </w:r>
      <w:r>
        <w:t xml:space="preserve"> </w:t>
      </w:r>
      <w:r>
        <w:rPr>
          <w:iCs/>
          <w:i/>
        </w:rPr>
        <w:t xml:space="preserve">Eur Eat Disord Rev</w:t>
      </w:r>
      <w:r>
        <w:t xml:space="preserve"> </w:t>
      </w:r>
      <w:r>
        <w:t xml:space="preserve">· Oxytocin Amplifies Negative Response to Ambiguity in Adolescent Females With and Without Eating Disorders. PMID 39887557</w:t>
      </w:r>
    </w:p>
    <w:p>
      <w:pPr>
        <w:numPr>
          <w:ilvl w:val="0"/>
          <w:numId w:val="1419"/>
        </w:numPr>
        <w:pStyle w:val="Compact"/>
      </w:pPr>
      <w:r>
        <w:t xml:space="preserve">2025 · Coleman KKL ·</w:t>
      </w:r>
      <w:r>
        <w:t xml:space="preserve"> </w:t>
      </w:r>
      <w:r>
        <w:rPr>
          <w:iCs/>
          <w:i/>
        </w:rPr>
        <w:t xml:space="preserve">Lancet Neurol</w:t>
      </w:r>
      <w:r>
        <w:t xml:space="preserve"> </w:t>
      </w:r>
      <w:r>
        <w:t xml:space="preserve">· Intranasal oxytocin for apathy in people with frontotemporal dementia (FOXY): a multicentre, randomised, double-blind, placebo-controlled, adaptive, crossover, phase 2a/2b superiority trial. PMID 39862881</w:t>
      </w:r>
    </w:p>
    <w:p>
      <w:pPr>
        <w:numPr>
          <w:ilvl w:val="0"/>
          <w:numId w:val="1419"/>
        </w:numPr>
        <w:pStyle w:val="Compact"/>
      </w:pPr>
      <w:r>
        <w:t xml:space="preserve">2025 · Thurston MD ·</w:t>
      </w:r>
      <w:r>
        <w:t xml:space="preserve"> </w:t>
      </w:r>
      <w:r>
        <w:rPr>
          <w:iCs/>
          <w:i/>
        </w:rPr>
        <w:t xml:space="preserve">Psychopharmacology (Berl)</w:t>
      </w:r>
      <w:r>
        <w:t xml:space="preserve"> </w:t>
      </w:r>
      <w:r>
        <w:t xml:space="preserve">· Oxytocin differentially modulates reward system responses to social and non-social incentives. PMID 39365438</w:t>
      </w:r>
    </w:p>
    <w:p>
      <w:pPr>
        <w:numPr>
          <w:ilvl w:val="0"/>
          <w:numId w:val="1419"/>
        </w:numPr>
        <w:pStyle w:val="Compact"/>
      </w:pPr>
      <w:r>
        <w:t xml:space="preserve">2025 · Rashidi M ·</w:t>
      </w:r>
      <w:r>
        <w:t xml:space="preserve"> </w:t>
      </w:r>
      <w:r>
        <w:rPr>
          <w:iCs/>
          <w:i/>
        </w:rPr>
        <w:t xml:space="preserve">Neuropsychopharmacology</w:t>
      </w:r>
      <w:r>
        <w:t xml:space="preserve"> </w:t>
      </w:r>
      <w:r>
        <w:t xml:space="preserve">· Effects of intranasal oxytocin on fear extinction learning. PMID 39313675</w:t>
      </w:r>
    </w:p>
    <w:p>
      <w:pPr>
        <w:numPr>
          <w:ilvl w:val="0"/>
          <w:numId w:val="1419"/>
        </w:numPr>
        <w:pStyle w:val="Compact"/>
      </w:pPr>
      <w:r>
        <w:t xml:space="preserve">2024 · Moerkerke M ·</w:t>
      </w:r>
      <w:r>
        <w:t xml:space="preserve"> </w:t>
      </w:r>
      <w:r>
        <w:rPr>
          <w:iCs/>
          <w:i/>
        </w:rPr>
        <w:t xml:space="preserve">Mol Autism</w:t>
      </w:r>
      <w:r>
        <w:t xml:space="preserve"> </w:t>
      </w:r>
      <w:r>
        <w:t xml:space="preserve">· Impact of chronic intranasal oxytocin administration on face expression processing in autistic children: a randomized controlled trial using fMRI. PMID 39709442</w:t>
      </w:r>
    </w:p>
    <w:p>
      <w:pPr>
        <w:numPr>
          <w:ilvl w:val="0"/>
          <w:numId w:val="1419"/>
        </w:numPr>
        <w:pStyle w:val="Compact"/>
      </w:pPr>
      <w:r>
        <w:t xml:space="preserve">2024 · Maoz H ·</w:t>
      </w:r>
      <w:r>
        <w:t xml:space="preserve"> </w:t>
      </w:r>
      <w:r>
        <w:rPr>
          <w:iCs/>
          <w:i/>
        </w:rPr>
        <w:t xml:space="preserve">Psychiatry Res</w:t>
      </w:r>
      <w:r>
        <w:t xml:space="preserve"> </w:t>
      </w:r>
      <w:r>
        <w:t xml:space="preserve">· Sex differences in response to intranasal oxytocin as an adjunctive therapy for patients with severe mental illness. PMID 39579479</w:t>
      </w:r>
    </w:p>
    <w:p>
      <w:pPr>
        <w:numPr>
          <w:ilvl w:val="0"/>
          <w:numId w:val="1419"/>
        </w:numPr>
        <w:pStyle w:val="Compact"/>
      </w:pPr>
      <w:r>
        <w:t xml:space="preserve">2024 · Wang Y ·</w:t>
      </w:r>
      <w:r>
        <w:t xml:space="preserve"> </w:t>
      </w:r>
      <w:r>
        <w:rPr>
          <w:iCs/>
          <w:i/>
        </w:rPr>
        <w:t xml:space="preserve">Neuropharmacology</w:t>
      </w:r>
      <w:r>
        <w:t xml:space="preserve"> </w:t>
      </w:r>
      <w:r>
        <w:t xml:space="preserve">· Oxytocin modulation of explicit pandemic stigma in men with varying social anxiety levels. PMID 39251086</w:t>
      </w:r>
    </w:p>
    <w:p>
      <w:pPr>
        <w:numPr>
          <w:ilvl w:val="0"/>
          <w:numId w:val="1419"/>
        </w:numPr>
        <w:pStyle w:val="Compact"/>
      </w:pPr>
      <w:r>
        <w:t xml:space="preserve">2024 · Liu P ·</w:t>
      </w:r>
      <w:r>
        <w:t xml:space="preserve"> </w:t>
      </w:r>
      <w:r>
        <w:rPr>
          <w:iCs/>
          <w:i/>
        </w:rPr>
        <w:t xml:space="preserve">Neuropharmacology</w:t>
      </w:r>
      <w:r>
        <w:t xml:space="preserve"> </w:t>
      </w:r>
      <w:r>
        <w:t xml:space="preserve">· Effects of four-week intranasal oxytocin administration on large-scale brain networks in older adults. PMID 39182569</w:t>
      </w:r>
    </w:p>
    <w:p>
      <w:pPr>
        <w:numPr>
          <w:ilvl w:val="0"/>
          <w:numId w:val="1419"/>
        </w:numPr>
        <w:pStyle w:val="Compact"/>
      </w:pPr>
      <w:r>
        <w:t xml:space="preserve">2024 · Goll N ·</w:t>
      </w:r>
      <w:r>
        <w:t xml:space="preserve"> </w:t>
      </w:r>
      <w:r>
        <w:rPr>
          <w:iCs/>
          <w:i/>
        </w:rPr>
        <w:t xml:space="preserve">Diabetes Obes Metab</w:t>
      </w:r>
      <w:r>
        <w:t xml:space="preserve"> </w:t>
      </w:r>
      <w:r>
        <w:t xml:space="preserve">· Oxytocin does not acutely improve glucose tolerance in men with type 2 diabetes. PMID 39118203</w:t>
      </w:r>
    </w:p>
    <w:p>
      <w:pPr>
        <w:numPr>
          <w:ilvl w:val="0"/>
          <w:numId w:val="1419"/>
        </w:numPr>
        <w:pStyle w:val="Compact"/>
      </w:pPr>
      <w:r>
        <w:t xml:space="preserve">2024 · Zhou M ·</w:t>
      </w:r>
      <w:r>
        <w:t xml:space="preserve"> </w:t>
      </w:r>
      <w:r>
        <w:rPr>
          <w:iCs/>
          <w:i/>
        </w:rPr>
        <w:t xml:space="preserve">Biol Psychiatry Cogn Neurosci Neuroimaging</w:t>
      </w:r>
      <w:r>
        <w:t xml:space="preserve"> </w:t>
      </w:r>
      <w:r>
        <w:t xml:space="preserve">· Intranasal Oxytocin Improves Interoceptive Accuracy and Heartbeat-Evoked Potentials During a Cardiac Interoceptive Task. PMID 38839034</w:t>
      </w:r>
    </w:p>
    <w:p>
      <w:pPr>
        <w:numPr>
          <w:ilvl w:val="0"/>
          <w:numId w:val="1419"/>
        </w:numPr>
        <w:pStyle w:val="Compact"/>
      </w:pPr>
      <w:r>
        <w:t xml:space="preserve">2024 · Plessow F ·</w:t>
      </w:r>
      <w:r>
        <w:t xml:space="preserve"> </w:t>
      </w:r>
      <w:r>
        <w:rPr>
          <w:iCs/>
          <w:i/>
        </w:rPr>
        <w:t xml:space="preserve">NEJM Evid</w:t>
      </w:r>
      <w:r>
        <w:t xml:space="preserve"> </w:t>
      </w:r>
      <w:r>
        <w:t xml:space="preserve">· Intranasal Oxytocin for Obesity. PMID 38815173</w:t>
      </w:r>
    </w:p>
    <w:p>
      <w:pPr>
        <w:numPr>
          <w:ilvl w:val="0"/>
          <w:numId w:val="1419"/>
        </w:numPr>
        <w:pStyle w:val="Compact"/>
      </w:pPr>
      <w:r>
        <w:t xml:space="preserve">2024 · Berger R ·</w:t>
      </w:r>
      <w:r>
        <w:t xml:space="preserve"> </w:t>
      </w:r>
      <w:r>
        <w:rPr>
          <w:iCs/>
          <w:i/>
        </w:rPr>
        <w:t xml:space="preserve">Psychother Psychosom</w:t>
      </w:r>
      <w:r>
        <w:t xml:space="preserve"> </w:t>
      </w:r>
      <w:r>
        <w:t xml:space="preserve">· Oxytocin-Augmented Modular-Based Group Intervention for Loneliness: A Proof-Of-Concept Randomized Controlled Trial. PMID 38754399</w:t>
      </w:r>
    </w:p>
    <w:p>
      <w:pPr>
        <w:numPr>
          <w:ilvl w:val="0"/>
          <w:numId w:val="1419"/>
        </w:numPr>
        <w:pStyle w:val="Compact"/>
      </w:pPr>
      <w:r>
        <w:t xml:space="preserve">2024 · Tomescu MI ·</w:t>
      </w:r>
      <w:r>
        <w:t xml:space="preserve"> </w:t>
      </w:r>
      <w:r>
        <w:rPr>
          <w:iCs/>
          <w:i/>
        </w:rPr>
        <w:t xml:space="preserve">Psychophysiology</w:t>
      </w:r>
      <w:r>
        <w:t xml:space="preserve"> </w:t>
      </w:r>
      <w:r>
        <w:t xml:space="preserve">· Social functioning predicts individual changes in EEG microstates following intranasal oxytocin administration: A double-blind, cross-over randomized clinical trial. PMID 38594888</w:t>
      </w:r>
    </w:p>
    <w:p>
      <w:pPr>
        <w:numPr>
          <w:ilvl w:val="0"/>
          <w:numId w:val="1419"/>
        </w:numPr>
        <w:pStyle w:val="Compact"/>
      </w:pPr>
      <w:r>
        <w:t xml:space="preserve">2024 · Flechsenhar A ·</w:t>
      </w:r>
      <w:r>
        <w:t xml:space="preserve"> </w:t>
      </w:r>
      <w:r>
        <w:rPr>
          <w:iCs/>
          <w:i/>
        </w:rPr>
        <w:t xml:space="preserve">Neuropharmacology</w:t>
      </w:r>
      <w:r>
        <w:t xml:space="preserve"> </w:t>
      </w:r>
      <w:r>
        <w:t xml:space="preserve">· Oxytocin and social learning in socially anxious men and women. PMID 38537867</w:t>
      </w:r>
    </w:p>
    <w:p>
      <w:pPr>
        <w:numPr>
          <w:ilvl w:val="0"/>
          <w:numId w:val="1419"/>
        </w:numPr>
        <w:pStyle w:val="Compact"/>
      </w:pPr>
      <w:r>
        <w:t xml:space="preserve">2024 · Maguire S ·</w:t>
      </w:r>
      <w:r>
        <w:t xml:space="preserve"> </w:t>
      </w:r>
      <w:r>
        <w:rPr>
          <w:iCs/>
          <w:i/>
        </w:rPr>
        <w:t xml:space="preserve">Psychoneuroendocrinology</w:t>
      </w:r>
      <w:r>
        <w:t xml:space="preserve"> </w:t>
      </w:r>
      <w:r>
        <w:t xml:space="preserve">· A phase II randomised controlled trial of intranasal oxytocin in anorexia nervosa. PMID 38520886</w:t>
      </w:r>
    </w:p>
    <w:p>
      <w:pPr>
        <w:numPr>
          <w:ilvl w:val="0"/>
          <w:numId w:val="1419"/>
        </w:numPr>
        <w:pStyle w:val="Compact"/>
      </w:pPr>
      <w:r>
        <w:t xml:space="preserve">2024 · Shoenfelt A ·</w:t>
      </w:r>
      <w:r>
        <w:t xml:space="preserve"> </w:t>
      </w:r>
      <w:r>
        <w:rPr>
          <w:iCs/>
          <w:i/>
        </w:rPr>
        <w:t xml:space="preserve">Psychoneuroendocrinology</w:t>
      </w:r>
      <w:r>
        <w:t xml:space="preserve"> </w:t>
      </w:r>
      <w:r>
        <w:t xml:space="preserve">· Effects of chronic intranasal oxytocin on visual attention to faces vs. natural scenes in older adults. PMID 38461634</w:t>
      </w:r>
    </w:p>
    <w:p>
      <w:pPr>
        <w:numPr>
          <w:ilvl w:val="0"/>
          <w:numId w:val="1419"/>
        </w:numPr>
        <w:pStyle w:val="Compact"/>
      </w:pPr>
      <w:r>
        <w:t xml:space="preserve">2024 · Ellenbogen MA ·</w:t>
      </w:r>
      <w:r>
        <w:t xml:space="preserve"> </w:t>
      </w:r>
      <w:r>
        <w:rPr>
          <w:iCs/>
          <w:i/>
        </w:rPr>
        <w:t xml:space="preserve">Psychol Med</w:t>
      </w:r>
      <w:r>
        <w:t xml:space="preserve"> </w:t>
      </w:r>
      <w:r>
        <w:t xml:space="preserve">· The effects of intranasal oxytocin on the efficacy of psychotherapy for major depressive disorder: a pilot randomized controlled trial. PMID 38445382</w:t>
      </w:r>
    </w:p>
    <w:p>
      <w:pPr>
        <w:numPr>
          <w:ilvl w:val="0"/>
          <w:numId w:val="1419"/>
        </w:numPr>
        <w:pStyle w:val="Compact"/>
      </w:pPr>
      <w:r>
        <w:t xml:space="preserve">2024 · Hwang S ·</w:t>
      </w:r>
      <w:r>
        <w:t xml:space="preserve"> </w:t>
      </w:r>
      <w:r>
        <w:rPr>
          <w:iCs/>
          <w:i/>
        </w:rPr>
        <w:t xml:space="preserve">Am J Psychiatry</w:t>
      </w:r>
      <w:r>
        <w:t xml:space="preserve"> </w:t>
      </w:r>
      <w:r>
        <w:t xml:space="preserve">· Neural Responses to Intranasal Oxytocin in Youths With Severe Irritability. PMID 38419495</w:t>
      </w:r>
    </w:p>
    <w:p>
      <w:pPr>
        <w:numPr>
          <w:ilvl w:val="0"/>
          <w:numId w:val="1419"/>
        </w:numPr>
        <w:pStyle w:val="Compact"/>
      </w:pPr>
      <w:r>
        <w:t xml:space="preserve">2024 · Moses E ·</w:t>
      </w:r>
      <w:r>
        <w:t xml:space="preserve"> </w:t>
      </w:r>
      <w:r>
        <w:rPr>
          <w:iCs/>
          <w:i/>
        </w:rPr>
        <w:t xml:space="preserve">Soc Cogn Affect Neurosci</w:t>
      </w:r>
      <w:r>
        <w:t xml:space="preserve"> </w:t>
      </w:r>
      <w:r>
        <w:t xml:space="preserve">· Oxytocin differentially modulates the early neural responses to faces and non-social stimuli. PMID 38372627</w:t>
      </w:r>
    </w:p>
    <w:p>
      <w:pPr>
        <w:numPr>
          <w:ilvl w:val="0"/>
          <w:numId w:val="1419"/>
        </w:numPr>
        <w:pStyle w:val="Compact"/>
      </w:pPr>
      <w:r>
        <w:t xml:space="preserve">2024 · İmamoğlu A ·</w:t>
      </w:r>
      <w:r>
        <w:t xml:space="preserve"> </w:t>
      </w:r>
      <w:r>
        <w:rPr>
          <w:iCs/>
          <w:i/>
        </w:rPr>
        <w:t xml:space="preserve">J Psychiatr Res</w:t>
      </w:r>
      <w:r>
        <w:t xml:space="preserve"> </w:t>
      </w:r>
      <w:r>
        <w:t xml:space="preserve">· The effect of intranasal oxytocin on neurocognition in people with schizophrenia: A randomized controlled trial. PMID 38262165</w:t>
      </w:r>
    </w:p>
    <w:p>
      <w:pPr>
        <w:numPr>
          <w:ilvl w:val="0"/>
          <w:numId w:val="1419"/>
        </w:numPr>
        <w:pStyle w:val="Compact"/>
      </w:pPr>
      <w:r>
        <w:t xml:space="preserve">2024 · Davies C ·</w:t>
      </w:r>
      <w:r>
        <w:t xml:space="preserve"> </w:t>
      </w:r>
      <w:r>
        <w:rPr>
          <w:iCs/>
          <w:i/>
        </w:rPr>
        <w:t xml:space="preserve">Mol Psychiatry</w:t>
      </w:r>
      <w:r>
        <w:t xml:space="preserve"> </w:t>
      </w:r>
      <w:r>
        <w:t xml:space="preserve">· Connectome dysfunction in patients at clinical high risk for psychosis and modulation by oxytocin. PMID 38243074</w:t>
      </w:r>
    </w:p>
    <w:p>
      <w:pPr>
        <w:numPr>
          <w:ilvl w:val="0"/>
          <w:numId w:val="1419"/>
        </w:numPr>
        <w:pStyle w:val="Compact"/>
      </w:pPr>
      <w:r>
        <w:t xml:space="preserve">2024 · Pongrácz P ·</w:t>
      </w:r>
      <w:r>
        <w:t xml:space="preserve"> </w:t>
      </w:r>
      <w:r>
        <w:rPr>
          <w:iCs/>
          <w:i/>
        </w:rPr>
        <w:t xml:space="preserve">BMC Ecol Evol</w:t>
      </w:r>
      <w:r>
        <w:t xml:space="preserve"> </w:t>
      </w:r>
      <w:r>
        <w:t xml:space="preserve">· Alarm or emotion? intranasal oxytocin helps determine information conveyed by dog barks for adult male human listeners. PMID 38221611</w:t>
      </w:r>
    </w:p>
    <w:p>
      <w:pPr>
        <w:numPr>
          <w:ilvl w:val="0"/>
          <w:numId w:val="1419"/>
        </w:numPr>
        <w:pStyle w:val="Compact"/>
      </w:pPr>
      <w:r>
        <w:t xml:space="preserve">2024 · Moerkerke M ·</w:t>
      </w:r>
      <w:r>
        <w:t xml:space="preserve"> </w:t>
      </w:r>
      <w:r>
        <w:rPr>
          <w:iCs/>
          <w:i/>
        </w:rPr>
        <w:t xml:space="preserve">Nat Commun</w:t>
      </w:r>
      <w:r>
        <w:t xml:space="preserve"> </w:t>
      </w:r>
      <w:r>
        <w:t xml:space="preserve">· Chronic oxytocin administration stimulates the oxytocinergic system in children with autism. PMID 38167302</w:t>
      </w:r>
    </w:p>
    <w:p>
      <w:pPr>
        <w:numPr>
          <w:ilvl w:val="0"/>
          <w:numId w:val="1419"/>
        </w:numPr>
        <w:pStyle w:val="Compact"/>
      </w:pPr>
      <w:r>
        <w:t xml:space="preserve">2024 · Maoz H ·</w:t>
      </w:r>
      <w:r>
        <w:t xml:space="preserve"> </w:t>
      </w:r>
      <w:r>
        <w:rPr>
          <w:iCs/>
          <w:i/>
        </w:rPr>
        <w:t xml:space="preserve">J Affect Disord</w:t>
      </w:r>
      <w:r>
        <w:t xml:space="preserve"> </w:t>
      </w:r>
      <w:r>
        <w:t xml:space="preserve">· Intranasal oxytocin as an adjunct treatment among patients with severe major depression with and without comorbid borderline personality disorder. PMID 37992767</w:t>
      </w:r>
    </w:p>
    <w:p>
      <w:pPr>
        <w:numPr>
          <w:ilvl w:val="0"/>
          <w:numId w:val="1419"/>
        </w:numPr>
        <w:pStyle w:val="Compact"/>
      </w:pPr>
      <w:r>
        <w:t xml:space="preserve">2024 · Xiao S ·</w:t>
      </w:r>
      <w:r>
        <w:t xml:space="preserve"> </w:t>
      </w:r>
      <w:r>
        <w:rPr>
          <w:iCs/>
          <w:i/>
        </w:rPr>
        <w:t xml:space="preserve">Psychoneuroendocrinology</w:t>
      </w:r>
      <w:r>
        <w:t xml:space="preserve"> </w:t>
      </w:r>
      <w:r>
        <w:t xml:space="preserve">· Age-dependent effects of oxytocin in brain regions enriched with oxytocin receptors. PMID 37951085</w:t>
      </w:r>
    </w:p>
    <w:p>
      <w:pPr>
        <w:numPr>
          <w:ilvl w:val="0"/>
          <w:numId w:val="1419"/>
        </w:numPr>
        <w:pStyle w:val="Compact"/>
      </w:pPr>
      <w:r>
        <w:t xml:space="preserve">2023 · Alaerts K ·</w:t>
      </w:r>
      <w:r>
        <w:t xml:space="preserve"> </w:t>
      </w:r>
      <w:r>
        <w:rPr>
          <w:iCs/>
          <w:i/>
        </w:rPr>
        <w:t xml:space="preserve">Psychother Psychosom</w:t>
      </w:r>
      <w:r>
        <w:t xml:space="preserve"> </w:t>
      </w:r>
      <w:r>
        <w:t xml:space="preserve">· At the Head and Heart of Oxytocin’s Stress-Regulatory Neural and Cardiac Effects: A Chronic Administration RCT in Children with Autism. PMID 37820592</w:t>
      </w:r>
    </w:p>
    <w:p>
      <w:pPr>
        <w:numPr>
          <w:ilvl w:val="0"/>
          <w:numId w:val="1419"/>
        </w:numPr>
        <w:pStyle w:val="Compact"/>
      </w:pPr>
      <w:r>
        <w:t xml:space="preserve">2023 · Wright KA ·</w:t>
      </w:r>
      <w:r>
        <w:t xml:space="preserve"> </w:t>
      </w:r>
      <w:r>
        <w:rPr>
          <w:iCs/>
          <w:i/>
        </w:rPr>
        <w:t xml:space="preserve">Horm Behav</w:t>
      </w:r>
      <w:r>
        <w:t xml:space="preserve"> </w:t>
      </w:r>
      <w:r>
        <w:t xml:space="preserve">· Four-week intranasal oxytocin administration reduces attachment avoidance in older women. PMID 37659357</w:t>
      </w:r>
    </w:p>
    <w:p>
      <w:pPr>
        <w:numPr>
          <w:ilvl w:val="0"/>
          <w:numId w:val="1419"/>
        </w:numPr>
        <w:pStyle w:val="Compact"/>
      </w:pPr>
      <w:r>
        <w:t xml:space="preserve">2023 · Vogt C ·</w:t>
      </w:r>
      <w:r>
        <w:t xml:space="preserve"> </w:t>
      </w:r>
      <w:r>
        <w:rPr>
          <w:iCs/>
          <w:i/>
        </w:rPr>
        <w:t xml:space="preserve">Soc Cogn Affect Neurosci</w:t>
      </w:r>
      <w:r>
        <w:t xml:space="preserve"> </w:t>
      </w:r>
      <w:r>
        <w:t xml:space="preserve">· Oxytocinergic modulation of speech production-a double-blind placebo-controlled fMRI study. PMID 37384576</w:t>
      </w:r>
    </w:p>
    <w:p>
      <w:pPr>
        <w:numPr>
          <w:ilvl w:val="0"/>
          <w:numId w:val="1419"/>
        </w:numPr>
        <w:pStyle w:val="Compact"/>
      </w:pPr>
      <w:r>
        <w:t xml:space="preserve">2023 · Lin C ·</w:t>
      </w:r>
      <w:r>
        <w:t xml:space="preserve"> </w:t>
      </w:r>
      <w:r>
        <w:rPr>
          <w:iCs/>
          <w:i/>
        </w:rPr>
        <w:t xml:space="preserve">Physiol Behav</w:t>
      </w:r>
      <w:r>
        <w:t xml:space="preserve"> </w:t>
      </w:r>
      <w:r>
        <w:t xml:space="preserve">· The relationship between oxytocin and empathy for others’ pain: Testing the mediating effect of first-hand pain sensitivity. PMID 37301493</w:t>
      </w:r>
    </w:p>
    <w:p>
      <w:pPr>
        <w:numPr>
          <w:ilvl w:val="0"/>
          <w:numId w:val="1419"/>
        </w:numPr>
        <w:pStyle w:val="Compact"/>
      </w:pPr>
      <w:r>
        <w:t xml:space="preserve">2023 · Moerkerke M ·</w:t>
      </w:r>
      <w:r>
        <w:t xml:space="preserve"> </w:t>
      </w:r>
      <w:r>
        <w:rPr>
          <w:iCs/>
          <w:i/>
        </w:rPr>
        <w:t xml:space="preserve">J Child Psychol Psychiatry</w:t>
      </w:r>
      <w:r>
        <w:t xml:space="preserve"> </w:t>
      </w:r>
      <w:r>
        <w:t xml:space="preserve">· Can repeated intranasal oxytocin administration affect reduced neural sensitivity towards expressive faces in autism? A randomized controlled trial. PMID 37278339</w:t>
      </w:r>
    </w:p>
    <w:p>
      <w:pPr>
        <w:numPr>
          <w:ilvl w:val="0"/>
          <w:numId w:val="1419"/>
        </w:numPr>
        <w:pStyle w:val="Compact"/>
      </w:pPr>
      <w:r>
        <w:t xml:space="preserve">2023 · Chen Y ·</w:t>
      </w:r>
      <w:r>
        <w:t xml:space="preserve"> </w:t>
      </w:r>
      <w:r>
        <w:rPr>
          <w:iCs/>
          <w:i/>
        </w:rPr>
        <w:t xml:space="preserve">Elife</w:t>
      </w:r>
      <w:r>
        <w:t xml:space="preserve"> </w:t>
      </w:r>
      <w:r>
        <w:t xml:space="preserve">· Oxytocin administration enhances pleasantness and neural responses to gentle stroking but not moderate pressure social touch by increasing peripheral concentrations. PMID 37171081</w:t>
      </w:r>
    </w:p>
    <w:p>
      <w:pPr>
        <w:numPr>
          <w:ilvl w:val="0"/>
          <w:numId w:val="1419"/>
        </w:numPr>
        <w:pStyle w:val="Compact"/>
      </w:pPr>
      <w:r>
        <w:t xml:space="preserve">2023 · Daniels N ·</w:t>
      </w:r>
      <w:r>
        <w:t xml:space="preserve"> </w:t>
      </w:r>
      <w:r>
        <w:rPr>
          <w:iCs/>
          <w:i/>
        </w:rPr>
        <w:t xml:space="preserve">Mol Autism</w:t>
      </w:r>
      <w:r>
        <w:t xml:space="preserve"> </w:t>
      </w:r>
      <w:r>
        <w:t xml:space="preserve">· Effects of multiple-dose intranasal oxytocin administration on social responsiveness in children with autism: a randomized, placebo-controlled trial. PMID 37081454</w:t>
      </w:r>
    </w:p>
    <w:p>
      <w:pPr>
        <w:numPr>
          <w:ilvl w:val="0"/>
          <w:numId w:val="1419"/>
        </w:numPr>
        <w:pStyle w:val="Compact"/>
      </w:pPr>
      <w:r>
        <w:t xml:space="preserve">2023 · Cosme G ·</w:t>
      </w:r>
      <w:r>
        <w:t xml:space="preserve"> </w:t>
      </w:r>
      <w:r>
        <w:rPr>
          <w:iCs/>
          <w:i/>
        </w:rPr>
        <w:t xml:space="preserve">J Psychopharmacol</w:t>
      </w:r>
      <w:r>
        <w:t xml:space="preserve"> </w:t>
      </w:r>
      <w:r>
        <w:t xml:space="preserve">· Temporal profile of intranasal oxytocin in the human autonomic nervous system at rest: An electrocardiography and pupillometry study. PMID 36891949</w:t>
      </w:r>
    </w:p>
    <w:p>
      <w:pPr>
        <w:numPr>
          <w:ilvl w:val="0"/>
          <w:numId w:val="1419"/>
        </w:numPr>
        <w:pStyle w:val="Compact"/>
      </w:pPr>
      <w:r>
        <w:t xml:space="preserve">2023 · Jansen M ·</w:t>
      </w:r>
      <w:r>
        <w:t xml:space="preserve"> </w:t>
      </w:r>
      <w:r>
        <w:rPr>
          <w:iCs/>
          <w:i/>
        </w:rPr>
        <w:t xml:space="preserve">Neuroimage</w:t>
      </w:r>
      <w:r>
        <w:t xml:space="preserve"> </w:t>
      </w:r>
      <w:r>
        <w:t xml:space="preserve">· l-DOPA and oxytocin influence the neurocomputational mechanisms of self-benefitting and prosocial reinforcement learning. PMID 36848972</w:t>
      </w:r>
    </w:p>
    <w:p>
      <w:pPr>
        <w:numPr>
          <w:ilvl w:val="0"/>
          <w:numId w:val="1419"/>
        </w:numPr>
        <w:pStyle w:val="Compact"/>
      </w:pPr>
      <w:r>
        <w:t xml:space="preserve">2023 · Maslahati T ·</w:t>
      </w:r>
      <w:r>
        <w:t xml:space="preserve"> </w:t>
      </w:r>
      <w:r>
        <w:rPr>
          <w:iCs/>
          <w:i/>
        </w:rPr>
        <w:t xml:space="preserve">Transl Psychiatry</w:t>
      </w:r>
      <w:r>
        <w:t xml:space="preserve"> </w:t>
      </w:r>
      <w:r>
        <w:t xml:space="preserve">· Oxytocin vs. placebo effects on intrusive memory consolidation using a trauma film paradigm: a randomized, controlled experimental study in healthy women. PMID 36739422</w:t>
      </w:r>
    </w:p>
    <w:p>
      <w:pPr>
        <w:numPr>
          <w:ilvl w:val="0"/>
          <w:numId w:val="1419"/>
        </w:numPr>
        <w:pStyle w:val="Compact"/>
      </w:pPr>
      <w:r>
        <w:t xml:space="preserve">2023 · Vehlen A ·</w:t>
      </w:r>
      <w:r>
        <w:t xml:space="preserve"> </w:t>
      </w:r>
      <w:r>
        <w:rPr>
          <w:iCs/>
          <w:i/>
        </w:rPr>
        <w:t xml:space="preserve">J Psychiatr Res</w:t>
      </w:r>
      <w:r>
        <w:t xml:space="preserve"> </w:t>
      </w:r>
      <w:r>
        <w:t xml:space="preserve">· Reduced eye gaze during facial emotion recognition in chronic depression: Effects of intranasal oxytocin. PMID 36657314</w:t>
      </w:r>
    </w:p>
    <w:p>
      <w:pPr>
        <w:numPr>
          <w:ilvl w:val="0"/>
          <w:numId w:val="1419"/>
        </w:numPr>
        <w:pStyle w:val="Compact"/>
      </w:pPr>
      <w:r>
        <w:t xml:space="preserve">2023 · Grossman-Giron A ·</w:t>
      </w:r>
      <w:r>
        <w:t xml:space="preserve"> </w:t>
      </w:r>
      <w:r>
        <w:rPr>
          <w:iCs/>
          <w:i/>
        </w:rPr>
        <w:t xml:space="preserve">Neuropsychobiology</w:t>
      </w:r>
      <w:r>
        <w:t xml:space="preserve"> </w:t>
      </w:r>
      <w:r>
        <w:t xml:space="preserve">· Intranasal Oxytocin as Add-On Treatment for Inpatients with Severe Mental Illness: A Randomized Clinical Trial. PMID 36603563</w:t>
      </w:r>
    </w:p>
    <w:p>
      <w:pPr>
        <w:numPr>
          <w:ilvl w:val="0"/>
          <w:numId w:val="1419"/>
        </w:numPr>
        <w:pStyle w:val="Compact"/>
      </w:pPr>
      <w:r>
        <w:t xml:space="preserve">2023 · Guastella AJ ·</w:t>
      </w:r>
      <w:r>
        <w:t xml:space="preserve"> </w:t>
      </w:r>
      <w:r>
        <w:rPr>
          <w:iCs/>
          <w:i/>
        </w:rPr>
        <w:t xml:space="preserve">Mol Psychiatry</w:t>
      </w:r>
      <w:r>
        <w:t xml:space="preserve"> </w:t>
      </w:r>
      <w:r>
        <w:t xml:space="preserve">· The effect of oxytocin nasal spray on social interaction in young children with autism: a randomized clinical trial. PMID 36302965</w:t>
      </w:r>
    </w:p>
    <w:p>
      <w:pPr>
        <w:numPr>
          <w:ilvl w:val="0"/>
          <w:numId w:val="1419"/>
        </w:numPr>
        <w:pStyle w:val="Compact"/>
      </w:pPr>
      <w:r>
        <w:t xml:space="preserve">2023 · Seeley SH ·</w:t>
      </w:r>
      <w:r>
        <w:t xml:space="preserve"> </w:t>
      </w:r>
      <w:r>
        <w:rPr>
          <w:iCs/>
          <w:i/>
        </w:rPr>
        <w:t xml:space="preserve">Hum Brain Mapp</w:t>
      </w:r>
      <w:r>
        <w:t xml:space="preserve"> </w:t>
      </w:r>
      <w:r>
        <w:t xml:space="preserve">· Dwelling in prolonged grief: Resting state functional connectivity during oxytocin and placebo administration. PMID 36087094</w:t>
      </w:r>
    </w:p>
    <w:p>
      <w:pPr>
        <w:numPr>
          <w:ilvl w:val="0"/>
          <w:numId w:val="1419"/>
        </w:numPr>
        <w:pStyle w:val="Compact"/>
      </w:pPr>
      <w:r>
        <w:t xml:space="preserve">2023 · Ditzen B ·</w:t>
      </w:r>
      <w:r>
        <w:t xml:space="preserve"> </w:t>
      </w:r>
      <w:r>
        <w:rPr>
          <w:iCs/>
          <w:i/>
        </w:rPr>
        <w:t xml:space="preserve">Brain Behav Immun</w:t>
      </w:r>
      <w:r>
        <w:t xml:space="preserve"> </w:t>
      </w:r>
      <w:r>
        <w:t xml:space="preserve">· Effects of intranasal oxytocin and positive couple interaction on immune factors in skin wounds. PMID 36058418</w:t>
      </w:r>
    </w:p>
    <w:p>
      <w:pPr>
        <w:numPr>
          <w:ilvl w:val="0"/>
          <w:numId w:val="1419"/>
        </w:numPr>
        <w:pStyle w:val="Compact"/>
      </w:pPr>
      <w:r>
        <w:t xml:space="preserve">2022 · Coenjaerts M ·</w:t>
      </w:r>
      <w:r>
        <w:t xml:space="preserve"> </w:t>
      </w:r>
      <w:r>
        <w:rPr>
          <w:iCs/>
          <w:i/>
        </w:rPr>
        <w:t xml:space="preserve">Neuroimage</w:t>
      </w:r>
      <w:r>
        <w:t xml:space="preserve"> </w:t>
      </w:r>
      <w:r>
        <w:t xml:space="preserve">· Exogenous estradiol and oxytocin modulate sex differences in hippocampal reactivity during the encoding of episodic memories. PMID 36349596</w:t>
      </w:r>
    </w:p>
    <w:p>
      <w:pPr>
        <w:numPr>
          <w:ilvl w:val="0"/>
          <w:numId w:val="1419"/>
        </w:numPr>
        <w:pStyle w:val="Compact"/>
      </w:pPr>
      <w:r>
        <w:t xml:space="preserve">2022 · Melby K ·</w:t>
      </w:r>
      <w:r>
        <w:t xml:space="preserve"> </w:t>
      </w:r>
      <w:r>
        <w:rPr>
          <w:iCs/>
          <w:i/>
        </w:rPr>
        <w:t xml:space="preserve">Horm Behav</w:t>
      </w:r>
      <w:r>
        <w:t xml:space="preserve"> </w:t>
      </w:r>
      <w:r>
        <w:t xml:space="preserve">· The effect of intranasal oxytocin on processing emotional stimuli during alcohol withdrawal: A randomized placebo-controlled double-blind clinical trial. PMID 36242831</w:t>
      </w:r>
    </w:p>
    <w:p>
      <w:pPr>
        <w:numPr>
          <w:ilvl w:val="0"/>
          <w:numId w:val="1419"/>
        </w:numPr>
        <w:pStyle w:val="Compact"/>
      </w:pPr>
      <w:r>
        <w:t xml:space="preserve">2022 · Zhuang Q ·</w:t>
      </w:r>
      <w:r>
        <w:t xml:space="preserve"> </w:t>
      </w:r>
      <w:r>
        <w:rPr>
          <w:iCs/>
          <w:i/>
        </w:rPr>
        <w:t xml:space="preserve">Int J Neuropsychopharmacol</w:t>
      </w:r>
      <w:r>
        <w:t xml:space="preserve"> </w:t>
      </w:r>
      <w:r>
        <w:t xml:space="preserve">· Oral Administration of Oxytocin, Like Intranasal Administration, Decreases Top-Down Social Attention. PMID 36053298</w:t>
      </w:r>
    </w:p>
    <w:p>
      <w:pPr>
        <w:numPr>
          <w:ilvl w:val="0"/>
          <w:numId w:val="1419"/>
        </w:numPr>
        <w:pStyle w:val="Compact"/>
      </w:pPr>
      <w:r>
        <w:t xml:space="preserve">2022 · Korann V ·</w:t>
      </w:r>
      <w:r>
        <w:t xml:space="preserve"> </w:t>
      </w:r>
      <w:r>
        <w:rPr>
          <w:iCs/>
          <w:i/>
        </w:rPr>
        <w:t xml:space="preserve">Schizophr Bull</w:t>
      </w:r>
      <w:r>
        <w:t xml:space="preserve"> </w:t>
      </w:r>
      <w:r>
        <w:t xml:space="preserve">· Effect of Intranasal Oxytocin on Resting-state Effective Connectivity in Schizophrenia. PMID 35759349</w:t>
      </w:r>
    </w:p>
    <w:p>
      <w:pPr>
        <w:numPr>
          <w:ilvl w:val="0"/>
          <w:numId w:val="1419"/>
        </w:numPr>
        <w:pStyle w:val="Compact"/>
      </w:pPr>
      <w:r>
        <w:t xml:space="preserve">2022 · Flanagan JC ·</w:t>
      </w:r>
      <w:r>
        <w:t xml:space="preserve"> </w:t>
      </w:r>
      <w:r>
        <w:rPr>
          <w:iCs/>
          <w:i/>
        </w:rPr>
        <w:t xml:space="preserve">J Psychiatr Res</w:t>
      </w:r>
      <w:r>
        <w:t xml:space="preserve"> </w:t>
      </w:r>
      <w:r>
        <w:t xml:space="preserve">· A randomized controlled trial examining the effects of intranasal oxytocin on alcohol craving and intimate partner aggression among couples. PMID 35709548</w:t>
      </w:r>
    </w:p>
    <w:p>
      <w:pPr>
        <w:numPr>
          <w:ilvl w:val="0"/>
          <w:numId w:val="1419"/>
        </w:numPr>
        <w:pStyle w:val="Compact"/>
      </w:pPr>
      <w:r>
        <w:t xml:space="preserve">2022 · Doppler CEJ ·</w:t>
      </w:r>
      <w:r>
        <w:t xml:space="preserve"> </w:t>
      </w:r>
      <w:r>
        <w:rPr>
          <w:iCs/>
          <w:i/>
        </w:rPr>
        <w:t xml:space="preserve">Psychoneuroendocrinology</w:t>
      </w:r>
      <w:r>
        <w:t xml:space="preserve"> </w:t>
      </w:r>
      <w:r>
        <w:t xml:space="preserve">· Intranasal oxytocin attenuates the effects of monetary feedback on procedural learning. PMID 35689985</w:t>
      </w:r>
    </w:p>
    <w:p>
      <w:pPr>
        <w:numPr>
          <w:ilvl w:val="0"/>
          <w:numId w:val="1419"/>
        </w:numPr>
        <w:pStyle w:val="Compact"/>
      </w:pPr>
      <w:r>
        <w:t xml:space="preserve">2022 · Le J ·</w:t>
      </w:r>
      <w:r>
        <w:t xml:space="preserve"> </w:t>
      </w:r>
      <w:r>
        <w:rPr>
          <w:iCs/>
          <w:i/>
        </w:rPr>
        <w:t xml:space="preserve">Psychother Psychosom</w:t>
      </w:r>
      <w:r>
        <w:t xml:space="preserve"> </w:t>
      </w:r>
      <w:r>
        <w:t xml:space="preserve">· Infrequent Intranasal Oxytocin Followed by Positive Social Interaction Improves Symptoms in Autistic Children: A Pilot Randomized Clinical Trial. PMID 35545057</w:t>
      </w:r>
    </w:p>
    <w:p>
      <w:pPr>
        <w:numPr>
          <w:ilvl w:val="0"/>
          <w:numId w:val="1419"/>
        </w:numPr>
        <w:pStyle w:val="Compact"/>
      </w:pPr>
      <w:r>
        <w:t xml:space="preserve">2022 · Doerr JM ·</w:t>
      </w:r>
      <w:r>
        <w:t xml:space="preserve"> </w:t>
      </w:r>
      <w:r>
        <w:rPr>
          <w:iCs/>
          <w:i/>
        </w:rPr>
        <w:t xml:space="preserve">Psychosom Med</w:t>
      </w:r>
      <w:r>
        <w:t xml:space="preserve"> </w:t>
      </w:r>
      <w:r>
        <w:t xml:space="preserve">· The Effect of Intranasal Oxytocin on the Association Between Couple Interaction and Sleep: A Placebo-Controlled Study. PMID 35472193</w:t>
      </w:r>
    </w:p>
    <w:p>
      <w:pPr>
        <w:numPr>
          <w:ilvl w:val="0"/>
          <w:numId w:val="1419"/>
        </w:numPr>
        <w:pStyle w:val="Compact"/>
      </w:pPr>
      <w:r>
        <w:t xml:space="preserve">2022 · Back SN ·</w:t>
      </w:r>
      <w:r>
        <w:t xml:space="preserve"> </w:t>
      </w:r>
      <w:r>
        <w:rPr>
          <w:iCs/>
          <w:i/>
        </w:rPr>
        <w:t xml:space="preserve">J Neural Transm (Vienna)</w:t>
      </w:r>
      <w:r>
        <w:t xml:space="preserve"> </w:t>
      </w:r>
      <w:r>
        <w:t xml:space="preserve">· Reduced vagal activity in borderline personality disorder is unaffected by intranasal oxytocin administration, but predicted by the interaction between childhood trauma and attachment insecurity. PMID 35275249</w:t>
      </w:r>
    </w:p>
    <w:p>
      <w:pPr>
        <w:numPr>
          <w:ilvl w:val="0"/>
          <w:numId w:val="1419"/>
        </w:numPr>
        <w:pStyle w:val="Compact"/>
      </w:pPr>
      <w:r>
        <w:t xml:space="preserve">2022 · Liu P ·</w:t>
      </w:r>
      <w:r>
        <w:t xml:space="preserve"> </w:t>
      </w:r>
      <w:r>
        <w:rPr>
          <w:iCs/>
          <w:i/>
        </w:rPr>
        <w:t xml:space="preserve">Neuroimage</w:t>
      </w:r>
      <w:r>
        <w:t xml:space="preserve"> </w:t>
      </w:r>
      <w:r>
        <w:t xml:space="preserve">· Intranasal oxytocin modulates the salience network in aging. PMID 35259525</w:t>
      </w:r>
    </w:p>
    <w:p>
      <w:pPr>
        <w:numPr>
          <w:ilvl w:val="0"/>
          <w:numId w:val="1419"/>
        </w:numPr>
        <w:pStyle w:val="Compact"/>
      </w:pPr>
      <w:r>
        <w:t xml:space="preserve">2022 · Kou J ·</w:t>
      </w:r>
      <w:r>
        <w:t xml:space="preserve"> </w:t>
      </w:r>
      <w:r>
        <w:rPr>
          <w:iCs/>
          <w:i/>
        </w:rPr>
        <w:t xml:space="preserve">Psychother Psychosom</w:t>
      </w:r>
      <w:r>
        <w:t xml:space="preserve"> </w:t>
      </w:r>
      <w:r>
        <w:t xml:space="preserve">· Anxiolytic Effects of Chronic Intranasal Oxytocin on Neural Responses to Threat Are Dose-Frequency Dependent. PMID 35086102</w:t>
      </w:r>
    </w:p>
    <w:p>
      <w:pPr>
        <w:numPr>
          <w:ilvl w:val="0"/>
          <w:numId w:val="1419"/>
        </w:numPr>
        <w:pStyle w:val="Compact"/>
      </w:pPr>
      <w:r>
        <w:t xml:space="preserve">2022 · Yamasue H ·</w:t>
      </w:r>
      <w:r>
        <w:t xml:space="preserve"> </w:t>
      </w:r>
      <w:r>
        <w:rPr>
          <w:iCs/>
          <w:i/>
        </w:rPr>
        <w:t xml:space="preserve">Brain</w:t>
      </w:r>
      <w:r>
        <w:t xml:space="preserve"> </w:t>
      </w:r>
      <w:r>
        <w:t xml:space="preserve">· Effect of a novel nasal oxytocin spray with enhanced bioavailability on autism: a randomized trial. PMID 35067719</w:t>
      </w:r>
    </w:p>
    <w:p>
      <w:pPr>
        <w:numPr>
          <w:ilvl w:val="0"/>
          <w:numId w:val="1419"/>
        </w:numPr>
        <w:pStyle w:val="Compact"/>
      </w:pPr>
      <w:r>
        <w:t xml:space="preserve">2022 · Stauffer CS ·</w:t>
      </w:r>
      <w:r>
        <w:t xml:space="preserve"> </w:t>
      </w:r>
      <w:r>
        <w:rPr>
          <w:iCs/>
          <w:i/>
        </w:rPr>
        <w:t xml:space="preserve">Psychiatry Res</w:t>
      </w:r>
      <w:r>
        <w:t xml:space="preserve"> </w:t>
      </w:r>
      <w:r>
        <w:t xml:space="preserve">· Effects of oxytocin administration on fear-potentiated acoustic startle in co-occurring PTSD and alcohol use disorder: A randomized clinical trial. PMID 34983010</w:t>
      </w:r>
    </w:p>
    <w:p>
      <w:pPr>
        <w:numPr>
          <w:ilvl w:val="0"/>
          <w:numId w:val="1419"/>
        </w:numPr>
        <w:pStyle w:val="Compact"/>
      </w:pPr>
      <w:r>
        <w:t xml:space="preserve">2022 · Ma Y ·</w:t>
      </w:r>
      <w:r>
        <w:t xml:space="preserve"> </w:t>
      </w:r>
      <w:r>
        <w:rPr>
          <w:iCs/>
          <w:i/>
        </w:rPr>
        <w:t xml:space="preserve">Int J Psychophysiol</w:t>
      </w:r>
      <w:r>
        <w:t xml:space="preserve"> </w:t>
      </w:r>
      <w:r>
        <w:t xml:space="preserve">· Adult attachment style moderates the effect of oxytocin on neural responses to infant emotional faces. PMID 34919983</w:t>
      </w:r>
    </w:p>
    <w:p>
      <w:pPr>
        <w:numPr>
          <w:ilvl w:val="0"/>
          <w:numId w:val="1419"/>
        </w:numPr>
        <w:pStyle w:val="Compact"/>
      </w:pPr>
      <w:r>
        <w:t xml:space="preserve">2022 · Schultebraucks K ·</w:t>
      </w:r>
      <w:r>
        <w:t xml:space="preserve"> </w:t>
      </w:r>
      <w:r>
        <w:rPr>
          <w:iCs/>
          <w:i/>
        </w:rPr>
        <w:t xml:space="preserve">Neuropsychopharmacology</w:t>
      </w:r>
      <w:r>
        <w:t xml:space="preserve"> </w:t>
      </w:r>
      <w:r>
        <w:t xml:space="preserve">· Intranasal oxytocin administration impacts the acquisition and consolidation of trauma-associated memories: a double-blind randomized placebo-controlled experimental study in healthy women. PMID 34887528</w:t>
      </w:r>
    </w:p>
    <w:p>
      <w:pPr>
        <w:numPr>
          <w:ilvl w:val="0"/>
          <w:numId w:val="1419"/>
        </w:numPr>
        <w:pStyle w:val="Compact"/>
      </w:pPr>
      <w:r>
        <w:t xml:space="preserve">2022 · Lindley Baron-Cohen K ·</w:t>
      </w:r>
      <w:r>
        <w:t xml:space="preserve"> </w:t>
      </w:r>
      <w:r>
        <w:rPr>
          <w:iCs/>
          <w:i/>
        </w:rPr>
        <w:t xml:space="preserve">J Affect Disord</w:t>
      </w:r>
      <w:r>
        <w:t xml:space="preserve"> </w:t>
      </w:r>
      <w:r>
        <w:t xml:space="preserve">· Intranasal oxytocin administration improves mood in new mothers with moderate low mood but not in mothers with elevated symptoms of postnatal depression: A randomised controlled trial. PMID 34843839</w:t>
      </w:r>
    </w:p>
    <w:p>
      <w:pPr>
        <w:numPr>
          <w:ilvl w:val="0"/>
          <w:numId w:val="1419"/>
        </w:numPr>
        <w:pStyle w:val="Compact"/>
      </w:pPr>
      <w:r>
        <w:t xml:space="preserve">2022 · Kou J ·</w:t>
      </w:r>
      <w:r>
        <w:t xml:space="preserve"> </w:t>
      </w:r>
      <w:r>
        <w:rPr>
          <w:iCs/>
          <w:i/>
        </w:rPr>
        <w:t xml:space="preserve">Psychol Med</w:t>
      </w:r>
      <w:r>
        <w:t xml:space="preserve"> </w:t>
      </w:r>
      <w:r>
        <w:t xml:space="preserve">· A randomized trial shows dose-frequency and genotype may determine the therapeutic efficacy of intranasal oxytocin. PMID 33272333</w:t>
      </w:r>
    </w:p>
    <w:p>
      <w:pPr>
        <w:numPr>
          <w:ilvl w:val="0"/>
          <w:numId w:val="1419"/>
        </w:numPr>
        <w:pStyle w:val="Compact"/>
      </w:pPr>
      <w:r>
        <w:t xml:space="preserve">2021 · Sikich L ·</w:t>
      </w:r>
      <w:r>
        <w:t xml:space="preserve"> </w:t>
      </w:r>
      <w:r>
        <w:rPr>
          <w:iCs/>
          <w:i/>
        </w:rPr>
        <w:t xml:space="preserve">N Engl J Med</w:t>
      </w:r>
      <w:r>
        <w:t xml:space="preserve"> </w:t>
      </w:r>
      <w:r>
        <w:t xml:space="preserve">· Intranasal Oxytocin in Children and Adolescents with Autism Spectrum Disorder. PMID 34644471</w:t>
      </w:r>
    </w:p>
    <w:p>
      <w:pPr>
        <w:numPr>
          <w:ilvl w:val="0"/>
          <w:numId w:val="1419"/>
        </w:numPr>
        <w:pStyle w:val="Compact"/>
      </w:pPr>
      <w:r>
        <w:t xml:space="preserve">2021 · Fastman J ·</w:t>
      </w:r>
      <w:r>
        <w:t xml:space="preserve"> </w:t>
      </w:r>
      <w:r>
        <w:rPr>
          <w:iCs/>
          <w:i/>
        </w:rPr>
        <w:t xml:space="preserve">Mol Autism</w:t>
      </w:r>
      <w:r>
        <w:t xml:space="preserve"> </w:t>
      </w:r>
      <w:r>
        <w:t xml:space="preserve">· A randomized controlled trial of intranasal oxytocin in Phelan-McDermid syndrome. PMID 34593045</w:t>
      </w:r>
    </w:p>
    <w:p>
      <w:pPr>
        <w:numPr>
          <w:ilvl w:val="0"/>
          <w:numId w:val="1419"/>
        </w:numPr>
        <w:pStyle w:val="Compact"/>
      </w:pPr>
      <w:r>
        <w:t xml:space="preserve">2021 · Zhuang Q ·</w:t>
      </w:r>
      <w:r>
        <w:t xml:space="preserve"> </w:t>
      </w:r>
      <w:r>
        <w:rPr>
          <w:iCs/>
          <w:i/>
        </w:rPr>
        <w:t xml:space="preserve">Psychoneuroendocrinology</w:t>
      </w:r>
      <w:r>
        <w:t xml:space="preserve"> </w:t>
      </w:r>
      <w:r>
        <w:t xml:space="preserve">· Intranasal vasopressin like oxytocin increases social attention by influencing top-down control, but additionally enhances bottom-up control. PMID 34537624</w:t>
      </w:r>
    </w:p>
    <w:p>
      <w:pPr>
        <w:numPr>
          <w:ilvl w:val="0"/>
          <w:numId w:val="1419"/>
        </w:numPr>
        <w:pStyle w:val="Compact"/>
      </w:pPr>
      <w:r>
        <w:t xml:space="preserve">2021 · Zhang X ·</w:t>
      </w:r>
      <w:r>
        <w:t xml:space="preserve"> </w:t>
      </w:r>
      <w:r>
        <w:rPr>
          <w:iCs/>
          <w:i/>
        </w:rPr>
        <w:t xml:space="preserve">Psychoneuroendocrinology</w:t>
      </w:r>
      <w:r>
        <w:t xml:space="preserve"> </w:t>
      </w:r>
      <w:r>
        <w:t xml:space="preserve">· Oxytocin reduces romantic rejection-induced pain in online speed-dating as revealed by decreased frontal-midline theta oscillations. PMID 34537623</w:t>
      </w:r>
    </w:p>
    <w:p>
      <w:pPr>
        <w:numPr>
          <w:ilvl w:val="0"/>
          <w:numId w:val="1419"/>
        </w:numPr>
        <w:pStyle w:val="Compact"/>
      </w:pPr>
      <w:r>
        <w:t xml:space="preserve">2021 · Sippel LM ·</w:t>
      </w:r>
      <w:r>
        <w:t xml:space="preserve"> </w:t>
      </w:r>
      <w:r>
        <w:rPr>
          <w:iCs/>
          <w:i/>
        </w:rPr>
        <w:t xml:space="preserve">Psychiatry Res Neuroimaging</w:t>
      </w:r>
      <w:r>
        <w:t xml:space="preserve"> </w:t>
      </w:r>
      <w:r>
        <w:t xml:space="preserve">· Effects of intranasal oxytocin on threat- and reward-related functional connectivity in men and women with and without childhood abuse-related PTSD. PMID 34455213</w:t>
      </w:r>
    </w:p>
    <w:p>
      <w:pPr>
        <w:numPr>
          <w:ilvl w:val="0"/>
          <w:numId w:val="1419"/>
        </w:numPr>
        <w:pStyle w:val="Compact"/>
      </w:pPr>
      <w:r>
        <w:t xml:space="preserve">2021 · Henningsson S ·</w:t>
      </w:r>
      <w:r>
        <w:t xml:space="preserve"> </w:t>
      </w:r>
      <w:r>
        <w:rPr>
          <w:iCs/>
          <w:i/>
        </w:rPr>
        <w:t xml:space="preserve">Biol Psychol</w:t>
      </w:r>
      <w:r>
        <w:t xml:space="preserve"> </w:t>
      </w:r>
      <w:r>
        <w:t xml:space="preserve">· A randomized placebo-controlled intranasal oxytocin study on first impressions and reactions to social rejection. PMID 34331996</w:t>
      </w:r>
    </w:p>
    <w:p>
      <w:pPr>
        <w:numPr>
          <w:ilvl w:val="0"/>
          <w:numId w:val="1419"/>
        </w:numPr>
        <w:pStyle w:val="Compact"/>
      </w:pPr>
      <w:r>
        <w:t xml:space="preserve">2021 · Cherki BR ·</w:t>
      </w:r>
      <w:r>
        <w:t xml:space="preserve"> </w:t>
      </w:r>
      <w:r>
        <w:rPr>
          <w:iCs/>
          <w:i/>
        </w:rPr>
        <w:t xml:space="preserve">Psychoneuroendocrinology</w:t>
      </w:r>
      <w:r>
        <w:t xml:space="preserve"> </w:t>
      </w:r>
      <w:r>
        <w:t xml:space="preserve">· Intranasal oxytocin, testosterone reactivity, and human competitiveness. PMID 34298279</w:t>
      </w:r>
    </w:p>
    <w:p>
      <w:pPr>
        <w:numPr>
          <w:ilvl w:val="0"/>
          <w:numId w:val="1419"/>
        </w:numPr>
        <w:pStyle w:val="Compact"/>
      </w:pPr>
      <w:r>
        <w:t xml:space="preserve">2021 · Melkonian AJ ·</w:t>
      </w:r>
      <w:r>
        <w:t xml:space="preserve"> </w:t>
      </w:r>
      <w:r>
        <w:rPr>
          <w:iCs/>
          <w:i/>
        </w:rPr>
        <w:t xml:space="preserve">J Clin Psychopharmacol</w:t>
      </w:r>
      <w:r>
        <w:t xml:space="preserve"> </w:t>
      </w:r>
      <w:r>
        <w:t xml:space="preserve">· Craving Moderates the Effects of Intranasal Oxytocin on Anger in Response to Social Stress Among Veterans With Co-Occurring Posttraumatic Stress Disorder and Alcohol Use Disorder. PMID 34121063</w:t>
      </w:r>
    </w:p>
    <w:p>
      <w:pPr>
        <w:numPr>
          <w:ilvl w:val="0"/>
          <w:numId w:val="1419"/>
        </w:numPr>
        <w:pStyle w:val="Compact"/>
      </w:pPr>
      <w:r>
        <w:t xml:space="preserve">2021 · Le J ·</w:t>
      </w:r>
      <w:r>
        <w:t xml:space="preserve"> </w:t>
      </w:r>
      <w:r>
        <w:rPr>
          <w:iCs/>
          <w:i/>
        </w:rPr>
        <w:t xml:space="preserve">Psychophysiology</w:t>
      </w:r>
      <w:r>
        <w:t xml:space="preserve"> </w:t>
      </w:r>
      <w:r>
        <w:t xml:space="preserve">· Oxytocin facilitates socially directed attention. PMID 34032304</w:t>
      </w:r>
    </w:p>
    <w:p>
      <w:pPr>
        <w:numPr>
          <w:ilvl w:val="0"/>
          <w:numId w:val="1419"/>
        </w:numPr>
        <w:pStyle w:val="Compact"/>
      </w:pPr>
      <w:r>
        <w:t xml:space="preserve">2021 · Espinoza SE ·</w:t>
      </w:r>
      <w:r>
        <w:t xml:space="preserve"> </w:t>
      </w:r>
      <w:r>
        <w:rPr>
          <w:iCs/>
          <w:i/>
        </w:rPr>
        <w:t xml:space="preserve">J Am Med Dir Assoc</w:t>
      </w:r>
      <w:r>
        <w:t xml:space="preserve"> </w:t>
      </w:r>
      <w:r>
        <w:t xml:space="preserve">· Intranasal Oxytocin Improves Lean Muscle Mass and Lowers LDL Cholesterol in Older Adults with Sarcopenic Obesity: A Pilot Randomized Controlled Trial. PMID 34029521</w:t>
      </w:r>
    </w:p>
    <w:p>
      <w:pPr>
        <w:numPr>
          <w:ilvl w:val="0"/>
          <w:numId w:val="1419"/>
        </w:numPr>
        <w:pStyle w:val="Compact"/>
      </w:pPr>
      <w:r>
        <w:t xml:space="preserve">2021 · Rung JM ·</w:t>
      </w:r>
      <w:r>
        <w:t xml:space="preserve"> </w:t>
      </w:r>
      <w:r>
        <w:rPr>
          <w:iCs/>
          <w:i/>
        </w:rPr>
        <w:t xml:space="preserve">Psychopharmacology (Berl)</w:t>
      </w:r>
      <w:r>
        <w:t xml:space="preserve"> </w:t>
      </w:r>
      <w:r>
        <w:t xml:space="preserve">· Safety and tolerability of chronic intranasal oxytocin in older men: results from a randomized controlled trial. PMID 33982141</w:t>
      </w:r>
    </w:p>
    <w:p>
      <w:pPr>
        <w:numPr>
          <w:ilvl w:val="0"/>
          <w:numId w:val="1419"/>
        </w:numPr>
        <w:pStyle w:val="Compact"/>
      </w:pPr>
      <w:r>
        <w:t xml:space="preserve">2021 · Wong SF ·</w:t>
      </w:r>
      <w:r>
        <w:t xml:space="preserve"> </w:t>
      </w:r>
      <w:r>
        <w:rPr>
          <w:iCs/>
          <w:i/>
        </w:rPr>
        <w:t xml:space="preserve">Int J Psychophysiol</w:t>
      </w:r>
      <w:r>
        <w:t xml:space="preserve"> </w:t>
      </w:r>
      <w:r>
        <w:t xml:space="preserve">· Intranasal oxytocin increases state anhedonia following imagery training of positive social outcomes in individuals lower in extraversion, trust-altruism, and openness to experience. PMID 33839197</w:t>
      </w:r>
    </w:p>
    <w:p>
      <w:pPr>
        <w:numPr>
          <w:ilvl w:val="0"/>
          <w:numId w:val="1419"/>
        </w:numPr>
        <w:pStyle w:val="Compact"/>
      </w:pPr>
      <w:r>
        <w:t xml:space="preserve">2021 · Kapetaniou GE ·</w:t>
      </w:r>
      <w:r>
        <w:t xml:space="preserve"> </w:t>
      </w:r>
      <w:r>
        <w:rPr>
          <w:iCs/>
          <w:i/>
        </w:rPr>
        <w:t xml:space="preserve">Elife</w:t>
      </w:r>
      <w:r>
        <w:t xml:space="preserve"> </w:t>
      </w:r>
      <w:r>
        <w:t xml:space="preserve">· The role of oxytocin in delay of gratification and flexibility in non-social decision making. PMID 33821797</w:t>
      </w:r>
    </w:p>
    <w:p>
      <w:pPr>
        <w:numPr>
          <w:ilvl w:val="0"/>
          <w:numId w:val="1419"/>
        </w:numPr>
        <w:pStyle w:val="Compact"/>
      </w:pPr>
      <w:r>
        <w:t xml:space="preserve">2021 · Buchanan RW ·</w:t>
      </w:r>
      <w:r>
        <w:t xml:space="preserve"> </w:t>
      </w:r>
      <w:r>
        <w:rPr>
          <w:iCs/>
          <w:i/>
        </w:rPr>
        <w:t xml:space="preserve">J Clin Psychopharmacol</w:t>
      </w:r>
      <w:r>
        <w:t xml:space="preserve"> </w:t>
      </w:r>
      <w:r>
        <w:t xml:space="preserve">· Combined Oxytocin and Cognitive Behavioral Social Skills Training for Social Function in People With Schizophrenia. PMID 33783399</w:t>
      </w:r>
    </w:p>
    <w:p>
      <w:pPr>
        <w:numPr>
          <w:ilvl w:val="0"/>
          <w:numId w:val="1419"/>
        </w:numPr>
        <w:pStyle w:val="Compact"/>
      </w:pPr>
      <w:r>
        <w:t xml:space="preserve">2021 · Kato Y ·</w:t>
      </w:r>
      <w:r>
        <w:t xml:space="preserve"> </w:t>
      </w:r>
      <w:r>
        <w:rPr>
          <w:iCs/>
          <w:i/>
        </w:rPr>
        <w:t xml:space="preserve">Mol Autism</w:t>
      </w:r>
      <w:r>
        <w:t xml:space="preserve"> </w:t>
      </w:r>
      <w:r>
        <w:t xml:space="preserve">· Oxytocin-induced increase in N,N-dimethylglycine and time course of changes in oxytocin efficacy for autism social core symptoms. PMID 33622389</w:t>
      </w:r>
    </w:p>
    <w:p>
      <w:pPr>
        <w:numPr>
          <w:ilvl w:val="0"/>
          <w:numId w:val="1419"/>
        </w:numPr>
        <w:pStyle w:val="Compact"/>
      </w:pPr>
      <w:r>
        <w:t xml:space="preserve">2021 · Zheng X ·</w:t>
      </w:r>
      <w:r>
        <w:t xml:space="preserve"> </w:t>
      </w:r>
      <w:r>
        <w:rPr>
          <w:iCs/>
          <w:i/>
        </w:rPr>
        <w:t xml:space="preserve">J Psychopharmacol</w:t>
      </w:r>
      <w:r>
        <w:t xml:space="preserve"> </w:t>
      </w:r>
      <w:r>
        <w:t xml:space="preserve">· Intranasal oxytocin may help maintain romantic bonds by decreasing jealousy evoked by either imagined or real partner infidelity. PMID 33601928</w:t>
      </w:r>
    </w:p>
    <w:p>
      <w:pPr>
        <w:numPr>
          <w:ilvl w:val="0"/>
          <w:numId w:val="1419"/>
        </w:numPr>
        <w:pStyle w:val="Compact"/>
      </w:pPr>
      <w:r>
        <w:t xml:space="preserve">2021 · Andari E ·</w:t>
      </w:r>
      <w:r>
        <w:t xml:space="preserve"> </w:t>
      </w:r>
      <w:r>
        <w:rPr>
          <w:iCs/>
          <w:i/>
        </w:rPr>
        <w:t xml:space="preserve">J Clin Psychopharmacol</w:t>
      </w:r>
      <w:r>
        <w:t xml:space="preserve"> </w:t>
      </w:r>
      <w:r>
        <w:t xml:space="preserve">· Effects of Oxytocin on Emotion Recognition in Schizophrenia: A Randomized Double-Blind Pilot Study. PMID 33587397</w:t>
      </w:r>
    </w:p>
    <w:p>
      <w:pPr>
        <w:numPr>
          <w:ilvl w:val="0"/>
          <w:numId w:val="1419"/>
        </w:numPr>
        <w:pStyle w:val="Compact"/>
      </w:pPr>
      <w:r>
        <w:t xml:space="preserve">2021 · Kou J ·</w:t>
      </w:r>
      <w:r>
        <w:t xml:space="preserve"> </w:t>
      </w:r>
      <w:r>
        <w:rPr>
          <w:iCs/>
          <w:i/>
        </w:rPr>
        <w:t xml:space="preserve">Transl Psychiatry</w:t>
      </w:r>
      <w:r>
        <w:t xml:space="preserve"> </w:t>
      </w:r>
      <w:r>
        <w:t xml:space="preserve">· In the nose or on the tongue? Contrasting motivational effects of oral and intranasal oxytocin on arousal and reward during social processing. PMID 33542175</w:t>
      </w:r>
    </w:p>
    <w:p>
      <w:pPr>
        <w:numPr>
          <w:ilvl w:val="0"/>
          <w:numId w:val="1419"/>
        </w:numPr>
        <w:pStyle w:val="Compact"/>
      </w:pPr>
      <w:r>
        <w:t xml:space="preserve">2021 · Martins D ·</w:t>
      </w:r>
      <w:r>
        <w:t xml:space="preserve"> </w:t>
      </w:r>
      <w:r>
        <w:rPr>
          <w:iCs/>
          <w:i/>
        </w:rPr>
        <w:t xml:space="preserve">Commun Biol</w:t>
      </w:r>
      <w:r>
        <w:t xml:space="preserve"> </w:t>
      </w:r>
      <w:r>
        <w:t xml:space="preserve">· Oxytocin modulates local topography of human functional connectome in healthy men at rest. PMID 33452496</w:t>
      </w:r>
    </w:p>
    <w:p>
      <w:pPr>
        <w:numPr>
          <w:ilvl w:val="0"/>
          <w:numId w:val="1419"/>
        </w:numPr>
        <w:pStyle w:val="Compact"/>
      </w:pPr>
      <w:r>
        <w:t xml:space="preserve">2021 · Melby K ·</w:t>
      </w:r>
      <w:r>
        <w:t xml:space="preserve"> </w:t>
      </w:r>
      <w:r>
        <w:rPr>
          <w:iCs/>
          <w:i/>
        </w:rPr>
        <w:t xml:space="preserve">Alcohol Alcohol</w:t>
      </w:r>
      <w:r>
        <w:t xml:space="preserve"> </w:t>
      </w:r>
      <w:r>
        <w:t xml:space="preserve">· Efficacy of Self-Administered Intranasal Oxytocin on Alcohol Use and Craving After Detoxification in Patients With Alcohol Dependence. A Double-Blind Placebo-Controlled Trial. PMID 33352584</w:t>
      </w:r>
    </w:p>
    <w:p>
      <w:pPr>
        <w:numPr>
          <w:ilvl w:val="0"/>
          <w:numId w:val="1419"/>
        </w:numPr>
        <w:pStyle w:val="Compact"/>
      </w:pPr>
      <w:r>
        <w:t xml:space="preserve">2021 · Radke S ·</w:t>
      </w:r>
      <w:r>
        <w:t xml:space="preserve"> </w:t>
      </w:r>
      <w:r>
        <w:rPr>
          <w:iCs/>
          <w:i/>
        </w:rPr>
        <w:t xml:space="preserve">Soc Cogn Affect Neurosci</w:t>
      </w:r>
      <w:r>
        <w:t xml:space="preserve"> </w:t>
      </w:r>
      <w:r>
        <w:t xml:space="preserve">· Neurobiobehavioral responses to virtual social rejection in females-exploring the influence of oxytocin. PMID 33326562</w:t>
      </w:r>
    </w:p>
    <w:p>
      <w:pPr>
        <w:numPr>
          <w:ilvl w:val="0"/>
          <w:numId w:val="1419"/>
        </w:numPr>
        <w:pStyle w:val="Compact"/>
      </w:pPr>
      <w:r>
        <w:t xml:space="preserve">2021 · Alaerts K ·</w:t>
      </w:r>
      <w:r>
        <w:t xml:space="preserve"> </w:t>
      </w:r>
      <w:r>
        <w:rPr>
          <w:iCs/>
          <w:i/>
        </w:rPr>
        <w:t xml:space="preserve">Eur Neuropsychopharmacol</w:t>
      </w:r>
      <w:r>
        <w:t xml:space="preserve"> </w:t>
      </w:r>
      <w:r>
        <w:t xml:space="preserve">· Changes in endogenous oxytocin levels after intranasal oxytocin treatment in adult men with autism: An exploratory study with long-term follow-up. PMID 33309460</w:t>
      </w:r>
    </w:p>
    <w:p>
      <w:pPr>
        <w:numPr>
          <w:ilvl w:val="0"/>
          <w:numId w:val="1419"/>
        </w:numPr>
        <w:pStyle w:val="Compact"/>
      </w:pPr>
      <w:r>
        <w:t xml:space="preserve">2021 · Damen L ·</w:t>
      </w:r>
      <w:r>
        <w:t xml:space="preserve"> </w:t>
      </w:r>
      <w:r>
        <w:rPr>
          <w:iCs/>
          <w:i/>
        </w:rPr>
        <w:t xml:space="preserve">Clin Endocrinol (Oxf)</w:t>
      </w:r>
      <w:r>
        <w:t xml:space="preserve"> </w:t>
      </w:r>
      <w:r>
        <w:t xml:space="preserve">· Oxytocin in young children with Prader-Willi syndrome: Results of a randomized, double-blind, placebo-controlled, crossover trial investigating 3 months of oxytocin. PMID 33296519</w:t>
      </w:r>
    </w:p>
    <w:p>
      <w:pPr>
        <w:numPr>
          <w:ilvl w:val="0"/>
          <w:numId w:val="1419"/>
        </w:numPr>
        <w:pStyle w:val="Compact"/>
      </w:pPr>
      <w:r>
        <w:t xml:space="preserve">2021 · Meusel M ·</w:t>
      </w:r>
      <w:r>
        <w:t xml:space="preserve"> </w:t>
      </w:r>
      <w:r>
        <w:rPr>
          <w:iCs/>
          <w:i/>
        </w:rPr>
        <w:t xml:space="preserve">Am J Physiol Regul Integr Comp Physiol</w:t>
      </w:r>
      <w:r>
        <w:t xml:space="preserve"> </w:t>
      </w:r>
      <w:r>
        <w:t xml:space="preserve">· Intranasal oxytocin has sympathoexcitatory effects on vascular tone in healthy males. PMID 33296278</w:t>
      </w:r>
    </w:p>
    <w:p>
      <w:pPr>
        <w:numPr>
          <w:ilvl w:val="0"/>
          <w:numId w:val="1419"/>
        </w:numPr>
        <w:pStyle w:val="Compact"/>
      </w:pPr>
      <w:r>
        <w:t xml:space="preserve">2021 · Zhuang Q ·</w:t>
      </w:r>
      <w:r>
        <w:t xml:space="preserve"> </w:t>
      </w:r>
      <w:r>
        <w:rPr>
          <w:iCs/>
          <w:i/>
        </w:rPr>
        <w:t xml:space="preserve">J Psychopharmacol</w:t>
      </w:r>
      <w:r>
        <w:t xml:space="preserve"> </w:t>
      </w:r>
      <w:r>
        <w:t xml:space="preserve">· Oxytocin-induced facilitation of learning in a probabilistic task is associated with reduced feedback- and error-related negativity potentials. PMID 33274683</w:t>
      </w:r>
    </w:p>
    <w:p>
      <w:pPr>
        <w:numPr>
          <w:ilvl w:val="0"/>
          <w:numId w:val="1419"/>
        </w:numPr>
        <w:pStyle w:val="Compact"/>
      </w:pPr>
      <w:r>
        <w:t xml:space="preserve">2021 · Dou H ·</w:t>
      </w:r>
      <w:r>
        <w:t xml:space="preserve"> </w:t>
      </w:r>
      <w:r>
        <w:rPr>
          <w:iCs/>
          <w:i/>
        </w:rPr>
        <w:t xml:space="preserve">Psychopharmacology (Berl)</w:t>
      </w:r>
      <w:r>
        <w:t xml:space="preserve"> </w:t>
      </w:r>
      <w:r>
        <w:t xml:space="preserve">· Intranasal oxytocin decreases fear generalization in males, but does not modulate discrimination threshold. PMID 33241482</w:t>
      </w:r>
    </w:p>
    <w:p>
      <w:pPr>
        <w:numPr>
          <w:ilvl w:val="0"/>
          <w:numId w:val="1419"/>
        </w:numPr>
        <w:pStyle w:val="Compact"/>
      </w:pPr>
      <w:r>
        <w:t xml:space="preserve">2021 · Plessow F ·</w:t>
      </w:r>
      <w:r>
        <w:t xml:space="preserve"> </w:t>
      </w:r>
      <w:r>
        <w:rPr>
          <w:iCs/>
          <w:i/>
        </w:rPr>
        <w:t xml:space="preserve">Obesity (Silver Spring)</w:t>
      </w:r>
      <w:r>
        <w:t xml:space="preserve"> </w:t>
      </w:r>
      <w:r>
        <w:t xml:space="preserve">· Oxytocin Administration Increases Proactive Control in Men with Overweight or Obesity: A Randomized, Double-Blind, Placebo-Controlled Crossover Study. PMID 33225615</w:t>
      </w:r>
    </w:p>
    <w:p>
      <w:pPr>
        <w:numPr>
          <w:ilvl w:val="0"/>
          <w:numId w:val="1419"/>
        </w:numPr>
        <w:pStyle w:val="Compact"/>
      </w:pPr>
      <w:r>
        <w:t xml:space="preserve">2021 · Hollander E ·</w:t>
      </w:r>
      <w:r>
        <w:t xml:space="preserve"> </w:t>
      </w:r>
      <w:r>
        <w:rPr>
          <w:iCs/>
          <w:i/>
        </w:rPr>
        <w:t xml:space="preserve">J Psychiatr Res</w:t>
      </w:r>
      <w:r>
        <w:t xml:space="preserve"> </w:t>
      </w:r>
      <w:r>
        <w:t xml:space="preserve">· Intranasal oxytocin versus placebo for hyperphagia and repetitive behaviors in children with Prader-Willi Syndrome: A randomized controlled pilot trial. PMID 33190843</w:t>
      </w:r>
    </w:p>
    <w:p>
      <w:pPr>
        <w:numPr>
          <w:ilvl w:val="0"/>
          <w:numId w:val="1419"/>
        </w:numPr>
        <w:pStyle w:val="Compact"/>
      </w:pPr>
      <w:r>
        <w:t xml:space="preserve">2021 · Liao Z ·</w:t>
      </w:r>
      <w:r>
        <w:t xml:space="preserve"> </w:t>
      </w:r>
      <w:r>
        <w:rPr>
          <w:iCs/>
          <w:i/>
        </w:rPr>
        <w:t xml:space="preserve">Psychopharmacology (Berl)</w:t>
      </w:r>
      <w:r>
        <w:t xml:space="preserve"> </w:t>
      </w:r>
      <w:r>
        <w:t xml:space="preserve">· Intranasal oxytocin decreases self-oriented learning. PMID 33156402</w:t>
      </w:r>
    </w:p>
    <w:p>
      <w:pPr>
        <w:numPr>
          <w:ilvl w:val="0"/>
          <w:numId w:val="1419"/>
        </w:numPr>
        <w:pStyle w:val="Compact"/>
      </w:pPr>
      <w:r>
        <w:t xml:space="preserve">2021 · Flynn MJ ·</w:t>
      </w:r>
      <w:r>
        <w:t xml:space="preserve"> </w:t>
      </w:r>
      <w:r>
        <w:rPr>
          <w:iCs/>
          <w:i/>
        </w:rPr>
        <w:t xml:space="preserve">Int J Gynaecol Obstet</w:t>
      </w:r>
      <w:r>
        <w:t xml:space="preserve"> </w:t>
      </w:r>
      <w:r>
        <w:t xml:space="preserve">· Intranasal oxytocin as a treatment for chronic pelvic pain: A randomized controlled feasibility study. PMID 33112417</w:t>
      </w:r>
    </w:p>
    <w:p>
      <w:pPr>
        <w:numPr>
          <w:ilvl w:val="0"/>
          <w:numId w:val="1419"/>
        </w:numPr>
        <w:pStyle w:val="Compact"/>
      </w:pPr>
      <w:r>
        <w:t xml:space="preserve">2021 · Riem MME ·</w:t>
      </w:r>
      <w:r>
        <w:t xml:space="preserve"> </w:t>
      </w:r>
      <w:r>
        <w:rPr>
          <w:iCs/>
          <w:i/>
        </w:rPr>
        <w:t xml:space="preserve">J Affect Disord</w:t>
      </w:r>
      <w:r>
        <w:t xml:space="preserve"> </w:t>
      </w:r>
      <w:r>
        <w:t xml:space="preserve">· Intranasal oxytocin and the stress-buffering effects of social support during experimentally induced pain: The role of attachment security. PMID 32961410</w:t>
      </w:r>
    </w:p>
    <w:p>
      <w:pPr>
        <w:numPr>
          <w:ilvl w:val="0"/>
          <w:numId w:val="1419"/>
        </w:numPr>
        <w:pStyle w:val="Compact"/>
      </w:pPr>
      <w:r>
        <w:t xml:space="preserve">2020 · Melkonyan A ·</w:t>
      </w:r>
      <w:r>
        <w:t xml:space="preserve"> </w:t>
      </w:r>
      <w:r>
        <w:rPr>
          <w:iCs/>
          <w:i/>
        </w:rPr>
        <w:t xml:space="preserve">J Neuroendocrinol</w:t>
      </w:r>
      <w:r>
        <w:t xml:space="preserve"> </w:t>
      </w:r>
      <w:r>
        <w:t xml:space="preserve">· Unchanged food approach-avoidance behaviour of healthy men after oxytocin administration. PMID 33314397</w:t>
      </w:r>
    </w:p>
    <w:p>
      <w:pPr>
        <w:numPr>
          <w:ilvl w:val="0"/>
          <w:numId w:val="1419"/>
        </w:numPr>
        <w:pStyle w:val="Compact"/>
      </w:pPr>
      <w:r>
        <w:t xml:space="preserve">2020 · Ma Y ·</w:t>
      </w:r>
      <w:r>
        <w:t xml:space="preserve"> </w:t>
      </w:r>
      <w:r>
        <w:rPr>
          <w:iCs/>
          <w:i/>
        </w:rPr>
        <w:t xml:space="preserve">Biol Psychol</w:t>
      </w:r>
      <w:r>
        <w:t xml:space="preserve"> </w:t>
      </w:r>
      <w:r>
        <w:t xml:space="preserve">· Intranasal oxytocin attenuates insula activity in response to dynamic angry faces. PMID 33157152</w:t>
      </w:r>
    </w:p>
    <w:p>
      <w:pPr>
        <w:numPr>
          <w:ilvl w:val="0"/>
          <w:numId w:val="1419"/>
        </w:numPr>
        <w:pStyle w:val="Compact"/>
      </w:pPr>
      <w:r>
        <w:t xml:space="preserve">2020 · Oliver LD ·</w:t>
      </w:r>
      <w:r>
        <w:t xml:space="preserve"> </w:t>
      </w:r>
      <w:r>
        <w:rPr>
          <w:iCs/>
          <w:i/>
        </w:rPr>
        <w:t xml:space="preserve">Neurology</w:t>
      </w:r>
      <w:r>
        <w:t xml:space="preserve"> </w:t>
      </w:r>
      <w:r>
        <w:t xml:space="preserve">· Neural effects of oxytocin and mimicry in frontotemporal dementia: A randomized crossover study. PMID 32963103</w:t>
      </w:r>
    </w:p>
    <w:p>
      <w:pPr>
        <w:numPr>
          <w:ilvl w:val="0"/>
          <w:numId w:val="1419"/>
        </w:numPr>
        <w:pStyle w:val="Compact"/>
      </w:pPr>
      <w:r>
        <w:t xml:space="preserve">2020 · Hovey D ·</w:t>
      </w:r>
      <w:r>
        <w:t xml:space="preserve"> </w:t>
      </w:r>
      <w:r>
        <w:rPr>
          <w:iCs/>
          <w:i/>
        </w:rPr>
        <w:t xml:space="preserve">Transl Psychiatry</w:t>
      </w:r>
      <w:r>
        <w:t xml:space="preserve"> </w:t>
      </w:r>
      <w:r>
        <w:t xml:space="preserve">· The effect of intranasal oxytocin on visual processing and salience of human faces. PMID 32951002</w:t>
      </w:r>
    </w:p>
    <w:p>
      <w:pPr>
        <w:numPr>
          <w:ilvl w:val="0"/>
          <w:numId w:val="1419"/>
        </w:numPr>
        <w:pStyle w:val="Compact"/>
      </w:pPr>
      <w:r>
        <w:t xml:space="preserve">2020 · Jain V ·</w:t>
      </w:r>
      <w:r>
        <w:t xml:space="preserve"> </w:t>
      </w:r>
      <w:r>
        <w:rPr>
          <w:iCs/>
          <w:i/>
        </w:rPr>
        <w:t xml:space="preserve">Sleep Med</w:t>
      </w:r>
      <w:r>
        <w:t xml:space="preserve"> </w:t>
      </w:r>
      <w:r>
        <w:t xml:space="preserve">· Intranasal oxytocin increases respiratory rate and reduces obstructive event duration and oxygen desaturation in obstructive sleep apnea patients: a randomized double blinded placebo controlled study. PMID 32862007</w:t>
      </w:r>
    </w:p>
    <w:p>
      <w:pPr>
        <w:numPr>
          <w:ilvl w:val="0"/>
          <w:numId w:val="1419"/>
        </w:numPr>
        <w:pStyle w:val="Compact"/>
      </w:pPr>
      <w:r>
        <w:t xml:space="preserve">2020 · Chen Y ·</w:t>
      </w:r>
      <w:r>
        <w:t xml:space="preserve"> </w:t>
      </w:r>
      <w:r>
        <w:rPr>
          <w:iCs/>
          <w:i/>
        </w:rPr>
        <w:t xml:space="preserve">Eur Neuropsychopharmacol</w:t>
      </w:r>
      <w:r>
        <w:t xml:space="preserve"> </w:t>
      </w:r>
      <w:r>
        <w:t xml:space="preserve">· Oxytocin increases the pleasantness of affective touch and orbitofrontal cortex activity independent of valence. PMID 32861545</w:t>
      </w:r>
    </w:p>
    <w:p>
      <w:pPr>
        <w:numPr>
          <w:ilvl w:val="0"/>
          <w:numId w:val="1419"/>
        </w:numPr>
        <w:pStyle w:val="Compact"/>
      </w:pPr>
      <w:r>
        <w:t xml:space="preserve">2020 · Wang T ·</w:t>
      </w:r>
      <w:r>
        <w:t xml:space="preserve"> </w:t>
      </w:r>
      <w:r>
        <w:rPr>
          <w:iCs/>
          <w:i/>
        </w:rPr>
        <w:t xml:space="preserve">Pharmacol Biochem Behav</w:t>
      </w:r>
      <w:r>
        <w:t xml:space="preserve"> </w:t>
      </w:r>
      <w:r>
        <w:t xml:space="preserve">· Attachment anxiety moderates the effect of oxytocin on negative emotion recognition: Evidence from eye-movement data. PMID 32835786</w:t>
      </w:r>
    </w:p>
    <w:p>
      <w:pPr>
        <w:numPr>
          <w:ilvl w:val="0"/>
          <w:numId w:val="1419"/>
        </w:numPr>
        <w:pStyle w:val="Compact"/>
      </w:pPr>
      <w:r>
        <w:t xml:space="preserve">2020 · Morrison TE ·</w:t>
      </w:r>
      <w:r>
        <w:t xml:space="preserve"> </w:t>
      </w:r>
      <w:r>
        <w:rPr>
          <w:iCs/>
          <w:i/>
        </w:rPr>
        <w:t xml:space="preserve">Psychoneuroendocrinology</w:t>
      </w:r>
      <w:r>
        <w:t xml:space="preserve"> </w:t>
      </w:r>
      <w:r>
        <w:t xml:space="preserve">· Automatic Imitation in Comorbid PTSD &amp; Alcohol Use Disorder and Controls: an RCT of Intranasal Oxytocin. PMID 32745891</w:t>
      </w:r>
    </w:p>
    <w:p>
      <w:pPr>
        <w:numPr>
          <w:ilvl w:val="0"/>
          <w:numId w:val="1419"/>
        </w:numPr>
        <w:pStyle w:val="Compact"/>
      </w:pPr>
      <w:r>
        <w:t xml:space="preserve">2020 · Sippel LM ·</w:t>
      </w:r>
      <w:r>
        <w:t xml:space="preserve"> </w:t>
      </w:r>
      <w:r>
        <w:rPr>
          <w:iCs/>
          <w:i/>
        </w:rPr>
        <w:t xml:space="preserve">J Clin Psychopharmacol</w:t>
      </w:r>
      <w:r>
        <w:t xml:space="preserve"> </w:t>
      </w:r>
      <w:r>
        <w:t xml:space="preserve">· A Preliminary Examination of Endogenous Peripheral Oxytocin in a Pilot Randomized Clinical Trial of Oxytocin-Enhanced Psychotherapy for Posttraumatic Stress Disorder. PMID 32639293</w:t>
      </w:r>
    </w:p>
    <w:p>
      <w:pPr>
        <w:numPr>
          <w:ilvl w:val="0"/>
          <w:numId w:val="1419"/>
        </w:numPr>
        <w:pStyle w:val="Compact"/>
      </w:pPr>
      <w:r>
        <w:t xml:space="preserve">2020 · Borowiak K ·</w:t>
      </w:r>
      <w:r>
        <w:t xml:space="preserve"> </w:t>
      </w:r>
      <w:r>
        <w:rPr>
          <w:iCs/>
          <w:i/>
        </w:rPr>
        <w:t xml:space="preserve">Transl Psychiatry</w:t>
      </w:r>
      <w:r>
        <w:t xml:space="preserve"> </w:t>
      </w:r>
      <w:r>
        <w:t xml:space="preserve">· Intranasal oxytocin modulates brain responses to voice-identity recognition in typically developing individuals, but not in ASD. PMID 32636360</w:t>
      </w:r>
    </w:p>
    <w:p>
      <w:pPr>
        <w:numPr>
          <w:ilvl w:val="0"/>
          <w:numId w:val="1419"/>
        </w:numPr>
        <w:pStyle w:val="Compact"/>
      </w:pPr>
      <w:r>
        <w:t xml:space="preserve">2020 · Demartini B ·</w:t>
      </w:r>
      <w:r>
        <w:t xml:space="preserve"> </w:t>
      </w:r>
      <w:r>
        <w:rPr>
          <w:iCs/>
          <w:i/>
        </w:rPr>
        <w:t xml:space="preserve">J Clin Psychopharmacol</w:t>
      </w:r>
      <w:r>
        <w:t xml:space="preserve"> </w:t>
      </w:r>
      <w:r>
        <w:t xml:space="preserve">· The Effect of Intranasal Oxytocin in Patients With Functional Motor Symptoms: A Preliminary Open-Label Case Series. PMID 32604129</w:t>
      </w:r>
    </w:p>
    <w:p>
      <w:pPr>
        <w:numPr>
          <w:ilvl w:val="0"/>
          <w:numId w:val="1419"/>
        </w:numPr>
        <w:pStyle w:val="Compact"/>
      </w:pPr>
      <w:r>
        <w:t xml:space="preserve">2020 · Martins D ·</w:t>
      </w:r>
      <w:r>
        <w:t xml:space="preserve"> </w:t>
      </w:r>
      <w:r>
        <w:rPr>
          <w:iCs/>
          <w:i/>
        </w:rPr>
        <w:t xml:space="preserve">Transl Psychiatry</w:t>
      </w:r>
      <w:r>
        <w:t xml:space="preserve"> </w:t>
      </w:r>
      <w:r>
        <w:t xml:space="preserve">· Investigating resting brain perfusion abnormalities and disease target-engagement by intranasal oxytocin in women with bulimia nervosa and binge-eating disorder and healthy controls. PMID 32513936</w:t>
      </w:r>
    </w:p>
    <w:p>
      <w:pPr>
        <w:numPr>
          <w:ilvl w:val="0"/>
          <w:numId w:val="1419"/>
        </w:numPr>
        <w:pStyle w:val="Compact"/>
      </w:pPr>
      <w:r>
        <w:t xml:space="preserve">2020 · Le J ·</w:t>
      </w:r>
      <w:r>
        <w:t xml:space="preserve"> </w:t>
      </w:r>
      <w:r>
        <w:rPr>
          <w:iCs/>
          <w:i/>
        </w:rPr>
        <w:t xml:space="preserve">Transl Psychiatry</w:t>
      </w:r>
      <w:r>
        <w:t xml:space="preserve"> </w:t>
      </w:r>
      <w:r>
        <w:t xml:space="preserve">· Oxytocin biases eye-gaze to dynamic and static social images and the eyes of fearful faces: associations with trait autism. PMID 32398642</w:t>
      </w:r>
    </w:p>
    <w:p>
      <w:pPr>
        <w:numPr>
          <w:ilvl w:val="0"/>
          <w:numId w:val="1419"/>
        </w:numPr>
        <w:pStyle w:val="Compact"/>
      </w:pPr>
      <w:r>
        <w:t xml:space="preserve">2020 · Sherman BJ ·</w:t>
      </w:r>
      <w:r>
        <w:t xml:space="preserve"> </w:t>
      </w:r>
      <w:r>
        <w:rPr>
          <w:iCs/>
          <w:i/>
        </w:rPr>
        <w:t xml:space="preserve">Psychopharmacology (Berl)</w:t>
      </w:r>
      <w:r>
        <w:t xml:space="preserve"> </w:t>
      </w:r>
      <w:r>
        <w:t xml:space="preserve">· The effect of oxytocin, gender, and ovarian hormones on stress reactivity in individuals with cocaine use disorder. PMID 32388622</w:t>
      </w:r>
    </w:p>
    <w:p>
      <w:pPr>
        <w:numPr>
          <w:ilvl w:val="0"/>
          <w:numId w:val="1419"/>
        </w:numPr>
        <w:pStyle w:val="Compact"/>
      </w:pPr>
      <w:r>
        <w:t xml:space="preserve">2020 · Pfeifer AC ·</w:t>
      </w:r>
      <w:r>
        <w:t xml:space="preserve"> </w:t>
      </w:r>
      <w:r>
        <w:rPr>
          <w:iCs/>
          <w:i/>
        </w:rPr>
        <w:t xml:space="preserve">Mol Pain</w:t>
      </w:r>
      <w:r>
        <w:t xml:space="preserve"> </w:t>
      </w:r>
      <w:r>
        <w:t xml:space="preserve">· Oxytocin and positive couple interaction affect the perception of wound pain in everyday life. PMID 32308117</w:t>
      </w:r>
    </w:p>
    <w:p>
      <w:pPr>
        <w:numPr>
          <w:ilvl w:val="0"/>
          <w:numId w:val="1419"/>
        </w:numPr>
        <w:pStyle w:val="Compact"/>
      </w:pPr>
      <w:r>
        <w:t xml:space="preserve">2020 · Sabino ADV ·</w:t>
      </w:r>
      <w:r>
        <w:t xml:space="preserve"> </w:t>
      </w:r>
      <w:r>
        <w:rPr>
          <w:iCs/>
          <w:i/>
        </w:rPr>
        <w:t xml:space="preserve">Psychopharmacology (Berl)</w:t>
      </w:r>
      <w:r>
        <w:t xml:space="preserve"> </w:t>
      </w:r>
      <w:r>
        <w:t xml:space="preserve">· Acute effects of oxytocin in music performance anxiety: a crossover, randomized, placebo-controlled trial. PMID 32123973</w:t>
      </w:r>
    </w:p>
    <w:p>
      <w:pPr>
        <w:numPr>
          <w:ilvl w:val="0"/>
          <w:numId w:val="1419"/>
        </w:numPr>
        <w:pStyle w:val="Compact"/>
      </w:pPr>
      <w:r>
        <w:t xml:space="preserve">2020 · Wu Q ·</w:t>
      </w:r>
      <w:r>
        <w:t xml:space="preserve"> </w:t>
      </w:r>
      <w:r>
        <w:rPr>
          <w:iCs/>
          <w:i/>
        </w:rPr>
        <w:t xml:space="preserve">Psychoneuroendocrinology</w:t>
      </w:r>
      <w:r>
        <w:t xml:space="preserve"> </w:t>
      </w:r>
      <w:r>
        <w:t xml:space="preserve">· Oxytocin alters the effect of payoff but not base rate in emotion perception. PMID 32070797</w:t>
      </w:r>
    </w:p>
    <w:p>
      <w:pPr>
        <w:numPr>
          <w:ilvl w:val="0"/>
          <w:numId w:val="1419"/>
        </w:numPr>
        <w:pStyle w:val="Compact"/>
      </w:pPr>
      <w:r>
        <w:t xml:space="preserve">2020 · Melby K ·</w:t>
      </w:r>
      <w:r>
        <w:t xml:space="preserve"> </w:t>
      </w:r>
      <w:r>
        <w:rPr>
          <w:iCs/>
          <w:i/>
        </w:rPr>
        <w:t xml:space="preserve">PLoS One</w:t>
      </w:r>
      <w:r>
        <w:t xml:space="preserve"> </w:t>
      </w:r>
      <w:r>
        <w:t xml:space="preserve">· Actigraphy assessment of motor activity and sleep in patients with alcohol withdrawal syndrome and the effects of intranasal oxytocin. PMID 32053696</w:t>
      </w:r>
    </w:p>
    <w:p>
      <w:pPr>
        <w:numPr>
          <w:ilvl w:val="0"/>
          <w:numId w:val="1419"/>
        </w:numPr>
        <w:pStyle w:val="Compact"/>
      </w:pPr>
      <w:r>
        <w:t xml:space="preserve">2020 · Agurto C ·</w:t>
      </w:r>
      <w:r>
        <w:t xml:space="preserve"> </w:t>
      </w:r>
      <w:r>
        <w:rPr>
          <w:iCs/>
          <w:i/>
        </w:rPr>
        <w:t xml:space="preserve">Neuropsychopharmacology</w:t>
      </w:r>
      <w:r>
        <w:t xml:space="preserve"> </w:t>
      </w:r>
      <w:r>
        <w:t xml:space="preserve">· Detection of acute 3,4-methylenedioxymethamphetamine (MDMA) effects across protocols using automated natural language processing. PMID 31978933</w:t>
      </w:r>
    </w:p>
    <w:p>
      <w:pPr>
        <w:numPr>
          <w:ilvl w:val="0"/>
          <w:numId w:val="1419"/>
        </w:numPr>
        <w:pStyle w:val="Compact"/>
      </w:pPr>
      <w:r>
        <w:t xml:space="preserve">2020 · Bernaerts S ·</w:t>
      </w:r>
      <w:r>
        <w:t xml:space="preserve"> </w:t>
      </w:r>
      <w:r>
        <w:rPr>
          <w:iCs/>
          <w:i/>
        </w:rPr>
        <w:t xml:space="preserve">Mol Autism</w:t>
      </w:r>
      <w:r>
        <w:t xml:space="preserve"> </w:t>
      </w:r>
      <w:r>
        <w:t xml:space="preserve">· Behavioral effects of multiple-dose oxytocin treatment in autism: a randomized, placebo-controlled trial with long-term follow-up. PMID 31969977</w:t>
      </w:r>
    </w:p>
    <w:p>
      <w:pPr>
        <w:numPr>
          <w:ilvl w:val="0"/>
          <w:numId w:val="1419"/>
        </w:numPr>
        <w:pStyle w:val="Compact"/>
      </w:pPr>
      <w:r>
        <w:t xml:space="preserve">2020 · Sindermann C ·</w:t>
      </w:r>
      <w:r>
        <w:t xml:space="preserve"> </w:t>
      </w:r>
      <w:r>
        <w:rPr>
          <w:iCs/>
          <w:i/>
        </w:rPr>
        <w:t xml:space="preserve">Brain Behav</w:t>
      </w:r>
      <w:r>
        <w:t xml:space="preserve"> </w:t>
      </w:r>
      <w:r>
        <w:t xml:space="preserve">· The role of oxytocin on self-serving lying. PMID 31930678</w:t>
      </w:r>
    </w:p>
    <w:p>
      <w:pPr>
        <w:numPr>
          <w:ilvl w:val="0"/>
          <w:numId w:val="1419"/>
        </w:numPr>
        <w:pStyle w:val="Compact"/>
      </w:pPr>
      <w:r>
        <w:t xml:space="preserve">2020 · McClure EA ·</w:t>
      </w:r>
      <w:r>
        <w:t xml:space="preserve"> </w:t>
      </w:r>
      <w:r>
        <w:rPr>
          <w:iCs/>
          <w:i/>
        </w:rPr>
        <w:t xml:space="preserve">Psychopharmacology (Berl)</w:t>
      </w:r>
      <w:r>
        <w:t xml:space="preserve"> </w:t>
      </w:r>
      <w:r>
        <w:t xml:space="preserve">· The influence of gender and oxytocin on stress reactivity, cigarette craving, and smoking in a randomized, placebo-controlled laboratory relapse paradigm. PMID 31792646</w:t>
      </w:r>
    </w:p>
    <w:p>
      <w:pPr>
        <w:numPr>
          <w:ilvl w:val="0"/>
          <w:numId w:val="1419"/>
        </w:numPr>
        <w:pStyle w:val="Compact"/>
      </w:pPr>
      <w:r>
        <w:t xml:space="preserve">2020 · Lieberz J ·</w:t>
      </w:r>
      <w:r>
        <w:t xml:space="preserve"> </w:t>
      </w:r>
      <w:r>
        <w:rPr>
          <w:iCs/>
          <w:i/>
        </w:rPr>
        <w:t xml:space="preserve">Neuropsychopharmacology</w:t>
      </w:r>
      <w:r>
        <w:t xml:space="preserve"> </w:t>
      </w:r>
      <w:r>
        <w:t xml:space="preserve">· Kinetics of oxytocin effects on amygdala and striatal reactivity vary between women and men. PMID 31785587</w:t>
      </w:r>
    </w:p>
    <w:p>
      <w:pPr>
        <w:numPr>
          <w:ilvl w:val="0"/>
          <w:numId w:val="1419"/>
        </w:numPr>
        <w:pStyle w:val="Compact"/>
      </w:pPr>
      <w:r>
        <w:t xml:space="preserve">2020 · Verhees MWFT ·</w:t>
      </w:r>
      <w:r>
        <w:t xml:space="preserve"> </w:t>
      </w:r>
      <w:r>
        <w:rPr>
          <w:iCs/>
          <w:i/>
        </w:rPr>
        <w:t xml:space="preserve">J Behav Ther Exp Psychiatry</w:t>
      </w:r>
      <w:r>
        <w:t xml:space="preserve"> </w:t>
      </w:r>
      <w:r>
        <w:t xml:space="preserve">· Combining oxytocin and cognitive bias modification training in a randomized controlled trial: Effects on trust in maternal support. PMID 31610435</w:t>
      </w:r>
    </w:p>
    <w:p>
      <w:pPr>
        <w:numPr>
          <w:ilvl w:val="0"/>
          <w:numId w:val="1419"/>
        </w:numPr>
        <w:pStyle w:val="Compact"/>
      </w:pPr>
      <w:r>
        <w:t xml:space="preserve">2020 · Zhao W ·</w:t>
      </w:r>
      <w:r>
        <w:t xml:space="preserve"> </w:t>
      </w:r>
      <w:r>
        <w:rPr>
          <w:iCs/>
          <w:i/>
        </w:rPr>
        <w:t xml:space="preserve">Prog Neuropsychopharmacol Biol Psychiatry</w:t>
      </w:r>
      <w:r>
        <w:t xml:space="preserve"> </w:t>
      </w:r>
      <w:r>
        <w:t xml:space="preserve">· Oxytocin modulation of self-referential processing is partly replicable and sensitive to oxytocin receptor genotype. PMID 31415827</w:t>
      </w:r>
    </w:p>
    <w:p>
      <w:pPr>
        <w:numPr>
          <w:ilvl w:val="0"/>
          <w:numId w:val="1419"/>
        </w:numPr>
        <w:pStyle w:val="Compact"/>
      </w:pPr>
      <w:r>
        <w:t xml:space="preserve">2020 · Van Hedger K ·</w:t>
      </w:r>
      <w:r>
        <w:t xml:space="preserve"> </w:t>
      </w:r>
      <w:r>
        <w:rPr>
          <w:iCs/>
          <w:i/>
        </w:rPr>
        <w:t xml:space="preserve">Nicotine Tob Res</w:t>
      </w:r>
      <w:r>
        <w:t xml:space="preserve"> </w:t>
      </w:r>
      <w:r>
        <w:t xml:space="preserve">· Effects of Intranasal Oxytocin on Stress-Induced Cigarette Craving in Daily Smokers. PMID 30085292</w:t>
      </w:r>
    </w:p>
    <w:p>
      <w:pPr>
        <w:numPr>
          <w:ilvl w:val="0"/>
          <w:numId w:val="1419"/>
        </w:numPr>
        <w:pStyle w:val="Compact"/>
      </w:pPr>
      <w:r>
        <w:t xml:space="preserve">2020 · Yamasue H ·</w:t>
      </w:r>
      <w:r>
        <w:t xml:space="preserve"> </w:t>
      </w:r>
      <w:r>
        <w:rPr>
          <w:iCs/>
          <w:i/>
        </w:rPr>
        <w:t xml:space="preserve">Mol Psychiatry</w:t>
      </w:r>
      <w:r>
        <w:t xml:space="preserve"> </w:t>
      </w:r>
      <w:r>
        <w:t xml:space="preserve">· Effect of intranasal oxytocin on the core social symptoms of autism spectrum disorder: a randomized clinical trial. PMID 29955161</w:t>
      </w:r>
    </w:p>
    <w:p>
      <w:pPr>
        <w:numPr>
          <w:ilvl w:val="0"/>
          <w:numId w:val="1419"/>
        </w:numPr>
        <w:pStyle w:val="Compact"/>
      </w:pPr>
      <w:r>
        <w:t xml:space="preserve">2019 · Domes G ·</w:t>
      </w:r>
      <w:r>
        <w:t xml:space="preserve"> </w:t>
      </w:r>
      <w:r>
        <w:rPr>
          <w:iCs/>
          <w:i/>
        </w:rPr>
        <w:t xml:space="preserve">Transl Psychiatry</w:t>
      </w:r>
      <w:r>
        <w:t xml:space="preserve"> </w:t>
      </w:r>
      <w:r>
        <w:t xml:space="preserve">· Effects of intranasal oxytocin administration on empathy and approach motivation in women with borderline personality disorder: a randomized controlled trial. PMID 31801937</w:t>
      </w:r>
    </w:p>
    <w:p>
      <w:pPr>
        <w:numPr>
          <w:ilvl w:val="0"/>
          <w:numId w:val="1419"/>
        </w:numPr>
        <w:pStyle w:val="Compact"/>
      </w:pPr>
      <w:r>
        <w:t xml:space="preserve">2019 · Burmester V ·</w:t>
      </w:r>
      <w:r>
        <w:t xml:space="preserve"> </w:t>
      </w:r>
      <w:r>
        <w:rPr>
          <w:iCs/>
          <w:i/>
        </w:rPr>
        <w:t xml:space="preserve">Physiol Behav</w:t>
      </w:r>
      <w:r>
        <w:t xml:space="preserve"> </w:t>
      </w:r>
      <w:r>
        <w:t xml:space="preserve">· Oxytocin reduces post-stress sweet snack intake in women without attenuating salivary cortisol. PMID 31628930</w:t>
      </w:r>
    </w:p>
    <w:p>
      <w:pPr>
        <w:numPr>
          <w:ilvl w:val="0"/>
          <w:numId w:val="1419"/>
        </w:numPr>
        <w:pStyle w:val="Compact"/>
      </w:pPr>
      <w:r>
        <w:t xml:space="preserve">2019 · Stauffer CS ·</w:t>
      </w:r>
      <w:r>
        <w:t xml:space="preserve"> </w:t>
      </w:r>
      <w:r>
        <w:rPr>
          <w:iCs/>
          <w:i/>
        </w:rPr>
        <w:t xml:space="preserve">Alcohol Clin Exp Res</w:t>
      </w:r>
      <w:r>
        <w:t xml:space="preserve"> </w:t>
      </w:r>
      <w:r>
        <w:t xml:space="preserve">· Effects of Oxytocin Administration on Cue-Induced Craving in Co-occurring Alcohol Use Disorder and PTSD: A Within-Participant Randomized Clinical Trial. PMID 31610033</w:t>
      </w:r>
    </w:p>
    <w:p>
      <w:pPr>
        <w:numPr>
          <w:ilvl w:val="0"/>
          <w:numId w:val="1419"/>
        </w:numPr>
        <w:pStyle w:val="Compact"/>
      </w:pPr>
      <w:r>
        <w:t xml:space="preserve">2019 · Bradley ER ·</w:t>
      </w:r>
      <w:r>
        <w:t xml:space="preserve"> </w:t>
      </w:r>
      <w:r>
        <w:rPr>
          <w:iCs/>
          <w:i/>
        </w:rPr>
        <w:t xml:space="preserve">Schizophr Res</w:t>
      </w:r>
      <w:r>
        <w:t xml:space="preserve"> </w:t>
      </w:r>
      <w:r>
        <w:t xml:space="preserve">· Oxytocin increases eye gaze in schizophrenia. PMID 31416746</w:t>
      </w:r>
    </w:p>
    <w:p>
      <w:pPr>
        <w:numPr>
          <w:ilvl w:val="0"/>
          <w:numId w:val="1419"/>
        </w:numPr>
        <w:pStyle w:val="Compact"/>
      </w:pPr>
      <w:r>
        <w:t xml:space="preserve">2019 · Fragkaki I ·</w:t>
      </w:r>
      <w:r>
        <w:t xml:space="preserve"> </w:t>
      </w:r>
      <w:r>
        <w:rPr>
          <w:iCs/>
          <w:i/>
        </w:rPr>
        <w:t xml:space="preserve">Horm Behav</w:t>
      </w:r>
      <w:r>
        <w:t xml:space="preserve"> </w:t>
      </w:r>
      <w:r>
        <w:t xml:space="preserve">· The effect of oxytocin administration on empathy and emotion recognition in residential youth: A randomized, within-subjects trial. PMID 31351105</w:t>
      </w:r>
    </w:p>
    <w:p>
      <w:pPr>
        <w:numPr>
          <w:ilvl w:val="0"/>
          <w:numId w:val="1419"/>
        </w:numPr>
        <w:pStyle w:val="Compact"/>
      </w:pPr>
      <w:r>
        <w:t xml:space="preserve">2019 · Bozorgmehr A ·</w:t>
      </w:r>
      <w:r>
        <w:t xml:space="preserve"> </w:t>
      </w:r>
      <w:r>
        <w:rPr>
          <w:iCs/>
          <w:i/>
        </w:rPr>
        <w:t xml:space="preserve">Neurosci Lett</w:t>
      </w:r>
      <w:r>
        <w:t xml:space="preserve"> </w:t>
      </w:r>
      <w:r>
        <w:t xml:space="preserve">· Oxytocin moderates risky decision-making during the Iowa Gambling Task: A new insight based on the role of oxytocin receptor gene polymorphisms and interventional cognitive study. PMID 31200092</w:t>
      </w:r>
    </w:p>
    <w:p>
      <w:pPr>
        <w:numPr>
          <w:ilvl w:val="0"/>
          <w:numId w:val="1419"/>
        </w:numPr>
        <w:pStyle w:val="Compact"/>
      </w:pPr>
      <w:r>
        <w:t xml:space="preserve">2019 · Grace SA ·</w:t>
      </w:r>
      <w:r>
        <w:t xml:space="preserve"> </w:t>
      </w:r>
      <w:r>
        <w:rPr>
          <w:iCs/>
          <w:i/>
        </w:rPr>
        <w:t xml:space="preserve">Psychoneuroendocrinology</w:t>
      </w:r>
      <w:r>
        <w:t xml:space="preserve"> </w:t>
      </w:r>
      <w:r>
        <w:t xml:space="preserve">· Intranasal oxytocin alters amygdala-temporal resting-state functional connectivity in body dysmorphic disorder: A double-blind placebo-controlled randomized trial. PMID 31146138</w:t>
      </w:r>
    </w:p>
    <w:p>
      <w:pPr>
        <w:numPr>
          <w:ilvl w:val="0"/>
          <w:numId w:val="1419"/>
        </w:numPr>
        <w:pStyle w:val="Compact"/>
      </w:pPr>
      <w:r>
        <w:t xml:space="preserve">2019 · Tabak BA ·</w:t>
      </w:r>
      <w:r>
        <w:t xml:space="preserve"> </w:t>
      </w:r>
      <w:r>
        <w:rPr>
          <w:iCs/>
          <w:i/>
        </w:rPr>
        <w:t xml:space="preserve">Psychoneuroendocrinology</w:t>
      </w:r>
      <w:r>
        <w:t xml:space="preserve"> </w:t>
      </w:r>
      <w:r>
        <w:t xml:space="preserve">· Null results of oxytocin and vasopressin administration across a range of social cognitive and behavioral paradigms: Evidence from a randomized controlled trial. PMID 31128568</w:t>
      </w:r>
    </w:p>
    <w:p>
      <w:pPr>
        <w:numPr>
          <w:ilvl w:val="0"/>
          <w:numId w:val="1419"/>
        </w:numPr>
        <w:pStyle w:val="Compact"/>
      </w:pPr>
      <w:r>
        <w:t xml:space="preserve">2019 · Petereit P ·</w:t>
      </w:r>
      <w:r>
        <w:t xml:space="preserve"> </w:t>
      </w:r>
      <w:r>
        <w:rPr>
          <w:iCs/>
          <w:i/>
        </w:rPr>
        <w:t xml:space="preserve">Biol Psychol</w:t>
      </w:r>
      <w:r>
        <w:t xml:space="preserve"> </w:t>
      </w:r>
      <w:r>
        <w:t xml:space="preserve">· Oxytocin reduces the link between neural and affective responses after social exclusion. PMID 31075364</w:t>
      </w:r>
    </w:p>
    <w:p>
      <w:pPr>
        <w:numPr>
          <w:ilvl w:val="0"/>
          <w:numId w:val="1419"/>
        </w:numPr>
        <w:pStyle w:val="Compact"/>
      </w:pPr>
      <w:r>
        <w:t xml:space="preserve">2019 · Bartz JA ·</w:t>
      </w:r>
      <w:r>
        <w:t xml:space="preserve"> </w:t>
      </w:r>
      <w:r>
        <w:rPr>
          <w:iCs/>
          <w:i/>
        </w:rPr>
        <w:t xml:space="preserve">Biol Psychiatry Cogn Neurosci Neuroimaging</w:t>
      </w:r>
      <w:r>
        <w:t xml:space="preserve"> </w:t>
      </w:r>
      <w:r>
        <w:t xml:space="preserve">· Oxytocin Selectively Improves Empathic Accuracy: A Replication in Men and Novel Insights in Women. PMID 30954442</w:t>
      </w:r>
    </w:p>
    <w:p>
      <w:pPr>
        <w:numPr>
          <w:ilvl w:val="0"/>
          <w:numId w:val="1419"/>
        </w:numPr>
        <w:pStyle w:val="Compact"/>
      </w:pPr>
      <w:r>
        <w:t xml:space="preserve">2019 · Melby K ·</w:t>
      </w:r>
      <w:r>
        <w:t xml:space="preserve"> </w:t>
      </w:r>
      <w:r>
        <w:rPr>
          <w:iCs/>
          <w:i/>
        </w:rPr>
        <w:t xml:space="preserve">Drug Alcohol Depend</w:t>
      </w:r>
      <w:r>
        <w:t xml:space="preserve"> </w:t>
      </w:r>
      <w:r>
        <w:t xml:space="preserve">· Effect of intranasal oxytocin on alcohol withdrawal syndrome: A randomized placebo-controlled double-blind clinical trial. PMID 30784955</w:t>
      </w:r>
    </w:p>
    <w:p>
      <w:pPr>
        <w:numPr>
          <w:ilvl w:val="0"/>
          <w:numId w:val="1419"/>
        </w:numPr>
        <w:pStyle w:val="Compact"/>
      </w:pPr>
      <w:r>
        <w:t xml:space="preserve">2019 · Davies C ·</w:t>
      </w:r>
      <w:r>
        <w:t xml:space="preserve"> </w:t>
      </w:r>
      <w:r>
        <w:rPr>
          <w:iCs/>
          <w:i/>
        </w:rPr>
        <w:t xml:space="preserve">Neuropsychopharmacology</w:t>
      </w:r>
      <w:r>
        <w:t xml:space="preserve"> </w:t>
      </w:r>
      <w:r>
        <w:t xml:space="preserve">· Oxytocin modulates hippocampal perfusion in people at clinical high risk for psychosis. PMID 30626906</w:t>
      </w:r>
    </w:p>
    <w:p>
      <w:pPr>
        <w:numPr>
          <w:ilvl w:val="0"/>
          <w:numId w:val="1419"/>
        </w:numPr>
        <w:pStyle w:val="Compact"/>
      </w:pPr>
      <w:r>
        <w:t xml:space="preserve">2019 · Fang A ·</w:t>
      </w:r>
      <w:r>
        <w:t xml:space="preserve"> </w:t>
      </w:r>
      <w:r>
        <w:rPr>
          <w:iCs/>
          <w:i/>
        </w:rPr>
        <w:t xml:space="preserve">Depress Anxiety</w:t>
      </w:r>
      <w:r>
        <w:t xml:space="preserve"> </w:t>
      </w:r>
      <w:r>
        <w:t xml:space="preserve">· Intranasal oxytocin modulates higher order social cognition in body dysmorphic disorder. PMID 30614171</w:t>
      </w:r>
    </w:p>
    <w:p>
      <w:pPr>
        <w:numPr>
          <w:ilvl w:val="0"/>
          <w:numId w:val="1419"/>
        </w:numPr>
        <w:pStyle w:val="Compact"/>
      </w:pPr>
      <w:r>
        <w:t xml:space="preserve">2019 · Leslie M ·</w:t>
      </w:r>
      <w:r>
        <w:t xml:space="preserve"> </w:t>
      </w:r>
      <w:r>
        <w:rPr>
          <w:iCs/>
          <w:i/>
        </w:rPr>
        <w:t xml:space="preserve">Mol Cell Endocrinol</w:t>
      </w:r>
      <w:r>
        <w:t xml:space="preserve"> </w:t>
      </w:r>
      <w:r>
        <w:t xml:space="preserve">· The influence of oxytocin on eating behaviours and stress in women with bulimia nervosa and binge eating disorder. PMID 30579958</w:t>
      </w:r>
    </w:p>
    <w:p>
      <w:pPr>
        <w:numPr>
          <w:ilvl w:val="0"/>
          <w:numId w:val="1419"/>
        </w:numPr>
        <w:pStyle w:val="Compact"/>
      </w:pPr>
      <w:r>
        <w:t xml:space="preserve">2019 · Crucianelli L ·</w:t>
      </w:r>
      <w:r>
        <w:t xml:space="preserve"> </w:t>
      </w:r>
      <w:r>
        <w:rPr>
          <w:iCs/>
          <w:i/>
        </w:rPr>
        <w:t xml:space="preserve">J Cogn Neurosci</w:t>
      </w:r>
      <w:r>
        <w:t xml:space="preserve"> </w:t>
      </w:r>
      <w:r>
        <w:t xml:space="preserve">· Embodied Precision: Intranasal Oxytocin Modulates Multisensory Integration. PMID 30562138</w:t>
      </w:r>
    </w:p>
    <w:p>
      <w:pPr>
        <w:numPr>
          <w:ilvl w:val="0"/>
          <w:numId w:val="1419"/>
        </w:numPr>
        <w:pStyle w:val="Compact"/>
      </w:pPr>
      <w:r>
        <w:t xml:space="preserve">2019 · Koch SBJ ·</w:t>
      </w:r>
      <w:r>
        <w:t xml:space="preserve"> </w:t>
      </w:r>
      <w:r>
        <w:rPr>
          <w:iCs/>
          <w:i/>
        </w:rPr>
        <w:t xml:space="preserve">Eur Neuropsychopharmacol</w:t>
      </w:r>
      <w:r>
        <w:t xml:space="preserve"> </w:t>
      </w:r>
      <w:r>
        <w:t xml:space="preserve">· Effects of intranasal oxytocin on distraction as emotion regulation strategy in patients with post-traumatic stress disorder. PMID 30554861</w:t>
      </w:r>
    </w:p>
    <w:p>
      <w:pPr>
        <w:numPr>
          <w:ilvl w:val="0"/>
          <w:numId w:val="1419"/>
        </w:numPr>
        <w:pStyle w:val="Compact"/>
      </w:pPr>
      <w:r>
        <w:t xml:space="preserve">2019 · Kruppa JA ·</w:t>
      </w:r>
      <w:r>
        <w:t xml:space="preserve"> </w:t>
      </w:r>
      <w:r>
        <w:rPr>
          <w:iCs/>
          <w:i/>
        </w:rPr>
        <w:t xml:space="preserve">Neuropsychopharmacology</w:t>
      </w:r>
      <w:r>
        <w:t xml:space="preserve"> </w:t>
      </w:r>
      <w:r>
        <w:t xml:space="preserve">· Neural modulation of social reinforcement learning by intranasal oxytocin in male adults with high-functioning autism spectrum disorder: a randomized trial. PMID 30390065</w:t>
      </w:r>
    </w:p>
    <w:p>
      <w:pPr>
        <w:numPr>
          <w:ilvl w:val="0"/>
          <w:numId w:val="1419"/>
        </w:numPr>
        <w:pStyle w:val="Compact"/>
      </w:pPr>
      <w:r>
        <w:t xml:space="preserve">2019 · Flanagan JC ·</w:t>
      </w:r>
      <w:r>
        <w:t xml:space="preserve"> </w:t>
      </w:r>
      <w:r>
        <w:rPr>
          <w:iCs/>
          <w:i/>
        </w:rPr>
        <w:t xml:space="preserve">Exp Clin Psychopharmacol</w:t>
      </w:r>
      <w:r>
        <w:t xml:space="preserve"> </w:t>
      </w:r>
      <w:r>
        <w:t xml:space="preserve">· Effects of oxytocin on stress reactivity and craving in veterans with co-occurring PTSD and alcohol use disorder. PMID 30382728</w:t>
      </w:r>
    </w:p>
    <w:p>
      <w:pPr>
        <w:numPr>
          <w:ilvl w:val="0"/>
          <w:numId w:val="1419"/>
        </w:numPr>
        <w:pStyle w:val="Compact"/>
      </w:pPr>
      <w:r>
        <w:t xml:space="preserve">2019 · Eckstein M ·</w:t>
      </w:r>
      <w:r>
        <w:t xml:space="preserve"> </w:t>
      </w:r>
      <w:r>
        <w:rPr>
          <w:iCs/>
          <w:i/>
        </w:rPr>
        <w:t xml:space="preserve">Soc Neurosci</w:t>
      </w:r>
      <w:r>
        <w:t xml:space="preserve"> </w:t>
      </w:r>
      <w:r>
        <w:t xml:space="preserve">· Oxytocin increases eye-gaze towards novel social and non-social stimuli. PMID 30378456</w:t>
      </w:r>
    </w:p>
    <w:p>
      <w:pPr>
        <w:numPr>
          <w:ilvl w:val="0"/>
          <w:numId w:val="1419"/>
        </w:numPr>
        <w:pStyle w:val="Compact"/>
      </w:pPr>
      <w:r>
        <w:t xml:space="preserve">2019 · Grainger SA ·</w:t>
      </w:r>
      <w:r>
        <w:t xml:space="preserve"> </w:t>
      </w:r>
      <w:r>
        <w:rPr>
          <w:iCs/>
          <w:i/>
        </w:rPr>
        <w:t xml:space="preserve">J Psychopharmacol</w:t>
      </w:r>
      <w:r>
        <w:t xml:space="preserve"> </w:t>
      </w:r>
      <w:r>
        <w:t xml:space="preserve">· Intranasal oxytocin does not alter initial perceptions of facial trustworthiness in younger or older adults. PMID 30326770</w:t>
      </w:r>
    </w:p>
    <w:p>
      <w:pPr>
        <w:numPr>
          <w:ilvl w:val="0"/>
          <w:numId w:val="1419"/>
        </w:numPr>
        <w:pStyle w:val="Compact"/>
      </w:pPr>
      <w:r>
        <w:t xml:space="preserve">2019 · Quintana DS ·</w:t>
      </w:r>
      <w:r>
        <w:t xml:space="preserve"> </w:t>
      </w:r>
      <w:r>
        <w:rPr>
          <w:iCs/>
          <w:i/>
        </w:rPr>
        <w:t xml:space="preserve">Neuropsychopharmacology</w:t>
      </w:r>
      <w:r>
        <w:t xml:space="preserve"> </w:t>
      </w:r>
      <w:r>
        <w:t xml:space="preserve">· Low-dose intranasal oxytocin delivered with Breath Powered device modulates pupil diameter and amygdala activity: a randomized controlled pupillometry and fMRI study. PMID 30323359</w:t>
      </w:r>
    </w:p>
    <w:p>
      <w:pPr>
        <w:numPr>
          <w:ilvl w:val="0"/>
          <w:numId w:val="1419"/>
        </w:numPr>
        <w:pStyle w:val="Compact"/>
      </w:pPr>
      <w:r>
        <w:t xml:space="preserve">2019 · Halverson T ·</w:t>
      </w:r>
      <w:r>
        <w:t xml:space="preserve"> </w:t>
      </w:r>
      <w:r>
        <w:rPr>
          <w:iCs/>
          <w:i/>
        </w:rPr>
        <w:t xml:space="preserve">Schizophr Res</w:t>
      </w:r>
      <w:r>
        <w:t xml:space="preserve"> </w:t>
      </w:r>
      <w:r>
        <w:t xml:space="preserve">· Effects of oxytocin on empathy, introspective accuracy, and social symptoms in schizophrenia: A 12-week twice-daily randomized controlled trial. PMID 30243853</w:t>
      </w:r>
    </w:p>
    <w:p>
      <w:pPr>
        <w:numPr>
          <w:ilvl w:val="0"/>
          <w:numId w:val="1419"/>
        </w:numPr>
        <w:pStyle w:val="Compact"/>
      </w:pPr>
      <w:r>
        <w:t xml:space="preserve">2019 · Brede S ·</w:t>
      </w:r>
      <w:r>
        <w:t xml:space="preserve"> </w:t>
      </w:r>
      <w:r>
        <w:rPr>
          <w:iCs/>
          <w:i/>
        </w:rPr>
        <w:t xml:space="preserve">Diabetes Obes Metab</w:t>
      </w:r>
      <w:r>
        <w:t xml:space="preserve"> </w:t>
      </w:r>
      <w:r>
        <w:t xml:space="preserve">· Intranasal oxytocin fails to acutely improve glucose metabolism in obese men. PMID 30203536</w:t>
      </w:r>
    </w:p>
    <w:p>
      <w:pPr>
        <w:numPr>
          <w:ilvl w:val="0"/>
          <w:numId w:val="1419"/>
        </w:numPr>
        <w:pStyle w:val="Compact"/>
      </w:pPr>
      <w:r>
        <w:t xml:space="preserve">2019 · Schwaiger M ·</w:t>
      </w:r>
      <w:r>
        <w:t xml:space="preserve"> </w:t>
      </w:r>
      <w:r>
        <w:rPr>
          <w:iCs/>
          <w:i/>
        </w:rPr>
        <w:t xml:space="preserve">Psychoneuroendocrinology</w:t>
      </w:r>
      <w:r>
        <w:t xml:space="preserve"> </w:t>
      </w:r>
      <w:r>
        <w:t xml:space="preserve">· Oxytocin administration and emotion recognition abilities in adults with a history of childhood adversity. PMID 30189345</w:t>
      </w:r>
    </w:p>
    <w:p>
      <w:pPr>
        <w:numPr>
          <w:ilvl w:val="0"/>
          <w:numId w:val="1419"/>
        </w:numPr>
        <w:pStyle w:val="Compact"/>
      </w:pPr>
      <w:r>
        <w:t xml:space="preserve">2019 · Romney C ·</w:t>
      </w:r>
      <w:r>
        <w:t xml:space="preserve"> </w:t>
      </w:r>
      <w:r>
        <w:rPr>
          <w:iCs/>
          <w:i/>
        </w:rPr>
        <w:t xml:space="preserve">Int J Psychophysiol</w:t>
      </w:r>
      <w:r>
        <w:t xml:space="preserve"> </w:t>
      </w:r>
      <w:r>
        <w:t xml:space="preserve">· Where is the love? A double-blind, randomized study of the effects of intranasal oxytocin on stress regulation and aggression. PMID 30144492</w:t>
      </w:r>
    </w:p>
    <w:p>
      <w:pPr>
        <w:numPr>
          <w:ilvl w:val="0"/>
          <w:numId w:val="1419"/>
        </w:numPr>
        <w:pStyle w:val="Compact"/>
      </w:pPr>
      <w:r>
        <w:t xml:space="preserve">2018 · Finger E ·</w:t>
      </w:r>
      <w:r>
        <w:t xml:space="preserve"> </w:t>
      </w:r>
      <w:r>
        <w:rPr>
          <w:iCs/>
          <w:i/>
        </w:rPr>
        <w:t xml:space="preserve">Alzheimers Res Ther</w:t>
      </w:r>
      <w:r>
        <w:t xml:space="preserve"> </w:t>
      </w:r>
      <w:r>
        <w:t xml:space="preserve">· Adaptive crossover designs for assessment of symptomatic treatments targeting behaviour in neurodegenerative disease: a phase 2 clinical trial of intranasal oxytocin for frontotemporal dementia (FOXY). PMID 30261917</w:t>
      </w:r>
    </w:p>
    <w:p>
      <w:pPr>
        <w:numPr>
          <w:ilvl w:val="0"/>
          <w:numId w:val="1419"/>
        </w:numPr>
        <w:pStyle w:val="Compact"/>
      </w:pPr>
      <w:r>
        <w:t xml:space="preserve">2018 · Burmester V ·</w:t>
      </w:r>
      <w:r>
        <w:t xml:space="preserve"> </w:t>
      </w:r>
      <w:r>
        <w:rPr>
          <w:iCs/>
          <w:i/>
        </w:rPr>
        <w:t xml:space="preserve">Appetite</w:t>
      </w:r>
      <w:r>
        <w:t xml:space="preserve"> </w:t>
      </w:r>
      <w:r>
        <w:t xml:space="preserve">· Rapid-onset anorectic effects of intranasal oxytocin in young men. PMID 30081055</w:t>
      </w:r>
    </w:p>
    <w:p>
      <w:pPr>
        <w:numPr>
          <w:ilvl w:val="0"/>
          <w:numId w:val="1419"/>
        </w:numPr>
        <w:pStyle w:val="Compact"/>
      </w:pPr>
      <w:r>
        <w:t xml:space="preserve">2018 · Verhees MWFT ·</w:t>
      </w:r>
      <w:r>
        <w:t xml:space="preserve"> </w:t>
      </w:r>
      <w:r>
        <w:rPr>
          <w:iCs/>
          <w:i/>
        </w:rPr>
        <w:t xml:space="preserve">Psychopharmacology (Berl)</w:t>
      </w:r>
      <w:r>
        <w:t xml:space="preserve"> </w:t>
      </w:r>
      <w:r>
        <w:t xml:space="preserve">· No side-effects of single intranasal oxytocin administration in middle childhood. PMID 29915962</w:t>
      </w:r>
    </w:p>
    <w:p>
      <w:pPr>
        <w:numPr>
          <w:ilvl w:val="0"/>
          <w:numId w:val="1419"/>
        </w:numPr>
        <w:pStyle w:val="Compact"/>
      </w:pPr>
      <w:r>
        <w:t xml:space="preserve">2018 · Quintana DS ·</w:t>
      </w:r>
      <w:r>
        <w:t xml:space="preserve"> </w:t>
      </w:r>
      <w:r>
        <w:rPr>
          <w:iCs/>
          <w:i/>
        </w:rPr>
        <w:t xml:space="preserve">Horm Behav</w:t>
      </w:r>
      <w:r>
        <w:t xml:space="preserve"> </w:t>
      </w:r>
      <w:r>
        <w:t xml:space="preserve">· Saliva oxytocin measures do not reflect peripheral plasma concentrations after intranasal oxytocin administration in men. PMID 29750971</w:t>
      </w:r>
    </w:p>
    <w:p>
      <w:pPr>
        <w:numPr>
          <w:ilvl w:val="0"/>
          <w:numId w:val="1419"/>
        </w:numPr>
        <w:pStyle w:val="Compact"/>
      </w:pPr>
      <w:r>
        <w:t xml:space="preserve">2018 · Kruger THC ·</w:t>
      </w:r>
      <w:r>
        <w:t xml:space="preserve"> </w:t>
      </w:r>
      <w:r>
        <w:rPr>
          <w:iCs/>
          <w:i/>
        </w:rPr>
        <w:t xml:space="preserve">J Clin Psychopharmacol</w:t>
      </w:r>
      <w:r>
        <w:t xml:space="preserve"> </w:t>
      </w:r>
      <w:r>
        <w:t xml:space="preserve">· Effects of Intranasal Oxytocin Administration on Sexual Functions in Healthy Women: A Laboratory Paradigm. PMID 29596150</w:t>
      </w:r>
    </w:p>
    <w:p>
      <w:pPr>
        <w:numPr>
          <w:ilvl w:val="0"/>
          <w:numId w:val="1419"/>
        </w:numPr>
        <w:pStyle w:val="Compact"/>
      </w:pPr>
      <w:r>
        <w:t xml:space="preserve">2018 · Kim YR ·</w:t>
      </w:r>
      <w:r>
        <w:t xml:space="preserve"> </w:t>
      </w:r>
      <w:r>
        <w:rPr>
          <w:iCs/>
          <w:i/>
        </w:rPr>
        <w:t xml:space="preserve">Psychoneuroendocrinology</w:t>
      </w:r>
      <w:r>
        <w:t xml:space="preserve"> </w:t>
      </w:r>
      <w:r>
        <w:t xml:space="preserve">· Effects of intranasal oxytocin on the attentional bias to emotional stimuli in patients with bulimia nervosa. PMID 29529522</w:t>
      </w:r>
    </w:p>
    <w:p>
      <w:pPr>
        <w:numPr>
          <w:ilvl w:val="0"/>
          <w:numId w:val="1419"/>
        </w:numPr>
        <w:pStyle w:val="Compact"/>
      </w:pPr>
      <w:r>
        <w:t xml:space="preserve">2018 · Warren KR ·</w:t>
      </w:r>
      <w:r>
        <w:t xml:space="preserve"> </w:t>
      </w:r>
      <w:r>
        <w:rPr>
          <w:iCs/>
          <w:i/>
        </w:rPr>
        <w:t xml:space="preserve">Physiol Behav</w:t>
      </w:r>
      <w:r>
        <w:t xml:space="preserve"> </w:t>
      </w:r>
      <w:r>
        <w:t xml:space="preserve">· Effects of intranasal oxytocin on satiety signaling in people with schizophrenia. PMID 29524451</w:t>
      </w:r>
    </w:p>
    <w:p>
      <w:pPr>
        <w:numPr>
          <w:ilvl w:val="0"/>
          <w:numId w:val="1419"/>
        </w:numPr>
        <w:pStyle w:val="Compact"/>
      </w:pPr>
      <w:r>
        <w:t xml:space="preserve">2018 · Grainger SA ·</w:t>
      </w:r>
      <w:r>
        <w:t xml:space="preserve"> </w:t>
      </w:r>
      <w:r>
        <w:rPr>
          <w:iCs/>
          <w:i/>
        </w:rPr>
        <w:t xml:space="preserve">Horm Behav</w:t>
      </w:r>
      <w:r>
        <w:t xml:space="preserve"> </w:t>
      </w:r>
      <w:r>
        <w:t xml:space="preserve">· Intranasal oxytocin does not reduce age-related difficulties in social cognition. PMID 29408521</w:t>
      </w:r>
    </w:p>
    <w:p>
      <w:pPr>
        <w:numPr>
          <w:ilvl w:val="0"/>
          <w:numId w:val="1419"/>
        </w:numPr>
        <w:pStyle w:val="Compact"/>
      </w:pPr>
      <w:r>
        <w:t xml:space="preserve">2018 · Schumacher S ·</w:t>
      </w:r>
      <w:r>
        <w:t xml:space="preserve"> </w:t>
      </w:r>
      <w:r>
        <w:rPr>
          <w:iCs/>
          <w:i/>
        </w:rPr>
        <w:t xml:space="preserve">PLoS One</w:t>
      </w:r>
      <w:r>
        <w:t xml:space="preserve"> </w:t>
      </w:r>
      <w:r>
        <w:t xml:space="preserve">· Does trait anxiety influence effects of oxytocin on eye-blink startle reactivity? A randomized, double-blind, placebo-controlled crossover study. PMID 29300752</w:t>
      </w:r>
    </w:p>
    <w:p>
      <w:pPr>
        <w:numPr>
          <w:ilvl w:val="0"/>
          <w:numId w:val="1419"/>
        </w:numPr>
        <w:pStyle w:val="Compact"/>
      </w:pPr>
      <w:r>
        <w:t xml:space="preserve">2018 · Flanagan JC ·</w:t>
      </w:r>
      <w:r>
        <w:t xml:space="preserve"> </w:t>
      </w:r>
      <w:r>
        <w:rPr>
          <w:iCs/>
          <w:i/>
        </w:rPr>
        <w:t xml:space="preserve">J Psychiatr Res</w:t>
      </w:r>
      <w:r>
        <w:t xml:space="preserve"> </w:t>
      </w:r>
      <w:r>
        <w:t xml:space="preserve">· Augmenting Prolonged Exposure therapy for PTSD with intranasal oxytocin: A randomized, placebo-controlled pilot trial. PMID 29294429</w:t>
      </w:r>
    </w:p>
    <w:p>
      <w:pPr>
        <w:numPr>
          <w:ilvl w:val="0"/>
          <w:numId w:val="1419"/>
        </w:numPr>
        <w:pStyle w:val="Compact"/>
      </w:pPr>
      <w:r>
        <w:t xml:space="preserve">2018 · Ota M ·</w:t>
      </w:r>
      <w:r>
        <w:t xml:space="preserve"> </w:t>
      </w:r>
      <w:r>
        <w:rPr>
          <w:iCs/>
          <w:i/>
        </w:rPr>
        <w:t xml:space="preserve">Postgrad Med</w:t>
      </w:r>
      <w:r>
        <w:t xml:space="preserve"> </w:t>
      </w:r>
      <w:r>
        <w:t xml:space="preserve">· The effects of adjunctive intranasal oxytocin in patients with schizophrenia. PMID 29105546</w:t>
      </w:r>
    </w:p>
    <w:p>
      <w:pPr>
        <w:numPr>
          <w:ilvl w:val="0"/>
          <w:numId w:val="1419"/>
        </w:numPr>
        <w:pStyle w:val="Compact"/>
      </w:pPr>
      <w:r>
        <w:t xml:space="preserve">2018 · Hansson AC ·</w:t>
      </w:r>
      <w:r>
        <w:t xml:space="preserve"> </w:t>
      </w:r>
      <w:r>
        <w:rPr>
          <w:iCs/>
          <w:i/>
        </w:rPr>
        <w:t xml:space="preserve">Neuropsychopharmacology</w:t>
      </w:r>
      <w:r>
        <w:t xml:space="preserve"> </w:t>
      </w:r>
      <w:r>
        <w:t xml:space="preserve">· Oxytocin Reduces Alcohol Cue-Reactivity in Alcohol-Dependent Rats and Humans. PMID 29090683</w:t>
      </w:r>
    </w:p>
    <w:p>
      <w:pPr>
        <w:numPr>
          <w:ilvl w:val="0"/>
          <w:numId w:val="1419"/>
        </w:numPr>
        <w:pStyle w:val="Compact"/>
      </w:pPr>
      <w:r>
        <w:t xml:space="preserve">2018 · Russell J ·</w:t>
      </w:r>
      <w:r>
        <w:t xml:space="preserve"> </w:t>
      </w:r>
      <w:r>
        <w:rPr>
          <w:iCs/>
          <w:i/>
        </w:rPr>
        <w:t xml:space="preserve">Psychoneuroendocrinology</w:t>
      </w:r>
      <w:r>
        <w:t xml:space="preserve"> </w:t>
      </w:r>
      <w:r>
        <w:t xml:space="preserve">· Intranasal oxytocin in the treatment of anorexia nervosa: Randomized controlled trial during re-feeding. PMID 29049935</w:t>
      </w:r>
    </w:p>
    <w:p>
      <w:pPr>
        <w:numPr>
          <w:ilvl w:val="0"/>
          <w:numId w:val="1419"/>
        </w:numPr>
        <w:pStyle w:val="Compact"/>
      </w:pPr>
      <w:r>
        <w:t xml:space="preserve">2018 · Rutherford HJV ·</w:t>
      </w:r>
      <w:r>
        <w:t xml:space="preserve"> </w:t>
      </w:r>
      <w:r>
        <w:rPr>
          <w:iCs/>
          <w:i/>
        </w:rPr>
        <w:t xml:space="preserve">Int J Psychophysiol</w:t>
      </w:r>
      <w:r>
        <w:t xml:space="preserve"> </w:t>
      </w:r>
      <w:r>
        <w:t xml:space="preserve">· Intranasal oxytocin decreases cross-frequency coupling of neural oscillations at rest. PMID 28965930</w:t>
      </w:r>
    </w:p>
    <w:p>
      <w:pPr>
        <w:numPr>
          <w:ilvl w:val="0"/>
          <w:numId w:val="1419"/>
        </w:numPr>
        <w:pStyle w:val="Compact"/>
      </w:pPr>
      <w:r>
        <w:t xml:space="preserve">2018 · Labuschagne I ·</w:t>
      </w:r>
      <w:r>
        <w:t xml:space="preserve"> </w:t>
      </w:r>
      <w:r>
        <w:rPr>
          <w:iCs/>
          <w:i/>
        </w:rPr>
        <w:t xml:space="preserve">Prog Neuropsychopharmacol Biol Psychiatry</w:t>
      </w:r>
      <w:r>
        <w:t xml:space="preserve"> </w:t>
      </w:r>
      <w:r>
        <w:t xml:space="preserve">· Oxytocin selectively modulates brain processing of disgust in Huntington’s disease gene carriers. PMID 28947180</w:t>
      </w:r>
    </w:p>
    <w:p>
      <w:pPr>
        <w:numPr>
          <w:ilvl w:val="0"/>
          <w:numId w:val="1419"/>
        </w:numPr>
        <w:pStyle w:val="Compact"/>
      </w:pPr>
      <w:r>
        <w:t xml:space="preserve">2018 · Plessow F ·</w:t>
      </w:r>
      <w:r>
        <w:t xml:space="preserve"> </w:t>
      </w:r>
      <w:r>
        <w:rPr>
          <w:iCs/>
          <w:i/>
        </w:rPr>
        <w:t xml:space="preserve">Neuropsychopharmacology</w:t>
      </w:r>
      <w:r>
        <w:t xml:space="preserve"> </w:t>
      </w:r>
      <w:r>
        <w:t xml:space="preserve">· Effects of Intranasal Oxytocin on the Blood Oxygenation Level-Dependent Signal in Food Motivation and Cognitive Control Pathways in Overweight and Obese Men. PMID 28930284</w:t>
      </w:r>
    </w:p>
    <w:p>
      <w:pPr>
        <w:numPr>
          <w:ilvl w:val="0"/>
          <w:numId w:val="1419"/>
        </w:numPr>
        <w:pStyle w:val="Compact"/>
      </w:pPr>
      <w:r>
        <w:t xml:space="preserve">2018 · Tracy LM ·</w:t>
      </w:r>
      <w:r>
        <w:t xml:space="preserve"> </w:t>
      </w:r>
      <w:r>
        <w:rPr>
          <w:iCs/>
          <w:i/>
        </w:rPr>
        <w:t xml:space="preserve">Prog Neuropsychopharmacol Biol Psychiatry</w:t>
      </w:r>
      <w:r>
        <w:t xml:space="preserve"> </w:t>
      </w:r>
      <w:r>
        <w:t xml:space="preserve">· Intranasal oxytocin reduces heart rate variability during a mental arithmetic task: A randomised, double-blind, placebo-controlled cross-over study. PMID 28844717</w:t>
      </w:r>
    </w:p>
    <w:p>
      <w:pPr>
        <w:numPr>
          <w:ilvl w:val="0"/>
          <w:numId w:val="1419"/>
        </w:numPr>
        <w:pStyle w:val="Compact"/>
      </w:pPr>
      <w:r>
        <w:t xml:space="preserve">2018 · Strathearn L ·</w:t>
      </w:r>
      <w:r>
        <w:t xml:space="preserve"> </w:t>
      </w:r>
      <w:r>
        <w:rPr>
          <w:iCs/>
          <w:i/>
        </w:rPr>
        <w:t xml:space="preserve">Dev Psychopathol</w:t>
      </w:r>
      <w:r>
        <w:t xml:space="preserve"> </w:t>
      </w:r>
      <w:r>
        <w:t xml:space="preserve">· Visual systemizing preference in children with autism: A randomized controlled trial of intranasal oxytocin. PMID 28712371</w:t>
      </w:r>
    </w:p>
    <w:p>
      <w:pPr>
        <w:numPr>
          <w:ilvl w:val="0"/>
          <w:numId w:val="1419"/>
        </w:numPr>
        <w:pStyle w:val="Compact"/>
      </w:pPr>
      <w:r>
        <w:t xml:space="preserve">2017 · Tollenaar MS ·</w:t>
      </w:r>
      <w:r>
        <w:t xml:space="preserve"> </w:t>
      </w:r>
      <w:r>
        <w:rPr>
          <w:iCs/>
          <w:i/>
        </w:rPr>
        <w:t xml:space="preserve">Psychopharmacology (Berl)</w:t>
      </w:r>
      <w:r>
        <w:t xml:space="preserve"> </w:t>
      </w:r>
      <w:r>
        <w:t xml:space="preserve">· Does oxytocin lead to emotional interference during a working memory paradigm?. PMID 28913643</w:t>
      </w:r>
    </w:p>
    <w:p>
      <w:pPr>
        <w:numPr>
          <w:ilvl w:val="0"/>
          <w:numId w:val="1419"/>
        </w:numPr>
        <w:pStyle w:val="Compact"/>
      </w:pPr>
      <w:r>
        <w:t xml:space="preserve">2017 · Rutherford HJV ·</w:t>
      </w:r>
      <w:r>
        <w:t xml:space="preserve"> </w:t>
      </w:r>
      <w:r>
        <w:rPr>
          <w:iCs/>
          <w:i/>
        </w:rPr>
        <w:t xml:space="preserve">Biol Psychol</w:t>
      </w:r>
      <w:r>
        <w:t xml:space="preserve"> </w:t>
      </w:r>
      <w:r>
        <w:t xml:space="preserve">· Intranasal oxytocin and the neural correlates of infant face processing in non-parent women. PMID 28800972</w:t>
      </w:r>
    </w:p>
    <w:p>
      <w:pPr>
        <w:numPr>
          <w:ilvl w:val="0"/>
          <w:numId w:val="1419"/>
        </w:numPr>
        <w:pStyle w:val="Compact"/>
      </w:pPr>
      <w:r>
        <w:t xml:space="preserve">2017 · Brodmann K ·</w:t>
      </w:r>
      <w:r>
        <w:t xml:space="preserve"> </w:t>
      </w:r>
      <w:r>
        <w:rPr>
          <w:iCs/>
          <w:i/>
        </w:rPr>
        <w:t xml:space="preserve">Brain Connect</w:t>
      </w:r>
      <w:r>
        <w:t xml:space="preserve"> </w:t>
      </w:r>
      <w:r>
        <w:t xml:space="preserve">· Intranasal Oxytocin Selectively Modulates Large-Scale Brain Networks in Humans. PMID 28762756</w:t>
      </w:r>
    </w:p>
    <w:p>
      <w:pPr>
        <w:numPr>
          <w:ilvl w:val="0"/>
          <w:numId w:val="1419"/>
        </w:numPr>
        <w:pStyle w:val="Compact"/>
      </w:pPr>
      <w:r>
        <w:t xml:space="preserve">2017 · Parker KJ ·</w:t>
      </w:r>
      <w:r>
        <w:t xml:space="preserve"> </w:t>
      </w:r>
      <w:r>
        <w:rPr>
          <w:iCs/>
          <w:i/>
        </w:rPr>
        <w:t xml:space="preserve">Proc Natl Acad Sci U S A</w:t>
      </w:r>
      <w:r>
        <w:t xml:space="preserve"> </w:t>
      </w:r>
      <w:r>
        <w:t xml:space="preserve">· Intranasal oxytocin treatment for social deficits and biomarkers of response in children with autism. PMID 28696286</w:t>
      </w:r>
    </w:p>
    <w:p>
      <w:pPr>
        <w:numPr>
          <w:ilvl w:val="0"/>
          <w:numId w:val="1419"/>
        </w:numPr>
        <w:pStyle w:val="Compact"/>
      </w:pPr>
      <w:r>
        <w:t xml:space="preserve">2017 · Spengler FB ·</w:t>
      </w:r>
      <w:r>
        <w:t xml:space="preserve"> </w:t>
      </w:r>
      <w:r>
        <w:rPr>
          <w:iCs/>
          <w:i/>
        </w:rPr>
        <w:t xml:space="preserve">Biol Psychiatry</w:t>
      </w:r>
      <w:r>
        <w:t xml:space="preserve"> </w:t>
      </w:r>
      <w:r>
        <w:t xml:space="preserve">· Kinetics and Dose Dependency of Intranasal Oxytocin Effects on Amygdala Reactivity. PMID 28629540</w:t>
      </w:r>
    </w:p>
    <w:p>
      <w:pPr>
        <w:numPr>
          <w:ilvl w:val="0"/>
          <w:numId w:val="1419"/>
        </w:numPr>
        <w:pStyle w:val="Compact"/>
      </w:pPr>
      <w:r>
        <w:t xml:space="preserve">2017 · Tracy LM ·</w:t>
      </w:r>
      <w:r>
        <w:t xml:space="preserve"> </w:t>
      </w:r>
      <w:r>
        <w:rPr>
          <w:iCs/>
          <w:i/>
        </w:rPr>
        <w:t xml:space="preserve">Psychoneuroendocrinology</w:t>
      </w:r>
      <w:r>
        <w:t xml:space="preserve"> </w:t>
      </w:r>
      <w:r>
        <w:t xml:space="preserve">· Sex-specific effects of intranasal oxytocin on thermal pain perception: A randomised, double-blind, placebo-controlled cross-over study. PMID 28601750</w:t>
      </w:r>
    </w:p>
    <w:p>
      <w:pPr>
        <w:numPr>
          <w:ilvl w:val="0"/>
          <w:numId w:val="1419"/>
        </w:numPr>
        <w:pStyle w:val="Compact"/>
      </w:pPr>
      <w:r>
        <w:t xml:space="preserve">2017 · Buchanan RW ·</w:t>
      </w:r>
      <w:r>
        <w:t xml:space="preserve"> </w:t>
      </w:r>
      <w:r>
        <w:rPr>
          <w:iCs/>
          <w:i/>
        </w:rPr>
        <w:t xml:space="preserve">J Clin Psychopharmacol</w:t>
      </w:r>
      <w:r>
        <w:t xml:space="preserve"> </w:t>
      </w:r>
      <w:r>
        <w:t xml:space="preserve">· A Randomized Clinical Trial of Oxytocin or Galantamine for the Treatment of Negative Symptoms and Cognitive Impairments in People With Schizophrenia. PMID 28590362</w:t>
      </w:r>
    </w:p>
    <w:p>
      <w:pPr>
        <w:numPr>
          <w:ilvl w:val="0"/>
          <w:numId w:val="1419"/>
        </w:numPr>
        <w:pStyle w:val="Compact"/>
      </w:pPr>
      <w:r>
        <w:t xml:space="preserve">2017 · Quintana DS ·</w:t>
      </w:r>
      <w:r>
        <w:t xml:space="preserve"> </w:t>
      </w:r>
      <w:r>
        <w:rPr>
          <w:iCs/>
          <w:i/>
        </w:rPr>
        <w:t xml:space="preserve">Transl Psychiatry</w:t>
      </w:r>
      <w:r>
        <w:t xml:space="preserve"> </w:t>
      </w:r>
      <w:r>
        <w:t xml:space="preserve">· Dose-dependent social-cognitive effects of intranasal oxytocin delivered with novel Breath Powered device in adults with autism spectrum disorder: a randomized placebo-controlled double-blind crossover trial. PMID 28534875</w:t>
      </w:r>
    </w:p>
    <w:p>
      <w:pPr>
        <w:numPr>
          <w:ilvl w:val="0"/>
          <w:numId w:val="1419"/>
        </w:numPr>
        <w:pStyle w:val="Compact"/>
      </w:pPr>
      <w:r>
        <w:t xml:space="preserve">2017 · Caravaggio F ·</w:t>
      </w:r>
      <w:r>
        <w:t xml:space="preserve"> </w:t>
      </w:r>
      <w:r>
        <w:rPr>
          <w:iCs/>
          <w:i/>
        </w:rPr>
        <w:t xml:space="preserve">Psychoneuroendocrinology</w:t>
      </w:r>
      <w:r>
        <w:t xml:space="preserve"> </w:t>
      </w:r>
      <w:r>
        <w:t xml:space="preserve">· Intranasal oxytocin does not modulate jumping to conclusions in schizophrenia: Potential interactions with caudate volume and baseline social functioning. PMID 28431278</w:t>
      </w:r>
    </w:p>
    <w:p>
      <w:pPr>
        <w:numPr>
          <w:ilvl w:val="0"/>
          <w:numId w:val="1419"/>
        </w:numPr>
        <w:pStyle w:val="Compact"/>
      </w:pPr>
      <w:r>
        <w:t xml:space="preserve">2017 · Kanat M ·</w:t>
      </w:r>
      <w:r>
        <w:t xml:space="preserve"> </w:t>
      </w:r>
      <w:r>
        <w:rPr>
          <w:iCs/>
          <w:i/>
        </w:rPr>
        <w:t xml:space="preserve">Transl Psychiatry</w:t>
      </w:r>
      <w:r>
        <w:t xml:space="preserve"> </w:t>
      </w:r>
      <w:r>
        <w:t xml:space="preserve">· Restoring effects of oxytocin on the attentional preference for faces in autism. PMID 28418399</w:t>
      </w:r>
    </w:p>
    <w:p>
      <w:pPr>
        <w:numPr>
          <w:ilvl w:val="0"/>
          <w:numId w:val="1419"/>
        </w:numPr>
        <w:pStyle w:val="Compact"/>
      </w:pPr>
      <w:r>
        <w:t xml:space="preserve">2017 · Bethlehem RAI ·</w:t>
      </w:r>
      <w:r>
        <w:t xml:space="preserve"> </w:t>
      </w:r>
      <w:r>
        <w:rPr>
          <w:iCs/>
          <w:i/>
        </w:rPr>
        <w:t xml:space="preserve">Transl Psychiatry</w:t>
      </w:r>
      <w:r>
        <w:t xml:space="preserve"> </w:t>
      </w:r>
      <w:r>
        <w:t xml:space="preserve">· Intranasal oxytocin enhances intrinsic corticostriatal functional connectivity in women. PMID 28418398</w:t>
      </w:r>
    </w:p>
    <w:p>
      <w:pPr>
        <w:numPr>
          <w:ilvl w:val="0"/>
          <w:numId w:val="1419"/>
        </w:numPr>
        <w:pStyle w:val="Compact"/>
      </w:pPr>
      <w:r>
        <w:t xml:space="preserve">2017 · Rash JA ·</w:t>
      </w:r>
      <w:r>
        <w:t xml:space="preserve"> </w:t>
      </w:r>
      <w:r>
        <w:rPr>
          <w:iCs/>
          <w:i/>
        </w:rPr>
        <w:t xml:space="preserve">BMJ Open</w:t>
      </w:r>
      <w:r>
        <w:t xml:space="preserve"> </w:t>
      </w:r>
      <w:r>
        <w:t xml:space="preserve">· Protocol for a placebo-controlled, within-participants crossover trial evaluating the efficacy of intranasal oxytocin to improve pain and function among women with chronic pelvic musculoskeletal pain. PMID 28416501</w:t>
      </w:r>
    </w:p>
    <w:p>
      <w:pPr>
        <w:numPr>
          <w:ilvl w:val="0"/>
          <w:numId w:val="1419"/>
        </w:numPr>
        <w:pStyle w:val="Compact"/>
      </w:pPr>
      <w:r>
        <w:t xml:space="preserve">2017 · Miller JL ·</w:t>
      </w:r>
      <w:r>
        <w:t xml:space="preserve"> </w:t>
      </w:r>
      <w:r>
        <w:rPr>
          <w:iCs/>
          <w:i/>
        </w:rPr>
        <w:t xml:space="preserve">Am J Med Genet A</w:t>
      </w:r>
      <w:r>
        <w:t xml:space="preserve"> </w:t>
      </w:r>
      <w:r>
        <w:t xml:space="preserve">· Oxytocin treatment in children with Prader-Willi syndrome: A double-blind, placebo-controlled, crossover study. PMID 28371242</w:t>
      </w:r>
    </w:p>
    <w:p>
      <w:pPr>
        <w:numPr>
          <w:ilvl w:val="0"/>
          <w:numId w:val="1419"/>
        </w:numPr>
        <w:pStyle w:val="Compact"/>
      </w:pPr>
      <w:r>
        <w:t xml:space="preserve">2017 · Sack M ·</w:t>
      </w:r>
      <w:r>
        <w:t xml:space="preserve"> </w:t>
      </w:r>
      <w:r>
        <w:rPr>
          <w:iCs/>
          <w:i/>
        </w:rPr>
        <w:t xml:space="preserve">BMC Med</w:t>
      </w:r>
      <w:r>
        <w:t xml:space="preserve"> </w:t>
      </w:r>
      <w:r>
        <w:t xml:space="preserve">· Intranasal oxytocin reduces provoked symptoms in female patients with posttraumatic stress disorder despite exerting sympathomimetic and positive chronotropic effects in a randomized controlled trial. PMID 28209155</w:t>
      </w:r>
    </w:p>
    <w:p>
      <w:pPr>
        <w:numPr>
          <w:ilvl w:val="0"/>
          <w:numId w:val="1419"/>
        </w:numPr>
        <w:pStyle w:val="Compact"/>
      </w:pPr>
      <w:r>
        <w:t xml:space="preserve">2017 · Muin DA ·</w:t>
      </w:r>
      <w:r>
        <w:t xml:space="preserve"> </w:t>
      </w:r>
      <w:r>
        <w:rPr>
          <w:iCs/>
          <w:i/>
        </w:rPr>
        <w:t xml:space="preserve">Fertil Steril</w:t>
      </w:r>
      <w:r>
        <w:t xml:space="preserve"> </w:t>
      </w:r>
      <w:r>
        <w:t xml:space="preserve">· Men’s sexual response to female partner’s intranasal oxytocin administration for hypoactive sexual desire disorder: an open prospective cohort study. PMID 28189292</w:t>
      </w:r>
    </w:p>
    <w:p>
      <w:pPr>
        <w:numPr>
          <w:ilvl w:val="0"/>
          <w:numId w:val="1419"/>
        </w:numPr>
        <w:pStyle w:val="Compact"/>
      </w:pPr>
      <w:r>
        <w:t xml:space="preserve">2017 · Li T ·</w:t>
      </w:r>
      <w:r>
        <w:t xml:space="preserve"> </w:t>
      </w:r>
      <w:r>
        <w:rPr>
          <w:iCs/>
          <w:i/>
        </w:rPr>
        <w:t xml:space="preserve">Horm Behav</w:t>
      </w:r>
      <w:r>
        <w:t xml:space="preserve"> </w:t>
      </w:r>
      <w:r>
        <w:t xml:space="preserve">· Intranasal oxytocin, but not vasopressin, augments neural responses to toddlers in human fathers. PMID 28161387</w:t>
      </w:r>
    </w:p>
    <w:p>
      <w:pPr>
        <w:numPr>
          <w:ilvl w:val="0"/>
          <w:numId w:val="1419"/>
        </w:numPr>
        <w:pStyle w:val="Compact"/>
      </w:pPr>
      <w:r>
        <w:t xml:space="preserve">2017 · Chen X ·</w:t>
      </w:r>
      <w:r>
        <w:t xml:space="preserve"> </w:t>
      </w:r>
      <w:r>
        <w:rPr>
          <w:iCs/>
          <w:i/>
        </w:rPr>
        <w:t xml:space="preserve">Psychoneuroendocrinology</w:t>
      </w:r>
      <w:r>
        <w:t xml:space="preserve"> </w:t>
      </w:r>
      <w:r>
        <w:t xml:space="preserve">· Within vs. between-subject effects of intranasal oxytocin on the neural response to cooperative and non-cooperative social interactions. PMID 28142074</w:t>
      </w:r>
    </w:p>
    <w:p>
      <w:pPr>
        <w:numPr>
          <w:ilvl w:val="0"/>
          <w:numId w:val="1419"/>
        </w:numPr>
        <w:pStyle w:val="Compact"/>
      </w:pPr>
      <w:r>
        <w:t xml:space="preserve">2017 · Leppanen J ·</w:t>
      </w:r>
      <w:r>
        <w:t xml:space="preserve"> </w:t>
      </w:r>
      <w:r>
        <w:rPr>
          <w:iCs/>
          <w:i/>
        </w:rPr>
        <w:t xml:space="preserve">J Neuroendocrinol</w:t>
      </w:r>
      <w:r>
        <w:t xml:space="preserve"> </w:t>
      </w:r>
      <w:r>
        <w:t xml:space="preserve">· Effects of Intranasal Oxytocin on the Interpretation and Expression of Emotions in Anorexia Nervosa. PMID 28140486</w:t>
      </w:r>
    </w:p>
    <w:p>
      <w:pPr>
        <w:numPr>
          <w:ilvl w:val="0"/>
          <w:numId w:val="1419"/>
        </w:numPr>
        <w:pStyle w:val="Compact"/>
      </w:pPr>
      <w:r>
        <w:t xml:space="preserve">2017 · Jarskog LF ·</w:t>
      </w:r>
      <w:r>
        <w:t xml:space="preserve"> </w:t>
      </w:r>
      <w:r>
        <w:rPr>
          <w:iCs/>
          <w:i/>
        </w:rPr>
        <w:t xml:space="preserve">Schizophr Res</w:t>
      </w:r>
      <w:r>
        <w:t xml:space="preserve"> </w:t>
      </w:r>
      <w:r>
        <w:t xml:space="preserve">· A 12-week randomized controlled trial of twice-daily intranasal oxytocin for social cognitive deficits in people with schizophrenia. PMID 28094169</w:t>
      </w:r>
    </w:p>
    <w:p>
      <w:pPr>
        <w:numPr>
          <w:ilvl w:val="0"/>
          <w:numId w:val="1419"/>
        </w:numPr>
        <w:pStyle w:val="Compact"/>
      </w:pPr>
      <w:r>
        <w:t xml:space="preserve">2017 · Woolley JD ·</w:t>
      </w:r>
      <w:r>
        <w:t xml:space="preserve"> </w:t>
      </w:r>
      <w:r>
        <w:rPr>
          <w:iCs/>
          <w:i/>
        </w:rPr>
        <w:t xml:space="preserve">Psychol Med</w:t>
      </w:r>
      <w:r>
        <w:t xml:space="preserve"> </w:t>
      </w:r>
      <w:r>
        <w:t xml:space="preserve">· Intranasal oxytocin increases facial expressivity, but not ratings of trustworthiness, in patients with schizophrenia and healthy controls. PMID 28091349</w:t>
      </w:r>
    </w:p>
    <w:p>
      <w:pPr>
        <w:numPr>
          <w:ilvl w:val="0"/>
          <w:numId w:val="1419"/>
        </w:numPr>
        <w:pStyle w:val="Compact"/>
      </w:pPr>
      <w:r>
        <w:t xml:space="preserve">2017 · van Zuiden M ·</w:t>
      </w:r>
      <w:r>
        <w:t xml:space="preserve"> </w:t>
      </w:r>
      <w:r>
        <w:rPr>
          <w:iCs/>
          <w:i/>
        </w:rPr>
        <w:t xml:space="preserve">Biol Psychiatry</w:t>
      </w:r>
      <w:r>
        <w:t xml:space="preserve"> </w:t>
      </w:r>
      <w:r>
        <w:t xml:space="preserve">· Intranasal Oxytocin to Prevent Posttraumatic Stress Disorder Symptoms: A Randomized Controlled Trial in Emergency Department Patients. PMID 28087128</w:t>
      </w:r>
    </w:p>
    <w:p>
      <w:pPr>
        <w:numPr>
          <w:ilvl w:val="0"/>
          <w:numId w:val="1419"/>
        </w:numPr>
        <w:pStyle w:val="Compact"/>
      </w:pPr>
      <w:r>
        <w:t xml:space="preserve">2017 · Xu X ·</w:t>
      </w:r>
      <w:r>
        <w:t xml:space="preserve"> </w:t>
      </w:r>
      <w:r>
        <w:rPr>
          <w:iCs/>
          <w:i/>
        </w:rPr>
        <w:t xml:space="preserve">Sci Rep</w:t>
      </w:r>
      <w:r>
        <w:t xml:space="preserve"> </w:t>
      </w:r>
      <w:r>
        <w:t xml:space="preserve">· Oxytocin biases men but not women to restore social connections with individuals who socially exclude them. PMID 28079166</w:t>
      </w:r>
    </w:p>
    <w:p>
      <w:pPr>
        <w:numPr>
          <w:ilvl w:val="0"/>
          <w:numId w:val="1419"/>
        </w:numPr>
        <w:pStyle w:val="Compact"/>
      </w:pPr>
      <w:r>
        <w:t xml:space="preserve">2017 · Hecht EE ·</w:t>
      </w:r>
      <w:r>
        <w:t xml:space="preserve"> </w:t>
      </w:r>
      <w:r>
        <w:rPr>
          <w:iCs/>
          <w:i/>
        </w:rPr>
        <w:t xml:space="preserve">Neuroimage</w:t>
      </w:r>
      <w:r>
        <w:t xml:space="preserve"> </w:t>
      </w:r>
      <w:r>
        <w:t xml:space="preserve">· Intranasal oxytocin reduces social perception in women: Neural activation and individual variation. PMID 27989775</w:t>
      </w:r>
    </w:p>
    <w:p>
      <w:pPr>
        <w:numPr>
          <w:ilvl w:val="0"/>
          <w:numId w:val="1419"/>
        </w:numPr>
        <w:pStyle w:val="Compact"/>
      </w:pPr>
      <w:r>
        <w:t xml:space="preserve">2017 · Nawijn L ·</w:t>
      </w:r>
      <w:r>
        <w:t xml:space="preserve"> </w:t>
      </w:r>
      <w:r>
        <w:rPr>
          <w:iCs/>
          <w:i/>
        </w:rPr>
        <w:t xml:space="preserve">Soc Cogn Affect Neurosci</w:t>
      </w:r>
      <w:r>
        <w:t xml:space="preserve"> </w:t>
      </w:r>
      <w:r>
        <w:t xml:space="preserve">· Intranasal oxytocin increases neural responses to social reward in post-traumatic stress disorder. PMID 27614769</w:t>
      </w:r>
    </w:p>
    <w:p>
      <w:pPr>
        <w:numPr>
          <w:ilvl w:val="0"/>
          <w:numId w:val="1419"/>
        </w:numPr>
        <w:pStyle w:val="Compact"/>
      </w:pPr>
      <w:r>
        <w:t xml:space="preserve">2017 · Palgi S ·</w:t>
      </w:r>
      <w:r>
        <w:t xml:space="preserve"> </w:t>
      </w:r>
      <w:r>
        <w:rPr>
          <w:iCs/>
          <w:i/>
        </w:rPr>
        <w:t xml:space="preserve">Psychol Trauma</w:t>
      </w:r>
      <w:r>
        <w:t xml:space="preserve"> </w:t>
      </w:r>
      <w:r>
        <w:t xml:space="preserve">· The role of oxytocin in empathy in PTSD. PMID 27243570</w:t>
      </w:r>
    </w:p>
    <w:p>
      <w:pPr>
        <w:numPr>
          <w:ilvl w:val="0"/>
          <w:numId w:val="1419"/>
        </w:numPr>
        <w:pStyle w:val="Compact"/>
      </w:pPr>
      <w:r>
        <w:t xml:space="preserve">2017 · Mah BL ·</w:t>
      </w:r>
      <w:r>
        <w:t xml:space="preserve"> </w:t>
      </w:r>
      <w:r>
        <w:rPr>
          <w:iCs/>
          <w:i/>
        </w:rPr>
        <w:t xml:space="preserve">Child Psychiatry Hum Dev</w:t>
      </w:r>
      <w:r>
        <w:t xml:space="preserve"> </w:t>
      </w:r>
      <w:r>
        <w:t xml:space="preserve">· The Effects of Intranasal Oxytocin Administration on Sensitive Caregiving in Mothers with Postnatal Depression. PMID 27100724</w:t>
      </w:r>
    </w:p>
    <w:p>
      <w:pPr>
        <w:numPr>
          <w:ilvl w:val="0"/>
          <w:numId w:val="1419"/>
        </w:numPr>
        <w:pStyle w:val="Compact"/>
      </w:pPr>
      <w:r>
        <w:t xml:space="preserve">2016 · Gordon I ·</w:t>
      </w:r>
      <w:r>
        <w:t xml:space="preserve"> </w:t>
      </w:r>
      <w:r>
        <w:rPr>
          <w:iCs/>
          <w:i/>
        </w:rPr>
        <w:t xml:space="preserve">Sci Rep</w:t>
      </w:r>
      <w:r>
        <w:t xml:space="preserve"> </w:t>
      </w:r>
      <w:r>
        <w:t xml:space="preserve">· Intranasal Oxytocin Enhances Connectivity in the Neural Circuitry Supporting Social Motivation and Social Perception in Children with Autism. PMID 27845765</w:t>
      </w:r>
    </w:p>
    <w:p>
      <w:pPr>
        <w:numPr>
          <w:ilvl w:val="0"/>
          <w:numId w:val="1419"/>
        </w:numPr>
        <w:pStyle w:val="Compact"/>
      </w:pPr>
      <w:r>
        <w:t xml:space="preserve">2016 · Miller MA ·</w:t>
      </w:r>
      <w:r>
        <w:t xml:space="preserve"> </w:t>
      </w:r>
      <w:r>
        <w:rPr>
          <w:iCs/>
          <w:i/>
        </w:rPr>
        <w:t xml:space="preserve">Behav Pharmacol</w:t>
      </w:r>
      <w:r>
        <w:t xml:space="preserve"> </w:t>
      </w:r>
      <w:r>
        <w:t xml:space="preserve">· Intranasal oxytocin dampens cue-elicited cigarette craving in daily smokers: a pilot study. PMID 27661192</w:t>
      </w:r>
    </w:p>
    <w:p>
      <w:pPr>
        <w:numPr>
          <w:ilvl w:val="0"/>
          <w:numId w:val="1419"/>
        </w:numPr>
        <w:pStyle w:val="Compact"/>
      </w:pPr>
      <w:r>
        <w:t xml:space="preserve">2016 · Mickey BJ ·</w:t>
      </w:r>
      <w:r>
        <w:t xml:space="preserve"> </w:t>
      </w:r>
      <w:r>
        <w:rPr>
          <w:iCs/>
          <w:i/>
        </w:rPr>
        <w:t xml:space="preserve">Psychopharmacology (Berl)</w:t>
      </w:r>
      <w:r>
        <w:t xml:space="preserve"> </w:t>
      </w:r>
      <w:r>
        <w:t xml:space="preserve">· Oxytocin modulates hemodynamic responses to monetary incentives in humans. PMID 27614896</w:t>
      </w:r>
    </w:p>
    <w:p>
      <w:pPr>
        <w:numPr>
          <w:ilvl w:val="0"/>
          <w:numId w:val="1419"/>
        </w:numPr>
        <w:pStyle w:val="Compact"/>
      </w:pPr>
      <w:r>
        <w:t xml:space="preserve">2016 · Kosaka H ·</w:t>
      </w:r>
      <w:r>
        <w:t xml:space="preserve"> </w:t>
      </w:r>
      <w:r>
        <w:rPr>
          <w:iCs/>
          <w:i/>
        </w:rPr>
        <w:t xml:space="preserve">Transl Psychiatry</w:t>
      </w:r>
      <w:r>
        <w:t xml:space="preserve"> </w:t>
      </w:r>
      <w:r>
        <w:t xml:space="preserve">· Oxytocin efficacy is modulated by dosage and oxytocin receptor genotype in young adults with high-functioning autism: a 24-week randomized clinical trial. PMID 27552585</w:t>
      </w:r>
    </w:p>
    <w:p>
      <w:pPr>
        <w:numPr>
          <w:ilvl w:val="0"/>
          <w:numId w:val="1419"/>
        </w:numPr>
        <w:pStyle w:val="Compact"/>
      </w:pPr>
      <w:r>
        <w:t xml:space="preserve">2016 · Zunhammer M ·</w:t>
      </w:r>
      <w:r>
        <w:t xml:space="preserve"> </w:t>
      </w:r>
      <w:r>
        <w:rPr>
          <w:iCs/>
          <w:i/>
        </w:rPr>
        <w:t xml:space="preserve">Sci Rep</w:t>
      </w:r>
      <w:r>
        <w:t xml:space="preserve"> </w:t>
      </w:r>
      <w:r>
        <w:t xml:space="preserve">· Pain modulation by intranasal oxytocin and emotional picture viewing - a randomized double-blind fMRI study. PMID 27546446</w:t>
      </w:r>
    </w:p>
    <w:p>
      <w:pPr>
        <w:numPr>
          <w:ilvl w:val="0"/>
          <w:numId w:val="1419"/>
        </w:numPr>
        <w:pStyle w:val="Compact"/>
      </w:pPr>
      <w:r>
        <w:t xml:space="preserve">2016 · Brambilla M ·</w:t>
      </w:r>
      <w:r>
        <w:t xml:space="preserve"> </w:t>
      </w:r>
      <w:r>
        <w:rPr>
          <w:iCs/>
          <w:i/>
        </w:rPr>
        <w:t xml:space="preserve">Eur Neuropsychopharmacol</w:t>
      </w:r>
      <w:r>
        <w:t xml:space="preserve"> </w:t>
      </w:r>
      <w:r>
        <w:t xml:space="preserve">· Oxytocin to modulate emotional processing in schizophrenia: A randomized, double-blind, cross-over clinical trial. PMID 27527256</w:t>
      </w:r>
    </w:p>
    <w:p>
      <w:pPr>
        <w:numPr>
          <w:ilvl w:val="0"/>
          <w:numId w:val="1419"/>
        </w:numPr>
        <w:pStyle w:val="Compact"/>
      </w:pPr>
      <w:r>
        <w:t xml:space="preserve">2016 · Kuppens RJ ·</w:t>
      </w:r>
      <w:r>
        <w:t xml:space="preserve"> </w:t>
      </w:r>
      <w:r>
        <w:rPr>
          <w:iCs/>
          <w:i/>
        </w:rPr>
        <w:t xml:space="preserve">Clin Endocrinol (Oxf)</w:t>
      </w:r>
      <w:r>
        <w:t xml:space="preserve"> </w:t>
      </w:r>
      <w:r>
        <w:t xml:space="preserve">· Promising effects of oxytocin on social and food-related behaviour in young children with Prader-Willi syndrome: a randomized, double-blind, controlled crossover trial. PMID 27486141</w:t>
      </w:r>
    </w:p>
    <w:p>
      <w:pPr>
        <w:numPr>
          <w:ilvl w:val="0"/>
          <w:numId w:val="1419"/>
        </w:numPr>
        <w:pStyle w:val="Compact"/>
      </w:pPr>
      <w:r>
        <w:t xml:space="preserve">2016 · Cardoso C ·</w:t>
      </w:r>
      <w:r>
        <w:t xml:space="preserve"> </w:t>
      </w:r>
      <w:r>
        <w:rPr>
          <w:iCs/>
          <w:i/>
        </w:rPr>
        <w:t xml:space="preserve">Psychoneuroendocrinology</w:t>
      </w:r>
      <w:r>
        <w:t xml:space="preserve"> </w:t>
      </w:r>
      <w:r>
        <w:t xml:space="preserve">· Oxytocin and social context moderate social support seeking in women during negative memory recall. PMID 27164224</w:t>
      </w:r>
    </w:p>
    <w:p>
      <w:pPr>
        <w:numPr>
          <w:ilvl w:val="0"/>
          <w:numId w:val="1419"/>
        </w:numPr>
        <w:pStyle w:val="Compact"/>
      </w:pPr>
      <w:r>
        <w:t xml:space="preserve">2016 · Mitchell JM ·</w:t>
      </w:r>
      <w:r>
        <w:t xml:space="preserve"> </w:t>
      </w:r>
      <w:r>
        <w:rPr>
          <w:iCs/>
          <w:i/>
        </w:rPr>
        <w:t xml:space="preserve">J Addict Med</w:t>
      </w:r>
      <w:r>
        <w:t xml:space="preserve"> </w:t>
      </w:r>
      <w:r>
        <w:t xml:space="preserve">· Intranasal Oxytocin Selectively Modulates Social Perception, Craving, and Approach Behavior in Subjects With Alcohol Use Disorder. PMID 27159342</w:t>
      </w:r>
    </w:p>
    <w:p>
      <w:pPr>
        <w:numPr>
          <w:ilvl w:val="0"/>
          <w:numId w:val="1419"/>
        </w:numPr>
        <w:pStyle w:val="Compact"/>
      </w:pPr>
      <w:r>
        <w:t xml:space="preserve">2016 · Woolley JD ·</w:t>
      </w:r>
      <w:r>
        <w:t xml:space="preserve"> </w:t>
      </w:r>
      <w:r>
        <w:rPr>
          <w:iCs/>
          <w:i/>
        </w:rPr>
        <w:t xml:space="preserve">Psychopharmacology (Berl)</w:t>
      </w:r>
      <w:r>
        <w:t xml:space="preserve"> </w:t>
      </w:r>
      <w:r>
        <w:t xml:space="preserve">· The effects of intranasal oxytocin in opioid-dependent individuals and healthy control subjects: a pilot study. PMID 27137199</w:t>
      </w:r>
    </w:p>
    <w:p>
      <w:pPr>
        <w:numPr>
          <w:ilvl w:val="0"/>
          <w:numId w:val="1419"/>
        </w:numPr>
        <w:pStyle w:val="Compact"/>
      </w:pPr>
      <w:r>
        <w:t xml:space="preserve">2016 · Quintana DS ·</w:t>
      </w:r>
      <w:r>
        <w:t xml:space="preserve"> </w:t>
      </w:r>
      <w:r>
        <w:rPr>
          <w:iCs/>
          <w:i/>
        </w:rPr>
        <w:t xml:space="preserve">Psychoneuroendocrinology</w:t>
      </w:r>
      <w:r>
        <w:t xml:space="preserve"> </w:t>
      </w:r>
      <w:r>
        <w:t xml:space="preserve">· Low dose intranasal oxytocin delivered with Breath Powered device dampens amygdala response to emotional stimuli: A peripheral effect-controlled within-subjects randomized dose-response fMRI trial. PMID 27107209</w:t>
      </w:r>
    </w:p>
    <w:p>
      <w:pPr>
        <w:numPr>
          <w:ilvl w:val="0"/>
          <w:numId w:val="1419"/>
        </w:numPr>
        <w:pStyle w:val="Compact"/>
      </w:pPr>
      <w:r>
        <w:t xml:space="preserve">2016 · Hertz U ·</w:t>
      </w:r>
      <w:r>
        <w:t xml:space="preserve"> </w:t>
      </w:r>
      <w:r>
        <w:rPr>
          <w:iCs/>
          <w:i/>
        </w:rPr>
        <w:t xml:space="preserve">PLoS One</w:t>
      </w:r>
      <w:r>
        <w:t xml:space="preserve"> </w:t>
      </w:r>
      <w:r>
        <w:t xml:space="preserve">· Oxytocin Effect on Collective Decision Making: A Randomized Placebo Controlled Study. PMID 27070542</w:t>
      </w:r>
    </w:p>
    <w:p>
      <w:pPr>
        <w:numPr>
          <w:ilvl w:val="0"/>
          <w:numId w:val="1419"/>
        </w:numPr>
        <w:pStyle w:val="Compact"/>
      </w:pPr>
      <w:r>
        <w:t xml:space="preserve">2016 · Cardoso C ·</w:t>
      </w:r>
      <w:r>
        <w:t xml:space="preserve"> </w:t>
      </w:r>
      <w:r>
        <w:rPr>
          <w:iCs/>
          <w:i/>
        </w:rPr>
        <w:t xml:space="preserve">Psychoneuroendocrinology</w:t>
      </w:r>
      <w:r>
        <w:t xml:space="preserve"> </w:t>
      </w:r>
      <w:r>
        <w:t xml:space="preserve">· Memory response to oxytocin predicts relationship dissolution over 18 months. PMID 26986091</w:t>
      </w:r>
    </w:p>
    <w:p>
      <w:pPr>
        <w:numPr>
          <w:ilvl w:val="0"/>
          <w:numId w:val="1419"/>
        </w:numPr>
        <w:pStyle w:val="Compact"/>
      </w:pPr>
      <w:r>
        <w:t xml:space="preserve">2016 · Colonnello V ·</w:t>
      </w:r>
      <w:r>
        <w:t xml:space="preserve"> </w:t>
      </w:r>
      <w:r>
        <w:rPr>
          <w:iCs/>
          <w:i/>
        </w:rPr>
        <w:t xml:space="preserve">Psychoneuroendocrinology</w:t>
      </w:r>
      <w:r>
        <w:t xml:space="preserve"> </w:t>
      </w:r>
      <w:r>
        <w:t xml:space="preserve">· As time goes by: Oxytocin influences the subjective perception of time in a social context. PMID 26945451</w:t>
      </w:r>
    </w:p>
    <w:p>
      <w:pPr>
        <w:numPr>
          <w:ilvl w:val="0"/>
          <w:numId w:val="1419"/>
        </w:numPr>
        <w:pStyle w:val="Compact"/>
      </w:pPr>
      <w:r>
        <w:t xml:space="preserve">2016 · Dagani J ·</w:t>
      </w:r>
      <w:r>
        <w:t xml:space="preserve"> </w:t>
      </w:r>
      <w:r>
        <w:rPr>
          <w:iCs/>
          <w:i/>
        </w:rPr>
        <w:t xml:space="preserve">Schizophr Res</w:t>
      </w:r>
      <w:r>
        <w:t xml:space="preserve"> </w:t>
      </w:r>
      <w:r>
        <w:t xml:space="preserve">· Do we need oxytocin to treat schizophrenia? A randomized clinical trial. PMID 26883950</w:t>
      </w:r>
    </w:p>
    <w:p>
      <w:pPr>
        <w:numPr>
          <w:ilvl w:val="0"/>
          <w:numId w:val="1419"/>
        </w:numPr>
        <w:pStyle w:val="Compact"/>
      </w:pPr>
      <w:r>
        <w:t xml:space="preserve">2016 · Nawijn L ·</w:t>
      </w:r>
      <w:r>
        <w:t xml:space="preserve"> </w:t>
      </w:r>
      <w:r>
        <w:rPr>
          <w:iCs/>
          <w:i/>
        </w:rPr>
        <w:t xml:space="preserve">Psychoneuroendocrinology</w:t>
      </w:r>
      <w:r>
        <w:t xml:space="preserve"> </w:t>
      </w:r>
      <w:r>
        <w:t xml:space="preserve">· Intranasal oxytocin enhances neural processing of monetary reward and loss in post-traumatic stress disorder and traumatized controls. PMID 26851698</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Normalizes Amygdala Functional Connectivity in Posttraumatic Stress Disorder. PMID 26741286</w:t>
      </w:r>
    </w:p>
    <w:p>
      <w:pPr>
        <w:numPr>
          <w:ilvl w:val="0"/>
          <w:numId w:val="1419"/>
        </w:numPr>
        <w:pStyle w:val="Compact"/>
      </w:pPr>
      <w:r>
        <w:t xml:space="preserve">2016 · Busnelli M ·</w:t>
      </w:r>
      <w:r>
        <w:t xml:space="preserve"> </w:t>
      </w:r>
      <w:r>
        <w:rPr>
          <w:iCs/>
          <w:i/>
        </w:rPr>
        <w:t xml:space="preserve">J Neuroendocrinol</w:t>
      </w:r>
      <w:r>
        <w:t xml:space="preserve"> </w:t>
      </w:r>
      <w:r>
        <w:t xml:space="preserve">· Unaltered Oxytocin and Vasopressin Plasma Levels in Patients with Schizophrenia After 4 Months of Daily Treatment with Intranasal Oxytocin. PMID 26715485</w:t>
      </w:r>
    </w:p>
    <w:p>
      <w:pPr>
        <w:numPr>
          <w:ilvl w:val="0"/>
          <w:numId w:val="1419"/>
        </w:numPr>
        <w:pStyle w:val="Compact"/>
      </w:pPr>
      <w:r>
        <w:t xml:space="preserve">2016 · Palgi S ·</w:t>
      </w:r>
      <w:r>
        <w:t xml:space="preserve"> </w:t>
      </w:r>
      <w:r>
        <w:rPr>
          <w:iCs/>
          <w:i/>
        </w:rPr>
        <w:t xml:space="preserve">Psychoneuroendocrinology</w:t>
      </w:r>
      <w:r>
        <w:t xml:space="preserve"> </w:t>
      </w:r>
      <w:r>
        <w:t xml:space="preserve">· Oxytocin improves compassion toward women among patients with PTSD. PMID 26671007</w:t>
      </w:r>
    </w:p>
    <w:p>
      <w:pPr>
        <w:numPr>
          <w:ilvl w:val="0"/>
          <w:numId w:val="1419"/>
        </w:numPr>
        <w:pStyle w:val="Compact"/>
      </w:pPr>
      <w:r>
        <w:t xml:space="preserve">2016 · Paloyelis Y ·</w:t>
      </w:r>
      <w:r>
        <w:t xml:space="preserve"> </w:t>
      </w:r>
      <w:r>
        <w:rPr>
          <w:iCs/>
          <w:i/>
        </w:rPr>
        <w:t xml:space="preserve">J Neuroendocrinol</w:t>
      </w:r>
      <w:r>
        <w:t xml:space="preserve"> </w:t>
      </w:r>
      <w:r>
        <w:t xml:space="preserve">· The Analgesic Effect of Oxytocin in Humans: A Double-Blind, Placebo-Controlled Cross-Over Study Using Laser-Evoked Potentials. PMID 26660859</w:t>
      </w:r>
    </w:p>
    <w:p>
      <w:pPr>
        <w:numPr>
          <w:ilvl w:val="0"/>
          <w:numId w:val="1419"/>
        </w:numPr>
        <w:pStyle w:val="Compact"/>
      </w:pPr>
      <w:r>
        <w:t xml:space="preserve">2016 · Koch SB ·</w:t>
      </w:r>
      <w:r>
        <w:t xml:space="preserve"> </w:t>
      </w:r>
      <w:r>
        <w:rPr>
          <w:iCs/>
          <w:i/>
        </w:rPr>
        <w:t xml:space="preserve">Neuropsychopharmacology</w:t>
      </w:r>
      <w:r>
        <w:t xml:space="preserve"> </w:t>
      </w:r>
      <w:r>
        <w:t xml:space="preserve">· Intranasal Oxytocin Administration Dampens Amygdala Reactivity towards Emotional Faces in Male and Female PTSD Patients. PMID 26404844</w:t>
      </w:r>
    </w:p>
    <w:p>
      <w:pPr>
        <w:numPr>
          <w:ilvl w:val="0"/>
          <w:numId w:val="1419"/>
        </w:numPr>
        <w:pStyle w:val="Compact"/>
      </w:pPr>
      <w:r>
        <w:t xml:space="preserve">2016 · Frijling JL ·</w:t>
      </w:r>
      <w:r>
        <w:t xml:space="preserve"> </w:t>
      </w:r>
      <w:r>
        <w:rPr>
          <w:iCs/>
          <w:i/>
        </w:rPr>
        <w:t xml:space="preserve">Soc Cogn Affect Neurosci</w:t>
      </w:r>
      <w:r>
        <w:t xml:space="preserve"> </w:t>
      </w:r>
      <w:r>
        <w:t xml:space="preserve">· Effects of intranasal oxytocin on amygdala reactivity to emotional faces in recently trauma-exposed individuals. PMID 26382634</w:t>
      </w:r>
    </w:p>
    <w:p>
      <w:pPr>
        <w:numPr>
          <w:ilvl w:val="0"/>
          <w:numId w:val="1419"/>
        </w:numPr>
        <w:pStyle w:val="Compact"/>
      </w:pPr>
      <w:r>
        <w:t xml:space="preserve">2016 · Frijling JL ·</w:t>
      </w:r>
      <w:r>
        <w:t xml:space="preserve"> </w:t>
      </w:r>
      <w:r>
        <w:rPr>
          <w:iCs/>
          <w:i/>
        </w:rPr>
        <w:t xml:space="preserve">Neuropsychopharmacology</w:t>
      </w:r>
      <w:r>
        <w:t xml:space="preserve"> </w:t>
      </w:r>
      <w:r>
        <w:t xml:space="preserve">· Intranasal Oxytocin Affects Amygdala Functional Connectivity after Trauma Script-Driven Imagery in Distressed Recently Trauma-Exposed Individuals. PMID 26346640</w:t>
      </w:r>
    </w:p>
    <w:p>
      <w:pPr>
        <w:numPr>
          <w:ilvl w:val="0"/>
          <w:numId w:val="1419"/>
        </w:numPr>
        <w:pStyle w:val="Compact"/>
      </w:pPr>
      <w:r>
        <w:t xml:space="preserve">2016 · Eckstein M ·</w:t>
      </w:r>
      <w:r>
        <w:t xml:space="preserve"> </w:t>
      </w:r>
      <w:r>
        <w:rPr>
          <w:iCs/>
          <w:i/>
        </w:rPr>
        <w:t xml:space="preserve">Neuropsychopharmacology</w:t>
      </w:r>
      <w:r>
        <w:t xml:space="preserve"> </w:t>
      </w:r>
      <w:r>
        <w:t xml:space="preserve">· Oxytocin Facilitates Pavlovian Fear Learning in Males. PMID 26272050</w:t>
      </w:r>
    </w:p>
    <w:p>
      <w:pPr>
        <w:numPr>
          <w:ilvl w:val="0"/>
          <w:numId w:val="1419"/>
        </w:numPr>
        <w:pStyle w:val="Compact"/>
      </w:pPr>
      <w:r>
        <w:t xml:space="preserve">2016 · Goodyear K ·</w:t>
      </w:r>
      <w:r>
        <w:t xml:space="preserve"> </w:t>
      </w:r>
      <w:r>
        <w:rPr>
          <w:iCs/>
          <w:i/>
        </w:rPr>
        <w:t xml:space="preserve">Soc Neurosci</w:t>
      </w:r>
      <w:r>
        <w:t xml:space="preserve"> </w:t>
      </w:r>
      <w:r>
        <w:t xml:space="preserve">· Oxytocin influences intuitions about the relationship between belief in free will and moral responsibility. PMID 25916658</w:t>
      </w:r>
    </w:p>
    <w:p>
      <w:pPr>
        <w:numPr>
          <w:ilvl w:val="0"/>
          <w:numId w:val="1419"/>
        </w:numPr>
        <w:pStyle w:val="Compact"/>
      </w:pPr>
      <w:r>
        <w:t xml:space="preserve">2015 · Daughters K ·</w:t>
      </w:r>
      <w:r>
        <w:t xml:space="preserve"> </w:t>
      </w:r>
      <w:r>
        <w:rPr>
          <w:iCs/>
          <w:i/>
        </w:rPr>
        <w:t xml:space="preserve">PLoS One</w:t>
      </w:r>
      <w:r>
        <w:t xml:space="preserve"> </w:t>
      </w:r>
      <w:r>
        <w:t xml:space="preserve">· Salivary Oxytocin Concentrations in Males following Intranasal Administration of Oxytocin: A Double-Blind, Cross-Over Study. PMID 26669935</w:t>
      </w:r>
    </w:p>
    <w:p>
      <w:pPr>
        <w:numPr>
          <w:ilvl w:val="0"/>
          <w:numId w:val="1419"/>
        </w:numPr>
        <w:pStyle w:val="Compact"/>
      </w:pPr>
      <w:r>
        <w:t xml:space="preserve">2015 · Kim YR ·</w:t>
      </w:r>
      <w:r>
        <w:t xml:space="preserve"> </w:t>
      </w:r>
      <w:r>
        <w:rPr>
          <w:iCs/>
          <w:i/>
        </w:rPr>
        <w:t xml:space="preserve">PLoS One</w:t>
      </w:r>
      <w:r>
        <w:t xml:space="preserve"> </w:t>
      </w:r>
      <w:r>
        <w:t xml:space="preserve">· The Impact of Oxytocin on Food Intake and Emotion Recognition in Patients with Eating Disorders: A Double Blind Single Dose Within-Subject Cross-Over Design. PMID 26402337</w:t>
      </w:r>
    </w:p>
    <w:p>
      <w:pPr>
        <w:numPr>
          <w:ilvl w:val="0"/>
          <w:numId w:val="1419"/>
        </w:numPr>
        <w:pStyle w:val="Compact"/>
      </w:pPr>
      <w:r>
        <w:t xml:space="preserve">2015 · Flanagan JC ·</w:t>
      </w:r>
      <w:r>
        <w:t xml:space="preserve"> </w:t>
      </w:r>
      <w:r>
        <w:rPr>
          <w:iCs/>
          <w:i/>
        </w:rPr>
        <w:t xml:space="preserve">Psychiatry Res</w:t>
      </w:r>
      <w:r>
        <w:t xml:space="preserve"> </w:t>
      </w:r>
      <w:r>
        <w:t xml:space="preserve">· Effects of adverse childhood experiences on the association between intranasal oxytocin and social stress reactivity among individuals with cocaine dependence. PMID 26231584</w:t>
      </w:r>
    </w:p>
    <w:p>
      <w:pPr>
        <w:numPr>
          <w:ilvl w:val="0"/>
          <w:numId w:val="1419"/>
        </w:numPr>
        <w:pStyle w:val="Compact"/>
      </w:pPr>
      <w:r>
        <w:t xml:space="preserve">2015 · Quintana DS ·</w:t>
      </w:r>
      <w:r>
        <w:t xml:space="preserve"> </w:t>
      </w:r>
      <w:r>
        <w:rPr>
          <w:iCs/>
          <w:i/>
        </w:rPr>
        <w:t xml:space="preserve">Transl Psychiatry</w:t>
      </w:r>
      <w:r>
        <w:t xml:space="preserve"> </w:t>
      </w:r>
      <w:r>
        <w:t xml:space="preserve">· Low-dose oxytocin delivered intranasally with Breath Powered device affects social-cognitive behavior: a randomized four-way crossover trial with nasal cavity dimension assessment. PMID 26171983</w:t>
      </w:r>
    </w:p>
    <w:p>
      <w:pPr>
        <w:numPr>
          <w:ilvl w:val="0"/>
          <w:numId w:val="1419"/>
        </w:numPr>
        <w:pStyle w:val="Compact"/>
      </w:pPr>
      <w:r>
        <w:t xml:space="preserve">2015 · Muin DA ·</w:t>
      </w:r>
      <w:r>
        <w:t xml:space="preserve"> </w:t>
      </w:r>
      <w:r>
        <w:rPr>
          <w:iCs/>
          <w:i/>
        </w:rPr>
        <w:t xml:space="preserve">Fertil Steril</w:t>
      </w:r>
      <w:r>
        <w:t xml:space="preserve"> </w:t>
      </w:r>
      <w:r>
        <w:t xml:space="preserve">· Effect of long-term intranasal oxytocin on sexual dysfunction in premenopausal and postmenopausal women: a randomized trial. PMID 26151620</w:t>
      </w:r>
    </w:p>
    <w:p>
      <w:pPr>
        <w:numPr>
          <w:ilvl w:val="0"/>
          <w:numId w:val="1419"/>
        </w:numPr>
        <w:pStyle w:val="Compact"/>
      </w:pPr>
      <w:r>
        <w:t xml:space="preserve">2015 · Huang Y ·</w:t>
      </w:r>
      <w:r>
        <w:t xml:space="preserve"> </w:t>
      </w:r>
      <w:r>
        <w:rPr>
          <w:iCs/>
          <w:i/>
        </w:rPr>
        <w:t xml:space="preserve">Psychoneuroendocrinology</w:t>
      </w:r>
      <w:r>
        <w:t xml:space="preserve"> </w:t>
      </w:r>
      <w:r>
        <w:t xml:space="preserve">· Oxytocin enhances implicit social conformity to both in-group and out-group opinions. PMID 26143536</w:t>
      </w:r>
    </w:p>
    <w:p>
      <w:pPr>
        <w:numPr>
          <w:ilvl w:val="0"/>
          <w:numId w:val="1419"/>
        </w:numPr>
        <w:pStyle w:val="Compact"/>
      </w:pPr>
      <w:r>
        <w:t xml:space="preserve">2015 · Bartz JA ·</w:t>
      </w:r>
      <w:r>
        <w:t xml:space="preserve"> </w:t>
      </w:r>
      <w:r>
        <w:rPr>
          <w:iCs/>
          <w:i/>
        </w:rPr>
        <w:t xml:space="preserve">Psychol Sci</w:t>
      </w:r>
      <w:r>
        <w:t xml:space="preserve"> </w:t>
      </w:r>
      <w:r>
        <w:t xml:space="preserve">· Differential Effects of Oxytocin on Agency and Communion for Anxiously and Avoidantly Attached Individuals. PMID 26122122</w:t>
      </w:r>
    </w:p>
    <w:p>
      <w:pPr>
        <w:numPr>
          <w:ilvl w:val="0"/>
          <w:numId w:val="1419"/>
        </w:numPr>
        <w:pStyle w:val="Compact"/>
      </w:pPr>
      <w:r>
        <w:t xml:space="preserve">2015 · Wirth MM ·</w:t>
      </w:r>
      <w:r>
        <w:t xml:space="preserve"> </w:t>
      </w:r>
      <w:r>
        <w:rPr>
          <w:iCs/>
          <w:i/>
        </w:rPr>
        <w:t xml:space="preserve">Neuropsychobiology</w:t>
      </w:r>
      <w:r>
        <w:t xml:space="preserve"> </w:t>
      </w:r>
      <w:r>
        <w:t xml:space="preserve">· Effects of intranasal oxytocin on steroid hormones in men and women. PMID 26044829</w:t>
      </w:r>
    </w:p>
    <w:p>
      <w:pPr>
        <w:numPr>
          <w:ilvl w:val="0"/>
          <w:numId w:val="1419"/>
        </w:numPr>
        <w:pStyle w:val="Compact"/>
      </w:pPr>
      <w:r>
        <w:t xml:space="preserve">2015 · Feng C ·</w:t>
      </w:r>
      <w:r>
        <w:t xml:space="preserve"> </w:t>
      </w:r>
      <w:r>
        <w:rPr>
          <w:iCs/>
          <w:i/>
        </w:rPr>
        <w:t xml:space="preserve">Neuropsychologia</w:t>
      </w:r>
      <w:r>
        <w:t xml:space="preserve"> </w:t>
      </w:r>
      <w:r>
        <w:t xml:space="preserve">· Neuroticism modulates the effects of intranasal vasopressin treatment on the neural response to positive and negative social interactions. PMID 25979609</w:t>
      </w:r>
    </w:p>
    <w:p>
      <w:pPr>
        <w:numPr>
          <w:ilvl w:val="0"/>
          <w:numId w:val="1419"/>
        </w:numPr>
        <w:pStyle w:val="Compact"/>
      </w:pPr>
      <w:r>
        <w:t xml:space="preserve">2015 · Lawson EA ·</w:t>
      </w:r>
      <w:r>
        <w:t xml:space="preserve"> </w:t>
      </w:r>
      <w:r>
        <w:rPr>
          <w:iCs/>
          <w:i/>
        </w:rPr>
        <w:t xml:space="preserve">Obesity (Silver Spring)</w:t>
      </w:r>
      <w:r>
        <w:t xml:space="preserve"> </w:t>
      </w:r>
      <w:r>
        <w:t xml:space="preserve">· Oxytocin reduces caloric intake in men. PMID 25865294</w:t>
      </w:r>
    </w:p>
    <w:p>
      <w:pPr>
        <w:numPr>
          <w:ilvl w:val="0"/>
          <w:numId w:val="1419"/>
        </w:numPr>
        <w:pStyle w:val="Compact"/>
      </w:pPr>
      <w:r>
        <w:t xml:space="preserve">2015 · Acheson DT ·</w:t>
      </w:r>
      <w:r>
        <w:t xml:space="preserve"> </w:t>
      </w:r>
      <w:r>
        <w:rPr>
          <w:iCs/>
          <w:i/>
        </w:rPr>
        <w:t xml:space="preserve">Depress Anxiety</w:t>
      </w:r>
      <w:r>
        <w:t xml:space="preserve"> </w:t>
      </w:r>
      <w:r>
        <w:t xml:space="preserve">· Intranasal oxytocin administration prior to exposure therapy for arachnophobia impedes treatment response. PMID 25826649</w:t>
      </w:r>
    </w:p>
    <w:p>
      <w:pPr>
        <w:numPr>
          <w:ilvl w:val="0"/>
          <w:numId w:val="1419"/>
        </w:numPr>
        <w:pStyle w:val="Compact"/>
      </w:pPr>
      <w:r>
        <w:t xml:space="preserve">2015 · Auyeung B ·</w:t>
      </w:r>
      <w:r>
        <w:t xml:space="preserve"> </w:t>
      </w:r>
      <w:r>
        <w:rPr>
          <w:iCs/>
          <w:i/>
        </w:rPr>
        <w:t xml:space="preserve">Transl Psychiatry</w:t>
      </w:r>
      <w:r>
        <w:t xml:space="preserve"> </w:t>
      </w:r>
      <w:r>
        <w:t xml:space="preserve">· Oxytocin increases eye contact during a real-time, naturalistic social interaction in males with and without autism. PMID 25668435</w:t>
      </w:r>
    </w:p>
    <w:p>
      <w:pPr>
        <w:numPr>
          <w:ilvl w:val="0"/>
          <w:numId w:val="1419"/>
        </w:numPr>
        <w:pStyle w:val="Compact"/>
      </w:pPr>
      <w:r>
        <w:t xml:space="preserve">2015 · Shin NY ·</w:t>
      </w:r>
      <w:r>
        <w:t xml:space="preserve"> </w:t>
      </w:r>
      <w:r>
        <w:rPr>
          <w:iCs/>
          <w:i/>
        </w:rPr>
        <w:t xml:space="preserve">Neuropsychopharmacology</w:t>
      </w:r>
      <w:r>
        <w:t xml:space="preserve"> </w:t>
      </w:r>
      <w:r>
        <w:t xml:space="preserve">· Effects of Oxytocin on Neural Response to Facial Expressions in Patients with Schizophrenia. PMID 25666311</w:t>
      </w:r>
    </w:p>
    <w:p>
      <w:pPr>
        <w:numPr>
          <w:ilvl w:val="0"/>
          <w:numId w:val="1419"/>
        </w:numPr>
        <w:pStyle w:val="Compact"/>
      </w:pPr>
      <w:r>
        <w:t xml:space="preserve">2015 · Zunhammer M ·</w:t>
      </w:r>
      <w:r>
        <w:t xml:space="preserve"> </w:t>
      </w:r>
      <w:r>
        <w:rPr>
          <w:iCs/>
          <w:i/>
        </w:rPr>
        <w:t xml:space="preserve">Psychosom Med</w:t>
      </w:r>
      <w:r>
        <w:t xml:space="preserve"> </w:t>
      </w:r>
      <w:r>
        <w:t xml:space="preserve">· Effects of intranasal oxytocin on thermal pain in healthy men: a randomized functional magnetic resonance imaging study. PMID 25647754</w:t>
      </w:r>
    </w:p>
    <w:p>
      <w:pPr>
        <w:numPr>
          <w:ilvl w:val="0"/>
          <w:numId w:val="1419"/>
        </w:numPr>
        <w:pStyle w:val="Compact"/>
      </w:pPr>
      <w:r>
        <w:t xml:space="preserve">2015 · Woolley JD ·</w:t>
      </w:r>
      <w:r>
        <w:t xml:space="preserve"> </w:t>
      </w:r>
      <w:r>
        <w:rPr>
          <w:iCs/>
          <w:i/>
        </w:rPr>
        <w:t xml:space="preserve">Psychoneuroendocrinology</w:t>
      </w:r>
      <w:r>
        <w:t xml:space="preserve"> </w:t>
      </w:r>
      <w:r>
        <w:t xml:space="preserve">· Oxytocin administration selectively improves olfactory detection thresholds for lyral in patients with schizophrenia. PMID 25637811</w:t>
      </w:r>
    </w:p>
    <w:p>
      <w:pPr>
        <w:numPr>
          <w:ilvl w:val="0"/>
          <w:numId w:val="1419"/>
        </w:numPr>
        <w:pStyle w:val="Compact"/>
      </w:pPr>
      <w:r>
        <w:t xml:space="preserve">2015 · Brüne M ·</w:t>
      </w:r>
      <w:r>
        <w:t xml:space="preserve"> </w:t>
      </w:r>
      <w:r>
        <w:rPr>
          <w:iCs/>
          <w:i/>
        </w:rPr>
        <w:t xml:space="preserve">J Nerv Ment Dis</w:t>
      </w:r>
      <w:r>
        <w:t xml:space="preserve"> </w:t>
      </w:r>
      <w:r>
        <w:t xml:space="preserve">· Nonverbal communication of patients with borderline personality disorder during clinical interviews: a double-blind placebo-controlled study using intranasal oxytocin. PMID 25594788</w:t>
      </w:r>
    </w:p>
    <w:p>
      <w:pPr>
        <w:numPr>
          <w:ilvl w:val="0"/>
          <w:numId w:val="1419"/>
        </w:numPr>
        <w:pStyle w:val="Compact"/>
      </w:pPr>
      <w:r>
        <w:t xml:space="preserve">2015 · Gregory R ·</w:t>
      </w:r>
      <w:r>
        <w:t xml:space="preserve"> </w:t>
      </w:r>
      <w:r>
        <w:rPr>
          <w:iCs/>
          <w:i/>
        </w:rPr>
        <w:t xml:space="preserve">Horm Behav</w:t>
      </w:r>
      <w:r>
        <w:t xml:space="preserve"> </w:t>
      </w:r>
      <w:r>
        <w:t xml:space="preserve">· Oxytocin increases VTA activation to infant and sexual stimuli in nulliparous and postpartum women. PMID 25562711</w:t>
      </w:r>
    </w:p>
    <w:p>
      <w:pPr>
        <w:numPr>
          <w:ilvl w:val="0"/>
          <w:numId w:val="1419"/>
        </w:numPr>
        <w:pStyle w:val="Compact"/>
      </w:pPr>
      <w:r>
        <w:t xml:space="preserve">2015 · Finger EC ·</w:t>
      </w:r>
      <w:r>
        <w:t xml:space="preserve"> </w:t>
      </w:r>
      <w:r>
        <w:rPr>
          <w:iCs/>
          <w:i/>
        </w:rPr>
        <w:t xml:space="preserve">Neurology</w:t>
      </w:r>
      <w:r>
        <w:t xml:space="preserve"> </w:t>
      </w:r>
      <w:r>
        <w:t xml:space="preserve">· Oxytocin for frontotemporal dementia: a randomized dose-finding study of safety and tolerability. PMID 25503617</w:t>
      </w:r>
    </w:p>
    <w:p>
      <w:pPr>
        <w:numPr>
          <w:ilvl w:val="0"/>
          <w:numId w:val="1419"/>
        </w:numPr>
        <w:pStyle w:val="Compact"/>
      </w:pPr>
      <w:r>
        <w:t xml:space="preserve">2015 · Edelson MG ·</w:t>
      </w:r>
      <w:r>
        <w:t xml:space="preserve"> </w:t>
      </w:r>
      <w:r>
        <w:rPr>
          <w:iCs/>
          <w:i/>
        </w:rPr>
        <w:t xml:space="preserve">Neuropsychopharmacology</w:t>
      </w:r>
      <w:r>
        <w:t xml:space="preserve"> </w:t>
      </w:r>
      <w:r>
        <w:t xml:space="preserve">· Opposing effects of oxytocin on overt compliance and lasting changes to memory. PMID 25308350</w:t>
      </w:r>
    </w:p>
    <w:p>
      <w:pPr>
        <w:numPr>
          <w:ilvl w:val="0"/>
          <w:numId w:val="1419"/>
        </w:numPr>
        <w:pStyle w:val="Compact"/>
      </w:pPr>
      <w:r>
        <w:t xml:space="preserve">2015 · Scantamburlo G ·</w:t>
      </w:r>
      <w:r>
        <w:t xml:space="preserve"> </w:t>
      </w:r>
      <w:r>
        <w:rPr>
          <w:iCs/>
          <w:i/>
        </w:rPr>
        <w:t xml:space="preserve">Eur Psychiatry</w:t>
      </w:r>
      <w:r>
        <w:t xml:space="preserve"> </w:t>
      </w:r>
      <w:r>
        <w:t xml:space="preserve">· Additional intranasal oxytocin to escitalopram improves depressive symptoms in resistant depression: an open trial. PMID 25282363</w:t>
      </w:r>
    </w:p>
    <w:p>
      <w:pPr>
        <w:numPr>
          <w:ilvl w:val="0"/>
          <w:numId w:val="1419"/>
        </w:numPr>
        <w:pStyle w:val="Compact"/>
      </w:pPr>
      <w:r>
        <w:t xml:space="preserve">2015 · Guastella AJ ·</w:t>
      </w:r>
      <w:r>
        <w:t xml:space="preserve"> </w:t>
      </w:r>
      <w:r>
        <w:rPr>
          <w:iCs/>
          <w:i/>
        </w:rPr>
        <w:t xml:space="preserve">J Child Psychol Psychiatry</w:t>
      </w:r>
      <w:r>
        <w:t xml:space="preserve"> </w:t>
      </w:r>
      <w:r>
        <w:t xml:space="preserve">· The effects of a course of intranasal oxytocin on social behaviors in youth diagnosed with autism spectrum disorders: a randomized controlled trial. PMID 25087908</w:t>
      </w:r>
    </w:p>
    <w:p>
      <w:pPr>
        <w:numPr>
          <w:ilvl w:val="0"/>
          <w:numId w:val="1419"/>
        </w:numPr>
        <w:pStyle w:val="Compact"/>
      </w:pPr>
      <w:r>
        <w:t xml:space="preserve">2015 · Aoki Y ·</w:t>
      </w:r>
      <w:r>
        <w:t xml:space="preserve"> </w:t>
      </w:r>
      <w:r>
        <w:rPr>
          <w:iCs/>
          <w:i/>
        </w:rPr>
        <w:t xml:space="preserve">Mol Psychiatry</w:t>
      </w:r>
      <w:r>
        <w:t xml:space="preserve"> </w:t>
      </w:r>
      <w:r>
        <w:t xml:space="preserve">· Oxytocin’s neurochemical effects in the medial prefrontal cortex underlie recovery of task-specific brain activity in autism: a randomized controlled trial. PMID 25070538</w:t>
      </w:r>
    </w:p>
    <w:p>
      <w:pPr>
        <w:numPr>
          <w:ilvl w:val="0"/>
          <w:numId w:val="1419"/>
        </w:numPr>
        <w:pStyle w:val="Compact"/>
      </w:pPr>
      <w:r>
        <w:t xml:space="preserve">2014 · Kumar J ·</w:t>
      </w:r>
      <w:r>
        <w:t xml:space="preserve"> </w:t>
      </w:r>
      <w:r>
        <w:rPr>
          <w:iCs/>
          <w:i/>
        </w:rPr>
        <w:t xml:space="preserve">Int J Neuropsychopharmacol</w:t>
      </w:r>
      <w:r>
        <w:t xml:space="preserve"> </w:t>
      </w:r>
      <w:r>
        <w:t xml:space="preserve">· Oxytocin affects the connectivity of the precuneus and the amygdala: a randomized, double-blinded, placebo-controlled neuroimaging trial. PMID 25522395</w:t>
      </w:r>
    </w:p>
    <w:p>
      <w:pPr>
        <w:numPr>
          <w:ilvl w:val="0"/>
          <w:numId w:val="1419"/>
        </w:numPr>
        <w:pStyle w:val="Compact"/>
      </w:pPr>
      <w:r>
        <w:t xml:space="preserve">2014 · Colonnello V ·</w:t>
      </w:r>
      <w:r>
        <w:t xml:space="preserve"> </w:t>
      </w:r>
      <w:r>
        <w:rPr>
          <w:iCs/>
          <w:i/>
        </w:rPr>
        <w:t xml:space="preserve">J Psychosom Res</w:t>
      </w:r>
      <w:r>
        <w:t xml:space="preserve"> </w:t>
      </w:r>
      <w:r>
        <w:t xml:space="preserve">· Intranasal oxytocin enhances positive self-attribution in healthy men. PMID 25439340</w:t>
      </w:r>
    </w:p>
    <w:p>
      <w:pPr>
        <w:numPr>
          <w:ilvl w:val="0"/>
          <w:numId w:val="1419"/>
        </w:numPr>
        <w:pStyle w:val="Compact"/>
      </w:pPr>
      <w:r>
        <w:t xml:space="preserve">2014 · Horta de Macedo LR ·</w:t>
      </w:r>
      <w:r>
        <w:t xml:space="preserve"> </w:t>
      </w:r>
      <w:r>
        <w:rPr>
          <w:iCs/>
          <w:i/>
        </w:rPr>
        <w:t xml:space="preserve">Psychiatry Res</w:t>
      </w:r>
      <w:r>
        <w:t xml:space="preserve"> </w:t>
      </w:r>
      <w:r>
        <w:t xml:space="preserve">· Oxytocin does not improve performance of patients with schizophrenia and healthy volunteers in a facial emotion matching task. PMID 25190346</w:t>
      </w:r>
    </w:p>
    <w:p>
      <w:pPr>
        <w:numPr>
          <w:ilvl w:val="0"/>
          <w:numId w:val="1419"/>
        </w:numPr>
        <w:pStyle w:val="Compact"/>
      </w:pPr>
      <w:r>
        <w:t xml:space="preserve">2014 · Lee MR ·</w:t>
      </w:r>
      <w:r>
        <w:t xml:space="preserve"> </w:t>
      </w:r>
      <w:r>
        <w:rPr>
          <w:iCs/>
          <w:i/>
        </w:rPr>
        <w:t xml:space="preserve">Eur Neuropsychopharmacol</w:t>
      </w:r>
      <w:r>
        <w:t xml:space="preserve"> </w:t>
      </w:r>
      <w:r>
        <w:t xml:space="preserve">· Complexity of oxytocin׳s effects in a chronic cocaine dependent population. PMID 25044050</w:t>
      </w:r>
    </w:p>
    <w:p>
      <w:pPr>
        <w:numPr>
          <w:ilvl w:val="0"/>
          <w:numId w:val="1419"/>
        </w:numPr>
        <w:pStyle w:val="Compact"/>
      </w:pPr>
      <w:r>
        <w:t xml:space="preserve">2014 · Woolley JD ·</w:t>
      </w:r>
      <w:r>
        <w:t xml:space="preserve"> </w:t>
      </w:r>
      <w:r>
        <w:rPr>
          <w:iCs/>
          <w:i/>
        </w:rPr>
        <w:t xml:space="preserve">Psychoneuroendocrinology</w:t>
      </w:r>
      <w:r>
        <w:t xml:space="preserve"> </w:t>
      </w:r>
      <w:r>
        <w:t xml:space="preserve">· Oxytocin administration enhances controlled social cognition in patients with schizophrenia. PMID 25001961</w:t>
      </w:r>
    </w:p>
    <w:p>
      <w:pPr>
        <w:numPr>
          <w:ilvl w:val="0"/>
          <w:numId w:val="1419"/>
        </w:numPr>
        <w:pStyle w:val="Compact"/>
      </w:pPr>
      <w:r>
        <w:t xml:space="preserve">2014 · Einfeld SL ·</w:t>
      </w:r>
      <w:r>
        <w:t xml:space="preserve"> </w:t>
      </w:r>
      <w:r>
        <w:rPr>
          <w:iCs/>
          <w:i/>
        </w:rPr>
        <w:t xml:space="preserve">Am J Med Genet A</w:t>
      </w:r>
      <w:r>
        <w:t xml:space="preserve"> </w:t>
      </w:r>
      <w:r>
        <w:t xml:space="preserve">· A double-blind randomized controlled trial of oxytocin nasal spray in Prader Willi syndrome. PMID 24980612</w:t>
      </w:r>
    </w:p>
    <w:p>
      <w:pPr>
        <w:numPr>
          <w:ilvl w:val="0"/>
          <w:numId w:val="1419"/>
        </w:numPr>
        <w:pStyle w:val="Compact"/>
      </w:pPr>
      <w:r>
        <w:t xml:space="preserve">2014 · Rash JA ·</w:t>
      </w:r>
      <w:r>
        <w:t xml:space="preserve"> </w:t>
      </w:r>
      <w:r>
        <w:rPr>
          <w:iCs/>
          <w:i/>
        </w:rPr>
        <w:t xml:space="preserve">Psychosom Med</w:t>
      </w:r>
      <w:r>
        <w:t xml:space="preserve"> </w:t>
      </w:r>
      <w:r>
        <w:t xml:space="preserve">· The effect of intranasal oxytocin administration on acute cold pressor pain: a placebo-controlled, double-blind, within-participants crossover investigation. PMID 24979580</w:t>
      </w:r>
    </w:p>
    <w:p>
      <w:pPr>
        <w:numPr>
          <w:ilvl w:val="0"/>
          <w:numId w:val="1419"/>
        </w:numPr>
        <w:pStyle w:val="Compact"/>
      </w:pPr>
      <w:r>
        <w:t xml:space="preserve">2014 · Bhandari R ·</w:t>
      </w:r>
      <w:r>
        <w:t xml:space="preserve"> </w:t>
      </w:r>
      <w:r>
        <w:rPr>
          <w:iCs/>
          <w:i/>
        </w:rPr>
        <w:t xml:space="preserve">Soc Neurosci</w:t>
      </w:r>
      <w:r>
        <w:t xml:space="preserve"> </w:t>
      </w:r>
      <w:r>
        <w:t xml:space="preserve">· Effects of intranasal oxytocin administration on memory for infant cues: moderation by childhood emotional maltreatment. PMID 24968101</w:t>
      </w:r>
    </w:p>
    <w:p>
      <w:pPr>
        <w:numPr>
          <w:ilvl w:val="0"/>
          <w:numId w:val="1419"/>
        </w:numPr>
        <w:pStyle w:val="Compact"/>
      </w:pPr>
      <w:r>
        <w:t xml:space="preserve">2014 · Yao S ·</w:t>
      </w:r>
      <w:r>
        <w:t xml:space="preserve"> </w:t>
      </w:r>
      <w:r>
        <w:rPr>
          <w:iCs/>
          <w:i/>
        </w:rPr>
        <w:t xml:space="preserve">Int J Neuropsychopharmacol</w:t>
      </w:r>
      <w:r>
        <w:t xml:space="preserve"> </w:t>
      </w:r>
      <w:r>
        <w:t xml:space="preserve">· Oxytocin makes females, but not males, less forgiving following betrayal of trust. PMID 24916520</w:t>
      </w:r>
    </w:p>
    <w:p>
      <w:pPr>
        <w:numPr>
          <w:ilvl w:val="0"/>
          <w:numId w:val="1419"/>
        </w:numPr>
        <w:pStyle w:val="Compact"/>
      </w:pPr>
      <w:r>
        <w:t xml:space="preserve">2014 · Hoge EA ·</w:t>
      </w:r>
      <w:r>
        <w:t xml:space="preserve"> </w:t>
      </w:r>
      <w:r>
        <w:rPr>
          <w:iCs/>
          <w:i/>
        </w:rPr>
        <w:t xml:space="preserve">Hum Psychopharmacol</w:t>
      </w:r>
      <w:r>
        <w:t xml:space="preserve"> </w:t>
      </w:r>
      <w:r>
        <w:t xml:space="preserve">· Gender moderates the effect of oxytocin on social judgments. PMID 24911580</w:t>
      </w:r>
    </w:p>
    <w:p>
      <w:pPr>
        <w:numPr>
          <w:ilvl w:val="0"/>
          <w:numId w:val="1419"/>
        </w:numPr>
        <w:pStyle w:val="Compact"/>
      </w:pPr>
      <w:r>
        <w:t xml:space="preserve">2014 · Kirkpatrick MG ·</w:t>
      </w:r>
      <w:r>
        <w:t xml:space="preserve"> </w:t>
      </w:r>
      <w:r>
        <w:rPr>
          <w:iCs/>
          <w:i/>
        </w:rPr>
        <w:t xml:space="preserve">Psychoneuroendocrinology</w:t>
      </w:r>
      <w:r>
        <w:t xml:space="preserve"> </w:t>
      </w:r>
      <w:r>
        <w:t xml:space="preserve">· Plasma oxytocin concentrations following MDMA or intranasal oxytocin in humans. PMID 24882155</w:t>
      </w:r>
    </w:p>
    <w:p>
      <w:pPr>
        <w:numPr>
          <w:ilvl w:val="0"/>
          <w:numId w:val="1419"/>
        </w:numPr>
        <w:pStyle w:val="Compact"/>
      </w:pPr>
      <w:r>
        <w:t xml:space="preserve">2014 · Gibson CM ·</w:t>
      </w:r>
      <w:r>
        <w:t xml:space="preserve"> </w:t>
      </w:r>
      <w:r>
        <w:rPr>
          <w:iCs/>
          <w:i/>
        </w:rPr>
        <w:t xml:space="preserve">Schizophr Res</w:t>
      </w:r>
      <w:r>
        <w:t xml:space="preserve"> </w:t>
      </w:r>
      <w:r>
        <w:t xml:space="preserve">· A pilot six-week randomized controlled trial of oxytocin on social cognition and social skills in schizophrenia. PMID 24799299</w:t>
      </w:r>
    </w:p>
    <w:p>
      <w:pPr>
        <w:numPr>
          <w:ilvl w:val="0"/>
          <w:numId w:val="1419"/>
        </w:numPr>
        <w:pStyle w:val="Compact"/>
      </w:pPr>
      <w:r>
        <w:t xml:space="preserve">2014 · Frijling JL ·</w:t>
      </w:r>
      <w:r>
        <w:t xml:space="preserve"> </w:t>
      </w:r>
      <w:r>
        <w:rPr>
          <w:iCs/>
          <w:i/>
        </w:rPr>
        <w:t xml:space="preserve">BMC Psychiatry</w:t>
      </w:r>
      <w:r>
        <w:t xml:space="preserve"> </w:t>
      </w:r>
      <w:r>
        <w:t xml:space="preserve">· Efficacy of oxytocin administration early after psychotrauma in preventing the development of PTSD: study protocol of a randomized controlled trial. PMID 24679046</w:t>
      </w:r>
    </w:p>
    <w:p>
      <w:pPr>
        <w:numPr>
          <w:ilvl w:val="0"/>
          <w:numId w:val="1419"/>
        </w:numPr>
        <w:pStyle w:val="Compact"/>
      </w:pPr>
      <w:r>
        <w:t xml:space="preserve">2014 · Davis MC ·</w:t>
      </w:r>
      <w:r>
        <w:t xml:space="preserve"> </w:t>
      </w:r>
      <w:r>
        <w:rPr>
          <w:iCs/>
          <w:i/>
        </w:rPr>
        <w:t xml:space="preserve">Neuropsychopharmacology</w:t>
      </w:r>
      <w:r>
        <w:t xml:space="preserve"> </w:t>
      </w:r>
      <w:r>
        <w:t xml:space="preserve">· Oxytocin-augmented social cognitive skills training in schizophrenia. PMID 24637803</w:t>
      </w:r>
    </w:p>
    <w:p>
      <w:pPr>
        <w:numPr>
          <w:ilvl w:val="0"/>
          <w:numId w:val="1419"/>
        </w:numPr>
        <w:pStyle w:val="Compact"/>
      </w:pPr>
      <w:r>
        <w:t xml:space="preserve">2014 · Kim YR ·</w:t>
      </w:r>
      <w:r>
        <w:t xml:space="preserve"> </w:t>
      </w:r>
      <w:r>
        <w:rPr>
          <w:iCs/>
          <w:i/>
        </w:rPr>
        <w:t xml:space="preserve">PLoS One</w:t>
      </w:r>
      <w:r>
        <w:t xml:space="preserve"> </w:t>
      </w:r>
      <w:r>
        <w:t xml:space="preserve">· The impact of intranasal oxytocin on attention to social emotional stimuli in patients with anorexia nervosa: a double blind within-subject cross-over experiment. PMID 24603863</w:t>
      </w:r>
    </w:p>
    <w:p>
      <w:pPr>
        <w:numPr>
          <w:ilvl w:val="0"/>
          <w:numId w:val="1419"/>
        </w:numPr>
        <w:pStyle w:val="Compact"/>
      </w:pPr>
      <w:r>
        <w:t xml:space="preserve">2014 · Behnia B ·</w:t>
      </w:r>
      <w:r>
        <w:t xml:space="preserve"> </w:t>
      </w:r>
      <w:r>
        <w:rPr>
          <w:iCs/>
          <w:i/>
        </w:rPr>
        <w:t xml:space="preserve">Horm Behav</w:t>
      </w:r>
      <w:r>
        <w:t xml:space="preserve"> </w:t>
      </w:r>
      <w:r>
        <w:t xml:space="preserve">· Differential effects of intranasal oxytocin on sexual experiences and partner interactions in couples. PMID 24503174</w:t>
      </w:r>
    </w:p>
    <w:p>
      <w:pPr>
        <w:numPr>
          <w:ilvl w:val="0"/>
          <w:numId w:val="1419"/>
        </w:numPr>
        <w:pStyle w:val="Compact"/>
      </w:pPr>
      <w:r>
        <w:t xml:space="preserve">2014 · Riem MM ·</w:t>
      </w:r>
      <w:r>
        <w:t xml:space="preserve"> </w:t>
      </w:r>
      <w:r>
        <w:rPr>
          <w:iCs/>
          <w:i/>
        </w:rPr>
        <w:t xml:space="preserve">Prog Neuropsychopharmacol Biol Psychiatry</w:t>
      </w:r>
      <w:r>
        <w:t xml:space="preserve"> </w:t>
      </w:r>
      <w:r>
        <w:t xml:space="preserve">· Oxytocin effects on mind-reading are moderated by experiences of maternal love withdrawal: an fMRI study. PMID 24486563</w:t>
      </w:r>
    </w:p>
    <w:p>
      <w:pPr>
        <w:numPr>
          <w:ilvl w:val="0"/>
          <w:numId w:val="1419"/>
        </w:numPr>
        <w:pStyle w:val="Compact"/>
      </w:pPr>
      <w:r>
        <w:t xml:space="preserve">2014 · Kirkpatrick MG ·</w:t>
      </w:r>
      <w:r>
        <w:t xml:space="preserve"> </w:t>
      </w:r>
      <w:r>
        <w:rPr>
          <w:iCs/>
          <w:i/>
        </w:rPr>
        <w:t xml:space="preserve">Neuropsychopharmacology</w:t>
      </w:r>
      <w:r>
        <w:t xml:space="preserve"> </w:t>
      </w:r>
      <w:r>
        <w:t xml:space="preserve">· Effects of MDMA and Intranasal oxytocin on social and emotional processing. PMID 24448644</w:t>
      </w:r>
    </w:p>
    <w:p>
      <w:pPr>
        <w:numPr>
          <w:ilvl w:val="0"/>
          <w:numId w:val="1419"/>
        </w:numPr>
        <w:pStyle w:val="Compact"/>
      </w:pPr>
      <w:r>
        <w:t xml:space="preserve">2014 · Cardoso C ·</w:t>
      </w:r>
      <w:r>
        <w:t xml:space="preserve"> </w:t>
      </w:r>
      <w:r>
        <w:rPr>
          <w:iCs/>
          <w:i/>
        </w:rPr>
        <w:t xml:space="preserve">Soc Neurosci</w:t>
      </w:r>
      <w:r>
        <w:t xml:space="preserve"> </w:t>
      </w:r>
      <w:r>
        <w:t xml:space="preserve">· Oxytocin and enhancement of the positive valence of social affiliation memories: an autobiographical memory study. PMID 24387003</w:t>
      </w:r>
    </w:p>
    <w:p>
      <w:pPr>
        <w:numPr>
          <w:ilvl w:val="0"/>
          <w:numId w:val="1419"/>
        </w:numPr>
        <w:pStyle w:val="Compact"/>
      </w:pPr>
      <w:r>
        <w:t xml:space="preserve">2014 · Watanabe T ·</w:t>
      </w:r>
      <w:r>
        <w:t xml:space="preserve"> </w:t>
      </w:r>
      <w:r>
        <w:rPr>
          <w:iCs/>
          <w:i/>
        </w:rPr>
        <w:t xml:space="preserve">JAMA Psychiatry</w:t>
      </w:r>
      <w:r>
        <w:t xml:space="preserve"> </w:t>
      </w:r>
      <w:r>
        <w:t xml:space="preserve">· Mitigation of sociocommunicational deficits of autism through oxytocin-induced recovery of medial prefrontal activity: a randomized trial. PMID 24352377</w:t>
      </w:r>
    </w:p>
    <w:p>
      <w:pPr>
        <w:numPr>
          <w:ilvl w:val="0"/>
          <w:numId w:val="1419"/>
        </w:numPr>
        <w:pStyle w:val="Compact"/>
      </w:pPr>
      <w:r>
        <w:t xml:space="preserve">2014 · Cardoso C ·</w:t>
      </w:r>
      <w:r>
        <w:t xml:space="preserve"> </w:t>
      </w:r>
      <w:r>
        <w:rPr>
          <w:iCs/>
          <w:i/>
        </w:rPr>
        <w:t xml:space="preserve">Emotion</w:t>
      </w:r>
      <w:r>
        <w:t xml:space="preserve"> </w:t>
      </w:r>
      <w:r>
        <w:t xml:space="preserve">· The effect of intranasal oxytocin on perceiving and understanding emotion on the Mayer-Salovey-Caruso Emotional Intelligence Test (MSCEIT). PMID 24188065</w:t>
      </w:r>
    </w:p>
    <w:p>
      <w:pPr>
        <w:numPr>
          <w:ilvl w:val="0"/>
          <w:numId w:val="1419"/>
        </w:numPr>
        <w:pStyle w:val="Compact"/>
      </w:pPr>
      <w:r>
        <w:t xml:space="preserve">2014 · Rilling JK ·</w:t>
      </w:r>
      <w:r>
        <w:t xml:space="preserve"> </w:t>
      </w:r>
      <w:r>
        <w:rPr>
          <w:iCs/>
          <w:i/>
        </w:rPr>
        <w:t xml:space="preserve">Psychoneuroendocrinology</w:t>
      </w:r>
      <w:r>
        <w:t xml:space="preserve"> </w:t>
      </w:r>
      <w:r>
        <w:t xml:space="preserve">· Sex differences in the neural and behavioral response to intranasal oxytocin and vasopressin during human social interaction. PMID 24157401</w:t>
      </w:r>
    </w:p>
    <w:p>
      <w:pPr>
        <w:numPr>
          <w:ilvl w:val="0"/>
          <w:numId w:val="1419"/>
        </w:numPr>
        <w:pStyle w:val="Compact"/>
      </w:pPr>
      <w:r>
        <w:t xml:space="preserve">2014 · Domes G ·</w:t>
      </w:r>
      <w:r>
        <w:t xml:space="preserve"> </w:t>
      </w:r>
      <w:r>
        <w:rPr>
          <w:iCs/>
          <w:i/>
        </w:rPr>
        <w:t xml:space="preserve">Neuropsychopharmacology</w:t>
      </w:r>
      <w:r>
        <w:t xml:space="preserve"> </w:t>
      </w:r>
      <w:r>
        <w:t xml:space="preserve">· Oxytocin promotes facial emotion recognition and amygdala reactivity in adults with asperger syndrome. PMID 24067301</w:t>
      </w:r>
    </w:p>
    <w:p>
      <w:pPr>
        <w:numPr>
          <w:ilvl w:val="0"/>
          <w:numId w:val="1419"/>
        </w:numPr>
        <w:pStyle w:val="Compact"/>
      </w:pPr>
      <w:r>
        <w:t xml:space="preserve">2014 · Dadds MR ·</w:t>
      </w:r>
      <w:r>
        <w:t xml:space="preserve"> </w:t>
      </w:r>
      <w:r>
        <w:rPr>
          <w:iCs/>
          <w:i/>
        </w:rPr>
        <w:t xml:space="preserve">J Autism Dev Disord</w:t>
      </w:r>
      <w:r>
        <w:t xml:space="preserve"> </w:t>
      </w:r>
      <w:r>
        <w:t xml:space="preserve">· Nasal oxytocin for social deficits in childhood autism: a randomized controlled trial. PMID 23888359</w:t>
      </w:r>
    </w:p>
    <w:p>
      <w:pPr>
        <w:numPr>
          <w:ilvl w:val="0"/>
          <w:numId w:val="1419"/>
        </w:numPr>
        <w:pStyle w:val="Compact"/>
      </w:pPr>
      <w:r>
        <w:t xml:space="preserve">2014 · Rupp HA ·</w:t>
      </w:r>
      <w:r>
        <w:t xml:space="preserve"> </w:t>
      </w:r>
      <w:r>
        <w:rPr>
          <w:iCs/>
          <w:i/>
        </w:rPr>
        <w:t xml:space="preserve">Soc Cogn Affect Neurosci</w:t>
      </w:r>
      <w:r>
        <w:t xml:space="preserve"> </w:t>
      </w:r>
      <w:r>
        <w:t xml:space="preserve">· Amygdala response to negative images in postpartum vs nulliparous women and intranasal oxytocin. PMID 22956670</w:t>
      </w:r>
    </w:p>
    <w:p>
      <w:pPr>
        <w:numPr>
          <w:ilvl w:val="0"/>
          <w:numId w:val="1419"/>
        </w:numPr>
        <w:pStyle w:val="Compact"/>
      </w:pPr>
      <w:r>
        <w:t xml:space="preserve">2013 · Striepens N ·</w:t>
      </w:r>
      <w:r>
        <w:t xml:space="preserve"> </w:t>
      </w:r>
      <w:r>
        <w:rPr>
          <w:iCs/>
          <w:i/>
        </w:rPr>
        <w:t xml:space="preserve">Sci Rep</w:t>
      </w:r>
      <w:r>
        <w:t xml:space="preserve"> </w:t>
      </w:r>
      <w:r>
        <w:t xml:space="preserve">· Elevated cerebrospinal fluid and blood concentrations of oxytocin following its intranasal administration in humans. PMID 24310737</w:t>
      </w:r>
    </w:p>
    <w:p>
      <w:pPr>
        <w:numPr>
          <w:ilvl w:val="0"/>
          <w:numId w:val="1419"/>
        </w:numPr>
        <w:pStyle w:val="Compact"/>
      </w:pPr>
      <w:r>
        <w:t xml:space="preserve">2013 · Montag C ·</w:t>
      </w:r>
      <w:r>
        <w:t xml:space="preserve"> </w:t>
      </w:r>
      <w:r>
        <w:rPr>
          <w:iCs/>
          <w:i/>
        </w:rPr>
        <w:t xml:space="preserve">Eur Arch Psychiatry Clin Neurosci</w:t>
      </w:r>
      <w:r>
        <w:t xml:space="preserve"> </w:t>
      </w:r>
      <w:r>
        <w:t xml:space="preserve">· An interaction between oxytocin and a genetic variation of the oxytocin receptor modulates amygdala activity toward direct gaze: evidence from a pharmacological imaging genetics study. PMID 24071915</w:t>
      </w:r>
    </w:p>
    <w:p>
      <w:pPr>
        <w:numPr>
          <w:ilvl w:val="0"/>
          <w:numId w:val="1419"/>
        </w:numPr>
        <w:pStyle w:val="Compact"/>
      </w:pPr>
      <w:r>
        <w:t xml:space="preserve">2013 · Ebert A ·</w:t>
      </w:r>
      <w:r>
        <w:t xml:space="preserve"> </w:t>
      </w:r>
      <w:r>
        <w:rPr>
          <w:iCs/>
          <w:i/>
        </w:rPr>
        <w:t xml:space="preserve">Soc Neurosci</w:t>
      </w:r>
      <w:r>
        <w:t xml:space="preserve"> </w:t>
      </w:r>
      <w:r>
        <w:t xml:space="preserve">· Modulation of interpersonal trust in borderline personality disorder by intranasal oxytocin and childhood trauma. PMID 23802121</w:t>
      </w:r>
    </w:p>
    <w:p>
      <w:pPr>
        <w:numPr>
          <w:ilvl w:val="0"/>
          <w:numId w:val="1419"/>
        </w:numPr>
        <w:pStyle w:val="Compact"/>
      </w:pPr>
      <w:r>
        <w:t xml:space="preserve">2013 · Cardoso C ·</w:t>
      </w:r>
      <w:r>
        <w:t xml:space="preserve"> </w:t>
      </w:r>
      <w:r>
        <w:rPr>
          <w:iCs/>
          <w:i/>
        </w:rPr>
        <w:t xml:space="preserve">Psychoneuroendocrinology</w:t>
      </w:r>
      <w:r>
        <w:t xml:space="preserve"> </w:t>
      </w:r>
      <w:r>
        <w:t xml:space="preserve">· Stress-induced negative mood moderates the relation between oxytocin administration and trust: evidence for the tend-and-befriend response to stress?. PMID 23768973</w:t>
      </w:r>
    </w:p>
    <w:p>
      <w:pPr>
        <w:numPr>
          <w:ilvl w:val="0"/>
          <w:numId w:val="1419"/>
        </w:numPr>
        <w:pStyle w:val="Compact"/>
      </w:pPr>
      <w:r>
        <w:t xml:space="preserve">2013 · Zhang H ·</w:t>
      </w:r>
      <w:r>
        <w:t xml:space="preserve"> </w:t>
      </w:r>
      <w:r>
        <w:rPr>
          <w:iCs/>
          <w:i/>
        </w:rPr>
        <w:t xml:space="preserve">PLoS One</w:t>
      </w:r>
      <w:r>
        <w:t xml:space="preserve"> </w:t>
      </w:r>
      <w:r>
        <w:t xml:space="preserve">· Treatment of obesity and diabetes using oxytocin or analogs in patients and mouse models. PMID 23700406</w:t>
      </w:r>
    </w:p>
    <w:p>
      <w:pPr>
        <w:numPr>
          <w:ilvl w:val="0"/>
          <w:numId w:val="1419"/>
        </w:numPr>
        <w:pStyle w:val="Compact"/>
      </w:pPr>
      <w:r>
        <w:t xml:space="preserve">2013 · Davis MC ·</w:t>
      </w:r>
      <w:r>
        <w:t xml:space="preserve"> </w:t>
      </w:r>
      <w:r>
        <w:rPr>
          <w:iCs/>
          <w:i/>
        </w:rPr>
        <w:t xml:space="preserve">Schizophr Res</w:t>
      </w:r>
      <w:r>
        <w:t xml:space="preserve"> </w:t>
      </w:r>
      <w:r>
        <w:t xml:space="preserve">· Effects of single dose intranasal oxytocin on social cognition in schizophrenia. PMID 23676253</w:t>
      </w:r>
    </w:p>
    <w:p>
      <w:pPr>
        <w:numPr>
          <w:ilvl w:val="0"/>
          <w:numId w:val="1419"/>
        </w:numPr>
        <w:pStyle w:val="Compact"/>
      </w:pPr>
      <w:r>
        <w:t xml:space="preserve">2013 · Acheson D ·</w:t>
      </w:r>
      <w:r>
        <w:t xml:space="preserve"> </w:t>
      </w:r>
      <w:r>
        <w:rPr>
          <w:iCs/>
          <w:i/>
        </w:rPr>
        <w:t xml:space="preserve">Psychopharmacology (Berl)</w:t>
      </w:r>
      <w:r>
        <w:t xml:space="preserve"> </w:t>
      </w:r>
      <w:r>
        <w:t xml:space="preserve">· The effect of intranasal oxytocin treatment on conditioned fear extinction and recall in a healthy human sample. PMID 23644911</w:t>
      </w:r>
    </w:p>
    <w:p>
      <w:pPr>
        <w:numPr>
          <w:ilvl w:val="0"/>
          <w:numId w:val="1419"/>
        </w:numPr>
        <w:pStyle w:val="Compact"/>
      </w:pPr>
      <w:r>
        <w:t xml:space="preserve">2013 · Prehn K ·</w:t>
      </w:r>
      <w:r>
        <w:t xml:space="preserve"> </w:t>
      </w:r>
      <w:r>
        <w:rPr>
          <w:iCs/>
          <w:i/>
        </w:rPr>
        <w:t xml:space="preserve">Psychophysiology</w:t>
      </w:r>
      <w:r>
        <w:t xml:space="preserve"> </w:t>
      </w:r>
      <w:r>
        <w:t xml:space="preserve">· Effects of intranasal oxytocin on pupil dilation indicate increased salience of socioaffective stimuli. PMID 23551070</w:t>
      </w:r>
    </w:p>
    <w:p>
      <w:pPr>
        <w:numPr>
          <w:ilvl w:val="0"/>
          <w:numId w:val="1419"/>
        </w:numPr>
        <w:pStyle w:val="Compact"/>
      </w:pPr>
      <w:r>
        <w:t xml:space="preserve">2013 · Domes G ·</w:t>
      </w:r>
      <w:r>
        <w:t xml:space="preserve"> </w:t>
      </w:r>
      <w:r>
        <w:rPr>
          <w:iCs/>
          <w:i/>
        </w:rPr>
        <w:t xml:space="preserve">Biol Psychiatry</w:t>
      </w:r>
      <w:r>
        <w:t xml:space="preserve"> </w:t>
      </w:r>
      <w:r>
        <w:t xml:space="preserve">· Effects of intranasal oxytocin on the neural basis of face processing in autism spectrum disorder. PMID 23510581</w:t>
      </w:r>
    </w:p>
    <w:p>
      <w:pPr>
        <w:numPr>
          <w:ilvl w:val="0"/>
          <w:numId w:val="1419"/>
        </w:numPr>
        <w:pStyle w:val="Compact"/>
      </w:pPr>
      <w:r>
        <w:t xml:space="preserve">2013 · Tachibana M ·</w:t>
      </w:r>
      <w:r>
        <w:t xml:space="preserve"> </w:t>
      </w:r>
      <w:r>
        <w:rPr>
          <w:iCs/>
          <w:i/>
        </w:rPr>
        <w:t xml:space="preserve">J Child Adolesc Psychopharmacol</w:t>
      </w:r>
      <w:r>
        <w:t xml:space="preserve"> </w:t>
      </w:r>
      <w:r>
        <w:t xml:space="preserve">· Long-term administration of intranasal oxytocin is a safe and promising therapy for early adolescent boys with autism spectrum disorders. PMID 23480321</w:t>
      </w:r>
    </w:p>
    <w:p>
      <w:pPr>
        <w:numPr>
          <w:ilvl w:val="0"/>
          <w:numId w:val="1419"/>
        </w:numPr>
        <w:pStyle w:val="Compact"/>
      </w:pPr>
      <w:r>
        <w:t xml:space="preserve">2013 · Theodoridou A ·</w:t>
      </w:r>
      <w:r>
        <w:t xml:space="preserve"> </w:t>
      </w:r>
      <w:r>
        <w:rPr>
          <w:iCs/>
          <w:i/>
        </w:rPr>
        <w:t xml:space="preserve">PLoS One</w:t>
      </w:r>
      <w:r>
        <w:t xml:space="preserve"> </w:t>
      </w:r>
      <w:r>
        <w:t xml:space="preserve">· A direct examination of the effect of intranasal administration of oxytocin on approach-avoidance motor responses to emotional stimuli. PMID 23469148</w:t>
      </w:r>
    </w:p>
    <w:p>
      <w:pPr>
        <w:numPr>
          <w:ilvl w:val="0"/>
          <w:numId w:val="1419"/>
        </w:numPr>
        <w:pStyle w:val="Compact"/>
      </w:pPr>
      <w:r>
        <w:t xml:space="preserve">2013 · Groppe SE ·</w:t>
      </w:r>
      <w:r>
        <w:t xml:space="preserve"> </w:t>
      </w:r>
      <w:r>
        <w:rPr>
          <w:iCs/>
          <w:i/>
        </w:rPr>
        <w:t xml:space="preserve">Biol Psychiatry</w:t>
      </w:r>
      <w:r>
        <w:t xml:space="preserve"> </w:t>
      </w:r>
      <w:r>
        <w:t xml:space="preserve">· Oxytocin influences processing of socially relevant cues in the ventral tegmental area of the human brain. PMID 23419544</w:t>
      </w:r>
    </w:p>
    <w:p>
      <w:pPr>
        <w:numPr>
          <w:ilvl w:val="0"/>
          <w:numId w:val="1419"/>
        </w:numPr>
        <w:pStyle w:val="Compact"/>
      </w:pPr>
      <w:r>
        <w:t xml:space="preserve">2013 · Lee MR ·</w:t>
      </w:r>
      <w:r>
        <w:t xml:space="preserve"> </w:t>
      </w:r>
      <w:r>
        <w:rPr>
          <w:iCs/>
          <w:i/>
        </w:rPr>
        <w:t xml:space="preserve">Schizophr Res</w:t>
      </w:r>
      <w:r>
        <w:t xml:space="preserve"> </w:t>
      </w:r>
      <w:r>
        <w:t xml:space="preserve">· Effects of adjunctive intranasal oxytocin on olfactory identification and clinical symptoms in schizophrenia: results from a randomized double blind placebo controlled pilot study. PMID 23415472</w:t>
      </w:r>
    </w:p>
    <w:p>
      <w:pPr>
        <w:numPr>
          <w:ilvl w:val="0"/>
          <w:numId w:val="1419"/>
        </w:numPr>
        <w:pStyle w:val="Compact"/>
      </w:pPr>
      <w:r>
        <w:t xml:space="preserve">2013 · Riem MM ·</w:t>
      </w:r>
      <w:r>
        <w:t xml:space="preserve"> </w:t>
      </w:r>
      <w:r>
        <w:rPr>
          <w:iCs/>
          <w:i/>
        </w:rPr>
        <w:t xml:space="preserve">Psychoneuroendocrinology</w:t>
      </w:r>
      <w:r>
        <w:t xml:space="preserve"> </w:t>
      </w:r>
      <w:r>
        <w:t xml:space="preserve">· Does intranasal oxytocin promote prosocial behavior to an excluded fellow player? A randomized-controlled trial with Cyberball. PMID 23352229</w:t>
      </w:r>
    </w:p>
    <w:p>
      <w:pPr>
        <w:numPr>
          <w:ilvl w:val="0"/>
          <w:numId w:val="1419"/>
        </w:numPr>
        <w:pStyle w:val="Compact"/>
      </w:pPr>
      <w:r>
        <w:t xml:space="preserve">2013 · Weigand A ·</w:t>
      </w:r>
      <w:r>
        <w:t xml:space="preserve"> </w:t>
      </w:r>
      <w:r>
        <w:rPr>
          <w:iCs/>
          <w:i/>
        </w:rPr>
        <w:t xml:space="preserve">Psychopharmacology (Berl)</w:t>
      </w:r>
      <w:r>
        <w:t xml:space="preserve"> </w:t>
      </w:r>
      <w:r>
        <w:t xml:space="preserve">· Effects of intranasal oxytocin prior to encoding and retrieval on recognition memory. PMID 23334103</w:t>
      </w:r>
    </w:p>
    <w:p>
      <w:pPr>
        <w:numPr>
          <w:ilvl w:val="0"/>
          <w:numId w:val="1419"/>
        </w:numPr>
        <w:pStyle w:val="Compact"/>
      </w:pPr>
      <w:r>
        <w:t xml:space="preserve">2013 · Modabbernia A ·</w:t>
      </w:r>
      <w:r>
        <w:t xml:space="preserve"> </w:t>
      </w:r>
      <w:r>
        <w:rPr>
          <w:iCs/>
          <w:i/>
        </w:rPr>
        <w:t xml:space="preserve">CNS Drugs</w:t>
      </w:r>
      <w:r>
        <w:t xml:space="preserve"> </w:t>
      </w:r>
      <w:r>
        <w:t xml:space="preserve">· Intranasal oxytocin as an adjunct to risperidone in patients with schizophrenia : an 8-week, randomized, double-blind, placebo-controlled study. PMID 23233269</w:t>
      </w:r>
    </w:p>
    <w:p>
      <w:pPr>
        <w:numPr>
          <w:ilvl w:val="0"/>
          <w:numId w:val="1419"/>
        </w:numPr>
        <w:pStyle w:val="Compact"/>
      </w:pPr>
      <w:r>
        <w:t xml:space="preserve">2013 · Huffmeijer R ·</w:t>
      </w:r>
      <w:r>
        <w:t xml:space="preserve"> </w:t>
      </w:r>
      <w:r>
        <w:rPr>
          <w:iCs/>
          <w:i/>
        </w:rPr>
        <w:t xml:space="preserve">Horm Behav</w:t>
      </w:r>
      <w:r>
        <w:t xml:space="preserve"> </w:t>
      </w:r>
      <w:r>
        <w:t xml:space="preserve">· The impact of oxytocin administration and maternal love withdrawal on event-related potential (ERP) responses to emotional faces with performance feedback. PMID 23159479</w:t>
      </w:r>
    </w:p>
    <w:p>
      <w:pPr>
        <w:numPr>
          <w:ilvl w:val="0"/>
          <w:numId w:val="1419"/>
        </w:numPr>
        <w:pStyle w:val="Compact"/>
      </w:pPr>
      <w:r>
        <w:t xml:space="preserve">2013 · Domes G ·</w:t>
      </w:r>
      <w:r>
        <w:t xml:space="preserve"> </w:t>
      </w:r>
      <w:r>
        <w:rPr>
          <w:iCs/>
          <w:i/>
        </w:rPr>
        <w:t xml:space="preserve">Psychol Med</w:t>
      </w:r>
      <w:r>
        <w:t xml:space="preserve"> </w:t>
      </w:r>
      <w:r>
        <w:t xml:space="preserve">· Intranasal oxytocin increases covert attention to positive social cues. PMID 23146328</w:t>
      </w:r>
    </w:p>
    <w:p>
      <w:pPr>
        <w:numPr>
          <w:ilvl w:val="0"/>
          <w:numId w:val="1419"/>
        </w:numPr>
        <w:pStyle w:val="Compact"/>
      </w:pPr>
      <w:r>
        <w:t xml:space="preserve">2013 · Mah BL ·</w:t>
      </w:r>
      <w:r>
        <w:t xml:space="preserve"> </w:t>
      </w:r>
      <w:r>
        <w:rPr>
          <w:iCs/>
          <w:i/>
        </w:rPr>
        <w:t xml:space="preserve">Prog Neuropsychopharmacol Biol Psychiatry</w:t>
      </w:r>
      <w:r>
        <w:t xml:space="preserve"> </w:t>
      </w:r>
      <w:r>
        <w:t xml:space="preserve">· Oxytocin in postnatally depressed mothers: its influence on mood and expressed emotion. PMID 23085508</w:t>
      </w:r>
    </w:p>
    <w:p>
      <w:pPr>
        <w:numPr>
          <w:ilvl w:val="0"/>
          <w:numId w:val="1419"/>
        </w:numPr>
        <w:pStyle w:val="Compact"/>
      </w:pPr>
      <w:r>
        <w:t xml:space="preserve">2013 · Pedersen CA ·</w:t>
      </w:r>
      <w:r>
        <w:t xml:space="preserve"> </w:t>
      </w:r>
      <w:r>
        <w:rPr>
          <w:iCs/>
          <w:i/>
        </w:rPr>
        <w:t xml:space="preserve">Alcohol Clin Exp Res</w:t>
      </w:r>
      <w:r>
        <w:t xml:space="preserve"> </w:t>
      </w:r>
      <w:r>
        <w:t xml:space="preserve">· Intranasal oxytocin blocks alcohol withdrawal in human subjects. PMID 23025690</w:t>
      </w:r>
    </w:p>
    <w:p>
      <w:pPr>
        <w:numPr>
          <w:ilvl w:val="0"/>
          <w:numId w:val="1419"/>
        </w:numPr>
        <w:pStyle w:val="Compact"/>
      </w:pPr>
      <w:r>
        <w:t xml:space="preserve">2013 · Ellenbogen MA ·</w:t>
      </w:r>
      <w:r>
        <w:t xml:space="preserve"> </w:t>
      </w:r>
      <w:r>
        <w:rPr>
          <w:iCs/>
          <w:i/>
        </w:rPr>
        <w:t xml:space="preserve">Psychoneuroendocrinology</w:t>
      </w:r>
      <w:r>
        <w:t xml:space="preserve"> </w:t>
      </w:r>
      <w:r>
        <w:t xml:space="preserve">· Intranasal oxytocin impedes the ability to ignore task-irrelevant facial expressions of sadness in students with depressive symptoms. PMID 22902063</w:t>
      </w:r>
    </w:p>
    <w:p>
      <w:pPr>
        <w:numPr>
          <w:ilvl w:val="0"/>
          <w:numId w:val="1419"/>
        </w:numPr>
        <w:pStyle w:val="Compact"/>
      </w:pPr>
      <w:r>
        <w:t xml:space="preserve">2013 · Cardoso C ·</w:t>
      </w:r>
      <w:r>
        <w:t xml:space="preserve"> </w:t>
      </w:r>
      <w:r>
        <w:rPr>
          <w:iCs/>
          <w:i/>
        </w:rPr>
        <w:t xml:space="preserve">Psychoneuroendocrinology</w:t>
      </w:r>
      <w:r>
        <w:t xml:space="preserve"> </w:t>
      </w:r>
      <w:r>
        <w:t xml:space="preserve">· Intranasal oxytocin attenuates the cortisol response to physical stress: a dose-response study. PMID 22889586</w:t>
      </w:r>
    </w:p>
    <w:p>
      <w:pPr>
        <w:numPr>
          <w:ilvl w:val="0"/>
          <w:numId w:val="1419"/>
        </w:numPr>
        <w:pStyle w:val="Compact"/>
      </w:pPr>
      <w:r>
        <w:t xml:space="preserve">2013 · Ditzen B ·</w:t>
      </w:r>
      <w:r>
        <w:t xml:space="preserve"> </w:t>
      </w:r>
      <w:r>
        <w:rPr>
          <w:iCs/>
          <w:i/>
        </w:rPr>
        <w:t xml:space="preserve">Soc Cogn Affect Neurosci</w:t>
      </w:r>
      <w:r>
        <w:t xml:space="preserve"> </w:t>
      </w:r>
      <w:r>
        <w:t xml:space="preserve">· Sex-specific effects of intranasal oxytocin on autonomic nervous system and emotional responses to couple conflict. PMID 22842905</w:t>
      </w:r>
    </w:p>
    <w:p>
      <w:pPr>
        <w:numPr>
          <w:ilvl w:val="0"/>
          <w:numId w:val="1419"/>
        </w:numPr>
        <w:pStyle w:val="Compact"/>
      </w:pPr>
      <w:r>
        <w:t xml:space="preserve">2013 · Leknes S ·</w:t>
      </w:r>
      <w:r>
        <w:t xml:space="preserve"> </w:t>
      </w:r>
      <w:r>
        <w:rPr>
          <w:iCs/>
          <w:i/>
        </w:rPr>
        <w:t xml:space="preserve">Soc Cogn Affect Neurosci</w:t>
      </w:r>
      <w:r>
        <w:t xml:space="preserve"> </w:t>
      </w:r>
      <w:r>
        <w:t xml:space="preserve">· Oxytocin enhances pupil dilation and sensitivity to</w:t>
      </w:r>
      <w:r>
        <w:t xml:space="preserve"> </w:t>
      </w:r>
      <w:r>
        <w:t xml:space="preserve">‘</w:t>
      </w:r>
      <w:r>
        <w:t xml:space="preserve">hidden</w:t>
      </w:r>
      <w:r>
        <w:t xml:space="preserve">’</w:t>
      </w:r>
      <w:r>
        <w:t xml:space="preserve"> </w:t>
      </w:r>
      <w:r>
        <w:t xml:space="preserve">emotional expressions. PMID 22648957</w:t>
      </w:r>
    </w:p>
    <w:p>
      <w:pPr>
        <w:numPr>
          <w:ilvl w:val="0"/>
          <w:numId w:val="1419"/>
        </w:numPr>
        <w:pStyle w:val="Compact"/>
      </w:pPr>
      <w:r>
        <w:t xml:space="preserve">2013 · Krueger F ·</w:t>
      </w:r>
      <w:r>
        <w:t xml:space="preserve"> </w:t>
      </w:r>
      <w:r>
        <w:rPr>
          <w:iCs/>
          <w:i/>
        </w:rPr>
        <w:t xml:space="preserve">Soc Cogn Affect Neurosci</w:t>
      </w:r>
      <w:r>
        <w:t xml:space="preserve"> </w:t>
      </w:r>
      <w:r>
        <w:t xml:space="preserve">· Oxytocin selectively increases perceptions of harm for victims but not the desire to punish offenders of criminal offenses. PMID 22368214</w:t>
      </w:r>
    </w:p>
    <w:p>
      <w:pPr>
        <w:numPr>
          <w:ilvl w:val="0"/>
          <w:numId w:val="1419"/>
        </w:numPr>
        <w:pStyle w:val="Compact"/>
      </w:pPr>
      <w:r>
        <w:t xml:space="preserve">2012 · Feifel D ·</w:t>
      </w:r>
      <w:r>
        <w:t xml:space="preserve"> </w:t>
      </w:r>
      <w:r>
        <w:rPr>
          <w:iCs/>
          <w:i/>
        </w:rPr>
        <w:t xml:space="preserve">Schizophr Res</w:t>
      </w:r>
      <w:r>
        <w:t xml:space="preserve"> </w:t>
      </w:r>
      <w:r>
        <w:t xml:space="preserve">· Adjunctive intranasal oxytocin improves verbal memory in people with schizophrenia. PMID 22682705</w:t>
      </w:r>
    </w:p>
    <w:p>
      <w:pPr>
        <w:numPr>
          <w:ilvl w:val="0"/>
          <w:numId w:val="1419"/>
        </w:numPr>
        <w:pStyle w:val="Compact"/>
      </w:pPr>
      <w:r>
        <w:t xml:space="preserve">2012 · Huffmeijer R ·</w:t>
      </w:r>
      <w:r>
        <w:t xml:space="preserve"> </w:t>
      </w:r>
      <w:r>
        <w:rPr>
          <w:iCs/>
          <w:i/>
        </w:rPr>
        <w:t xml:space="preserve">Neuro Endocrinol Lett</w:t>
      </w:r>
      <w:r>
        <w:t xml:space="preserve"> </w:t>
      </w:r>
      <w:r>
        <w:t xml:space="preserve">· Salivary levels of oxytocin remain elevated for more than two hours after intranasal oxytocin administration. PMID 22467107</w:t>
      </w:r>
    </w:p>
    <w:p>
      <w:pPr>
        <w:numPr>
          <w:ilvl w:val="0"/>
          <w:numId w:val="1419"/>
        </w:numPr>
        <w:pStyle w:val="Compact"/>
      </w:pPr>
      <w:r>
        <w:t xml:space="preserve">2012 · Weisman O ·</w:t>
      </w:r>
      <w:r>
        <w:t xml:space="preserve"> </w:t>
      </w:r>
      <w:r>
        <w:rPr>
          <w:iCs/>
          <w:i/>
        </w:rPr>
        <w:t xml:space="preserve">Psychoneuroendocrinology</w:t>
      </w:r>
      <w:r>
        <w:t xml:space="preserve"> </w:t>
      </w:r>
      <w:r>
        <w:t xml:space="preserve">· Intranasal oxytocin administration is reflected in human saliva. PMID 22436536</w:t>
      </w:r>
    </w:p>
    <w:p>
      <w:pPr>
        <w:numPr>
          <w:ilvl w:val="0"/>
          <w:numId w:val="1419"/>
        </w:numPr>
        <w:pStyle w:val="Compact"/>
      </w:pPr>
      <w:r>
        <w:t xml:space="preserve">2012 · Riem MM ·</w:t>
      </w:r>
      <w:r>
        <w:t xml:space="preserve"> </w:t>
      </w:r>
      <w:r>
        <w:rPr>
          <w:iCs/>
          <w:i/>
        </w:rPr>
        <w:t xml:space="preserve">Neuropsychopharmacology</w:t>
      </w:r>
      <w:r>
        <w:t xml:space="preserve"> </w:t>
      </w:r>
      <w:r>
        <w:t xml:space="preserve">· No laughing matter: intranasal oxytocin administration changes functional brain connectivity during exposure to infant laughter. PMID 22189289</w:t>
      </w:r>
    </w:p>
    <w:p>
      <w:pPr>
        <w:numPr>
          <w:ilvl w:val="0"/>
          <w:numId w:val="1419"/>
        </w:numPr>
        <w:pStyle w:val="Compact"/>
      </w:pPr>
      <w:r>
        <w:t xml:space="preserve">2012 · De Dreu CK ·</w:t>
      </w:r>
      <w:r>
        <w:t xml:space="preserve"> </w:t>
      </w:r>
      <w:r>
        <w:rPr>
          <w:iCs/>
          <w:i/>
        </w:rPr>
        <w:t xml:space="preserve">Psychoneuroendocrinology</w:t>
      </w:r>
      <w:r>
        <w:t xml:space="preserve"> </w:t>
      </w:r>
      <w:r>
        <w:t xml:space="preserve">· Oxytocin modulates the link between adult attachment and cooperation through reduced betrayal aversion. PMID 22055739</w:t>
      </w:r>
    </w:p>
    <w:p>
      <w:pPr>
        <w:numPr>
          <w:ilvl w:val="0"/>
          <w:numId w:val="1419"/>
        </w:numPr>
        <w:pStyle w:val="Compact"/>
      </w:pPr>
      <w:r>
        <w:t xml:space="preserve">2012 · Linnen AM ·</w:t>
      </w:r>
      <w:r>
        <w:t xml:space="preserve"> </w:t>
      </w:r>
      <w:r>
        <w:rPr>
          <w:iCs/>
          <w:i/>
        </w:rPr>
        <w:t xml:space="preserve">Stress</w:t>
      </w:r>
      <w:r>
        <w:t xml:space="preserve"> </w:t>
      </w:r>
      <w:r>
        <w:t xml:space="preserve">· Intranasal oxytocin and salivary cortisol concentrations during social rejection in university students. PMID 22044077</w:t>
      </w:r>
    </w:p>
    <w:p>
      <w:pPr>
        <w:numPr>
          <w:ilvl w:val="0"/>
          <w:numId w:val="1419"/>
        </w:numPr>
        <w:pStyle w:val="Compact"/>
      </w:pPr>
      <w:r>
        <w:t xml:space="preserve">2012 · Cardoso C ·</w:t>
      </w:r>
      <w:r>
        <w:t xml:space="preserve"> </w:t>
      </w:r>
      <w:r>
        <w:rPr>
          <w:iCs/>
          <w:i/>
        </w:rPr>
        <w:t xml:space="preserve">Psychopharmacology (Berl)</w:t>
      </w:r>
      <w:r>
        <w:t xml:space="preserve"> </w:t>
      </w:r>
      <w:r>
        <w:t xml:space="preserve">· Acute intranasal oxytocin improves positive self-perceptions of personality. PMID 22012170</w:t>
      </w:r>
    </w:p>
    <w:p>
      <w:pPr>
        <w:numPr>
          <w:ilvl w:val="0"/>
          <w:numId w:val="1419"/>
        </w:numPr>
        <w:pStyle w:val="Compact"/>
      </w:pPr>
      <w:r>
        <w:t xml:space="preserve">2012 · Cardoso C ·</w:t>
      </w:r>
      <w:r>
        <w:t xml:space="preserve"> </w:t>
      </w:r>
      <w:r>
        <w:rPr>
          <w:iCs/>
          <w:i/>
        </w:rPr>
        <w:t xml:space="preserve">Exp Clin Psychopharmacol</w:t>
      </w:r>
      <w:r>
        <w:t xml:space="preserve"> </w:t>
      </w:r>
      <w:r>
        <w:t xml:space="preserve">· Coping style moderates the effect of intranasal oxytocin on the mood response to interpersonal stress. PMID 21988218</w:t>
      </w:r>
    </w:p>
    <w:p>
      <w:pPr>
        <w:numPr>
          <w:ilvl w:val="0"/>
          <w:numId w:val="1419"/>
        </w:numPr>
        <w:pStyle w:val="Compact"/>
      </w:pPr>
      <w:r>
        <w:t xml:space="preserve">2012 · Hall SS ·</w:t>
      </w:r>
      <w:r>
        <w:t xml:space="preserve"> </w:t>
      </w:r>
      <w:r>
        <w:rPr>
          <w:iCs/>
          <w:i/>
        </w:rPr>
        <w:t xml:space="preserve">Psychoneuroendocrinology</w:t>
      </w:r>
      <w:r>
        <w:t xml:space="preserve"> </w:t>
      </w:r>
      <w:r>
        <w:t xml:space="preserve">· Effects of intranasal oxytocin on social anxiety in males with fragile X syndrome. PMID 21862226</w:t>
      </w:r>
    </w:p>
    <w:p>
      <w:pPr>
        <w:numPr>
          <w:ilvl w:val="0"/>
          <w:numId w:val="1419"/>
        </w:numPr>
        <w:pStyle w:val="Compact"/>
      </w:pPr>
      <w:r>
        <w:t xml:space="preserve">2012 · Lischke A ·</w:t>
      </w:r>
      <w:r>
        <w:t xml:space="preserve"> </w:t>
      </w:r>
      <w:r>
        <w:rPr>
          <w:iCs/>
          <w:i/>
        </w:rPr>
        <w:t xml:space="preserve">Psychoneuroendocrinology</w:t>
      </w:r>
      <w:r>
        <w:t xml:space="preserve"> </w:t>
      </w:r>
      <w:r>
        <w:t xml:space="preserve">· Intranasal oxytocin enhances emotion recognition from dynamic facial expressions and leaves eye-gaze unaffected. PMID 21862223</w:t>
      </w:r>
    </w:p>
    <w:p>
      <w:pPr>
        <w:numPr>
          <w:ilvl w:val="0"/>
          <w:numId w:val="1419"/>
        </w:numPr>
        <w:pStyle w:val="Compact"/>
      </w:pPr>
      <w:r>
        <w:t xml:space="preserve">2012 · Rilling JK ·</w:t>
      </w:r>
      <w:r>
        <w:t xml:space="preserve"> </w:t>
      </w:r>
      <w:r>
        <w:rPr>
          <w:iCs/>
          <w:i/>
        </w:rPr>
        <w:t xml:space="preserve">Psychoneuroendocrinology</w:t>
      </w:r>
      <w:r>
        <w:t xml:space="preserve"> </w:t>
      </w:r>
      <w:r>
        <w:t xml:space="preserve">· Effects of intranasal oxytocin and vasopressin on cooperative behavior and associated brain activity in men. PMID 21840129</w:t>
      </w:r>
    </w:p>
    <w:p>
      <w:pPr>
        <w:numPr>
          <w:ilvl w:val="0"/>
          <w:numId w:val="1419"/>
        </w:numPr>
        <w:pStyle w:val="Compact"/>
      </w:pPr>
      <w:r>
        <w:t xml:space="preserve">2011 · Jesso S ·</w:t>
      </w:r>
      <w:r>
        <w:t xml:space="preserve"> </w:t>
      </w:r>
      <w:r>
        <w:rPr>
          <w:iCs/>
          <w:i/>
        </w:rPr>
        <w:t xml:space="preserve">Brain</w:t>
      </w:r>
      <w:r>
        <w:t xml:space="preserve"> </w:t>
      </w:r>
      <w:r>
        <w:t xml:space="preserve">· The effects of oxytocin on social cognition and behaviour in frontotemporal dementia. PMID 21859765</w:t>
      </w:r>
    </w:p>
    <w:p>
      <w:pPr>
        <w:numPr>
          <w:ilvl w:val="0"/>
          <w:numId w:val="1419"/>
        </w:numPr>
        <w:pStyle w:val="Compact"/>
      </w:pPr>
      <w:r>
        <w:t xml:space="preserve">2011 · Pedersen CA ·</w:t>
      </w:r>
      <w:r>
        <w:t xml:space="preserve"> </w:t>
      </w:r>
      <w:r>
        <w:rPr>
          <w:iCs/>
          <w:i/>
        </w:rPr>
        <w:t xml:space="preserve">Schizophr Res</w:t>
      </w:r>
      <w:r>
        <w:t xml:space="preserve"> </w:t>
      </w:r>
      <w:r>
        <w:t xml:space="preserve">· Intranasal oxytocin reduces psychotic symptoms and improves Theory of Mind and social perception in schizophrenia. PMID 21840177</w:t>
      </w:r>
    </w:p>
    <w:p>
      <w:pPr>
        <w:numPr>
          <w:ilvl w:val="0"/>
          <w:numId w:val="1419"/>
        </w:numPr>
        <w:pStyle w:val="Compact"/>
      </w:pPr>
      <w:r>
        <w:t xml:space="preserve">2011 · Rockliff H ·</w:t>
      </w:r>
      <w:r>
        <w:t xml:space="preserve"> </w:t>
      </w:r>
      <w:r>
        <w:rPr>
          <w:iCs/>
          <w:i/>
        </w:rPr>
        <w:t xml:space="preserve">Emotion</w:t>
      </w:r>
      <w:r>
        <w:t xml:space="preserve"> </w:t>
      </w:r>
      <w:r>
        <w:t xml:space="preserve">· Effects of intranasal oxytocin on</w:t>
      </w:r>
      <w:r>
        <w:t xml:space="preserve"> </w:t>
      </w:r>
      <w:r>
        <w:t xml:space="preserve">‘</w:t>
      </w:r>
      <w:r>
        <w:t xml:space="preserve">compassion focused imagery</w:t>
      </w:r>
      <w:r>
        <w:t xml:space="preserve">’</w:t>
      </w:r>
      <w:r>
        <w:t xml:space="preserve">. PMID 21707149</w:t>
      </w:r>
    </w:p>
    <w:p>
      <w:pPr>
        <w:numPr>
          <w:ilvl w:val="0"/>
          <w:numId w:val="1419"/>
        </w:numPr>
        <w:pStyle w:val="Compact"/>
      </w:pPr>
      <w:r>
        <w:t xml:space="preserve">2011 · Simeon D ·</w:t>
      </w:r>
      <w:r>
        <w:t xml:space="preserve"> </w:t>
      </w:r>
      <w:r>
        <w:rPr>
          <w:iCs/>
          <w:i/>
        </w:rPr>
        <w:t xml:space="preserve">Psychoneuroendocrinology</w:t>
      </w:r>
      <w:r>
        <w:t xml:space="preserve"> </w:t>
      </w:r>
      <w:r>
        <w:t xml:space="preserve">· Oxytocin administration attenuates stress reactivity in borderline personality disorder: a pilot study. PMID 21546164</w:t>
      </w:r>
    </w:p>
    <w:p>
      <w:pPr>
        <w:numPr>
          <w:ilvl w:val="0"/>
          <w:numId w:val="1419"/>
        </w:numPr>
        <w:pStyle w:val="Compact"/>
      </w:pPr>
      <w:r>
        <w:t xml:space="preserve">2011 · Schulze L ·</w:t>
      </w:r>
      <w:r>
        <w:t xml:space="preserve"> </w:t>
      </w:r>
      <w:r>
        <w:rPr>
          <w:iCs/>
          <w:i/>
        </w:rPr>
        <w:t xml:space="preserve">Psychoneuroendocrinology</w:t>
      </w:r>
      <w:r>
        <w:t xml:space="preserve"> </w:t>
      </w:r>
      <w:r>
        <w:t xml:space="preserve">· Oxytocin increases recognition of masked emotional faces. PMID 21477929</w:t>
      </w:r>
    </w:p>
    <w:p>
      <w:pPr>
        <w:numPr>
          <w:ilvl w:val="0"/>
          <w:numId w:val="1419"/>
        </w:numPr>
        <w:pStyle w:val="Compact"/>
      </w:pPr>
      <w:r>
        <w:t xml:space="preserve">2011 · Goldman MB ·</w:t>
      </w:r>
      <w:r>
        <w:t xml:space="preserve"> </w:t>
      </w:r>
      <w:r>
        <w:rPr>
          <w:iCs/>
          <w:i/>
        </w:rPr>
        <w:t xml:space="preserve">Psychopharmacology (Berl)</w:t>
      </w:r>
      <w:r>
        <w:t xml:space="preserve"> </w:t>
      </w:r>
      <w:r>
        <w:t xml:space="preserve">· Divergent effects of two different doses of intranasal oxytocin on facial affect discrimination in schizophrenic patients with and without polydipsia. PMID 21301811</w:t>
      </w:r>
    </w:p>
    <w:p>
      <w:pPr>
        <w:numPr>
          <w:ilvl w:val="0"/>
          <w:numId w:val="1419"/>
        </w:numPr>
        <w:pStyle w:val="Compact"/>
      </w:pPr>
      <w:r>
        <w:t xml:space="preserve">2011 · Quirin M ·</w:t>
      </w:r>
      <w:r>
        <w:t xml:space="preserve"> </w:t>
      </w:r>
      <w:r>
        <w:rPr>
          <w:iCs/>
          <w:i/>
        </w:rPr>
        <w:t xml:space="preserve">Psychoneuroendocrinology</w:t>
      </w:r>
      <w:r>
        <w:t xml:space="preserve"> </w:t>
      </w:r>
      <w:r>
        <w:t xml:space="preserve">· Oxytocin buffers cortisol responses to stress in individuals with impaired emotion regulation abilities. PMID 21208748</w:t>
      </w:r>
    </w:p>
    <w:p>
      <w:pPr>
        <w:numPr>
          <w:ilvl w:val="0"/>
          <w:numId w:val="1419"/>
        </w:numPr>
        <w:pStyle w:val="Compact"/>
      </w:pPr>
      <w:r>
        <w:t xml:space="preserve">2011 · Bartz J ·</w:t>
      </w:r>
      <w:r>
        <w:t xml:space="preserve"> </w:t>
      </w:r>
      <w:r>
        <w:rPr>
          <w:iCs/>
          <w:i/>
        </w:rPr>
        <w:t xml:space="preserve">Soc Cogn Affect Neurosci</w:t>
      </w:r>
      <w:r>
        <w:t xml:space="preserve"> </w:t>
      </w:r>
      <w:r>
        <w:t xml:space="preserve">· Oxytocin can hinder trust and cooperation in borderline personality disorder. PMID 21115541</w:t>
      </w:r>
    </w:p>
    <w:p>
      <w:pPr>
        <w:numPr>
          <w:ilvl w:val="0"/>
          <w:numId w:val="1419"/>
        </w:numPr>
        <w:pStyle w:val="Compact"/>
      </w:pPr>
      <w:r>
        <w:t xml:space="preserve">2010 · Alvares GA ·</w:t>
      </w:r>
      <w:r>
        <w:t xml:space="preserve"> </w:t>
      </w:r>
      <w:r>
        <w:rPr>
          <w:iCs/>
          <w:i/>
        </w:rPr>
        <w:t xml:space="preserve">Exp Clin Psychopharmacol</w:t>
      </w:r>
      <w:r>
        <w:t xml:space="preserve"> </w:t>
      </w:r>
      <w:r>
        <w:t xml:space="preserve">· Acute effects of intranasal oxytocin on subjective and behavioral responses to social rejection. PMID 20695687</w:t>
      </w:r>
    </w:p>
    <w:p>
      <w:pPr>
        <w:numPr>
          <w:ilvl w:val="0"/>
          <w:numId w:val="1419"/>
        </w:numPr>
        <w:pStyle w:val="Compact"/>
      </w:pPr>
      <w:r>
        <w:t xml:space="preserve">2010 · Feifel D ·</w:t>
      </w:r>
      <w:r>
        <w:t xml:space="preserve"> </w:t>
      </w:r>
      <w:r>
        <w:rPr>
          <w:iCs/>
          <w:i/>
        </w:rPr>
        <w:t xml:space="preserve">Biol Psychiatry</w:t>
      </w:r>
      <w:r>
        <w:t xml:space="preserve"> </w:t>
      </w:r>
      <w:r>
        <w:t xml:space="preserve">· Adjunctive intranasal oxytocin reduces symptoms in schizophrenia patients. PMID 20615494</w:t>
      </w:r>
    </w:p>
    <w:p>
      <w:pPr>
        <w:numPr>
          <w:ilvl w:val="0"/>
          <w:numId w:val="1419"/>
        </w:numPr>
        <w:pStyle w:val="Compact"/>
      </w:pPr>
      <w:r>
        <w:t xml:space="preserve">2010 · Perry A ·</w:t>
      </w:r>
      <w:r>
        <w:t xml:space="preserve"> </w:t>
      </w:r>
      <w:r>
        <w:rPr>
          <w:iCs/>
          <w:i/>
        </w:rPr>
        <w:t xml:space="preserve">Psychoneuroendocrinology</w:t>
      </w:r>
      <w:r>
        <w:t xml:space="preserve"> </w:t>
      </w:r>
      <w:r>
        <w:t xml:space="preserve">· Intranasal oxytocin modulates EEG mu/alpha and beta rhythms during perception of biological motion. PMID 20493637</w:t>
      </w:r>
    </w:p>
    <w:p>
      <w:pPr>
        <w:numPr>
          <w:ilvl w:val="0"/>
          <w:numId w:val="1419"/>
        </w:numPr>
        <w:pStyle w:val="Compact"/>
      </w:pPr>
      <w:r>
        <w:t xml:space="preserve">2010 · Naber F ·</w:t>
      </w:r>
      <w:r>
        <w:t xml:space="preserve"> </w:t>
      </w:r>
      <w:r>
        <w:rPr>
          <w:iCs/>
          <w:i/>
        </w:rPr>
        <w:t xml:space="preserve">Psychoneuroendocrinology</w:t>
      </w:r>
      <w:r>
        <w:t xml:space="preserve"> </w:t>
      </w:r>
      <w:r>
        <w:t xml:space="preserve">· Intranasal oxytocin increases fathers’ observed responsiveness during play with their children: a double-blind within-subject experiment. PMID 20457491</w:t>
      </w:r>
    </w:p>
    <w:p>
      <w:pPr>
        <w:numPr>
          <w:ilvl w:val="0"/>
          <w:numId w:val="1419"/>
        </w:numPr>
        <w:pStyle w:val="Compact"/>
      </w:pPr>
      <w:r>
        <w:t xml:space="preserve">2010 · Ochsenkühn R ·</w:t>
      </w:r>
      <w:r>
        <w:t xml:space="preserve"> </w:t>
      </w:r>
      <w:r>
        <w:rPr>
          <w:iCs/>
          <w:i/>
        </w:rPr>
        <w:t xml:space="preserve">Arch Gynecol Obstet</w:t>
      </w:r>
      <w:r>
        <w:t xml:space="preserve"> </w:t>
      </w:r>
      <w:r>
        <w:t xml:space="preserve">· The effect of nasal oxytocin on pregnancy rates following intrauterine insemination: double-blind, randomized, clinical pilot study. PMID 19921230</w:t>
      </w:r>
    </w:p>
    <w:p>
      <w:pPr>
        <w:numPr>
          <w:ilvl w:val="0"/>
          <w:numId w:val="1419"/>
        </w:numPr>
        <w:pStyle w:val="Compact"/>
      </w:pPr>
      <w:r>
        <w:t xml:space="preserve">2010 · Guastella AJ ·</w:t>
      </w:r>
      <w:r>
        <w:t xml:space="preserve"> </w:t>
      </w:r>
      <w:r>
        <w:rPr>
          <w:iCs/>
          <w:i/>
        </w:rPr>
        <w:t xml:space="preserve">Biol Psychiatry</w:t>
      </w:r>
      <w:r>
        <w:t xml:space="preserve"> </w:t>
      </w:r>
      <w:r>
        <w:t xml:space="preserve">· Intranasal oxytocin improves emotion recognition for youth with autism spectrum disorders. PMID 19897177</w:t>
      </w:r>
    </w:p>
    <w:p>
      <w:pPr>
        <w:numPr>
          <w:ilvl w:val="0"/>
          <w:numId w:val="1419"/>
        </w:numPr>
        <w:pStyle w:val="Compact"/>
      </w:pPr>
      <w:r>
        <w:t xml:space="preserve">2009 · Guastella AJ ·</w:t>
      </w:r>
      <w:r>
        <w:t xml:space="preserve"> </w:t>
      </w:r>
      <w:r>
        <w:rPr>
          <w:iCs/>
          <w:i/>
        </w:rPr>
        <w:t xml:space="preserve">Psychoneuroendocrinology</w:t>
      </w:r>
      <w:r>
        <w:t xml:space="preserve"> </w:t>
      </w:r>
      <w:r>
        <w:t xml:space="preserve">· A randomized controlled trial of intranasal oxytocin as an adjunct to exposure therapy for social anxiety disorder. PMID 19246160</w:t>
      </w:r>
    </w:p>
    <w:p>
      <w:pPr>
        <w:numPr>
          <w:ilvl w:val="0"/>
          <w:numId w:val="1419"/>
        </w:numPr>
        <w:pStyle w:val="Compact"/>
      </w:pPr>
      <w:r>
        <w:t xml:space="preserve">2009 · Ditzen B ·</w:t>
      </w:r>
      <w:r>
        <w:t xml:space="preserve"> </w:t>
      </w:r>
      <w:r>
        <w:rPr>
          <w:iCs/>
          <w:i/>
        </w:rPr>
        <w:t xml:space="preserve">Biol Psychiatry</w:t>
      </w:r>
      <w:r>
        <w:t xml:space="preserve"> </w:t>
      </w:r>
      <w:r>
        <w:t xml:space="preserve">· Intranasal oxytocin increases positive communication and reduces cortisol levels during couple conflict. PMID 19027101</w:t>
      </w:r>
    </w:p>
    <w:p>
      <w:pPr>
        <w:numPr>
          <w:ilvl w:val="0"/>
          <w:numId w:val="1419"/>
        </w:numPr>
        <w:pStyle w:val="Compact"/>
      </w:pPr>
      <w:r>
        <w:t xml:space="preserve">2008 · Burri A ·</w:t>
      </w:r>
      <w:r>
        <w:t xml:space="preserve"> </w:t>
      </w:r>
      <w:r>
        <w:rPr>
          <w:iCs/>
          <w:i/>
        </w:rPr>
        <w:t xml:space="preserve">Psychoneuroendocrinology</w:t>
      </w:r>
      <w:r>
        <w:t xml:space="preserve"> </w:t>
      </w:r>
      <w:r>
        <w:t xml:space="preserve">· The acute effects of intranasal oxytocin administration on endocrine and sexual function in males. PMID 18375074</w:t>
      </w:r>
    </w:p>
    <w:p>
      <w:pPr>
        <w:numPr>
          <w:ilvl w:val="0"/>
          <w:numId w:val="1419"/>
        </w:numPr>
        <w:pStyle w:val="Compact"/>
      </w:pPr>
      <w:r>
        <w:t xml:space="preserve">2008 · Savaskan E ·</w:t>
      </w:r>
      <w:r>
        <w:t xml:space="preserve"> </w:t>
      </w:r>
      <w:r>
        <w:rPr>
          <w:iCs/>
          <w:i/>
        </w:rPr>
        <w:t xml:space="preserve">Psychoneuroendocrinology</w:t>
      </w:r>
      <w:r>
        <w:t xml:space="preserve"> </w:t>
      </w:r>
      <w:r>
        <w:t xml:space="preserve">· Post-learning intranasal oxytocin modulates human memory for facial identity. PMID 18221838</w:t>
      </w:r>
    </w:p>
    <w:p>
      <w:pPr>
        <w:numPr>
          <w:ilvl w:val="0"/>
          <w:numId w:val="1419"/>
        </w:numPr>
        <w:pStyle w:val="Compact"/>
      </w:pPr>
      <w:r>
        <w:t xml:space="preserve">2007 · Meinlschmidt G ·</w:t>
      </w:r>
      <w:r>
        <w:t xml:space="preserve"> </w:t>
      </w:r>
      <w:r>
        <w:rPr>
          <w:iCs/>
          <w:i/>
        </w:rPr>
        <w:t xml:space="preserve">Biol Psychiatry</w:t>
      </w:r>
      <w:r>
        <w:t xml:space="preserve"> </w:t>
      </w:r>
      <w:r>
        <w:t xml:space="preserve">· Sensitivity to intranasal oxytocin in adult men with early parental separation. PMID 17141739</w:t>
      </w:r>
    </w:p>
    <w:p>
      <w:pPr>
        <w:numPr>
          <w:ilvl w:val="0"/>
          <w:numId w:val="1419"/>
        </w:numPr>
        <w:pStyle w:val="Compact"/>
      </w:pPr>
      <w:r>
        <w:t xml:space="preserve">2004 · Heinrichs M ·</w:t>
      </w:r>
      <w:r>
        <w:t xml:space="preserve"> </w:t>
      </w:r>
      <w:r>
        <w:rPr>
          <w:iCs/>
          <w:i/>
        </w:rPr>
        <w:t xml:space="preserve">Physiol Behav</w:t>
      </w:r>
      <w:r>
        <w:t xml:space="preserve"> </w:t>
      </w:r>
      <w:r>
        <w:t xml:space="preserve">· Selective amnesic effects of oxytocin on human memory. PMID 15501488</w:t>
      </w:r>
    </w:p>
    <w:p>
      <w:pPr>
        <w:numPr>
          <w:ilvl w:val="0"/>
          <w:numId w:val="1419"/>
        </w:numPr>
        <w:pStyle w:val="Compact"/>
      </w:pPr>
      <w:r>
        <w:t xml:space="preserve">2003 · Heinrichs M ·</w:t>
      </w:r>
      <w:r>
        <w:t xml:space="preserve"> </w:t>
      </w:r>
      <w:r>
        <w:rPr>
          <w:iCs/>
          <w:i/>
        </w:rPr>
        <w:t xml:space="preserve">Biol Psychiatry</w:t>
      </w:r>
      <w:r>
        <w:t xml:space="preserve"> </w:t>
      </w:r>
      <w:r>
        <w:t xml:space="preserve">· Social support and oxytocin interact to suppress cortisol and subjective responses to psychosocial stress. PMID 14675803</w:t>
      </w:r>
    </w:p>
    <w:p>
      <w:pPr>
        <w:numPr>
          <w:ilvl w:val="0"/>
          <w:numId w:val="1419"/>
        </w:numPr>
        <w:pStyle w:val="Compact"/>
      </w:pPr>
      <w:r>
        <w:t xml:space="preserve">1996 · Epperson CN ·</w:t>
      </w:r>
      <w:r>
        <w:t xml:space="preserve"> </w:t>
      </w:r>
      <w:r>
        <w:rPr>
          <w:iCs/>
          <w:i/>
        </w:rPr>
        <w:t xml:space="preserve">Biol Psychiatry</w:t>
      </w:r>
      <w:r>
        <w:t xml:space="preserve"> </w:t>
      </w:r>
      <w:r>
        <w:t xml:space="preserve">· Intranasal oxytocin in obsessive-compulsive disorder. PMID 8879477</w:t>
      </w:r>
    </w:p>
    <w:p>
      <w:pPr>
        <w:numPr>
          <w:ilvl w:val="0"/>
          <w:numId w:val="1419"/>
        </w:numPr>
        <w:pStyle w:val="Compact"/>
      </w:pPr>
      <w:r>
        <w:t xml:space="preserve">1985 · Andreasson B ·</w:t>
      </w:r>
      <w:r>
        <w:t xml:space="preserve"> </w:t>
      </w:r>
      <w:r>
        <w:rPr>
          <w:iCs/>
          <w:i/>
        </w:rPr>
        <w:t xml:space="preserve">Acta Obstet Gynecol Scand</w:t>
      </w:r>
      <w:r>
        <w:t xml:space="preserve"> </w:t>
      </w:r>
      <w:r>
        <w:t xml:space="preserve">· Induction of labor. A double-blind randomized controlled study of prostaglandin E2 vaginal suppositories compared with intranasal oxytocin and with sequential treatment. PMID 3885670</w:t>
      </w:r>
    </w:p>
    <w:p>
      <w:pPr>
        <w:numPr>
          <w:ilvl w:val="0"/>
          <w:numId w:val="1419"/>
        </w:numPr>
        <w:pStyle w:val="Compact"/>
      </w:pPr>
      <w:r>
        <w:t xml:space="preserve">1983 · Larsen J ·</w:t>
      </w:r>
      <w:r>
        <w:t xml:space="preserve"> </w:t>
      </w:r>
      <w:r>
        <w:rPr>
          <w:iCs/>
          <w:i/>
        </w:rPr>
        <w:t xml:space="preserve">Ugeskr Laeger</w:t>
      </w:r>
      <w:r>
        <w:t xml:space="preserve"> </w:t>
      </w:r>
      <w:r>
        <w:t xml:space="preserve">· [Induction of labor. A double-blind randomized study of prostaglandin E2 vaginal suppositories compared with intranasal oxytocin]. PMID 6351397</w:t>
      </w:r>
    </w:p>
    <w:bookmarkEnd w:id="3062"/>
    <w:bookmarkStart w:id="3063" w:name="gonadorelin-9"/>
    <w:p>
      <w:pPr>
        <w:pStyle w:val="Heading2"/>
      </w:pPr>
      <w:r>
        <w:t xml:space="preserve">Gonadorelin (9)</w:t>
      </w:r>
    </w:p>
    <w:p>
      <w:pPr>
        <w:numPr>
          <w:ilvl w:val="0"/>
          <w:numId w:val="1420"/>
        </w:numPr>
        <w:pStyle w:val="Compact"/>
      </w:pPr>
      <w:r>
        <w:t xml:space="preserve">2022 · Fiala V ·</w:t>
      </w:r>
      <w:r>
        <w:t xml:space="preserve"> </w:t>
      </w:r>
      <w:r>
        <w:rPr>
          <w:iCs/>
          <w:i/>
        </w:rPr>
        <w:t xml:space="preserve">J Pediatr Urol</w:t>
      </w:r>
      <w:r>
        <w:t xml:space="preserve"> </w:t>
      </w:r>
      <w:r>
        <w:t xml:space="preserve">· The safety of neoadjuvant hormonal treatment in infants with cryptorchidism. PMID 35691791</w:t>
      </w:r>
    </w:p>
    <w:p>
      <w:pPr>
        <w:numPr>
          <w:ilvl w:val="0"/>
          <w:numId w:val="1420"/>
        </w:numPr>
        <w:pStyle w:val="Compact"/>
      </w:pPr>
      <w:r>
        <w:t xml:space="preserve">2014 · Spinelli C ·</w:t>
      </w:r>
      <w:r>
        <w:t xml:space="preserve"> </w:t>
      </w:r>
      <w:r>
        <w:rPr>
          <w:iCs/>
          <w:i/>
        </w:rPr>
        <w:t xml:space="preserve">Pediatr Surg Int</w:t>
      </w:r>
      <w:r>
        <w:t xml:space="preserve"> </w:t>
      </w:r>
      <w:r>
        <w:t xml:space="preserve">· Effects on normalized testicular atrophy index (TAIn) in cryptorchid infants treated with GnRHa pre and post-operative vs surgery alone: a prospective randomized trial and long-term follow-up on 62 cases. PMID 25106891</w:t>
      </w:r>
    </w:p>
    <w:p>
      <w:pPr>
        <w:numPr>
          <w:ilvl w:val="0"/>
          <w:numId w:val="1420"/>
        </w:numPr>
        <w:pStyle w:val="Compact"/>
      </w:pPr>
      <w:r>
        <w:t xml:space="preserve">2011 · Shamash J ·</w:t>
      </w:r>
      <w:r>
        <w:t xml:space="preserve"> </w:t>
      </w:r>
      <w:r>
        <w:rPr>
          <w:iCs/>
          <w:i/>
        </w:rPr>
        <w:t xml:space="preserve">Br J Cancer</w:t>
      </w:r>
      <w:r>
        <w:t xml:space="preserve"> </w:t>
      </w:r>
      <w:r>
        <w:t xml:space="preserve">· A multi-centre randomised phase III trial of Dexamethasone vs Dexamethasone and diethylstilbestrol in castration-resistant prostate cancer: immediate vs deferred Diethylstilbestrol. PMID 21285990</w:t>
      </w:r>
    </w:p>
    <w:p>
      <w:pPr>
        <w:numPr>
          <w:ilvl w:val="0"/>
          <w:numId w:val="1420"/>
        </w:numPr>
        <w:pStyle w:val="Compact"/>
      </w:pPr>
      <w:r>
        <w:t xml:space="preserve">1997 · Falkenbach A ·</w:t>
      </w:r>
      <w:r>
        <w:t xml:space="preserve"> </w:t>
      </w:r>
      <w:r>
        <w:rPr>
          <w:iCs/>
          <w:i/>
        </w:rPr>
        <w:t xml:space="preserve">Eur J Appl Physiol Occup Physiol</w:t>
      </w:r>
      <w:r>
        <w:t xml:space="preserve"> </w:t>
      </w:r>
      <w:r>
        <w:t xml:space="preserve">· Unchanged response to stimulation of pituitary hormone release after serial UV irradiation in men. PMID 9189734</w:t>
      </w:r>
    </w:p>
    <w:p>
      <w:pPr>
        <w:numPr>
          <w:ilvl w:val="0"/>
          <w:numId w:val="1420"/>
        </w:numPr>
        <w:pStyle w:val="Compact"/>
      </w:pPr>
      <w:r>
        <w:t xml:space="preserve">1996 · Segarra A ·</w:t>
      </w:r>
      <w:r>
        <w:t xml:space="preserve"> </w:t>
      </w:r>
      <w:r>
        <w:rPr>
          <w:iCs/>
          <w:i/>
        </w:rPr>
        <w:t xml:space="preserve">Nephron</w:t>
      </w:r>
      <w:r>
        <w:t xml:space="preserve"> </w:t>
      </w:r>
      <w:r>
        <w:t xml:space="preserve">· Prospective case control study to determine the effect of lovastatin on serum testosterone and cortisol concentrations in hyperlipidemic nephrotic patients with chronic renal failure. PMID 8773342</w:t>
      </w:r>
    </w:p>
    <w:p>
      <w:pPr>
        <w:numPr>
          <w:ilvl w:val="0"/>
          <w:numId w:val="1420"/>
        </w:numPr>
        <w:pStyle w:val="Compact"/>
      </w:pPr>
      <w:r>
        <w:t xml:space="preserve">1990 · Santoro N ·</w:t>
      </w:r>
      <w:r>
        <w:t xml:space="preserve"> </w:t>
      </w:r>
      <w:r>
        <w:rPr>
          <w:iCs/>
          <w:i/>
        </w:rPr>
        <w:t xml:space="preserve">Am J Obstet Gynecol</w:t>
      </w:r>
      <w:r>
        <w:t xml:space="preserve"> </w:t>
      </w:r>
      <w:r>
        <w:t xml:space="preserve">· Efficacy and safety of intravenous pulsatile gonadotropin-releasing hormone: Lutrepulse for injection. PMID 2122733</w:t>
      </w:r>
    </w:p>
    <w:p>
      <w:pPr>
        <w:numPr>
          <w:ilvl w:val="0"/>
          <w:numId w:val="1420"/>
        </w:numPr>
        <w:pStyle w:val="Compact"/>
      </w:pPr>
      <w:r>
        <w:t xml:space="preserve">1987 · Kadrnka-Lovrencić M ·</w:t>
      </w:r>
      <w:r>
        <w:t xml:space="preserve"> </w:t>
      </w:r>
      <w:r>
        <w:rPr>
          <w:iCs/>
          <w:i/>
        </w:rPr>
        <w:t xml:space="preserve">Lijec Vjesn</w:t>
      </w:r>
      <w:r>
        <w:t xml:space="preserve"> </w:t>
      </w:r>
      <w:r>
        <w:t xml:space="preserve">· [Comparative clinico-therapeutic study of gonadorelin and chorionic gonadotropin in boys with undescended testes]. PMID 2885699</w:t>
      </w:r>
    </w:p>
    <w:p>
      <w:pPr>
        <w:numPr>
          <w:ilvl w:val="0"/>
          <w:numId w:val="1420"/>
        </w:numPr>
        <w:pStyle w:val="Compact"/>
      </w:pPr>
      <w:r>
        <w:t xml:space="preserve">1986 · Lopes P ·</w:t>
      </w:r>
      <w:r>
        <w:t xml:space="preserve"> </w:t>
      </w:r>
      <w:r>
        <w:rPr>
          <w:iCs/>
          <w:i/>
        </w:rPr>
        <w:t xml:space="preserve">Presse Med</w:t>
      </w:r>
      <w:r>
        <w:t xml:space="preserve"> </w:t>
      </w:r>
      <w:r>
        <w:t xml:space="preserve">· [Value of short-term use of a gonadorelin analog in an in vitro fertilization program]. PMID 2949236</w:t>
      </w:r>
    </w:p>
    <w:p>
      <w:pPr>
        <w:numPr>
          <w:ilvl w:val="0"/>
          <w:numId w:val="1420"/>
        </w:numPr>
        <w:pStyle w:val="Compact"/>
      </w:pPr>
      <w:r>
        <w:t xml:space="preserve">1985 · Steg A ·</w:t>
      </w:r>
      <w:r>
        <w:t xml:space="preserve"> </w:t>
      </w:r>
      <w:r>
        <w:rPr>
          <w:iCs/>
          <w:i/>
        </w:rPr>
        <w:t xml:space="preserve">Presse Med</w:t>
      </w:r>
      <w:r>
        <w:t xml:space="preserve"> </w:t>
      </w:r>
      <w:r>
        <w:t xml:space="preserve">· [Treatment of advanced prostatic cancer with a gonadorelin agonist, dTrp6 LHRH. 41 cases]. PMID 2934695</w:t>
      </w:r>
    </w:p>
    <w:bookmarkEnd w:id="3063"/>
    <w:bookmarkStart w:id="3064" w:name="Xb2546c462cd0544a801452a0c21a7ffb5e473d2"/>
    <w:p>
      <w:pPr>
        <w:pStyle w:val="Heading2"/>
      </w:pPr>
      <w:r>
        <w:t xml:space="preserve">Collagen Peptides (Collagen Hydrolysate) (101)</w:t>
      </w:r>
    </w:p>
    <w:p>
      <w:pPr>
        <w:numPr>
          <w:ilvl w:val="0"/>
          <w:numId w:val="1421"/>
        </w:numPr>
        <w:pStyle w:val="Compact"/>
      </w:pPr>
      <w:r>
        <w:t xml:space="preserve">2026 · Hwang S ·</w:t>
      </w:r>
      <w:r>
        <w:t xml:space="preserve"> </w:t>
      </w:r>
      <w:r>
        <w:rPr>
          <w:iCs/>
          <w:i/>
        </w:rPr>
        <w:t xml:space="preserve">J Med Food</w:t>
      </w:r>
      <w:r>
        <w:t xml:space="preserve"> </w:t>
      </w:r>
      <w:r>
        <w:t xml:space="preserve">· Low-Molecular-Weight Collagen Peptide Supplementation Improves Cellulite Severity, Skin Elasticity, and Hair Shaft Diameter: A Clinical Study with Pharmacokinetic Evaluation. PMID 41788055</w:t>
      </w:r>
    </w:p>
    <w:p>
      <w:pPr>
        <w:numPr>
          <w:ilvl w:val="0"/>
          <w:numId w:val="1421"/>
        </w:numPr>
        <w:pStyle w:val="Compact"/>
      </w:pPr>
      <w:r>
        <w:t xml:space="preserve">2026 · Proksch E ·</w:t>
      </w:r>
      <w:r>
        <w:t xml:space="preserve"> </w:t>
      </w:r>
      <w:r>
        <w:rPr>
          <w:iCs/>
          <w:i/>
        </w:rPr>
        <w:t xml:space="preserve">Skin Pharmacol Physiol</w:t>
      </w:r>
      <w:r>
        <w:t xml:space="preserve"> </w:t>
      </w:r>
      <w:r>
        <w:t xml:space="preserve">· Oral Administration of Specific Bioactive Collagen Peptides in the Treatment of Moderate Forms of Atopic Dermatitis: A New Approach. PMID 41758763</w:t>
      </w:r>
    </w:p>
    <w:p>
      <w:pPr>
        <w:numPr>
          <w:ilvl w:val="0"/>
          <w:numId w:val="1421"/>
        </w:numPr>
        <w:pStyle w:val="Compact"/>
      </w:pPr>
      <w:r>
        <w:t xml:space="preserve">2025 · Aguilera JA ·</w:t>
      </w:r>
      <w:r>
        <w:t xml:space="preserve"> </w:t>
      </w:r>
      <w:r>
        <w:rPr>
          <w:iCs/>
          <w:i/>
        </w:rPr>
        <w:t xml:space="preserve">J Int Soc Sports Nutr</w:t>
      </w:r>
      <w:r>
        <w:t xml:space="preserve"> </w:t>
      </w:r>
      <w:r>
        <w:t xml:space="preserve">· Dileucine-supplemented essential amino acids support whole-body anabolism after resistance exercise and serum-stimulated cell-based anabolism. PMID 41321015</w:t>
      </w:r>
    </w:p>
    <w:p>
      <w:pPr>
        <w:numPr>
          <w:ilvl w:val="0"/>
          <w:numId w:val="1421"/>
        </w:numPr>
        <w:pStyle w:val="Compact"/>
      </w:pPr>
      <w:r>
        <w:t xml:space="preserve">2025 · Wang Y ·</w:t>
      </w:r>
      <w:r>
        <w:t xml:space="preserve"> </w:t>
      </w:r>
      <w:r>
        <w:rPr>
          <w:iCs/>
          <w:i/>
        </w:rPr>
        <w:t xml:space="preserve">J Cosmet Dermatol</w:t>
      </w:r>
      <w:r>
        <w:t xml:space="preserve"> </w:t>
      </w:r>
      <w:r>
        <w:t xml:space="preserve">· The Sustained Effects of Bioactive Collagen Peptides on Skin Health: A Randomized, Double-Blind, Placebo-Controlled Clinical Study. PMID 41311286</w:t>
      </w:r>
    </w:p>
    <w:p>
      <w:pPr>
        <w:numPr>
          <w:ilvl w:val="0"/>
          <w:numId w:val="1421"/>
        </w:numPr>
        <w:pStyle w:val="Compact"/>
      </w:pPr>
      <w:r>
        <w:t xml:space="preserve">2025 · Chavez-Alfaro MA ·</w:t>
      </w:r>
      <w:r>
        <w:t xml:space="preserve"> </w:t>
      </w:r>
      <w:r>
        <w:rPr>
          <w:iCs/>
          <w:i/>
        </w:rPr>
        <w:t xml:space="preserve">Food Funct</w:t>
      </w:r>
      <w:r>
        <w:t xml:space="preserve"> </w:t>
      </w:r>
      <w:r>
        <w:t xml:space="preserve">· Effects of porcine-derived collagen hydrolysates on 24 h blood pressure profiles, markers for endothelial dysfunction and low-grade inflammation and the retinal vasculature in adults with overweight/obesity: a randomized, controlled trial. PMID 41288414</w:t>
      </w:r>
    </w:p>
    <w:p>
      <w:pPr>
        <w:numPr>
          <w:ilvl w:val="0"/>
          <w:numId w:val="1421"/>
        </w:numPr>
        <w:pStyle w:val="Compact"/>
      </w:pPr>
      <w:r>
        <w:t xml:space="preserve">2025 · Lee E ·</w:t>
      </w:r>
      <w:r>
        <w:t xml:space="preserve"> </w:t>
      </w:r>
      <w:r>
        <w:rPr>
          <w:iCs/>
          <w:i/>
        </w:rPr>
        <w:t xml:space="preserve">J Microbiol Biotechnol</w:t>
      </w:r>
      <w:r>
        <w:t xml:space="preserve"> </w:t>
      </w:r>
      <w:r>
        <w:t xml:space="preserve">· Skin Anti-Aging and Moisturizing Effects of Low-Molecular-Weight Collagen Peptide Supplementation in Healthy Adults: A Randomized, Double-Blind, Placebo-Controlled Clinical Trial. PMID 40935395</w:t>
      </w:r>
    </w:p>
    <w:p>
      <w:pPr>
        <w:numPr>
          <w:ilvl w:val="0"/>
          <w:numId w:val="1421"/>
        </w:numPr>
        <w:pStyle w:val="Compact"/>
      </w:pPr>
      <w:r>
        <w:t xml:space="preserve">2025 · Reynolds KM ·</w:t>
      </w:r>
      <w:r>
        <w:t xml:space="preserve"> </w:t>
      </w:r>
      <w:r>
        <w:rPr>
          <w:iCs/>
          <w:i/>
        </w:rPr>
        <w:t xml:space="preserve">Br J Nutr</w:t>
      </w:r>
      <w:r>
        <w:t xml:space="preserve"> </w:t>
      </w:r>
      <w:r>
        <w:t xml:space="preserve">· The effects of collagen peptide supplementation on appetite and post-exercise energy intake in females: a randomised controlled trial. PMID 40685650</w:t>
      </w:r>
    </w:p>
    <w:p>
      <w:pPr>
        <w:numPr>
          <w:ilvl w:val="0"/>
          <w:numId w:val="1421"/>
        </w:numPr>
        <w:pStyle w:val="Compact"/>
      </w:pPr>
      <w:r>
        <w:t xml:space="preserve">2025 · Miyamoto N ·</w:t>
      </w:r>
      <w:r>
        <w:t xml:space="preserve"> </w:t>
      </w:r>
      <w:r>
        <w:rPr>
          <w:iCs/>
          <w:i/>
        </w:rPr>
        <w:t xml:space="preserve">Med Sci Sports Exerc</w:t>
      </w:r>
      <w:r>
        <w:t xml:space="preserve"> </w:t>
      </w:r>
      <w:r>
        <w:t xml:space="preserve">· Collagen Peptide Supplementation Enhances Muscle-Tendon Stiffness and Explosive Strength: A 16-wk Randomized Controlled Trial. PMID 40623147</w:t>
      </w:r>
    </w:p>
    <w:p>
      <w:pPr>
        <w:numPr>
          <w:ilvl w:val="0"/>
          <w:numId w:val="1421"/>
        </w:numPr>
        <w:pStyle w:val="Compact"/>
      </w:pPr>
      <w:r>
        <w:t xml:space="preserve">2025 · Aussieker T ·</w:t>
      </w:r>
      <w:r>
        <w:t xml:space="preserve"> </w:t>
      </w:r>
      <w:r>
        <w:rPr>
          <w:iCs/>
          <w:i/>
        </w:rPr>
        <w:t xml:space="preserve">Med Sci Sports Exerc</w:t>
      </w:r>
      <w:r>
        <w:t xml:space="preserve"> </w:t>
      </w:r>
      <w:r>
        <w:t xml:space="preserve">· The Effects of Ingesting a Single Bolus of Hydrolyzed Collagen versus Free Amino Acids on Muscle Connective Protein Synthesis Rates. PMID 40523226</w:t>
      </w:r>
    </w:p>
    <w:p>
      <w:pPr>
        <w:numPr>
          <w:ilvl w:val="0"/>
          <w:numId w:val="1421"/>
        </w:numPr>
        <w:pStyle w:val="Compact"/>
      </w:pPr>
      <w:r>
        <w:t xml:space="preserve">2025 · Zague V ·</w:t>
      </w:r>
      <w:r>
        <w:t xml:space="preserve"> </w:t>
      </w:r>
      <w:r>
        <w:rPr>
          <w:iCs/>
          <w:i/>
        </w:rPr>
        <w:t xml:space="preserve">J Med Food</w:t>
      </w:r>
      <w:r>
        <w:t xml:space="preserve"> </w:t>
      </w:r>
      <w:r>
        <w:t xml:space="preserve">· Oral Collagen Oligopeptides as a Modulator of Skin Health: A Comprehensive Evaluation of Clinical and Molecular Effects. PMID 40518844</w:t>
      </w:r>
    </w:p>
    <w:p>
      <w:pPr>
        <w:numPr>
          <w:ilvl w:val="0"/>
          <w:numId w:val="1421"/>
        </w:numPr>
        <w:pStyle w:val="Compact"/>
      </w:pPr>
      <w:r>
        <w:t xml:space="preserve">2025 · Bhardwaj V ·</w:t>
      </w:r>
      <w:r>
        <w:t xml:space="preserve"> </w:t>
      </w:r>
      <w:r>
        <w:rPr>
          <w:iCs/>
          <w:i/>
        </w:rPr>
        <w:t xml:space="preserve">J Drugs Dermatol</w:t>
      </w:r>
      <w:r>
        <w:t xml:space="preserve"> </w:t>
      </w:r>
      <w:r>
        <w:t xml:space="preserve">· Artificial Intelligence-Based Personalization of Treatment Regimen for Hair Loss: A 6-Month Clinical Trial. PMID 40043278</w:t>
      </w:r>
    </w:p>
    <w:p>
      <w:pPr>
        <w:numPr>
          <w:ilvl w:val="0"/>
          <w:numId w:val="1421"/>
        </w:numPr>
        <w:pStyle w:val="Compact"/>
      </w:pPr>
      <w:r>
        <w:t xml:space="preserve">2025 · Xing X ·</w:t>
      </w:r>
      <w:r>
        <w:t xml:space="preserve"> </w:t>
      </w:r>
      <w:r>
        <w:rPr>
          <w:iCs/>
          <w:i/>
        </w:rPr>
        <w:t xml:space="preserve">Food Funct</w:t>
      </w:r>
      <w:r>
        <w:t xml:space="preserve"> </w:t>
      </w:r>
      <w:r>
        <w:t xml:space="preserve">· Effects of protein-rich multi-nutrient intervention on bone mineralization and development: insights from a randomized controlled trial in prepubertal children and a zebrafish experiment. PMID 39991811</w:t>
      </w:r>
    </w:p>
    <w:p>
      <w:pPr>
        <w:numPr>
          <w:ilvl w:val="0"/>
          <w:numId w:val="1421"/>
        </w:numPr>
        <w:pStyle w:val="Compact"/>
      </w:pPr>
      <w:r>
        <w:t xml:space="preserve">2025 · Paulus MC ·</w:t>
      </w:r>
      <w:r>
        <w:t xml:space="preserve"> </w:t>
      </w:r>
      <w:r>
        <w:rPr>
          <w:iCs/>
          <w:i/>
        </w:rPr>
        <w:t xml:space="preserve">Clin Nutr</w:t>
      </w:r>
      <w:r>
        <w:t xml:space="preserve"> </w:t>
      </w:r>
      <w:r>
        <w:t xml:space="preserve">· Feasibility challenges in protein supplementation research: Insights from the convalescence of functional outcomes after intensive care unit stay in a Randomised Controlled Trial. PMID 39914233</w:t>
      </w:r>
    </w:p>
    <w:p>
      <w:pPr>
        <w:numPr>
          <w:ilvl w:val="0"/>
          <w:numId w:val="1421"/>
        </w:numPr>
        <w:pStyle w:val="Compact"/>
      </w:pPr>
      <w:r>
        <w:t xml:space="preserve">2025 · Genç AS ·</w:t>
      </w:r>
      <w:r>
        <w:t xml:space="preserve"> </w:t>
      </w:r>
      <w:r>
        <w:rPr>
          <w:iCs/>
          <w:i/>
        </w:rPr>
        <w:t xml:space="preserve">BMC Musculoskelet Disord</w:t>
      </w:r>
      <w:r>
        <w:t xml:space="preserve"> </w:t>
      </w:r>
      <w:r>
        <w:t xml:space="preserve">· The effect of supplementation with type I and type III collagen peptide and type II hydrolyzed collagen on pain, quality of life and physical function in patients with meniscopathy: a randomized, double-blind, placebo-controlled study. PMID 39755603</w:t>
      </w:r>
    </w:p>
    <w:p>
      <w:pPr>
        <w:numPr>
          <w:ilvl w:val="0"/>
          <w:numId w:val="1421"/>
        </w:numPr>
        <w:pStyle w:val="Compact"/>
      </w:pPr>
      <w:r>
        <w:t xml:space="preserve">2025 · Genç AS ·</w:t>
      </w:r>
      <w:r>
        <w:t xml:space="preserve"> </w:t>
      </w:r>
      <w:r>
        <w:rPr>
          <w:iCs/>
          <w:i/>
        </w:rPr>
        <w:t xml:space="preserve">Jt Dis Relat Surg</w:t>
      </w:r>
      <w:r>
        <w:t xml:space="preserve"> </w:t>
      </w:r>
      <w:r>
        <w:t xml:space="preserve">· Effect of supplementation with type 1 and type 3 collagen peptide and type 2 hydrolyzed collagen on osteoarthritis-related pain, quality of life, and physical function: A double-blind, randomized, placebo-controlled study. PMID 39719905</w:t>
      </w:r>
    </w:p>
    <w:p>
      <w:pPr>
        <w:numPr>
          <w:ilvl w:val="0"/>
          <w:numId w:val="1421"/>
        </w:numPr>
        <w:pStyle w:val="Compact"/>
      </w:pPr>
      <w:r>
        <w:t xml:space="preserve">2024 · Nilsson MI ·</w:t>
      </w:r>
      <w:r>
        <w:t xml:space="preserve"> </w:t>
      </w:r>
      <w:r>
        <w:rPr>
          <w:iCs/>
          <w:i/>
        </w:rPr>
        <w:t xml:space="preserve">Nutrients</w:t>
      </w:r>
      <w:r>
        <w:t xml:space="preserve"> </w:t>
      </w:r>
      <w:r>
        <w:t xml:space="preserve">· Obesity and Metabolic Disease Impair the Anabolic Response to Protein Supplementation and Resistance Exercise: A Retrospective Analysis of a Randomized Clinical Trial with Implications for Aging, Sarcopenic Obesity, and Weight Management. PMID 39771028</w:t>
      </w:r>
    </w:p>
    <w:p>
      <w:pPr>
        <w:numPr>
          <w:ilvl w:val="0"/>
          <w:numId w:val="1421"/>
        </w:numPr>
        <w:pStyle w:val="Compact"/>
      </w:pPr>
      <w:r>
        <w:t xml:space="preserve">2024 · Barclay R ·</w:t>
      </w:r>
      <w:r>
        <w:t xml:space="preserve"> </w:t>
      </w:r>
      <w:r>
        <w:rPr>
          <w:iCs/>
          <w:i/>
        </w:rPr>
        <w:t xml:space="preserve">Nutrients</w:t>
      </w:r>
      <w:r>
        <w:t xml:space="preserve"> </w:t>
      </w:r>
      <w:r>
        <w:t xml:space="preserve">· Comparing the Effects of Collagen Hydrolysate and Dairy Protein on Recovery from Eccentric Exercise: A Double Blind, Placebo-Controlled Study. PMID 39771010</w:t>
      </w:r>
    </w:p>
    <w:p>
      <w:pPr>
        <w:numPr>
          <w:ilvl w:val="0"/>
          <w:numId w:val="1421"/>
        </w:numPr>
        <w:pStyle w:val="Compact"/>
      </w:pPr>
      <w:r>
        <w:t xml:space="preserve">2024 · Vleminckx S ·</w:t>
      </w:r>
      <w:r>
        <w:t xml:space="preserve"> </w:t>
      </w:r>
      <w:r>
        <w:rPr>
          <w:iCs/>
          <w:i/>
        </w:rPr>
        <w:t xml:space="preserve">J Cosmet Dermatol</w:t>
      </w:r>
      <w:r>
        <w:t xml:space="preserve"> </w:t>
      </w:r>
      <w:r>
        <w:t xml:space="preserve">· Influence of collagen peptide supplementation on visible signs of skin and nail health and -aging in an East Asian population: A double blind, randomized, placebo-controlled trial. PMID 39143887</w:t>
      </w:r>
    </w:p>
    <w:p>
      <w:pPr>
        <w:numPr>
          <w:ilvl w:val="0"/>
          <w:numId w:val="1421"/>
        </w:numPr>
        <w:pStyle w:val="Compact"/>
      </w:pPr>
      <w:r>
        <w:t xml:space="preserve">2024 · Kirmse M ·</w:t>
      </w:r>
      <w:r>
        <w:t xml:space="preserve"> </w:t>
      </w:r>
      <w:r>
        <w:rPr>
          <w:iCs/>
          <w:i/>
        </w:rPr>
        <w:t xml:space="preserve">Med Sci Sports Exerc</w:t>
      </w:r>
      <w:r>
        <w:t xml:space="preserve"> </w:t>
      </w:r>
      <w:r>
        <w:t xml:space="preserve">· Collagen Peptide Supplementation during Training Does Not Further Increase Connective Tissue Protein Synthesis Rates. PMID 39086044</w:t>
      </w:r>
    </w:p>
    <w:p>
      <w:pPr>
        <w:numPr>
          <w:ilvl w:val="0"/>
          <w:numId w:val="1421"/>
        </w:numPr>
        <w:pStyle w:val="Compact"/>
      </w:pPr>
      <w:r>
        <w:t xml:space="preserve">2024 · Morakul B ·</w:t>
      </w:r>
      <w:r>
        <w:t xml:space="preserve"> </w:t>
      </w:r>
      <w:r>
        <w:rPr>
          <w:iCs/>
          <w:i/>
        </w:rPr>
        <w:t xml:space="preserve">J Cosmet Dermatol</w:t>
      </w:r>
      <w:r>
        <w:t xml:space="preserve"> </w:t>
      </w:r>
      <w:r>
        <w:t xml:space="preserve">· The evidence from in vitro primary fibroblasts and a randomized, double-blind, placebo-controlled clinical trial of tuna collagen peptides intake on skin health. PMID 39075819</w:t>
      </w:r>
    </w:p>
    <w:p>
      <w:pPr>
        <w:numPr>
          <w:ilvl w:val="0"/>
          <w:numId w:val="1421"/>
        </w:numPr>
        <w:pStyle w:val="Compact"/>
      </w:pPr>
      <w:r>
        <w:t xml:space="preserve">2024 · Schulze C ·</w:t>
      </w:r>
      <w:r>
        <w:t xml:space="preserve"> </w:t>
      </w:r>
      <w:r>
        <w:rPr>
          <w:iCs/>
          <w:i/>
        </w:rPr>
        <w:t xml:space="preserve">Int J Environ Res Public Health</w:t>
      </w:r>
      <w:r>
        <w:t xml:space="preserve"> </w:t>
      </w:r>
      <w:r>
        <w:t xml:space="preserve">· Impact of Specific Bioactive Collagen Peptides on Joint Discomforts in the Lower Extremity during Daily Activities: A Randomized Controlled Trial. PMID 38928934</w:t>
      </w:r>
    </w:p>
    <w:p>
      <w:pPr>
        <w:numPr>
          <w:ilvl w:val="0"/>
          <w:numId w:val="1421"/>
        </w:numPr>
        <w:pStyle w:val="Compact"/>
      </w:pPr>
      <w:r>
        <w:t xml:space="preserve">2024 · Devasia S ·</w:t>
      </w:r>
      <w:r>
        <w:t xml:space="preserve"> </w:t>
      </w:r>
      <w:r>
        <w:rPr>
          <w:iCs/>
          <w:i/>
        </w:rPr>
        <w:t xml:space="preserve">Cartilage</w:t>
      </w:r>
      <w:r>
        <w:t xml:space="preserve"> </w:t>
      </w:r>
      <w:r>
        <w:t xml:space="preserve">· Management and Amelioration of Knee Joint Osteoarthritis in Adults Using a Novel High-Functional Bovine Collagen Peptide as a Nutritional Therapy: A Double-Blind, Prospective, Multicentric, Randomized, Active and Placebo Controlled, Five-Arm, Clinical Study to Evaluate the Efficacy, Safety, and Tolerability. PMID 38235711</w:t>
      </w:r>
    </w:p>
    <w:p>
      <w:pPr>
        <w:numPr>
          <w:ilvl w:val="0"/>
          <w:numId w:val="1421"/>
        </w:numPr>
        <w:pStyle w:val="Compact"/>
      </w:pPr>
      <w:r>
        <w:t xml:space="preserve">2024 · Salehi S ·</w:t>
      </w:r>
      <w:r>
        <w:t xml:space="preserve"> </w:t>
      </w:r>
      <w:r>
        <w:rPr>
          <w:iCs/>
          <w:i/>
        </w:rPr>
        <w:t xml:space="preserve">Burns</w:t>
      </w:r>
      <w:r>
        <w:t xml:space="preserve"> </w:t>
      </w:r>
      <w:r>
        <w:t xml:space="preserve">· Effects of hydrolyzed collagen alone or in combination with fish oil on the gut microbiome in patients with major burns. PMID 38114377</w:t>
      </w:r>
    </w:p>
    <w:p>
      <w:pPr>
        <w:numPr>
          <w:ilvl w:val="0"/>
          <w:numId w:val="1421"/>
        </w:numPr>
        <w:pStyle w:val="Compact"/>
      </w:pPr>
      <w:r>
        <w:t xml:space="preserve">2024 · Robberechts R ·</w:t>
      </w:r>
      <w:r>
        <w:t xml:space="preserve"> </w:t>
      </w:r>
      <w:r>
        <w:rPr>
          <w:iCs/>
          <w:i/>
        </w:rPr>
        <w:t xml:space="preserve">Int J Sport Nutr Exerc Metab</w:t>
      </w:r>
      <w:r>
        <w:t xml:space="preserve"> </w:t>
      </w:r>
      <w:r>
        <w:t xml:space="preserve">· Partly Substituting Whey for Collagen Peptide Supplementation Improves Neither Indices of Muscle Damage Nor Recovery of Functional Capacity During Eccentric Exercise Training in Fit Males. PMID 37922892</w:t>
      </w:r>
    </w:p>
    <w:p>
      <w:pPr>
        <w:numPr>
          <w:ilvl w:val="0"/>
          <w:numId w:val="1421"/>
        </w:numPr>
        <w:pStyle w:val="Compact"/>
      </w:pPr>
      <w:r>
        <w:t xml:space="preserve">2024 · Thomas C ·</w:t>
      </w:r>
      <w:r>
        <w:t xml:space="preserve"> </w:t>
      </w:r>
      <w:r>
        <w:rPr>
          <w:iCs/>
          <w:i/>
        </w:rPr>
        <w:t xml:space="preserve">Eur J Nutr</w:t>
      </w:r>
      <w:r>
        <w:t xml:space="preserve"> </w:t>
      </w:r>
      <w:r>
        <w:t xml:space="preserve">· Collagen peptide supplementation before bedtime reduces sleep fragmentation and improves cognitive function in physically active males with sleep complaints. PMID 37874350</w:t>
      </w:r>
    </w:p>
    <w:p>
      <w:pPr>
        <w:numPr>
          <w:ilvl w:val="0"/>
          <w:numId w:val="1421"/>
        </w:numPr>
        <w:pStyle w:val="Compact"/>
      </w:pPr>
      <w:r>
        <w:t xml:space="preserve">2024 · Seong SH ·</w:t>
      </w:r>
      <w:r>
        <w:t xml:space="preserve"> </w:t>
      </w:r>
      <w:r>
        <w:rPr>
          <w:iCs/>
          <w:i/>
        </w:rPr>
        <w:t xml:space="preserve">J Cosmet Dermatol</w:t>
      </w:r>
      <w:r>
        <w:t xml:space="preserve"> </w:t>
      </w:r>
      <w:r>
        <w:t xml:space="preserve">· Low-molecular-weight collagen peptides supplement promotes a healthy skin: A randomized, double-blinded, placebo-controlled study. PMID 37822045</w:t>
      </w:r>
    </w:p>
    <w:p>
      <w:pPr>
        <w:numPr>
          <w:ilvl w:val="0"/>
          <w:numId w:val="1421"/>
        </w:numPr>
        <w:pStyle w:val="Compact"/>
      </w:pPr>
      <w:r>
        <w:t xml:space="preserve">2023 · Chen L ·</w:t>
      </w:r>
      <w:r>
        <w:t xml:space="preserve"> </w:t>
      </w:r>
      <w:r>
        <w:rPr>
          <w:iCs/>
          <w:i/>
        </w:rPr>
        <w:t xml:space="preserve">Food Funct</w:t>
      </w:r>
      <w:r>
        <w:t xml:space="preserve"> </w:t>
      </w:r>
      <w:r>
        <w:t xml:space="preserve">· The effect of oral supplements containing collagen peptides rich in X-Hyp or X-Hyp-Gly compared with normal collagen hydrolysates on skin elasticity and collagen holes: a randomised double-blind clinical study. PMID 37970760</w:t>
      </w:r>
    </w:p>
    <w:p>
      <w:pPr>
        <w:numPr>
          <w:ilvl w:val="0"/>
          <w:numId w:val="1421"/>
        </w:numPr>
        <w:pStyle w:val="Compact"/>
      </w:pPr>
      <w:r>
        <w:t xml:space="preserve">2023 · Kviatkovsky SA ·</w:t>
      </w:r>
      <w:r>
        <w:t xml:space="preserve"> </w:t>
      </w:r>
      <w:r>
        <w:rPr>
          <w:iCs/>
          <w:i/>
        </w:rPr>
        <w:t xml:space="preserve">J Int Soc Sports Nutr</w:t>
      </w:r>
      <w:r>
        <w:t xml:space="preserve"> </w:t>
      </w:r>
      <w:r>
        <w:t xml:space="preserve">· Collagen peptides supplementation improves function, pain, and physical and mental outcomes in active adults. PMID 37551682</w:t>
      </w:r>
    </w:p>
    <w:p>
      <w:pPr>
        <w:numPr>
          <w:ilvl w:val="0"/>
          <w:numId w:val="1421"/>
        </w:numPr>
        <w:pStyle w:val="Compact"/>
      </w:pPr>
      <w:r>
        <w:t xml:space="preserve">2023 · Balshaw TG ·</w:t>
      </w:r>
      <w:r>
        <w:t xml:space="preserve"> </w:t>
      </w:r>
      <w:r>
        <w:rPr>
          <w:iCs/>
          <w:i/>
        </w:rPr>
        <w:t xml:space="preserve">Med Sci Sports Exerc</w:t>
      </w:r>
      <w:r>
        <w:t xml:space="preserve"> </w:t>
      </w:r>
      <w:r>
        <w:t xml:space="preserve">· The Effect of Specific Bioactive Collagen Peptides on Tendon Remodeling during 15 wk of Lower Body Resistance Training. PMID 37436929</w:t>
      </w:r>
    </w:p>
    <w:p>
      <w:pPr>
        <w:numPr>
          <w:ilvl w:val="0"/>
          <w:numId w:val="1421"/>
        </w:numPr>
        <w:pStyle w:val="Compact"/>
      </w:pPr>
      <w:r>
        <w:t xml:space="preserve">2023 · Jerger S ·</w:t>
      </w:r>
      <w:r>
        <w:t xml:space="preserve"> </w:t>
      </w:r>
      <w:r>
        <w:rPr>
          <w:iCs/>
          <w:i/>
        </w:rPr>
        <w:t xml:space="preserve">Eur J Sport Sci</w:t>
      </w:r>
      <w:r>
        <w:t xml:space="preserve"> </w:t>
      </w:r>
      <w:r>
        <w:t xml:space="preserve">· Specific collagen peptides increase adaptions of patellar tendon morphology following 14-weeks of high-load resistance training: A randomized-controlled trial. PMID 37424319</w:t>
      </w:r>
    </w:p>
    <w:p>
      <w:pPr>
        <w:numPr>
          <w:ilvl w:val="0"/>
          <w:numId w:val="1421"/>
        </w:numPr>
        <w:pStyle w:val="Compact"/>
      </w:pPr>
      <w:r>
        <w:t xml:space="preserve">2023 · Koizumi S ·</w:t>
      </w:r>
      <w:r>
        <w:t xml:space="preserve"> </w:t>
      </w:r>
      <w:r>
        <w:rPr>
          <w:iCs/>
          <w:i/>
        </w:rPr>
        <w:t xml:space="preserve">Biosci Biotechnol Biochem</w:t>
      </w:r>
      <w:r>
        <w:t xml:space="preserve"> </w:t>
      </w:r>
      <w:r>
        <w:t xml:space="preserve">· Ingestion of a collagen peptide containing high concentrations of prolyl-hydroxyproline and hydroxyprolyl-glycine reduces advanced glycation end products levels in the skin and subcutaneous blood vessel walls: a randomized, double-blind, placebo-controlled study. PMID 37245058</w:t>
      </w:r>
    </w:p>
    <w:p>
      <w:pPr>
        <w:numPr>
          <w:ilvl w:val="0"/>
          <w:numId w:val="1421"/>
        </w:numPr>
        <w:pStyle w:val="Compact"/>
      </w:pPr>
      <w:r>
        <w:t xml:space="preserve">2023 · Chen CC ·</w:t>
      </w:r>
      <w:r>
        <w:t xml:space="preserve"> </w:t>
      </w:r>
      <w:r>
        <w:rPr>
          <w:iCs/>
          <w:i/>
        </w:rPr>
        <w:t xml:space="preserve">Nutr J</w:t>
      </w:r>
      <w:r>
        <w:t xml:space="preserve"> </w:t>
      </w:r>
      <w:r>
        <w:t xml:space="preserve">· Randomized, double-blind, four-arm pilot study on the effects of chicken essence and type II collagen hydrolysate on joint, bone, and muscle functions. PMID 36918892</w:t>
      </w:r>
    </w:p>
    <w:p>
      <w:pPr>
        <w:numPr>
          <w:ilvl w:val="0"/>
          <w:numId w:val="1421"/>
        </w:numPr>
        <w:pStyle w:val="Compact"/>
      </w:pPr>
      <w:r>
        <w:t xml:space="preserve">2023 · Lee M ·</w:t>
      </w:r>
      <w:r>
        <w:t xml:space="preserve"> </w:t>
      </w:r>
      <w:r>
        <w:rPr>
          <w:iCs/>
          <w:i/>
        </w:rPr>
        <w:t xml:space="preserve">Food Funct</w:t>
      </w:r>
      <w:r>
        <w:t xml:space="preserve"> </w:t>
      </w:r>
      <w:r>
        <w:t xml:space="preserve">· Oral intake of collagen peptide NS improves hydration, elasticity, desquamation, and wrinkling in human skin: a randomized, double-blinded, placebo-controlled study. PMID 36916504</w:t>
      </w:r>
    </w:p>
    <w:p>
      <w:pPr>
        <w:numPr>
          <w:ilvl w:val="0"/>
          <w:numId w:val="1421"/>
        </w:numPr>
        <w:pStyle w:val="Compact"/>
      </w:pPr>
      <w:r>
        <w:t xml:space="preserve">2023 · Balshaw TG ·</w:t>
      </w:r>
      <w:r>
        <w:t xml:space="preserve"> </w:t>
      </w:r>
      <w:r>
        <w:rPr>
          <w:iCs/>
          <w:i/>
        </w:rPr>
        <w:t xml:space="preserve">Acta Physiol (Oxf)</w:t>
      </w:r>
      <w:r>
        <w:t xml:space="preserve"> </w:t>
      </w:r>
      <w:r>
        <w:t xml:space="preserve">· The effect of specific bioactive collagen peptides on function and muscle remodeling during human resistance training. PMID 36433662</w:t>
      </w:r>
    </w:p>
    <w:p>
      <w:pPr>
        <w:numPr>
          <w:ilvl w:val="0"/>
          <w:numId w:val="1421"/>
        </w:numPr>
        <w:pStyle w:val="Compact"/>
      </w:pPr>
      <w:r>
        <w:t xml:space="preserve">2023 · Taylor G ·</w:t>
      </w:r>
      <w:r>
        <w:t xml:space="preserve"> </w:t>
      </w:r>
      <w:r>
        <w:rPr>
          <w:iCs/>
          <w:i/>
        </w:rPr>
        <w:t xml:space="preserve">Eur J Nutr</w:t>
      </w:r>
      <w:r>
        <w:t xml:space="preserve"> </w:t>
      </w:r>
      <w:r>
        <w:t xml:space="preserve">· The effects of collagen peptides on exercise-induced gastrointestinal stress: a randomized, controlled trial. PMID 36370176</w:t>
      </w:r>
    </w:p>
    <w:p>
      <w:pPr>
        <w:numPr>
          <w:ilvl w:val="0"/>
          <w:numId w:val="1421"/>
        </w:numPr>
        <w:pStyle w:val="Compact"/>
      </w:pPr>
      <w:r>
        <w:t xml:space="preserve">2022 · Kim J ·</w:t>
      </w:r>
      <w:r>
        <w:t xml:space="preserve"> </w:t>
      </w:r>
      <w:r>
        <w:rPr>
          <w:iCs/>
          <w:i/>
        </w:rPr>
        <w:t xml:space="preserve">J Med Food</w:t>
      </w:r>
      <w:r>
        <w:t xml:space="preserve"> </w:t>
      </w:r>
      <w:r>
        <w:t xml:space="preserve">· Oral Supplementation of Low-Molecular-Weight Collagen Peptides Reduces Skin Wrinkles and Improves Biophysical Properties of Skin: A Randomized, Double-Blinded, Placebo-Controlled Study. PMID 36516059</w:t>
      </w:r>
    </w:p>
    <w:p>
      <w:pPr>
        <w:numPr>
          <w:ilvl w:val="0"/>
          <w:numId w:val="1421"/>
        </w:numPr>
        <w:pStyle w:val="Compact"/>
      </w:pPr>
      <w:r>
        <w:t xml:space="preserve">2022 · Jockel-Schneider Y ·</w:t>
      </w:r>
      <w:r>
        <w:t xml:space="preserve"> </w:t>
      </w:r>
      <w:r>
        <w:rPr>
          <w:iCs/>
          <w:i/>
        </w:rPr>
        <w:t xml:space="preserve">Nutrients</w:t>
      </w:r>
      <w:r>
        <w:t xml:space="preserve"> </w:t>
      </w:r>
      <w:r>
        <w:t xml:space="preserve">· Impact of a Specific Collagen Peptide Food Supplement on Periodontal Inflammation in Aftercare Patients-A Randomised Controlled Trial. PMID 36364735</w:t>
      </w:r>
    </w:p>
    <w:p>
      <w:pPr>
        <w:numPr>
          <w:ilvl w:val="0"/>
          <w:numId w:val="1421"/>
        </w:numPr>
        <w:pStyle w:val="Compact"/>
      </w:pPr>
      <w:r>
        <w:t xml:space="preserve">2022 · Jerger S ·</w:t>
      </w:r>
      <w:r>
        <w:t xml:space="preserve"> </w:t>
      </w:r>
      <w:r>
        <w:rPr>
          <w:iCs/>
          <w:i/>
        </w:rPr>
        <w:t xml:space="preserve">Scand J Med Sci Sports</w:t>
      </w:r>
      <w:r>
        <w:t xml:space="preserve"> </w:t>
      </w:r>
      <w:r>
        <w:t xml:space="preserve">· Effects of specific collagen peptide supplementation combined with resistance training on Achilles tendon properties. PMID 35403756</w:t>
      </w:r>
    </w:p>
    <w:p>
      <w:pPr>
        <w:numPr>
          <w:ilvl w:val="0"/>
          <w:numId w:val="1421"/>
        </w:numPr>
        <w:pStyle w:val="Compact"/>
      </w:pPr>
      <w:r>
        <w:t xml:space="preserve">2022 · Jacinto JL ·</w:t>
      </w:r>
      <w:r>
        <w:t xml:space="preserve"> </w:t>
      </w:r>
      <w:r>
        <w:rPr>
          <w:iCs/>
          <w:i/>
        </w:rPr>
        <w:t xml:space="preserve">Int J Sport Nutr Exerc Metab</w:t>
      </w:r>
      <w:r>
        <w:t xml:space="preserve"> </w:t>
      </w:r>
      <w:r>
        <w:t xml:space="preserve">· Whey Protein Supplementation Is Superior to Leucine-Matched Collagen Peptides to Increase Muscle Thickness During a 10-Week Resistance Training Program in Untrained Young Adults. PMID 35042187</w:t>
      </w:r>
    </w:p>
    <w:p>
      <w:pPr>
        <w:numPr>
          <w:ilvl w:val="0"/>
          <w:numId w:val="1421"/>
        </w:numPr>
        <w:pStyle w:val="Compact"/>
      </w:pPr>
      <w:r>
        <w:t xml:space="preserve">2022 · Lampropoulou-Adamidou K ·</w:t>
      </w:r>
      <w:r>
        <w:t xml:space="preserve"> </w:t>
      </w:r>
      <w:r>
        <w:rPr>
          <w:iCs/>
          <w:i/>
        </w:rPr>
        <w:t xml:space="preserve">J Clin Densitom</w:t>
      </w:r>
      <w:r>
        <w:t xml:space="preserve"> </w:t>
      </w:r>
      <w:r>
        <w:t xml:space="preserve">· Effect of Calcium and Vitamin D Supplementation With and Without Collagen Peptides on Volumetric and Areal Bone Mineral Density, Bone Geometry and Bone Turnover in Postmenopausal Women With Osteopenia. PMID 34980546</w:t>
      </w:r>
    </w:p>
    <w:p>
      <w:pPr>
        <w:numPr>
          <w:ilvl w:val="0"/>
          <w:numId w:val="1421"/>
        </w:numPr>
        <w:pStyle w:val="Compact"/>
      </w:pPr>
      <w:r>
        <w:t xml:space="preserve">2022 · Farì G ·</w:t>
      </w:r>
      <w:r>
        <w:t xml:space="preserve"> </w:t>
      </w:r>
      <w:r>
        <w:rPr>
          <w:iCs/>
          <w:i/>
        </w:rPr>
        <w:t xml:space="preserve">Endocr Metab Immune Disord Drug Targets</w:t>
      </w:r>
      <w:r>
        <w:t xml:space="preserve"> </w:t>
      </w:r>
      <w:r>
        <w:t xml:space="preserve">· Collagen Peptides, in Association with Vitamin C, Sodium Hyaluronate, Manganese and Copper, as Part of the Rehabilitation Project in the Treatment of Chronic Low Back Pain. PMID 33568038</w:t>
      </w:r>
    </w:p>
    <w:p>
      <w:pPr>
        <w:numPr>
          <w:ilvl w:val="0"/>
          <w:numId w:val="1421"/>
        </w:numPr>
        <w:pStyle w:val="Compact"/>
      </w:pPr>
      <w:r>
        <w:t xml:space="preserve">2021 · Maia Campos PMBG ·</w:t>
      </w:r>
      <w:r>
        <w:t xml:space="preserve"> </w:t>
      </w:r>
      <w:r>
        <w:rPr>
          <w:iCs/>
          <w:i/>
        </w:rPr>
        <w:t xml:space="preserve">Molecules</w:t>
      </w:r>
      <w:r>
        <w:t xml:space="preserve"> </w:t>
      </w:r>
      <w:r>
        <w:t xml:space="preserve">· Oral Supplementation with Hydrolyzed Fish Cartilage Improves the Morphological and Structural Characteristics of the Skin: A Double-Blind, Placebo-Controlled Clinical Study. PMID 34443468</w:t>
      </w:r>
    </w:p>
    <w:p>
      <w:pPr>
        <w:numPr>
          <w:ilvl w:val="0"/>
          <w:numId w:val="1421"/>
        </w:numPr>
        <w:pStyle w:val="Compact"/>
      </w:pPr>
      <w:r>
        <w:t xml:space="preserve">2021 · Osawa Y ·</w:t>
      </w:r>
      <w:r>
        <w:t xml:space="preserve"> </w:t>
      </w:r>
      <w:r>
        <w:rPr>
          <w:iCs/>
          <w:i/>
        </w:rPr>
        <w:t xml:space="preserve">Sci Rep</w:t>
      </w:r>
      <w:r>
        <w:t xml:space="preserve"> </w:t>
      </w:r>
      <w:r>
        <w:t xml:space="preserve">· Monitoring urinary collagen metabolite changes following collagen peptide ingestion and physical activity using ELISA with anti active collagen oligopeptide antibody. PMID 34188133</w:t>
      </w:r>
    </w:p>
    <w:p>
      <w:pPr>
        <w:numPr>
          <w:ilvl w:val="0"/>
          <w:numId w:val="1421"/>
        </w:numPr>
        <w:pStyle w:val="Compact"/>
      </w:pPr>
      <w:r>
        <w:t xml:space="preserve">2021 · Zdzieblik D ·</w:t>
      </w:r>
      <w:r>
        <w:t xml:space="preserve"> </w:t>
      </w:r>
      <w:r>
        <w:rPr>
          <w:iCs/>
          <w:i/>
        </w:rPr>
        <w:t xml:space="preserve">Int J Environ Res Public Health</w:t>
      </w:r>
      <w:r>
        <w:t xml:space="preserve"> </w:t>
      </w:r>
      <w:r>
        <w:t xml:space="preserve">· The Influence of Specific Bioactive Collagen Peptides on Body Composition and Muscle Strength in Middle-Aged, Untrained Men: A Randomized Controlled Trial. PMID 33946565</w:t>
      </w:r>
    </w:p>
    <w:p>
      <w:pPr>
        <w:numPr>
          <w:ilvl w:val="0"/>
          <w:numId w:val="1421"/>
        </w:numPr>
        <w:pStyle w:val="Compact"/>
      </w:pPr>
      <w:r>
        <w:t xml:space="preserve">2021 · Miyanaga M ·</w:t>
      </w:r>
      <w:r>
        <w:t xml:space="preserve"> </w:t>
      </w:r>
      <w:r>
        <w:rPr>
          <w:iCs/>
          <w:i/>
        </w:rPr>
        <w:t xml:space="preserve">Skin Pharmacol Physiol</w:t>
      </w:r>
      <w:r>
        <w:t xml:space="preserve"> </w:t>
      </w:r>
      <w:r>
        <w:t xml:space="preserve">· Oral Supplementation of Collagen Peptides Improves Skin Hydration by Increasing the Natural Moisturizing Factor Content in the Stratum Corneum: A Randomized, Double-Blind, Placebo-Controlled Clinical Trial. PMID 33774639</w:t>
      </w:r>
    </w:p>
    <w:p>
      <w:pPr>
        <w:numPr>
          <w:ilvl w:val="0"/>
          <w:numId w:val="1421"/>
        </w:numPr>
        <w:pStyle w:val="Compact"/>
      </w:pPr>
      <w:r>
        <w:t xml:space="preserve">2021 · Wageh M ·</w:t>
      </w:r>
      <w:r>
        <w:t xml:space="preserve"> </w:t>
      </w:r>
      <w:r>
        <w:rPr>
          <w:iCs/>
          <w:i/>
        </w:rPr>
        <w:t xml:space="preserve">Med Sci Sports Exerc</w:t>
      </w:r>
      <w:r>
        <w:t xml:space="preserve"> </w:t>
      </w:r>
      <w:r>
        <w:t xml:space="preserve">· The Effect of a Multi-ingredient Supplement on Resistance Training-induced Adaptations. PMID 33756525</w:t>
      </w:r>
    </w:p>
    <w:p>
      <w:pPr>
        <w:numPr>
          <w:ilvl w:val="0"/>
          <w:numId w:val="1421"/>
        </w:numPr>
        <w:pStyle w:val="Compact"/>
      </w:pPr>
      <w:r>
        <w:t xml:space="preserve">2021 · Zdzieblik D ·</w:t>
      </w:r>
      <w:r>
        <w:t xml:space="preserve"> </w:t>
      </w:r>
      <w:r>
        <w:rPr>
          <w:iCs/>
          <w:i/>
        </w:rPr>
        <w:t xml:space="preserve">Nutrients</w:t>
      </w:r>
      <w:r>
        <w:t xml:space="preserve"> </w:t>
      </w:r>
      <w:r>
        <w:t xml:space="preserve">· The Influence of Specific Bioactive Collagen Peptides on Knee Joint Discomfort in Young Physically Active Adults: A Randomized Controlled Trial. PMID 33562729</w:t>
      </w:r>
    </w:p>
    <w:p>
      <w:pPr>
        <w:numPr>
          <w:ilvl w:val="0"/>
          <w:numId w:val="1421"/>
        </w:numPr>
        <w:pStyle w:val="Compact"/>
      </w:pPr>
      <w:r>
        <w:t xml:space="preserve">2021 · Brook MS ·</w:t>
      </w:r>
      <w:r>
        <w:t xml:space="preserve"> </w:t>
      </w:r>
      <w:r>
        <w:rPr>
          <w:iCs/>
          <w:i/>
        </w:rPr>
        <w:t xml:space="preserve">Clin Nutr</w:t>
      </w:r>
      <w:r>
        <w:t xml:space="preserve"> </w:t>
      </w:r>
      <w:r>
        <w:t xml:space="preserve">· A collagen hydrolysate/milk protein-blend stimulates muscle anabolism equivalently to an isoenergetic milk protein-blend containing a greater quantity of essential amino acids in older men. PMID 33487503</w:t>
      </w:r>
    </w:p>
    <w:p>
      <w:pPr>
        <w:numPr>
          <w:ilvl w:val="0"/>
          <w:numId w:val="1421"/>
        </w:numPr>
        <w:pStyle w:val="Compact"/>
      </w:pPr>
      <w:r>
        <w:t xml:space="preserve">2021 · Prowting JL ·</w:t>
      </w:r>
      <w:r>
        <w:t xml:space="preserve"> </w:t>
      </w:r>
      <w:r>
        <w:rPr>
          <w:iCs/>
          <w:i/>
        </w:rPr>
        <w:t xml:space="preserve">Int J Sport Nutr Exerc Metab</w:t>
      </w:r>
      <w:r>
        <w:t xml:space="preserve"> </w:t>
      </w:r>
      <w:r>
        <w:t xml:space="preserve">· Effects of Collagen Peptides on Recovery Following Eccentric Exercise in Resistance-Trained Males-A Pilot Study. PMID 33186897</w:t>
      </w:r>
    </w:p>
    <w:p>
      <w:pPr>
        <w:numPr>
          <w:ilvl w:val="0"/>
          <w:numId w:val="1421"/>
        </w:numPr>
        <w:pStyle w:val="Compact"/>
      </w:pPr>
      <w:r>
        <w:t xml:space="preserve">2021 · Sangsuwan W ·</w:t>
      </w:r>
      <w:r>
        <w:t xml:space="preserve"> </w:t>
      </w:r>
      <w:r>
        <w:rPr>
          <w:iCs/>
          <w:i/>
        </w:rPr>
        <w:t xml:space="preserve">J Dermatolog Treat</w:t>
      </w:r>
      <w:r>
        <w:t xml:space="preserve"> </w:t>
      </w:r>
      <w:r>
        <w:t xml:space="preserve">· Four-weeks daily intake of oral collagen hydrolysate results in improved skin elasticity, especially in sun-exposed areas: a randomized, double-blind, placebo-controlled trial. PMID 32009486</w:t>
      </w:r>
    </w:p>
    <w:p>
      <w:pPr>
        <w:numPr>
          <w:ilvl w:val="0"/>
          <w:numId w:val="1421"/>
        </w:numPr>
        <w:pStyle w:val="Compact"/>
      </w:pPr>
      <w:r>
        <w:t xml:space="preserve">2020 · MacInnis MJ ·</w:t>
      </w:r>
      <w:r>
        <w:t xml:space="preserve"> </w:t>
      </w:r>
      <w:r>
        <w:rPr>
          <w:iCs/>
          <w:i/>
        </w:rPr>
        <w:t xml:space="preserve">Int J Sport Nutr Exerc Metab</w:t>
      </w:r>
      <w:r>
        <w:t xml:space="preserve"> </w:t>
      </w:r>
      <w:r>
        <w:t xml:space="preserve">· Presleep α-Lactalbumin Consumption Does Not Improve Sleep Quality or Time-Trial Performance in Cyclists. PMID 32698123</w:t>
      </w:r>
    </w:p>
    <w:p>
      <w:pPr>
        <w:numPr>
          <w:ilvl w:val="0"/>
          <w:numId w:val="1421"/>
        </w:numPr>
        <w:pStyle w:val="Compact"/>
      </w:pPr>
      <w:r>
        <w:t xml:space="preserve">2020 · Nomoto T ·</w:t>
      </w:r>
      <w:r>
        <w:t xml:space="preserve"> </w:t>
      </w:r>
      <w:r>
        <w:rPr>
          <w:iCs/>
          <w:i/>
        </w:rPr>
        <w:t xml:space="preserve">Adv Skin Wound Care</w:t>
      </w:r>
      <w:r>
        <w:t xml:space="preserve"> </w:t>
      </w:r>
      <w:r>
        <w:t xml:space="preserve">· Effect of an Oral Nutrition Supplement Containing Collagen Peptides on Stratum Corneum Hydration and Skin Elasticity in Hospitalized Older Adults: A Multicenter Open-label Randomized Controlled Study. PMID 32195722</w:t>
      </w:r>
    </w:p>
    <w:p>
      <w:pPr>
        <w:numPr>
          <w:ilvl w:val="0"/>
          <w:numId w:val="1421"/>
        </w:numPr>
        <w:pStyle w:val="Compact"/>
      </w:pPr>
      <w:r>
        <w:t xml:space="preserve">2020 · Argyrou C ·</w:t>
      </w:r>
      <w:r>
        <w:t xml:space="preserve"> </w:t>
      </w:r>
      <w:r>
        <w:rPr>
          <w:iCs/>
          <w:i/>
        </w:rPr>
        <w:t xml:space="preserve">J Musculoskelet Neuronal Interact</w:t>
      </w:r>
      <w:r>
        <w:t xml:space="preserve"> </w:t>
      </w:r>
      <w:r>
        <w:t xml:space="preserve">· Effect of calcium and vitamin D supplementation with and without collagen peptides on bone turnover in postmenopausal women with osteopenia. PMID 32131366</w:t>
      </w:r>
    </w:p>
    <w:p>
      <w:pPr>
        <w:numPr>
          <w:ilvl w:val="0"/>
          <w:numId w:val="1421"/>
        </w:numPr>
        <w:pStyle w:val="Compact"/>
      </w:pPr>
      <w:r>
        <w:t xml:space="preserve">2020 · Žmitek K ·</w:t>
      </w:r>
      <w:r>
        <w:t xml:space="preserve"> </w:t>
      </w:r>
      <w:r>
        <w:rPr>
          <w:iCs/>
          <w:i/>
        </w:rPr>
        <w:t xml:space="preserve">Nutrients</w:t>
      </w:r>
      <w:r>
        <w:t xml:space="preserve"> </w:t>
      </w:r>
      <w:r>
        <w:t xml:space="preserve">· Effects of a Combination of Water-Soluble CoenzymeQ10 and Collagen on Skin Parameters and Condition:Results of a Randomised, Placebo-Controlled,Double-Blind Study. PMID 32120787</w:t>
      </w:r>
    </w:p>
    <w:p>
      <w:pPr>
        <w:numPr>
          <w:ilvl w:val="0"/>
          <w:numId w:val="1421"/>
        </w:numPr>
        <w:pStyle w:val="Compact"/>
      </w:pPr>
      <w:r>
        <w:t xml:space="preserve">2020 · Laing S ·</w:t>
      </w:r>
      <w:r>
        <w:t xml:space="preserve"> </w:t>
      </w:r>
      <w:r>
        <w:rPr>
          <w:iCs/>
          <w:i/>
        </w:rPr>
        <w:t xml:space="preserve">J Med Food</w:t>
      </w:r>
      <w:r>
        <w:t xml:space="preserve"> </w:t>
      </w:r>
      <w:r>
        <w:t xml:space="preserve">· A Dermonutrient Containing Special Collagen Peptides Improves Skin Structure and Function: A Randomized, Placebo-Controlled, Triple-Blind Trial Using Confocal Laser Scanning Microscopy on the Cosmetic Effects and Tolerance of a Drinkable Collagen Supplement. PMID 32017646</w:t>
      </w:r>
    </w:p>
    <w:p>
      <w:pPr>
        <w:numPr>
          <w:ilvl w:val="0"/>
          <w:numId w:val="1421"/>
        </w:numPr>
        <w:pStyle w:val="Compact"/>
      </w:pPr>
      <w:r>
        <w:t xml:space="preserve">2020 · Bongers CCWG ·</w:t>
      </w:r>
      <w:r>
        <w:t xml:space="preserve"> </w:t>
      </w:r>
      <w:r>
        <w:rPr>
          <w:iCs/>
          <w:i/>
        </w:rPr>
        <w:t xml:space="preserve">Appl Physiol Nutr Metab</w:t>
      </w:r>
      <w:r>
        <w:t xml:space="preserve"> </w:t>
      </w:r>
      <w:r>
        <w:t xml:space="preserve">· Effectiveness of collagen supplementation on pain scores in healthy individuals with self-reported knee pain: a randomized controlled trial. PMID 31990581</w:t>
      </w:r>
    </w:p>
    <w:p>
      <w:pPr>
        <w:numPr>
          <w:ilvl w:val="0"/>
          <w:numId w:val="1421"/>
        </w:numPr>
        <w:pStyle w:val="Compact"/>
      </w:pPr>
      <w:r>
        <w:t xml:space="preserve">2020 · Oikawa SY ·</w:t>
      </w:r>
      <w:r>
        <w:t xml:space="preserve"> </w:t>
      </w:r>
      <w:r>
        <w:rPr>
          <w:iCs/>
          <w:i/>
        </w:rPr>
        <w:t xml:space="preserve">Am J Clin Nutr</w:t>
      </w:r>
      <w:r>
        <w:t xml:space="preserve"> </w:t>
      </w:r>
      <w:r>
        <w:t xml:space="preserve">· Whey protein but not collagen peptides stimulate acute and longer-term muscle protein synthesis with and without resistance exercise in healthy older women: a randomized controlled trial. PMID 31919527</w:t>
      </w:r>
    </w:p>
    <w:p>
      <w:pPr>
        <w:numPr>
          <w:ilvl w:val="0"/>
          <w:numId w:val="1421"/>
        </w:numPr>
        <w:pStyle w:val="Compact"/>
      </w:pPr>
      <w:r>
        <w:t xml:space="preserve">2019 · Bolke L ·</w:t>
      </w:r>
      <w:r>
        <w:t xml:space="preserve"> </w:t>
      </w:r>
      <w:r>
        <w:rPr>
          <w:iCs/>
          <w:i/>
        </w:rPr>
        <w:t xml:space="preserve">Nutrients</w:t>
      </w:r>
      <w:r>
        <w:t xml:space="preserve"> </w:t>
      </w:r>
      <w:r>
        <w:t xml:space="preserve">· A Collagen Supplement Improves Skin Hydration, Elasticity, Roughness, and Density: Results of a Randomized, Placebo-Controlled, Blind Study. PMID 31627309</w:t>
      </w:r>
    </w:p>
    <w:p>
      <w:pPr>
        <w:numPr>
          <w:ilvl w:val="0"/>
          <w:numId w:val="1421"/>
        </w:numPr>
        <w:pStyle w:val="Compact"/>
      </w:pPr>
      <w:r>
        <w:t xml:space="preserve">2019 · Centner C ·</w:t>
      </w:r>
      <w:r>
        <w:t xml:space="preserve"> </w:t>
      </w:r>
      <w:r>
        <w:rPr>
          <w:iCs/>
          <w:i/>
        </w:rPr>
        <w:t xml:space="preserve">J Sports Sci Med</w:t>
      </w:r>
      <w:r>
        <w:t xml:space="preserve"> </w:t>
      </w:r>
      <w:r>
        <w:t xml:space="preserve">· Effects of Blood Flow Restriction Training with Protein Supplementation on Muscle Mass And Strength in Older Men. PMID 31427869</w:t>
      </w:r>
    </w:p>
    <w:p>
      <w:pPr>
        <w:numPr>
          <w:ilvl w:val="0"/>
          <w:numId w:val="1421"/>
        </w:numPr>
        <w:pStyle w:val="Compact"/>
      </w:pPr>
      <w:r>
        <w:t xml:space="preserve">2019 · Kirmse M ·</w:t>
      </w:r>
      <w:r>
        <w:t xml:space="preserve"> </w:t>
      </w:r>
      <w:r>
        <w:rPr>
          <w:iCs/>
          <w:i/>
        </w:rPr>
        <w:t xml:space="preserve">Nutrients</w:t>
      </w:r>
      <w:r>
        <w:t xml:space="preserve"> </w:t>
      </w:r>
      <w:r>
        <w:t xml:space="preserve">· Prolonged Collagen Peptide Supplementation and Resistance Exercise Training Affects Body Composition in Recreationally Active Men. PMID 31126103</w:t>
      </w:r>
    </w:p>
    <w:p>
      <w:pPr>
        <w:numPr>
          <w:ilvl w:val="0"/>
          <w:numId w:val="1421"/>
        </w:numPr>
        <w:pStyle w:val="Compact"/>
      </w:pPr>
      <w:r>
        <w:t xml:space="preserve">2019 · Oertzen-Hagemann V ·</w:t>
      </w:r>
      <w:r>
        <w:t xml:space="preserve"> </w:t>
      </w:r>
      <w:r>
        <w:rPr>
          <w:iCs/>
          <w:i/>
        </w:rPr>
        <w:t xml:space="preserve">Nutrients</w:t>
      </w:r>
      <w:r>
        <w:t xml:space="preserve"> </w:t>
      </w:r>
      <w:r>
        <w:t xml:space="preserve">· Effects of 12 Weeks of Hypertrophy Resistance Exercise Training Combined with Collagen Peptide Supplementation on the Skeletal Muscle Proteome in Recreationally Active Men. PMID 31091754</w:t>
      </w:r>
    </w:p>
    <w:p>
      <w:pPr>
        <w:numPr>
          <w:ilvl w:val="0"/>
          <w:numId w:val="1421"/>
        </w:numPr>
        <w:pStyle w:val="Compact"/>
      </w:pPr>
      <w:r>
        <w:t xml:space="preserve">2019 · Skov K ·</w:t>
      </w:r>
      <w:r>
        <w:t xml:space="preserve"> </w:t>
      </w:r>
      <w:r>
        <w:rPr>
          <w:iCs/>
          <w:i/>
        </w:rPr>
        <w:t xml:space="preserve">Nutrients</w:t>
      </w:r>
      <w:r>
        <w:t xml:space="preserve"> </w:t>
      </w:r>
      <w:r>
        <w:t xml:space="preserve">· Enzymatic Hydrolysis of a Collagen Hydrolysate Enhances Postprandial Absorption Rate-A Randomized Controlled Trial. PMID 31086034</w:t>
      </w:r>
    </w:p>
    <w:p>
      <w:pPr>
        <w:numPr>
          <w:ilvl w:val="0"/>
          <w:numId w:val="1421"/>
        </w:numPr>
        <w:pStyle w:val="Compact"/>
      </w:pPr>
      <w:r>
        <w:t xml:space="preserve">2019 · Jendricke P ·</w:t>
      </w:r>
      <w:r>
        <w:t xml:space="preserve"> </w:t>
      </w:r>
      <w:r>
        <w:rPr>
          <w:iCs/>
          <w:i/>
        </w:rPr>
        <w:t xml:space="preserve">Nutrients</w:t>
      </w:r>
      <w:r>
        <w:t xml:space="preserve"> </w:t>
      </w:r>
      <w:r>
        <w:t xml:space="preserve">· Specific Collagen Peptides in Combination with Resistance Training Improve Body Composition and Regional Muscle Strength in Premenopausal Women: A Randomized Controlled Trial. PMID 31010031</w:t>
      </w:r>
    </w:p>
    <w:p>
      <w:pPr>
        <w:numPr>
          <w:ilvl w:val="0"/>
          <w:numId w:val="1421"/>
        </w:numPr>
        <w:pStyle w:val="Compact"/>
      </w:pPr>
      <w:r>
        <w:t xml:space="preserve">2019 · Tak YJ ·</w:t>
      </w:r>
      <w:r>
        <w:t xml:space="preserve"> </w:t>
      </w:r>
      <w:r>
        <w:rPr>
          <w:iCs/>
          <w:i/>
        </w:rPr>
        <w:t xml:space="preserve">Mar Drugs</w:t>
      </w:r>
      <w:r>
        <w:t xml:space="preserve"> </w:t>
      </w:r>
      <w:r>
        <w:t xml:space="preserve">· Effect of Oral Ingestion of Low-Molecular Collagen Peptides Derived from Skate (Raja Kenojei) Skin on Body Fat in Overweight Adults: A Randomized, Double-Blind, Placebo-Controlled Trial. PMID 30866485</w:t>
      </w:r>
    </w:p>
    <w:p>
      <w:pPr>
        <w:numPr>
          <w:ilvl w:val="0"/>
          <w:numId w:val="1421"/>
        </w:numPr>
        <w:pStyle w:val="Compact"/>
      </w:pPr>
      <w:r>
        <w:t xml:space="preserve">2019 · Asai T ·</w:t>
      </w:r>
      <w:r>
        <w:t xml:space="preserve"> </w:t>
      </w:r>
      <w:r>
        <w:rPr>
          <w:iCs/>
          <w:i/>
        </w:rPr>
        <w:t xml:space="preserve">J Agric Food Chem</w:t>
      </w:r>
      <w:r>
        <w:t xml:space="preserve"> </w:t>
      </w:r>
      <w:r>
        <w:t xml:space="preserve">· Amount of Collagen in the Meat Contained in Japanese Daily Dishes and the Collagen Peptide Content in Human Blood after Ingestion of Cooked Fish Meat. PMID 30784272</w:t>
      </w:r>
    </w:p>
    <w:p>
      <w:pPr>
        <w:numPr>
          <w:ilvl w:val="0"/>
          <w:numId w:val="1421"/>
        </w:numPr>
        <w:pStyle w:val="Compact"/>
      </w:pPr>
      <w:r>
        <w:t xml:space="preserve">2019 · Clifford T ·</w:t>
      </w:r>
      <w:r>
        <w:t xml:space="preserve"> </w:t>
      </w:r>
      <w:r>
        <w:rPr>
          <w:iCs/>
          <w:i/>
        </w:rPr>
        <w:t xml:space="preserve">Amino Acids</w:t>
      </w:r>
      <w:r>
        <w:t xml:space="preserve"> </w:t>
      </w:r>
      <w:r>
        <w:t xml:space="preserve">· The effects of collagen peptides on muscle damage, inflammation and bone turnover following exercise: a randomized, controlled trial. PMID 30783776</w:t>
      </w:r>
    </w:p>
    <w:p>
      <w:pPr>
        <w:numPr>
          <w:ilvl w:val="0"/>
          <w:numId w:val="1421"/>
        </w:numPr>
        <w:pStyle w:val="Compact"/>
      </w:pPr>
      <w:r>
        <w:t xml:space="preserve">2019 · Praet SFE ·</w:t>
      </w:r>
      <w:r>
        <w:t xml:space="preserve"> </w:t>
      </w:r>
      <w:r>
        <w:rPr>
          <w:iCs/>
          <w:i/>
        </w:rPr>
        <w:t xml:space="preserve">Nutrients</w:t>
      </w:r>
      <w:r>
        <w:t xml:space="preserve"> </w:t>
      </w:r>
      <w:r>
        <w:t xml:space="preserve">· Oral Supplementation of Specific Collagen Peptides Combined with Calf-Strengthening Exercises Enhances Function and Reduces Pain in Achilles Tendinopathy Patients. PMID 30609761</w:t>
      </w:r>
    </w:p>
    <w:p>
      <w:pPr>
        <w:numPr>
          <w:ilvl w:val="0"/>
          <w:numId w:val="1421"/>
        </w:numPr>
        <w:pStyle w:val="Compact"/>
      </w:pPr>
      <w:r>
        <w:t xml:space="preserve">2018 · Ito N ·</w:t>
      </w:r>
      <w:r>
        <w:t xml:space="preserve"> </w:t>
      </w:r>
      <w:r>
        <w:rPr>
          <w:iCs/>
          <w:i/>
        </w:rPr>
        <w:t xml:space="preserve">Mar Drugs</w:t>
      </w:r>
      <w:r>
        <w:t xml:space="preserve"> </w:t>
      </w:r>
      <w:r>
        <w:t xml:space="preserve">· Effects of Composite Supplement Containing Collagen Peptide and Ornithine on Skin Conditions and Plasma IGF-1 Levels-A Randomized, Double-Blind, Placebo-Controlled Trial. PMID 30513923</w:t>
      </w:r>
    </w:p>
    <w:p>
      <w:pPr>
        <w:numPr>
          <w:ilvl w:val="0"/>
          <w:numId w:val="1421"/>
        </w:numPr>
        <w:pStyle w:val="Compact"/>
      </w:pPr>
      <w:r>
        <w:t xml:space="preserve">2018 · Oikawa SY ·</w:t>
      </w:r>
      <w:r>
        <w:t xml:space="preserve"> </w:t>
      </w:r>
      <w:r>
        <w:rPr>
          <w:iCs/>
          <w:i/>
        </w:rPr>
        <w:t xml:space="preserve">Am J Clin Nutr</w:t>
      </w:r>
      <w:r>
        <w:t xml:space="preserve"> </w:t>
      </w:r>
      <w:r>
        <w:t xml:space="preserve">· A randomized controlled trial of the impact of protein supplementation on leg lean mass and integrated muscle protein synthesis during inactivity and energy restriction in older persons. PMID 30289425</w:t>
      </w:r>
    </w:p>
    <w:p>
      <w:pPr>
        <w:numPr>
          <w:ilvl w:val="0"/>
          <w:numId w:val="1421"/>
        </w:numPr>
        <w:pStyle w:val="Compact"/>
      </w:pPr>
      <w:r>
        <w:t xml:space="preserve">2018 · Shigemura Y ·</w:t>
      </w:r>
      <w:r>
        <w:t xml:space="preserve"> </w:t>
      </w:r>
      <w:r>
        <w:rPr>
          <w:iCs/>
          <w:i/>
        </w:rPr>
        <w:t xml:space="preserve">Nutrients</w:t>
      </w:r>
      <w:r>
        <w:t xml:space="preserve"> </w:t>
      </w:r>
      <w:r>
        <w:t xml:space="preserve">· A Pilot Study for the Detection of Cyclic Prolyl-Hydroxyproline (Pro-Hyp) in Human Blood after Ingestion of Collagen Hydrolysate. PMID 30248982</w:t>
      </w:r>
    </w:p>
    <w:p>
      <w:pPr>
        <w:numPr>
          <w:ilvl w:val="0"/>
          <w:numId w:val="1421"/>
        </w:numPr>
        <w:pStyle w:val="Compact"/>
      </w:pPr>
      <w:r>
        <w:t xml:space="preserve">2018 · Czajka A ·</w:t>
      </w:r>
      <w:r>
        <w:t xml:space="preserve"> </w:t>
      </w:r>
      <w:r>
        <w:rPr>
          <w:iCs/>
          <w:i/>
        </w:rPr>
        <w:t xml:space="preserve">Nutr Res</w:t>
      </w:r>
      <w:r>
        <w:t xml:space="preserve"> </w:t>
      </w:r>
      <w:r>
        <w:t xml:space="preserve">· Daily oral supplementation with collagen peptides combined with vitamins and other bioactive compounds improves skin elasticity and has a beneficial effect on joint and general wellbeing. PMID 30122200</w:t>
      </w:r>
    </w:p>
    <w:p>
      <w:pPr>
        <w:numPr>
          <w:ilvl w:val="0"/>
          <w:numId w:val="1421"/>
        </w:numPr>
        <w:pStyle w:val="Compact"/>
      </w:pPr>
      <w:r>
        <w:t xml:space="preserve">2018 · Sugihara F ·</w:t>
      </w:r>
      <w:r>
        <w:t xml:space="preserve"> </w:t>
      </w:r>
      <w:r>
        <w:rPr>
          <w:iCs/>
          <w:i/>
        </w:rPr>
        <w:t xml:space="preserve">Sci Rep</w:t>
      </w:r>
      <w:r>
        <w:t xml:space="preserve"> </w:t>
      </w:r>
      <w:r>
        <w:t xml:space="preserve">· Ingestion of bioactive collagen hydrolysates enhanced pressure ulcer healing in a randomized double-blind placebo-controlled clinical study. PMID 30061579</w:t>
      </w:r>
    </w:p>
    <w:p>
      <w:pPr>
        <w:numPr>
          <w:ilvl w:val="0"/>
          <w:numId w:val="1421"/>
        </w:numPr>
        <w:pStyle w:val="Compact"/>
      </w:pPr>
      <w:r>
        <w:t xml:space="preserve">2018 · Kim DU ·</w:t>
      </w:r>
      <w:r>
        <w:t xml:space="preserve"> </w:t>
      </w:r>
      <w:r>
        <w:rPr>
          <w:iCs/>
          <w:i/>
        </w:rPr>
        <w:t xml:space="preserve">Nutrients</w:t>
      </w:r>
      <w:r>
        <w:t xml:space="preserve"> </w:t>
      </w:r>
      <w:r>
        <w:t xml:space="preserve">· Oral Intake of Low-Molecular-Weight Collagen Peptide Improves Hydration, Elasticity, and Wrinkling in Human Skin: A Randomized, Double-Blind, Placebo-Controlled Study. PMID 29949889</w:t>
      </w:r>
    </w:p>
    <w:p>
      <w:pPr>
        <w:numPr>
          <w:ilvl w:val="0"/>
          <w:numId w:val="1421"/>
        </w:numPr>
        <w:pStyle w:val="Compact"/>
      </w:pPr>
      <w:r>
        <w:t xml:space="preserve">2018 · Dressler P ·</w:t>
      </w:r>
      <w:r>
        <w:t xml:space="preserve"> </w:t>
      </w:r>
      <w:r>
        <w:rPr>
          <w:iCs/>
          <w:i/>
        </w:rPr>
        <w:t xml:space="preserve">J Sports Sci Med</w:t>
      </w:r>
      <w:r>
        <w:t xml:space="preserve"> </w:t>
      </w:r>
      <w:r>
        <w:t xml:space="preserve">· Improvement of Functional Ankle Properties Following Supplementation with Specific Collagen Peptides in Athletes with Chronic Ankle Instability. PMID 29769831</w:t>
      </w:r>
    </w:p>
    <w:p>
      <w:pPr>
        <w:numPr>
          <w:ilvl w:val="0"/>
          <w:numId w:val="1421"/>
        </w:numPr>
        <w:pStyle w:val="Compact"/>
      </w:pPr>
      <w:r>
        <w:t xml:space="preserve">2018 · König D ·</w:t>
      </w:r>
      <w:r>
        <w:t xml:space="preserve"> </w:t>
      </w:r>
      <w:r>
        <w:rPr>
          <w:iCs/>
          <w:i/>
        </w:rPr>
        <w:t xml:space="preserve">Nutrients</w:t>
      </w:r>
      <w:r>
        <w:t xml:space="preserve"> </w:t>
      </w:r>
      <w:r>
        <w:t xml:space="preserve">· Specific Collagen Peptides Improve Bone Mineral Density and Bone Markers in Postmenopausal Women-A Randomized Controlled Study. PMID 29337906</w:t>
      </w:r>
    </w:p>
    <w:p>
      <w:pPr>
        <w:numPr>
          <w:ilvl w:val="0"/>
          <w:numId w:val="1421"/>
        </w:numPr>
        <w:pStyle w:val="Compact"/>
      </w:pPr>
      <w:r>
        <w:t xml:space="preserve">2017 · Hakuta A ·</w:t>
      </w:r>
      <w:r>
        <w:t xml:space="preserve"> </w:t>
      </w:r>
      <w:r>
        <w:rPr>
          <w:iCs/>
          <w:i/>
        </w:rPr>
        <w:t xml:space="preserve">J Dermatol Sci</w:t>
      </w:r>
      <w:r>
        <w:t xml:space="preserve"> </w:t>
      </w:r>
      <w:r>
        <w:t xml:space="preserve">· Anti-inflammatory effect of collagen tripeptide in atopic dermatitis. PMID 29017796</w:t>
      </w:r>
    </w:p>
    <w:p>
      <w:pPr>
        <w:numPr>
          <w:ilvl w:val="0"/>
          <w:numId w:val="1421"/>
        </w:numPr>
        <w:pStyle w:val="Compact"/>
      </w:pPr>
      <w:r>
        <w:t xml:space="preserve">2017 · Hexsel D ·</w:t>
      </w:r>
      <w:r>
        <w:t xml:space="preserve"> </w:t>
      </w:r>
      <w:r>
        <w:rPr>
          <w:iCs/>
          <w:i/>
        </w:rPr>
        <w:t xml:space="preserve">J Cosmet Dermatol</w:t>
      </w:r>
      <w:r>
        <w:t xml:space="preserve"> </w:t>
      </w:r>
      <w:r>
        <w:t xml:space="preserve">· Oral supplementation with specific bioactive collagen peptides improves nail growth and reduces symptoms of brittle nails. PMID 28786550</w:t>
      </w:r>
    </w:p>
    <w:p>
      <w:pPr>
        <w:numPr>
          <w:ilvl w:val="0"/>
          <w:numId w:val="1421"/>
        </w:numPr>
        <w:pStyle w:val="Compact"/>
      </w:pPr>
      <w:r>
        <w:t xml:space="preserve">2017 · Genovese L ·</w:t>
      </w:r>
      <w:r>
        <w:t xml:space="preserve"> </w:t>
      </w:r>
      <w:r>
        <w:rPr>
          <w:iCs/>
          <w:i/>
        </w:rPr>
        <w:t xml:space="preserve">Skin Pharmacol Physiol</w:t>
      </w:r>
      <w:r>
        <w:t xml:space="preserve"> </w:t>
      </w:r>
      <w:r>
        <w:t xml:space="preserve">· An Insight into the Changes in Skin Texture and Properties following Dietary Intervention with a Nutricosmeceutical Containing a Blend of Collagen Bioactive Peptides and Antioxidants. PMID 28528342</w:t>
      </w:r>
    </w:p>
    <w:p>
      <w:pPr>
        <w:numPr>
          <w:ilvl w:val="0"/>
          <w:numId w:val="1421"/>
        </w:numPr>
        <w:pStyle w:val="Compact"/>
      </w:pPr>
      <w:r>
        <w:t xml:space="preserve">2017 · Zdzieblik D ·</w:t>
      </w:r>
      <w:r>
        <w:t xml:space="preserve"> </w:t>
      </w:r>
      <w:r>
        <w:rPr>
          <w:iCs/>
          <w:i/>
        </w:rPr>
        <w:t xml:space="preserve">Appl Physiol Nutr Metab</w:t>
      </w:r>
      <w:r>
        <w:t xml:space="preserve"> </w:t>
      </w:r>
      <w:r>
        <w:t xml:space="preserve">· Improvement of activity-related knee joint discomfort following supplementation of specific collagen peptides. PMID 28177710</w:t>
      </w:r>
    </w:p>
    <w:p>
      <w:pPr>
        <w:numPr>
          <w:ilvl w:val="0"/>
          <w:numId w:val="1421"/>
        </w:numPr>
        <w:pStyle w:val="Compact"/>
      </w:pPr>
      <w:r>
        <w:t xml:space="preserve">2016 · Yamamoto S ·</w:t>
      </w:r>
      <w:r>
        <w:t xml:space="preserve"> </w:t>
      </w:r>
      <w:r>
        <w:rPr>
          <w:iCs/>
          <w:i/>
        </w:rPr>
        <w:t xml:space="preserve">Biol Pharm Bull</w:t>
      </w:r>
      <w:r>
        <w:t xml:space="preserve"> </w:t>
      </w:r>
      <w:r>
        <w:t xml:space="preserve">· Absorption and Urinary Excretion of Peptides after Collagen Tripeptide Ingestion in Humans. PMID 26934933</w:t>
      </w:r>
    </w:p>
    <w:p>
      <w:pPr>
        <w:numPr>
          <w:ilvl w:val="0"/>
          <w:numId w:val="1421"/>
        </w:numPr>
        <w:pStyle w:val="Compact"/>
      </w:pPr>
      <w:r>
        <w:t xml:space="preserve">2016 · De Luca C ·</w:t>
      </w:r>
      <w:r>
        <w:t xml:space="preserve"> </w:t>
      </w:r>
      <w:r>
        <w:rPr>
          <w:iCs/>
          <w:i/>
        </w:rPr>
        <w:t xml:space="preserve">Oxid Med Cell Longev</w:t>
      </w:r>
      <w:r>
        <w:t xml:space="preserve"> </w:t>
      </w:r>
      <w:r>
        <w:t xml:space="preserve">· Skin Antiageing and Systemic Redox Effects of Supplementation with Marine Collagen Peptides and Plant-Derived Antioxidants: A Single-Blind Case-Control Clinical Study. PMID 26904164</w:t>
      </w:r>
    </w:p>
    <w:p>
      <w:pPr>
        <w:numPr>
          <w:ilvl w:val="0"/>
          <w:numId w:val="1421"/>
        </w:numPr>
        <w:pStyle w:val="Compact"/>
      </w:pPr>
      <w:r>
        <w:t xml:space="preserve">2016 · Inoue N ·</w:t>
      </w:r>
      <w:r>
        <w:t xml:space="preserve"> </w:t>
      </w:r>
      <w:r>
        <w:rPr>
          <w:iCs/>
          <w:i/>
        </w:rPr>
        <w:t xml:space="preserve">J Sci Food Agric</w:t>
      </w:r>
      <w:r>
        <w:t xml:space="preserve"> </w:t>
      </w:r>
      <w:r>
        <w:t xml:space="preserve">· Ingestion of bioactive collagen hydrolysates enhance facial skin moisture and elasticity and reduce facial ageing signs in a randomised double-blind placebo-controlled clinical study. PMID 26840887</w:t>
      </w:r>
    </w:p>
    <w:p>
      <w:pPr>
        <w:numPr>
          <w:ilvl w:val="0"/>
          <w:numId w:val="1421"/>
        </w:numPr>
        <w:pStyle w:val="Compact"/>
      </w:pPr>
      <w:r>
        <w:t xml:space="preserve">2016 · Stenbæk DS ·</w:t>
      </w:r>
      <w:r>
        <w:t xml:space="preserve"> </w:t>
      </w:r>
      <w:r>
        <w:rPr>
          <w:iCs/>
          <w:i/>
        </w:rPr>
        <w:t xml:space="preserve">Eur Neuropsychopharmacol</w:t>
      </w:r>
      <w:r>
        <w:t xml:space="preserve"> </w:t>
      </w:r>
      <w:r>
        <w:t xml:space="preserve">· Evaluation of acute tryptophan depletion and sham depletion with a gelatin-based collagen peptide protein mixture. PMID 26655163</w:t>
      </w:r>
    </w:p>
    <w:p>
      <w:pPr>
        <w:numPr>
          <w:ilvl w:val="0"/>
          <w:numId w:val="1421"/>
        </w:numPr>
        <w:pStyle w:val="Compact"/>
      </w:pPr>
      <w:r>
        <w:t xml:space="preserve">2015 · Kanzaki N ·</w:t>
      </w:r>
      <w:r>
        <w:t xml:space="preserve"> </w:t>
      </w:r>
      <w:r>
        <w:rPr>
          <w:iCs/>
          <w:i/>
        </w:rPr>
        <w:t xml:space="preserve">Clin Interv Aging</w:t>
      </w:r>
      <w:r>
        <w:t xml:space="preserve"> </w:t>
      </w:r>
      <w:r>
        <w:t xml:space="preserve">· Glucosamine-containing supplement improves locomotor functions in subjects with knee pain: a randomized, double-blind, placebo-controlled study. PMID 26604721</w:t>
      </w:r>
    </w:p>
    <w:p>
      <w:pPr>
        <w:numPr>
          <w:ilvl w:val="0"/>
          <w:numId w:val="1421"/>
        </w:numPr>
        <w:pStyle w:val="Compact"/>
      </w:pPr>
      <w:r>
        <w:t xml:space="preserve">2015 · Schunck M ·</w:t>
      </w:r>
      <w:r>
        <w:t xml:space="preserve"> </w:t>
      </w:r>
      <w:r>
        <w:rPr>
          <w:iCs/>
          <w:i/>
        </w:rPr>
        <w:t xml:space="preserve">J Med Food</w:t>
      </w:r>
      <w:r>
        <w:t xml:space="preserve"> </w:t>
      </w:r>
      <w:r>
        <w:t xml:space="preserve">· Dietary Supplementation with Specific Collagen Peptides Has a Body Mass Index-Dependent Beneficial Effect on Cellulite Morphology. PMID 26561784</w:t>
      </w:r>
    </w:p>
    <w:p>
      <w:pPr>
        <w:numPr>
          <w:ilvl w:val="0"/>
          <w:numId w:val="1421"/>
        </w:numPr>
        <w:pStyle w:val="Compact"/>
      </w:pPr>
      <w:r>
        <w:t xml:space="preserve">2015 · Asserin J ·</w:t>
      </w:r>
      <w:r>
        <w:t xml:space="preserve"> </w:t>
      </w:r>
      <w:r>
        <w:rPr>
          <w:iCs/>
          <w:i/>
        </w:rPr>
        <w:t xml:space="preserve">J Cosmet Dermatol</w:t>
      </w:r>
      <w:r>
        <w:t xml:space="preserve"> </w:t>
      </w:r>
      <w:r>
        <w:t xml:space="preserve">· The effect of oral collagen peptide supplementation on skin moisture and the dermal collagen network: evidence from an ex vivo model and randomized, placebo-controlled clinical trials. PMID 26362110</w:t>
      </w:r>
    </w:p>
    <w:p>
      <w:pPr>
        <w:numPr>
          <w:ilvl w:val="0"/>
          <w:numId w:val="1421"/>
        </w:numPr>
        <w:pStyle w:val="Compact"/>
      </w:pPr>
      <w:r>
        <w:t xml:space="preserve">2015 · Zdzieblik D ·</w:t>
      </w:r>
      <w:r>
        <w:t xml:space="preserve"> </w:t>
      </w:r>
      <w:r>
        <w:rPr>
          <w:iCs/>
          <w:i/>
        </w:rPr>
        <w:t xml:space="preserve">Br J Nutr</w:t>
      </w:r>
      <w:r>
        <w:t xml:space="preserve"> </w:t>
      </w:r>
      <w:r>
        <w:t xml:space="preserve">· Collagen peptide supplementation in combination with resistance training improves body composition and increases muscle strength in elderly sarcopenic men: a randomised controlled trial. PMID 26353786</w:t>
      </w:r>
    </w:p>
    <w:p>
      <w:pPr>
        <w:numPr>
          <w:ilvl w:val="0"/>
          <w:numId w:val="1421"/>
        </w:numPr>
        <w:pStyle w:val="Compact"/>
      </w:pPr>
      <w:r>
        <w:t xml:space="preserve">2015 · Elam ML ·</w:t>
      </w:r>
      <w:r>
        <w:t xml:space="preserve"> </w:t>
      </w:r>
      <w:r>
        <w:rPr>
          <w:iCs/>
          <w:i/>
        </w:rPr>
        <w:t xml:space="preserve">J Med Food</w:t>
      </w:r>
      <w:r>
        <w:t xml:space="preserve"> </w:t>
      </w:r>
      <w:r>
        <w:t xml:space="preserve">· A calcium-collagen chelate dietary supplement attenuates bone loss in postmenopausal women with osteopenia: a randomized controlled trial. PMID 25314004</w:t>
      </w:r>
    </w:p>
    <w:p>
      <w:pPr>
        <w:numPr>
          <w:ilvl w:val="0"/>
          <w:numId w:val="1421"/>
        </w:numPr>
        <w:pStyle w:val="Compact"/>
      </w:pPr>
      <w:r>
        <w:t xml:space="preserve">2015 · Kumar S ·</w:t>
      </w:r>
      <w:r>
        <w:t xml:space="preserve"> </w:t>
      </w:r>
      <w:r>
        <w:rPr>
          <w:iCs/>
          <w:i/>
        </w:rPr>
        <w:t xml:space="preserve">J Sci Food Agric</w:t>
      </w:r>
      <w:r>
        <w:t xml:space="preserve"> </w:t>
      </w:r>
      <w:r>
        <w:t xml:space="preserve">· A double-blind, placebo-controlled, randomised, clinical study on the effectiveness of collagen peptide on osteoarthritis. PMID 24852756</w:t>
      </w:r>
    </w:p>
    <w:p>
      <w:pPr>
        <w:numPr>
          <w:ilvl w:val="0"/>
          <w:numId w:val="1421"/>
        </w:numPr>
        <w:pStyle w:val="Compact"/>
      </w:pPr>
      <w:r>
        <w:t xml:space="preserve">2014 · Choi SY ·</w:t>
      </w:r>
      <w:r>
        <w:t xml:space="preserve"> </w:t>
      </w:r>
      <w:r>
        <w:rPr>
          <w:iCs/>
          <w:i/>
        </w:rPr>
        <w:t xml:space="preserve">Clin Exp Dermatol</w:t>
      </w:r>
      <w:r>
        <w:t xml:space="preserve"> </w:t>
      </w:r>
      <w:r>
        <w:t xml:space="preserve">· Effect of high advanced-collagen tripeptide on wound healing and skin recovery after fractional photothermolysis treatment. PMID 25283252</w:t>
      </w:r>
    </w:p>
    <w:p>
      <w:pPr>
        <w:numPr>
          <w:ilvl w:val="0"/>
          <w:numId w:val="1421"/>
        </w:numPr>
        <w:pStyle w:val="Compact"/>
      </w:pPr>
      <w:r>
        <w:t xml:space="preserve">2014 · Yoon HS ·</w:t>
      </w:r>
      <w:r>
        <w:t xml:space="preserve"> </w:t>
      </w:r>
      <w:r>
        <w:rPr>
          <w:iCs/>
          <w:i/>
        </w:rPr>
        <w:t xml:space="preserve">J Med Food</w:t>
      </w:r>
      <w:r>
        <w:t xml:space="preserve"> </w:t>
      </w:r>
      <w:r>
        <w:t xml:space="preserve">· Supplementating with dietary astaxanthin combined with collagen hydrolysate improves facial elasticity and decreases matrix metalloproteinase-1 and -12 expression: a comparative study with placebo. PMID 24955642</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intake of specific bioactive collagen peptides reduces skin wrinkles and increases dermal matrix synthesis. PMID 24401291</w:t>
      </w:r>
    </w:p>
    <w:p>
      <w:pPr>
        <w:numPr>
          <w:ilvl w:val="0"/>
          <w:numId w:val="1421"/>
        </w:numPr>
        <w:pStyle w:val="Compact"/>
      </w:pPr>
      <w:r>
        <w:t xml:space="preserve">2014 · Choi SY ·</w:t>
      </w:r>
      <w:r>
        <w:t xml:space="preserve"> </w:t>
      </w:r>
      <w:r>
        <w:rPr>
          <w:iCs/>
          <w:i/>
        </w:rPr>
        <w:t xml:space="preserve">J Cosmet Laser Ther</w:t>
      </w:r>
      <w:r>
        <w:t xml:space="preserve"> </w:t>
      </w:r>
      <w:r>
        <w:t xml:space="preserve">· Effects of collagen tripeptide supplement on skin properties: a prospective, randomized, controlled study. PMID 24131075</w:t>
      </w:r>
    </w:p>
    <w:p>
      <w:pPr>
        <w:numPr>
          <w:ilvl w:val="0"/>
          <w:numId w:val="1421"/>
        </w:numPr>
        <w:pStyle w:val="Compact"/>
      </w:pPr>
      <w:r>
        <w:t xml:space="preserve">2014 · Proksch E ·</w:t>
      </w:r>
      <w:r>
        <w:t xml:space="preserve"> </w:t>
      </w:r>
      <w:r>
        <w:rPr>
          <w:iCs/>
          <w:i/>
        </w:rPr>
        <w:t xml:space="preserve">Skin Pharmacol Physiol</w:t>
      </w:r>
      <w:r>
        <w:t xml:space="preserve"> </w:t>
      </w:r>
      <w:r>
        <w:t xml:space="preserve">· Oral supplementation of specific collagen peptides has beneficial effects on human skin physiology: a double-blind, placebo-controlled study. PMID 23949208</w:t>
      </w:r>
    </w:p>
    <w:p>
      <w:pPr>
        <w:numPr>
          <w:ilvl w:val="0"/>
          <w:numId w:val="1421"/>
        </w:numPr>
        <w:pStyle w:val="Compact"/>
      </w:pPr>
      <w:r>
        <w:t xml:space="preserve">2012 · Bruyère O ·</w:t>
      </w:r>
      <w:r>
        <w:t xml:space="preserve"> </w:t>
      </w:r>
      <w:r>
        <w:rPr>
          <w:iCs/>
          <w:i/>
        </w:rPr>
        <w:t xml:space="preserve">Complement Ther Med</w:t>
      </w:r>
      <w:r>
        <w:t xml:space="preserve"> </w:t>
      </w:r>
      <w:r>
        <w:t xml:space="preserve">· Effect of collagen hydrolysate in articular pain: a 6-month randomized, double-blind, placebo controlled study. PMID 22500661</w:t>
      </w:r>
    </w:p>
    <w:p>
      <w:pPr>
        <w:numPr>
          <w:ilvl w:val="0"/>
          <w:numId w:val="1421"/>
        </w:numPr>
        <w:pStyle w:val="Compact"/>
      </w:pPr>
      <w:r>
        <w:t xml:space="preserve">2010 · Zhu CF ·</w:t>
      </w:r>
      <w:r>
        <w:t xml:space="preserve"> </w:t>
      </w:r>
      <w:r>
        <w:rPr>
          <w:iCs/>
          <w:i/>
        </w:rPr>
        <w:t xml:space="preserve">Am J Med Sci</w:t>
      </w:r>
      <w:r>
        <w:t xml:space="preserve"> </w:t>
      </w:r>
      <w:r>
        <w:t xml:space="preserve">· Therapeutic effects of marine collagen peptides on Chinese patients with type 2 diabetes mellitus and primary hypertension. PMID 20739874</w:t>
      </w:r>
    </w:p>
    <w:p>
      <w:pPr>
        <w:numPr>
          <w:ilvl w:val="0"/>
          <w:numId w:val="1421"/>
        </w:numPr>
        <w:pStyle w:val="Compact"/>
      </w:pPr>
      <w:r>
        <w:t xml:space="preserve">2009 · Hays NP ·</w:t>
      </w:r>
      <w:r>
        <w:t xml:space="preserve"> </w:t>
      </w:r>
      <w:r>
        <w:rPr>
          <w:iCs/>
          <w:i/>
        </w:rPr>
        <w:t xml:space="preserve">J Am Diet Assoc</w:t>
      </w:r>
      <w:r>
        <w:t xml:space="preserve"> </w:t>
      </w:r>
      <w:r>
        <w:t xml:space="preserve">· Effects of whey and fortified collagen hydrolysate protein supplements on nitrogen balance and body composition in older women. PMID 19465192</w:t>
      </w:r>
    </w:p>
    <w:p>
      <w:pPr>
        <w:numPr>
          <w:ilvl w:val="0"/>
          <w:numId w:val="1421"/>
        </w:numPr>
        <w:pStyle w:val="Compact"/>
      </w:pPr>
      <w:r>
        <w:t xml:space="preserve">2008 · Clark KL ·</w:t>
      </w:r>
      <w:r>
        <w:t xml:space="preserve"> </w:t>
      </w:r>
      <w:r>
        <w:rPr>
          <w:iCs/>
          <w:i/>
        </w:rPr>
        <w:t xml:space="preserve">Curr Med Res Opin</w:t>
      </w:r>
      <w:r>
        <w:t xml:space="preserve"> </w:t>
      </w:r>
      <w:r>
        <w:t xml:space="preserve">· 24-Week study on the use of collagen hydrolysate as a dietary supplement in athletes with activity-related joint pain. PMID 18416885</w:t>
      </w:r>
    </w:p>
    <w:p>
      <w:pPr>
        <w:numPr>
          <w:ilvl w:val="0"/>
          <w:numId w:val="1421"/>
        </w:numPr>
        <w:pStyle w:val="Compact"/>
      </w:pPr>
      <w:r>
        <w:t xml:space="preserve">2001 · Peretz A ·</w:t>
      </w:r>
      <w:r>
        <w:t xml:space="preserve"> </w:t>
      </w:r>
      <w:r>
        <w:rPr>
          <w:iCs/>
          <w:i/>
        </w:rPr>
        <w:t xml:space="preserve">J Trace Elem Med Biol</w:t>
      </w:r>
      <w:r>
        <w:t xml:space="preserve"> </w:t>
      </w:r>
      <w:r>
        <w:t xml:space="preserve">· Zinc supplementation increases bone alkaline phosphatase in healthy men. PMID 11787985</w:t>
      </w:r>
    </w:p>
    <w:p>
      <w:pPr>
        <w:numPr>
          <w:ilvl w:val="0"/>
          <w:numId w:val="1421"/>
        </w:numPr>
        <w:pStyle w:val="Compact"/>
      </w:pPr>
      <w:r>
        <w:t xml:space="preserve">2000 · Moskowitz RW ·</w:t>
      </w:r>
      <w:r>
        <w:t xml:space="preserve"> </w:t>
      </w:r>
      <w:r>
        <w:rPr>
          <w:iCs/>
          <w:i/>
        </w:rPr>
        <w:t xml:space="preserve">Semin Arthritis Rheum</w:t>
      </w:r>
      <w:r>
        <w:t xml:space="preserve"> </w:t>
      </w:r>
      <w:r>
        <w:t xml:space="preserve">· Role of collagen hydrolysate in bone and joint disease. PMID 11071580</w:t>
      </w:r>
    </w:p>
    <w:p>
      <w:pPr>
        <w:numPr>
          <w:ilvl w:val="0"/>
          <w:numId w:val="1421"/>
        </w:numPr>
        <w:pStyle w:val="Compact"/>
      </w:pPr>
      <w:r>
        <w:t xml:space="preserve">1996 · Adam M ·</w:t>
      </w:r>
      <w:r>
        <w:t xml:space="preserve"> </w:t>
      </w:r>
      <w:r>
        <w:rPr>
          <w:iCs/>
          <w:i/>
        </w:rPr>
        <w:t xml:space="preserve">Cas Lek Cesk</w:t>
      </w:r>
      <w:r>
        <w:t xml:space="preserve"> </w:t>
      </w:r>
      <w:r>
        <w:t xml:space="preserve">· [Postmenopausal osteoporosis. Treatment with calcitonin and a diet rich in collagen proteins]. PMID 8625373</w:t>
      </w:r>
    </w:p>
    <w:bookmarkEnd w:id="3064"/>
    <w:bookmarkStart w:id="3065" w:name="lactotripeptides-vpp-and-ipp-21"/>
    <w:p>
      <w:pPr>
        <w:pStyle w:val="Heading2"/>
      </w:pPr>
      <w:r>
        <w:t xml:space="preserve">Lactotripeptides (VPP and IPP) (21)</w:t>
      </w:r>
    </w:p>
    <w:p>
      <w:pPr>
        <w:numPr>
          <w:ilvl w:val="0"/>
          <w:numId w:val="1422"/>
        </w:numPr>
        <w:pStyle w:val="Compact"/>
      </w:pPr>
      <w:r>
        <w:t xml:space="preserve">2023 · Yoshioka M ·</w:t>
      </w:r>
      <w:r>
        <w:t xml:space="preserve"> </w:t>
      </w:r>
      <w:r>
        <w:rPr>
          <w:iCs/>
          <w:i/>
        </w:rPr>
        <w:t xml:space="preserve">Sci Rep</w:t>
      </w:r>
      <w:r>
        <w:t xml:space="preserve"> </w:t>
      </w:r>
      <w:r>
        <w:t xml:space="preserve">· Effects of lactotripeptide ingestion and physical activity intervention on the fatigue status of middle-aged and older adults: a randomized controlled trial. PMID 37735182</w:t>
      </w:r>
    </w:p>
    <w:p>
      <w:pPr>
        <w:numPr>
          <w:ilvl w:val="0"/>
          <w:numId w:val="1422"/>
        </w:numPr>
        <w:pStyle w:val="Compact"/>
      </w:pPr>
      <w:r>
        <w:t xml:space="preserve">2019 · Hamasaki A ·</w:t>
      </w:r>
      <w:r>
        <w:t xml:space="preserve"> </w:t>
      </w:r>
      <w:r>
        <w:rPr>
          <w:iCs/>
          <w:i/>
        </w:rPr>
        <w:t xml:space="preserve">Am J Clin Nutr</w:t>
      </w:r>
      <w:r>
        <w:t xml:space="preserve"> </w:t>
      </w:r>
      <w:r>
        <w:t xml:space="preserve">· Combined effects of lactotripeptide and aerobic exercise on cognitive function and cerebral oxygenation in middle-aged and older adults. PMID 30624594</w:t>
      </w:r>
    </w:p>
    <w:p>
      <w:pPr>
        <w:numPr>
          <w:ilvl w:val="0"/>
          <w:numId w:val="1422"/>
        </w:numPr>
        <w:pStyle w:val="Compact"/>
      </w:pPr>
      <w:r>
        <w:t xml:space="preserve">2018 · Akazawa N ·</w:t>
      </w:r>
      <w:r>
        <w:t xml:space="preserve"> </w:t>
      </w:r>
      <w:r>
        <w:rPr>
          <w:iCs/>
          <w:i/>
        </w:rPr>
        <w:t xml:space="preserve">Nutr Res</w:t>
      </w:r>
      <w:r>
        <w:t xml:space="preserve"> </w:t>
      </w:r>
      <w:r>
        <w:t xml:space="preserve">· Lactotripeptide ingestion increases cerebral blood flow velocity in middle-aged and older adults. PMID 29703414</w:t>
      </w:r>
    </w:p>
    <w:p>
      <w:pPr>
        <w:numPr>
          <w:ilvl w:val="0"/>
          <w:numId w:val="1422"/>
        </w:numPr>
        <w:pStyle w:val="Compact"/>
      </w:pPr>
      <w:r>
        <w:t xml:space="preserve">2018 · Tagawa K ·</w:t>
      </w:r>
      <w:r>
        <w:t xml:space="preserve"> </w:t>
      </w:r>
      <w:r>
        <w:rPr>
          <w:iCs/>
          <w:i/>
        </w:rPr>
        <w:t xml:space="preserve">Am J Phys Med Rehabil</w:t>
      </w:r>
      <w:r>
        <w:t xml:space="preserve"> </w:t>
      </w:r>
      <w:r>
        <w:t xml:space="preserve">· Lactotripeptides Supplementations Alleviate the Decrease in Maximal Isometric Force After High-Intensity Eccentric Exercise: A Randomized, Placebo-Controlled, Double-Blind Clinical Trial. PMID 29189308</w:t>
      </w:r>
    </w:p>
    <w:p>
      <w:pPr>
        <w:numPr>
          <w:ilvl w:val="0"/>
          <w:numId w:val="1422"/>
        </w:numPr>
        <w:pStyle w:val="Compact"/>
      </w:pPr>
      <w:r>
        <w:t xml:space="preserve">2016 · Cicero AF ·</w:t>
      </w:r>
      <w:r>
        <w:t xml:space="preserve"> </w:t>
      </w:r>
      <w:r>
        <w:rPr>
          <w:iCs/>
          <w:i/>
        </w:rPr>
        <w:t xml:space="preserve">Metab Syndr Relat Disord</w:t>
      </w:r>
      <w:r>
        <w:t xml:space="preserve"> </w:t>
      </w:r>
      <w:r>
        <w:t xml:space="preserve">· Effect of Lactotripeptides (Isoleucine-Proline-Proline/Valine-Proline-Proline) on Blood Pressure and Arterial Stiffness Changes in Subjects with Suboptimal Blood Pressure Control and Metabolic Syndrome: A Double-Blind, Randomized, Crossover Clinical Trial. PMID 26683986</w:t>
      </w:r>
    </w:p>
    <w:p>
      <w:pPr>
        <w:numPr>
          <w:ilvl w:val="0"/>
          <w:numId w:val="1422"/>
        </w:numPr>
        <w:pStyle w:val="Compact"/>
      </w:pPr>
      <w:r>
        <w:t xml:space="preserve">2015 · Hautaniemi EJ ·</w:t>
      </w:r>
      <w:r>
        <w:t xml:space="preserve"> </w:t>
      </w:r>
      <w:r>
        <w:rPr>
          <w:iCs/>
          <w:i/>
        </w:rPr>
        <w:t xml:space="preserve">Br J Nutr</w:t>
      </w:r>
      <w:r>
        <w:t xml:space="preserve"> </w:t>
      </w:r>
      <w:r>
        <w:t xml:space="preserve">· Effect of fermented milk product containing lactotripeptides and plant sterol esters on haemodynamics in subjects with the metabolic syndrome–a randomised, double-blind, placebo-controlled study. PMID 26168857</w:t>
      </w:r>
    </w:p>
    <w:p>
      <w:pPr>
        <w:numPr>
          <w:ilvl w:val="0"/>
          <w:numId w:val="1422"/>
        </w:numPr>
        <w:pStyle w:val="Compact"/>
      </w:pPr>
      <w:r>
        <w:t xml:space="preserve">2012 · Jauhiainen T ·</w:t>
      </w:r>
      <w:r>
        <w:t xml:space="preserve"> </w:t>
      </w:r>
      <w:r>
        <w:rPr>
          <w:iCs/>
          <w:i/>
        </w:rPr>
        <w:t xml:space="preserve">Eur J Clin Nutr</w:t>
      </w:r>
      <w:r>
        <w:t xml:space="preserve"> </w:t>
      </w:r>
      <w:r>
        <w:t xml:space="preserve">· Effects of long-term intake of lactotripeptides on cardiovascular risk factors in hypertensive subjects. PMID 22617279</w:t>
      </w:r>
    </w:p>
    <w:p>
      <w:pPr>
        <w:numPr>
          <w:ilvl w:val="0"/>
          <w:numId w:val="1422"/>
        </w:numPr>
        <w:pStyle w:val="Compact"/>
      </w:pPr>
      <w:r>
        <w:t xml:space="preserve">2012 · Cicero AF ·</w:t>
      </w:r>
      <w:r>
        <w:t xml:space="preserve"> </w:t>
      </w:r>
      <w:r>
        <w:rPr>
          <w:iCs/>
          <w:i/>
        </w:rPr>
        <w:t xml:space="preserve">Clin Exp Hypertens</w:t>
      </w:r>
      <w:r>
        <w:t xml:space="preserve"> </w:t>
      </w:r>
      <w:r>
        <w:t xml:space="preserve">· Predictors of the short-term effect of isoleucine-proline-proline/valine-proline-proline lactotripeptides from casein on office and ambulatory blood pressure in subjects with pharmacologically untreated high-normal blood pressure or first-degree hypertension. PMID 22574612</w:t>
      </w:r>
    </w:p>
    <w:p>
      <w:pPr>
        <w:numPr>
          <w:ilvl w:val="0"/>
          <w:numId w:val="1422"/>
        </w:numPr>
        <w:pStyle w:val="Compact"/>
      </w:pPr>
      <w:r>
        <w:t xml:space="preserve">2011 · Cicero AF ·</w:t>
      </w:r>
      <w:r>
        <w:t xml:space="preserve"> </w:t>
      </w:r>
      <w:r>
        <w:rPr>
          <w:iCs/>
          <w:i/>
        </w:rPr>
        <w:t xml:space="preserve">Hypertens Res</w:t>
      </w:r>
      <w:r>
        <w:t xml:space="preserve"> </w:t>
      </w:r>
      <w:r>
        <w:t xml:space="preserve">· Lactotripeptides effect on office and 24-h ambulatory blood pressure, blood pressure stress response, pulse wave velocity and cardiac output in patients with high-normal blood pressure or first-degree hypertension: a randomized double-blind clinical trial. PMID 21753776</w:t>
      </w:r>
    </w:p>
    <w:p>
      <w:pPr>
        <w:numPr>
          <w:ilvl w:val="0"/>
          <w:numId w:val="1422"/>
        </w:numPr>
        <w:pStyle w:val="Compact"/>
      </w:pPr>
      <w:r>
        <w:t xml:space="preserve">2010 · Cicero AF ·</w:t>
      </w:r>
      <w:r>
        <w:t xml:space="preserve"> </w:t>
      </w:r>
      <w:r>
        <w:rPr>
          <w:iCs/>
          <w:i/>
        </w:rPr>
        <w:t xml:space="preserve">J Med Food</w:t>
      </w:r>
      <w:r>
        <w:t xml:space="preserve"> </w:t>
      </w:r>
      <w:r>
        <w:t xml:space="preserve">· Hemodynamic effects of lactotripeptides from casein hydrolysate in Mediterranean normotensive subjects and patients with high-normal blood pressure: a randomized, double-blind, crossover clinical trial. PMID 21091250</w:t>
      </w:r>
    </w:p>
    <w:p>
      <w:pPr>
        <w:numPr>
          <w:ilvl w:val="0"/>
          <w:numId w:val="1422"/>
        </w:numPr>
        <w:pStyle w:val="Compact"/>
      </w:pPr>
      <w:r>
        <w:t xml:space="preserve">2010 · Yamasue K ·</w:t>
      </w:r>
      <w:r>
        <w:t xml:space="preserve"> </w:t>
      </w:r>
      <w:r>
        <w:rPr>
          <w:iCs/>
          <w:i/>
        </w:rPr>
        <w:t xml:space="preserve">Clin Exp Hypertens</w:t>
      </w:r>
      <w:r>
        <w:t xml:space="preserve"> </w:t>
      </w:r>
      <w:r>
        <w:t xml:space="preserve">· The blood pressure lowering effect of lactotripeptides and salt intake in 24-h ambulatory blood pressure measurements. PMID 20608891</w:t>
      </w:r>
    </w:p>
    <w:p>
      <w:pPr>
        <w:numPr>
          <w:ilvl w:val="0"/>
          <w:numId w:val="1422"/>
        </w:numPr>
        <w:pStyle w:val="Compact"/>
      </w:pPr>
      <w:r>
        <w:t xml:space="preserve">2010 · Germino FW ·</w:t>
      </w:r>
      <w:r>
        <w:t xml:space="preserve"> </w:t>
      </w:r>
      <w:r>
        <w:rPr>
          <w:iCs/>
          <w:i/>
        </w:rPr>
        <w:t xml:space="preserve">J Clin Hypertens (Greenwich)</w:t>
      </w:r>
      <w:r>
        <w:t xml:space="preserve"> </w:t>
      </w:r>
      <w:r>
        <w:t xml:space="preserve">· The impact of lactotripeptides on blood pressure response in stage 1 and stage 2 hypertensives. PMID 20433527</w:t>
      </w:r>
    </w:p>
    <w:p>
      <w:pPr>
        <w:numPr>
          <w:ilvl w:val="0"/>
          <w:numId w:val="1422"/>
        </w:numPr>
        <w:pStyle w:val="Compact"/>
      </w:pPr>
      <w:r>
        <w:t xml:space="preserve">2010 · Jauhiainen T ·</w:t>
      </w:r>
      <w:r>
        <w:t xml:space="preserve"> </w:t>
      </w:r>
      <w:r>
        <w:rPr>
          <w:iCs/>
          <w:i/>
        </w:rPr>
        <w:t xml:space="preserve">Eur J Clin Nutr</w:t>
      </w:r>
      <w:r>
        <w:t xml:space="preserve"> </w:t>
      </w:r>
      <w:r>
        <w:t xml:space="preserve">· Long-term intervention with Lactobacillus helveticus fermented milk reduces augmentation index in hypertensive subjects. PMID 20145666</w:t>
      </w:r>
    </w:p>
    <w:p>
      <w:pPr>
        <w:numPr>
          <w:ilvl w:val="0"/>
          <w:numId w:val="1422"/>
        </w:numPr>
        <w:pStyle w:val="Compact"/>
      </w:pPr>
      <w:r>
        <w:t xml:space="preserve">2010 · Yoshizawa M ·</w:t>
      </w:r>
      <w:r>
        <w:t xml:space="preserve"> </w:t>
      </w:r>
      <w:r>
        <w:rPr>
          <w:iCs/>
          <w:i/>
        </w:rPr>
        <w:t xml:space="preserve">Am J Hypertens</w:t>
      </w:r>
      <w:r>
        <w:t xml:space="preserve"> </w:t>
      </w:r>
      <w:r>
        <w:t xml:space="preserve">· Additive beneficial effects of lactotripeptides intake with regular exercise on endothelium-dependent dilatation in postmenopausal women. PMID 20075849</w:t>
      </w:r>
    </w:p>
    <w:p>
      <w:pPr>
        <w:numPr>
          <w:ilvl w:val="0"/>
          <w:numId w:val="1422"/>
        </w:numPr>
        <w:pStyle w:val="Compact"/>
      </w:pPr>
      <w:r>
        <w:t xml:space="preserve">2009 · Nakamura T ·</w:t>
      </w:r>
      <w:r>
        <w:t xml:space="preserve"> </w:t>
      </w:r>
      <w:r>
        <w:rPr>
          <w:iCs/>
          <w:i/>
        </w:rPr>
        <w:t xml:space="preserve">J Med Food</w:t>
      </w:r>
      <w:r>
        <w:t xml:space="preserve"> </w:t>
      </w:r>
      <w:r>
        <w:t xml:space="preserve">· Beneficial potential of casein hydrolysate containing Val-Pro-Pro and Ile-Pro-Pro on central blood pressure and hemodynamic index: a preliminary study. PMID 19821692</w:t>
      </w:r>
    </w:p>
    <w:p>
      <w:pPr>
        <w:numPr>
          <w:ilvl w:val="0"/>
          <w:numId w:val="1422"/>
        </w:numPr>
        <w:pStyle w:val="Compact"/>
      </w:pPr>
      <w:r>
        <w:t xml:space="preserve">2009 · Yoshizawa M ·</w:t>
      </w:r>
      <w:r>
        <w:t xml:space="preserve"> </w:t>
      </w:r>
      <w:r>
        <w:rPr>
          <w:iCs/>
          <w:i/>
        </w:rPr>
        <w:t xml:space="preserve">Am J Physiol Heart Circ Physiol</w:t>
      </w:r>
      <w:r>
        <w:t xml:space="preserve"> </w:t>
      </w:r>
      <w:r>
        <w:t xml:space="preserve">· Additive beneficial effects of lactotripeptides and aerobic exercise on arterial compliance in postmenopausal women. PMID 19783777</w:t>
      </w:r>
    </w:p>
    <w:p>
      <w:pPr>
        <w:numPr>
          <w:ilvl w:val="0"/>
          <w:numId w:val="1422"/>
        </w:numPr>
        <w:pStyle w:val="Compact"/>
      </w:pPr>
      <w:r>
        <w:t xml:space="preserve">2009 · van Mierlo LA ·</w:t>
      </w:r>
      <w:r>
        <w:t xml:space="preserve"> </w:t>
      </w:r>
      <w:r>
        <w:rPr>
          <w:iCs/>
          <w:i/>
        </w:rPr>
        <w:t xml:space="preserve">Am J Clin Nutr</w:t>
      </w:r>
      <w:r>
        <w:t xml:space="preserve"> </w:t>
      </w:r>
      <w:r>
        <w:t xml:space="preserve">· Lactotripeptides do not lower ambulatory blood pressure in untreated whites: results from 2 controlled multicenter crossover studies. PMID 19106238</w:t>
      </w:r>
    </w:p>
    <w:p>
      <w:pPr>
        <w:numPr>
          <w:ilvl w:val="0"/>
          <w:numId w:val="1422"/>
        </w:numPr>
        <w:pStyle w:val="Compact"/>
      </w:pPr>
      <w:r>
        <w:t xml:space="preserve">2008 · van der Zander K ·</w:t>
      </w:r>
      <w:r>
        <w:t xml:space="preserve"> </w:t>
      </w:r>
      <w:r>
        <w:rPr>
          <w:iCs/>
          <w:i/>
        </w:rPr>
        <w:t xml:space="preserve">Am J Clin Nutr</w:t>
      </w:r>
      <w:r>
        <w:t xml:space="preserve"> </w:t>
      </w:r>
      <w:r>
        <w:t xml:space="preserve">· Enzymatically hydrolyzed lactotripeptides do not lower blood pressure in mildly hypertensive subjects. PMID 19064533</w:t>
      </w:r>
    </w:p>
    <w:p>
      <w:pPr>
        <w:numPr>
          <w:ilvl w:val="0"/>
          <w:numId w:val="1422"/>
        </w:numPr>
        <w:pStyle w:val="Compact"/>
      </w:pPr>
      <w:r>
        <w:t xml:space="preserve">2008 · Engberink MF ·</w:t>
      </w:r>
      <w:r>
        <w:t xml:space="preserve"> </w:t>
      </w:r>
      <w:r>
        <w:rPr>
          <w:iCs/>
          <w:i/>
        </w:rPr>
        <w:t xml:space="preserve">Hypertension</w:t>
      </w:r>
      <w:r>
        <w:t xml:space="preserve"> </w:t>
      </w:r>
      <w:r>
        <w:t xml:space="preserve">· Lactotripeptides show no effect on human blood pressure: results from a double-blind randomized controlled trial. PMID 18086944</w:t>
      </w:r>
    </w:p>
    <w:p>
      <w:pPr>
        <w:numPr>
          <w:ilvl w:val="0"/>
          <w:numId w:val="1422"/>
        </w:numPr>
        <w:pStyle w:val="Compact"/>
      </w:pPr>
      <w:r>
        <w:t xml:space="preserve">2007 · Foltz M ·</w:t>
      </w:r>
      <w:r>
        <w:t xml:space="preserve"> </w:t>
      </w:r>
      <w:r>
        <w:rPr>
          <w:iCs/>
          <w:i/>
        </w:rPr>
        <w:t xml:space="preserve">J Nutr</w:t>
      </w:r>
      <w:r>
        <w:t xml:space="preserve"> </w:t>
      </w:r>
      <w:r>
        <w:t xml:space="preserve">· Angiotensin converting enzyme inhibitory peptides from a lactotripeptide-enriched milk beverage are absorbed intact into the circulation. PMID 17374660</w:t>
      </w:r>
    </w:p>
    <w:p>
      <w:pPr>
        <w:numPr>
          <w:ilvl w:val="0"/>
          <w:numId w:val="1422"/>
        </w:numPr>
        <w:pStyle w:val="Compact"/>
      </w:pPr>
      <w:r>
        <w:t xml:space="preserve">2004 · Tuomilehto J ·</w:t>
      </w:r>
      <w:r>
        <w:t xml:space="preserve"> </w:t>
      </w:r>
      <w:r>
        <w:rPr>
          <w:iCs/>
          <w:i/>
        </w:rPr>
        <w:t xml:space="preserve">J Hum Hypertens</w:t>
      </w:r>
      <w:r>
        <w:t xml:space="preserve"> </w:t>
      </w:r>
      <w:r>
        <w:t xml:space="preserve">· Effect of ingesting sour milk fermented using Lactobacillus helveticus bacteria producing tripeptides on blood pressure in subjects with mild hypertension. PMID 15175633</w:t>
      </w:r>
    </w:p>
    <w:bookmarkEnd w:id="3065"/>
    <w:bookmarkStart w:id="3066" w:name="carnosine-57"/>
    <w:p>
      <w:pPr>
        <w:pStyle w:val="Heading2"/>
      </w:pPr>
      <w:r>
        <w:t xml:space="preserve">Carnosine (57)</w:t>
      </w:r>
    </w:p>
    <w:p>
      <w:pPr>
        <w:numPr>
          <w:ilvl w:val="0"/>
          <w:numId w:val="1423"/>
        </w:numPr>
        <w:pStyle w:val="Compact"/>
      </w:pPr>
      <w:r>
        <w:t xml:space="preserve">2026 · O’Toole TE ·</w:t>
      </w:r>
      <w:r>
        <w:t xml:space="preserve"> </w:t>
      </w:r>
      <w:r>
        <w:rPr>
          <w:iCs/>
          <w:i/>
        </w:rPr>
        <w:t xml:space="preserve">J Int Soc Sports Nutr</w:t>
      </w:r>
      <w:r>
        <w:t xml:space="preserve"> </w:t>
      </w:r>
      <w:r>
        <w:t xml:space="preserve">· Effects of carnosine supplementation on physical endurance: a placebo-controlled randomized clinical trial. PMID 42308284</w:t>
      </w:r>
    </w:p>
    <w:p>
      <w:pPr>
        <w:numPr>
          <w:ilvl w:val="0"/>
          <w:numId w:val="1423"/>
        </w:numPr>
        <w:pStyle w:val="Compact"/>
      </w:pPr>
      <w:r>
        <w:t xml:space="preserve">2026 · Togni L ·</w:t>
      </w:r>
      <w:r>
        <w:t xml:space="preserve"> </w:t>
      </w:r>
      <w:r>
        <w:rPr>
          <w:iCs/>
          <w:i/>
        </w:rPr>
        <w:t xml:space="preserve">Minerva Dent Oral Sci</w:t>
      </w:r>
      <w:r>
        <w:t xml:space="preserve"> </w:t>
      </w:r>
      <w:r>
        <w:t xml:space="preserve">· Zinc-L-carnosine mouthwash in oral mucositis patients: a single-blind, randomized, controlled trial. PMID 41855025</w:t>
      </w:r>
    </w:p>
    <w:p>
      <w:pPr>
        <w:numPr>
          <w:ilvl w:val="0"/>
          <w:numId w:val="1423"/>
        </w:numPr>
        <w:pStyle w:val="Compact"/>
      </w:pPr>
      <w:r>
        <w:t xml:space="preserve">2025 · Beaven CM ·</w:t>
      </w:r>
      <w:r>
        <w:t xml:space="preserve"> </w:t>
      </w:r>
      <w:r>
        <w:rPr>
          <w:iCs/>
          <w:i/>
        </w:rPr>
        <w:t xml:space="preserve">J Int Soc Sports Nutr</w:t>
      </w:r>
      <w:r>
        <w:t xml:space="preserve"> </w:t>
      </w:r>
      <w:r>
        <w:t xml:space="preserve">· Topical carnosine gel improves intermittent high-intensity exercise performance in world-class rugby sevens players. PMID 40859880</w:t>
      </w:r>
    </w:p>
    <w:p>
      <w:pPr>
        <w:numPr>
          <w:ilvl w:val="0"/>
          <w:numId w:val="1423"/>
        </w:numPr>
        <w:pStyle w:val="Compact"/>
      </w:pPr>
      <w:r>
        <w:t xml:space="preserve">2025 · Perić L ·</w:t>
      </w:r>
      <w:r>
        <w:t xml:space="preserve"> </w:t>
      </w:r>
      <w:r>
        <w:rPr>
          <w:iCs/>
          <w:i/>
        </w:rPr>
        <w:t xml:space="preserve">Appl Physiol Nutr Metab</w:t>
      </w:r>
      <w:r>
        <w:t xml:space="preserve"> </w:t>
      </w:r>
      <w:r>
        <w:t xml:space="preserve">· Carnosine-enriched functional food enhances micro- and macrovascular endothelium-independent vasodilation in competitive athletes-a randomized study. PMID 39983097</w:t>
      </w:r>
    </w:p>
    <w:p>
      <w:pPr>
        <w:numPr>
          <w:ilvl w:val="0"/>
          <w:numId w:val="1423"/>
        </w:numPr>
        <w:pStyle w:val="Compact"/>
      </w:pPr>
      <w:r>
        <w:t xml:space="preserve">2025 · O’Toole TE ·</w:t>
      </w:r>
      <w:r>
        <w:t xml:space="preserve"> </w:t>
      </w:r>
      <w:r>
        <w:rPr>
          <w:iCs/>
          <w:i/>
        </w:rPr>
        <w:t xml:space="preserve">Neurotherapeutics</w:t>
      </w:r>
      <w:r>
        <w:t xml:space="preserve"> </w:t>
      </w:r>
      <w:r>
        <w:t xml:space="preserve">· Carnosine supplementation improves cognitive outcomes in younger participants of the NEAT trial. PMID 39919936</w:t>
      </w:r>
    </w:p>
    <w:p>
      <w:pPr>
        <w:numPr>
          <w:ilvl w:val="0"/>
          <w:numId w:val="1423"/>
        </w:numPr>
        <w:pStyle w:val="Compact"/>
      </w:pPr>
      <w:r>
        <w:t xml:space="preserve">2024 · Saadati S ·</w:t>
      </w:r>
      <w:r>
        <w:t xml:space="preserve"> </w:t>
      </w:r>
      <w:r>
        <w:rPr>
          <w:iCs/>
          <w:i/>
        </w:rPr>
        <w:t xml:space="preserve">Nutrients</w:t>
      </w:r>
      <w:r>
        <w:t xml:space="preserve"> </w:t>
      </w:r>
      <w:r>
        <w:t xml:space="preserve">· The Effect of Carnosine Supplementation on Musculoskeletal Health in Adults with Prediabetes and Type 2 Diabetes: A Secondary Analysis of a Randomized Controlled Trial. PMID 39770949</w:t>
      </w:r>
    </w:p>
    <w:p>
      <w:pPr>
        <w:numPr>
          <w:ilvl w:val="0"/>
          <w:numId w:val="1423"/>
        </w:numPr>
        <w:pStyle w:val="Compact"/>
      </w:pPr>
      <w:r>
        <w:t xml:space="preserve">2024 · Saadati S ·</w:t>
      </w:r>
      <w:r>
        <w:t xml:space="preserve"> </w:t>
      </w:r>
      <w:r>
        <w:rPr>
          <w:iCs/>
          <w:i/>
        </w:rPr>
        <w:t xml:space="preserve">Nutrients</w:t>
      </w:r>
      <w:r>
        <w:t xml:space="preserve"> </w:t>
      </w:r>
      <w:r>
        <w:t xml:space="preserve">· Carnosine Supplementation Has No Effect on Inflammatory Markers in Adults with Prediabetes and Type 2 Diabetes: A Randomised Controlled Trial. PMID 39599686</w:t>
      </w:r>
    </w:p>
    <w:p>
      <w:pPr>
        <w:numPr>
          <w:ilvl w:val="0"/>
          <w:numId w:val="1423"/>
        </w:numPr>
        <w:pStyle w:val="Compact"/>
      </w:pPr>
      <w:r>
        <w:t xml:space="preserve">2024 · Abraham DA ·</w:t>
      </w:r>
      <w:r>
        <w:t xml:space="preserve"> </w:t>
      </w:r>
      <w:r>
        <w:rPr>
          <w:iCs/>
          <w:i/>
        </w:rPr>
        <w:t xml:space="preserve">Front Biosci (Landmark Ed)</w:t>
      </w:r>
      <w:r>
        <w:t xml:space="preserve"> </w:t>
      </w:r>
      <w:r>
        <w:t xml:space="preserve">· Estimation of Plasma Concentration of L-Carnosine and its Correlation with Core Symptoms of Autism Spectrum Disorder Children: A Pilot Clinical Trial. PMID 39473402</w:t>
      </w:r>
    </w:p>
    <w:p>
      <w:pPr>
        <w:numPr>
          <w:ilvl w:val="0"/>
          <w:numId w:val="1423"/>
        </w:numPr>
        <w:pStyle w:val="Compact"/>
      </w:pPr>
      <w:r>
        <w:t xml:space="preserve">2024 · Baba SP ·</w:t>
      </w:r>
      <w:r>
        <w:t xml:space="preserve"> </w:t>
      </w:r>
      <w:r>
        <w:rPr>
          <w:iCs/>
          <w:i/>
        </w:rPr>
        <w:t xml:space="preserve">Amino Acids</w:t>
      </w:r>
      <w:r>
        <w:t xml:space="preserve"> </w:t>
      </w:r>
      <w:r>
        <w:t xml:space="preserve">· Evaluation of supplementary carnosine accumulation and distribution: an initial analysis of participants in the Nucleophilic Defense Against PM Toxicity (NEAT) clinical trial. PMID 39215872</w:t>
      </w:r>
    </w:p>
    <w:p>
      <w:pPr>
        <w:numPr>
          <w:ilvl w:val="0"/>
          <w:numId w:val="1423"/>
        </w:numPr>
        <w:pStyle w:val="Compact"/>
      </w:pPr>
      <w:r>
        <w:t xml:space="preserve">2024 · Rondanelli M ·</w:t>
      </w:r>
      <w:r>
        <w:t xml:space="preserve"> </w:t>
      </w:r>
      <w:r>
        <w:rPr>
          <w:iCs/>
          <w:i/>
        </w:rPr>
        <w:t xml:space="preserve">Nutrients</w:t>
      </w:r>
      <w:r>
        <w:t xml:space="preserve"> </w:t>
      </w:r>
      <w:r>
        <w:t xml:space="preserve">· A Patented Dietary Supplement (Hydroxy-Methyl-Butyrate, Carnosine, Magnesium, Butyrate, Lactoferrin) Is a Promising Therapeutic Target for Age-Related Sarcopenia through the Regulation of Gut Permeability: A Randomized Controlled Trial. PMID 38732615</w:t>
      </w:r>
    </w:p>
    <w:p>
      <w:pPr>
        <w:numPr>
          <w:ilvl w:val="0"/>
          <w:numId w:val="1423"/>
        </w:numPr>
        <w:pStyle w:val="Compact"/>
      </w:pPr>
      <w:r>
        <w:t xml:space="preserve">2024 · Hariharan R ·</w:t>
      </w:r>
      <w:r>
        <w:t xml:space="preserve"> </w:t>
      </w:r>
      <w:r>
        <w:rPr>
          <w:iCs/>
          <w:i/>
        </w:rPr>
        <w:t xml:space="preserve">Nutr Metab Cardiovasc Dis</w:t>
      </w:r>
      <w:r>
        <w:t xml:space="preserve"> </w:t>
      </w:r>
      <w:r>
        <w:t xml:space="preserve">· Carnosine supplementation improves glucose control in adults with pre-diabetes and type 2 diabetes: A randomised controlled trial. PMID 38172006</w:t>
      </w:r>
    </w:p>
    <w:p>
      <w:pPr>
        <w:numPr>
          <w:ilvl w:val="0"/>
          <w:numId w:val="1423"/>
        </w:numPr>
        <w:pStyle w:val="Compact"/>
      </w:pPr>
      <w:r>
        <w:t xml:space="preserve">2023 · Saadati S ·</w:t>
      </w:r>
      <w:r>
        <w:t xml:space="preserve"> </w:t>
      </w:r>
      <w:r>
        <w:rPr>
          <w:iCs/>
          <w:i/>
        </w:rPr>
        <w:t xml:space="preserve">Nutrients</w:t>
      </w:r>
      <w:r>
        <w:t xml:space="preserve"> </w:t>
      </w:r>
      <w:r>
        <w:t xml:space="preserve">· Carnosine Did Not Affect Vascular and Metabolic Outcomes in Patients with Prediabetes and Type 2 Diabetes: A 14-Week Randomized Controlled Trial. PMID 38004228</w:t>
      </w:r>
    </w:p>
    <w:p>
      <w:pPr>
        <w:numPr>
          <w:ilvl w:val="0"/>
          <w:numId w:val="1423"/>
        </w:numPr>
        <w:pStyle w:val="Compact"/>
      </w:pPr>
      <w:r>
        <w:t xml:space="preserve">2021 · Siriwattanasit N ·</w:t>
      </w:r>
      <w:r>
        <w:t xml:space="preserve"> </w:t>
      </w:r>
      <w:r>
        <w:rPr>
          <w:iCs/>
          <w:i/>
        </w:rPr>
        <w:t xml:space="preserve">BMC Nephrol</w:t>
      </w:r>
      <w:r>
        <w:t xml:space="preserve"> </w:t>
      </w:r>
      <w:r>
        <w:t xml:space="preserve">· Effect of Oral carnosine supplementation on urinary TGF-β in diabetic nephropathy: a randomized controlled trial. PMID 34174842</w:t>
      </w:r>
    </w:p>
    <w:p>
      <w:pPr>
        <w:numPr>
          <w:ilvl w:val="0"/>
          <w:numId w:val="1423"/>
        </w:numPr>
        <w:pStyle w:val="Compact"/>
      </w:pPr>
      <w:r>
        <w:t xml:space="preserve">2021 · Blancquaert L ·</w:t>
      </w:r>
      <w:r>
        <w:t xml:space="preserve"> </w:t>
      </w:r>
      <w:r>
        <w:rPr>
          <w:iCs/>
          <w:i/>
        </w:rPr>
        <w:t xml:space="preserve">J Appl Physiol (1985)</w:t>
      </w:r>
      <w:r>
        <w:t xml:space="preserve"> </w:t>
      </w:r>
      <w:r>
        <w:t xml:space="preserve">· Acute preexercise supplementation of combined carnosine and anserine enhances initial maximal power of Wingate tests in humans. PMID 33914660</w:t>
      </w:r>
    </w:p>
    <w:p>
      <w:pPr>
        <w:numPr>
          <w:ilvl w:val="0"/>
          <w:numId w:val="1423"/>
        </w:numPr>
        <w:pStyle w:val="Compact"/>
      </w:pPr>
      <w:r>
        <w:t xml:space="preserve">2021 · Yamaguchi GC ·</w:t>
      </w:r>
      <w:r>
        <w:t xml:space="preserve"> </w:t>
      </w:r>
      <w:r>
        <w:rPr>
          <w:iCs/>
          <w:i/>
        </w:rPr>
        <w:t xml:space="preserve">Med Sci Sports Exerc</w:t>
      </w:r>
      <w:r>
        <w:t xml:space="preserve"> </w:t>
      </w:r>
      <w:r>
        <w:t xml:space="preserve">· Kinetics of Muscle Carnosine Decay after β-Alanine Supplementation: A 16-wk Washout Study. PMID 33148972</w:t>
      </w:r>
    </w:p>
    <w:p>
      <w:pPr>
        <w:numPr>
          <w:ilvl w:val="0"/>
          <w:numId w:val="1423"/>
        </w:numPr>
        <w:pStyle w:val="Compact"/>
      </w:pPr>
      <w:r>
        <w:t xml:space="preserve">2021 · Limonta E ·</w:t>
      </w:r>
      <w:r>
        <w:t xml:space="preserve"> </w:t>
      </w:r>
      <w:r>
        <w:rPr>
          <w:iCs/>
          <w:i/>
        </w:rPr>
        <w:t xml:space="preserve">J Sports Med Phys Fitness</w:t>
      </w:r>
      <w:r>
        <w:t xml:space="preserve"> </w:t>
      </w:r>
      <w:r>
        <w:t xml:space="preserve">· Acute carnosine and β-alanine supplementation increase the compensated part of the ventilation versus work rate relationship during a ramp incremental cycle test in physically active men. PMID 33092320</w:t>
      </w:r>
    </w:p>
    <w:p>
      <w:pPr>
        <w:numPr>
          <w:ilvl w:val="0"/>
          <w:numId w:val="1423"/>
        </w:numPr>
        <w:pStyle w:val="Compact"/>
      </w:pPr>
      <w:r>
        <w:t xml:space="preserve">2020 · Zanini D ·</w:t>
      </w:r>
      <w:r>
        <w:t xml:space="preserve"> </w:t>
      </w:r>
      <w:r>
        <w:rPr>
          <w:iCs/>
          <w:i/>
        </w:rPr>
        <w:t xml:space="preserve">Nutr Res</w:t>
      </w:r>
      <w:r>
        <w:t xml:space="preserve"> </w:t>
      </w:r>
      <w:r>
        <w:t xml:space="preserve">· Dietary supplementation with L-carnosine improves patient-reported outcomes, autonomic nervous system performance, and brain metabolism in 3 adult patients with multiple sclerosis. PMID 33189432</w:t>
      </w:r>
    </w:p>
    <w:p>
      <w:pPr>
        <w:numPr>
          <w:ilvl w:val="0"/>
          <w:numId w:val="1423"/>
        </w:numPr>
        <w:pStyle w:val="Compact"/>
      </w:pPr>
      <w:r>
        <w:t xml:space="preserve">2020 · Ann Abraham D ·</w:t>
      </w:r>
      <w:r>
        <w:t xml:space="preserve"> </w:t>
      </w:r>
      <w:r>
        <w:rPr>
          <w:iCs/>
          <w:i/>
        </w:rPr>
        <w:t xml:space="preserve">Amino Acids</w:t>
      </w:r>
      <w:r>
        <w:t xml:space="preserve"> </w:t>
      </w:r>
      <w:r>
        <w:t xml:space="preserve">· Effect of L-Carnosine as adjunctive therapy in the management of children with autism spectrum disorder: a randomized controlled study. PMID 33170378</w:t>
      </w:r>
    </w:p>
    <w:p>
      <w:pPr>
        <w:numPr>
          <w:ilvl w:val="0"/>
          <w:numId w:val="1423"/>
        </w:numPr>
        <w:pStyle w:val="Compact"/>
      </w:pPr>
      <w:r>
        <w:t xml:space="preserve">2019 · Masuoka N ·</w:t>
      </w:r>
      <w:r>
        <w:t xml:space="preserve"> </w:t>
      </w:r>
      <w:r>
        <w:rPr>
          <w:iCs/>
          <w:i/>
        </w:rPr>
        <w:t xml:space="preserve">Nutrients</w:t>
      </w:r>
      <w:r>
        <w:t xml:space="preserve"> </w:t>
      </w:r>
      <w:r>
        <w:t xml:space="preserve">· Effects of Anserine/Carnosine Supplementation on Mild Cognitive Impairment with APOE4. PMID 31319510</w:t>
      </w:r>
    </w:p>
    <w:p>
      <w:pPr>
        <w:numPr>
          <w:ilvl w:val="0"/>
          <w:numId w:val="1423"/>
        </w:numPr>
        <w:pStyle w:val="Compact"/>
      </w:pPr>
      <w:r>
        <w:t xml:space="preserve">2019 · Yehia R ·</w:t>
      </w:r>
      <w:r>
        <w:t xml:space="preserve"> </w:t>
      </w:r>
      <w:r>
        <w:rPr>
          <w:iCs/>
          <w:i/>
        </w:rPr>
        <w:t xml:space="preserve">Toxicol Appl Pharmacol</w:t>
      </w:r>
      <w:r>
        <w:t xml:space="preserve"> </w:t>
      </w:r>
      <w:r>
        <w:t xml:space="preserve">· L-Carnosine protects against Oxaliplatin-induced peripheral neuropathy in colorectal cancer patients: A perspective on targeting Nrf-2 and NF-κB pathways. PMID 30592963</w:t>
      </w:r>
    </w:p>
    <w:p>
      <w:pPr>
        <w:numPr>
          <w:ilvl w:val="0"/>
          <w:numId w:val="1423"/>
        </w:numPr>
        <w:pStyle w:val="Compact"/>
      </w:pPr>
      <w:r>
        <w:t xml:space="preserve">2019 · Baye E ·</w:t>
      </w:r>
      <w:r>
        <w:t xml:space="preserve"> </w:t>
      </w:r>
      <w:r>
        <w:rPr>
          <w:iCs/>
          <w:i/>
        </w:rPr>
        <w:t xml:space="preserve">Amino Acids</w:t>
      </w:r>
      <w:r>
        <w:t xml:space="preserve"> </w:t>
      </w:r>
      <w:r>
        <w:t xml:space="preserve">· Carnosine supplementation reduces plasma soluble transferrin receptor in healthy overweight or obese individuals: a pilot randomised trial. PMID 30136029</w:t>
      </w:r>
    </w:p>
    <w:p>
      <w:pPr>
        <w:numPr>
          <w:ilvl w:val="0"/>
          <w:numId w:val="1423"/>
        </w:numPr>
        <w:pStyle w:val="Compact"/>
      </w:pPr>
      <w:r>
        <w:t xml:space="preserve">2019 · Ghodsi R ·</w:t>
      </w:r>
      <w:r>
        <w:t xml:space="preserve"> </w:t>
      </w:r>
      <w:r>
        <w:rPr>
          <w:iCs/>
          <w:i/>
        </w:rPr>
        <w:t xml:space="preserve">Ann Clin Biochem</w:t>
      </w:r>
      <w:r>
        <w:t xml:space="preserve"> </w:t>
      </w:r>
      <w:r>
        <w:t xml:space="preserve">· Carnosine supplementation does not affect serum concentrations of advanced glycation and precursors of lipoxidation end products in autism: a randomized controlled clinical trial. PMID 30089410</w:t>
      </w:r>
    </w:p>
    <w:p>
      <w:pPr>
        <w:numPr>
          <w:ilvl w:val="0"/>
          <w:numId w:val="1423"/>
        </w:numPr>
        <w:pStyle w:val="Compact"/>
      </w:pPr>
      <w:r>
        <w:t xml:space="preserve">2018 · Karkabounas S ·</w:t>
      </w:r>
      <w:r>
        <w:t xml:space="preserve"> </w:t>
      </w:r>
      <w:r>
        <w:rPr>
          <w:iCs/>
          <w:i/>
        </w:rPr>
        <w:t xml:space="preserve">J Med Food</w:t>
      </w:r>
      <w:r>
        <w:t xml:space="preserve"> </w:t>
      </w:r>
      <w:r>
        <w:t xml:space="preserve">· Effects of α-Lipoic Acid, Carnosine, and Thiamine Supplementation in Obese Patients with Type 2 Diabetes Mellitus: A Randomized, Double-Blind Study. PMID 30311825</w:t>
      </w:r>
    </w:p>
    <w:p>
      <w:pPr>
        <w:numPr>
          <w:ilvl w:val="0"/>
          <w:numId w:val="1423"/>
        </w:numPr>
        <w:pStyle w:val="Compact"/>
      </w:pPr>
      <w:r>
        <w:t xml:space="preserve">2018 · Baye E ·</w:t>
      </w:r>
      <w:r>
        <w:t xml:space="preserve"> </w:t>
      </w:r>
      <w:r>
        <w:rPr>
          <w:iCs/>
          <w:i/>
        </w:rPr>
        <w:t xml:space="preserve">Nutrients</w:t>
      </w:r>
      <w:r>
        <w:t xml:space="preserve"> </w:t>
      </w:r>
      <w:r>
        <w:t xml:space="preserve">· Carnosine Supplementation Improves Serum Resistin Concentrations in Overweight or Obese Otherwise Healthy Adults: A Pilot Randomized Trial. PMID 30205427</w:t>
      </w:r>
    </w:p>
    <w:p>
      <w:pPr>
        <w:numPr>
          <w:ilvl w:val="0"/>
          <w:numId w:val="1423"/>
        </w:numPr>
        <w:pStyle w:val="Compact"/>
      </w:pPr>
      <w:r>
        <w:t xml:space="preserve">2018 · Blancquaert L ·</w:t>
      </w:r>
      <w:r>
        <w:t xml:space="preserve"> </w:t>
      </w:r>
      <w:r>
        <w:rPr>
          <w:iCs/>
          <w:i/>
        </w:rPr>
        <w:t xml:space="preserve">Br J Nutr</w:t>
      </w:r>
      <w:r>
        <w:t xml:space="preserve"> </w:t>
      </w:r>
      <w:r>
        <w:t xml:space="preserve">· Changing to a vegetarian diet reduces the body creatine pool in omnivorous women, but appears not to affect carnitine and carnosine homeostasis: a randomised trial. PMID 29569535</w:t>
      </w:r>
    </w:p>
    <w:p>
      <w:pPr>
        <w:numPr>
          <w:ilvl w:val="0"/>
          <w:numId w:val="1423"/>
        </w:numPr>
        <w:pStyle w:val="Compact"/>
      </w:pPr>
      <w:r>
        <w:t xml:space="preserve">2018 · Mehrazad-Saber Z ·</w:t>
      </w:r>
      <w:r>
        <w:t xml:space="preserve"> </w:t>
      </w:r>
      <w:r>
        <w:rPr>
          <w:iCs/>
          <w:i/>
        </w:rPr>
        <w:t xml:space="preserve">Basic Clin Pharmacol Toxicol</w:t>
      </w:r>
      <w:r>
        <w:t xml:space="preserve"> </w:t>
      </w:r>
      <w:r>
        <w:t xml:space="preserve">· Effects of l-Carnosine Supplementation on Sleep Disorders and Disease Severity in Autistic Children: A Randomized, Controlled Clinical Trial. PMID 29430839</w:t>
      </w:r>
    </w:p>
    <w:p>
      <w:pPr>
        <w:numPr>
          <w:ilvl w:val="0"/>
          <w:numId w:val="1423"/>
        </w:numPr>
        <w:pStyle w:val="Compact"/>
      </w:pPr>
      <w:r>
        <w:t xml:space="preserve">2018 · Houjeghani S ·</w:t>
      </w:r>
      <w:r>
        <w:t xml:space="preserve"> </w:t>
      </w:r>
      <w:r>
        <w:rPr>
          <w:iCs/>
          <w:i/>
        </w:rPr>
        <w:t xml:space="preserve">Nutr Res</w:t>
      </w:r>
      <w:r>
        <w:t xml:space="preserve"> </w:t>
      </w:r>
      <w:r>
        <w:t xml:space="preserve">· l-Carnosine supplementation attenuated fasting glucose, triglycerides, advanced glycation end products, and tumor necrosis factor-α levels in patients with type 2 diabetes: a double-blind placebo-controlled randomized clinical trial. PMID 29420997</w:t>
      </w:r>
    </w:p>
    <w:p>
      <w:pPr>
        <w:numPr>
          <w:ilvl w:val="0"/>
          <w:numId w:val="1423"/>
        </w:numPr>
        <w:pStyle w:val="Compact"/>
      </w:pPr>
      <w:r>
        <w:t xml:space="preserve">2018 · Elbarbary NS ·</w:t>
      </w:r>
      <w:r>
        <w:t xml:space="preserve"> </w:t>
      </w:r>
      <w:r>
        <w:rPr>
          <w:iCs/>
          <w:i/>
        </w:rPr>
        <w:t xml:space="preserve">Pediatr Diabetes</w:t>
      </w:r>
      <w:r>
        <w:t xml:space="preserve"> </w:t>
      </w:r>
      <w:r>
        <w:t xml:space="preserve">· The effect of 12 weeks carnosine supplementation on renal functional integrity and oxidative stress in pediatric patients with diabetic nephropathy: a randomized placebo-controlled trial. PMID 28744992</w:t>
      </w:r>
    </w:p>
    <w:p>
      <w:pPr>
        <w:numPr>
          <w:ilvl w:val="0"/>
          <w:numId w:val="1423"/>
        </w:numPr>
        <w:pStyle w:val="Compact"/>
      </w:pPr>
      <w:r>
        <w:t xml:space="preserve">2017 · Varanoske AN ·</w:t>
      </w:r>
      <w:r>
        <w:t xml:space="preserve"> </w:t>
      </w:r>
      <w:r>
        <w:rPr>
          <w:iCs/>
          <w:i/>
        </w:rPr>
        <w:t xml:space="preserve">Nutr Res</w:t>
      </w:r>
      <w:r>
        <w:t xml:space="preserve"> </w:t>
      </w:r>
      <w:r>
        <w:t xml:space="preserve">· β-Alanine supplementation elevates intramuscular carnosine content and attenuates fatigue in men and women similarly but does not change muscle l-histidine content. PMID 29246277</w:t>
      </w:r>
    </w:p>
    <w:p>
      <w:pPr>
        <w:numPr>
          <w:ilvl w:val="0"/>
          <w:numId w:val="1423"/>
        </w:numPr>
        <w:pStyle w:val="Compact"/>
      </w:pPr>
      <w:r>
        <w:t xml:space="preserve">2017 · Baye E ·</w:t>
      </w:r>
      <w:r>
        <w:t xml:space="preserve"> </w:t>
      </w:r>
      <w:r>
        <w:rPr>
          <w:iCs/>
          <w:i/>
        </w:rPr>
        <w:t xml:space="preserve">Sci Rep</w:t>
      </w:r>
      <w:r>
        <w:t xml:space="preserve"> </w:t>
      </w:r>
      <w:r>
        <w:t xml:space="preserve">· Effect of carnosine supplementation on the plasma lipidome in overweight and obese adults: a pilot randomised controlled trial. PMID 29234057</w:t>
      </w:r>
    </w:p>
    <w:p>
      <w:pPr>
        <w:numPr>
          <w:ilvl w:val="0"/>
          <w:numId w:val="1423"/>
        </w:numPr>
        <w:pStyle w:val="Compact"/>
      </w:pPr>
      <w:r>
        <w:t xml:space="preserve">2017 · Katakura Y ·</w:t>
      </w:r>
      <w:r>
        <w:t xml:space="preserve"> </w:t>
      </w:r>
      <w:r>
        <w:rPr>
          <w:iCs/>
          <w:i/>
        </w:rPr>
        <w:t xml:space="preserve">Nutrients</w:t>
      </w:r>
      <w:r>
        <w:t xml:space="preserve"> </w:t>
      </w:r>
      <w:r>
        <w:t xml:space="preserve">· Anserine/Carnosine Supplementation Suppresses the Expression of the Inflammatory Chemokine CCL24 in Peripheral Blood Mononuclear Cells from Elderly People. PMID 29088099</w:t>
      </w:r>
    </w:p>
    <w:p>
      <w:pPr>
        <w:numPr>
          <w:ilvl w:val="0"/>
          <w:numId w:val="1423"/>
        </w:numPr>
        <w:pStyle w:val="Compact"/>
      </w:pPr>
      <w:r>
        <w:t xml:space="preserve">2017 · Church DD ·</w:t>
      </w:r>
      <w:r>
        <w:t xml:space="preserve"> </w:t>
      </w:r>
      <w:r>
        <w:rPr>
          <w:iCs/>
          <w:i/>
        </w:rPr>
        <w:t xml:space="preserve">J Am Coll Nutr</w:t>
      </w:r>
      <w:r>
        <w:t xml:space="preserve"> </w:t>
      </w:r>
      <w:r>
        <w:t xml:space="preserve">· Comparison of Two β-Alanine Dosing Protocols on Muscle Carnosine Elevations. PMID 28910200</w:t>
      </w:r>
    </w:p>
    <w:p>
      <w:pPr>
        <w:numPr>
          <w:ilvl w:val="0"/>
          <w:numId w:val="1423"/>
        </w:numPr>
        <w:pStyle w:val="Compact"/>
      </w:pPr>
      <w:r>
        <w:t xml:space="preserve">2017 · Baye E ·</w:t>
      </w:r>
      <w:r>
        <w:t xml:space="preserve"> </w:t>
      </w:r>
      <w:r>
        <w:rPr>
          <w:iCs/>
          <w:i/>
        </w:rPr>
        <w:t xml:space="preserve">BMJ Open</w:t>
      </w:r>
      <w:r>
        <w:t xml:space="preserve"> </w:t>
      </w:r>
      <w:r>
        <w:t xml:space="preserve">· Does supplementation with carnosine improve cardiometabolic health and cognitive function in patients with pre-diabetes and type 2 diabetes? study protocol for a randomised, double-blind, placebo-controlled trial. PMID 28864708</w:t>
      </w:r>
    </w:p>
    <w:p>
      <w:pPr>
        <w:numPr>
          <w:ilvl w:val="0"/>
          <w:numId w:val="1423"/>
        </w:numPr>
        <w:pStyle w:val="Compact"/>
      </w:pPr>
      <w:r>
        <w:t xml:space="preserve">2017 · Saunders B ·</w:t>
      </w:r>
      <w:r>
        <w:t xml:space="preserve"> </w:t>
      </w:r>
      <w:r>
        <w:rPr>
          <w:iCs/>
          <w:i/>
        </w:rPr>
        <w:t xml:space="preserve">Med Sci Sports Exerc</w:t>
      </w:r>
      <w:r>
        <w:t xml:space="preserve"> </w:t>
      </w:r>
      <w:r>
        <w:t xml:space="preserve">· Twenty-four Weeks of β-Alanine Supplementation on Carnosine Content, Related Genes, and Exercise. PMID 28157726</w:t>
      </w:r>
    </w:p>
    <w:p>
      <w:pPr>
        <w:numPr>
          <w:ilvl w:val="0"/>
          <w:numId w:val="1423"/>
        </w:numPr>
        <w:pStyle w:val="Compact"/>
      </w:pPr>
      <w:r>
        <w:t xml:space="preserve">2016 · de Courten B ·</w:t>
      </w:r>
      <w:r>
        <w:t xml:space="preserve"> </w:t>
      </w:r>
      <w:r>
        <w:rPr>
          <w:iCs/>
          <w:i/>
        </w:rPr>
        <w:t xml:space="preserve">Obesity (Silver Spring)</w:t>
      </w:r>
      <w:r>
        <w:t xml:space="preserve"> </w:t>
      </w:r>
      <w:r>
        <w:t xml:space="preserve">· Effects of carnosine supplementation on glucose metabolism: Pilot clinical trial. PMID 27040154</w:t>
      </w:r>
    </w:p>
    <w:p>
      <w:pPr>
        <w:numPr>
          <w:ilvl w:val="0"/>
          <w:numId w:val="1423"/>
        </w:numPr>
        <w:pStyle w:val="Compact"/>
      </w:pPr>
      <w:r>
        <w:t xml:space="preserve">2016 · Mutolo MG ·</w:t>
      </w:r>
      <w:r>
        <w:t xml:space="preserve"> </w:t>
      </w:r>
      <w:r>
        <w:rPr>
          <w:iCs/>
          <w:i/>
        </w:rPr>
        <w:t xml:space="preserve">J Ocul Pharmacol Ther</w:t>
      </w:r>
      <w:r>
        <w:t xml:space="preserve"> </w:t>
      </w:r>
      <w:r>
        <w:t xml:space="preserve">· Oral Administration of Forskolin, Homotaurine, Carnosine, and Folic Acid in Patients with Primary Open Angle Glaucoma: Changes in Intraocular Pressure, Pattern Electroretinogram Amplitude, and Foveal Sensitivity. PMID 26771282</w:t>
      </w:r>
    </w:p>
    <w:p>
      <w:pPr>
        <w:numPr>
          <w:ilvl w:val="0"/>
          <w:numId w:val="1423"/>
        </w:numPr>
        <w:pStyle w:val="Compact"/>
      </w:pPr>
      <w:r>
        <w:t xml:space="preserve">2016 · Hisatsune T ·</w:t>
      </w:r>
      <w:r>
        <w:t xml:space="preserve"> </w:t>
      </w:r>
      <w:r>
        <w:rPr>
          <w:iCs/>
          <w:i/>
        </w:rPr>
        <w:t xml:space="preserve">J Alzheimers Dis</w:t>
      </w:r>
      <w:r>
        <w:t xml:space="preserve"> </w:t>
      </w:r>
      <w:r>
        <w:t xml:space="preserve">· Effect of Anserine/Carnosine Supplementation on Verbal Episodic Memory in Elderly People. PMID 26682691</w:t>
      </w:r>
    </w:p>
    <w:p>
      <w:pPr>
        <w:numPr>
          <w:ilvl w:val="0"/>
          <w:numId w:val="1423"/>
        </w:numPr>
        <w:pStyle w:val="Compact"/>
      </w:pPr>
      <w:r>
        <w:t xml:space="preserve">2016 · Invernizzi PL ·</w:t>
      </w:r>
      <w:r>
        <w:t xml:space="preserve"> </w:t>
      </w:r>
      <w:r>
        <w:rPr>
          <w:iCs/>
          <w:i/>
        </w:rPr>
        <w:t xml:space="preserve">Int J Sports Physiol Perform</w:t>
      </w:r>
      <w:r>
        <w:t xml:space="preserve"> </w:t>
      </w:r>
      <w:r>
        <w:t xml:space="preserve">· Effects of Acute Carnosine and β-Alanine on Isometric Force and Jumping Performance. PMID 26308179</w:t>
      </w:r>
    </w:p>
    <w:p>
      <w:pPr>
        <w:numPr>
          <w:ilvl w:val="0"/>
          <w:numId w:val="1423"/>
        </w:numPr>
        <w:pStyle w:val="Compact"/>
      </w:pPr>
      <w:r>
        <w:t xml:space="preserve">2015 · Hoffman JR ·</w:t>
      </w:r>
      <w:r>
        <w:t xml:space="preserve"> </w:t>
      </w:r>
      <w:r>
        <w:rPr>
          <w:iCs/>
          <w:i/>
        </w:rPr>
        <w:t xml:space="preserve">Amino Acids</w:t>
      </w:r>
      <w:r>
        <w:t xml:space="preserve"> </w:t>
      </w:r>
      <w:r>
        <w:t xml:space="preserve">· β-Alanine ingestion increases muscle carnosine content and combat specific performance in soldiers. PMID 25510839</w:t>
      </w:r>
    </w:p>
    <w:p>
      <w:pPr>
        <w:numPr>
          <w:ilvl w:val="0"/>
          <w:numId w:val="1423"/>
        </w:numPr>
        <w:pStyle w:val="Compact"/>
      </w:pPr>
      <w:r>
        <w:t xml:space="preserve">2015 · Lombardi C ·</w:t>
      </w:r>
      <w:r>
        <w:t xml:space="preserve"> </w:t>
      </w:r>
      <w:r>
        <w:rPr>
          <w:iCs/>
          <w:i/>
        </w:rPr>
        <w:t xml:space="preserve">Nutrition</w:t>
      </w:r>
      <w:r>
        <w:t xml:space="preserve"> </w:t>
      </w:r>
      <w:r>
        <w:t xml:space="preserve">· Effects of oral administration of orodispersible levo-carnosine on quality of life and exercise performance in patients with chronic heart failure. PMID 25287762</w:t>
      </w:r>
    </w:p>
    <w:p>
      <w:pPr>
        <w:numPr>
          <w:ilvl w:val="0"/>
          <w:numId w:val="1423"/>
        </w:numPr>
        <w:pStyle w:val="Compact"/>
      </w:pPr>
      <w:r>
        <w:t xml:space="preserve">2014 · Slowinska-Lisowska M ·</w:t>
      </w:r>
      <w:r>
        <w:t xml:space="preserve"> </w:t>
      </w:r>
      <w:r>
        <w:rPr>
          <w:iCs/>
          <w:i/>
        </w:rPr>
        <w:t xml:space="preserve">Acta Physiol Hung</w:t>
      </w:r>
      <w:r>
        <w:t xml:space="preserve"> </w:t>
      </w:r>
      <w:r>
        <w:t xml:space="preserve">· Influence of l-carnosine on pro-antioxidant status in elite kayakers and canoeists. PMID 25201708</w:t>
      </w:r>
    </w:p>
    <w:p>
      <w:pPr>
        <w:numPr>
          <w:ilvl w:val="0"/>
          <w:numId w:val="1423"/>
        </w:numPr>
        <w:pStyle w:val="Compact"/>
      </w:pPr>
      <w:r>
        <w:t xml:space="preserve">2014 · Sakae K ·</w:t>
      </w:r>
      <w:r>
        <w:t xml:space="preserve"> </w:t>
      </w:r>
      <w:r>
        <w:rPr>
          <w:iCs/>
          <w:i/>
        </w:rPr>
        <w:t xml:space="preserve">Biol Trace Elem Res</w:t>
      </w:r>
      <w:r>
        <w:t xml:space="preserve"> </w:t>
      </w:r>
      <w:r>
        <w:t xml:space="preserve">· Oral treatment of pressure ulcers with polaprezinc (zinc L-carnosine complex): 8-week open-label trial. PMID 24691900</w:t>
      </w:r>
    </w:p>
    <w:p>
      <w:pPr>
        <w:numPr>
          <w:ilvl w:val="0"/>
          <w:numId w:val="1423"/>
        </w:numPr>
        <w:pStyle w:val="Compact"/>
      </w:pPr>
      <w:r>
        <w:t xml:space="preserve">2014 · Chung W ·</w:t>
      </w:r>
      <w:r>
        <w:t xml:space="preserve"> </w:t>
      </w:r>
      <w:r>
        <w:rPr>
          <w:iCs/>
          <w:i/>
        </w:rPr>
        <w:t xml:space="preserve">Int J Sport Nutr Exerc Metab</w:t>
      </w:r>
      <w:r>
        <w:t xml:space="preserve"> </w:t>
      </w:r>
      <w:r>
        <w:t xml:space="preserve">· Doubling of muscle carnosine concentration does not improve laboratory 1-hr cycling time-trial performance. PMID 24457999</w:t>
      </w:r>
    </w:p>
    <w:p>
      <w:pPr>
        <w:numPr>
          <w:ilvl w:val="0"/>
          <w:numId w:val="1423"/>
        </w:numPr>
        <w:pStyle w:val="Compact"/>
      </w:pPr>
      <w:r>
        <w:t xml:space="preserve">2013 · Baraniuk JN ·</w:t>
      </w:r>
      <w:r>
        <w:t xml:space="preserve"> </w:t>
      </w:r>
      <w:r>
        <w:rPr>
          <w:iCs/>
          <w:i/>
        </w:rPr>
        <w:t xml:space="preserve">Glob J Health Sci</w:t>
      </w:r>
      <w:r>
        <w:t xml:space="preserve"> </w:t>
      </w:r>
      <w:r>
        <w:t xml:space="preserve">· Carnosine treatment for gulf war illness: a randomized controlled trial. PMID 23618477</w:t>
      </w:r>
    </w:p>
    <w:p>
      <w:pPr>
        <w:numPr>
          <w:ilvl w:val="0"/>
          <w:numId w:val="1423"/>
        </w:numPr>
        <w:pStyle w:val="Compact"/>
      </w:pPr>
      <w:r>
        <w:t xml:space="preserve">2012 · del Favero S ·</w:t>
      </w:r>
      <w:r>
        <w:t xml:space="preserve"> </w:t>
      </w:r>
      <w:r>
        <w:rPr>
          <w:iCs/>
          <w:i/>
        </w:rPr>
        <w:t xml:space="preserve">Amino Acids</w:t>
      </w:r>
      <w:r>
        <w:t xml:space="preserve"> </w:t>
      </w:r>
      <w:r>
        <w:t xml:space="preserve">· Beta-alanine (Carnosyn™) supplementation in elderly subjects (60-80 years): effects on muscle carnosine content and physical capacity. PMID 22143432</w:t>
      </w:r>
    </w:p>
    <w:p>
      <w:pPr>
        <w:numPr>
          <w:ilvl w:val="0"/>
          <w:numId w:val="1423"/>
        </w:numPr>
        <w:pStyle w:val="Compact"/>
      </w:pPr>
      <w:r>
        <w:t xml:space="preserve">2012 · Stellingwerff T ·</w:t>
      </w:r>
      <w:r>
        <w:t xml:space="preserve"> </w:t>
      </w:r>
      <w:r>
        <w:rPr>
          <w:iCs/>
          <w:i/>
        </w:rPr>
        <w:t xml:space="preserve">Amino Acids</w:t>
      </w:r>
      <w:r>
        <w:t xml:space="preserve"> </w:t>
      </w:r>
      <w:r>
        <w:t xml:space="preserve">· Effect of two β-alanine dosing protocols on muscle carnosine synthesis and washout. PMID 21847611</w:t>
      </w:r>
    </w:p>
    <w:p>
      <w:pPr>
        <w:numPr>
          <w:ilvl w:val="0"/>
          <w:numId w:val="1423"/>
        </w:numPr>
        <w:pStyle w:val="Compact"/>
      </w:pPr>
      <w:r>
        <w:t xml:space="preserve">2012 · Babizhayev MA ·</w:t>
      </w:r>
      <w:r>
        <w:t xml:space="preserve"> </w:t>
      </w:r>
      <w:r>
        <w:rPr>
          <w:iCs/>
          <w:i/>
        </w:rPr>
        <w:t xml:space="preserve">J Dermatolog Treat</w:t>
      </w:r>
      <w:r>
        <w:t xml:space="preserve"> </w:t>
      </w:r>
      <w:r>
        <w:t xml:space="preserve">· Skin beautification with oral non-hydrolized versions of carnosine and carcinine: Effective therapeutic management and cosmetic skincare solutions against oxidative glycation and free-radical production as a causal mechanism of diabetic complications and skin aging. PMID 21756141</w:t>
      </w:r>
    </w:p>
    <w:p>
      <w:pPr>
        <w:numPr>
          <w:ilvl w:val="0"/>
          <w:numId w:val="1423"/>
        </w:numPr>
        <w:pStyle w:val="Compact"/>
      </w:pPr>
      <w:r>
        <w:t xml:space="preserve">2011 · Gualano B ·</w:t>
      </w:r>
      <w:r>
        <w:t xml:space="preserve"> </w:t>
      </w:r>
      <w:r>
        <w:rPr>
          <w:iCs/>
          <w:i/>
        </w:rPr>
        <w:t xml:space="preserve">Appl Physiol Nutr Metab</w:t>
      </w:r>
      <w:r>
        <w:t xml:space="preserve"> </w:t>
      </w:r>
      <w:r>
        <w:t xml:space="preserve">· Creatine supplementation does not augment muscle carnosine content in type 2 diabetic patients. PMID 21999299</w:t>
      </w:r>
    </w:p>
    <w:p>
      <w:pPr>
        <w:numPr>
          <w:ilvl w:val="0"/>
          <w:numId w:val="1423"/>
        </w:numPr>
        <w:pStyle w:val="Compact"/>
      </w:pPr>
      <w:r>
        <w:t xml:space="preserve">2011 · Goto K ·</w:t>
      </w:r>
      <w:r>
        <w:t xml:space="preserve"> </w:t>
      </w:r>
      <w:r>
        <w:rPr>
          <w:iCs/>
          <w:i/>
        </w:rPr>
        <w:t xml:space="preserve">J Strength Cond Res</w:t>
      </w:r>
      <w:r>
        <w:t xml:space="preserve"> </w:t>
      </w:r>
      <w:r>
        <w:t xml:space="preserve">· Hormonal responses to resistance exercise after ingestion of carnosine and anserine. PMID 20224451</w:t>
      </w:r>
    </w:p>
    <w:p>
      <w:pPr>
        <w:numPr>
          <w:ilvl w:val="0"/>
          <w:numId w:val="1423"/>
        </w:numPr>
        <w:pStyle w:val="Compact"/>
      </w:pPr>
      <w:r>
        <w:t xml:space="preserve">2010 · Baguet A ·</w:t>
      </w:r>
      <w:r>
        <w:t xml:space="preserve"> </w:t>
      </w:r>
      <w:r>
        <w:rPr>
          <w:iCs/>
          <w:i/>
        </w:rPr>
        <w:t xml:space="preserve">J Appl Physiol (1985)</w:t>
      </w:r>
      <w:r>
        <w:t xml:space="preserve"> </w:t>
      </w:r>
      <w:r>
        <w:t xml:space="preserve">· Important role of muscle carnosine in rowing performance. PMID 20671038</w:t>
      </w:r>
    </w:p>
    <w:p>
      <w:pPr>
        <w:numPr>
          <w:ilvl w:val="0"/>
          <w:numId w:val="1423"/>
        </w:numPr>
        <w:pStyle w:val="Compact"/>
      </w:pPr>
      <w:r>
        <w:t xml:space="preserve">2009 · Kendrick IP ·</w:t>
      </w:r>
      <w:r>
        <w:t xml:space="preserve"> </w:t>
      </w:r>
      <w:r>
        <w:rPr>
          <w:iCs/>
          <w:i/>
        </w:rPr>
        <w:t xml:space="preserve">Eur J Appl Physiol</w:t>
      </w:r>
      <w:r>
        <w:t xml:space="preserve"> </w:t>
      </w:r>
      <w:r>
        <w:t xml:space="preserve">· The effect of 4 weeks beta-alanine supplementation and isokinetic training on carnosine concentrations in type I and II human skeletal muscle fibres. PMID 19214556</w:t>
      </w:r>
    </w:p>
    <w:p>
      <w:pPr>
        <w:numPr>
          <w:ilvl w:val="0"/>
          <w:numId w:val="1423"/>
        </w:numPr>
        <w:pStyle w:val="Compact"/>
      </w:pPr>
      <w:r>
        <w:t xml:space="preserve">2009 · Kairaluoma L ·</w:t>
      </w:r>
      <w:r>
        <w:t xml:space="preserve"> </w:t>
      </w:r>
      <w:r>
        <w:rPr>
          <w:iCs/>
          <w:i/>
        </w:rPr>
        <w:t xml:space="preserve">Child Care Health Dev</w:t>
      </w:r>
      <w:r>
        <w:t xml:space="preserve"> </w:t>
      </w:r>
      <w:r>
        <w:t xml:space="preserve">· Do fatty acids help in overcoming reading difficulties? A double-blind, placebo-controlled study of the effects of eicosapentaenoic acid and carnosine supplementation on children with dyslexia. PMID 18991979</w:t>
      </w:r>
    </w:p>
    <w:p>
      <w:pPr>
        <w:numPr>
          <w:ilvl w:val="0"/>
          <w:numId w:val="1423"/>
        </w:numPr>
        <w:pStyle w:val="Compact"/>
      </w:pPr>
      <w:r>
        <w:t xml:space="preserve">2007 · Derave W ·</w:t>
      </w:r>
      <w:r>
        <w:t xml:space="preserve"> </w:t>
      </w:r>
      <w:r>
        <w:rPr>
          <w:iCs/>
          <w:i/>
        </w:rPr>
        <w:t xml:space="preserve">J Appl Physiol (1985)</w:t>
      </w:r>
      <w:r>
        <w:t xml:space="preserve"> </w:t>
      </w:r>
      <w:r>
        <w:t xml:space="preserve">· beta-Alanine supplementation augments muscle carnosine content and attenuates fatigue during repeated isokinetic contraction bouts in trained sprinters. PMID 17690198</w:t>
      </w:r>
    </w:p>
    <w:p>
      <w:pPr>
        <w:numPr>
          <w:ilvl w:val="0"/>
          <w:numId w:val="1423"/>
        </w:numPr>
        <w:pStyle w:val="Compact"/>
      </w:pPr>
      <w:r>
        <w:t xml:space="preserve">2007 · Mahmood A ·</w:t>
      </w:r>
      <w:r>
        <w:t xml:space="preserve"> </w:t>
      </w:r>
      <w:r>
        <w:rPr>
          <w:iCs/>
          <w:i/>
        </w:rPr>
        <w:t xml:space="preserve">Gut</w:t>
      </w:r>
      <w:r>
        <w:t xml:space="preserve"> </w:t>
      </w:r>
      <w:r>
        <w:t xml:space="preserve">· Zinc carnosine, a health food supplement that stabilises small bowel integrity and stimulates gut repair processes. PMID 16777920</w:t>
      </w:r>
    </w:p>
    <w:p>
      <w:pPr>
        <w:numPr>
          <w:ilvl w:val="0"/>
          <w:numId w:val="1423"/>
        </w:numPr>
        <w:pStyle w:val="Compact"/>
      </w:pPr>
      <w:r>
        <w:t xml:space="preserve">2006 · Harris RC ·</w:t>
      </w:r>
      <w:r>
        <w:t xml:space="preserve"> </w:t>
      </w:r>
      <w:r>
        <w:rPr>
          <w:iCs/>
          <w:i/>
        </w:rPr>
        <w:t xml:space="preserve">Amino Acids</w:t>
      </w:r>
      <w:r>
        <w:t xml:space="preserve"> </w:t>
      </w:r>
      <w:r>
        <w:t xml:space="preserve">· The absorption of orally supplied beta-alanine and its effect on muscle carnosine synthesis in human vastus lateralis. PMID 16554972</w:t>
      </w:r>
    </w:p>
    <w:p>
      <w:pPr>
        <w:numPr>
          <w:ilvl w:val="0"/>
          <w:numId w:val="1423"/>
        </w:numPr>
        <w:pStyle w:val="Compact"/>
      </w:pPr>
      <w:r>
        <w:t xml:space="preserve">2006 · Suzuki Y ·</w:t>
      </w:r>
      <w:r>
        <w:t xml:space="preserve"> </w:t>
      </w:r>
      <w:r>
        <w:rPr>
          <w:iCs/>
          <w:i/>
        </w:rPr>
        <w:t xml:space="preserve">Med Sci Sports Exerc</w:t>
      </w:r>
      <w:r>
        <w:t xml:space="preserve"> </w:t>
      </w:r>
      <w:r>
        <w:t xml:space="preserve">· Carnosine and anserine ingestion enhances contribution of nonbicarbonate buffering. PMID 16531904</w:t>
      </w:r>
    </w:p>
    <w:p>
      <w:pPr>
        <w:numPr>
          <w:ilvl w:val="0"/>
          <w:numId w:val="1423"/>
        </w:numPr>
        <w:pStyle w:val="Compact"/>
      </w:pPr>
      <w:r>
        <w:t xml:space="preserve">2002 · Chez MG ·</w:t>
      </w:r>
      <w:r>
        <w:t xml:space="preserve"> </w:t>
      </w:r>
      <w:r>
        <w:rPr>
          <w:iCs/>
          <w:i/>
        </w:rPr>
        <w:t xml:space="preserve">J Child Neurol</w:t>
      </w:r>
      <w:r>
        <w:t xml:space="preserve"> </w:t>
      </w:r>
      <w:r>
        <w:t xml:space="preserve">· Double-blind, placebo-controlled study of L-carnosine supplementation in children with autistic spectrum disorders. PMID 12585724</w:t>
      </w:r>
    </w:p>
    <w:bookmarkEnd w:id="3066"/>
    <w:bookmarkStart w:id="3067" w:name="ghk-cu-copper-peptide-1"/>
    <w:p>
      <w:pPr>
        <w:pStyle w:val="Heading2"/>
      </w:pPr>
      <w:r>
        <w:t xml:space="preserve">GHK-Cu (Copper Peptide) (1)</w:t>
      </w:r>
    </w:p>
    <w:p>
      <w:pPr>
        <w:numPr>
          <w:ilvl w:val="0"/>
          <w:numId w:val="1424"/>
        </w:numPr>
        <w:pStyle w:val="Compact"/>
      </w:pPr>
      <w:r>
        <w:t xml:space="preserve">2006 · Miller TR ·</w:t>
      </w:r>
      <w:r>
        <w:t xml:space="preserve"> </w:t>
      </w:r>
      <w:r>
        <w:rPr>
          <w:iCs/>
          <w:i/>
        </w:rPr>
        <w:t xml:space="preserve">Arch Facial Plast Surg</w:t>
      </w:r>
      <w:r>
        <w:t xml:space="preserve"> </w:t>
      </w:r>
      <w:r>
        <w:t xml:space="preserve">· Effects of topical copper tripeptide complex on CO2 laser-resurfaced skin. PMID 16847171</w:t>
      </w:r>
    </w:p>
    <w:bookmarkEnd w:id="3067"/>
    <w:bookmarkStart w:id="3068" w:name="palmitoyl-pentapeptide-4-matrixyl-1"/>
    <w:p>
      <w:pPr>
        <w:pStyle w:val="Heading2"/>
      </w:pPr>
      <w:r>
        <w:t xml:space="preserve">Palmitoyl Pentapeptide-4 (Matrixyl) (1)</w:t>
      </w:r>
    </w:p>
    <w:p>
      <w:pPr>
        <w:numPr>
          <w:ilvl w:val="0"/>
          <w:numId w:val="1425"/>
        </w:numPr>
        <w:pStyle w:val="Compact"/>
      </w:pPr>
      <w:r>
        <w:t xml:space="preserve">2004 · Röper B ·</w:t>
      </w:r>
      <w:r>
        <w:t xml:space="preserve"> </w:t>
      </w:r>
      <w:r>
        <w:rPr>
          <w:iCs/>
          <w:i/>
        </w:rPr>
        <w:t xml:space="preserve">Strahlenther Onkol</w:t>
      </w:r>
      <w:r>
        <w:t xml:space="preserve"> </w:t>
      </w:r>
      <w:r>
        <w:t xml:space="preserve">· Thêta-Cream versus Bepanthol lotion in breast cancer patients under radiotherapy. A new prophylactic agent in skin care?. PMID 15127162</w:t>
      </w:r>
    </w:p>
    <w:bookmarkEnd w:id="3068"/>
    <w:bookmarkStart w:id="3069" w:name="acetyl-hexapeptide-8-argireline-3"/>
    <w:p>
      <w:pPr>
        <w:pStyle w:val="Heading2"/>
      </w:pPr>
      <w:r>
        <w:t xml:space="preserve">Acetyl Hexapeptide-8 (Argireline) (3)</w:t>
      </w:r>
    </w:p>
    <w:p>
      <w:pPr>
        <w:numPr>
          <w:ilvl w:val="0"/>
          <w:numId w:val="1426"/>
        </w:numPr>
        <w:pStyle w:val="Compact"/>
      </w:pPr>
      <w:r>
        <w:t xml:space="preserve">2017 · Raikou V ·</w:t>
      </w:r>
      <w:r>
        <w:t xml:space="preserve"> </w:t>
      </w:r>
      <w:r>
        <w:rPr>
          <w:iCs/>
          <w:i/>
        </w:rPr>
        <w:t xml:space="preserve">J Cosmet Dermatol</w:t>
      </w:r>
      <w:r>
        <w:t xml:space="preserve"> </w:t>
      </w:r>
      <w:r>
        <w:t xml:space="preserve">· The efficacy study of the combination of tripeptide-10-citrulline and acetyl hexapeptide-3. A prospective, randomized controlled study. PMID 28150423</w:t>
      </w:r>
    </w:p>
    <w:p>
      <w:pPr>
        <w:numPr>
          <w:ilvl w:val="0"/>
          <w:numId w:val="1426"/>
        </w:numPr>
        <w:pStyle w:val="Compact"/>
      </w:pPr>
      <w:r>
        <w:t xml:space="preserve">2013 · Wang Y ·</w:t>
      </w:r>
      <w:r>
        <w:t xml:space="preserve"> </w:t>
      </w:r>
      <w:r>
        <w:rPr>
          <w:iCs/>
          <w:i/>
        </w:rPr>
        <w:t xml:space="preserve">Am J Clin Dermatol</w:t>
      </w:r>
      <w:r>
        <w:t xml:space="preserve"> </w:t>
      </w:r>
      <w:r>
        <w:t xml:space="preserve">· The anti-wrinkle efficacy of argireline, a synthetic hexapeptide, in Chinese subjects: a randomized, placebo-controlled study. PMID 23417317</w:t>
      </w:r>
    </w:p>
    <w:p>
      <w:pPr>
        <w:numPr>
          <w:ilvl w:val="0"/>
          <w:numId w:val="1426"/>
        </w:numPr>
        <w:pStyle w:val="Compact"/>
      </w:pPr>
      <w:r>
        <w:t xml:space="preserve">2013 · Lungu C ·</w:t>
      </w:r>
      <w:r>
        <w:t xml:space="preserve"> </w:t>
      </w:r>
      <w:r>
        <w:rPr>
          <w:iCs/>
          <w:i/>
        </w:rPr>
        <w:t xml:space="preserve">Eur J Neurol</w:t>
      </w:r>
      <w:r>
        <w:t xml:space="preserve"> </w:t>
      </w:r>
      <w:r>
        <w:t xml:space="preserve">· Pilot study of topical acetyl hexapeptide-8 in the treatment for blepharospasm in patients receiving botulinum toxin therapy. PMID 23146065</w:t>
      </w:r>
    </w:p>
    <w:bookmarkEnd w:id="3069"/>
    <w:bookmarkEnd w:id="30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
    <w:p>
      <w:pPr>
        <w:pStyle w:val="FootnoteText"/>
      </w:pPr>
      <w:r>
        <w:rPr>
          <w:rStyle w:val="FootnoteReference"/>
        </w:rPr>
        <w:footnoteRef/>
      </w:r>
      <w:r>
        <w:t xml:space="preserve"> </w:t>
      </w:r>
      <w:r>
        <w:t xml:space="preserve">Krug 2018, PMID 29864719.</w:t>
      </w:r>
    </w:p>
  </w:footnote>
  <w:footnote w:id="40">
    <w:p>
      <w:pPr>
        <w:pStyle w:val="FootnoteText"/>
      </w:pPr>
      <w:r>
        <w:rPr>
          <w:rStyle w:val="FootnoteReference"/>
        </w:rPr>
        <w:footnoteRef/>
      </w:r>
      <w:r>
        <w:t xml:space="preserve"> </w:t>
      </w:r>
      <w:r>
        <w:t xml:space="preserve">Eng 1992, PMID 1313797.</w:t>
      </w:r>
    </w:p>
  </w:footnote>
  <w:footnote w:id="42">
    <w:p>
      <w:pPr>
        <w:pStyle w:val="FootnoteText"/>
      </w:pPr>
      <w:r>
        <w:rPr>
          <w:rStyle w:val="FootnoteReference"/>
        </w:rPr>
        <w:footnoteRef/>
      </w:r>
      <w:r>
        <w:t xml:space="preserve"> </w:t>
      </w:r>
      <w:r>
        <w:t xml:space="preserve">Knudsen 2019, PMID 31031702.</w:t>
      </w:r>
    </w:p>
  </w:footnote>
  <w:footnote w:id="44">
    <w:p>
      <w:pPr>
        <w:pStyle w:val="FootnoteText"/>
      </w:pPr>
      <w:r>
        <w:rPr>
          <w:rStyle w:val="FootnoteReference"/>
        </w:rPr>
        <w:footnoteRef/>
      </w:r>
      <w:r>
        <w:t xml:space="preserve"> </w:t>
      </w:r>
      <w:r>
        <w:t xml:space="preserve">Deacon 1995, PMID 7883856.</w:t>
      </w:r>
    </w:p>
  </w:footnote>
  <w:footnote w:id="45">
    <w:p>
      <w:pPr>
        <w:pStyle w:val="FootnoteText"/>
      </w:pPr>
      <w:r>
        <w:rPr>
          <w:rStyle w:val="FootnoteReference"/>
        </w:rPr>
        <w:footnoteRef/>
      </w:r>
      <w:r>
        <w:t xml:space="preserve"> </w:t>
      </w:r>
      <w:r>
        <w:t xml:space="preserve">Lau 2015, PMID 26308095.</w:t>
      </w:r>
    </w:p>
  </w:footnote>
  <w:footnote w:id="46">
    <w:p>
      <w:pPr>
        <w:pStyle w:val="FootnoteText"/>
      </w:pPr>
      <w:r>
        <w:rPr>
          <w:rStyle w:val="FootnoteReference"/>
        </w:rPr>
        <w:footnoteRef/>
      </w:r>
      <w:r>
        <w:t xml:space="preserve"> </w:t>
      </w:r>
      <w:r>
        <w:t xml:space="preserve">Marso 2016, PMID 27633186.</w:t>
      </w:r>
    </w:p>
  </w:footnote>
  <w:footnote w:id="48">
    <w:p>
      <w:pPr>
        <w:pStyle w:val="FootnoteText"/>
      </w:pPr>
      <w:r>
        <w:rPr>
          <w:rStyle w:val="FootnoteReference"/>
        </w:rPr>
        <w:footnoteRef/>
      </w:r>
      <w:r>
        <w:t xml:space="preserve"> </w:t>
      </w:r>
      <w:r>
        <w:t xml:space="preserve">Merrifield 1969, PMID 4307033.</w:t>
      </w:r>
    </w:p>
  </w:footnote>
  <w:footnote w:id="49">
    <w:p>
      <w:pPr>
        <w:pStyle w:val="FootnoteText"/>
      </w:pPr>
      <w:r>
        <w:rPr>
          <w:rStyle w:val="FootnoteReference"/>
        </w:rPr>
        <w:footnoteRef/>
      </w:r>
      <w:r>
        <w:t xml:space="preserve"> </w:t>
      </w:r>
      <w:r>
        <w:t xml:space="preserve">The 1989, PMID 2690608.</w:t>
      </w:r>
    </w:p>
  </w:footnote>
  <w:footnote w:id="50">
    <w:p>
      <w:pPr>
        <w:pStyle w:val="FootnoteText"/>
      </w:pPr>
      <w:r>
        <w:rPr>
          <w:rStyle w:val="FootnoteReference"/>
        </w:rPr>
        <w:footnoteRef/>
      </w:r>
      <w:r>
        <w:t xml:space="preserve"> </w:t>
      </w:r>
      <w:r>
        <w:t xml:space="preserve">Hach 2024, PMID 39379664.</w:t>
      </w:r>
    </w:p>
  </w:footnote>
  <w:footnote w:id="52">
    <w:p>
      <w:pPr>
        <w:pStyle w:val="FootnoteText"/>
      </w:pPr>
      <w:r>
        <w:rPr>
          <w:rStyle w:val="FootnoteReference"/>
        </w:rPr>
        <w:footnoteRef/>
      </w:r>
      <w:r>
        <w:t xml:space="preserve"> </w:t>
      </w:r>
      <w:r>
        <w:t xml:space="preserve">Muttenthaler 2021, PMID 33536635.</w:t>
      </w:r>
    </w:p>
  </w:footnote>
  <w:footnote w:id="53">
    <w:p>
      <w:pPr>
        <w:pStyle w:val="FootnoteText"/>
      </w:pPr>
      <w:r>
        <w:rPr>
          <w:rStyle w:val="FootnoteReference"/>
        </w:rPr>
        <w:footnoteRef/>
      </w:r>
      <w:r>
        <w:t xml:space="preserve"> </w:t>
      </w:r>
      <w:r>
        <w:t xml:space="preserve">Lau 2018, PMID 28720325.</w:t>
      </w:r>
    </w:p>
  </w:footnote>
  <w:footnote w:id="55">
    <w:p>
      <w:pPr>
        <w:pStyle w:val="FootnoteText"/>
      </w:pPr>
      <w:r>
        <w:rPr>
          <w:rStyle w:val="FootnoteReference"/>
        </w:rPr>
        <w:footnoteRef/>
      </w:r>
      <w:r>
        <w:t xml:space="preserve"> </w:t>
      </w:r>
      <w:r>
        <w:t xml:space="preserve">Cox 2017, PMID 28035768.</w:t>
      </w:r>
    </w:p>
  </w:footnote>
  <w:footnote w:id="58">
    <w:p>
      <w:pPr>
        <w:pStyle w:val="FootnoteText"/>
      </w:pPr>
      <w:r>
        <w:rPr>
          <w:rStyle w:val="FootnoteReference"/>
        </w:rPr>
        <w:footnoteRef/>
      </w:r>
      <w:r>
        <w:t xml:space="preserve"> </w:t>
      </w:r>
      <w:r>
        <w:t xml:space="preserve">Wilding 2021, PMID 33567185.</w:t>
      </w:r>
    </w:p>
  </w:footnote>
  <w:footnote w:id="59">
    <w:p>
      <w:pPr>
        <w:pStyle w:val="FootnoteText"/>
      </w:pPr>
      <w:r>
        <w:rPr>
          <w:rStyle w:val="FootnoteReference"/>
        </w:rPr>
        <w:footnoteRef/>
      </w:r>
      <w:r>
        <w:t xml:space="preserve"> </w:t>
      </w:r>
      <w:r>
        <w:t xml:space="preserve">Hailu 2026, PMID 42437212.</w:t>
      </w:r>
    </w:p>
  </w:footnote>
  <w:footnote w:id="64">
    <w:p>
      <w:pPr>
        <w:pStyle w:val="FootnoteText"/>
      </w:pPr>
      <w:r>
        <w:rPr>
          <w:rStyle w:val="FootnoteReference"/>
        </w:rPr>
        <w:footnoteRef/>
      </w:r>
      <w:r>
        <w:t xml:space="preserve"> </w:t>
      </w:r>
      <w:r>
        <w:t xml:space="preserve">Banting 1922, PMID 20314060.</w:t>
      </w:r>
    </w:p>
  </w:footnote>
  <w:footnote w:id="65">
    <w:p>
      <w:pPr>
        <w:pStyle w:val="FootnoteText"/>
      </w:pPr>
      <w:r>
        <w:rPr>
          <w:rStyle w:val="FootnoteReference"/>
        </w:rPr>
        <w:footnoteRef/>
      </w:r>
      <w:r>
        <w:t xml:space="preserve"> </w:t>
      </w:r>
      <w:r>
        <w:t xml:space="preserve">Sims 2021, PMID 34267380.</w:t>
      </w:r>
    </w:p>
  </w:footnote>
  <w:footnote w:id="66">
    <w:p>
      <w:pPr>
        <w:pStyle w:val="FootnoteText"/>
      </w:pPr>
      <w:r>
        <w:rPr>
          <w:rStyle w:val="FootnoteReference"/>
        </w:rPr>
        <w:footnoteRef/>
      </w:r>
      <w:r>
        <w:t xml:space="preserve"> </w:t>
      </w:r>
      <w:r>
        <w:t xml:space="preserve">Owens 2022, PMID 34708913.</w:t>
      </w:r>
    </w:p>
  </w:footnote>
  <w:footnote w:id="68">
    <w:p>
      <w:pPr>
        <w:pStyle w:val="FootnoteText"/>
      </w:pPr>
      <w:r>
        <w:rPr>
          <w:rStyle w:val="FootnoteReference"/>
        </w:rPr>
        <w:footnoteRef/>
      </w:r>
      <w:r>
        <w:t xml:space="preserve"> </w:t>
      </w:r>
      <w:r>
        <w:t xml:space="preserve">Sanger 1952, PMID 13018185.</w:t>
      </w:r>
    </w:p>
  </w:footnote>
  <w:footnote w:id="69">
    <w:p>
      <w:pPr>
        <w:pStyle w:val="FootnoteText"/>
      </w:pPr>
      <w:r>
        <w:rPr>
          <w:rStyle w:val="FootnoteReference"/>
        </w:rPr>
        <w:footnoteRef/>
      </w:r>
      <w:r>
        <w:t xml:space="preserve"> </w:t>
      </w:r>
      <w:r>
        <w:t xml:space="preserve">Merrifield 1969, PMID 4307033.</w:t>
      </w:r>
    </w:p>
  </w:footnote>
  <w:footnote w:id="71">
    <w:p>
      <w:pPr>
        <w:pStyle w:val="FootnoteText"/>
      </w:pPr>
      <w:r>
        <w:rPr>
          <w:rStyle w:val="FootnoteReference"/>
        </w:rPr>
        <w:footnoteRef/>
      </w:r>
      <w:r>
        <w:t xml:space="preserve"> </w:t>
      </w:r>
      <w:r>
        <w:t xml:space="preserve">Yalow 1960, PMID 13846364.</w:t>
      </w:r>
    </w:p>
  </w:footnote>
  <w:footnote w:id="73">
    <w:p>
      <w:pPr>
        <w:pStyle w:val="FootnoteText"/>
      </w:pPr>
      <w:r>
        <w:rPr>
          <w:rStyle w:val="FootnoteReference"/>
        </w:rPr>
        <w:footnoteRef/>
      </w:r>
      <w:r>
        <w:t xml:space="preserve"> </w:t>
      </w:r>
      <w:r>
        <w:t xml:space="preserve">Ranke 2018, PMID 29546874.</w:t>
      </w:r>
    </w:p>
  </w:footnote>
  <w:footnote w:id="74">
    <w:p>
      <w:pPr>
        <w:pStyle w:val="FootnoteText"/>
      </w:pPr>
      <w:r>
        <w:rPr>
          <w:rStyle w:val="FootnoteReference"/>
        </w:rPr>
        <w:footnoteRef/>
      </w:r>
      <w:r>
        <w:t xml:space="preserve"> </w:t>
      </w:r>
      <w:r>
        <w:t xml:space="preserve">The 1989, PMID 2690608.</w:t>
      </w:r>
    </w:p>
  </w:footnote>
  <w:footnote w:id="75">
    <w:p>
      <w:pPr>
        <w:pStyle w:val="FootnoteText"/>
      </w:pPr>
      <w:r>
        <w:rPr>
          <w:rStyle w:val="FootnoteReference"/>
        </w:rPr>
        <w:footnoteRef/>
      </w:r>
      <w:r>
        <w:t xml:space="preserve"> </w:t>
      </w:r>
      <w:r>
        <w:t xml:space="preserve">Neer 2001, PMID 11346808.</w:t>
      </w:r>
    </w:p>
  </w:footnote>
  <w:footnote w:id="77">
    <w:p>
      <w:pPr>
        <w:pStyle w:val="FootnoteText"/>
      </w:pPr>
      <w:r>
        <w:rPr>
          <w:rStyle w:val="FootnoteReference"/>
        </w:rPr>
        <w:footnoteRef/>
      </w:r>
      <w:r>
        <w:t xml:space="preserve"> </w:t>
      </w:r>
      <w:r>
        <w:t xml:space="preserve">Kreymann 1987, PMID 2890903.</w:t>
      </w:r>
    </w:p>
  </w:footnote>
  <w:footnote w:id="78">
    <w:p>
      <w:pPr>
        <w:pStyle w:val="FootnoteText"/>
      </w:pPr>
      <w:r>
        <w:rPr>
          <w:rStyle w:val="FootnoteReference"/>
        </w:rPr>
        <w:footnoteRef/>
      </w:r>
      <w:r>
        <w:t xml:space="preserve"> </w:t>
      </w:r>
      <w:r>
        <w:t xml:space="preserve">Deacon 1995, PMID 7883856.</w:t>
      </w:r>
    </w:p>
  </w:footnote>
  <w:footnote w:id="80">
    <w:p>
      <w:pPr>
        <w:pStyle w:val="FootnoteText"/>
      </w:pPr>
      <w:r>
        <w:rPr>
          <w:rStyle w:val="FootnoteReference"/>
        </w:rPr>
        <w:footnoteRef/>
      </w:r>
      <w:r>
        <w:t xml:space="preserve"> </w:t>
      </w:r>
      <w:r>
        <w:t xml:space="preserve">Eng 1992, PMID 1313797.</w:t>
      </w:r>
    </w:p>
  </w:footnote>
  <w:footnote w:id="81">
    <w:p>
      <w:pPr>
        <w:pStyle w:val="FootnoteText"/>
      </w:pPr>
      <w:r>
        <w:rPr>
          <w:rStyle w:val="FootnoteReference"/>
        </w:rPr>
        <w:footnoteRef/>
      </w:r>
      <w:r>
        <w:t xml:space="preserve"> </w:t>
      </w:r>
      <w:r>
        <w:t xml:space="preserve">DeFronzo 2005, PMID 15855572.</w:t>
      </w:r>
    </w:p>
  </w:footnote>
  <w:footnote w:id="83">
    <w:p>
      <w:pPr>
        <w:pStyle w:val="FootnoteText"/>
      </w:pPr>
      <w:r>
        <w:rPr>
          <w:rStyle w:val="FootnoteReference"/>
        </w:rPr>
        <w:footnoteRef/>
      </w:r>
      <w:r>
        <w:t xml:space="preserve"> </w:t>
      </w:r>
      <w:r>
        <w:t xml:space="preserve">Knudsen 2019, PMID 31031702.</w:t>
      </w:r>
    </w:p>
  </w:footnote>
  <w:footnote w:id="84">
    <w:p>
      <w:pPr>
        <w:pStyle w:val="FootnoteText"/>
      </w:pPr>
      <w:r>
        <w:rPr>
          <w:rStyle w:val="FootnoteReference"/>
        </w:rPr>
        <w:footnoteRef/>
      </w:r>
      <w:r>
        <w:t xml:space="preserve"> </w:t>
      </w:r>
      <w:r>
        <w:t xml:space="preserve">Pi-Sunyer 2015, PMID 26132939.</w:t>
      </w:r>
    </w:p>
  </w:footnote>
  <w:footnote w:id="85">
    <w:p>
      <w:pPr>
        <w:pStyle w:val="FootnoteText"/>
      </w:pPr>
      <w:r>
        <w:rPr>
          <w:rStyle w:val="FootnoteReference"/>
        </w:rPr>
        <w:footnoteRef/>
      </w:r>
      <w:r>
        <w:t xml:space="preserve"> </w:t>
      </w:r>
      <w:r>
        <w:t xml:space="preserve">Lau 2015, PMID 26308095.</w:t>
      </w:r>
    </w:p>
  </w:footnote>
  <w:footnote w:id="86">
    <w:p>
      <w:pPr>
        <w:pStyle w:val="FootnoteText"/>
      </w:pPr>
      <w:r>
        <w:rPr>
          <w:rStyle w:val="FootnoteReference"/>
        </w:rPr>
        <w:footnoteRef/>
      </w:r>
      <w:r>
        <w:t xml:space="preserve"> </w:t>
      </w:r>
      <w:r>
        <w:t xml:space="preserve">Wilding 2021, PMID 33567185.</w:t>
      </w:r>
    </w:p>
  </w:footnote>
  <w:footnote w:id="88">
    <w:p>
      <w:pPr>
        <w:pStyle w:val="FootnoteText"/>
      </w:pPr>
      <w:r>
        <w:rPr>
          <w:rStyle w:val="FootnoteReference"/>
        </w:rPr>
        <w:footnoteRef/>
      </w:r>
      <w:r>
        <w:t xml:space="preserve"> </w:t>
      </w:r>
      <w:r>
        <w:t xml:space="preserve">Marso 2016, PMID 27295427.</w:t>
      </w:r>
    </w:p>
  </w:footnote>
  <w:footnote w:id="89">
    <w:p>
      <w:pPr>
        <w:pStyle w:val="FootnoteText"/>
      </w:pPr>
      <w:r>
        <w:rPr>
          <w:rStyle w:val="FootnoteReference"/>
        </w:rPr>
        <w:footnoteRef/>
      </w:r>
      <w:r>
        <w:t xml:space="preserve"> </w:t>
      </w:r>
      <w:r>
        <w:t xml:space="preserve">Marso 2016, PMID 27633186.</w:t>
      </w:r>
    </w:p>
  </w:footnote>
  <w:footnote w:id="90">
    <w:p>
      <w:pPr>
        <w:pStyle w:val="FootnoteText"/>
      </w:pPr>
      <w:r>
        <w:rPr>
          <w:rStyle w:val="FootnoteReference"/>
        </w:rPr>
        <w:footnoteRef/>
      </w:r>
      <w:r>
        <w:t xml:space="preserve"> </w:t>
      </w:r>
      <w:r>
        <w:t xml:space="preserve">Lincoff 2023, PMID 37952131.</w:t>
      </w:r>
    </w:p>
  </w:footnote>
  <w:footnote w:id="92">
    <w:p>
      <w:pPr>
        <w:pStyle w:val="FootnoteText"/>
      </w:pPr>
      <w:r>
        <w:rPr>
          <w:rStyle w:val="FootnoteReference"/>
        </w:rPr>
        <w:footnoteRef/>
      </w:r>
      <w:r>
        <w:t xml:space="preserve"> </w:t>
      </w:r>
      <w:r>
        <w:t xml:space="preserve">Aroda 2019, PMID 31186300.</w:t>
      </w:r>
    </w:p>
  </w:footnote>
  <w:footnote w:id="93">
    <w:p>
      <w:pPr>
        <w:pStyle w:val="FootnoteText"/>
      </w:pPr>
      <w:r>
        <w:rPr>
          <w:rStyle w:val="FootnoteReference"/>
        </w:rPr>
        <w:footnoteRef/>
      </w:r>
      <w:r>
        <w:t xml:space="preserve"> </w:t>
      </w:r>
      <w:r>
        <w:t xml:space="preserve">Jastreboff 2022, PMID 35658024.</w:t>
      </w:r>
    </w:p>
  </w:footnote>
  <w:footnote w:id="94">
    <w:p>
      <w:pPr>
        <w:pStyle w:val="FootnoteText"/>
      </w:pPr>
      <w:r>
        <w:rPr>
          <w:rStyle w:val="FootnoteReference"/>
        </w:rPr>
        <w:footnoteRef/>
      </w:r>
      <w:r>
        <w:t xml:space="preserve"> </w:t>
      </w:r>
      <w:r>
        <w:t xml:space="preserve">Kreymann 1987, PMID 2890903.</w:t>
      </w:r>
    </w:p>
  </w:footnote>
  <w:footnote w:id="100">
    <w:p>
      <w:pPr>
        <w:pStyle w:val="FootnoteText"/>
      </w:pPr>
      <w:r>
        <w:rPr>
          <w:rStyle w:val="FootnoteReference"/>
        </w:rPr>
        <w:footnoteRef/>
      </w:r>
      <w:r>
        <w:t xml:space="preserve"> </w:t>
      </w:r>
      <w:r>
        <w:t xml:space="preserve">Drucker 2020, PMID 31848464.</w:t>
      </w:r>
    </w:p>
  </w:footnote>
  <w:footnote w:id="102">
    <w:p>
      <w:pPr>
        <w:pStyle w:val="FootnoteText"/>
      </w:pPr>
      <w:r>
        <w:rPr>
          <w:rStyle w:val="FootnoteReference"/>
        </w:rPr>
        <w:footnoteRef/>
      </w:r>
      <w:r>
        <w:t xml:space="preserve"> </w:t>
      </w:r>
      <w:r>
        <w:t xml:space="preserve">Knudsen 2019, PMID 31031702.</w:t>
      </w:r>
    </w:p>
  </w:footnote>
  <w:footnote w:id="103">
    <w:p>
      <w:pPr>
        <w:pStyle w:val="FootnoteText"/>
      </w:pPr>
      <w:r>
        <w:rPr>
          <w:rStyle w:val="FootnoteReference"/>
        </w:rPr>
        <w:footnoteRef/>
      </w:r>
      <w:r>
        <w:t xml:space="preserve"> </w:t>
      </w:r>
      <w:r>
        <w:t xml:space="preserve">Marso 2016, PMID 27633186.</w:t>
      </w:r>
    </w:p>
  </w:footnote>
  <w:footnote w:id="104">
    <w:p>
      <w:pPr>
        <w:pStyle w:val="FootnoteText"/>
      </w:pPr>
      <w:r>
        <w:rPr>
          <w:rStyle w:val="FootnoteReference"/>
        </w:rPr>
        <w:footnoteRef/>
      </w:r>
      <w:r>
        <w:t xml:space="preserve"> </w:t>
      </w:r>
      <w:r>
        <w:t xml:space="preserve">Lambson 2023, PMID 37392810.</w:t>
      </w:r>
    </w:p>
  </w:footnote>
  <w:footnote w:id="106">
    <w:p>
      <w:pPr>
        <w:pStyle w:val="FootnoteText"/>
      </w:pPr>
      <w:r>
        <w:rPr>
          <w:rStyle w:val="FootnoteReference"/>
        </w:rPr>
        <w:footnoteRef/>
      </w:r>
      <w:r>
        <w:t xml:space="preserve"> </w:t>
      </w:r>
      <w:r>
        <w:t xml:space="preserve">Drucker 2020, PMID 31848464.</w:t>
      </w:r>
    </w:p>
  </w:footnote>
  <w:footnote w:id="108">
    <w:p>
      <w:pPr>
        <w:pStyle w:val="FootnoteText"/>
      </w:pPr>
      <w:r>
        <w:rPr>
          <w:rStyle w:val="FootnoteReference"/>
        </w:rPr>
        <w:footnoteRef/>
      </w:r>
      <w:r>
        <w:t xml:space="preserve"> </w:t>
      </w:r>
      <w:r>
        <w:t xml:space="preserve">Buckley 2018, PMID 30429357.</w:t>
      </w:r>
    </w:p>
  </w:footnote>
  <w:footnote w:id="109">
    <w:p>
      <w:pPr>
        <w:pStyle w:val="FootnoteText"/>
      </w:pPr>
      <w:r>
        <w:rPr>
          <w:rStyle w:val="FootnoteReference"/>
        </w:rPr>
        <w:footnoteRef/>
      </w:r>
      <w:r>
        <w:t xml:space="preserve"> </w:t>
      </w:r>
      <w:r>
        <w:t xml:space="preserve">Vahora 2026, PMID 42687069.</w:t>
      </w:r>
    </w:p>
  </w:footnote>
  <w:footnote w:id="110">
    <w:p>
      <w:pPr>
        <w:pStyle w:val="FootnoteText"/>
      </w:pPr>
      <w:r>
        <w:rPr>
          <w:rStyle w:val="FootnoteReference"/>
        </w:rPr>
        <w:footnoteRef/>
      </w:r>
      <w:r>
        <w:t xml:space="preserve"> </w:t>
      </w:r>
      <w:r>
        <w:t xml:space="preserve">Vahora 2026, PMID 42687069.</w:t>
      </w:r>
    </w:p>
  </w:footnote>
  <w:footnote w:id="111">
    <w:p>
      <w:pPr>
        <w:pStyle w:val="FootnoteText"/>
      </w:pPr>
      <w:r>
        <w:rPr>
          <w:rStyle w:val="FootnoteReference"/>
        </w:rPr>
        <w:footnoteRef/>
      </w:r>
      <w:r>
        <w:t xml:space="preserve"> </w:t>
      </w:r>
      <w:r>
        <w:t xml:space="preserve">Marso 2016, PMID 27633186.</w:t>
      </w:r>
    </w:p>
  </w:footnote>
  <w:footnote w:id="112">
    <w:p>
      <w:pPr>
        <w:pStyle w:val="FootnoteText"/>
      </w:pPr>
      <w:r>
        <w:rPr>
          <w:rStyle w:val="FootnoteReference"/>
        </w:rPr>
        <w:footnoteRef/>
      </w:r>
      <w:r>
        <w:t xml:space="preserve"> </w:t>
      </w:r>
      <w:r>
        <w:t xml:space="preserve">Aroda 2019, PMID 31186300.</w:t>
      </w:r>
    </w:p>
  </w:footnote>
  <w:footnote w:id="113">
    <w:p>
      <w:pPr>
        <w:pStyle w:val="FootnoteText"/>
      </w:pPr>
      <w:r>
        <w:rPr>
          <w:rStyle w:val="FootnoteReference"/>
        </w:rPr>
        <w:footnoteRef/>
      </w:r>
      <w:r>
        <w:t xml:space="preserve"> </w:t>
      </w:r>
      <w:r>
        <w:t xml:space="preserve">Vahora 2026, PMID 42687069.</w:t>
      </w:r>
    </w:p>
  </w:footnote>
  <w:footnote w:id="114">
    <w:p>
      <w:pPr>
        <w:pStyle w:val="FootnoteText"/>
      </w:pPr>
      <w:r>
        <w:rPr>
          <w:rStyle w:val="FootnoteReference"/>
        </w:rPr>
        <w:footnoteRef/>
      </w:r>
      <w:r>
        <w:t xml:space="preserve"> </w:t>
      </w:r>
      <w:r>
        <w:t xml:space="preserve">Aroda 2019, PMID 31186300.</w:t>
      </w:r>
    </w:p>
  </w:footnote>
  <w:footnote w:id="115">
    <w:p>
      <w:pPr>
        <w:pStyle w:val="FootnoteText"/>
      </w:pPr>
      <w:r>
        <w:rPr>
          <w:rStyle w:val="FootnoteReference"/>
        </w:rPr>
        <w:footnoteRef/>
      </w:r>
      <w:r>
        <w:t xml:space="preserve"> </w:t>
      </w:r>
      <w:r>
        <w:t xml:space="preserve">Knop 2023, PMID 37385278.</w:t>
      </w:r>
    </w:p>
  </w:footnote>
  <w:footnote w:id="116">
    <w:p>
      <w:pPr>
        <w:pStyle w:val="FootnoteText"/>
      </w:pPr>
      <w:r>
        <w:rPr>
          <w:rStyle w:val="FootnoteReference"/>
        </w:rPr>
        <w:footnoteRef/>
      </w:r>
      <w:r>
        <w:t xml:space="preserve"> </w:t>
      </w:r>
      <w:r>
        <w:t xml:space="preserve">Hach 2024, PMID 39379664.</w:t>
      </w:r>
    </w:p>
  </w:footnote>
  <w:footnote w:id="118">
    <w:p>
      <w:pPr>
        <w:pStyle w:val="FootnoteText"/>
      </w:pPr>
      <w:r>
        <w:rPr>
          <w:rStyle w:val="FootnoteReference"/>
        </w:rPr>
        <w:footnoteRef/>
      </w:r>
      <w:r>
        <w:t xml:space="preserve"> </w:t>
      </w:r>
      <w:r>
        <w:t xml:space="preserve">Sugihara 2012, PMID 22040651.</w:t>
      </w:r>
    </w:p>
  </w:footnote>
  <w:footnote w:id="120">
    <w:p>
      <w:pPr>
        <w:pStyle w:val="FootnoteText"/>
      </w:pPr>
      <w:r>
        <w:rPr>
          <w:rStyle w:val="FootnoteReference"/>
        </w:rPr>
        <w:footnoteRef/>
      </w:r>
      <w:r>
        <w:t xml:space="preserve"> </w:t>
      </w:r>
      <w:r>
        <w:t xml:space="preserve">Belcourt 2026, PMID 41689811.</w:t>
      </w:r>
    </w:p>
  </w:footnote>
  <w:footnote w:id="122">
    <w:p>
      <w:pPr>
        <w:pStyle w:val="FootnoteText"/>
      </w:pPr>
      <w:r>
        <w:rPr>
          <w:rStyle w:val="FootnoteReference"/>
        </w:rPr>
        <w:footnoteRef/>
      </w:r>
      <w:r>
        <w:t xml:space="preserve"> </w:t>
      </w:r>
      <w:r>
        <w:t xml:space="preserve">Leng 2016, PMID 26049207.</w:t>
      </w:r>
    </w:p>
  </w:footnote>
  <w:footnote w:id="124">
    <w:p>
      <w:pPr>
        <w:pStyle w:val="FootnoteText"/>
      </w:pPr>
      <w:r>
        <w:rPr>
          <w:rStyle w:val="FootnoteReference"/>
        </w:rPr>
        <w:footnoteRef/>
      </w:r>
      <w:r>
        <w:t xml:space="preserve"> </w:t>
      </w:r>
      <w:r>
        <w:t xml:space="preserve">Heinemann 2008, PMID 19885220.</w:t>
      </w:r>
    </w:p>
  </w:footnote>
  <w:footnote w:id="126">
    <w:p>
      <w:pPr>
        <w:pStyle w:val="FootnoteText"/>
      </w:pPr>
      <w:r>
        <w:rPr>
          <w:rStyle w:val="FootnoteReference"/>
        </w:rPr>
        <w:footnoteRef/>
      </w:r>
      <w:r>
        <w:t xml:space="preserve"> </w:t>
      </w:r>
      <w:r>
        <w:t xml:space="preserve">Bos 2000, PMID 10839713.</w:t>
      </w:r>
    </w:p>
  </w:footnote>
  <w:footnote w:id="128">
    <w:p>
      <w:pPr>
        <w:pStyle w:val="FootnoteText"/>
      </w:pPr>
      <w:r>
        <w:rPr>
          <w:rStyle w:val="FootnoteReference"/>
        </w:rPr>
        <w:footnoteRef/>
      </w:r>
      <w:r>
        <w:t xml:space="preserve"> </w:t>
      </w:r>
      <w:r>
        <w:t xml:space="preserve">Hach 2024, PMID 39379664.</w:t>
      </w:r>
    </w:p>
  </w:footnote>
  <w:footnote w:id="130">
    <w:p>
      <w:pPr>
        <w:pStyle w:val="FootnoteText"/>
      </w:pPr>
      <w:r>
        <w:rPr>
          <w:rStyle w:val="FootnoteReference"/>
        </w:rPr>
        <w:footnoteRef/>
      </w:r>
      <w:r>
        <w:t xml:space="preserve"> </w:t>
      </w:r>
      <w:r>
        <w:t xml:space="preserve">Hach 2024, PMID 39379664.</w:t>
      </w:r>
    </w:p>
  </w:footnote>
  <w:footnote w:id="137">
    <w:p>
      <w:pPr>
        <w:pStyle w:val="FootnoteText"/>
      </w:pPr>
      <w:r>
        <w:rPr>
          <w:rStyle w:val="FootnoteReference"/>
        </w:rPr>
        <w:footnoteRef/>
      </w:r>
      <w:r>
        <w:t xml:space="preserve"> </w:t>
      </w:r>
      <w:r>
        <w:t xml:space="preserve">Perel 2007, PMID 17175568.</w:t>
      </w:r>
    </w:p>
  </w:footnote>
  <w:footnote w:id="141">
    <w:p>
      <w:pPr>
        <w:pStyle w:val="FootnoteText"/>
      </w:pPr>
      <w:r>
        <w:rPr>
          <w:rStyle w:val="FootnoteReference"/>
        </w:rPr>
        <w:footnoteRef/>
      </w:r>
      <w:r>
        <w:t xml:space="preserve"> </w:t>
      </w:r>
      <w:r>
        <w:t xml:space="preserve">Wilding 2021, PMID 33567185.</w:t>
      </w:r>
    </w:p>
  </w:footnote>
  <w:footnote w:id="142">
    <w:p>
      <w:pPr>
        <w:pStyle w:val="FootnoteText"/>
      </w:pPr>
      <w:r>
        <w:rPr>
          <w:rStyle w:val="FootnoteReference"/>
        </w:rPr>
        <w:footnoteRef/>
      </w:r>
      <w:r>
        <w:t xml:space="preserve"> </w:t>
      </w:r>
      <w:r>
        <w:t xml:space="preserve">Mendias 2026, PMID 41966639.</w:t>
      </w:r>
    </w:p>
  </w:footnote>
  <w:footnote w:id="145">
    <w:p>
      <w:pPr>
        <w:pStyle w:val="FootnoteText"/>
      </w:pPr>
      <w:r>
        <w:rPr>
          <w:rStyle w:val="FootnoteReference"/>
        </w:rPr>
        <w:footnoteRef/>
      </w:r>
      <w:r>
        <w:t xml:space="preserve"> </w:t>
      </w:r>
      <w:r>
        <w:t xml:space="preserve">Echt 1991, PMID 1900101.</w:t>
      </w:r>
    </w:p>
  </w:footnote>
  <w:footnote w:id="147">
    <w:p>
      <w:pPr>
        <w:pStyle w:val="FootnoteText"/>
      </w:pPr>
      <w:r>
        <w:rPr>
          <w:rStyle w:val="FootnoteReference"/>
        </w:rPr>
        <w:footnoteRef/>
      </w:r>
      <w:r>
        <w:t xml:space="preserve"> </w:t>
      </w:r>
      <w:r>
        <w:t xml:space="preserve">Lincoff 2023, PMID 37952131.</w:t>
      </w:r>
    </w:p>
  </w:footnote>
  <w:footnote w:id="148">
    <w:p>
      <w:pPr>
        <w:pStyle w:val="FootnoteText"/>
      </w:pPr>
      <w:r>
        <w:rPr>
          <w:rStyle w:val="FootnoteReference"/>
        </w:rPr>
        <w:footnoteRef/>
      </w:r>
      <w:r>
        <w:t xml:space="preserve"> </w:t>
      </w:r>
      <w:r>
        <w:t xml:space="preserve">Lincoff 2023, PMID 37952131.</w:t>
      </w:r>
    </w:p>
  </w:footnote>
  <w:footnote w:id="150">
    <w:p>
      <w:pPr>
        <w:pStyle w:val="FootnoteText"/>
      </w:pPr>
      <w:r>
        <w:rPr>
          <w:rStyle w:val="FootnoteReference"/>
        </w:rPr>
        <w:footnoteRef/>
      </w:r>
      <w:r>
        <w:t xml:space="preserve"> </w:t>
      </w:r>
      <w:r>
        <w:t xml:space="preserve">Wilding 2021, PMID 33567185.</w:t>
      </w:r>
    </w:p>
  </w:footnote>
  <w:footnote w:id="152">
    <w:p>
      <w:pPr>
        <w:pStyle w:val="FootnoteText"/>
      </w:pPr>
      <w:r>
        <w:rPr>
          <w:rStyle w:val="FootnoteReference"/>
        </w:rPr>
        <w:footnoteRef/>
      </w:r>
      <w:r>
        <w:t xml:space="preserve"> </w:t>
      </w:r>
      <w:r>
        <w:t xml:space="preserve">Aroda 2019, PMID 31186300.</w:t>
      </w:r>
    </w:p>
  </w:footnote>
  <w:footnote w:id="154">
    <w:p>
      <w:pPr>
        <w:pStyle w:val="FootnoteText"/>
      </w:pPr>
      <w:r>
        <w:rPr>
          <w:rStyle w:val="FootnoteReference"/>
        </w:rPr>
        <w:footnoteRef/>
      </w:r>
      <w:r>
        <w:t xml:space="preserve"> </w:t>
      </w:r>
      <w:r>
        <w:t xml:space="preserve">Ioannidis 2005, PMID 16060722.</w:t>
      </w:r>
    </w:p>
  </w:footnote>
  <w:footnote w:id="156">
    <w:p>
      <w:pPr>
        <w:pStyle w:val="FootnoteText"/>
      </w:pPr>
      <w:r>
        <w:rPr>
          <w:rStyle w:val="FootnoteReference"/>
        </w:rPr>
        <w:footnoteRef/>
      </w:r>
      <w:r>
        <w:t xml:space="preserve"> </w:t>
      </w:r>
      <w:r>
        <w:t xml:space="preserve">Lundh 2017, PMID 28207928.</w:t>
      </w:r>
    </w:p>
  </w:footnote>
  <w:footnote w:id="158">
    <w:p>
      <w:pPr>
        <w:pStyle w:val="FootnoteText"/>
      </w:pPr>
      <w:r>
        <w:rPr>
          <w:rStyle w:val="FootnoteReference"/>
        </w:rPr>
        <w:footnoteRef/>
      </w:r>
      <w:r>
        <w:t xml:space="preserve"> </w:t>
      </w:r>
      <w:r>
        <w:t xml:space="preserve">Turner 2008, PMID 18199864.</w:t>
      </w:r>
    </w:p>
  </w:footnote>
  <w:footnote w:id="160">
    <w:p>
      <w:pPr>
        <w:pStyle w:val="FootnoteText"/>
      </w:pPr>
      <w:r>
        <w:rPr>
          <w:rStyle w:val="FootnoteReference"/>
        </w:rPr>
        <w:footnoteRef/>
      </w:r>
      <w:r>
        <w:t xml:space="preserve"> </w:t>
      </w:r>
      <w:r>
        <w:t xml:space="preserve">DeAngelis 2004, PMID 15355936.</w:t>
      </w:r>
    </w:p>
  </w:footnote>
  <w:footnote w:id="167">
    <w:p>
      <w:pPr>
        <w:pStyle w:val="FootnoteText"/>
      </w:pPr>
      <w:r>
        <w:rPr>
          <w:rStyle w:val="FootnoteReference"/>
        </w:rPr>
        <w:footnoteRef/>
      </w:r>
      <w:r>
        <w:t xml:space="preserve"> </w:t>
      </w:r>
      <w:r>
        <w:t xml:space="preserve">Belcourt 2025, PMID 39285774.</w:t>
      </w:r>
    </w:p>
  </w:footnote>
  <w:footnote w:id="168">
    <w:p>
      <w:pPr>
        <w:pStyle w:val="FootnoteText"/>
      </w:pPr>
      <w:r>
        <w:rPr>
          <w:rStyle w:val="FootnoteReference"/>
        </w:rPr>
        <w:footnoteRef/>
      </w:r>
      <w:r>
        <w:t xml:space="preserve"> </w:t>
      </w:r>
      <w:r>
        <w:t xml:space="preserve">Sedensky 2026, PMID 42541373.</w:t>
      </w:r>
    </w:p>
  </w:footnote>
  <w:footnote w:id="170">
    <w:p>
      <w:pPr>
        <w:pStyle w:val="FootnoteText"/>
      </w:pPr>
      <w:r>
        <w:rPr>
          <w:rStyle w:val="FootnoteReference"/>
        </w:rPr>
        <w:footnoteRef/>
      </w:r>
      <w:r>
        <w:t xml:space="preserve"> </w:t>
      </w:r>
      <w:r>
        <w:t xml:space="preserve">Ashraf 2024, PMID 39509151.</w:t>
      </w:r>
    </w:p>
  </w:footnote>
  <w:footnote w:id="172">
    <w:p>
      <w:pPr>
        <w:pStyle w:val="FootnoteText"/>
      </w:pPr>
      <w:r>
        <w:rPr>
          <w:rStyle w:val="FootnoteReference"/>
        </w:rPr>
        <w:footnoteRef/>
      </w:r>
      <w:r>
        <w:t xml:space="preserve"> </w:t>
      </w:r>
      <w:r>
        <w:t xml:space="preserve">Hach 2024, PMID 39379664.</w:t>
      </w:r>
    </w:p>
  </w:footnote>
  <w:footnote w:id="174">
    <w:p>
      <w:pPr>
        <w:pStyle w:val="FootnoteText"/>
      </w:pPr>
      <w:r>
        <w:rPr>
          <w:rStyle w:val="FootnoteReference"/>
        </w:rPr>
        <w:footnoteRef/>
      </w:r>
      <w:r>
        <w:t xml:space="preserve"> </w:t>
      </w:r>
      <w:r>
        <w:t xml:space="preserve">Breindahl 2015, PMID 24771717.</w:t>
      </w:r>
    </w:p>
  </w:footnote>
  <w:footnote w:id="176">
    <w:p>
      <w:pPr>
        <w:pStyle w:val="FootnoteText"/>
      </w:pPr>
      <w:r>
        <w:rPr>
          <w:rStyle w:val="FootnoteReference"/>
        </w:rPr>
        <w:footnoteRef/>
      </w:r>
      <w:r>
        <w:t xml:space="preserve"> </w:t>
      </w:r>
      <w:r>
        <w:t xml:space="preserve">Kohler 2010, PMID 21204286.</w:t>
      </w:r>
    </w:p>
  </w:footnote>
  <w:footnote w:id="177">
    <w:p>
      <w:pPr>
        <w:pStyle w:val="FootnoteText"/>
      </w:pPr>
      <w:r>
        <w:rPr>
          <w:rStyle w:val="FootnoteReference"/>
        </w:rPr>
        <w:footnoteRef/>
      </w:r>
      <w:r>
        <w:t xml:space="preserve"> </w:t>
      </w:r>
      <w:r>
        <w:t xml:space="preserve">Thomas 2010, PMID 20878896.</w:t>
      </w:r>
    </w:p>
  </w:footnote>
  <w:footnote w:id="178">
    <w:p>
      <w:pPr>
        <w:pStyle w:val="FootnoteText"/>
      </w:pPr>
      <w:r>
        <w:rPr>
          <w:rStyle w:val="FootnoteReference"/>
        </w:rPr>
        <w:footnoteRef/>
      </w:r>
      <w:r>
        <w:t xml:space="preserve"> </w:t>
      </w:r>
      <w:r>
        <w:t xml:space="preserve">Krug 2014, PMID 25168622.</w:t>
      </w:r>
    </w:p>
  </w:footnote>
  <w:footnote w:id="179">
    <w:p>
      <w:pPr>
        <w:pStyle w:val="FootnoteText"/>
      </w:pPr>
      <w:r>
        <w:rPr>
          <w:rStyle w:val="FootnoteReference"/>
        </w:rPr>
        <w:footnoteRef/>
      </w:r>
      <w:r>
        <w:t xml:space="preserve"> </w:t>
      </w:r>
      <w:r>
        <w:t xml:space="preserve">Hullstein 2015, PMID 26607218.</w:t>
      </w:r>
    </w:p>
  </w:footnote>
  <w:footnote w:id="180">
    <w:p>
      <w:pPr>
        <w:pStyle w:val="FootnoteText"/>
      </w:pPr>
      <w:r>
        <w:rPr>
          <w:rStyle w:val="FootnoteReference"/>
        </w:rPr>
        <w:footnoteRef/>
      </w:r>
      <w:r>
        <w:t xml:space="preserve"> </w:t>
      </w:r>
      <w:r>
        <w:t xml:space="preserve">Krug 2018, PMID 29864719.</w:t>
      </w:r>
    </w:p>
  </w:footnote>
  <w:footnote w:id="181">
    <w:p>
      <w:pPr>
        <w:pStyle w:val="FootnoteText"/>
      </w:pPr>
      <w:r>
        <w:rPr>
          <w:rStyle w:val="FootnoteReference"/>
        </w:rPr>
        <w:footnoteRef/>
      </w:r>
      <w:r>
        <w:t xml:space="preserve"> </w:t>
      </w:r>
      <w:r>
        <w:t xml:space="preserve">Cox 2017, PMID 28035768.</w:t>
      </w:r>
    </w:p>
  </w:footnote>
  <w:footnote w:id="182">
    <w:p>
      <w:pPr>
        <w:pStyle w:val="FootnoteText"/>
      </w:pPr>
      <w:r>
        <w:rPr>
          <w:rStyle w:val="FootnoteReference"/>
        </w:rPr>
        <w:footnoteRef/>
      </w:r>
      <w:r>
        <w:t xml:space="preserve"> </w:t>
      </w:r>
      <w:r>
        <w:t xml:space="preserve">Janvier 2018, PMID 30165334.</w:t>
      </w:r>
    </w:p>
  </w:footnote>
  <w:footnote w:id="186">
    <w:p>
      <w:pPr>
        <w:pStyle w:val="FootnoteText"/>
      </w:pPr>
      <w:r>
        <w:rPr>
          <w:rStyle w:val="FootnoteReference"/>
        </w:rPr>
        <w:footnoteRef/>
      </w:r>
      <w:r>
        <w:t xml:space="preserve"> </w:t>
      </w:r>
      <w:r>
        <w:t xml:space="preserve">Ashraf 2024, PMID 39509151.</w:t>
      </w:r>
    </w:p>
  </w:footnote>
  <w:footnote w:id="188">
    <w:p>
      <w:pPr>
        <w:pStyle w:val="FootnoteText"/>
      </w:pPr>
      <w:r>
        <w:rPr>
          <w:rStyle w:val="FootnoteReference"/>
        </w:rPr>
        <w:footnoteRef/>
      </w:r>
      <w:r>
        <w:t xml:space="preserve"> </w:t>
      </w:r>
      <w:r>
        <w:t xml:space="preserve">Ashraf 2024, PMID 39509151.</w:t>
      </w:r>
    </w:p>
  </w:footnote>
  <w:footnote w:id="190">
    <w:p>
      <w:pPr>
        <w:pStyle w:val="FootnoteText"/>
      </w:pPr>
      <w:r>
        <w:rPr>
          <w:rStyle w:val="FootnoteReference"/>
        </w:rPr>
        <w:footnoteRef/>
      </w:r>
      <w:r>
        <w:t xml:space="preserve"> </w:t>
      </w:r>
      <w:r>
        <w:t xml:space="preserve">Lambson 2023, PMID 37392810.</w:t>
      </w:r>
    </w:p>
  </w:footnote>
  <w:footnote w:id="192">
    <w:p>
      <w:pPr>
        <w:pStyle w:val="FootnoteText"/>
      </w:pPr>
      <w:r>
        <w:rPr>
          <w:rStyle w:val="FootnoteReference"/>
        </w:rPr>
        <w:footnoteRef/>
      </w:r>
      <w:r>
        <w:t xml:space="preserve"> </w:t>
      </w:r>
      <w:r>
        <w:t xml:space="preserve">Ruder 2024, PMID 39028647.</w:t>
      </w:r>
    </w:p>
  </w:footnote>
  <w:footnote w:id="193">
    <w:p>
      <w:pPr>
        <w:pStyle w:val="FootnoteText"/>
      </w:pPr>
      <w:r>
        <w:rPr>
          <w:rStyle w:val="FootnoteReference"/>
        </w:rPr>
        <w:footnoteRef/>
      </w:r>
      <w:r>
        <w:t xml:space="preserve"> </w:t>
      </w:r>
      <w:r>
        <w:t xml:space="preserve">Antonacci 2026, PMID 41125326.</w:t>
      </w:r>
    </w:p>
  </w:footnote>
  <w:footnote w:id="194">
    <w:p>
      <w:pPr>
        <w:pStyle w:val="FootnoteText"/>
      </w:pPr>
      <w:r>
        <w:rPr>
          <w:rStyle w:val="FootnoteReference"/>
        </w:rPr>
        <w:footnoteRef/>
      </w:r>
      <w:r>
        <w:t xml:space="preserve"> </w:t>
      </w:r>
      <w:r>
        <w:t xml:space="preserve">Stammers 2026, PMID 42390457.</w:t>
      </w:r>
    </w:p>
  </w:footnote>
  <w:footnote w:id="195">
    <w:p>
      <w:pPr>
        <w:pStyle w:val="FootnoteText"/>
      </w:pPr>
      <w:r>
        <w:rPr>
          <w:rStyle w:val="FootnoteReference"/>
        </w:rPr>
        <w:footnoteRef/>
      </w:r>
      <w:r>
        <w:t xml:space="preserve"> </w:t>
      </w:r>
      <w:r>
        <w:t xml:space="preserve">Zinzi 2026, PMID 42137313.</w:t>
      </w:r>
    </w:p>
  </w:footnote>
  <w:footnote w:id="197">
    <w:p>
      <w:pPr>
        <w:pStyle w:val="FootnoteText"/>
      </w:pPr>
      <w:r>
        <w:rPr>
          <w:rStyle w:val="FootnoteReference"/>
        </w:rPr>
        <w:footnoteRef/>
      </w:r>
      <w:r>
        <w:t xml:space="preserve"> </w:t>
      </w:r>
      <w:r>
        <w:t xml:space="preserve">Rubin 2026, PMID 42853576.</w:t>
      </w:r>
    </w:p>
  </w:footnote>
  <w:footnote w:id="198">
    <w:p>
      <w:pPr>
        <w:pStyle w:val="FootnoteText"/>
      </w:pPr>
      <w:r>
        <w:rPr>
          <w:rStyle w:val="FootnoteReference"/>
        </w:rPr>
        <w:footnoteRef/>
      </w:r>
      <w:r>
        <w:t xml:space="preserve"> </w:t>
      </w:r>
      <w:r>
        <w:t xml:space="preserve">Buzzi 2026, PMID 42843917.</w:t>
      </w:r>
    </w:p>
  </w:footnote>
  <w:footnote w:id="200">
    <w:p>
      <w:pPr>
        <w:pStyle w:val="FootnoteText"/>
      </w:pPr>
      <w:r>
        <w:rPr>
          <w:rStyle w:val="FootnoteReference"/>
        </w:rPr>
        <w:footnoteRef/>
      </w:r>
      <w:r>
        <w:t xml:space="preserve"> </w:t>
      </w:r>
      <w:r>
        <w:t xml:space="preserve">Nelson 2012, PMID 23121206.</w:t>
      </w:r>
    </w:p>
  </w:footnote>
  <w:footnote w:id="201">
    <w:p>
      <w:pPr>
        <w:pStyle w:val="FootnoteText"/>
      </w:pPr>
      <w:r>
        <w:rPr>
          <w:rStyle w:val="FootnoteReference"/>
        </w:rPr>
        <w:footnoteRef/>
      </w:r>
      <w:r>
        <w:t xml:space="preserve"> </w:t>
      </w:r>
      <w:r>
        <w:t xml:space="preserve">Moiz 2026, PMID 42757290.</w:t>
      </w:r>
    </w:p>
  </w:footnote>
  <w:footnote w:id="202">
    <w:p>
      <w:pPr>
        <w:pStyle w:val="FootnoteText"/>
      </w:pPr>
      <w:r>
        <w:rPr>
          <w:rStyle w:val="FootnoteReference"/>
        </w:rPr>
        <w:footnoteRef/>
      </w:r>
      <w:r>
        <w:t xml:space="preserve"> </w:t>
      </w:r>
      <w:r>
        <w:t xml:space="preserve">Mendias 2026, PMID 41966639.</w:t>
      </w:r>
    </w:p>
  </w:footnote>
  <w:footnote w:id="204">
    <w:p>
      <w:pPr>
        <w:pStyle w:val="FootnoteText"/>
      </w:pPr>
      <w:r>
        <w:rPr>
          <w:rStyle w:val="FootnoteReference"/>
        </w:rPr>
        <w:footnoteRef/>
      </w:r>
      <w:r>
        <w:t xml:space="preserve"> </w:t>
      </w:r>
      <w:r>
        <w:t xml:space="preserve">McCall 2026, PMID 40285721.</w:t>
      </w:r>
    </w:p>
  </w:footnote>
  <w:footnote w:id="205">
    <w:p>
      <w:pPr>
        <w:pStyle w:val="FootnoteText"/>
      </w:pPr>
      <w:r>
        <w:rPr>
          <w:rStyle w:val="FootnoteReference"/>
        </w:rPr>
        <w:footnoteRef/>
      </w:r>
      <w:r>
        <w:t xml:space="preserve"> </w:t>
      </w:r>
      <w:r>
        <w:t xml:space="preserve">Belcourt 2026, PMID 41689811.</w:t>
      </w:r>
    </w:p>
  </w:footnote>
  <w:footnote w:id="207">
    <w:p>
      <w:pPr>
        <w:pStyle w:val="FootnoteText"/>
      </w:pPr>
      <w:r>
        <w:rPr>
          <w:rStyle w:val="FootnoteReference"/>
        </w:rPr>
        <w:footnoteRef/>
      </w:r>
      <w:r>
        <w:t xml:space="preserve"> </w:t>
      </w:r>
      <w:r>
        <w:t xml:space="preserve">Hailu 2026, PMID 42437212.</w:t>
      </w:r>
    </w:p>
  </w:footnote>
  <w:footnote w:id="215">
    <w:p>
      <w:pPr>
        <w:pStyle w:val="FootnoteText"/>
      </w:pPr>
      <w:r>
        <w:rPr>
          <w:rStyle w:val="FootnoteReference"/>
        </w:rPr>
        <w:footnoteRef/>
      </w:r>
      <w:r>
        <w:t xml:space="preserve"> </w:t>
      </w:r>
      <w:r>
        <w:t xml:space="preserve">Thomas 2010, PMID 20878896.</w:t>
      </w:r>
    </w:p>
  </w:footnote>
  <w:footnote w:id="221">
    <w:p>
      <w:pPr>
        <w:pStyle w:val="FootnoteText"/>
      </w:pPr>
      <w:r>
        <w:rPr>
          <w:rStyle w:val="FootnoteReference"/>
        </w:rPr>
        <w:footnoteRef/>
      </w:r>
      <w:r>
        <w:t xml:space="preserve"> </w:t>
      </w:r>
      <w:r>
        <w:t xml:space="preserve">Belcourt 2026, PMID 41689811.</w:t>
      </w:r>
    </w:p>
  </w:footnote>
  <w:footnote w:id="222">
    <w:p>
      <w:pPr>
        <w:pStyle w:val="FootnoteText"/>
      </w:pPr>
      <w:r>
        <w:rPr>
          <w:rStyle w:val="FootnoteReference"/>
        </w:rPr>
        <w:footnoteRef/>
      </w:r>
      <w:r>
        <w:t xml:space="preserve"> </w:t>
      </w:r>
      <w:r>
        <w:t xml:space="preserve">Belcourt 2025, PMID 39285774.</w:t>
      </w:r>
    </w:p>
  </w:footnote>
  <w:footnote w:id="224">
    <w:p>
      <w:pPr>
        <w:pStyle w:val="FootnoteText"/>
      </w:pPr>
      <w:r>
        <w:rPr>
          <w:rStyle w:val="FootnoteReference"/>
        </w:rPr>
        <w:footnoteRef/>
      </w:r>
      <w:r>
        <w:t xml:space="preserve"> </w:t>
      </w:r>
      <w:r>
        <w:t xml:space="preserve">Cox 2017, PMID 28035768.</w:t>
      </w:r>
    </w:p>
  </w:footnote>
  <w:footnote w:id="234">
    <w:p>
      <w:pPr>
        <w:pStyle w:val="FootnoteText"/>
      </w:pPr>
      <w:r>
        <w:rPr>
          <w:rStyle w:val="FootnoteReference"/>
        </w:rPr>
        <w:footnoteRef/>
      </w:r>
      <w:r>
        <w:t xml:space="preserve"> </w:t>
      </w:r>
      <w:r>
        <w:t xml:space="preserve">Eng 1992, PMID 1313797.</w:t>
      </w:r>
    </w:p>
  </w:footnote>
  <w:footnote w:id="237">
    <w:p>
      <w:pPr>
        <w:pStyle w:val="FootnoteText"/>
      </w:pPr>
      <w:r>
        <w:rPr>
          <w:rStyle w:val="FootnoteReference"/>
        </w:rPr>
        <w:footnoteRef/>
      </w:r>
      <w:r>
        <w:t xml:space="preserve"> </w:t>
      </w:r>
      <w:r>
        <w:t xml:space="preserve">Heine 2005, PMID 16230722.</w:t>
      </w:r>
    </w:p>
  </w:footnote>
  <w:footnote w:id="239">
    <w:p>
      <w:pPr>
        <w:pStyle w:val="FootnoteText"/>
      </w:pPr>
      <w:r>
        <w:rPr>
          <w:rStyle w:val="FootnoteReference"/>
        </w:rPr>
        <w:footnoteRef/>
      </w:r>
      <w:r>
        <w:t xml:space="preserve"> </w:t>
      </w:r>
      <w:r>
        <w:t xml:space="preserve">Wysham 2015, PMID 25744115.</w:t>
      </w:r>
    </w:p>
  </w:footnote>
  <w:footnote w:id="240">
    <w:p>
      <w:pPr>
        <w:pStyle w:val="FootnoteText"/>
      </w:pPr>
      <w:r>
        <w:rPr>
          <w:rStyle w:val="FootnoteReference"/>
        </w:rPr>
        <w:footnoteRef/>
      </w:r>
      <w:r>
        <w:t xml:space="preserve"> </w:t>
      </w:r>
      <w:r>
        <w:t xml:space="preserve">Bergenstal 2010, PMID 20580422.</w:t>
      </w:r>
    </w:p>
  </w:footnote>
  <w:footnote w:id="241">
    <w:p>
      <w:pPr>
        <w:pStyle w:val="FootnoteText"/>
      </w:pPr>
      <w:r>
        <w:rPr>
          <w:rStyle w:val="FootnoteReference"/>
        </w:rPr>
        <w:footnoteRef/>
      </w:r>
      <w:r>
        <w:t xml:space="preserve"> </w:t>
      </w:r>
      <w:r>
        <w:t xml:space="preserve">Diamant 2010, PMID 20609969.</w:t>
      </w:r>
    </w:p>
  </w:footnote>
  <w:footnote w:id="243">
    <w:p>
      <w:pPr>
        <w:pStyle w:val="FootnoteText"/>
      </w:pPr>
      <w:r>
        <w:rPr>
          <w:rStyle w:val="FootnoteReference"/>
        </w:rPr>
        <w:footnoteRef/>
      </w:r>
      <w:r>
        <w:t xml:space="preserve"> </w:t>
      </w:r>
      <w:r>
        <w:t xml:space="preserve">Buse 2013, PMID 23141817.</w:t>
      </w:r>
    </w:p>
  </w:footnote>
  <w:footnote w:id="244">
    <w:p>
      <w:pPr>
        <w:pStyle w:val="FootnoteText"/>
      </w:pPr>
      <w:r>
        <w:rPr>
          <w:rStyle w:val="FootnoteReference"/>
        </w:rPr>
        <w:footnoteRef/>
      </w:r>
      <w:r>
        <w:t xml:space="preserve"> </w:t>
      </w:r>
      <w:r>
        <w:t xml:space="preserve">Ahmann 2018, PMID 29246950.</w:t>
      </w:r>
    </w:p>
  </w:footnote>
  <w:footnote w:id="246">
    <w:p>
      <w:pPr>
        <w:pStyle w:val="FootnoteText"/>
      </w:pPr>
      <w:r>
        <w:rPr>
          <w:rStyle w:val="FootnoteReference"/>
        </w:rPr>
        <w:footnoteRef/>
      </w:r>
      <w:r>
        <w:t xml:space="preserve"> </w:t>
      </w:r>
      <w:r>
        <w:t xml:space="preserve">Holman 2017, PMID 28910237.</w:t>
      </w:r>
    </w:p>
  </w:footnote>
  <w:footnote w:id="247">
    <w:p>
      <w:pPr>
        <w:pStyle w:val="FootnoteText"/>
      </w:pPr>
      <w:r>
        <w:rPr>
          <w:rStyle w:val="FootnoteReference"/>
        </w:rPr>
        <w:footnoteRef/>
      </w:r>
      <w:r>
        <w:t xml:space="preserve"> </w:t>
      </w:r>
      <w:r>
        <w:t xml:space="preserve">Kristensen 2019, PMID 31422062.</w:t>
      </w:r>
    </w:p>
  </w:footnote>
  <w:footnote w:id="248">
    <w:p>
      <w:pPr>
        <w:pStyle w:val="FootnoteText"/>
      </w:pPr>
      <w:r>
        <w:rPr>
          <w:rStyle w:val="FootnoteReference"/>
        </w:rPr>
        <w:footnoteRef/>
      </w:r>
      <w:r>
        <w:t xml:space="preserve"> </w:t>
      </w:r>
      <w:r>
        <w:t xml:space="preserve">Ruff 2022, PMID 34873344.</w:t>
      </w:r>
    </w:p>
  </w:footnote>
  <w:footnote w:id="250">
    <w:p>
      <w:pPr>
        <w:pStyle w:val="FootnoteText"/>
      </w:pPr>
      <w:r>
        <w:rPr>
          <w:rStyle w:val="FootnoteReference"/>
        </w:rPr>
        <w:footnoteRef/>
      </w:r>
      <w:r>
        <w:t xml:space="preserve"> </w:t>
      </w:r>
      <w:r>
        <w:t xml:space="preserve">Rosenstock 2010, PMID 20332357.</w:t>
      </w:r>
    </w:p>
  </w:footnote>
  <w:footnote w:id="251">
    <w:p>
      <w:pPr>
        <w:pStyle w:val="FootnoteText"/>
      </w:pPr>
      <w:r>
        <w:rPr>
          <w:rStyle w:val="FootnoteReference"/>
        </w:rPr>
        <w:footnoteRef/>
      </w:r>
      <w:r>
        <w:t xml:space="preserve"> </w:t>
      </w:r>
      <w:r>
        <w:t xml:space="preserve">Su 2016, PMID 27343423.</w:t>
      </w:r>
    </w:p>
  </w:footnote>
  <w:footnote w:id="252">
    <w:p>
      <w:pPr>
        <w:pStyle w:val="FootnoteText"/>
      </w:pPr>
      <w:r>
        <w:rPr>
          <w:rStyle w:val="FootnoteReference"/>
        </w:rPr>
        <w:footnoteRef/>
      </w:r>
      <w:r>
        <w:t xml:space="preserve"> </w:t>
      </w:r>
      <w:r>
        <w:t xml:space="preserve">Tamborlane 2022, PMID 35679098.</w:t>
      </w:r>
    </w:p>
  </w:footnote>
  <w:footnote w:id="254">
    <w:p>
      <w:pPr>
        <w:pStyle w:val="FootnoteText"/>
      </w:pPr>
      <w:r>
        <w:rPr>
          <w:rStyle w:val="FootnoteReference"/>
        </w:rPr>
        <w:footnoteRef/>
      </w:r>
      <w:r>
        <w:t xml:space="preserve"> </w:t>
      </w:r>
      <w:r>
        <w:t xml:space="preserve">PMID 28781108.</w:t>
      </w:r>
    </w:p>
  </w:footnote>
  <w:footnote w:id="255">
    <w:p>
      <w:pPr>
        <w:pStyle w:val="FootnoteText"/>
      </w:pPr>
      <w:r>
        <w:rPr>
          <w:rStyle w:val="FootnoteReference"/>
        </w:rPr>
        <w:footnoteRef/>
      </w:r>
      <w:r>
        <w:t xml:space="preserve"> </w:t>
      </w:r>
      <w:r>
        <w:t xml:space="preserve">Vijiaratnam 2025, PMID 39919773.</w:t>
      </w:r>
    </w:p>
  </w:footnote>
  <w:footnote w:id="256">
    <w:p>
      <w:pPr>
        <w:pStyle w:val="FootnoteText"/>
      </w:pPr>
      <w:r>
        <w:rPr>
          <w:rStyle w:val="FootnoteReference"/>
        </w:rPr>
        <w:footnoteRef/>
      </w:r>
      <w:r>
        <w:t xml:space="preserve"> </w:t>
      </w:r>
      <w:r>
        <w:t xml:space="preserve">McGarry 2024, PMID 38101901.</w:t>
      </w:r>
    </w:p>
  </w:footnote>
  <w:footnote w:id="257">
    <w:p>
      <w:pPr>
        <w:pStyle w:val="FootnoteText"/>
      </w:pPr>
      <w:r>
        <w:rPr>
          <w:rStyle w:val="FootnoteReference"/>
        </w:rPr>
        <w:footnoteRef/>
      </w:r>
      <w:r>
        <w:t xml:space="preserve"> </w:t>
      </w:r>
      <w:r>
        <w:t xml:space="preserve">Vijiaratnam 2025, PMID 40727970.</w:t>
      </w:r>
    </w:p>
  </w:footnote>
  <w:footnote w:id="259">
    <w:p>
      <w:pPr>
        <w:pStyle w:val="FootnoteText"/>
      </w:pPr>
      <w:r>
        <w:rPr>
          <w:rStyle w:val="FootnoteReference"/>
        </w:rPr>
        <w:footnoteRef/>
      </w:r>
      <w:r>
        <w:t xml:space="preserve"> </w:t>
      </w:r>
      <w:r>
        <w:t xml:space="preserve">Mullins 2019, PMID 31518224.</w:t>
      </w:r>
    </w:p>
  </w:footnote>
  <w:footnote w:id="260">
    <w:p>
      <w:pPr>
        <w:pStyle w:val="FootnoteText"/>
      </w:pPr>
      <w:r>
        <w:rPr>
          <w:rStyle w:val="FootnoteReference"/>
        </w:rPr>
        <w:footnoteRef/>
      </w:r>
      <w:r>
        <w:t xml:space="preserve"> </w:t>
      </w:r>
      <w:r>
        <w:t xml:space="preserve">Dei Cas 2024, PMID 38565814.</w:t>
      </w:r>
    </w:p>
  </w:footnote>
  <w:footnote w:id="261">
    <w:p>
      <w:pPr>
        <w:pStyle w:val="FootnoteText"/>
      </w:pPr>
      <w:r>
        <w:rPr>
          <w:rStyle w:val="FootnoteReference"/>
        </w:rPr>
        <w:footnoteRef/>
      </w:r>
      <w:r>
        <w:t xml:space="preserve"> </w:t>
      </w:r>
      <w:r>
        <w:t xml:space="preserve">Klausen 2022, PMID 36066977.</w:t>
      </w:r>
    </w:p>
  </w:footnote>
  <w:footnote w:id="262">
    <w:p>
      <w:pPr>
        <w:pStyle w:val="FootnoteText"/>
      </w:pPr>
      <w:r>
        <w:rPr>
          <w:rStyle w:val="FootnoteReference"/>
        </w:rPr>
        <w:footnoteRef/>
      </w:r>
      <w:r>
        <w:t xml:space="preserve"> </w:t>
      </w:r>
      <w:r>
        <w:t xml:space="preserve">Mitchell 2023, PMID 36907221.</w:t>
      </w:r>
    </w:p>
  </w:footnote>
  <w:footnote w:id="265">
    <w:p>
      <w:pPr>
        <w:pStyle w:val="FootnoteText"/>
      </w:pPr>
      <w:r>
        <w:rPr>
          <w:rStyle w:val="FootnoteReference"/>
        </w:rPr>
        <w:footnoteRef/>
      </w:r>
      <w:r>
        <w:t xml:space="preserve"> </w:t>
      </w:r>
      <w:r>
        <w:t xml:space="preserve">Eng 1992, PMID 1313797.</w:t>
      </w:r>
    </w:p>
  </w:footnote>
  <w:footnote w:id="266">
    <w:p>
      <w:pPr>
        <w:pStyle w:val="FootnoteText"/>
      </w:pPr>
      <w:r>
        <w:rPr>
          <w:rStyle w:val="FootnoteReference"/>
        </w:rPr>
        <w:footnoteRef/>
      </w:r>
      <w:r>
        <w:t xml:space="preserve"> </w:t>
      </w:r>
      <w:r>
        <w:t xml:space="preserve">Xu 1999, PMID 10580413.</w:t>
      </w:r>
    </w:p>
  </w:footnote>
  <w:footnote w:id="267">
    <w:p>
      <w:pPr>
        <w:pStyle w:val="FootnoteText"/>
      </w:pPr>
      <w:r>
        <w:rPr>
          <w:rStyle w:val="FootnoteReference"/>
        </w:rPr>
        <w:footnoteRef/>
      </w:r>
      <w:r>
        <w:t xml:space="preserve"> </w:t>
      </w:r>
      <w:r>
        <w:t xml:space="preserve">Bjerre Knudsen 2010, PMID 20203154.</w:t>
      </w:r>
    </w:p>
  </w:footnote>
  <w:footnote w:id="269">
    <w:p>
      <w:pPr>
        <w:pStyle w:val="FootnoteText"/>
      </w:pPr>
      <w:r>
        <w:rPr>
          <w:rStyle w:val="FootnoteReference"/>
        </w:rPr>
        <w:footnoteRef/>
      </w:r>
      <w:r>
        <w:t xml:space="preserve"> </w:t>
      </w:r>
      <w:r>
        <w:t xml:space="preserve">Heine 2005, PMID 16230722.</w:t>
      </w:r>
    </w:p>
  </w:footnote>
  <w:footnote w:id="270">
    <w:p>
      <w:pPr>
        <w:pStyle w:val="FootnoteText"/>
      </w:pPr>
      <w:r>
        <w:rPr>
          <w:rStyle w:val="FootnoteReference"/>
        </w:rPr>
        <w:footnoteRef/>
      </w:r>
      <w:r>
        <w:t xml:space="preserve"> </w:t>
      </w:r>
      <w:r>
        <w:t xml:space="preserve">Buse 2013, PMID 23141817.</w:t>
      </w:r>
    </w:p>
  </w:footnote>
  <w:footnote w:id="271">
    <w:p>
      <w:pPr>
        <w:pStyle w:val="FootnoteText"/>
      </w:pPr>
      <w:r>
        <w:rPr>
          <w:rStyle w:val="FootnoteReference"/>
        </w:rPr>
        <w:footnoteRef/>
      </w:r>
      <w:r>
        <w:t xml:space="preserve"> </w:t>
      </w:r>
      <w:r>
        <w:t xml:space="preserve">Kendall 2005, PMID 15855571.</w:t>
      </w:r>
    </w:p>
  </w:footnote>
  <w:footnote w:id="272">
    <w:p>
      <w:pPr>
        <w:pStyle w:val="FootnoteText"/>
      </w:pPr>
      <w:r>
        <w:rPr>
          <w:rStyle w:val="FootnoteReference"/>
        </w:rPr>
        <w:footnoteRef/>
      </w:r>
      <w:r>
        <w:t xml:space="preserve"> </w:t>
      </w:r>
      <w:r>
        <w:t xml:space="preserve">Wysham 2015, PMID 25744115.</w:t>
      </w:r>
    </w:p>
  </w:footnote>
  <w:footnote w:id="273">
    <w:p>
      <w:pPr>
        <w:pStyle w:val="FootnoteText"/>
      </w:pPr>
      <w:r>
        <w:rPr>
          <w:rStyle w:val="FootnoteReference"/>
        </w:rPr>
        <w:footnoteRef/>
      </w:r>
      <w:r>
        <w:t xml:space="preserve"> </w:t>
      </w:r>
      <w:r>
        <w:t xml:space="preserve">Dore 2013, PMID 23981106.</w:t>
      </w:r>
    </w:p>
  </w:footnote>
  <w:footnote w:id="274">
    <w:p>
      <w:pPr>
        <w:pStyle w:val="FootnoteText"/>
      </w:pPr>
      <w:r>
        <w:rPr>
          <w:rStyle w:val="FootnoteReference"/>
        </w:rPr>
        <w:footnoteRef/>
      </w:r>
      <w:r>
        <w:t xml:space="preserve"> </w:t>
      </w:r>
      <w:r>
        <w:t xml:space="preserve">Holman 2017, PMID 28910237.</w:t>
      </w:r>
    </w:p>
  </w:footnote>
  <w:footnote w:id="275">
    <w:p>
      <w:pPr>
        <w:pStyle w:val="FootnoteText"/>
      </w:pPr>
      <w:r>
        <w:rPr>
          <w:rStyle w:val="FootnoteReference"/>
        </w:rPr>
        <w:footnoteRef/>
      </w:r>
      <w:r>
        <w:t xml:space="preserve"> </w:t>
      </w:r>
      <w:r>
        <w:t xml:space="preserve">Liang 2019, PMID 30474347.</w:t>
      </w:r>
    </w:p>
  </w:footnote>
  <w:footnote w:id="276">
    <w:p>
      <w:pPr>
        <w:pStyle w:val="FootnoteText"/>
      </w:pPr>
      <w:r>
        <w:rPr>
          <w:rStyle w:val="FootnoteReference"/>
        </w:rPr>
        <w:footnoteRef/>
      </w:r>
      <w:r>
        <w:t xml:space="preserve"> </w:t>
      </w:r>
      <w:r>
        <w:t xml:space="preserve">Silverii 2025, PMID 40437949.</w:t>
      </w:r>
    </w:p>
  </w:footnote>
  <w:footnote w:id="277">
    <w:p>
      <w:pPr>
        <w:pStyle w:val="FootnoteText"/>
      </w:pPr>
      <w:r>
        <w:rPr>
          <w:rStyle w:val="FootnoteReference"/>
        </w:rPr>
        <w:footnoteRef/>
      </w:r>
      <w:r>
        <w:t xml:space="preserve"> </w:t>
      </w:r>
      <w:r>
        <w:t xml:space="preserve">NCT05663515.</w:t>
      </w:r>
    </w:p>
  </w:footnote>
  <w:footnote w:id="280">
    <w:p>
      <w:pPr>
        <w:pStyle w:val="FootnoteText"/>
      </w:pPr>
      <w:r>
        <w:rPr>
          <w:rStyle w:val="FootnoteReference"/>
        </w:rPr>
        <w:footnoteRef/>
      </w:r>
      <w:r>
        <w:t xml:space="preserve"> </w:t>
      </w:r>
      <w:r>
        <w:t xml:space="preserve">Ji 2021, PMID 33687487.</w:t>
      </w:r>
    </w:p>
  </w:footnote>
  <w:footnote w:id="281">
    <w:p>
      <w:pPr>
        <w:pStyle w:val="FootnoteText"/>
      </w:pPr>
      <w:r>
        <w:rPr>
          <w:rStyle w:val="FootnoteReference"/>
        </w:rPr>
        <w:footnoteRef/>
      </w:r>
      <w:r>
        <w:t xml:space="preserve"> </w:t>
      </w:r>
      <w:r>
        <w:t xml:space="preserve">NCT06254014, NCT06257966.</w:t>
      </w:r>
    </w:p>
  </w:footnote>
  <w:footnote w:id="282">
    <w:p>
      <w:pPr>
        <w:pStyle w:val="FootnoteText"/>
      </w:pPr>
      <w:r>
        <w:rPr>
          <w:rStyle w:val="FootnoteReference"/>
        </w:rPr>
        <w:footnoteRef/>
      </w:r>
      <w:r>
        <w:t xml:space="preserve"> </w:t>
      </w:r>
      <w:r>
        <w:t xml:space="preserve">NCT07497399.</w:t>
      </w:r>
    </w:p>
  </w:footnote>
  <w:footnote w:id="283">
    <w:p>
      <w:pPr>
        <w:pStyle w:val="FootnoteText"/>
      </w:pPr>
      <w:r>
        <w:rPr>
          <w:rStyle w:val="FootnoteReference"/>
        </w:rPr>
        <w:footnoteRef/>
      </w:r>
      <w:r>
        <w:t xml:space="preserve"> </w:t>
      </w:r>
      <w:r>
        <w:t xml:space="preserve">NCT05663515.</w:t>
      </w:r>
    </w:p>
  </w:footnote>
  <w:footnote w:id="284">
    <w:p>
      <w:pPr>
        <w:pStyle w:val="FootnoteText"/>
      </w:pPr>
      <w:r>
        <w:rPr>
          <w:rStyle w:val="FootnoteReference"/>
        </w:rPr>
        <w:footnoteRef/>
      </w:r>
      <w:r>
        <w:t xml:space="preserve"> </w:t>
      </w:r>
      <w:r>
        <w:t xml:space="preserve">NCT01511393.</w:t>
      </w:r>
    </w:p>
  </w:footnote>
  <w:footnote w:id="285">
    <w:p>
      <w:pPr>
        <w:pStyle w:val="FootnoteText"/>
      </w:pPr>
      <w:r>
        <w:rPr>
          <w:rStyle w:val="FootnoteReference"/>
        </w:rPr>
        <w:footnoteRef/>
      </w:r>
      <w:r>
        <w:t xml:space="preserve"> </w:t>
      </w:r>
      <w:r>
        <w:t xml:space="preserve">NCT07808879.</w:t>
      </w:r>
    </w:p>
  </w:footnote>
  <w:footnote w:id="289">
    <w:p>
      <w:pPr>
        <w:pStyle w:val="FootnoteText"/>
      </w:pPr>
      <w:r>
        <w:rPr>
          <w:rStyle w:val="FootnoteReference"/>
        </w:rPr>
        <w:footnoteRef/>
      </w:r>
      <w:r>
        <w:t xml:space="preserve"> </w:t>
      </w:r>
      <w:r>
        <w:t xml:space="preserve">Knudsen 2019, PMID 31031702.</w:t>
      </w:r>
    </w:p>
  </w:footnote>
  <w:footnote w:id="291">
    <w:p>
      <w:pPr>
        <w:pStyle w:val="FootnoteText"/>
      </w:pPr>
      <w:r>
        <w:rPr>
          <w:rStyle w:val="FootnoteReference"/>
        </w:rPr>
        <w:footnoteRef/>
      </w:r>
      <w:r>
        <w:t xml:space="preserve"> </w:t>
      </w:r>
      <w:r>
        <w:t xml:space="preserve">Secher 2014, PMID 25202980.</w:t>
      </w:r>
    </w:p>
  </w:footnote>
  <w:footnote w:id="292">
    <w:p>
      <w:pPr>
        <w:pStyle w:val="FootnoteText"/>
      </w:pPr>
      <w:r>
        <w:rPr>
          <w:rStyle w:val="FootnoteReference"/>
        </w:rPr>
        <w:footnoteRef/>
      </w:r>
      <w:r>
        <w:t xml:space="preserve"> </w:t>
      </w:r>
      <w:r>
        <w:t xml:space="preserve">Knudsen 2019, PMID 31031702.</w:t>
      </w:r>
    </w:p>
  </w:footnote>
  <w:footnote w:id="294">
    <w:p>
      <w:pPr>
        <w:pStyle w:val="FootnoteText"/>
      </w:pPr>
      <w:r>
        <w:rPr>
          <w:rStyle w:val="FootnoteReference"/>
        </w:rPr>
        <w:footnoteRef/>
      </w:r>
      <w:r>
        <w:t xml:space="preserve"> </w:t>
      </w:r>
      <w:r>
        <w:t xml:space="preserve">Garber 2009, PMID 18819705.</w:t>
      </w:r>
    </w:p>
  </w:footnote>
  <w:footnote w:id="295">
    <w:p>
      <w:pPr>
        <w:pStyle w:val="FootnoteText"/>
      </w:pPr>
      <w:r>
        <w:rPr>
          <w:rStyle w:val="FootnoteReference"/>
        </w:rPr>
        <w:footnoteRef/>
      </w:r>
      <w:r>
        <w:t xml:space="preserve"> </w:t>
      </w:r>
      <w:r>
        <w:t xml:space="preserve">Pratley 2010, PMID 20417856.</w:t>
      </w:r>
    </w:p>
  </w:footnote>
  <w:footnote w:id="297">
    <w:p>
      <w:pPr>
        <w:pStyle w:val="FootnoteText"/>
      </w:pPr>
      <w:r>
        <w:rPr>
          <w:rStyle w:val="FootnoteReference"/>
        </w:rPr>
        <w:footnoteRef/>
      </w:r>
      <w:r>
        <w:t xml:space="preserve"> </w:t>
      </w:r>
      <w:r>
        <w:t xml:space="preserve">Buse 2009, PMID 19515413.</w:t>
      </w:r>
    </w:p>
  </w:footnote>
  <w:footnote w:id="298">
    <w:p>
      <w:pPr>
        <w:pStyle w:val="FootnoteText"/>
      </w:pPr>
      <w:r>
        <w:rPr>
          <w:rStyle w:val="FootnoteReference"/>
        </w:rPr>
        <w:footnoteRef/>
      </w:r>
      <w:r>
        <w:t xml:space="preserve"> </w:t>
      </w:r>
      <w:r>
        <w:t xml:space="preserve">Dungan 2014, PMID 25018121.</w:t>
      </w:r>
    </w:p>
  </w:footnote>
  <w:footnote w:id="299">
    <w:p>
      <w:pPr>
        <w:pStyle w:val="FootnoteText"/>
      </w:pPr>
      <w:r>
        <w:rPr>
          <w:rStyle w:val="FootnoteReference"/>
        </w:rPr>
        <w:footnoteRef/>
      </w:r>
      <w:r>
        <w:t xml:space="preserve"> </w:t>
      </w:r>
      <w:r>
        <w:t xml:space="preserve">Rubino 2022, PMID 35015037.</w:t>
      </w:r>
    </w:p>
  </w:footnote>
  <w:footnote w:id="300">
    <w:p>
      <w:pPr>
        <w:pStyle w:val="FootnoteText"/>
      </w:pPr>
      <w:r>
        <w:rPr>
          <w:rStyle w:val="FootnoteReference"/>
        </w:rPr>
        <w:footnoteRef/>
      </w:r>
      <w:r>
        <w:t xml:space="preserve"> </w:t>
      </w:r>
      <w:r>
        <w:t xml:space="preserve">Pratley 2019, PMID 31186120.</w:t>
      </w:r>
    </w:p>
  </w:footnote>
  <w:footnote w:id="302">
    <w:p>
      <w:pPr>
        <w:pStyle w:val="FootnoteText"/>
      </w:pPr>
      <w:r>
        <w:rPr>
          <w:rStyle w:val="FootnoteReference"/>
        </w:rPr>
        <w:footnoteRef/>
      </w:r>
      <w:r>
        <w:t xml:space="preserve"> </w:t>
      </w:r>
      <w:r>
        <w:t xml:space="preserve">Marso 2016, PMID 27295427.</w:t>
      </w:r>
    </w:p>
  </w:footnote>
  <w:footnote w:id="303">
    <w:p>
      <w:pPr>
        <w:pStyle w:val="FootnoteText"/>
      </w:pPr>
      <w:r>
        <w:rPr>
          <w:rStyle w:val="FootnoteReference"/>
        </w:rPr>
        <w:footnoteRef/>
      </w:r>
      <w:r>
        <w:t xml:space="preserve"> </w:t>
      </w:r>
      <w:r>
        <w:t xml:space="preserve">Mann 2017, PMID 28854085.</w:t>
      </w:r>
    </w:p>
  </w:footnote>
  <w:footnote w:id="304">
    <w:p>
      <w:pPr>
        <w:pStyle w:val="FootnoteText"/>
      </w:pPr>
      <w:r>
        <w:rPr>
          <w:rStyle w:val="FootnoteReference"/>
        </w:rPr>
        <w:footnoteRef/>
      </w:r>
      <w:r>
        <w:t xml:space="preserve"> </w:t>
      </w:r>
      <w:r>
        <w:t xml:space="preserve">Margulies 2016, PMID 27483064.</w:t>
      </w:r>
    </w:p>
  </w:footnote>
  <w:footnote w:id="306">
    <w:p>
      <w:pPr>
        <w:pStyle w:val="FootnoteText"/>
      </w:pPr>
      <w:r>
        <w:rPr>
          <w:rStyle w:val="FootnoteReference"/>
        </w:rPr>
        <w:footnoteRef/>
      </w:r>
      <w:r>
        <w:t xml:space="preserve"> </w:t>
      </w:r>
      <w:r>
        <w:t xml:space="preserve">Pi-Sunyer 2015, PMID 26132939.</w:t>
      </w:r>
    </w:p>
  </w:footnote>
  <w:footnote w:id="307">
    <w:p>
      <w:pPr>
        <w:pStyle w:val="FootnoteText"/>
      </w:pPr>
      <w:r>
        <w:rPr>
          <w:rStyle w:val="FootnoteReference"/>
        </w:rPr>
        <w:footnoteRef/>
      </w:r>
      <w:r>
        <w:t xml:space="preserve"> </w:t>
      </w:r>
      <w:r>
        <w:t xml:space="preserve">le Roux 2017, PMID 28237263.</w:t>
      </w:r>
    </w:p>
  </w:footnote>
  <w:footnote w:id="308">
    <w:p>
      <w:pPr>
        <w:pStyle w:val="FootnoteText"/>
      </w:pPr>
      <w:r>
        <w:rPr>
          <w:rStyle w:val="FootnoteReference"/>
        </w:rPr>
        <w:footnoteRef/>
      </w:r>
      <w:r>
        <w:t xml:space="preserve"> </w:t>
      </w:r>
      <w:r>
        <w:t xml:space="preserve">Davies 2015, PMID 26284720.</w:t>
      </w:r>
    </w:p>
  </w:footnote>
  <w:footnote w:id="309">
    <w:p>
      <w:pPr>
        <w:pStyle w:val="FootnoteText"/>
      </w:pPr>
      <w:r>
        <w:rPr>
          <w:rStyle w:val="FootnoteReference"/>
        </w:rPr>
        <w:footnoteRef/>
      </w:r>
      <w:r>
        <w:t xml:space="preserve"> </w:t>
      </w:r>
      <w:r>
        <w:t xml:space="preserve">Wadden 2013, PMID 23812094.</w:t>
      </w:r>
    </w:p>
  </w:footnote>
  <w:footnote w:id="311">
    <w:p>
      <w:pPr>
        <w:pStyle w:val="FootnoteText"/>
      </w:pPr>
      <w:r>
        <w:rPr>
          <w:rStyle w:val="FootnoteReference"/>
        </w:rPr>
        <w:footnoteRef/>
      </w:r>
      <w:r>
        <w:t xml:space="preserve"> </w:t>
      </w:r>
      <w:r>
        <w:t xml:space="preserve">Kelly 2020, PMID 32233338.</w:t>
      </w:r>
    </w:p>
  </w:footnote>
  <w:footnote w:id="312">
    <w:p>
      <w:pPr>
        <w:pStyle w:val="FootnoteText"/>
      </w:pPr>
      <w:r>
        <w:rPr>
          <w:rStyle w:val="FootnoteReference"/>
        </w:rPr>
        <w:footnoteRef/>
      </w:r>
      <w:r>
        <w:t xml:space="preserve"> </w:t>
      </w:r>
      <w:r>
        <w:t xml:space="preserve">Fox 2025, PMID 39258838.</w:t>
      </w:r>
    </w:p>
  </w:footnote>
  <w:footnote w:id="313">
    <w:p>
      <w:pPr>
        <w:pStyle w:val="FootnoteText"/>
      </w:pPr>
      <w:r>
        <w:rPr>
          <w:rStyle w:val="FootnoteReference"/>
        </w:rPr>
        <w:footnoteRef/>
      </w:r>
      <w:r>
        <w:t xml:space="preserve"> </w:t>
      </w:r>
      <w:r>
        <w:t xml:space="preserve">NCT06903923.</w:t>
      </w:r>
    </w:p>
  </w:footnote>
  <w:footnote w:id="315">
    <w:p>
      <w:pPr>
        <w:pStyle w:val="FootnoteText"/>
      </w:pPr>
      <w:r>
        <w:rPr>
          <w:rStyle w:val="FootnoteReference"/>
        </w:rPr>
        <w:footnoteRef/>
      </w:r>
      <w:r>
        <w:t xml:space="preserve"> </w:t>
      </w:r>
      <w:r>
        <w:t xml:space="preserve">Armstrong 2016, PMID 26608256.</w:t>
      </w:r>
    </w:p>
  </w:footnote>
  <w:footnote w:id="316">
    <w:p>
      <w:pPr>
        <w:pStyle w:val="FootnoteText"/>
      </w:pPr>
      <w:r>
        <w:rPr>
          <w:rStyle w:val="FootnoteReference"/>
        </w:rPr>
        <w:footnoteRef/>
      </w:r>
      <w:r>
        <w:t xml:space="preserve"> </w:t>
      </w:r>
      <w:r>
        <w:t xml:space="preserve">Edison 2026, PMID 41326666.</w:t>
      </w:r>
    </w:p>
  </w:footnote>
  <w:footnote w:id="317">
    <w:p>
      <w:pPr>
        <w:pStyle w:val="FootnoteText"/>
      </w:pPr>
      <w:r>
        <w:rPr>
          <w:rStyle w:val="FootnoteReference"/>
        </w:rPr>
        <w:footnoteRef/>
      </w:r>
      <w:r>
        <w:t xml:space="preserve"> </w:t>
      </w:r>
      <w:r>
        <w:t xml:space="preserve">Lähteenvuo 2025, PMID 39535805.</w:t>
      </w:r>
    </w:p>
  </w:footnote>
  <w:footnote w:id="320">
    <w:p>
      <w:pPr>
        <w:pStyle w:val="FootnoteText"/>
      </w:pPr>
      <w:r>
        <w:rPr>
          <w:rStyle w:val="FootnoteReference"/>
        </w:rPr>
        <w:footnoteRef/>
      </w:r>
      <w:r>
        <w:t xml:space="preserve"> </w:t>
      </w:r>
      <w:r>
        <w:t xml:space="preserve">Secher 2014, PMID 25202980.</w:t>
      </w:r>
    </w:p>
  </w:footnote>
  <w:footnote w:id="321">
    <w:p>
      <w:pPr>
        <w:pStyle w:val="FootnoteText"/>
      </w:pPr>
      <w:r>
        <w:rPr>
          <w:rStyle w:val="FootnoteReference"/>
        </w:rPr>
        <w:footnoteRef/>
      </w:r>
      <w:r>
        <w:t xml:space="preserve"> </w:t>
      </w:r>
      <w:r>
        <w:t xml:space="preserve">Bjerre Knudsen 2010, PMID 20203154.</w:t>
      </w:r>
    </w:p>
  </w:footnote>
  <w:footnote w:id="323">
    <w:p>
      <w:pPr>
        <w:pStyle w:val="FootnoteText"/>
      </w:pPr>
      <w:r>
        <w:rPr>
          <w:rStyle w:val="FootnoteReference"/>
        </w:rPr>
        <w:footnoteRef/>
      </w:r>
      <w:r>
        <w:t xml:space="preserve"> </w:t>
      </w:r>
      <w:r>
        <w:t xml:space="preserve">Marso 2016, PMID 27295427.</w:t>
      </w:r>
    </w:p>
  </w:footnote>
  <w:footnote w:id="324">
    <w:p>
      <w:pPr>
        <w:pStyle w:val="FootnoteText"/>
      </w:pPr>
      <w:r>
        <w:rPr>
          <w:rStyle w:val="FootnoteReference"/>
        </w:rPr>
        <w:footnoteRef/>
      </w:r>
      <w:r>
        <w:t xml:space="preserve"> </w:t>
      </w:r>
      <w:r>
        <w:t xml:space="preserve">Davies 2015, PMID 26284720.</w:t>
      </w:r>
    </w:p>
  </w:footnote>
  <w:footnote w:id="325">
    <w:p>
      <w:pPr>
        <w:pStyle w:val="FootnoteText"/>
      </w:pPr>
      <w:r>
        <w:rPr>
          <w:rStyle w:val="FootnoteReference"/>
        </w:rPr>
        <w:footnoteRef/>
      </w:r>
      <w:r>
        <w:t xml:space="preserve"> </w:t>
      </w:r>
      <w:r>
        <w:t xml:space="preserve">He 2022, PMID 35344001.</w:t>
      </w:r>
    </w:p>
  </w:footnote>
  <w:footnote w:id="326">
    <w:p>
      <w:pPr>
        <w:pStyle w:val="FootnoteText"/>
      </w:pPr>
      <w:r>
        <w:rPr>
          <w:rStyle w:val="FootnoteReference"/>
        </w:rPr>
        <w:footnoteRef/>
      </w:r>
      <w:r>
        <w:t xml:space="preserve"> </w:t>
      </w:r>
      <w:r>
        <w:t xml:space="preserve">Marso 2016, PMID 27295427.</w:t>
      </w:r>
    </w:p>
  </w:footnote>
  <w:footnote w:id="327">
    <w:p>
      <w:pPr>
        <w:pStyle w:val="FootnoteText"/>
      </w:pPr>
      <w:r>
        <w:rPr>
          <w:rStyle w:val="FootnoteReference"/>
        </w:rPr>
        <w:footnoteRef/>
      </w:r>
      <w:r>
        <w:t xml:space="preserve"> </w:t>
      </w:r>
      <w:r>
        <w:t xml:space="preserve">Alves 2012, PMID 23010561.</w:t>
      </w:r>
    </w:p>
  </w:footnote>
  <w:footnote w:id="328">
    <w:p>
      <w:pPr>
        <w:pStyle w:val="FootnoteText"/>
      </w:pPr>
      <w:r>
        <w:rPr>
          <w:rStyle w:val="FootnoteReference"/>
        </w:rPr>
        <w:footnoteRef/>
      </w:r>
      <w:r>
        <w:t xml:space="preserve"> </w:t>
      </w:r>
      <w:r>
        <w:t xml:space="preserve">Bezin 2023, PMID 36356111.</w:t>
      </w:r>
    </w:p>
  </w:footnote>
  <w:footnote w:id="329">
    <w:p>
      <w:pPr>
        <w:pStyle w:val="FootnoteText"/>
      </w:pPr>
      <w:r>
        <w:rPr>
          <w:rStyle w:val="FootnoteReference"/>
        </w:rPr>
        <w:footnoteRef/>
      </w:r>
      <w:r>
        <w:t xml:space="preserve"> </w:t>
      </w:r>
      <w:r>
        <w:t xml:space="preserve">Silverii 2025, PMID 40437949.</w:t>
      </w:r>
    </w:p>
  </w:footnote>
  <w:footnote w:id="330">
    <w:p>
      <w:pPr>
        <w:pStyle w:val="FootnoteText"/>
      </w:pPr>
      <w:r>
        <w:rPr>
          <w:rStyle w:val="FootnoteReference"/>
        </w:rPr>
        <w:footnoteRef/>
      </w:r>
      <w:r>
        <w:t xml:space="preserve"> </w:t>
      </w:r>
      <w:r>
        <w:t xml:space="preserve">Ueda 2024, PMID 39226030.</w:t>
      </w:r>
    </w:p>
  </w:footnote>
  <w:footnote w:id="331">
    <w:p>
      <w:pPr>
        <w:pStyle w:val="FootnoteText"/>
      </w:pPr>
      <w:r>
        <w:rPr>
          <w:rStyle w:val="FootnoteReference"/>
        </w:rPr>
        <w:footnoteRef/>
      </w:r>
      <w:r>
        <w:t xml:space="preserve"> </w:t>
      </w:r>
      <w:r>
        <w:t xml:space="preserve">Choudhury 2026, PMID 41862354.</w:t>
      </w:r>
    </w:p>
  </w:footnote>
  <w:footnote w:id="334">
    <w:p>
      <w:pPr>
        <w:pStyle w:val="FootnoteText"/>
      </w:pPr>
      <w:r>
        <w:rPr>
          <w:rStyle w:val="FootnoteReference"/>
        </w:rPr>
        <w:footnoteRef/>
      </w:r>
      <w:r>
        <w:t xml:space="preserve"> </w:t>
      </w:r>
      <w:r>
        <w:t xml:space="preserve">NCT06742710.</w:t>
      </w:r>
    </w:p>
  </w:footnote>
  <w:footnote w:id="335">
    <w:p>
      <w:pPr>
        <w:pStyle w:val="FootnoteText"/>
      </w:pPr>
      <w:r>
        <w:rPr>
          <w:rStyle w:val="FootnoteReference"/>
        </w:rPr>
        <w:footnoteRef/>
      </w:r>
      <w:r>
        <w:t xml:space="preserve"> </w:t>
      </w:r>
      <w:r>
        <w:t xml:space="preserve">NCT06361238.</w:t>
      </w:r>
    </w:p>
  </w:footnote>
  <w:footnote w:id="336">
    <w:p>
      <w:pPr>
        <w:pStyle w:val="FootnoteText"/>
      </w:pPr>
      <w:r>
        <w:rPr>
          <w:rStyle w:val="FootnoteReference"/>
        </w:rPr>
        <w:footnoteRef/>
      </w:r>
      <w:r>
        <w:t xml:space="preserve"> </w:t>
      </w:r>
      <w:r>
        <w:t xml:space="preserve">NCT07029009.</w:t>
      </w:r>
    </w:p>
  </w:footnote>
  <w:footnote w:id="337">
    <w:p>
      <w:pPr>
        <w:pStyle w:val="FootnoteText"/>
      </w:pPr>
      <w:r>
        <w:rPr>
          <w:rStyle w:val="FootnoteReference"/>
        </w:rPr>
        <w:footnoteRef/>
      </w:r>
      <w:r>
        <w:t xml:space="preserve"> </w:t>
      </w:r>
      <w:r>
        <w:t xml:space="preserve">NCT05390892.</w:t>
      </w:r>
    </w:p>
  </w:footnote>
  <w:footnote w:id="338">
    <w:p>
      <w:pPr>
        <w:pStyle w:val="FootnoteText"/>
      </w:pPr>
      <w:r>
        <w:rPr>
          <w:rStyle w:val="FootnoteReference"/>
        </w:rPr>
        <w:footnoteRef/>
      </w:r>
      <w:r>
        <w:t xml:space="preserve"> </w:t>
      </w:r>
      <w:r>
        <w:t xml:space="preserve">NCT04775082.</w:t>
      </w:r>
    </w:p>
  </w:footnote>
  <w:footnote w:id="342">
    <w:p>
      <w:pPr>
        <w:pStyle w:val="FootnoteText"/>
      </w:pPr>
      <w:r>
        <w:rPr>
          <w:rStyle w:val="FootnoteReference"/>
        </w:rPr>
        <w:footnoteRef/>
      </w:r>
      <w:r>
        <w:t xml:space="preserve"> </w:t>
      </w:r>
      <w:r>
        <w:t xml:space="preserve">Glaesner 2010, PMID 20503261.</w:t>
      </w:r>
    </w:p>
  </w:footnote>
  <w:footnote w:id="344">
    <w:p>
      <w:pPr>
        <w:pStyle w:val="FootnoteText"/>
      </w:pPr>
      <w:r>
        <w:rPr>
          <w:rStyle w:val="FootnoteReference"/>
        </w:rPr>
        <w:footnoteRef/>
      </w:r>
      <w:r>
        <w:t xml:space="preserve"> </w:t>
      </w:r>
      <w:r>
        <w:t xml:space="preserve">Glaesner 2010, PMID 20503261.</w:t>
      </w:r>
    </w:p>
  </w:footnote>
  <w:footnote w:id="345">
    <w:p>
      <w:pPr>
        <w:pStyle w:val="FootnoteText"/>
      </w:pPr>
      <w:r>
        <w:rPr>
          <w:rStyle w:val="FootnoteReference"/>
        </w:rPr>
        <w:footnoteRef/>
      </w:r>
      <w:r>
        <w:t xml:space="preserve"> </w:t>
      </w:r>
      <w:r>
        <w:t xml:space="preserve">Milicevic 2016, PMID 26847401.</w:t>
      </w:r>
    </w:p>
  </w:footnote>
  <w:footnote w:id="347">
    <w:p>
      <w:pPr>
        <w:pStyle w:val="FootnoteText"/>
      </w:pPr>
      <w:r>
        <w:rPr>
          <w:rStyle w:val="FootnoteReference"/>
        </w:rPr>
        <w:footnoteRef/>
      </w:r>
      <w:r>
        <w:t xml:space="preserve"> </w:t>
      </w:r>
      <w:r>
        <w:t xml:space="preserve">Giorgino 2015, PMID 26089386; Blonde 2015, PMID 26009229.</w:t>
      </w:r>
    </w:p>
  </w:footnote>
  <w:footnote w:id="348">
    <w:p>
      <w:pPr>
        <w:pStyle w:val="FootnoteText"/>
      </w:pPr>
      <w:r>
        <w:rPr>
          <w:rStyle w:val="FootnoteReference"/>
        </w:rPr>
        <w:footnoteRef/>
      </w:r>
      <w:r>
        <w:t xml:space="preserve"> </w:t>
      </w:r>
      <w:r>
        <w:t xml:space="preserve">Tuttle 2018, PMID 29910024.</w:t>
      </w:r>
    </w:p>
  </w:footnote>
  <w:footnote w:id="349">
    <w:p>
      <w:pPr>
        <w:pStyle w:val="FootnoteText"/>
      </w:pPr>
      <w:r>
        <w:rPr>
          <w:rStyle w:val="FootnoteReference"/>
        </w:rPr>
        <w:footnoteRef/>
      </w:r>
      <w:r>
        <w:t xml:space="preserve"> </w:t>
      </w:r>
      <w:r>
        <w:t xml:space="preserve">Dungan 2016, PMID 26799540.</w:t>
      </w:r>
    </w:p>
  </w:footnote>
  <w:footnote w:id="350">
    <w:p>
      <w:pPr>
        <w:pStyle w:val="FootnoteText"/>
      </w:pPr>
      <w:r>
        <w:rPr>
          <w:rStyle w:val="FootnoteReference"/>
        </w:rPr>
        <w:footnoteRef/>
      </w:r>
      <w:r>
        <w:t xml:space="preserve"> </w:t>
      </w:r>
      <w:r>
        <w:t xml:space="preserve">Frias 2021, PMID 33397768.</w:t>
      </w:r>
    </w:p>
  </w:footnote>
  <w:footnote w:id="352">
    <w:p>
      <w:pPr>
        <w:pStyle w:val="FootnoteText"/>
      </w:pPr>
      <w:r>
        <w:rPr>
          <w:rStyle w:val="FootnoteReference"/>
        </w:rPr>
        <w:footnoteRef/>
      </w:r>
      <w:r>
        <w:t xml:space="preserve"> </w:t>
      </w:r>
      <w:r>
        <w:t xml:space="preserve">Wysham 2014, PMID 24879836.</w:t>
      </w:r>
    </w:p>
  </w:footnote>
  <w:footnote w:id="353">
    <w:p>
      <w:pPr>
        <w:pStyle w:val="FootnoteText"/>
      </w:pPr>
      <w:r>
        <w:rPr>
          <w:rStyle w:val="FootnoteReference"/>
        </w:rPr>
        <w:footnoteRef/>
      </w:r>
      <w:r>
        <w:t xml:space="preserve"> </w:t>
      </w:r>
      <w:r>
        <w:t xml:space="preserve">Dungan 2014, PMID 25018121.</w:t>
      </w:r>
    </w:p>
  </w:footnote>
  <w:footnote w:id="354">
    <w:p>
      <w:pPr>
        <w:pStyle w:val="FootnoteText"/>
      </w:pPr>
      <w:r>
        <w:rPr>
          <w:rStyle w:val="FootnoteReference"/>
        </w:rPr>
        <w:footnoteRef/>
      </w:r>
      <w:r>
        <w:t xml:space="preserve"> </w:t>
      </w:r>
      <w:r>
        <w:t xml:space="preserve">Pratley 2018, PMID 29397376.</w:t>
      </w:r>
    </w:p>
  </w:footnote>
  <w:footnote w:id="356">
    <w:p>
      <w:pPr>
        <w:pStyle w:val="FootnoteText"/>
      </w:pPr>
      <w:r>
        <w:rPr>
          <w:rStyle w:val="FootnoteReference"/>
        </w:rPr>
        <w:footnoteRef/>
      </w:r>
      <w:r>
        <w:t xml:space="preserve"> </w:t>
      </w:r>
      <w:r>
        <w:t xml:space="preserve">Gerstein 2019, PMID 31189511.</w:t>
      </w:r>
    </w:p>
  </w:footnote>
  <w:footnote w:id="357">
    <w:p>
      <w:pPr>
        <w:pStyle w:val="FootnoteText"/>
      </w:pPr>
      <w:r>
        <w:rPr>
          <w:rStyle w:val="FootnoteReference"/>
        </w:rPr>
        <w:footnoteRef/>
      </w:r>
      <w:r>
        <w:t xml:space="preserve"> </w:t>
      </w:r>
      <w:r>
        <w:t xml:space="preserve">Gerstein 2019, PMID 31189509.</w:t>
      </w:r>
    </w:p>
  </w:footnote>
  <w:footnote w:id="358">
    <w:p>
      <w:pPr>
        <w:pStyle w:val="FootnoteText"/>
      </w:pPr>
      <w:r>
        <w:rPr>
          <w:rStyle w:val="FootnoteReference"/>
        </w:rPr>
        <w:footnoteRef/>
      </w:r>
      <w:r>
        <w:t xml:space="preserve"> </w:t>
      </w:r>
      <w:r>
        <w:t xml:space="preserve">Cukierman-Yaffe 2020, PMID 32562683.</w:t>
      </w:r>
    </w:p>
  </w:footnote>
  <w:footnote w:id="359">
    <w:p>
      <w:pPr>
        <w:pStyle w:val="FootnoteText"/>
      </w:pPr>
      <w:r>
        <w:rPr>
          <w:rStyle w:val="FootnoteReference"/>
        </w:rPr>
        <w:footnoteRef/>
      </w:r>
      <w:r>
        <w:t xml:space="preserve"> </w:t>
      </w:r>
      <w:r>
        <w:t xml:space="preserve">Kristensen 2019, PMID 31422062.</w:t>
      </w:r>
    </w:p>
  </w:footnote>
  <w:footnote w:id="361">
    <w:p>
      <w:pPr>
        <w:pStyle w:val="FootnoteText"/>
      </w:pPr>
      <w:r>
        <w:rPr>
          <w:rStyle w:val="FootnoteReference"/>
        </w:rPr>
        <w:footnoteRef/>
      </w:r>
      <w:r>
        <w:t xml:space="preserve"> </w:t>
      </w:r>
      <w:r>
        <w:t xml:space="preserve">Raubenheimer 2022, PMID 34984808.</w:t>
      </w:r>
    </w:p>
  </w:footnote>
  <w:footnote w:id="362">
    <w:p>
      <w:pPr>
        <w:pStyle w:val="FootnoteText"/>
      </w:pPr>
      <w:r>
        <w:rPr>
          <w:rStyle w:val="FootnoteReference"/>
        </w:rPr>
        <w:footnoteRef/>
      </w:r>
      <w:r>
        <w:t xml:space="preserve"> </w:t>
      </w:r>
      <w:r>
        <w:t xml:space="preserve">PMID 34563178.</w:t>
      </w:r>
    </w:p>
  </w:footnote>
  <w:footnote w:id="363">
    <w:p>
      <w:pPr>
        <w:pStyle w:val="FootnoteText"/>
      </w:pPr>
      <w:r>
        <w:rPr>
          <w:rStyle w:val="FootnoteReference"/>
        </w:rPr>
        <w:footnoteRef/>
      </w:r>
      <w:r>
        <w:t xml:space="preserve"> </w:t>
      </w:r>
      <w:r>
        <w:t xml:space="preserve">Branch 2022, PMID 36073143.</w:t>
      </w:r>
    </w:p>
  </w:footnote>
  <w:footnote w:id="364">
    <w:p>
      <w:pPr>
        <w:pStyle w:val="FootnoteText"/>
      </w:pPr>
      <w:r>
        <w:rPr>
          <w:rStyle w:val="FootnoteReference"/>
        </w:rPr>
        <w:footnoteRef/>
      </w:r>
      <w:r>
        <w:t xml:space="preserve"> </w:t>
      </w:r>
      <w:r>
        <w:t xml:space="preserve">Raubenheimer 2022, PMID 34984808.</w:t>
      </w:r>
    </w:p>
  </w:footnote>
  <w:footnote w:id="366">
    <w:p>
      <w:pPr>
        <w:pStyle w:val="FootnoteText"/>
      </w:pPr>
      <w:r>
        <w:rPr>
          <w:rStyle w:val="FootnoteReference"/>
        </w:rPr>
        <w:footnoteRef/>
      </w:r>
      <w:r>
        <w:t xml:space="preserve"> </w:t>
      </w:r>
      <w:r>
        <w:t xml:space="preserve">Nicholls 2025, PMID 41406444.</w:t>
      </w:r>
    </w:p>
  </w:footnote>
  <w:footnote w:id="367">
    <w:p>
      <w:pPr>
        <w:pStyle w:val="FootnoteText"/>
      </w:pPr>
      <w:r>
        <w:rPr>
          <w:rStyle w:val="FootnoteReference"/>
        </w:rPr>
        <w:footnoteRef/>
      </w:r>
      <w:r>
        <w:t xml:space="preserve"> </w:t>
      </w:r>
      <w:r>
        <w:t xml:space="preserve">Nissen 2026, PMID 41903177.</w:t>
      </w:r>
    </w:p>
  </w:footnote>
  <w:footnote w:id="369">
    <w:p>
      <w:pPr>
        <w:pStyle w:val="FootnoteText"/>
      </w:pPr>
      <w:r>
        <w:rPr>
          <w:rStyle w:val="FootnoteReference"/>
        </w:rPr>
        <w:footnoteRef/>
      </w:r>
      <w:r>
        <w:t xml:space="preserve"> </w:t>
      </w:r>
      <w:r>
        <w:t xml:space="preserve">Matfin 2015, PMID 25901022.</w:t>
      </w:r>
    </w:p>
  </w:footnote>
  <w:footnote w:id="370">
    <w:p>
      <w:pPr>
        <w:pStyle w:val="FootnoteText"/>
      </w:pPr>
      <w:r>
        <w:rPr>
          <w:rStyle w:val="FootnoteReference"/>
        </w:rPr>
        <w:footnoteRef/>
      </w:r>
      <w:r>
        <w:t xml:space="preserve"> </w:t>
      </w:r>
      <w:r>
        <w:t xml:space="preserve">Matza 2020, PMID 31646727.</w:t>
      </w:r>
    </w:p>
  </w:footnote>
  <w:footnote w:id="372">
    <w:p>
      <w:pPr>
        <w:pStyle w:val="FootnoteText"/>
      </w:pPr>
      <w:r>
        <w:rPr>
          <w:rStyle w:val="FootnoteReference"/>
        </w:rPr>
        <w:footnoteRef/>
      </w:r>
      <w:r>
        <w:t xml:space="preserve"> </w:t>
      </w:r>
      <w:r>
        <w:t xml:space="preserve">Arslanian 2022, PMID 35658022.</w:t>
      </w:r>
    </w:p>
  </w:footnote>
  <w:footnote w:id="374">
    <w:p>
      <w:pPr>
        <w:pStyle w:val="FootnoteText"/>
      </w:pPr>
      <w:r>
        <w:rPr>
          <w:rStyle w:val="FootnoteReference"/>
        </w:rPr>
        <w:footnoteRef/>
      </w:r>
      <w:r>
        <w:t xml:space="preserve"> </w:t>
      </w:r>
      <w:r>
        <w:t xml:space="preserve">Lüthi 2024, PMID 38371479.</w:t>
      </w:r>
    </w:p>
  </w:footnote>
  <w:footnote w:id="375">
    <w:p>
      <w:pPr>
        <w:pStyle w:val="FootnoteText"/>
      </w:pPr>
      <w:r>
        <w:rPr>
          <w:rStyle w:val="FootnoteReference"/>
        </w:rPr>
        <w:footnoteRef/>
      </w:r>
      <w:r>
        <w:t xml:space="preserve"> </w:t>
      </w:r>
      <w:r>
        <w:t xml:space="preserve">Probst 2023, PMID 37991022.</w:t>
      </w:r>
    </w:p>
  </w:footnote>
  <w:footnote w:id="376">
    <w:p>
      <w:pPr>
        <w:pStyle w:val="FootnoteText"/>
      </w:pPr>
      <w:r>
        <w:rPr>
          <w:rStyle w:val="FootnoteReference"/>
        </w:rPr>
        <w:footnoteRef/>
      </w:r>
      <w:r>
        <w:t xml:space="preserve"> </w:t>
      </w:r>
      <w:r>
        <w:t xml:space="preserve">Winzeler 2021, PMID 34473645.</w:t>
      </w:r>
    </w:p>
  </w:footnote>
  <w:footnote w:id="379">
    <w:p>
      <w:pPr>
        <w:pStyle w:val="FootnoteText"/>
      </w:pPr>
      <w:r>
        <w:rPr>
          <w:rStyle w:val="FootnoteReference"/>
        </w:rPr>
        <w:footnoteRef/>
      </w:r>
      <w:r>
        <w:t xml:space="preserve"> </w:t>
      </w:r>
      <w:r>
        <w:t xml:space="preserve">Glaesner 2010, PMID 20503261.</w:t>
      </w:r>
    </w:p>
  </w:footnote>
  <w:footnote w:id="380">
    <w:p>
      <w:pPr>
        <w:pStyle w:val="FootnoteText"/>
      </w:pPr>
      <w:r>
        <w:rPr>
          <w:rStyle w:val="FootnoteReference"/>
        </w:rPr>
        <w:footnoteRef/>
      </w:r>
      <w:r>
        <w:t xml:space="preserve"> </w:t>
      </w:r>
      <w:r>
        <w:t xml:space="preserve">Bjerre Knudsen 2010, PMID 20203154.</w:t>
      </w:r>
    </w:p>
  </w:footnote>
  <w:footnote w:id="382">
    <w:p>
      <w:pPr>
        <w:pStyle w:val="FootnoteText"/>
      </w:pPr>
      <w:r>
        <w:rPr>
          <w:rStyle w:val="FootnoteReference"/>
        </w:rPr>
        <w:footnoteRef/>
      </w:r>
      <w:r>
        <w:t xml:space="preserve"> </w:t>
      </w:r>
      <w:r>
        <w:t xml:space="preserve">Gerstein 2019, PMID 31189511.</w:t>
      </w:r>
    </w:p>
  </w:footnote>
  <w:footnote w:id="383">
    <w:p>
      <w:pPr>
        <w:pStyle w:val="FootnoteText"/>
      </w:pPr>
      <w:r>
        <w:rPr>
          <w:rStyle w:val="FootnoteReference"/>
        </w:rPr>
        <w:footnoteRef/>
      </w:r>
      <w:r>
        <w:t xml:space="preserve"> </w:t>
      </w:r>
      <w:r>
        <w:t xml:space="preserve">Frias 2021, PMID 33397768.</w:t>
      </w:r>
    </w:p>
  </w:footnote>
  <w:footnote w:id="384">
    <w:p>
      <w:pPr>
        <w:pStyle w:val="FootnoteText"/>
      </w:pPr>
      <w:r>
        <w:rPr>
          <w:rStyle w:val="FootnoteReference"/>
        </w:rPr>
        <w:footnoteRef/>
      </w:r>
      <w:r>
        <w:t xml:space="preserve"> </w:t>
      </w:r>
      <w:r>
        <w:t xml:space="preserve">Giorgino 2015, PMID 26089386.</w:t>
      </w:r>
    </w:p>
  </w:footnote>
  <w:footnote w:id="385">
    <w:p>
      <w:pPr>
        <w:pStyle w:val="FootnoteText"/>
      </w:pPr>
      <w:r>
        <w:rPr>
          <w:rStyle w:val="FootnoteReference"/>
        </w:rPr>
        <w:footnoteRef/>
      </w:r>
      <w:r>
        <w:t xml:space="preserve"> </w:t>
      </w:r>
      <w:r>
        <w:t xml:space="preserve">Giorgino 2015, PMID 26089386.</w:t>
      </w:r>
    </w:p>
  </w:footnote>
  <w:footnote w:id="386">
    <w:p>
      <w:pPr>
        <w:pStyle w:val="FootnoteText"/>
      </w:pPr>
      <w:r>
        <w:rPr>
          <w:rStyle w:val="FootnoteReference"/>
        </w:rPr>
        <w:footnoteRef/>
      </w:r>
      <w:r>
        <w:t xml:space="preserve"> </w:t>
      </w:r>
      <w:r>
        <w:t xml:space="preserve">Milicevic 2016, PMID 26847401.</w:t>
      </w:r>
    </w:p>
  </w:footnote>
  <w:footnote w:id="387">
    <w:p>
      <w:pPr>
        <w:pStyle w:val="FootnoteText"/>
      </w:pPr>
      <w:r>
        <w:rPr>
          <w:rStyle w:val="FootnoteReference"/>
        </w:rPr>
        <w:footnoteRef/>
      </w:r>
      <w:r>
        <w:t xml:space="preserve"> </w:t>
      </w:r>
      <w:r>
        <w:t xml:space="preserve">He 2022, PMID 35344001.</w:t>
      </w:r>
    </w:p>
  </w:footnote>
  <w:footnote w:id="388">
    <w:p>
      <w:pPr>
        <w:pStyle w:val="FootnoteText"/>
      </w:pPr>
      <w:r>
        <w:rPr>
          <w:rStyle w:val="FootnoteReference"/>
        </w:rPr>
        <w:footnoteRef/>
      </w:r>
      <w:r>
        <w:t xml:space="preserve"> </w:t>
      </w:r>
      <w:r>
        <w:t xml:space="preserve">Kristensen 2019, PMID 31422062.</w:t>
      </w:r>
    </w:p>
  </w:footnote>
  <w:footnote w:id="389">
    <w:p>
      <w:pPr>
        <w:pStyle w:val="FootnoteText"/>
      </w:pPr>
      <w:r>
        <w:rPr>
          <w:rStyle w:val="FootnoteReference"/>
        </w:rPr>
        <w:footnoteRef/>
      </w:r>
      <w:r>
        <w:t xml:space="preserve"> </w:t>
      </w:r>
      <w:r>
        <w:t xml:space="preserve">Silverii 2025, PMID 40437949.</w:t>
      </w:r>
    </w:p>
  </w:footnote>
  <w:footnote w:id="390">
    <w:p>
      <w:pPr>
        <w:pStyle w:val="FootnoteText"/>
      </w:pPr>
      <w:r>
        <w:rPr>
          <w:rStyle w:val="FootnoteReference"/>
        </w:rPr>
        <w:footnoteRef/>
      </w:r>
      <w:r>
        <w:t xml:space="preserve"> </w:t>
      </w:r>
      <w:r>
        <w:t xml:space="preserve">NCT07276763.</w:t>
      </w:r>
    </w:p>
  </w:footnote>
  <w:footnote w:id="393">
    <w:p>
      <w:pPr>
        <w:pStyle w:val="FootnoteText"/>
      </w:pPr>
      <w:r>
        <w:rPr>
          <w:rStyle w:val="FootnoteReference"/>
        </w:rPr>
        <w:footnoteRef/>
      </w:r>
      <w:r>
        <w:t xml:space="preserve"> </w:t>
      </w:r>
      <w:r>
        <w:t xml:space="preserve">NCT06739122.</w:t>
      </w:r>
    </w:p>
  </w:footnote>
  <w:footnote w:id="394">
    <w:p>
      <w:pPr>
        <w:pStyle w:val="FootnoteText"/>
      </w:pPr>
      <w:r>
        <w:rPr>
          <w:rStyle w:val="FootnoteReference"/>
        </w:rPr>
        <w:footnoteRef/>
      </w:r>
      <w:r>
        <w:t xml:space="preserve"> </w:t>
      </w:r>
      <w:r>
        <w:t xml:space="preserve">NCT07668336.</w:t>
      </w:r>
    </w:p>
  </w:footnote>
  <w:footnote w:id="395">
    <w:p>
      <w:pPr>
        <w:pStyle w:val="FootnoteText"/>
      </w:pPr>
      <w:r>
        <w:rPr>
          <w:rStyle w:val="FootnoteReference"/>
        </w:rPr>
        <w:footnoteRef/>
      </w:r>
      <w:r>
        <w:t xml:space="preserve"> </w:t>
      </w:r>
      <w:r>
        <w:t xml:space="preserve">NCT07282041.</w:t>
      </w:r>
    </w:p>
  </w:footnote>
  <w:footnote w:id="396">
    <w:p>
      <w:pPr>
        <w:pStyle w:val="FootnoteText"/>
      </w:pPr>
      <w:r>
        <w:rPr>
          <w:rStyle w:val="FootnoteReference"/>
        </w:rPr>
        <w:footnoteRef/>
      </w:r>
      <w:r>
        <w:t xml:space="preserve"> </w:t>
      </w:r>
      <w:r>
        <w:t xml:space="preserve">NCT06324461.</w:t>
      </w:r>
    </w:p>
  </w:footnote>
  <w:footnote w:id="397">
    <w:p>
      <w:pPr>
        <w:pStyle w:val="FootnoteText"/>
      </w:pPr>
      <w:r>
        <w:rPr>
          <w:rStyle w:val="FootnoteReference"/>
        </w:rPr>
        <w:footnoteRef/>
      </w:r>
      <w:r>
        <w:t xml:space="preserve"> </w:t>
      </w:r>
      <w:r>
        <w:t xml:space="preserve">NCT04731272.</w:t>
      </w:r>
    </w:p>
  </w:footnote>
  <w:footnote w:id="398">
    <w:p>
      <w:pPr>
        <w:pStyle w:val="FootnoteText"/>
      </w:pPr>
      <w:r>
        <w:rPr>
          <w:rStyle w:val="FootnoteReference"/>
        </w:rPr>
        <w:footnoteRef/>
      </w:r>
      <w:r>
        <w:t xml:space="preserve"> </w:t>
      </w:r>
      <w:r>
        <w:t xml:space="preserve">NCT06257966.</w:t>
      </w:r>
    </w:p>
  </w:footnote>
  <w:footnote w:id="402">
    <w:p>
      <w:pPr>
        <w:pStyle w:val="FootnoteText"/>
      </w:pPr>
      <w:r>
        <w:rPr>
          <w:rStyle w:val="FootnoteReference"/>
        </w:rPr>
        <w:footnoteRef/>
      </w:r>
      <w:r>
        <w:t xml:space="preserve"> </w:t>
      </w:r>
      <w:r>
        <w:t xml:space="preserve">Lau 2015, PMID 26308095.</w:t>
      </w:r>
    </w:p>
  </w:footnote>
  <w:footnote w:id="404">
    <w:p>
      <w:pPr>
        <w:pStyle w:val="FootnoteText"/>
      </w:pPr>
      <w:r>
        <w:rPr>
          <w:rStyle w:val="FootnoteReference"/>
        </w:rPr>
        <w:footnoteRef/>
      </w:r>
      <w:r>
        <w:t xml:space="preserve"> </w:t>
      </w:r>
      <w:r>
        <w:t xml:space="preserve">Lau 2015, PMID 26308095.</w:t>
      </w:r>
    </w:p>
  </w:footnote>
  <w:footnote w:id="405">
    <w:p>
      <w:pPr>
        <w:pStyle w:val="FootnoteText"/>
      </w:pPr>
      <w:r>
        <w:rPr>
          <w:rStyle w:val="FootnoteReference"/>
        </w:rPr>
        <w:footnoteRef/>
      </w:r>
      <w:r>
        <w:t xml:space="preserve"> </w:t>
      </w:r>
      <w:r>
        <w:t xml:space="preserve">Buckley 2018, PMID 30429357.</w:t>
      </w:r>
    </w:p>
  </w:footnote>
  <w:footnote w:id="407">
    <w:p>
      <w:pPr>
        <w:pStyle w:val="FootnoteText"/>
      </w:pPr>
      <w:r>
        <w:rPr>
          <w:rStyle w:val="FootnoteReference"/>
        </w:rPr>
        <w:footnoteRef/>
      </w:r>
      <w:r>
        <w:t xml:space="preserve"> </w:t>
      </w:r>
      <w:r>
        <w:t xml:space="preserve">Sorli 2017, PMID 28110911.</w:t>
      </w:r>
    </w:p>
  </w:footnote>
  <w:footnote w:id="408">
    <w:p>
      <w:pPr>
        <w:pStyle w:val="FootnoteText"/>
      </w:pPr>
      <w:r>
        <w:rPr>
          <w:rStyle w:val="FootnoteReference"/>
        </w:rPr>
        <w:footnoteRef/>
      </w:r>
      <w:r>
        <w:t xml:space="preserve"> </w:t>
      </w:r>
      <w:r>
        <w:t xml:space="preserve">Frías 2021, PMID 34293304.</w:t>
      </w:r>
    </w:p>
  </w:footnote>
  <w:footnote w:id="409">
    <w:p>
      <w:pPr>
        <w:pStyle w:val="FootnoteText"/>
      </w:pPr>
      <w:r>
        <w:rPr>
          <w:rStyle w:val="FootnoteReference"/>
        </w:rPr>
        <w:footnoteRef/>
      </w:r>
      <w:r>
        <w:t xml:space="preserve"> </w:t>
      </w:r>
      <w:r>
        <w:t xml:space="preserve">Marso 2016, PMID 27633186.</w:t>
      </w:r>
    </w:p>
  </w:footnote>
  <w:footnote w:id="411">
    <w:p>
      <w:pPr>
        <w:pStyle w:val="FootnoteText"/>
      </w:pPr>
      <w:r>
        <w:rPr>
          <w:rStyle w:val="FootnoteReference"/>
        </w:rPr>
        <w:footnoteRef/>
      </w:r>
      <w:r>
        <w:t xml:space="preserve"> </w:t>
      </w:r>
      <w:r>
        <w:t xml:space="preserve">Rubino 2022, PMID 35015037.</w:t>
      </w:r>
    </w:p>
  </w:footnote>
  <w:footnote w:id="412">
    <w:p>
      <w:pPr>
        <w:pStyle w:val="FootnoteText"/>
      </w:pPr>
      <w:r>
        <w:rPr>
          <w:rStyle w:val="FootnoteReference"/>
        </w:rPr>
        <w:footnoteRef/>
      </w:r>
      <w:r>
        <w:t xml:space="preserve"> </w:t>
      </w:r>
      <w:r>
        <w:t xml:space="preserve">Capehorn 2020, PMID 31539622.</w:t>
      </w:r>
    </w:p>
  </w:footnote>
  <w:footnote w:id="413">
    <w:p>
      <w:pPr>
        <w:pStyle w:val="FootnoteText"/>
      </w:pPr>
      <w:r>
        <w:rPr>
          <w:rStyle w:val="FootnoteReference"/>
        </w:rPr>
        <w:footnoteRef/>
      </w:r>
      <w:r>
        <w:t xml:space="preserve"> </w:t>
      </w:r>
      <w:r>
        <w:t xml:space="preserve">Ahmann 2018, PMID 29246950.</w:t>
      </w:r>
    </w:p>
  </w:footnote>
  <w:footnote w:id="414">
    <w:p>
      <w:pPr>
        <w:pStyle w:val="FootnoteText"/>
      </w:pPr>
      <w:r>
        <w:rPr>
          <w:rStyle w:val="FootnoteReference"/>
        </w:rPr>
        <w:footnoteRef/>
      </w:r>
      <w:r>
        <w:t xml:space="preserve"> </w:t>
      </w:r>
      <w:r>
        <w:t xml:space="preserve">Pratley 2019, PMID 31186120.</w:t>
      </w:r>
    </w:p>
  </w:footnote>
  <w:footnote w:id="415">
    <w:p>
      <w:pPr>
        <w:pStyle w:val="FootnoteText"/>
      </w:pPr>
      <w:r>
        <w:rPr>
          <w:rStyle w:val="FootnoteReference"/>
        </w:rPr>
        <w:footnoteRef/>
      </w:r>
      <w:r>
        <w:t xml:space="preserve"> </w:t>
      </w:r>
      <w:r>
        <w:t xml:space="preserve">Aronne 2025, PMID 40353578.</w:t>
      </w:r>
    </w:p>
  </w:footnote>
  <w:footnote w:id="417">
    <w:p>
      <w:pPr>
        <w:pStyle w:val="FootnoteText"/>
      </w:pPr>
      <w:r>
        <w:rPr>
          <w:rStyle w:val="FootnoteReference"/>
        </w:rPr>
        <w:footnoteRef/>
      </w:r>
      <w:r>
        <w:t xml:space="preserve"> </w:t>
      </w:r>
      <w:r>
        <w:t xml:space="preserve">Aroda 2023, PMID 37385279.</w:t>
      </w:r>
    </w:p>
  </w:footnote>
  <w:footnote w:id="418">
    <w:p>
      <w:pPr>
        <w:pStyle w:val="FootnoteText"/>
      </w:pPr>
      <w:r>
        <w:rPr>
          <w:rStyle w:val="FootnoteReference"/>
        </w:rPr>
        <w:footnoteRef/>
      </w:r>
      <w:r>
        <w:t xml:space="preserve"> </w:t>
      </w:r>
      <w:r>
        <w:t xml:space="preserve">Husain 2019, PMID 31185157.</w:t>
      </w:r>
    </w:p>
  </w:footnote>
  <w:footnote w:id="419">
    <w:p>
      <w:pPr>
        <w:pStyle w:val="FootnoteText"/>
      </w:pPr>
      <w:r>
        <w:rPr>
          <w:rStyle w:val="FootnoteReference"/>
        </w:rPr>
        <w:footnoteRef/>
      </w:r>
      <w:r>
        <w:t xml:space="preserve"> </w:t>
      </w:r>
      <w:r>
        <w:t xml:space="preserve">McGuire 2025, PMID 40162642.</w:t>
      </w:r>
    </w:p>
  </w:footnote>
  <w:footnote w:id="421">
    <w:p>
      <w:pPr>
        <w:pStyle w:val="FootnoteText"/>
      </w:pPr>
      <w:r>
        <w:rPr>
          <w:rStyle w:val="FootnoteReference"/>
        </w:rPr>
        <w:footnoteRef/>
      </w:r>
      <w:r>
        <w:t xml:space="preserve"> </w:t>
      </w:r>
      <w:r>
        <w:t xml:space="preserve">Wilding 2021, PMID 33567185.</w:t>
      </w:r>
    </w:p>
  </w:footnote>
  <w:footnote w:id="422">
    <w:p>
      <w:pPr>
        <w:pStyle w:val="FootnoteText"/>
      </w:pPr>
      <w:r>
        <w:rPr>
          <w:rStyle w:val="FootnoteReference"/>
        </w:rPr>
        <w:footnoteRef/>
      </w:r>
      <w:r>
        <w:t xml:space="preserve"> </w:t>
      </w:r>
      <w:r>
        <w:t xml:space="preserve">Garvey 2022, PMID 36216945.</w:t>
      </w:r>
    </w:p>
  </w:footnote>
  <w:footnote w:id="423">
    <w:p>
      <w:pPr>
        <w:pStyle w:val="FootnoteText"/>
      </w:pPr>
      <w:r>
        <w:rPr>
          <w:rStyle w:val="FootnoteReference"/>
        </w:rPr>
        <w:footnoteRef/>
      </w:r>
      <w:r>
        <w:t xml:space="preserve"> </w:t>
      </w:r>
      <w:r>
        <w:t xml:space="preserve">Rubino 2021, PMID 33755728.</w:t>
      </w:r>
    </w:p>
  </w:footnote>
  <w:footnote w:id="424">
    <w:p>
      <w:pPr>
        <w:pStyle w:val="FootnoteText"/>
      </w:pPr>
      <w:r>
        <w:rPr>
          <w:rStyle w:val="FootnoteReference"/>
        </w:rPr>
        <w:footnoteRef/>
      </w:r>
      <w:r>
        <w:t xml:space="preserve"> </w:t>
      </w:r>
      <w:r>
        <w:t xml:space="preserve">Wilding 2022, PMID 35441470.</w:t>
      </w:r>
    </w:p>
  </w:footnote>
  <w:footnote w:id="425">
    <w:p>
      <w:pPr>
        <w:pStyle w:val="FootnoteText"/>
      </w:pPr>
      <w:r>
        <w:rPr>
          <w:rStyle w:val="FootnoteReference"/>
        </w:rPr>
        <w:footnoteRef/>
      </w:r>
      <w:r>
        <w:t xml:space="preserve"> </w:t>
      </w:r>
      <w:r>
        <w:t xml:space="preserve">Wharton 2025, PMID 40961952.</w:t>
      </w:r>
    </w:p>
  </w:footnote>
  <w:footnote w:id="427">
    <w:p>
      <w:pPr>
        <w:pStyle w:val="FootnoteText"/>
      </w:pPr>
      <w:r>
        <w:rPr>
          <w:rStyle w:val="FootnoteReference"/>
        </w:rPr>
        <w:footnoteRef/>
      </w:r>
      <w:r>
        <w:t xml:space="preserve"> </w:t>
      </w:r>
      <w:r>
        <w:t xml:space="preserve">Knop 2023, PMID 37385278; Wharton 2025, PMID 40934115.</w:t>
      </w:r>
    </w:p>
  </w:footnote>
  <w:footnote w:id="429">
    <w:p>
      <w:pPr>
        <w:pStyle w:val="FootnoteText"/>
      </w:pPr>
      <w:r>
        <w:rPr>
          <w:rStyle w:val="FootnoteReference"/>
        </w:rPr>
        <w:footnoteRef/>
      </w:r>
      <w:r>
        <w:t xml:space="preserve"> </w:t>
      </w:r>
      <w:r>
        <w:t xml:space="preserve">Weghuber 2022, PMID 36322838.</w:t>
      </w:r>
    </w:p>
  </w:footnote>
  <w:footnote w:id="430">
    <w:p>
      <w:pPr>
        <w:pStyle w:val="FootnoteText"/>
      </w:pPr>
      <w:r>
        <w:rPr>
          <w:rStyle w:val="FootnoteReference"/>
        </w:rPr>
        <w:footnoteRef/>
      </w:r>
      <w:r>
        <w:t xml:space="preserve"> </w:t>
      </w:r>
      <w:r>
        <w:t xml:space="preserve">NCT05726227.</w:t>
      </w:r>
    </w:p>
  </w:footnote>
  <w:footnote w:id="432">
    <w:p>
      <w:pPr>
        <w:pStyle w:val="FootnoteText"/>
      </w:pPr>
      <w:r>
        <w:rPr>
          <w:rStyle w:val="FootnoteReference"/>
        </w:rPr>
        <w:footnoteRef/>
      </w:r>
      <w:r>
        <w:t xml:space="preserve"> </w:t>
      </w:r>
      <w:r>
        <w:t xml:space="preserve">Lincoff 2023, PMID 37952131.</w:t>
      </w:r>
    </w:p>
  </w:footnote>
  <w:footnote w:id="434">
    <w:p>
      <w:pPr>
        <w:pStyle w:val="FootnoteText"/>
      </w:pPr>
      <w:r>
        <w:rPr>
          <w:rStyle w:val="FootnoteReference"/>
        </w:rPr>
        <w:footnoteRef/>
      </w:r>
      <w:r>
        <w:t xml:space="preserve"> </w:t>
      </w:r>
      <w:r>
        <w:t xml:space="preserve">Perkovic 2024, PMID 38785209.</w:t>
      </w:r>
    </w:p>
  </w:footnote>
  <w:footnote w:id="436">
    <w:p>
      <w:pPr>
        <w:pStyle w:val="FootnoteText"/>
      </w:pPr>
      <w:r>
        <w:rPr>
          <w:rStyle w:val="FootnoteReference"/>
        </w:rPr>
        <w:footnoteRef/>
      </w:r>
      <w:r>
        <w:t xml:space="preserve"> </w:t>
      </w:r>
      <w:r>
        <w:t xml:space="preserve">Sanyal 2025, PMID 40305708.</w:t>
      </w:r>
    </w:p>
  </w:footnote>
  <w:footnote w:id="437">
    <w:p>
      <w:pPr>
        <w:pStyle w:val="FootnoteText"/>
      </w:pPr>
      <w:r>
        <w:rPr>
          <w:rStyle w:val="FootnoteReference"/>
        </w:rPr>
        <w:footnoteRef/>
      </w:r>
      <w:r>
        <w:t xml:space="preserve"> </w:t>
      </w:r>
      <w:r>
        <w:t xml:space="preserve">NCT04822181.</w:t>
      </w:r>
    </w:p>
  </w:footnote>
  <w:footnote w:id="438">
    <w:p>
      <w:pPr>
        <w:pStyle w:val="FootnoteText"/>
      </w:pPr>
      <w:r>
        <w:rPr>
          <w:rStyle w:val="FootnoteReference"/>
        </w:rPr>
        <w:footnoteRef/>
      </w:r>
      <w:r>
        <w:t xml:space="preserve"> </w:t>
      </w:r>
      <w:r>
        <w:t xml:space="preserve">Kosiborod 2023, PMID 37622681.</w:t>
      </w:r>
    </w:p>
  </w:footnote>
  <w:footnote w:id="439">
    <w:p>
      <w:pPr>
        <w:pStyle w:val="FootnoteText"/>
      </w:pPr>
      <w:r>
        <w:rPr>
          <w:rStyle w:val="FootnoteReference"/>
        </w:rPr>
        <w:footnoteRef/>
      </w:r>
      <w:r>
        <w:t xml:space="preserve"> </w:t>
      </w:r>
      <w:r>
        <w:t xml:space="preserve">Bonaca 2025, PMID 40169145.</w:t>
      </w:r>
    </w:p>
  </w:footnote>
  <w:footnote w:id="440">
    <w:p>
      <w:pPr>
        <w:pStyle w:val="FootnoteText"/>
      </w:pPr>
      <w:r>
        <w:rPr>
          <w:rStyle w:val="FootnoteReference"/>
        </w:rPr>
        <w:footnoteRef/>
      </w:r>
      <w:r>
        <w:t xml:space="preserve"> </w:t>
      </w:r>
      <w:r>
        <w:t xml:space="preserve">Bliddal 2024, PMID 39476339.</w:t>
      </w:r>
    </w:p>
  </w:footnote>
  <w:footnote w:id="442">
    <w:p>
      <w:pPr>
        <w:pStyle w:val="FootnoteText"/>
      </w:pPr>
      <w:r>
        <w:rPr>
          <w:rStyle w:val="FootnoteReference"/>
        </w:rPr>
        <w:footnoteRef/>
      </w:r>
      <w:r>
        <w:t xml:space="preserve"> </w:t>
      </w:r>
      <w:r>
        <w:t xml:space="preserve">Cummings 2026, PMID 41865758.</w:t>
      </w:r>
    </w:p>
  </w:footnote>
  <w:footnote w:id="443">
    <w:p>
      <w:pPr>
        <w:pStyle w:val="FootnoteText"/>
      </w:pPr>
      <w:r>
        <w:rPr>
          <w:rStyle w:val="FootnoteReference"/>
        </w:rPr>
        <w:footnoteRef/>
      </w:r>
      <w:r>
        <w:t xml:space="preserve"> </w:t>
      </w:r>
      <w:r>
        <w:t xml:space="preserve">Schneider 2026, PMID 41865757.</w:t>
      </w:r>
    </w:p>
  </w:footnote>
  <w:footnote w:id="444">
    <w:p>
      <w:pPr>
        <w:pStyle w:val="FootnoteText"/>
      </w:pPr>
      <w:r>
        <w:rPr>
          <w:rStyle w:val="FootnoteReference"/>
        </w:rPr>
        <w:footnoteRef/>
      </w:r>
      <w:r>
        <w:t xml:space="preserve"> </w:t>
      </w:r>
      <w:r>
        <w:t xml:space="preserve">Hendershot 2025, PMID 39937469.</w:t>
      </w:r>
    </w:p>
  </w:footnote>
  <w:footnote w:id="445">
    <w:p>
      <w:pPr>
        <w:pStyle w:val="FootnoteText"/>
      </w:pPr>
      <w:r>
        <w:rPr>
          <w:rStyle w:val="FootnoteReference"/>
        </w:rPr>
        <w:footnoteRef/>
      </w:r>
      <w:r>
        <w:t xml:space="preserve"> </w:t>
      </w:r>
      <w:r>
        <w:t xml:space="preserve">Lähteenvuo 2025, PMID 39535805.</w:t>
      </w:r>
    </w:p>
  </w:footnote>
  <w:footnote w:id="448">
    <w:p>
      <w:pPr>
        <w:pStyle w:val="FootnoteText"/>
      </w:pPr>
      <w:r>
        <w:rPr>
          <w:rStyle w:val="FootnoteReference"/>
        </w:rPr>
        <w:footnoteRef/>
      </w:r>
      <w:r>
        <w:t xml:space="preserve"> </w:t>
      </w:r>
      <w:r>
        <w:t xml:space="preserve">Lau 2015, PMID 26308095.</w:t>
      </w:r>
    </w:p>
  </w:footnote>
  <w:footnote w:id="449">
    <w:p>
      <w:pPr>
        <w:pStyle w:val="FootnoteText"/>
      </w:pPr>
      <w:r>
        <w:rPr>
          <w:rStyle w:val="FootnoteReference"/>
        </w:rPr>
        <w:footnoteRef/>
      </w:r>
      <w:r>
        <w:t xml:space="preserve"> </w:t>
      </w:r>
      <w:r>
        <w:t xml:space="preserve">Buckley 2018, PMID 30429357.</w:t>
      </w:r>
    </w:p>
  </w:footnote>
  <w:footnote w:id="450">
    <w:p>
      <w:pPr>
        <w:pStyle w:val="FootnoteText"/>
      </w:pPr>
      <w:r>
        <w:rPr>
          <w:rStyle w:val="FootnoteReference"/>
        </w:rPr>
        <w:footnoteRef/>
      </w:r>
      <w:r>
        <w:t xml:space="preserve"> </w:t>
      </w:r>
      <w:r>
        <w:t xml:space="preserve">Bjerre Knudsen 2010, PMID 20203154.</w:t>
      </w:r>
    </w:p>
  </w:footnote>
  <w:footnote w:id="452">
    <w:p>
      <w:pPr>
        <w:pStyle w:val="FootnoteText"/>
      </w:pPr>
      <w:r>
        <w:rPr>
          <w:rStyle w:val="FootnoteReference"/>
        </w:rPr>
        <w:footnoteRef/>
      </w:r>
      <w:r>
        <w:t xml:space="preserve"> </w:t>
      </w:r>
      <w:r>
        <w:t xml:space="preserve">Wilding 2021, PMID 33567185.</w:t>
      </w:r>
    </w:p>
  </w:footnote>
  <w:footnote w:id="453">
    <w:p>
      <w:pPr>
        <w:pStyle w:val="FootnoteText"/>
      </w:pPr>
      <w:r>
        <w:rPr>
          <w:rStyle w:val="FootnoteReference"/>
        </w:rPr>
        <w:footnoteRef/>
      </w:r>
      <w:r>
        <w:t xml:space="preserve"> </w:t>
      </w:r>
      <w:r>
        <w:t xml:space="preserve">He 2022, PMID 35344001.</w:t>
      </w:r>
    </w:p>
  </w:footnote>
  <w:footnote w:id="454">
    <w:p>
      <w:pPr>
        <w:pStyle w:val="FootnoteText"/>
      </w:pPr>
      <w:r>
        <w:rPr>
          <w:rStyle w:val="FootnoteReference"/>
        </w:rPr>
        <w:footnoteRef/>
      </w:r>
      <w:r>
        <w:t xml:space="preserve"> </w:t>
      </w:r>
      <w:r>
        <w:t xml:space="preserve">Weghuber 2022, PMID 36322838.</w:t>
      </w:r>
    </w:p>
  </w:footnote>
  <w:footnote w:id="455">
    <w:p>
      <w:pPr>
        <w:pStyle w:val="FootnoteText"/>
      </w:pPr>
      <w:r>
        <w:rPr>
          <w:rStyle w:val="FootnoteReference"/>
        </w:rPr>
        <w:footnoteRef/>
      </w:r>
      <w:r>
        <w:t xml:space="preserve"> </w:t>
      </w:r>
      <w:r>
        <w:t xml:space="preserve">Marso 2016, PMID 27633186.</w:t>
      </w:r>
    </w:p>
  </w:footnote>
  <w:footnote w:id="456">
    <w:p>
      <w:pPr>
        <w:pStyle w:val="FootnoteText"/>
      </w:pPr>
      <w:r>
        <w:rPr>
          <w:rStyle w:val="FootnoteReference"/>
        </w:rPr>
        <w:footnoteRef/>
      </w:r>
      <w:r>
        <w:t xml:space="preserve"> </w:t>
      </w:r>
      <w:r>
        <w:t xml:space="preserve">NCT03811561.</w:t>
      </w:r>
    </w:p>
  </w:footnote>
  <w:footnote w:id="457">
    <w:p>
      <w:pPr>
        <w:pStyle w:val="FootnoteText"/>
      </w:pPr>
      <w:r>
        <w:rPr>
          <w:rStyle w:val="FootnoteReference"/>
        </w:rPr>
        <w:footnoteRef/>
      </w:r>
      <w:r>
        <w:t xml:space="preserve"> </w:t>
      </w:r>
      <w:r>
        <w:t xml:space="preserve">Hathaway 2024, PMID 38958939.</w:t>
      </w:r>
    </w:p>
  </w:footnote>
  <w:footnote w:id="458">
    <w:p>
      <w:pPr>
        <w:pStyle w:val="FootnoteText"/>
      </w:pPr>
      <w:r>
        <w:rPr>
          <w:rStyle w:val="FootnoteReference"/>
        </w:rPr>
        <w:footnoteRef/>
      </w:r>
      <w:r>
        <w:t xml:space="preserve"> </w:t>
      </w:r>
      <w:r>
        <w:t xml:space="preserve">Simonsen 2025, PMID 40098249.</w:t>
      </w:r>
    </w:p>
  </w:footnote>
  <w:footnote w:id="459">
    <w:p>
      <w:pPr>
        <w:pStyle w:val="FootnoteText"/>
      </w:pPr>
      <w:r>
        <w:rPr>
          <w:rStyle w:val="FootnoteReference"/>
        </w:rPr>
        <w:footnoteRef/>
      </w:r>
      <w:r>
        <w:t xml:space="preserve"> </w:t>
      </w:r>
      <w:r>
        <w:t xml:space="preserve">Liu 2026, PMID 41475544.</w:t>
      </w:r>
    </w:p>
  </w:footnote>
  <w:footnote w:id="460">
    <w:p>
      <w:pPr>
        <w:pStyle w:val="FootnoteText"/>
      </w:pPr>
      <w:r>
        <w:rPr>
          <w:rStyle w:val="FootnoteReference"/>
        </w:rPr>
        <w:footnoteRef/>
      </w:r>
      <w:r>
        <w:t xml:space="preserve"> </w:t>
      </w:r>
      <w:r>
        <w:t xml:space="preserve">Sodhi 2023, PMID 37796527.</w:t>
      </w:r>
    </w:p>
  </w:footnote>
  <w:footnote w:id="461">
    <w:p>
      <w:pPr>
        <w:pStyle w:val="FootnoteText"/>
      </w:pPr>
      <w:r>
        <w:rPr>
          <w:rStyle w:val="FootnoteReference"/>
        </w:rPr>
        <w:footnoteRef/>
      </w:r>
      <w:r>
        <w:t xml:space="preserve"> </w:t>
      </w:r>
      <w:r>
        <w:t xml:space="preserve">Bezin 2023, PMID 36356111; Silverii 2025, PMID 40437949.</w:t>
      </w:r>
    </w:p>
  </w:footnote>
  <w:footnote w:id="462">
    <w:p>
      <w:pPr>
        <w:pStyle w:val="FootnoteText"/>
      </w:pPr>
      <w:r>
        <w:rPr>
          <w:rStyle w:val="FootnoteReference"/>
        </w:rPr>
        <w:footnoteRef/>
      </w:r>
      <w:r>
        <w:t xml:space="preserve"> </w:t>
      </w:r>
      <w:r>
        <w:t xml:space="preserve">Wang 2024, PMID 38182782.</w:t>
      </w:r>
    </w:p>
  </w:footnote>
  <w:footnote w:id="464">
    <w:p>
      <w:pPr>
        <w:pStyle w:val="FootnoteText"/>
      </w:pPr>
      <w:r>
        <w:rPr>
          <w:rStyle w:val="FootnoteReference"/>
        </w:rPr>
        <w:footnoteRef/>
      </w:r>
      <w:r>
        <w:t xml:space="preserve"> </w:t>
      </w:r>
      <w:r>
        <w:t xml:space="preserve">Lambson 2023, PMID 37392810.</w:t>
      </w:r>
    </w:p>
  </w:footnote>
  <w:footnote w:id="465">
    <w:p>
      <w:pPr>
        <w:pStyle w:val="FootnoteText"/>
      </w:pPr>
      <w:r>
        <w:rPr>
          <w:rStyle w:val="FootnoteReference"/>
        </w:rPr>
        <w:footnoteRef/>
      </w:r>
      <w:r>
        <w:t xml:space="preserve"> </w:t>
      </w:r>
      <w:r>
        <w:t xml:space="preserve">McCall 2026, PMID 40285721.</w:t>
      </w:r>
    </w:p>
  </w:footnote>
  <w:footnote w:id="466">
    <w:p>
      <w:pPr>
        <w:pStyle w:val="FootnoteText"/>
      </w:pPr>
      <w:r>
        <w:rPr>
          <w:rStyle w:val="FootnoteReference"/>
        </w:rPr>
        <w:footnoteRef/>
      </w:r>
      <w:r>
        <w:t xml:space="preserve"> </w:t>
      </w:r>
      <w:r>
        <w:t xml:space="preserve">Ashraf 2024, PMID 39509151.</w:t>
      </w:r>
    </w:p>
  </w:footnote>
  <w:footnote w:id="469">
    <w:p>
      <w:pPr>
        <w:pStyle w:val="FootnoteText"/>
      </w:pPr>
      <w:r>
        <w:rPr>
          <w:rStyle w:val="FootnoteReference"/>
        </w:rPr>
        <w:footnoteRef/>
      </w:r>
      <w:r>
        <w:t xml:space="preserve"> </w:t>
      </w:r>
      <w:r>
        <w:t xml:space="preserve">NCT03811561.</w:t>
      </w:r>
    </w:p>
  </w:footnote>
  <w:footnote w:id="470">
    <w:p>
      <w:pPr>
        <w:pStyle w:val="FootnoteText"/>
      </w:pPr>
      <w:r>
        <w:rPr>
          <w:rStyle w:val="FootnoteReference"/>
        </w:rPr>
        <w:footnoteRef/>
      </w:r>
      <w:r>
        <w:t xml:space="preserve"> </w:t>
      </w:r>
      <w:r>
        <w:t xml:space="preserve">NCT04822181.</w:t>
      </w:r>
    </w:p>
  </w:footnote>
  <w:footnote w:id="471">
    <w:p>
      <w:pPr>
        <w:pStyle w:val="FootnoteText"/>
      </w:pPr>
      <w:r>
        <w:rPr>
          <w:rStyle w:val="FootnoteReference"/>
        </w:rPr>
        <w:footnoteRef/>
      </w:r>
      <w:r>
        <w:t xml:space="preserve"> </w:t>
      </w:r>
      <w:r>
        <w:t xml:space="preserve">NCT05726227.</w:t>
      </w:r>
    </w:p>
  </w:footnote>
  <w:footnote w:id="472">
    <w:p>
      <w:pPr>
        <w:pStyle w:val="FootnoteText"/>
      </w:pPr>
      <w:r>
        <w:rPr>
          <w:rStyle w:val="FootnoteReference"/>
        </w:rPr>
        <w:footnoteRef/>
      </w:r>
      <w:r>
        <w:t xml:space="preserve"> </w:t>
      </w:r>
      <w:r>
        <w:t xml:space="preserve">NCT07770841.</w:t>
      </w:r>
    </w:p>
  </w:footnote>
  <w:footnote w:id="473">
    <w:p>
      <w:pPr>
        <w:pStyle w:val="FootnoteText"/>
      </w:pPr>
      <w:r>
        <w:rPr>
          <w:rStyle w:val="FootnoteReference"/>
        </w:rPr>
        <w:footnoteRef/>
      </w:r>
      <w:r>
        <w:t xml:space="preserve"> </w:t>
      </w:r>
      <w:r>
        <w:t xml:space="preserve">NCT05669755.</w:t>
      </w:r>
    </w:p>
  </w:footnote>
  <w:footnote w:id="478">
    <w:p>
      <w:pPr>
        <w:pStyle w:val="FootnoteText"/>
      </w:pPr>
      <w:r>
        <w:rPr>
          <w:rStyle w:val="FootnoteReference"/>
        </w:rPr>
        <w:footnoteRef/>
      </w:r>
      <w:r>
        <w:t xml:space="preserve"> </w:t>
      </w:r>
      <w:r>
        <w:t xml:space="preserve">Willard 2020, PMID 32730231.</w:t>
      </w:r>
    </w:p>
  </w:footnote>
  <w:footnote w:id="479">
    <w:p>
      <w:pPr>
        <w:pStyle w:val="FootnoteText"/>
      </w:pPr>
      <w:r>
        <w:rPr>
          <w:rStyle w:val="FootnoteReference"/>
        </w:rPr>
        <w:footnoteRef/>
      </w:r>
      <w:r>
        <w:t xml:space="preserve"> </w:t>
      </w:r>
      <w:r>
        <w:t xml:space="preserve">Samms 2021, PMID 34003802.</w:t>
      </w:r>
    </w:p>
  </w:footnote>
  <w:footnote w:id="480">
    <w:p>
      <w:pPr>
        <w:pStyle w:val="FootnoteText"/>
      </w:pPr>
      <w:r>
        <w:rPr>
          <w:rStyle w:val="FootnoteReference"/>
        </w:rPr>
        <w:footnoteRef/>
      </w:r>
      <w:r>
        <w:t xml:space="preserve"> </w:t>
      </w:r>
      <w:r>
        <w:t xml:space="preserve">Heise 2023, PMID 36857477.</w:t>
      </w:r>
    </w:p>
  </w:footnote>
  <w:footnote w:id="482">
    <w:p>
      <w:pPr>
        <w:pStyle w:val="FootnoteText"/>
      </w:pPr>
      <w:r>
        <w:rPr>
          <w:rStyle w:val="FootnoteReference"/>
        </w:rPr>
        <w:footnoteRef/>
      </w:r>
      <w:r>
        <w:t xml:space="preserve"> </w:t>
      </w:r>
      <w:r>
        <w:t xml:space="preserve">Coskun 2018, PMID 30473097.</w:t>
      </w:r>
    </w:p>
  </w:footnote>
  <w:footnote w:id="483">
    <w:p>
      <w:pPr>
        <w:pStyle w:val="FootnoteText"/>
      </w:pPr>
      <w:r>
        <w:rPr>
          <w:rStyle w:val="FootnoteReference"/>
        </w:rPr>
        <w:footnoteRef/>
      </w:r>
      <w:r>
        <w:t xml:space="preserve"> </w:t>
      </w:r>
      <w:r>
        <w:t xml:space="preserve">Frias 2018, PMID 30293770.</w:t>
      </w:r>
    </w:p>
  </w:footnote>
  <w:footnote w:id="485">
    <w:p>
      <w:pPr>
        <w:pStyle w:val="FootnoteText"/>
      </w:pPr>
      <w:r>
        <w:rPr>
          <w:rStyle w:val="FootnoteReference"/>
        </w:rPr>
        <w:footnoteRef/>
      </w:r>
      <w:r>
        <w:t xml:space="preserve"> </w:t>
      </w:r>
      <w:r>
        <w:t xml:space="preserve">Frías 2021, PMID 34170647.</w:t>
      </w:r>
    </w:p>
  </w:footnote>
  <w:footnote w:id="486">
    <w:p>
      <w:pPr>
        <w:pStyle w:val="FootnoteText"/>
      </w:pPr>
      <w:r>
        <w:rPr>
          <w:rStyle w:val="FootnoteReference"/>
        </w:rPr>
        <w:footnoteRef/>
      </w:r>
      <w:r>
        <w:t xml:space="preserve"> </w:t>
      </w:r>
      <w:r>
        <w:t xml:space="preserve">Ludvik 2021, PMID 34370970.</w:t>
      </w:r>
    </w:p>
  </w:footnote>
  <w:footnote w:id="487">
    <w:p>
      <w:pPr>
        <w:pStyle w:val="FootnoteText"/>
      </w:pPr>
      <w:r>
        <w:rPr>
          <w:rStyle w:val="FootnoteReference"/>
        </w:rPr>
        <w:footnoteRef/>
      </w:r>
      <w:r>
        <w:t xml:space="preserve"> </w:t>
      </w:r>
      <w:r>
        <w:t xml:space="preserve">Hannon 2025, PMID 40975112.</w:t>
      </w:r>
    </w:p>
  </w:footnote>
  <w:footnote w:id="488">
    <w:p>
      <w:pPr>
        <w:pStyle w:val="FootnoteText"/>
      </w:pPr>
      <w:r>
        <w:rPr>
          <w:rStyle w:val="FootnoteReference"/>
        </w:rPr>
        <w:footnoteRef/>
      </w:r>
      <w:r>
        <w:t xml:space="preserve"> </w:t>
      </w:r>
      <w:r>
        <w:t xml:space="preserve">Snaith 2026, PMID 41264593.</w:t>
      </w:r>
    </w:p>
  </w:footnote>
  <w:footnote w:id="489">
    <w:p>
      <w:pPr>
        <w:pStyle w:val="FootnoteText"/>
      </w:pPr>
      <w:r>
        <w:rPr>
          <w:rStyle w:val="FootnoteReference"/>
        </w:rPr>
        <w:footnoteRef/>
      </w:r>
      <w:r>
        <w:t xml:space="preserve"> </w:t>
      </w:r>
      <w:r>
        <w:t xml:space="preserve">Sattar 2022, PMID 35210595.</w:t>
      </w:r>
    </w:p>
  </w:footnote>
  <w:footnote w:id="491">
    <w:p>
      <w:pPr>
        <w:pStyle w:val="FootnoteText"/>
      </w:pPr>
      <w:r>
        <w:rPr>
          <w:rStyle w:val="FootnoteReference"/>
        </w:rPr>
        <w:footnoteRef/>
      </w:r>
      <w:r>
        <w:t xml:space="preserve"> </w:t>
      </w:r>
      <w:r>
        <w:t xml:space="preserve">Nicholls 2025, PMID 41406444.</w:t>
      </w:r>
    </w:p>
  </w:footnote>
  <w:footnote w:id="492">
    <w:p>
      <w:pPr>
        <w:pStyle w:val="FootnoteText"/>
      </w:pPr>
      <w:r>
        <w:rPr>
          <w:rStyle w:val="FootnoteReference"/>
        </w:rPr>
        <w:footnoteRef/>
      </w:r>
      <w:r>
        <w:t xml:space="preserve"> </w:t>
      </w:r>
      <w:r>
        <w:t xml:space="preserve">Nissen 2026, PMID 41903177.</w:t>
      </w:r>
    </w:p>
  </w:footnote>
  <w:footnote w:id="493">
    <w:p>
      <w:pPr>
        <w:pStyle w:val="FootnoteText"/>
      </w:pPr>
      <w:r>
        <w:rPr>
          <w:rStyle w:val="FootnoteReference"/>
        </w:rPr>
        <w:footnoteRef/>
      </w:r>
      <w:r>
        <w:t xml:space="preserve"> </w:t>
      </w:r>
      <w:r>
        <w:t xml:space="preserve">Sattar 2026, PMID 41940793.</w:t>
      </w:r>
    </w:p>
  </w:footnote>
  <w:footnote w:id="495">
    <w:p>
      <w:pPr>
        <w:pStyle w:val="FootnoteText"/>
      </w:pPr>
      <w:r>
        <w:rPr>
          <w:rStyle w:val="FootnoteReference"/>
        </w:rPr>
        <w:footnoteRef/>
      </w:r>
      <w:r>
        <w:t xml:space="preserve"> </w:t>
      </w:r>
      <w:r>
        <w:t xml:space="preserve">Jastreboff 2022, PMID 35658024.</w:t>
      </w:r>
    </w:p>
  </w:footnote>
  <w:footnote w:id="496">
    <w:p>
      <w:pPr>
        <w:pStyle w:val="FootnoteText"/>
      </w:pPr>
      <w:r>
        <w:rPr>
          <w:rStyle w:val="FootnoteReference"/>
        </w:rPr>
        <w:footnoteRef/>
      </w:r>
      <w:r>
        <w:t xml:space="preserve"> </w:t>
      </w:r>
      <w:r>
        <w:t xml:space="preserve">Garvey 2023, PMID 37385275.</w:t>
      </w:r>
    </w:p>
  </w:footnote>
  <w:footnote w:id="497">
    <w:p>
      <w:pPr>
        <w:pStyle w:val="FootnoteText"/>
      </w:pPr>
      <w:r>
        <w:rPr>
          <w:rStyle w:val="FootnoteReference"/>
        </w:rPr>
        <w:footnoteRef/>
      </w:r>
      <w:r>
        <w:t xml:space="preserve"> </w:t>
      </w:r>
      <w:r>
        <w:t xml:space="preserve">Aronne 2024, PMID 38078870.</w:t>
      </w:r>
    </w:p>
  </w:footnote>
  <w:footnote w:id="498">
    <w:p>
      <w:pPr>
        <w:pStyle w:val="FootnoteText"/>
      </w:pPr>
      <w:r>
        <w:rPr>
          <w:rStyle w:val="FootnoteReference"/>
        </w:rPr>
        <w:footnoteRef/>
      </w:r>
      <w:r>
        <w:t xml:space="preserve"> </w:t>
      </w:r>
      <w:r>
        <w:t xml:space="preserve">Horn 2026, PMID 42119587.</w:t>
      </w:r>
    </w:p>
  </w:footnote>
  <w:footnote w:id="499">
    <w:p>
      <w:pPr>
        <w:pStyle w:val="FootnoteText"/>
      </w:pPr>
      <w:r>
        <w:rPr>
          <w:rStyle w:val="FootnoteReference"/>
        </w:rPr>
        <w:footnoteRef/>
      </w:r>
      <w:r>
        <w:t xml:space="preserve"> </w:t>
      </w:r>
      <w:r>
        <w:t xml:space="preserve">Jastreboff 2025, PMID 39536238.</w:t>
      </w:r>
    </w:p>
  </w:footnote>
  <w:footnote w:id="501">
    <w:p>
      <w:pPr>
        <w:pStyle w:val="FootnoteText"/>
      </w:pPr>
      <w:r>
        <w:rPr>
          <w:rStyle w:val="FootnoteReference"/>
        </w:rPr>
        <w:footnoteRef/>
      </w:r>
      <w:r>
        <w:t xml:space="preserve"> </w:t>
      </w:r>
      <w:r>
        <w:t xml:space="preserve">Aronne 2025, PMID 40353578.</w:t>
      </w:r>
    </w:p>
  </w:footnote>
  <w:footnote w:id="502">
    <w:p>
      <w:pPr>
        <w:pStyle w:val="FootnoteText"/>
      </w:pPr>
      <w:r>
        <w:rPr>
          <w:rStyle w:val="FootnoteReference"/>
        </w:rPr>
        <w:footnoteRef/>
      </w:r>
      <w:r>
        <w:t xml:space="preserve"> </w:t>
      </w:r>
      <w:r>
        <w:t xml:space="preserve">Aronne 2026, PMID 41865857.</w:t>
      </w:r>
    </w:p>
  </w:footnote>
  <w:footnote w:id="504">
    <w:p>
      <w:pPr>
        <w:pStyle w:val="FootnoteText"/>
      </w:pPr>
      <w:r>
        <w:rPr>
          <w:rStyle w:val="FootnoteReference"/>
        </w:rPr>
        <w:footnoteRef/>
      </w:r>
      <w:r>
        <w:t xml:space="preserve"> </w:t>
      </w:r>
      <w:r>
        <w:t xml:space="preserve">Packer 2025, PMID 39555826.</w:t>
      </w:r>
    </w:p>
  </w:footnote>
  <w:footnote w:id="505">
    <w:p>
      <w:pPr>
        <w:pStyle w:val="FootnoteText"/>
      </w:pPr>
      <w:r>
        <w:rPr>
          <w:rStyle w:val="FootnoteReference"/>
        </w:rPr>
        <w:footnoteRef/>
      </w:r>
      <w:r>
        <w:t xml:space="preserve"> </w:t>
      </w:r>
      <w:r>
        <w:t xml:space="preserve">Kramer 2025, PMID 39566869.</w:t>
      </w:r>
    </w:p>
  </w:footnote>
  <w:footnote w:id="507">
    <w:p>
      <w:pPr>
        <w:pStyle w:val="FootnoteText"/>
      </w:pPr>
      <w:r>
        <w:rPr>
          <w:rStyle w:val="FootnoteReference"/>
        </w:rPr>
        <w:footnoteRef/>
      </w:r>
      <w:r>
        <w:t xml:space="preserve"> </w:t>
      </w:r>
      <w:r>
        <w:t xml:space="preserve">Malhotra 2024, PMID 38912654.</w:t>
      </w:r>
    </w:p>
  </w:footnote>
  <w:footnote w:id="509">
    <w:p>
      <w:pPr>
        <w:pStyle w:val="FootnoteText"/>
      </w:pPr>
      <w:r>
        <w:rPr>
          <w:rStyle w:val="FootnoteReference"/>
        </w:rPr>
        <w:footnoteRef/>
      </w:r>
      <w:r>
        <w:t xml:space="preserve"> </w:t>
      </w:r>
      <w:r>
        <w:t xml:space="preserve">Loomba 2024, PMID 38856224.</w:t>
      </w:r>
    </w:p>
  </w:footnote>
  <w:footnote w:id="511">
    <w:p>
      <w:pPr>
        <w:pStyle w:val="FootnoteText"/>
      </w:pPr>
      <w:r>
        <w:rPr>
          <w:rStyle w:val="FootnoteReference"/>
        </w:rPr>
        <w:footnoteRef/>
      </w:r>
      <w:r>
        <w:t xml:space="preserve"> </w:t>
      </w:r>
      <w:r>
        <w:t xml:space="preserve">Lebwohl 2026, PMID 42139049.</w:t>
      </w:r>
    </w:p>
  </w:footnote>
  <w:footnote w:id="512">
    <w:p>
      <w:pPr>
        <w:pStyle w:val="FootnoteText"/>
      </w:pPr>
      <w:r>
        <w:rPr>
          <w:rStyle w:val="FootnoteReference"/>
        </w:rPr>
        <w:footnoteRef/>
      </w:r>
      <w:r>
        <w:t xml:space="preserve"> </w:t>
      </w:r>
      <w:r>
        <w:t xml:space="preserve">Look 2025, PMID 39996356.</w:t>
      </w:r>
    </w:p>
  </w:footnote>
  <w:footnote w:id="515">
    <w:p>
      <w:pPr>
        <w:pStyle w:val="FootnoteText"/>
      </w:pPr>
      <w:r>
        <w:rPr>
          <w:rStyle w:val="FootnoteReference"/>
        </w:rPr>
        <w:footnoteRef/>
      </w:r>
      <w:r>
        <w:t xml:space="preserve"> </w:t>
      </w:r>
      <w:r>
        <w:t xml:space="preserve">Coskun 2018, PMID 30473097.</w:t>
      </w:r>
    </w:p>
  </w:footnote>
  <w:footnote w:id="516">
    <w:p>
      <w:pPr>
        <w:pStyle w:val="FootnoteText"/>
      </w:pPr>
      <w:r>
        <w:rPr>
          <w:rStyle w:val="FootnoteReference"/>
        </w:rPr>
        <w:footnoteRef/>
      </w:r>
      <w:r>
        <w:t xml:space="preserve"> </w:t>
      </w:r>
      <w:r>
        <w:t xml:space="preserve">Samms 2021, PMID 34003802.</w:t>
      </w:r>
    </w:p>
  </w:footnote>
  <w:footnote w:id="517">
    <w:p>
      <w:pPr>
        <w:pStyle w:val="FootnoteText"/>
      </w:pPr>
      <w:r>
        <w:rPr>
          <w:rStyle w:val="FootnoteReference"/>
        </w:rPr>
        <w:footnoteRef/>
      </w:r>
      <w:r>
        <w:t xml:space="preserve"> </w:t>
      </w:r>
      <w:r>
        <w:t xml:space="preserve">Martin 2024, PMID 39243911.</w:t>
      </w:r>
    </w:p>
  </w:footnote>
  <w:footnote w:id="519">
    <w:p>
      <w:pPr>
        <w:pStyle w:val="FootnoteText"/>
      </w:pPr>
      <w:r>
        <w:rPr>
          <w:rStyle w:val="FootnoteReference"/>
        </w:rPr>
        <w:footnoteRef/>
      </w:r>
      <w:r>
        <w:t xml:space="preserve"> </w:t>
      </w:r>
      <w:r>
        <w:t xml:space="preserve">Ludvik 2021, PMID 34370970.</w:t>
      </w:r>
    </w:p>
  </w:footnote>
  <w:footnote w:id="520">
    <w:p>
      <w:pPr>
        <w:pStyle w:val="FootnoteText"/>
      </w:pPr>
      <w:r>
        <w:rPr>
          <w:rStyle w:val="FootnoteReference"/>
        </w:rPr>
        <w:footnoteRef/>
      </w:r>
      <w:r>
        <w:t xml:space="preserve"> </w:t>
      </w:r>
      <w:r>
        <w:t xml:space="preserve">Zeng 2023, PMID 37908750.</w:t>
      </w:r>
    </w:p>
  </w:footnote>
  <w:footnote w:id="521">
    <w:p>
      <w:pPr>
        <w:pStyle w:val="FootnoteText"/>
      </w:pPr>
      <w:r>
        <w:rPr>
          <w:rStyle w:val="FootnoteReference"/>
        </w:rPr>
        <w:footnoteRef/>
      </w:r>
      <w:r>
        <w:t xml:space="preserve"> </w:t>
      </w:r>
      <w:r>
        <w:t xml:space="preserve">Del Prato 2021, PMID 34672967.</w:t>
      </w:r>
    </w:p>
  </w:footnote>
  <w:footnote w:id="522">
    <w:p>
      <w:pPr>
        <w:pStyle w:val="FootnoteText"/>
      </w:pPr>
      <w:r>
        <w:rPr>
          <w:rStyle w:val="FootnoteReference"/>
        </w:rPr>
        <w:footnoteRef/>
      </w:r>
      <w:r>
        <w:t xml:space="preserve"> </w:t>
      </w:r>
      <w:r>
        <w:t xml:space="preserve">Wadden 2026, PMID 41537305.</w:t>
      </w:r>
    </w:p>
  </w:footnote>
  <w:footnote w:id="523">
    <w:p>
      <w:pPr>
        <w:pStyle w:val="FootnoteText"/>
      </w:pPr>
      <w:r>
        <w:rPr>
          <w:rStyle w:val="FootnoteReference"/>
        </w:rPr>
        <w:footnoteRef/>
      </w:r>
      <w:r>
        <w:t xml:space="preserve"> </w:t>
      </w:r>
      <w:r>
        <w:t xml:space="preserve">Look 2025, PMID 39996356.</w:t>
      </w:r>
    </w:p>
  </w:footnote>
  <w:footnote w:id="524">
    <w:p>
      <w:pPr>
        <w:pStyle w:val="FootnoteText"/>
      </w:pPr>
      <w:r>
        <w:rPr>
          <w:rStyle w:val="FootnoteReference"/>
        </w:rPr>
        <w:footnoteRef/>
      </w:r>
      <w:r>
        <w:t xml:space="preserve"> </w:t>
      </w:r>
      <w:r>
        <w:t xml:space="preserve">Caruso 2024, PMID 39141075.</w:t>
      </w:r>
    </w:p>
  </w:footnote>
  <w:footnote w:id="525">
    <w:p>
      <w:pPr>
        <w:pStyle w:val="FootnoteText"/>
      </w:pPr>
      <w:r>
        <w:rPr>
          <w:rStyle w:val="FootnoteReference"/>
        </w:rPr>
        <w:footnoteRef/>
      </w:r>
      <w:r>
        <w:t xml:space="preserve"> </w:t>
      </w:r>
      <w:r>
        <w:t xml:space="preserve">Crisafulli 2026, PMID 41183330.</w:t>
      </w:r>
    </w:p>
  </w:footnote>
  <w:footnote w:id="526">
    <w:p>
      <w:pPr>
        <w:pStyle w:val="FootnoteText"/>
      </w:pPr>
      <w:r>
        <w:rPr>
          <w:rStyle w:val="FootnoteReference"/>
        </w:rPr>
        <w:footnoteRef/>
      </w:r>
      <w:r>
        <w:t xml:space="preserve"> </w:t>
      </w:r>
      <w:r>
        <w:t xml:space="preserve">Belcourt 2026, PMID 41689811.</w:t>
      </w:r>
    </w:p>
  </w:footnote>
  <w:footnote w:id="529">
    <w:p>
      <w:pPr>
        <w:pStyle w:val="FootnoteText"/>
      </w:pPr>
      <w:r>
        <w:rPr>
          <w:rStyle w:val="FootnoteReference"/>
        </w:rPr>
        <w:footnoteRef/>
      </w:r>
      <w:r>
        <w:t xml:space="preserve"> </w:t>
      </w:r>
      <w:r>
        <w:t xml:space="preserve">NCT05556512.</w:t>
      </w:r>
    </w:p>
  </w:footnote>
  <w:footnote w:id="530">
    <w:p>
      <w:pPr>
        <w:pStyle w:val="FootnoteText"/>
      </w:pPr>
      <w:r>
        <w:rPr>
          <w:rStyle w:val="FootnoteReference"/>
        </w:rPr>
        <w:footnoteRef/>
      </w:r>
      <w:r>
        <w:t xml:space="preserve"> </w:t>
      </w:r>
      <w:r>
        <w:t xml:space="preserve">Lam 2025, PMID 40545827.</w:t>
      </w:r>
    </w:p>
  </w:footnote>
  <w:footnote w:id="531">
    <w:p>
      <w:pPr>
        <w:pStyle w:val="FootnoteText"/>
      </w:pPr>
      <w:r>
        <w:rPr>
          <w:rStyle w:val="FootnoteReference"/>
        </w:rPr>
        <w:footnoteRef/>
      </w:r>
      <w:r>
        <w:t xml:space="preserve"> </w:t>
      </w:r>
      <w:r>
        <w:t xml:space="preserve">NCT07165028.</w:t>
      </w:r>
    </w:p>
  </w:footnote>
  <w:footnote w:id="532">
    <w:p>
      <w:pPr>
        <w:pStyle w:val="FootnoteText"/>
      </w:pPr>
      <w:r>
        <w:rPr>
          <w:rStyle w:val="FootnoteReference"/>
        </w:rPr>
        <w:footnoteRef/>
      </w:r>
      <w:r>
        <w:t xml:space="preserve"> </w:t>
      </w:r>
      <w:r>
        <w:t xml:space="preserve">NCT06914895, NCT06962280.</w:t>
      </w:r>
    </w:p>
  </w:footnote>
  <w:footnote w:id="533">
    <w:p>
      <w:pPr>
        <w:pStyle w:val="FootnoteText"/>
      </w:pPr>
      <w:r>
        <w:rPr>
          <w:rStyle w:val="FootnoteReference"/>
        </w:rPr>
        <w:footnoteRef/>
      </w:r>
      <w:r>
        <w:t xml:space="preserve"> </w:t>
      </w:r>
      <w:r>
        <w:t xml:space="preserve">NCT07817875.</w:t>
      </w:r>
    </w:p>
  </w:footnote>
  <w:footnote w:id="538">
    <w:p>
      <w:pPr>
        <w:pStyle w:val="FootnoteText"/>
      </w:pPr>
      <w:r>
        <w:rPr>
          <w:rStyle w:val="FootnoteReference"/>
        </w:rPr>
        <w:footnoteRef/>
      </w:r>
      <w:r>
        <w:t xml:space="preserve"> </w:t>
      </w:r>
      <w:r>
        <w:t xml:space="preserve">Coskun 2022, PMID 35985340.</w:t>
      </w:r>
    </w:p>
  </w:footnote>
  <w:footnote w:id="539">
    <w:p>
      <w:pPr>
        <w:pStyle w:val="FootnoteText"/>
      </w:pPr>
      <w:r>
        <w:rPr>
          <w:rStyle w:val="FootnoteReference"/>
        </w:rPr>
        <w:footnoteRef/>
      </w:r>
      <w:r>
        <w:t xml:space="preserve"> </w:t>
      </w:r>
      <w:r>
        <w:t xml:space="preserve">NCT06313528.</w:t>
      </w:r>
    </w:p>
  </w:footnote>
  <w:footnote w:id="540">
    <w:p>
      <w:pPr>
        <w:pStyle w:val="FootnoteText"/>
      </w:pPr>
      <w:r>
        <w:rPr>
          <w:rStyle w:val="FootnoteReference"/>
        </w:rPr>
        <w:footnoteRef/>
      </w:r>
      <w:r>
        <w:t xml:space="preserve"> </w:t>
      </w:r>
      <w:r>
        <w:t xml:space="preserve">Kanu 2025, PMID 40916752.</w:t>
      </w:r>
    </w:p>
  </w:footnote>
  <w:footnote w:id="542">
    <w:p>
      <w:pPr>
        <w:pStyle w:val="FootnoteText"/>
      </w:pPr>
      <w:r>
        <w:rPr>
          <w:rStyle w:val="FootnoteReference"/>
        </w:rPr>
        <w:footnoteRef/>
      </w:r>
      <w:r>
        <w:t xml:space="preserve"> </w:t>
      </w:r>
      <w:r>
        <w:t xml:space="preserve">Coskun 2022, PMID 35985340.</w:t>
      </w:r>
    </w:p>
  </w:footnote>
  <w:footnote w:id="543">
    <w:p>
      <w:pPr>
        <w:pStyle w:val="FootnoteText"/>
      </w:pPr>
      <w:r>
        <w:rPr>
          <w:rStyle w:val="FootnoteReference"/>
        </w:rPr>
        <w:footnoteRef/>
      </w:r>
      <w:r>
        <w:t xml:space="preserve"> </w:t>
      </w:r>
      <w:r>
        <w:t xml:space="preserve">Urva 2022, PMID 36354040.</w:t>
      </w:r>
    </w:p>
  </w:footnote>
  <w:footnote w:id="545">
    <w:p>
      <w:pPr>
        <w:pStyle w:val="FootnoteText"/>
      </w:pPr>
      <w:r>
        <w:rPr>
          <w:rStyle w:val="FootnoteReference"/>
        </w:rPr>
        <w:footnoteRef/>
      </w:r>
      <w:r>
        <w:t xml:space="preserve"> </w:t>
      </w:r>
      <w:r>
        <w:t xml:space="preserve">Jastreboff 2023, PMID 37366315.</w:t>
      </w:r>
    </w:p>
  </w:footnote>
  <w:footnote w:id="546">
    <w:p>
      <w:pPr>
        <w:pStyle w:val="FootnoteText"/>
      </w:pPr>
      <w:r>
        <w:rPr>
          <w:rStyle w:val="FootnoteReference"/>
        </w:rPr>
        <w:footnoteRef/>
      </w:r>
      <w:r>
        <w:t xml:space="preserve"> </w:t>
      </w:r>
      <w:r>
        <w:t xml:space="preserve">Rosenstock 2023, PMID 37385280.</w:t>
      </w:r>
    </w:p>
  </w:footnote>
  <w:footnote w:id="547">
    <w:p>
      <w:pPr>
        <w:pStyle w:val="FootnoteText"/>
      </w:pPr>
      <w:r>
        <w:rPr>
          <w:rStyle w:val="FootnoteReference"/>
        </w:rPr>
        <w:footnoteRef/>
      </w:r>
      <w:r>
        <w:t xml:space="preserve"> </w:t>
      </w:r>
      <w:r>
        <w:t xml:space="preserve">Coskun 2025, PMID 40609566.</w:t>
      </w:r>
    </w:p>
  </w:footnote>
  <w:footnote w:id="548">
    <w:p>
      <w:pPr>
        <w:pStyle w:val="FootnoteText"/>
      </w:pPr>
      <w:r>
        <w:rPr>
          <w:rStyle w:val="FootnoteReference"/>
        </w:rPr>
        <w:footnoteRef/>
      </w:r>
      <w:r>
        <w:t xml:space="preserve"> </w:t>
      </w:r>
      <w:r>
        <w:t xml:space="preserve">Sanyal 2024, PMID 38858523.</w:t>
      </w:r>
    </w:p>
  </w:footnote>
  <w:footnote w:id="549">
    <w:p>
      <w:pPr>
        <w:pStyle w:val="FootnoteText"/>
      </w:pPr>
      <w:r>
        <w:rPr>
          <w:rStyle w:val="FootnoteReference"/>
        </w:rPr>
        <w:footnoteRef/>
      </w:r>
      <w:r>
        <w:t xml:space="preserve"> </w:t>
      </w:r>
      <w:r>
        <w:t xml:space="preserve">Ruotolo 2026, PMID 42608321.</w:t>
      </w:r>
    </w:p>
  </w:footnote>
  <w:footnote w:id="551">
    <w:p>
      <w:pPr>
        <w:pStyle w:val="FootnoteText"/>
      </w:pPr>
      <w:r>
        <w:rPr>
          <w:rStyle w:val="FootnoteReference"/>
        </w:rPr>
        <w:footnoteRef/>
      </w:r>
      <w:r>
        <w:t xml:space="preserve"> </w:t>
      </w:r>
      <w:r>
        <w:t xml:space="preserve">Giblin 2026, PMID 41090431.</w:t>
      </w:r>
    </w:p>
  </w:footnote>
  <w:footnote w:id="552">
    <w:p>
      <w:pPr>
        <w:pStyle w:val="FootnoteText"/>
      </w:pPr>
      <w:r>
        <w:rPr>
          <w:rStyle w:val="FootnoteReference"/>
        </w:rPr>
        <w:footnoteRef/>
      </w:r>
      <w:r>
        <w:t xml:space="preserve"> </w:t>
      </w:r>
      <w:r>
        <w:t xml:space="preserve">Jastreboff 2026, PMID 42814954.</w:t>
      </w:r>
    </w:p>
  </w:footnote>
  <w:footnote w:id="553">
    <w:p>
      <w:pPr>
        <w:pStyle w:val="FootnoteText"/>
      </w:pPr>
      <w:r>
        <w:rPr>
          <w:rStyle w:val="FootnoteReference"/>
        </w:rPr>
        <w:footnoteRef/>
      </w:r>
      <w:r>
        <w:t xml:space="preserve"> </w:t>
      </w:r>
      <w:r>
        <w:t xml:space="preserve">Bellido 2026, PMID 42810372.</w:t>
      </w:r>
    </w:p>
  </w:footnote>
  <w:footnote w:id="554">
    <w:p>
      <w:pPr>
        <w:pStyle w:val="FootnoteText"/>
      </w:pPr>
      <w:r>
        <w:rPr>
          <w:rStyle w:val="FootnoteReference"/>
        </w:rPr>
        <w:footnoteRef/>
      </w:r>
      <w:r>
        <w:t xml:space="preserve"> </w:t>
      </w:r>
      <w:r>
        <w:t xml:space="preserve">Bajaj 2026, PMID 42250575.</w:t>
      </w:r>
    </w:p>
  </w:footnote>
  <w:footnote w:id="557">
    <w:p>
      <w:pPr>
        <w:pStyle w:val="FootnoteText"/>
      </w:pPr>
      <w:r>
        <w:rPr>
          <w:rStyle w:val="FootnoteReference"/>
        </w:rPr>
        <w:footnoteRef/>
      </w:r>
      <w:r>
        <w:t xml:space="preserve"> </w:t>
      </w:r>
      <w:r>
        <w:t xml:space="preserve">Coskun 2022, PMID 35985340.</w:t>
      </w:r>
    </w:p>
  </w:footnote>
  <w:footnote w:id="558">
    <w:p>
      <w:pPr>
        <w:pStyle w:val="FootnoteText"/>
      </w:pPr>
      <w:r>
        <w:rPr>
          <w:rStyle w:val="FootnoteReference"/>
        </w:rPr>
        <w:footnoteRef/>
      </w:r>
      <w:r>
        <w:t xml:space="preserve"> </w:t>
      </w:r>
      <w:r>
        <w:t xml:space="preserve">Marathe 2025, PMID 40094000.</w:t>
      </w:r>
    </w:p>
  </w:footnote>
  <w:footnote w:id="559">
    <w:p>
      <w:pPr>
        <w:pStyle w:val="FootnoteText"/>
      </w:pPr>
      <w:r>
        <w:rPr>
          <w:rStyle w:val="FootnoteReference"/>
        </w:rPr>
        <w:footnoteRef/>
      </w:r>
      <w:r>
        <w:t xml:space="preserve"> </w:t>
      </w:r>
      <w:r>
        <w:t xml:space="preserve">Carneiro 2026, PMID 42745421.</w:t>
      </w:r>
    </w:p>
  </w:footnote>
  <w:footnote w:id="561">
    <w:p>
      <w:pPr>
        <w:pStyle w:val="FootnoteText"/>
      </w:pPr>
      <w:r>
        <w:rPr>
          <w:rStyle w:val="FootnoteReference"/>
        </w:rPr>
        <w:footnoteRef/>
      </w:r>
      <w:r>
        <w:t xml:space="preserve"> </w:t>
      </w:r>
      <w:r>
        <w:t xml:space="preserve">Bellido 2026, PMID 42810372.</w:t>
      </w:r>
    </w:p>
  </w:footnote>
  <w:footnote w:id="562">
    <w:p>
      <w:pPr>
        <w:pStyle w:val="FootnoteText"/>
      </w:pPr>
      <w:r>
        <w:rPr>
          <w:rStyle w:val="FootnoteReference"/>
        </w:rPr>
        <w:footnoteRef/>
      </w:r>
      <w:r>
        <w:t xml:space="preserve"> </w:t>
      </w:r>
      <w:r>
        <w:t xml:space="preserve">Jastreboff 2023, PMID 37366315.</w:t>
      </w:r>
    </w:p>
  </w:footnote>
  <w:footnote w:id="563">
    <w:p>
      <w:pPr>
        <w:pStyle w:val="FootnoteText"/>
      </w:pPr>
      <w:r>
        <w:rPr>
          <w:rStyle w:val="FootnoteReference"/>
        </w:rPr>
        <w:footnoteRef/>
      </w:r>
      <w:r>
        <w:t xml:space="preserve"> </w:t>
      </w:r>
      <w:r>
        <w:t xml:space="preserve">Rubin 2026, PMID 42853576.</w:t>
      </w:r>
    </w:p>
  </w:footnote>
  <w:footnote w:id="565">
    <w:p>
      <w:pPr>
        <w:pStyle w:val="FootnoteText"/>
      </w:pPr>
      <w:r>
        <w:rPr>
          <w:rStyle w:val="FootnoteReference"/>
        </w:rPr>
        <w:footnoteRef/>
      </w:r>
      <w:r>
        <w:t xml:space="preserve"> </w:t>
      </w:r>
      <w:r>
        <w:t xml:space="preserve">NCT07629401.</w:t>
      </w:r>
    </w:p>
  </w:footnote>
  <w:footnote w:id="567">
    <w:p>
      <w:pPr>
        <w:pStyle w:val="FootnoteText"/>
      </w:pPr>
      <w:r>
        <w:rPr>
          <w:rStyle w:val="FootnoteReference"/>
        </w:rPr>
        <w:footnoteRef/>
      </w:r>
      <w:r>
        <w:t xml:space="preserve"> </w:t>
      </w:r>
      <w:r>
        <w:t xml:space="preserve">NCT06383390.</w:t>
      </w:r>
    </w:p>
  </w:footnote>
  <w:footnote w:id="568">
    <w:p>
      <w:pPr>
        <w:pStyle w:val="FootnoteText"/>
      </w:pPr>
      <w:r>
        <w:rPr>
          <w:rStyle w:val="FootnoteReference"/>
        </w:rPr>
        <w:footnoteRef/>
      </w:r>
      <w:r>
        <w:t xml:space="preserve"> </w:t>
      </w:r>
      <w:r>
        <w:t xml:space="preserve">NCT06662383.</w:t>
      </w:r>
    </w:p>
  </w:footnote>
  <w:footnote w:id="569">
    <w:p>
      <w:pPr>
        <w:pStyle w:val="FootnoteText"/>
      </w:pPr>
      <w:r>
        <w:rPr>
          <w:rStyle w:val="FootnoteReference"/>
        </w:rPr>
        <w:footnoteRef/>
      </w:r>
      <w:r>
        <w:t xml:space="preserve"> </w:t>
      </w:r>
      <w:r>
        <w:t xml:space="preserve">NCT06260722.</w:t>
      </w:r>
    </w:p>
  </w:footnote>
  <w:footnote w:id="570">
    <w:p>
      <w:pPr>
        <w:pStyle w:val="FootnoteText"/>
      </w:pPr>
      <w:r>
        <w:rPr>
          <w:rStyle w:val="FootnoteReference"/>
        </w:rPr>
        <w:footnoteRef/>
      </w:r>
      <w:r>
        <w:t xml:space="preserve"> </w:t>
      </w:r>
      <w:r>
        <w:t xml:space="preserve">NCT06859268.</w:t>
      </w:r>
    </w:p>
  </w:footnote>
  <w:footnote w:id="571">
    <w:p>
      <w:pPr>
        <w:pStyle w:val="FootnoteText"/>
      </w:pPr>
      <w:r>
        <w:rPr>
          <w:rStyle w:val="FootnoteReference"/>
        </w:rPr>
        <w:footnoteRef/>
      </w:r>
      <w:r>
        <w:t xml:space="preserve"> </w:t>
      </w:r>
      <w:r>
        <w:t xml:space="preserve">NCT06297603.</w:t>
      </w:r>
    </w:p>
  </w:footnote>
  <w:footnote w:id="572">
    <w:p>
      <w:pPr>
        <w:pStyle w:val="FootnoteText"/>
      </w:pPr>
      <w:r>
        <w:rPr>
          <w:rStyle w:val="FootnoteReference"/>
        </w:rPr>
        <w:footnoteRef/>
      </w:r>
      <w:r>
        <w:t xml:space="preserve"> </w:t>
      </w:r>
      <w:r>
        <w:t xml:space="preserve">NCT07035093.</w:t>
      </w:r>
    </w:p>
  </w:footnote>
  <w:footnote w:id="573">
    <w:p>
      <w:pPr>
        <w:pStyle w:val="FootnoteText"/>
      </w:pPr>
      <w:r>
        <w:rPr>
          <w:rStyle w:val="FootnoteReference"/>
        </w:rPr>
        <w:footnoteRef/>
      </w:r>
      <w:r>
        <w:t xml:space="preserve"> </w:t>
      </w:r>
      <w:r>
        <w:t xml:space="preserve">NCT07165028.</w:t>
      </w:r>
    </w:p>
  </w:footnote>
  <w:footnote w:id="578">
    <w:p>
      <w:pPr>
        <w:pStyle w:val="FootnoteText"/>
      </w:pPr>
      <w:r>
        <w:rPr>
          <w:rStyle w:val="FootnoteReference"/>
        </w:rPr>
        <w:footnoteRef/>
      </w:r>
      <w:r>
        <w:t xml:space="preserve"> </w:t>
      </w:r>
      <w:r>
        <w:t xml:space="preserve">Thomas 2024, PMID 38560764.</w:t>
      </w:r>
    </w:p>
  </w:footnote>
  <w:footnote w:id="579">
    <w:p>
      <w:pPr>
        <w:pStyle w:val="FootnoteText"/>
      </w:pPr>
      <w:r>
        <w:rPr>
          <w:rStyle w:val="FootnoteReference"/>
        </w:rPr>
        <w:footnoteRef/>
      </w:r>
      <w:r>
        <w:t xml:space="preserve"> </w:t>
      </w:r>
      <w:r>
        <w:t xml:space="preserve">Zimmermann 2026, PMID 41638399.</w:t>
      </w:r>
    </w:p>
  </w:footnote>
  <w:footnote w:id="580">
    <w:p>
      <w:pPr>
        <w:pStyle w:val="FootnoteText"/>
      </w:pPr>
      <w:r>
        <w:rPr>
          <w:rStyle w:val="FootnoteReference"/>
        </w:rPr>
        <w:footnoteRef/>
      </w:r>
      <w:r>
        <w:t xml:space="preserve"> </w:t>
      </w:r>
      <w:r>
        <w:t xml:space="preserve">NCT06745284.</w:t>
      </w:r>
    </w:p>
  </w:footnote>
  <w:footnote w:id="582">
    <w:p>
      <w:pPr>
        <w:pStyle w:val="FootnoteText"/>
      </w:pPr>
      <w:r>
        <w:rPr>
          <w:rStyle w:val="FootnoteReference"/>
        </w:rPr>
        <w:footnoteRef/>
      </w:r>
      <w:r>
        <w:t xml:space="preserve"> </w:t>
      </w:r>
      <w:r>
        <w:t xml:space="preserve">le Roux 2024, PMID 38330987.</w:t>
      </w:r>
    </w:p>
  </w:footnote>
  <w:footnote w:id="583">
    <w:p>
      <w:pPr>
        <w:pStyle w:val="FootnoteText"/>
      </w:pPr>
      <w:r>
        <w:rPr>
          <w:rStyle w:val="FootnoteReference"/>
        </w:rPr>
        <w:footnoteRef/>
      </w:r>
      <w:r>
        <w:t xml:space="preserve"> </w:t>
      </w:r>
      <w:r>
        <w:t xml:space="preserve">le Roux 2026, PMID 42253238.</w:t>
      </w:r>
    </w:p>
  </w:footnote>
  <w:footnote w:id="584">
    <w:p>
      <w:pPr>
        <w:pStyle w:val="FootnoteText"/>
      </w:pPr>
      <w:r>
        <w:rPr>
          <w:rStyle w:val="FootnoteReference"/>
        </w:rPr>
        <w:footnoteRef/>
      </w:r>
      <w:r>
        <w:t xml:space="preserve"> </w:t>
      </w:r>
      <w:r>
        <w:t xml:space="preserve">Wharton 2026, PMID 42820639.</w:t>
      </w:r>
    </w:p>
  </w:footnote>
  <w:footnote w:id="585">
    <w:p>
      <w:pPr>
        <w:pStyle w:val="FootnoteText"/>
      </w:pPr>
      <w:r>
        <w:rPr>
          <w:rStyle w:val="FootnoteReference"/>
        </w:rPr>
        <w:footnoteRef/>
      </w:r>
      <w:r>
        <w:t xml:space="preserve"> </w:t>
      </w:r>
      <w:r>
        <w:t xml:space="preserve">Blüher 2024, PMID 38095657.</w:t>
      </w:r>
    </w:p>
  </w:footnote>
  <w:footnote w:id="587">
    <w:p>
      <w:pPr>
        <w:pStyle w:val="FootnoteText"/>
      </w:pPr>
      <w:r>
        <w:rPr>
          <w:rStyle w:val="FootnoteReference"/>
        </w:rPr>
        <w:footnoteRef/>
      </w:r>
      <w:r>
        <w:t xml:space="preserve"> </w:t>
      </w:r>
      <w:r>
        <w:t xml:space="preserve">Sanyal 2024, PMID 38847460.</w:t>
      </w:r>
    </w:p>
  </w:footnote>
  <w:footnote w:id="588">
    <w:p>
      <w:pPr>
        <w:pStyle w:val="FootnoteText"/>
      </w:pPr>
      <w:r>
        <w:rPr>
          <w:rStyle w:val="FootnoteReference"/>
        </w:rPr>
        <w:footnoteRef/>
      </w:r>
      <w:r>
        <w:t xml:space="preserve"> </w:t>
      </w:r>
      <w:r>
        <w:t xml:space="preserve">Kaplan 2026, PMID 42252333.</w:t>
      </w:r>
    </w:p>
  </w:footnote>
  <w:footnote w:id="589">
    <w:p>
      <w:pPr>
        <w:pStyle w:val="FootnoteText"/>
      </w:pPr>
      <w:r>
        <w:rPr>
          <w:rStyle w:val="FootnoteReference"/>
        </w:rPr>
        <w:footnoteRef/>
      </w:r>
      <w:r>
        <w:t xml:space="preserve"> </w:t>
      </w:r>
      <w:r>
        <w:t xml:space="preserve">Lawitz 2024, PMID 38857788.</w:t>
      </w:r>
    </w:p>
  </w:footnote>
  <w:footnote w:id="592">
    <w:p>
      <w:pPr>
        <w:pStyle w:val="FootnoteText"/>
      </w:pPr>
      <w:r>
        <w:rPr>
          <w:rStyle w:val="FootnoteReference"/>
        </w:rPr>
        <w:footnoteRef/>
      </w:r>
      <w:r>
        <w:t xml:space="preserve"> </w:t>
      </w:r>
      <w:r>
        <w:t xml:space="preserve">Thomas 2024, PMID 38560764.</w:t>
      </w:r>
    </w:p>
  </w:footnote>
  <w:footnote w:id="593">
    <w:p>
      <w:pPr>
        <w:pStyle w:val="FootnoteText"/>
      </w:pPr>
      <w:r>
        <w:rPr>
          <w:rStyle w:val="FootnoteReference"/>
        </w:rPr>
        <w:footnoteRef/>
      </w:r>
      <w:r>
        <w:t xml:space="preserve"> </w:t>
      </w:r>
      <w:r>
        <w:t xml:space="preserve">Zimmermann 2026, PMID 41638399.</w:t>
      </w:r>
    </w:p>
  </w:footnote>
  <w:footnote w:id="595">
    <w:p>
      <w:pPr>
        <w:pStyle w:val="FootnoteText"/>
      </w:pPr>
      <w:r>
        <w:rPr>
          <w:rStyle w:val="FootnoteReference"/>
        </w:rPr>
        <w:footnoteRef/>
      </w:r>
      <w:r>
        <w:t xml:space="preserve"> </w:t>
      </w:r>
      <w:r>
        <w:t xml:space="preserve">Sanyal 2024, PMID 38847460.</w:t>
      </w:r>
    </w:p>
  </w:footnote>
  <w:footnote w:id="596">
    <w:p>
      <w:pPr>
        <w:pStyle w:val="FootnoteText"/>
      </w:pPr>
      <w:r>
        <w:rPr>
          <w:rStyle w:val="FootnoteReference"/>
        </w:rPr>
        <w:footnoteRef/>
      </w:r>
      <w:r>
        <w:t xml:space="preserve"> </w:t>
      </w:r>
      <w:r>
        <w:t xml:space="preserve">le Roux 2026, PMID 42253238.</w:t>
      </w:r>
    </w:p>
  </w:footnote>
  <w:footnote w:id="597">
    <w:p>
      <w:pPr>
        <w:pStyle w:val="FootnoteText"/>
      </w:pPr>
      <w:r>
        <w:rPr>
          <w:rStyle w:val="FootnoteReference"/>
        </w:rPr>
        <w:footnoteRef/>
      </w:r>
      <w:r>
        <w:t xml:space="preserve"> </w:t>
      </w:r>
      <w:r>
        <w:t xml:space="preserve">NCT06200467.</w:t>
      </w:r>
    </w:p>
  </w:footnote>
  <w:footnote w:id="600">
    <w:p>
      <w:pPr>
        <w:pStyle w:val="FootnoteText"/>
      </w:pPr>
      <w:r>
        <w:rPr>
          <w:rStyle w:val="FootnoteReference"/>
        </w:rPr>
        <w:footnoteRef/>
      </w:r>
      <w:r>
        <w:t xml:space="preserve"> </w:t>
      </w:r>
      <w:r>
        <w:t xml:space="preserve">NCT06077864.</w:t>
      </w:r>
    </w:p>
  </w:footnote>
  <w:footnote w:id="601">
    <w:p>
      <w:pPr>
        <w:pStyle w:val="FootnoteText"/>
      </w:pPr>
      <w:r>
        <w:rPr>
          <w:rStyle w:val="FootnoteReference"/>
        </w:rPr>
        <w:footnoteRef/>
      </w:r>
      <w:r>
        <w:t xml:space="preserve"> </w:t>
      </w:r>
      <w:r>
        <w:t xml:space="preserve">PMID 39453356.</w:t>
      </w:r>
    </w:p>
  </w:footnote>
  <w:footnote w:id="602">
    <w:p>
      <w:pPr>
        <w:pStyle w:val="FootnoteText"/>
      </w:pPr>
      <w:r>
        <w:rPr>
          <w:rStyle w:val="FootnoteReference"/>
        </w:rPr>
        <w:footnoteRef/>
      </w:r>
      <w:r>
        <w:t xml:space="preserve"> </w:t>
      </w:r>
      <w:r>
        <w:t xml:space="preserve">NCT06632444.</w:t>
      </w:r>
    </w:p>
  </w:footnote>
  <w:footnote w:id="603">
    <w:p>
      <w:pPr>
        <w:pStyle w:val="FootnoteText"/>
      </w:pPr>
      <w:r>
        <w:rPr>
          <w:rStyle w:val="FootnoteReference"/>
        </w:rPr>
        <w:footnoteRef/>
      </w:r>
      <w:r>
        <w:t xml:space="preserve"> </w:t>
      </w:r>
      <w:r>
        <w:t xml:space="preserve">NCT06632457.</w:t>
      </w:r>
    </w:p>
  </w:footnote>
  <w:footnote w:id="604">
    <w:p>
      <w:pPr>
        <w:pStyle w:val="FootnoteText"/>
      </w:pPr>
      <w:r>
        <w:rPr>
          <w:rStyle w:val="FootnoteReference"/>
        </w:rPr>
        <w:footnoteRef/>
      </w:r>
      <w:r>
        <w:t xml:space="preserve"> </w:t>
      </w:r>
      <w:r>
        <w:t xml:space="preserve">NCT07754461.</w:t>
      </w:r>
    </w:p>
  </w:footnote>
  <w:footnote w:id="605">
    <w:p>
      <w:pPr>
        <w:pStyle w:val="FootnoteText"/>
      </w:pPr>
      <w:r>
        <w:rPr>
          <w:rStyle w:val="FootnoteReference"/>
        </w:rPr>
        <w:footnoteRef/>
      </w:r>
      <w:r>
        <w:t xml:space="preserve"> </w:t>
      </w:r>
      <w:r>
        <w:t xml:space="preserve">NCT07850050.</w:t>
      </w:r>
    </w:p>
  </w:footnote>
  <w:footnote w:id="606">
    <w:p>
      <w:pPr>
        <w:pStyle w:val="FootnoteText"/>
      </w:pPr>
      <w:r>
        <w:rPr>
          <w:rStyle w:val="FootnoteReference"/>
        </w:rPr>
        <w:footnoteRef/>
      </w:r>
      <w:r>
        <w:t xml:space="preserve"> </w:t>
      </w:r>
      <w:r>
        <w:t xml:space="preserve">NCT07850063.</w:t>
      </w:r>
    </w:p>
  </w:footnote>
  <w:footnote w:id="607">
    <w:p>
      <w:pPr>
        <w:pStyle w:val="FootnoteText"/>
      </w:pPr>
      <w:r>
        <w:rPr>
          <w:rStyle w:val="FootnoteReference"/>
        </w:rPr>
        <w:footnoteRef/>
      </w:r>
      <w:r>
        <w:t xml:space="preserve"> </w:t>
      </w:r>
      <w:r>
        <w:t xml:space="preserve">NCT07855900.</w:t>
      </w:r>
    </w:p>
  </w:footnote>
  <w:footnote w:id="608">
    <w:p>
      <w:pPr>
        <w:pStyle w:val="FootnoteText"/>
      </w:pPr>
      <w:r>
        <w:rPr>
          <w:rStyle w:val="FootnoteReference"/>
        </w:rPr>
        <w:footnoteRef/>
      </w:r>
      <w:r>
        <w:t xml:space="preserve"> </w:t>
      </w:r>
      <w:r>
        <w:t xml:space="preserve">NCT06214741.</w:t>
      </w:r>
    </w:p>
  </w:footnote>
  <w:footnote w:id="609">
    <w:p>
      <w:pPr>
        <w:pStyle w:val="FootnoteText"/>
      </w:pPr>
      <w:r>
        <w:rPr>
          <w:rStyle w:val="FootnoteReference"/>
        </w:rPr>
        <w:footnoteRef/>
      </w:r>
      <w:r>
        <w:t xml:space="preserve"> </w:t>
      </w:r>
      <w:r>
        <w:t xml:space="preserve">NCT06176365.</w:t>
      </w:r>
    </w:p>
  </w:footnote>
  <w:footnote w:id="615">
    <w:p>
      <w:pPr>
        <w:pStyle w:val="FootnoteText"/>
      </w:pPr>
      <w:r>
        <w:rPr>
          <w:rStyle w:val="FootnoteReference"/>
        </w:rPr>
        <w:footnoteRef/>
      </w:r>
      <w:r>
        <w:t xml:space="preserve"> </w:t>
      </w:r>
      <w:r>
        <w:t xml:space="preserve">Ji 2025, PMID 40421736.</w:t>
      </w:r>
    </w:p>
  </w:footnote>
  <w:footnote w:id="616">
    <w:p>
      <w:pPr>
        <w:pStyle w:val="FootnoteText"/>
      </w:pPr>
      <w:r>
        <w:rPr>
          <w:rStyle w:val="FootnoteReference"/>
        </w:rPr>
        <w:footnoteRef/>
      </w:r>
      <w:r>
        <w:t xml:space="preserve"> </w:t>
      </w:r>
      <w:r>
        <w:t xml:space="preserve">Gao 2026, PMID 42251595.</w:t>
      </w:r>
    </w:p>
  </w:footnote>
  <w:footnote w:id="618">
    <w:p>
      <w:pPr>
        <w:pStyle w:val="FootnoteText"/>
      </w:pPr>
      <w:r>
        <w:rPr>
          <w:rStyle w:val="FootnoteReference"/>
        </w:rPr>
        <w:footnoteRef/>
      </w:r>
      <w:r>
        <w:t xml:space="preserve"> </w:t>
      </w:r>
      <w:r>
        <w:t xml:space="preserve">Zhu 2026, PMID 41407859.</w:t>
      </w:r>
    </w:p>
  </w:footnote>
  <w:footnote w:id="619">
    <w:p>
      <w:pPr>
        <w:pStyle w:val="FootnoteText"/>
      </w:pPr>
      <w:r>
        <w:rPr>
          <w:rStyle w:val="FootnoteReference"/>
        </w:rPr>
        <w:footnoteRef/>
      </w:r>
      <w:r>
        <w:t xml:space="preserve"> </w:t>
      </w:r>
      <w:r>
        <w:t xml:space="preserve">Guo 2026, PMID 41407860.</w:t>
      </w:r>
    </w:p>
  </w:footnote>
  <w:footnote w:id="620">
    <w:p>
      <w:pPr>
        <w:pStyle w:val="FootnoteText"/>
      </w:pPr>
      <w:r>
        <w:rPr>
          <w:rStyle w:val="FootnoteReference"/>
        </w:rPr>
        <w:footnoteRef/>
      </w:r>
      <w:r>
        <w:t xml:space="preserve"> </w:t>
      </w:r>
      <w:r>
        <w:t xml:space="preserve">NCT06184568.</w:t>
      </w:r>
    </w:p>
  </w:footnote>
  <w:footnote w:id="621">
    <w:p>
      <w:pPr>
        <w:pStyle w:val="FootnoteText"/>
      </w:pPr>
      <w:r>
        <w:rPr>
          <w:rStyle w:val="FootnoteReference"/>
        </w:rPr>
        <w:footnoteRef/>
      </w:r>
      <w:r>
        <w:t xml:space="preserve"> </w:t>
      </w:r>
      <w:r>
        <w:t xml:space="preserve">Luo 2026, PMID 41260459.</w:t>
      </w:r>
    </w:p>
  </w:footnote>
  <w:footnote w:id="623">
    <w:p>
      <w:pPr>
        <w:pStyle w:val="FootnoteText"/>
      </w:pPr>
      <w:r>
        <w:rPr>
          <w:rStyle w:val="FootnoteReference"/>
        </w:rPr>
        <w:footnoteRef/>
      </w:r>
      <w:r>
        <w:t xml:space="preserve"> </w:t>
      </w:r>
      <w:r>
        <w:t xml:space="preserve">Bhattachar 2025, PMID 40832785.</w:t>
      </w:r>
    </w:p>
  </w:footnote>
  <w:footnote w:id="624">
    <w:p>
      <w:pPr>
        <w:pStyle w:val="FootnoteText"/>
      </w:pPr>
      <w:r>
        <w:rPr>
          <w:rStyle w:val="FootnoteReference"/>
        </w:rPr>
        <w:footnoteRef/>
      </w:r>
      <w:r>
        <w:t xml:space="preserve"> </w:t>
      </w:r>
      <w:r>
        <w:t xml:space="preserve">Hsia 2026, PMID 42628555.</w:t>
      </w:r>
    </w:p>
  </w:footnote>
  <w:footnote w:id="626">
    <w:p>
      <w:pPr>
        <w:pStyle w:val="FootnoteText"/>
      </w:pPr>
      <w:r>
        <w:rPr>
          <w:rStyle w:val="FootnoteReference"/>
        </w:rPr>
        <w:footnoteRef/>
      </w:r>
      <w:r>
        <w:t xml:space="preserve"> </w:t>
      </w:r>
      <w:r>
        <w:t xml:space="preserve">Cheng 2025, PMID 41030857.</w:t>
      </w:r>
    </w:p>
  </w:footnote>
  <w:footnote w:id="627">
    <w:p>
      <w:pPr>
        <w:pStyle w:val="FootnoteText"/>
      </w:pPr>
      <w:r>
        <w:rPr>
          <w:rStyle w:val="FootnoteReference"/>
        </w:rPr>
        <w:footnoteRef/>
      </w:r>
      <w:r>
        <w:t xml:space="preserve"> </w:t>
      </w:r>
      <w:r>
        <w:t xml:space="preserve">NCT07255209.</w:t>
      </w:r>
    </w:p>
  </w:footnote>
  <w:footnote w:id="630">
    <w:p>
      <w:pPr>
        <w:pStyle w:val="FootnoteText"/>
      </w:pPr>
      <w:r>
        <w:rPr>
          <w:rStyle w:val="FootnoteReference"/>
        </w:rPr>
        <w:footnoteRef/>
      </w:r>
      <w:r>
        <w:t xml:space="preserve"> </w:t>
      </w:r>
      <w:r>
        <w:t xml:space="preserve">Dong 2025, PMID 40479843.</w:t>
      </w:r>
    </w:p>
  </w:footnote>
  <w:footnote w:id="631">
    <w:p>
      <w:pPr>
        <w:pStyle w:val="FootnoteText"/>
      </w:pPr>
      <w:r>
        <w:rPr>
          <w:rStyle w:val="FootnoteReference"/>
        </w:rPr>
        <w:footnoteRef/>
      </w:r>
      <w:r>
        <w:t xml:space="preserve"> </w:t>
      </w:r>
      <w:r>
        <w:t xml:space="preserve">Gan 2026, PMID 41901218.</w:t>
      </w:r>
    </w:p>
  </w:footnote>
  <w:footnote w:id="632">
    <w:p>
      <w:pPr>
        <w:pStyle w:val="FootnoteText"/>
      </w:pPr>
      <w:r>
        <w:rPr>
          <w:rStyle w:val="FootnoteReference"/>
        </w:rPr>
        <w:footnoteRef/>
      </w:r>
      <w:r>
        <w:t xml:space="preserve"> </w:t>
      </w:r>
      <w:r>
        <w:t xml:space="preserve">NCT07083154.</w:t>
      </w:r>
    </w:p>
  </w:footnote>
  <w:footnote w:id="634">
    <w:p>
      <w:pPr>
        <w:pStyle w:val="FootnoteText"/>
      </w:pPr>
      <w:r>
        <w:rPr>
          <w:rStyle w:val="FootnoteReference"/>
        </w:rPr>
        <w:footnoteRef/>
      </w:r>
      <w:r>
        <w:t xml:space="preserve"> </w:t>
      </w:r>
      <w:r>
        <w:t xml:space="preserve">Zhang 2024, PMID 37943529.</w:t>
      </w:r>
    </w:p>
  </w:footnote>
  <w:footnote w:id="635">
    <w:p>
      <w:pPr>
        <w:pStyle w:val="FootnoteText"/>
      </w:pPr>
      <w:r>
        <w:rPr>
          <w:rStyle w:val="FootnoteReference"/>
        </w:rPr>
        <w:footnoteRef/>
      </w:r>
      <w:r>
        <w:t xml:space="preserve"> </w:t>
      </w:r>
      <w:r>
        <w:t xml:space="preserve">Gao 2026, PMID 42251595.</w:t>
      </w:r>
    </w:p>
  </w:footnote>
  <w:footnote w:id="636">
    <w:p>
      <w:pPr>
        <w:pStyle w:val="FootnoteText"/>
      </w:pPr>
      <w:r>
        <w:rPr>
          <w:rStyle w:val="FootnoteReference"/>
        </w:rPr>
        <w:footnoteRef/>
      </w:r>
      <w:r>
        <w:t xml:space="preserve"> </w:t>
      </w:r>
      <w:r>
        <w:t xml:space="preserve">Zhang 2024, PMID 37943529.</w:t>
      </w:r>
    </w:p>
  </w:footnote>
  <w:footnote w:id="637">
    <w:p>
      <w:pPr>
        <w:pStyle w:val="FootnoteText"/>
      </w:pPr>
      <w:r>
        <w:rPr>
          <w:rStyle w:val="FootnoteReference"/>
        </w:rPr>
        <w:footnoteRef/>
      </w:r>
      <w:r>
        <w:t xml:space="preserve"> </w:t>
      </w:r>
      <w:r>
        <w:t xml:space="preserve">Hsia 2026, PMID 42628555.</w:t>
      </w:r>
    </w:p>
  </w:footnote>
  <w:footnote w:id="639">
    <w:p>
      <w:pPr>
        <w:pStyle w:val="FootnoteText"/>
      </w:pPr>
      <w:r>
        <w:rPr>
          <w:rStyle w:val="FootnoteReference"/>
        </w:rPr>
        <w:footnoteRef/>
      </w:r>
      <w:r>
        <w:t xml:space="preserve"> </w:t>
      </w:r>
      <w:r>
        <w:t xml:space="preserve">Shirley 2025, PMID 41028652.</w:t>
      </w:r>
    </w:p>
  </w:footnote>
  <w:footnote w:id="641">
    <w:p>
      <w:pPr>
        <w:pStyle w:val="FootnoteText"/>
      </w:pPr>
      <w:r>
        <w:rPr>
          <w:rStyle w:val="FootnoteReference"/>
        </w:rPr>
        <w:footnoteRef/>
      </w:r>
      <w:r>
        <w:t xml:space="preserve"> </w:t>
      </w:r>
      <w:r>
        <w:t xml:space="preserve">NCT06884293.</w:t>
      </w:r>
    </w:p>
  </w:footnote>
  <w:footnote w:id="642">
    <w:p>
      <w:pPr>
        <w:pStyle w:val="FootnoteText"/>
      </w:pPr>
      <w:r>
        <w:rPr>
          <w:rStyle w:val="FootnoteReference"/>
        </w:rPr>
        <w:footnoteRef/>
      </w:r>
      <w:r>
        <w:t xml:space="preserve"> </w:t>
      </w:r>
      <w:r>
        <w:t xml:space="preserve">NCT06931028.</w:t>
      </w:r>
    </w:p>
  </w:footnote>
  <w:footnote w:id="643">
    <w:p>
      <w:pPr>
        <w:pStyle w:val="FootnoteText"/>
      </w:pPr>
      <w:r>
        <w:rPr>
          <w:rStyle w:val="FootnoteReference"/>
        </w:rPr>
        <w:footnoteRef/>
      </w:r>
      <w:r>
        <w:t xml:space="preserve"> </w:t>
      </w:r>
      <w:r>
        <w:t xml:space="preserve">NCT07469800.</w:t>
      </w:r>
    </w:p>
  </w:footnote>
  <w:footnote w:id="644">
    <w:p>
      <w:pPr>
        <w:pStyle w:val="FootnoteText"/>
      </w:pPr>
      <w:r>
        <w:rPr>
          <w:rStyle w:val="FootnoteReference"/>
        </w:rPr>
        <w:footnoteRef/>
      </w:r>
      <w:r>
        <w:t xml:space="preserve"> </w:t>
      </w:r>
      <w:r>
        <w:t xml:space="preserve">NCT07255209.</w:t>
      </w:r>
    </w:p>
  </w:footnote>
  <w:footnote w:id="645">
    <w:p>
      <w:pPr>
        <w:pStyle w:val="FootnoteText"/>
      </w:pPr>
      <w:r>
        <w:rPr>
          <w:rStyle w:val="FootnoteReference"/>
        </w:rPr>
        <w:footnoteRef/>
      </w:r>
      <w:r>
        <w:t xml:space="preserve"> </w:t>
      </w:r>
      <w:r>
        <w:t xml:space="preserve">NCT06937749.</w:t>
      </w:r>
    </w:p>
  </w:footnote>
  <w:footnote w:id="646">
    <w:p>
      <w:pPr>
        <w:pStyle w:val="FootnoteText"/>
      </w:pPr>
      <w:r>
        <w:rPr>
          <w:rStyle w:val="FootnoteReference"/>
        </w:rPr>
        <w:footnoteRef/>
      </w:r>
      <w:r>
        <w:t xml:space="preserve"> </w:t>
      </w:r>
      <w:r>
        <w:t xml:space="preserve">NCT06862908.</w:t>
      </w:r>
    </w:p>
  </w:footnote>
  <w:footnote w:id="647">
    <w:p>
      <w:pPr>
        <w:pStyle w:val="FootnoteText"/>
      </w:pPr>
      <w:r>
        <w:rPr>
          <w:rStyle w:val="FootnoteReference"/>
        </w:rPr>
        <w:footnoteRef/>
      </w:r>
      <w:r>
        <w:t xml:space="preserve"> </w:t>
      </w:r>
      <w:r>
        <w:t xml:space="preserve">NCT06143956.</w:t>
      </w:r>
    </w:p>
  </w:footnote>
  <w:footnote w:id="652">
    <w:p>
      <w:pPr>
        <w:pStyle w:val="FootnoteText"/>
      </w:pPr>
      <w:r>
        <w:rPr>
          <w:rStyle w:val="FootnoteReference"/>
        </w:rPr>
        <w:footnoteRef/>
      </w:r>
      <w:r>
        <w:t xml:space="preserve"> </w:t>
      </w:r>
      <w:r>
        <w:t xml:space="preserve">Kruse 2021, PMID 34288673.</w:t>
      </w:r>
    </w:p>
  </w:footnote>
  <w:footnote w:id="653">
    <w:p>
      <w:pPr>
        <w:pStyle w:val="FootnoteText"/>
      </w:pPr>
      <w:r>
        <w:rPr>
          <w:rStyle w:val="FootnoteReference"/>
        </w:rPr>
        <w:footnoteRef/>
      </w:r>
      <w:r>
        <w:t xml:space="preserve"> </w:t>
      </w:r>
      <w:r>
        <w:t xml:space="preserve">Enebo 2021, PMID 33894838.</w:t>
      </w:r>
    </w:p>
  </w:footnote>
  <w:footnote w:id="654">
    <w:p>
      <w:pPr>
        <w:pStyle w:val="FootnoteText"/>
      </w:pPr>
      <w:r>
        <w:rPr>
          <w:rStyle w:val="FootnoteReference"/>
        </w:rPr>
        <w:footnoteRef/>
      </w:r>
      <w:r>
        <w:t xml:space="preserve"> </w:t>
      </w:r>
      <w:r>
        <w:t xml:space="preserve">Carvas 2025, PMID 40609154.</w:t>
      </w:r>
    </w:p>
  </w:footnote>
  <w:footnote w:id="655">
    <w:p>
      <w:pPr>
        <w:pStyle w:val="FootnoteText"/>
      </w:pPr>
      <w:r>
        <w:rPr>
          <w:rStyle w:val="FootnoteReference"/>
        </w:rPr>
        <w:footnoteRef/>
      </w:r>
      <w:r>
        <w:t xml:space="preserve"> </w:t>
      </w:r>
      <w:r>
        <w:t xml:space="preserve">Jacobsen 2025, PMID 40629149.</w:t>
      </w:r>
    </w:p>
  </w:footnote>
  <w:footnote w:id="657">
    <w:p>
      <w:pPr>
        <w:pStyle w:val="FootnoteText"/>
      </w:pPr>
      <w:r>
        <w:rPr>
          <w:rStyle w:val="FootnoteReference"/>
        </w:rPr>
        <w:footnoteRef/>
      </w:r>
      <w:r>
        <w:t xml:space="preserve"> </w:t>
      </w:r>
      <w:r>
        <w:t xml:space="preserve">Lau 2021, PMID 34798060.</w:t>
      </w:r>
    </w:p>
  </w:footnote>
  <w:footnote w:id="658">
    <w:p>
      <w:pPr>
        <w:pStyle w:val="FootnoteText"/>
      </w:pPr>
      <w:r>
        <w:rPr>
          <w:rStyle w:val="FootnoteReference"/>
        </w:rPr>
        <w:footnoteRef/>
      </w:r>
      <w:r>
        <w:t xml:space="preserve"> </w:t>
      </w:r>
      <w:r>
        <w:t xml:space="preserve">NCT07220642.</w:t>
      </w:r>
    </w:p>
  </w:footnote>
  <w:footnote w:id="660">
    <w:p>
      <w:pPr>
        <w:pStyle w:val="FootnoteText"/>
      </w:pPr>
      <w:r>
        <w:rPr>
          <w:rStyle w:val="FootnoteReference"/>
        </w:rPr>
        <w:footnoteRef/>
      </w:r>
      <w:r>
        <w:t xml:space="preserve"> </w:t>
      </w:r>
      <w:r>
        <w:t xml:space="preserve">Enebo 2021, PMID 33894838.</w:t>
      </w:r>
    </w:p>
  </w:footnote>
  <w:footnote w:id="661">
    <w:p>
      <w:pPr>
        <w:pStyle w:val="FootnoteText"/>
      </w:pPr>
      <w:r>
        <w:rPr>
          <w:rStyle w:val="FootnoteReference"/>
        </w:rPr>
        <w:footnoteRef/>
      </w:r>
      <w:r>
        <w:t xml:space="preserve"> </w:t>
      </w:r>
      <w:r>
        <w:t xml:space="preserve">Frias 2023, PMID 37364590.</w:t>
      </w:r>
    </w:p>
  </w:footnote>
  <w:footnote w:id="663">
    <w:p>
      <w:pPr>
        <w:pStyle w:val="FootnoteText"/>
      </w:pPr>
      <w:r>
        <w:rPr>
          <w:rStyle w:val="FootnoteReference"/>
        </w:rPr>
        <w:footnoteRef/>
      </w:r>
      <w:r>
        <w:t xml:space="preserve"> </w:t>
      </w:r>
      <w:r>
        <w:t xml:space="preserve">Garvey 2025, PMID 40544433.</w:t>
      </w:r>
    </w:p>
  </w:footnote>
  <w:footnote w:id="664">
    <w:p>
      <w:pPr>
        <w:pStyle w:val="FootnoteText"/>
      </w:pPr>
      <w:r>
        <w:rPr>
          <w:rStyle w:val="FootnoteReference"/>
        </w:rPr>
        <w:footnoteRef/>
      </w:r>
      <w:r>
        <w:t xml:space="preserve"> </w:t>
      </w:r>
      <w:r>
        <w:t xml:space="preserve">Busetto 2026, PMID 42503495.</w:t>
      </w:r>
    </w:p>
  </w:footnote>
  <w:footnote w:id="665">
    <w:p>
      <w:pPr>
        <w:pStyle w:val="FootnoteText"/>
      </w:pPr>
      <w:r>
        <w:rPr>
          <w:rStyle w:val="FootnoteReference"/>
        </w:rPr>
        <w:footnoteRef/>
      </w:r>
      <w:r>
        <w:t xml:space="preserve"> </w:t>
      </w:r>
      <w:r>
        <w:t xml:space="preserve">Verma 2026, PMID 41328546.</w:t>
      </w:r>
    </w:p>
  </w:footnote>
  <w:footnote w:id="666">
    <w:p>
      <w:pPr>
        <w:pStyle w:val="FootnoteText"/>
      </w:pPr>
      <w:r>
        <w:rPr>
          <w:rStyle w:val="FootnoteReference"/>
        </w:rPr>
        <w:footnoteRef/>
      </w:r>
      <w:r>
        <w:t xml:space="preserve"> </w:t>
      </w:r>
      <w:r>
        <w:t xml:space="preserve">Davies 2025, PMID 40544432.</w:t>
      </w:r>
    </w:p>
  </w:footnote>
  <w:footnote w:id="667">
    <w:p>
      <w:pPr>
        <w:pStyle w:val="FootnoteText"/>
      </w:pPr>
      <w:r>
        <w:rPr>
          <w:rStyle w:val="FootnoteReference"/>
        </w:rPr>
        <w:footnoteRef/>
      </w:r>
      <w:r>
        <w:t xml:space="preserve"> </w:t>
      </w:r>
      <w:r>
        <w:t xml:space="preserve">Yamauchi 2026, PMID 42009015.</w:t>
      </w:r>
    </w:p>
  </w:footnote>
  <w:footnote w:id="668">
    <w:p>
      <w:pPr>
        <w:pStyle w:val="FootnoteText"/>
      </w:pPr>
      <w:r>
        <w:rPr>
          <w:rStyle w:val="FootnoteReference"/>
        </w:rPr>
        <w:footnoteRef/>
      </w:r>
      <w:r>
        <w:t xml:space="preserve"> </w:t>
      </w:r>
      <w:r>
        <w:t xml:space="preserve">Buse 2026, PMID 42251859.</w:t>
      </w:r>
    </w:p>
  </w:footnote>
  <w:footnote w:id="669">
    <w:p>
      <w:pPr>
        <w:pStyle w:val="FootnoteText"/>
      </w:pPr>
      <w:r>
        <w:rPr>
          <w:rStyle w:val="FootnoteReference"/>
        </w:rPr>
        <w:footnoteRef/>
      </w:r>
      <w:r>
        <w:t xml:space="preserve"> </w:t>
      </w:r>
      <w:r>
        <w:t xml:space="preserve">NCT06221969, NCT06534411.</w:t>
      </w:r>
    </w:p>
  </w:footnote>
  <w:footnote w:id="672">
    <w:p>
      <w:pPr>
        <w:pStyle w:val="FootnoteText"/>
      </w:pPr>
      <w:r>
        <w:rPr>
          <w:rStyle w:val="FootnoteReference"/>
        </w:rPr>
        <w:footnoteRef/>
      </w:r>
      <w:r>
        <w:t xml:space="preserve"> </w:t>
      </w:r>
      <w:r>
        <w:t xml:space="preserve">Cao 2025, PMID 40204768.</w:t>
      </w:r>
    </w:p>
  </w:footnote>
  <w:footnote w:id="673">
    <w:p>
      <w:pPr>
        <w:pStyle w:val="FootnoteText"/>
      </w:pPr>
      <w:r>
        <w:rPr>
          <w:rStyle w:val="FootnoteReference"/>
        </w:rPr>
        <w:footnoteRef/>
      </w:r>
      <w:r>
        <w:t xml:space="preserve"> </w:t>
      </w:r>
      <w:r>
        <w:t xml:space="preserve">Carvas 2025, PMID 40609154.</w:t>
      </w:r>
    </w:p>
  </w:footnote>
  <w:footnote w:id="674">
    <w:p>
      <w:pPr>
        <w:pStyle w:val="FootnoteText"/>
      </w:pPr>
      <w:r>
        <w:rPr>
          <w:rStyle w:val="FootnoteReference"/>
        </w:rPr>
        <w:footnoteRef/>
      </w:r>
      <w:r>
        <w:t xml:space="preserve"> </w:t>
      </w:r>
      <w:r>
        <w:t xml:space="preserve">Jacobsen 2025, PMID 40629149.</w:t>
      </w:r>
    </w:p>
  </w:footnote>
  <w:footnote w:id="675">
    <w:p>
      <w:pPr>
        <w:pStyle w:val="FootnoteText"/>
      </w:pPr>
      <w:r>
        <w:rPr>
          <w:rStyle w:val="FootnoteReference"/>
        </w:rPr>
        <w:footnoteRef/>
      </w:r>
      <w:r>
        <w:t xml:space="preserve"> </w:t>
      </w:r>
      <w:r>
        <w:t xml:space="preserve">Petersen 2026, PMID 42744908.</w:t>
      </w:r>
    </w:p>
  </w:footnote>
  <w:footnote w:id="677">
    <w:p>
      <w:pPr>
        <w:pStyle w:val="FootnoteText"/>
      </w:pPr>
      <w:r>
        <w:rPr>
          <w:rStyle w:val="FootnoteReference"/>
        </w:rPr>
        <w:footnoteRef/>
      </w:r>
      <w:r>
        <w:t xml:space="preserve"> </w:t>
      </w:r>
      <w:r>
        <w:t xml:space="preserve">Garvey 2025, PMID 40544433.</w:t>
      </w:r>
    </w:p>
  </w:footnote>
  <w:footnote w:id="678">
    <w:p>
      <w:pPr>
        <w:pStyle w:val="FootnoteText"/>
      </w:pPr>
      <w:r>
        <w:rPr>
          <w:rStyle w:val="FootnoteReference"/>
        </w:rPr>
        <w:footnoteRef/>
      </w:r>
      <w:r>
        <w:t xml:space="preserve"> </w:t>
      </w:r>
      <w:r>
        <w:t xml:space="preserve">Davies 2025, PMID 40544432.</w:t>
      </w:r>
    </w:p>
  </w:footnote>
  <w:footnote w:id="679">
    <w:p>
      <w:pPr>
        <w:pStyle w:val="FootnoteText"/>
      </w:pPr>
      <w:r>
        <w:rPr>
          <w:rStyle w:val="FootnoteReference"/>
        </w:rPr>
        <w:footnoteRef/>
      </w:r>
      <w:r>
        <w:t xml:space="preserve"> </w:t>
      </w:r>
      <w:r>
        <w:t xml:space="preserve">Rosenstock 2026, PMID 42251856.</w:t>
      </w:r>
    </w:p>
  </w:footnote>
  <w:footnote w:id="680">
    <w:p>
      <w:pPr>
        <w:pStyle w:val="FootnoteText"/>
      </w:pPr>
      <w:r>
        <w:rPr>
          <w:rStyle w:val="FootnoteReference"/>
        </w:rPr>
        <w:footnoteRef/>
      </w:r>
      <w:r>
        <w:t xml:space="preserve"> </w:t>
      </w:r>
      <w:r>
        <w:t xml:space="preserve">Gabe 2024, PMID 39279639.</w:t>
      </w:r>
    </w:p>
  </w:footnote>
  <w:footnote w:id="681">
    <w:p>
      <w:pPr>
        <w:pStyle w:val="FootnoteText"/>
      </w:pPr>
      <w:r>
        <w:rPr>
          <w:rStyle w:val="FootnoteReference"/>
        </w:rPr>
        <w:footnoteRef/>
      </w:r>
      <w:r>
        <w:t xml:space="preserve"> </w:t>
      </w:r>
      <w:r>
        <w:t xml:space="preserve">Nielsen 2026, PMID 42228334.</w:t>
      </w:r>
    </w:p>
  </w:footnote>
  <w:footnote w:id="682">
    <w:p>
      <w:pPr>
        <w:pStyle w:val="FootnoteText"/>
      </w:pPr>
      <w:r>
        <w:rPr>
          <w:rStyle w:val="FootnoteReference"/>
        </w:rPr>
        <w:footnoteRef/>
      </w:r>
      <w:r>
        <w:t xml:space="preserve"> </w:t>
      </w:r>
      <w:r>
        <w:t xml:space="preserve">NCT07010432.</w:t>
      </w:r>
    </w:p>
  </w:footnote>
  <w:footnote w:id="683">
    <w:p>
      <w:pPr>
        <w:pStyle w:val="FootnoteText"/>
      </w:pPr>
      <w:r>
        <w:rPr>
          <w:rStyle w:val="FootnoteReference"/>
        </w:rPr>
        <w:footnoteRef/>
      </w:r>
      <w:r>
        <w:t xml:space="preserve"> </w:t>
      </w:r>
      <w:r>
        <w:t xml:space="preserve">NCT07527195.</w:t>
      </w:r>
    </w:p>
  </w:footnote>
  <w:footnote w:id="686">
    <w:p>
      <w:pPr>
        <w:pStyle w:val="FootnoteText"/>
      </w:pPr>
      <w:r>
        <w:rPr>
          <w:rStyle w:val="FootnoteReference"/>
        </w:rPr>
        <w:footnoteRef/>
      </w:r>
      <w:r>
        <w:t xml:space="preserve"> </w:t>
      </w:r>
      <w:r>
        <w:t xml:space="preserve">NCT05669755.</w:t>
      </w:r>
    </w:p>
  </w:footnote>
  <w:footnote w:id="687">
    <w:p>
      <w:pPr>
        <w:pStyle w:val="FootnoteText"/>
      </w:pPr>
      <w:r>
        <w:rPr>
          <w:rStyle w:val="FootnoteReference"/>
        </w:rPr>
        <w:footnoteRef/>
      </w:r>
      <w:r>
        <w:t xml:space="preserve"> </w:t>
      </w:r>
      <w:r>
        <w:t xml:space="preserve">Cavender 2026, PMID 42838477.</w:t>
      </w:r>
    </w:p>
  </w:footnote>
  <w:footnote w:id="688">
    <w:p>
      <w:pPr>
        <w:pStyle w:val="FootnoteText"/>
      </w:pPr>
      <w:r>
        <w:rPr>
          <w:rStyle w:val="FootnoteReference"/>
        </w:rPr>
        <w:footnoteRef/>
      </w:r>
      <w:r>
        <w:t xml:space="preserve"> </w:t>
      </w:r>
      <w:r>
        <w:t xml:space="preserve">NCT06131437, NCT06221969, NCT06534411.</w:t>
      </w:r>
    </w:p>
  </w:footnote>
  <w:footnote w:id="689">
    <w:p>
      <w:pPr>
        <w:pStyle w:val="FootnoteText"/>
      </w:pPr>
      <w:r>
        <w:rPr>
          <w:rStyle w:val="FootnoteReference"/>
        </w:rPr>
        <w:footnoteRef/>
      </w:r>
      <w:r>
        <w:t xml:space="preserve"> </w:t>
      </w:r>
      <w:r>
        <w:t xml:space="preserve">NCT07564414.</w:t>
      </w:r>
    </w:p>
  </w:footnote>
  <w:footnote w:id="690">
    <w:p>
      <w:pPr>
        <w:pStyle w:val="FootnoteText"/>
      </w:pPr>
      <w:r>
        <w:rPr>
          <w:rStyle w:val="FootnoteReference"/>
        </w:rPr>
        <w:footnoteRef/>
      </w:r>
      <w:r>
        <w:t xml:space="preserve"> </w:t>
      </w:r>
      <w:r>
        <w:t xml:space="preserve">NCT06780449.</w:t>
      </w:r>
    </w:p>
  </w:footnote>
  <w:footnote w:id="691">
    <w:p>
      <w:pPr>
        <w:pStyle w:val="FootnoteText"/>
      </w:pPr>
      <w:r>
        <w:rPr>
          <w:rStyle w:val="FootnoteReference"/>
        </w:rPr>
        <w:footnoteRef/>
      </w:r>
      <w:r>
        <w:t xml:space="preserve"> </w:t>
      </w:r>
      <w:r>
        <w:t xml:space="preserve">NCT07253285.</w:t>
      </w:r>
    </w:p>
  </w:footnote>
  <w:footnote w:id="692">
    <w:p>
      <w:pPr>
        <w:pStyle w:val="FootnoteText"/>
      </w:pPr>
      <w:r>
        <w:rPr>
          <w:rStyle w:val="FootnoteReference"/>
        </w:rPr>
        <w:footnoteRef/>
      </w:r>
      <w:r>
        <w:t xml:space="preserve"> </w:t>
      </w:r>
      <w:r>
        <w:t xml:space="preserve">NCT07220642.</w:t>
      </w:r>
    </w:p>
  </w:footnote>
  <w:footnote w:id="693">
    <w:p>
      <w:pPr>
        <w:pStyle w:val="FootnoteText"/>
      </w:pPr>
      <w:r>
        <w:rPr>
          <w:rStyle w:val="FootnoteReference"/>
        </w:rPr>
        <w:footnoteRef/>
      </w:r>
      <w:r>
        <w:t xml:space="preserve"> </w:t>
      </w:r>
      <w:r>
        <w:t xml:space="preserve">NCT07010432.</w:t>
      </w:r>
    </w:p>
  </w:footnote>
  <w:footnote w:id="694">
    <w:p>
      <w:pPr>
        <w:pStyle w:val="FootnoteText"/>
      </w:pPr>
      <w:r>
        <w:rPr>
          <w:rStyle w:val="FootnoteReference"/>
        </w:rPr>
        <w:footnoteRef/>
      </w:r>
      <w:r>
        <w:t xml:space="preserve"> </w:t>
      </w:r>
      <w:r>
        <w:t xml:space="preserve">NCT07527195.</w:t>
      </w:r>
    </w:p>
  </w:footnote>
  <w:footnote w:id="695">
    <w:p>
      <w:pPr>
        <w:pStyle w:val="FootnoteText"/>
      </w:pPr>
      <w:r>
        <w:rPr>
          <w:rStyle w:val="FootnoteReference"/>
        </w:rPr>
        <w:footnoteRef/>
      </w:r>
      <w:r>
        <w:t xml:space="preserve"> </w:t>
      </w:r>
      <w:r>
        <w:t xml:space="preserve">NCT07607587.</w:t>
      </w:r>
    </w:p>
  </w:footnote>
  <w:footnote w:id="700">
    <w:p>
      <w:pPr>
        <w:pStyle w:val="FootnoteText"/>
      </w:pPr>
      <w:r>
        <w:rPr>
          <w:rStyle w:val="FootnoteReference"/>
        </w:rPr>
        <w:footnoteRef/>
      </w:r>
      <w:r>
        <w:t xml:space="preserve"> </w:t>
      </w:r>
      <w:r>
        <w:t xml:space="preserve">Kuhre 2025, PMID 40706446.</w:t>
      </w:r>
    </w:p>
  </w:footnote>
  <w:footnote w:id="702">
    <w:p>
      <w:pPr>
        <w:pStyle w:val="FootnoteText"/>
      </w:pPr>
      <w:r>
        <w:rPr>
          <w:rStyle w:val="FootnoteReference"/>
        </w:rPr>
        <w:footnoteRef/>
      </w:r>
      <w:r>
        <w:t xml:space="preserve"> </w:t>
      </w:r>
      <w:r>
        <w:t xml:space="preserve">Gasiorek 2025, PMID 40550229.</w:t>
      </w:r>
    </w:p>
  </w:footnote>
  <w:footnote w:id="704">
    <w:p>
      <w:pPr>
        <w:pStyle w:val="FootnoteText"/>
      </w:pPr>
      <w:r>
        <w:rPr>
          <w:rStyle w:val="FootnoteReference"/>
        </w:rPr>
        <w:footnoteRef/>
      </w:r>
      <w:r>
        <w:t xml:space="preserve"> </w:t>
      </w:r>
      <w:r>
        <w:t xml:space="preserve">Dahl 2025, PMID 40550231.</w:t>
      </w:r>
    </w:p>
  </w:footnote>
  <w:footnote w:id="706">
    <w:p>
      <w:pPr>
        <w:pStyle w:val="FootnoteText"/>
      </w:pPr>
      <w:r>
        <w:rPr>
          <w:rStyle w:val="FootnoteReference"/>
        </w:rPr>
        <w:footnoteRef/>
      </w:r>
      <w:r>
        <w:t xml:space="preserve"> </w:t>
      </w:r>
      <w:r>
        <w:t xml:space="preserve">Mora 2026, PMID 42532079.</w:t>
      </w:r>
    </w:p>
  </w:footnote>
  <w:footnote w:id="707">
    <w:p>
      <w:pPr>
        <w:pStyle w:val="FootnoteText"/>
      </w:pPr>
      <w:r>
        <w:rPr>
          <w:rStyle w:val="FootnoteReference"/>
        </w:rPr>
        <w:footnoteRef/>
      </w:r>
      <w:r>
        <w:t xml:space="preserve"> </w:t>
      </w:r>
      <w:r>
        <w:t xml:space="preserve">Mora 2026, PMID 42532080.</w:t>
      </w:r>
    </w:p>
  </w:footnote>
  <w:footnote w:id="710">
    <w:p>
      <w:pPr>
        <w:pStyle w:val="FootnoteText"/>
      </w:pPr>
      <w:r>
        <w:rPr>
          <w:rStyle w:val="FootnoteReference"/>
        </w:rPr>
        <w:footnoteRef/>
      </w:r>
      <w:r>
        <w:t xml:space="preserve"> </w:t>
      </w:r>
      <w:r>
        <w:t xml:space="preserve">Kuhre 2025, PMID 40706446.</w:t>
      </w:r>
    </w:p>
  </w:footnote>
  <w:footnote w:id="712">
    <w:p>
      <w:pPr>
        <w:pStyle w:val="FootnoteText"/>
      </w:pPr>
      <w:r>
        <w:rPr>
          <w:rStyle w:val="FootnoteReference"/>
        </w:rPr>
        <w:footnoteRef/>
      </w:r>
      <w:r>
        <w:t xml:space="preserve"> </w:t>
      </w:r>
      <w:r>
        <w:t xml:space="preserve">Gasiorek 2025, PMID 40550229; Dahl 2025, PMID 40550231.</w:t>
      </w:r>
    </w:p>
  </w:footnote>
  <w:footnote w:id="713">
    <w:p>
      <w:pPr>
        <w:pStyle w:val="FootnoteText"/>
      </w:pPr>
      <w:r>
        <w:rPr>
          <w:rStyle w:val="FootnoteReference"/>
        </w:rPr>
        <w:footnoteRef/>
      </w:r>
      <w:r>
        <w:t xml:space="preserve"> </w:t>
      </w:r>
      <w:r>
        <w:t xml:space="preserve">Mora 2026, PMID 42532079; PMID 42532080.</w:t>
      </w:r>
    </w:p>
  </w:footnote>
  <w:footnote w:id="714">
    <w:p>
      <w:pPr>
        <w:pStyle w:val="FootnoteText"/>
      </w:pPr>
      <w:r>
        <w:rPr>
          <w:rStyle w:val="FootnoteReference"/>
        </w:rPr>
        <w:footnoteRef/>
      </w:r>
      <w:r>
        <w:t xml:space="preserve"> </w:t>
      </w:r>
      <w:r>
        <w:t xml:space="preserve">Oldenburg 2026, PMID 42443140.</w:t>
      </w:r>
    </w:p>
  </w:footnote>
  <w:footnote w:id="715">
    <w:p>
      <w:pPr>
        <w:pStyle w:val="FootnoteText"/>
      </w:pPr>
      <w:r>
        <w:rPr>
          <w:rStyle w:val="FootnoteReference"/>
        </w:rPr>
        <w:footnoteRef/>
      </w:r>
      <w:r>
        <w:t xml:space="preserve"> </w:t>
      </w:r>
      <w:r>
        <w:t xml:space="preserve">Rubin 2026, PMID 42853576.</w:t>
      </w:r>
    </w:p>
  </w:footnote>
  <w:footnote w:id="718">
    <w:p>
      <w:pPr>
        <w:pStyle w:val="FootnoteText"/>
      </w:pPr>
      <w:r>
        <w:rPr>
          <w:rStyle w:val="FootnoteReference"/>
        </w:rPr>
        <w:footnoteRef/>
      </w:r>
      <w:r>
        <w:t xml:space="preserve"> </w:t>
      </w:r>
      <w:r>
        <w:t xml:space="preserve">NCT07339423.</w:t>
      </w:r>
    </w:p>
  </w:footnote>
  <w:footnote w:id="719">
    <w:p>
      <w:pPr>
        <w:pStyle w:val="FootnoteText"/>
      </w:pPr>
      <w:r>
        <w:rPr>
          <w:rStyle w:val="FootnoteReference"/>
        </w:rPr>
        <w:footnoteRef/>
      </w:r>
      <w:r>
        <w:t xml:space="preserve"> </w:t>
      </w:r>
      <w:r>
        <w:t xml:space="preserve">NCT07533175.</w:t>
      </w:r>
    </w:p>
  </w:footnote>
  <w:footnote w:id="720">
    <w:p>
      <w:pPr>
        <w:pStyle w:val="FootnoteText"/>
      </w:pPr>
      <w:r>
        <w:rPr>
          <w:rStyle w:val="FootnoteReference"/>
        </w:rPr>
        <w:footnoteRef/>
      </w:r>
      <w:r>
        <w:t xml:space="preserve"> </w:t>
      </w:r>
      <w:r>
        <w:t xml:space="preserve">NCT07571005, NCT07571109.</w:t>
      </w:r>
    </w:p>
  </w:footnote>
  <w:footnote w:id="721">
    <w:p>
      <w:pPr>
        <w:pStyle w:val="FootnoteText"/>
      </w:pPr>
      <w:r>
        <w:rPr>
          <w:rStyle w:val="FootnoteReference"/>
        </w:rPr>
        <w:footnoteRef/>
      </w:r>
      <w:r>
        <w:t xml:space="preserve"> </w:t>
      </w:r>
      <w:r>
        <w:t xml:space="preserve">NCT07509307.</w:t>
      </w:r>
    </w:p>
  </w:footnote>
  <w:footnote w:id="722">
    <w:p>
      <w:pPr>
        <w:pStyle w:val="FootnoteText"/>
      </w:pPr>
      <w:r>
        <w:rPr>
          <w:rStyle w:val="FootnoteReference"/>
        </w:rPr>
        <w:footnoteRef/>
      </w:r>
      <w:r>
        <w:t xml:space="preserve"> </w:t>
      </w:r>
      <w:r>
        <w:t xml:space="preserve">NCT07481630.</w:t>
      </w:r>
    </w:p>
  </w:footnote>
  <w:footnote w:id="723">
    <w:p>
      <w:pPr>
        <w:pStyle w:val="FootnoteText"/>
      </w:pPr>
      <w:r>
        <w:rPr>
          <w:rStyle w:val="FootnoteReference"/>
        </w:rPr>
        <w:footnoteRef/>
      </w:r>
      <w:r>
        <w:t xml:space="preserve"> </w:t>
      </w:r>
      <w:r>
        <w:t xml:space="preserve">NCT07720271.</w:t>
      </w:r>
    </w:p>
  </w:footnote>
  <w:footnote w:id="724">
    <w:p>
      <w:pPr>
        <w:pStyle w:val="FootnoteText"/>
      </w:pPr>
      <w:r>
        <w:rPr>
          <w:rStyle w:val="FootnoteReference"/>
        </w:rPr>
        <w:footnoteRef/>
      </w:r>
      <w:r>
        <w:t xml:space="preserve"> </w:t>
      </w:r>
      <w:r>
        <w:t xml:space="preserve">NCT07503210.</w:t>
      </w:r>
    </w:p>
  </w:footnote>
  <w:footnote w:id="729">
    <w:p>
      <w:pPr>
        <w:pStyle w:val="FootnoteText"/>
      </w:pPr>
      <w:r>
        <w:rPr>
          <w:rStyle w:val="FootnoteReference"/>
        </w:rPr>
        <w:footnoteRef/>
      </w:r>
      <w:r>
        <w:t xml:space="preserve"> </w:t>
      </w:r>
      <w:r>
        <w:t xml:space="preserve">Davies 2026, PMID 41287212.</w:t>
      </w:r>
    </w:p>
  </w:footnote>
  <w:footnote w:id="730">
    <w:p>
      <w:pPr>
        <w:pStyle w:val="FootnoteText"/>
      </w:pPr>
      <w:r>
        <w:rPr>
          <w:rStyle w:val="FootnoteReference"/>
        </w:rPr>
        <w:footnoteRef/>
      </w:r>
      <w:r>
        <w:t xml:space="preserve"> </w:t>
      </w:r>
      <w:r>
        <w:t xml:space="preserve">Véniant 2024, PMID 38316982.</w:t>
      </w:r>
    </w:p>
  </w:footnote>
  <w:footnote w:id="731">
    <w:p>
      <w:pPr>
        <w:pStyle w:val="FootnoteText"/>
      </w:pPr>
      <w:r>
        <w:rPr>
          <w:rStyle w:val="FootnoteReference"/>
        </w:rPr>
        <w:footnoteRef/>
      </w:r>
      <w:r>
        <w:t xml:space="preserve"> </w:t>
      </w:r>
      <w:r>
        <w:t xml:space="preserve">Wu 2026, PMID 41941715.</w:t>
      </w:r>
    </w:p>
  </w:footnote>
  <w:footnote w:id="733">
    <w:p>
      <w:pPr>
        <w:pStyle w:val="FootnoteText"/>
      </w:pPr>
      <w:r>
        <w:rPr>
          <w:rStyle w:val="FootnoteReference"/>
        </w:rPr>
        <w:footnoteRef/>
      </w:r>
      <w:r>
        <w:t xml:space="preserve"> </w:t>
      </w:r>
      <w:r>
        <w:t xml:space="preserve">Véniant 2024, PMID 38316982; NCT04478708.</w:t>
      </w:r>
    </w:p>
  </w:footnote>
  <w:footnote w:id="735">
    <w:p>
      <w:pPr>
        <w:pStyle w:val="FootnoteText"/>
      </w:pPr>
      <w:r>
        <w:rPr>
          <w:rStyle w:val="FootnoteReference"/>
        </w:rPr>
        <w:footnoteRef/>
      </w:r>
      <w:r>
        <w:t xml:space="preserve"> </w:t>
      </w:r>
      <w:r>
        <w:t xml:space="preserve">Jastreboff 2025, PMID 40549887.</w:t>
      </w:r>
    </w:p>
  </w:footnote>
  <w:footnote w:id="738">
    <w:p>
      <w:pPr>
        <w:pStyle w:val="FootnoteText"/>
      </w:pPr>
      <w:r>
        <w:rPr>
          <w:rStyle w:val="FootnoteReference"/>
        </w:rPr>
        <w:footnoteRef/>
      </w:r>
      <w:r>
        <w:t xml:space="preserve"> </w:t>
      </w:r>
      <w:r>
        <w:t xml:space="preserve">Véniant 2024, PMID 38316982; Wu 2026, PMID 41941715.</w:t>
      </w:r>
    </w:p>
  </w:footnote>
  <w:footnote w:id="739">
    <w:p>
      <w:pPr>
        <w:pStyle w:val="FootnoteText"/>
      </w:pPr>
      <w:r>
        <w:rPr>
          <w:rStyle w:val="FootnoteReference"/>
        </w:rPr>
        <w:footnoteRef/>
      </w:r>
      <w:r>
        <w:t xml:space="preserve"> </w:t>
      </w:r>
      <w:r>
        <w:t xml:space="preserve">Davies 2026, PMID 41287212.</w:t>
      </w:r>
    </w:p>
  </w:footnote>
  <w:footnote w:id="741">
    <w:p>
      <w:pPr>
        <w:pStyle w:val="FootnoteText"/>
      </w:pPr>
      <w:r>
        <w:rPr>
          <w:rStyle w:val="FootnoteReference"/>
        </w:rPr>
        <w:footnoteRef/>
      </w:r>
      <w:r>
        <w:t xml:space="preserve"> </w:t>
      </w:r>
      <w:r>
        <w:t xml:space="preserve">Jastreboff 2025, PMID 40549887.</w:t>
      </w:r>
    </w:p>
  </w:footnote>
  <w:footnote w:id="742">
    <w:p>
      <w:pPr>
        <w:pStyle w:val="FootnoteText"/>
      </w:pPr>
      <w:r>
        <w:rPr>
          <w:rStyle w:val="FootnoteReference"/>
        </w:rPr>
        <w:footnoteRef/>
      </w:r>
      <w:r>
        <w:t xml:space="preserve"> </w:t>
      </w:r>
      <w:r>
        <w:t xml:space="preserve">Véniant 2024, PMID 38316982.</w:t>
      </w:r>
    </w:p>
  </w:footnote>
  <w:footnote w:id="743">
    <w:p>
      <w:pPr>
        <w:pStyle w:val="FootnoteText"/>
      </w:pPr>
      <w:r>
        <w:rPr>
          <w:rStyle w:val="FootnoteReference"/>
        </w:rPr>
        <w:footnoteRef/>
      </w:r>
      <w:r>
        <w:t xml:space="preserve"> </w:t>
      </w:r>
      <w:r>
        <w:t xml:space="preserve">Davies 2026, PMID 41287212.</w:t>
      </w:r>
    </w:p>
  </w:footnote>
  <w:footnote w:id="746">
    <w:p>
      <w:pPr>
        <w:pStyle w:val="FootnoteText"/>
      </w:pPr>
      <w:r>
        <w:rPr>
          <w:rStyle w:val="FootnoteReference"/>
        </w:rPr>
        <w:footnoteRef/>
      </w:r>
      <w:r>
        <w:t xml:space="preserve"> </w:t>
      </w:r>
      <w:r>
        <w:t xml:space="preserve">NCT06858839.</w:t>
      </w:r>
    </w:p>
  </w:footnote>
  <w:footnote w:id="747">
    <w:p>
      <w:pPr>
        <w:pStyle w:val="FootnoteText"/>
      </w:pPr>
      <w:r>
        <w:rPr>
          <w:rStyle w:val="FootnoteReference"/>
        </w:rPr>
        <w:footnoteRef/>
      </w:r>
      <w:r>
        <w:t xml:space="preserve"> </w:t>
      </w:r>
      <w:r>
        <w:t xml:space="preserve">NCT06858878.</w:t>
      </w:r>
    </w:p>
  </w:footnote>
  <w:footnote w:id="748">
    <w:p>
      <w:pPr>
        <w:pStyle w:val="FootnoteText"/>
      </w:pPr>
      <w:r>
        <w:rPr>
          <w:rStyle w:val="FootnoteReference"/>
        </w:rPr>
        <w:footnoteRef/>
      </w:r>
      <w:r>
        <w:t xml:space="preserve"> </w:t>
      </w:r>
      <w:r>
        <w:t xml:space="preserve">NCT07037433.</w:t>
      </w:r>
    </w:p>
  </w:footnote>
  <w:footnote w:id="749">
    <w:p>
      <w:pPr>
        <w:pStyle w:val="FootnoteText"/>
      </w:pPr>
      <w:r>
        <w:rPr>
          <w:rStyle w:val="FootnoteReference"/>
        </w:rPr>
        <w:footnoteRef/>
      </w:r>
      <w:r>
        <w:t xml:space="preserve"> </w:t>
      </w:r>
      <w:r>
        <w:t xml:space="preserve">NCT07037459.</w:t>
      </w:r>
    </w:p>
  </w:footnote>
  <w:footnote w:id="750">
    <w:p>
      <w:pPr>
        <w:pStyle w:val="FootnoteText"/>
      </w:pPr>
      <w:r>
        <w:rPr>
          <w:rStyle w:val="FootnoteReference"/>
        </w:rPr>
        <w:footnoteRef/>
      </w:r>
      <w:r>
        <w:t xml:space="preserve"> </w:t>
      </w:r>
      <w:r>
        <w:t xml:space="preserve">NCT07226765, NCT07225686.</w:t>
      </w:r>
    </w:p>
  </w:footnote>
  <w:footnote w:id="751">
    <w:p>
      <w:pPr>
        <w:pStyle w:val="FootnoteText"/>
      </w:pPr>
      <w:r>
        <w:rPr>
          <w:rStyle w:val="FootnoteReference"/>
        </w:rPr>
        <w:footnoteRef/>
      </w:r>
      <w:r>
        <w:t xml:space="preserve"> </w:t>
      </w:r>
      <w:r>
        <w:t xml:space="preserve">NCT07866066.</w:t>
      </w:r>
    </w:p>
  </w:footnote>
  <w:footnote w:id="752">
    <w:p>
      <w:pPr>
        <w:pStyle w:val="FootnoteText"/>
      </w:pPr>
      <w:r>
        <w:rPr>
          <w:rStyle w:val="FootnoteReference"/>
        </w:rPr>
        <w:footnoteRef/>
      </w:r>
      <w:r>
        <w:t xml:space="preserve"> </w:t>
      </w:r>
      <w:r>
        <w:t xml:space="preserve">NCT07575399.</w:t>
      </w:r>
    </w:p>
  </w:footnote>
  <w:footnote w:id="753">
    <w:p>
      <w:pPr>
        <w:pStyle w:val="FootnoteText"/>
      </w:pPr>
      <w:r>
        <w:rPr>
          <w:rStyle w:val="FootnoteReference"/>
        </w:rPr>
        <w:footnoteRef/>
      </w:r>
      <w:r>
        <w:t xml:space="preserve"> </w:t>
      </w:r>
      <w:r>
        <w:t xml:space="preserve">NCT06987695.</w:t>
      </w:r>
    </w:p>
  </w:footnote>
  <w:footnote w:id="754">
    <w:p>
      <w:pPr>
        <w:pStyle w:val="FootnoteText"/>
      </w:pPr>
      <w:r>
        <w:rPr>
          <w:rStyle w:val="FootnoteReference"/>
        </w:rPr>
        <w:footnoteRef/>
      </w:r>
      <w:r>
        <w:t xml:space="preserve"> </w:t>
      </w:r>
      <w:r>
        <w:t xml:space="preserve">NCT07429032.</w:t>
      </w:r>
    </w:p>
  </w:footnote>
  <w:footnote w:id="755">
    <w:p>
      <w:pPr>
        <w:pStyle w:val="FootnoteText"/>
      </w:pPr>
      <w:r>
        <w:rPr>
          <w:rStyle w:val="FootnoteReference"/>
        </w:rPr>
        <w:footnoteRef/>
      </w:r>
      <w:r>
        <w:t xml:space="preserve"> </w:t>
      </w:r>
      <w:r>
        <w:t xml:space="preserve">NCT07229157.</w:t>
      </w:r>
    </w:p>
  </w:footnote>
  <w:footnote w:id="756">
    <w:p>
      <w:pPr>
        <w:pStyle w:val="FootnoteText"/>
      </w:pPr>
      <w:r>
        <w:rPr>
          <w:rStyle w:val="FootnoteReference"/>
        </w:rPr>
        <w:footnoteRef/>
      </w:r>
      <w:r>
        <w:t xml:space="preserve"> </w:t>
      </w:r>
      <w:r>
        <w:t xml:space="preserve">NCT07523711.</w:t>
      </w:r>
    </w:p>
  </w:footnote>
  <w:footnote w:id="761">
    <w:p>
      <w:pPr>
        <w:pStyle w:val="FootnoteText"/>
      </w:pPr>
      <w:r>
        <w:rPr>
          <w:rStyle w:val="FootnoteReference"/>
        </w:rPr>
        <w:footnoteRef/>
      </w:r>
      <w:r>
        <w:t xml:space="preserve"> </w:t>
      </w:r>
      <w:r>
        <w:t xml:space="preserve">Vella 2002, PMID 11975712.</w:t>
      </w:r>
    </w:p>
  </w:footnote>
  <w:footnote w:id="763">
    <w:p>
      <w:pPr>
        <w:pStyle w:val="FootnoteText"/>
      </w:pPr>
      <w:r>
        <w:rPr>
          <w:rStyle w:val="FootnoteReference"/>
        </w:rPr>
        <w:footnoteRef/>
      </w:r>
      <w:r>
        <w:t xml:space="preserve"> </w:t>
      </w:r>
      <w:r>
        <w:t xml:space="preserve">Avgerinos 2021, PMID 33300282.</w:t>
      </w:r>
    </w:p>
  </w:footnote>
  <w:footnote w:id="765">
    <w:p>
      <w:pPr>
        <w:pStyle w:val="FootnoteText"/>
      </w:pPr>
      <w:r>
        <w:rPr>
          <w:rStyle w:val="FootnoteReference"/>
        </w:rPr>
        <w:footnoteRef/>
      </w:r>
      <w:r>
        <w:t xml:space="preserve"> </w:t>
      </w:r>
      <w:r>
        <w:t xml:space="preserve">Hollander 2003, PMID 12610038.</w:t>
      </w:r>
    </w:p>
  </w:footnote>
  <w:footnote w:id="766">
    <w:p>
      <w:pPr>
        <w:pStyle w:val="FootnoteText"/>
      </w:pPr>
      <w:r>
        <w:rPr>
          <w:rStyle w:val="FootnoteReference"/>
        </w:rPr>
        <w:footnoteRef/>
      </w:r>
      <w:r>
        <w:t xml:space="preserve"> </w:t>
      </w:r>
      <w:r>
        <w:t xml:space="preserve">Riddle 2009, PMID 19502544.</w:t>
      </w:r>
    </w:p>
  </w:footnote>
  <w:footnote w:id="767">
    <w:p>
      <w:pPr>
        <w:pStyle w:val="FootnoteText"/>
      </w:pPr>
      <w:r>
        <w:rPr>
          <w:rStyle w:val="FootnoteReference"/>
        </w:rPr>
        <w:footnoteRef/>
      </w:r>
      <w:r>
        <w:t xml:space="preserve"> </w:t>
      </w:r>
      <w:r>
        <w:t xml:space="preserve">Singh-Franco 2011, PMID 21199269.</w:t>
      </w:r>
    </w:p>
  </w:footnote>
  <w:footnote w:id="769">
    <w:p>
      <w:pPr>
        <w:pStyle w:val="FootnoteText"/>
      </w:pPr>
      <w:r>
        <w:rPr>
          <w:rStyle w:val="FootnoteReference"/>
        </w:rPr>
        <w:footnoteRef/>
      </w:r>
      <w:r>
        <w:t xml:space="preserve"> </w:t>
      </w:r>
      <w:r>
        <w:t xml:space="preserve">Aronne 2007, PMID 17504894.</w:t>
      </w:r>
    </w:p>
  </w:footnote>
  <w:footnote w:id="770">
    <w:p>
      <w:pPr>
        <w:pStyle w:val="FootnoteText"/>
      </w:pPr>
      <w:r>
        <w:rPr>
          <w:rStyle w:val="FootnoteReference"/>
        </w:rPr>
        <w:footnoteRef/>
      </w:r>
      <w:r>
        <w:t xml:space="preserve"> </w:t>
      </w:r>
      <w:r>
        <w:t xml:space="preserve">Smith 2008, PMID 18753666.</w:t>
      </w:r>
    </w:p>
  </w:footnote>
  <w:footnote w:id="771">
    <w:p>
      <w:pPr>
        <w:pStyle w:val="FootnoteText"/>
      </w:pPr>
      <w:r>
        <w:rPr>
          <w:rStyle w:val="FootnoteReference"/>
        </w:rPr>
        <w:footnoteRef/>
      </w:r>
      <w:r>
        <w:t xml:space="preserve"> </w:t>
      </w:r>
      <w:r>
        <w:t xml:space="preserve">Ravussin 2009, PMID 19521351.</w:t>
      </w:r>
    </w:p>
  </w:footnote>
  <w:footnote w:id="773">
    <w:p>
      <w:pPr>
        <w:pStyle w:val="FootnoteText"/>
      </w:pPr>
      <w:r>
        <w:rPr>
          <w:rStyle w:val="FootnoteReference"/>
        </w:rPr>
        <w:footnoteRef/>
      </w:r>
      <w:r>
        <w:t xml:space="preserve"> </w:t>
      </w:r>
      <w:r>
        <w:t xml:space="preserve">Haidar 2020, PMID 31974099.</w:t>
      </w:r>
    </w:p>
  </w:footnote>
  <w:footnote w:id="774">
    <w:p>
      <w:pPr>
        <w:pStyle w:val="FootnoteText"/>
      </w:pPr>
      <w:r>
        <w:rPr>
          <w:rStyle w:val="FootnoteReference"/>
        </w:rPr>
        <w:footnoteRef/>
      </w:r>
      <w:r>
        <w:t xml:space="preserve"> </w:t>
      </w:r>
      <w:r>
        <w:t xml:space="preserve">Odabassian 2025, PMID 41174925.</w:t>
      </w:r>
    </w:p>
  </w:footnote>
  <w:footnote w:id="775">
    <w:p>
      <w:pPr>
        <w:pStyle w:val="FootnoteText"/>
      </w:pPr>
      <w:r>
        <w:rPr>
          <w:rStyle w:val="FootnoteReference"/>
        </w:rPr>
        <w:footnoteRef/>
      </w:r>
      <w:r>
        <w:t xml:space="preserve"> </w:t>
      </w:r>
      <w:r>
        <w:t xml:space="preserve">Andersen 2024, PMID 39109464.</w:t>
      </w:r>
    </w:p>
  </w:footnote>
  <w:footnote w:id="778">
    <w:p>
      <w:pPr>
        <w:pStyle w:val="FootnoteText"/>
      </w:pPr>
      <w:r>
        <w:rPr>
          <w:rStyle w:val="FootnoteReference"/>
        </w:rPr>
        <w:footnoteRef/>
      </w:r>
      <w:r>
        <w:t xml:space="preserve"> </w:t>
      </w:r>
      <w:r>
        <w:t xml:space="preserve">described as the starting point in Ravussin 2009, PMID 19521351.</w:t>
      </w:r>
    </w:p>
  </w:footnote>
  <w:footnote w:id="779">
    <w:p>
      <w:pPr>
        <w:pStyle w:val="FootnoteText"/>
      </w:pPr>
      <w:r>
        <w:rPr>
          <w:rStyle w:val="FootnoteReference"/>
        </w:rPr>
        <w:footnoteRef/>
      </w:r>
      <w:r>
        <w:t xml:space="preserve"> </w:t>
      </w:r>
      <w:r>
        <w:t xml:space="preserve">Ghanizada 2021, PMID 33772845.</w:t>
      </w:r>
    </w:p>
  </w:footnote>
  <w:footnote w:id="781">
    <w:p>
      <w:pPr>
        <w:pStyle w:val="FootnoteText"/>
      </w:pPr>
      <w:r>
        <w:rPr>
          <w:rStyle w:val="FootnoteReference"/>
        </w:rPr>
        <w:footnoteRef/>
      </w:r>
      <w:r>
        <w:t xml:space="preserve"> </w:t>
      </w:r>
      <w:r>
        <w:t xml:space="preserve">Smith 2008, PMID 18753666; Edelman 2006, PMID 17003291.</w:t>
      </w:r>
    </w:p>
  </w:footnote>
  <w:footnote w:id="782">
    <w:p>
      <w:pPr>
        <w:pStyle w:val="FootnoteText"/>
      </w:pPr>
      <w:r>
        <w:rPr>
          <w:rStyle w:val="FootnoteReference"/>
        </w:rPr>
        <w:footnoteRef/>
      </w:r>
      <w:r>
        <w:t xml:space="preserve"> </w:t>
      </w:r>
      <w:r>
        <w:t xml:space="preserve">Edelman 2006, PMID 17003291.</w:t>
      </w:r>
    </w:p>
  </w:footnote>
  <w:footnote w:id="783">
    <w:p>
      <w:pPr>
        <w:pStyle w:val="FootnoteText"/>
      </w:pPr>
      <w:r>
        <w:rPr>
          <w:rStyle w:val="FootnoteReference"/>
        </w:rPr>
        <w:footnoteRef/>
      </w:r>
      <w:r>
        <w:t xml:space="preserve"> </w:t>
      </w:r>
      <w:r>
        <w:t xml:space="preserve">Ghanizada 2021, PMID 33772845.</w:t>
      </w:r>
    </w:p>
  </w:footnote>
  <w:footnote w:id="786">
    <w:p>
      <w:pPr>
        <w:pStyle w:val="FootnoteText"/>
      </w:pPr>
      <w:r>
        <w:rPr>
          <w:rStyle w:val="FootnoteReference"/>
        </w:rPr>
        <w:footnoteRef/>
      </w:r>
      <w:r>
        <w:t xml:space="preserve"> </w:t>
      </w:r>
      <w:r>
        <w:t xml:space="preserve">NCT07340788.</w:t>
      </w:r>
    </w:p>
  </w:footnote>
  <w:footnote w:id="787">
    <w:p>
      <w:pPr>
        <w:pStyle w:val="FootnoteText"/>
      </w:pPr>
      <w:r>
        <w:rPr>
          <w:rStyle w:val="FootnoteReference"/>
        </w:rPr>
        <w:footnoteRef/>
      </w:r>
      <w:r>
        <w:t xml:space="preserve"> </w:t>
      </w:r>
      <w:r>
        <w:t xml:space="preserve">NCT07340775.</w:t>
      </w:r>
    </w:p>
  </w:footnote>
  <w:footnote w:id="788">
    <w:p>
      <w:pPr>
        <w:pStyle w:val="FootnoteText"/>
      </w:pPr>
      <w:r>
        <w:rPr>
          <w:rStyle w:val="FootnoteReference"/>
        </w:rPr>
        <w:footnoteRef/>
      </w:r>
      <w:r>
        <w:t xml:space="preserve"> </w:t>
      </w:r>
      <w:r>
        <w:t xml:space="preserve">NCT07506369.</w:t>
      </w:r>
    </w:p>
  </w:footnote>
  <w:footnote w:id="789">
    <w:p>
      <w:pPr>
        <w:pStyle w:val="FootnoteText"/>
      </w:pPr>
      <w:r>
        <w:rPr>
          <w:rStyle w:val="FootnoteReference"/>
        </w:rPr>
        <w:footnoteRef/>
      </w:r>
      <w:r>
        <w:t xml:space="preserve"> </w:t>
      </w:r>
      <w:r>
        <w:t xml:space="preserve">Odabassian 2025, PMID 41174925.</w:t>
      </w:r>
    </w:p>
  </w:footnote>
  <w:footnote w:id="793">
    <w:p>
      <w:pPr>
        <w:pStyle w:val="FootnoteText"/>
      </w:pPr>
      <w:r>
        <w:rPr>
          <w:rStyle w:val="FootnoteReference"/>
        </w:rPr>
        <w:footnoteRef/>
      </w:r>
      <w:r>
        <w:t xml:space="preserve"> </w:t>
      </w:r>
      <w:r>
        <w:t xml:space="preserve">Markham 2021, PMID 33638809.</w:t>
      </w:r>
    </w:p>
  </w:footnote>
  <w:footnote w:id="796">
    <w:p>
      <w:pPr>
        <w:pStyle w:val="FootnoteText"/>
      </w:pPr>
      <w:r>
        <w:rPr>
          <w:rStyle w:val="FootnoteReference"/>
        </w:rPr>
        <w:footnoteRef/>
      </w:r>
      <w:r>
        <w:t xml:space="preserve"> </w:t>
      </w:r>
      <w:r>
        <w:t xml:space="preserve">Kühnen 2016, PMID 27468060.</w:t>
      </w:r>
    </w:p>
  </w:footnote>
  <w:footnote w:id="797">
    <w:p>
      <w:pPr>
        <w:pStyle w:val="FootnoteText"/>
      </w:pPr>
      <w:r>
        <w:rPr>
          <w:rStyle w:val="FootnoteReference"/>
        </w:rPr>
        <w:footnoteRef/>
      </w:r>
      <w:r>
        <w:t xml:space="preserve"> </w:t>
      </w:r>
      <w:r>
        <w:t xml:space="preserve">Clément 2018, PMID 29736023.</w:t>
      </w:r>
    </w:p>
  </w:footnote>
  <w:footnote w:id="798">
    <w:p>
      <w:pPr>
        <w:pStyle w:val="FootnoteText"/>
      </w:pPr>
      <w:r>
        <w:rPr>
          <w:rStyle w:val="FootnoteReference"/>
        </w:rPr>
        <w:footnoteRef/>
      </w:r>
      <w:r>
        <w:t xml:space="preserve"> </w:t>
      </w:r>
      <w:r>
        <w:t xml:space="preserve">Clément 2020, PMID 33137293.</w:t>
      </w:r>
    </w:p>
  </w:footnote>
  <w:footnote w:id="800">
    <w:p>
      <w:pPr>
        <w:pStyle w:val="FootnoteText"/>
      </w:pPr>
      <w:r>
        <w:rPr>
          <w:rStyle w:val="FootnoteReference"/>
        </w:rPr>
        <w:footnoteRef/>
      </w:r>
      <w:r>
        <w:t xml:space="preserve"> </w:t>
      </w:r>
      <w:r>
        <w:t xml:space="preserve">Haqq 2022, PMID 36356613.</w:t>
      </w:r>
    </w:p>
  </w:footnote>
  <w:footnote w:id="801">
    <w:p>
      <w:pPr>
        <w:pStyle w:val="FootnoteText"/>
      </w:pPr>
      <w:r>
        <w:rPr>
          <w:rStyle w:val="FootnoteReference"/>
        </w:rPr>
        <w:footnoteRef/>
      </w:r>
      <w:r>
        <w:t xml:space="preserve"> </w:t>
      </w:r>
      <w:r>
        <w:t xml:space="preserve">Argente 2026, PMID 41703984.</w:t>
      </w:r>
    </w:p>
  </w:footnote>
  <w:footnote w:id="803">
    <w:p>
      <w:pPr>
        <w:pStyle w:val="FootnoteText"/>
      </w:pPr>
      <w:r>
        <w:rPr>
          <w:rStyle w:val="FootnoteReference"/>
        </w:rPr>
        <w:footnoteRef/>
      </w:r>
      <w:r>
        <w:t xml:space="preserve"> </w:t>
      </w:r>
      <w:r>
        <w:t xml:space="preserve">Argente 2025, PMID 39549719.</w:t>
      </w:r>
    </w:p>
  </w:footnote>
  <w:footnote w:id="805">
    <w:p>
      <w:pPr>
        <w:pStyle w:val="FootnoteText"/>
      </w:pPr>
      <w:r>
        <w:rPr>
          <w:rStyle w:val="FootnoteReference"/>
        </w:rPr>
        <w:footnoteRef/>
      </w:r>
      <w:r>
        <w:t xml:space="preserve"> </w:t>
      </w:r>
      <w:r>
        <w:t xml:space="preserve">Roth 2024, PMID 38697184.</w:t>
      </w:r>
    </w:p>
  </w:footnote>
  <w:footnote w:id="806">
    <w:p>
      <w:pPr>
        <w:pStyle w:val="FootnoteText"/>
      </w:pPr>
      <w:r>
        <w:rPr>
          <w:rStyle w:val="FootnoteReference"/>
        </w:rPr>
        <w:footnoteRef/>
      </w:r>
      <w:r>
        <w:t xml:space="preserve"> </w:t>
      </w:r>
      <w:r>
        <w:t xml:space="preserve">Miller 2026, PMID 42418774.</w:t>
      </w:r>
    </w:p>
  </w:footnote>
  <w:footnote w:id="808">
    <w:p>
      <w:pPr>
        <w:pStyle w:val="FootnoteText"/>
      </w:pPr>
      <w:r>
        <w:rPr>
          <w:rStyle w:val="FootnoteReference"/>
        </w:rPr>
        <w:footnoteRef/>
      </w:r>
      <w:r>
        <w:t xml:space="preserve"> </w:t>
      </w:r>
      <w:r>
        <w:t xml:space="preserve">Collet 2017, PMID 29031731.</w:t>
      </w:r>
    </w:p>
  </w:footnote>
  <w:footnote w:id="809">
    <w:p>
      <w:pPr>
        <w:pStyle w:val="FootnoteText"/>
      </w:pPr>
      <w:r>
        <w:rPr>
          <w:rStyle w:val="FootnoteReference"/>
        </w:rPr>
        <w:footnoteRef/>
      </w:r>
      <w:r>
        <w:t xml:space="preserve"> </w:t>
      </w:r>
      <w:r>
        <w:t xml:space="preserve">NCT05093634.</w:t>
      </w:r>
    </w:p>
  </w:footnote>
  <w:footnote w:id="812">
    <w:p>
      <w:pPr>
        <w:pStyle w:val="FootnoteText"/>
      </w:pPr>
      <w:r>
        <w:rPr>
          <w:rStyle w:val="FootnoteReference"/>
        </w:rPr>
        <w:footnoteRef/>
      </w:r>
      <w:r>
        <w:t xml:space="preserve"> </w:t>
      </w:r>
      <w:r>
        <w:t xml:space="preserve">Collet 2017, PMID 29031731.</w:t>
      </w:r>
    </w:p>
  </w:footnote>
  <w:footnote w:id="814">
    <w:p>
      <w:pPr>
        <w:pStyle w:val="FootnoteText"/>
      </w:pPr>
      <w:r>
        <w:rPr>
          <w:rStyle w:val="FootnoteReference"/>
        </w:rPr>
        <w:footnoteRef/>
      </w:r>
      <w:r>
        <w:t xml:space="preserve"> </w:t>
      </w:r>
      <w:r>
        <w:t xml:space="preserve">Sridharan 2026, PMID 39924461.</w:t>
      </w:r>
    </w:p>
  </w:footnote>
  <w:footnote w:id="815">
    <w:p>
      <w:pPr>
        <w:pStyle w:val="FootnoteText"/>
      </w:pPr>
      <w:r>
        <w:rPr>
          <w:rStyle w:val="FootnoteReference"/>
        </w:rPr>
        <w:footnoteRef/>
      </w:r>
      <w:r>
        <w:t xml:space="preserve"> </w:t>
      </w:r>
      <w:r>
        <w:t xml:space="preserve">Kanti 2021, PMID 34058738.</w:t>
      </w:r>
    </w:p>
  </w:footnote>
  <w:footnote w:id="816">
    <w:p>
      <w:pPr>
        <w:pStyle w:val="FootnoteText"/>
      </w:pPr>
      <w:r>
        <w:rPr>
          <w:rStyle w:val="FootnoteReference"/>
        </w:rPr>
        <w:footnoteRef/>
      </w:r>
      <w:r>
        <w:t xml:space="preserve"> </w:t>
      </w:r>
      <w:r>
        <w:t xml:space="preserve">Sridharan 2026, PMID 39924461.</w:t>
      </w:r>
    </w:p>
  </w:footnote>
  <w:footnote w:id="817">
    <w:p>
      <w:pPr>
        <w:pStyle w:val="FootnoteText"/>
      </w:pPr>
      <w:r>
        <w:rPr>
          <w:rStyle w:val="FootnoteReference"/>
        </w:rPr>
        <w:footnoteRef/>
      </w:r>
      <w:r>
        <w:t xml:space="preserve"> </w:t>
      </w:r>
      <w:r>
        <w:t xml:space="preserve">Miller 2026, PMID 42418774.</w:t>
      </w:r>
    </w:p>
  </w:footnote>
  <w:footnote w:id="818">
    <w:p>
      <w:pPr>
        <w:pStyle w:val="FootnoteText"/>
      </w:pPr>
      <w:r>
        <w:rPr>
          <w:rStyle w:val="FootnoteReference"/>
        </w:rPr>
        <w:footnoteRef/>
      </w:r>
      <w:r>
        <w:t xml:space="preserve"> </w:t>
      </w:r>
      <w:r>
        <w:t xml:space="preserve">Haqq 2022, PMID 36356613.</w:t>
      </w:r>
    </w:p>
  </w:footnote>
  <w:footnote w:id="821">
    <w:p>
      <w:pPr>
        <w:pStyle w:val="FootnoteText"/>
      </w:pPr>
      <w:r>
        <w:rPr>
          <w:rStyle w:val="FootnoteReference"/>
        </w:rPr>
        <w:footnoteRef/>
      </w:r>
      <w:r>
        <w:t xml:space="preserve"> </w:t>
      </w:r>
      <w:r>
        <w:t xml:space="preserve">NCT05774756.</w:t>
      </w:r>
    </w:p>
  </w:footnote>
  <w:footnote w:id="822">
    <w:p>
      <w:pPr>
        <w:pStyle w:val="FootnoteText"/>
      </w:pPr>
      <w:r>
        <w:rPr>
          <w:rStyle w:val="FootnoteReference"/>
        </w:rPr>
        <w:footnoteRef/>
      </w:r>
      <w:r>
        <w:t xml:space="preserve"> </w:t>
      </w:r>
      <w:r>
        <w:t xml:space="preserve">NCT06760546.</w:t>
      </w:r>
    </w:p>
  </w:footnote>
  <w:footnote w:id="823">
    <w:p>
      <w:pPr>
        <w:pStyle w:val="FootnoteText"/>
      </w:pPr>
      <w:r>
        <w:rPr>
          <w:rStyle w:val="FootnoteReference"/>
        </w:rPr>
        <w:footnoteRef/>
      </w:r>
      <w:r>
        <w:t xml:space="preserve"> </w:t>
      </w:r>
      <w:r>
        <w:t xml:space="preserve">NCT06772597.</w:t>
      </w:r>
    </w:p>
  </w:footnote>
  <w:footnote w:id="824">
    <w:p>
      <w:pPr>
        <w:pStyle w:val="FootnoteText"/>
      </w:pPr>
      <w:r>
        <w:rPr>
          <w:rStyle w:val="FootnoteReference"/>
        </w:rPr>
        <w:footnoteRef/>
      </w:r>
      <w:r>
        <w:t xml:space="preserve"> </w:t>
      </w:r>
      <w:r>
        <w:t xml:space="preserve">NCT07674290.</w:t>
      </w:r>
    </w:p>
  </w:footnote>
  <w:footnote w:id="825">
    <w:p>
      <w:pPr>
        <w:pStyle w:val="FootnoteText"/>
      </w:pPr>
      <w:r>
        <w:rPr>
          <w:rStyle w:val="FootnoteReference"/>
        </w:rPr>
        <w:footnoteRef/>
      </w:r>
      <w:r>
        <w:t xml:space="preserve"> </w:t>
      </w:r>
      <w:r>
        <w:t xml:space="preserve">NCT05093634.</w:t>
      </w:r>
    </w:p>
  </w:footnote>
  <w:footnote w:id="826">
    <w:p>
      <w:pPr>
        <w:pStyle w:val="FootnoteText"/>
      </w:pPr>
      <w:r>
        <w:rPr>
          <w:rStyle w:val="FootnoteReference"/>
        </w:rPr>
        <w:footnoteRef/>
      </w:r>
      <w:r>
        <w:t xml:space="preserve"> </w:t>
      </w:r>
      <w:r>
        <w:t xml:space="preserve">NCT04963231.</w:t>
      </w:r>
    </w:p>
  </w:footnote>
  <w:footnote w:id="830">
    <w:p>
      <w:pPr>
        <w:pStyle w:val="FootnoteText"/>
      </w:pPr>
      <w:r>
        <w:rPr>
          <w:rStyle w:val="FootnoteReference"/>
        </w:rPr>
        <w:footnoteRef/>
      </w:r>
      <w:r>
        <w:t xml:space="preserve"> </w:t>
      </w:r>
      <w:r>
        <w:t xml:space="preserve">Cox 2015, PMID 25208511.</w:t>
      </w:r>
    </w:p>
  </w:footnote>
  <w:footnote w:id="832">
    <w:p>
      <w:pPr>
        <w:pStyle w:val="FootnoteText"/>
      </w:pPr>
      <w:r>
        <w:rPr>
          <w:rStyle w:val="FootnoteReference"/>
        </w:rPr>
        <w:footnoteRef/>
      </w:r>
      <w:r>
        <w:t xml:space="preserve"> </w:t>
      </w:r>
      <w:r>
        <w:t xml:space="preserve">Wade 1982, PMID 6751009.</w:t>
      </w:r>
    </w:p>
  </w:footnote>
  <w:footnote w:id="833">
    <w:p>
      <w:pPr>
        <w:pStyle w:val="FootnoteText"/>
      </w:pPr>
      <w:r>
        <w:rPr>
          <w:rStyle w:val="FootnoteReference"/>
        </w:rPr>
        <w:footnoteRef/>
      </w:r>
      <w:r>
        <w:t xml:space="preserve"> </w:t>
      </w:r>
      <w:r>
        <w:t xml:space="preserve">Heffernan 2001, PMID 11673763.</w:t>
      </w:r>
    </w:p>
  </w:footnote>
  <w:footnote w:id="834">
    <w:p>
      <w:pPr>
        <w:pStyle w:val="FootnoteText"/>
      </w:pPr>
      <w:r>
        <w:rPr>
          <w:rStyle w:val="FootnoteReference"/>
        </w:rPr>
        <w:footnoteRef/>
      </w:r>
      <w:r>
        <w:t xml:space="preserve"> </w:t>
      </w:r>
      <w:r>
        <w:t xml:space="preserve">Heffernan 2001, PMID 11713213.</w:t>
      </w:r>
    </w:p>
  </w:footnote>
  <w:footnote w:id="836">
    <w:p>
      <w:pPr>
        <w:pStyle w:val="FootnoteText"/>
      </w:pPr>
      <w:r>
        <w:rPr>
          <w:rStyle w:val="FootnoteReference"/>
        </w:rPr>
        <w:footnoteRef/>
      </w:r>
      <w:r>
        <w:t xml:space="preserve"> </w:t>
      </w:r>
      <w:r>
        <w:t xml:space="preserve">Wilding 2004, PMID 15134286; Halford 2006, PMID 16625817.</w:t>
      </w:r>
    </w:p>
  </w:footnote>
  <w:footnote w:id="838">
    <w:p>
      <w:pPr>
        <w:pStyle w:val="FootnoteText"/>
      </w:pPr>
      <w:r>
        <w:rPr>
          <w:rStyle w:val="FootnoteReference"/>
        </w:rPr>
        <w:footnoteRef/>
      </w:r>
      <w:r>
        <w:t xml:space="preserve"> </w:t>
      </w:r>
      <w:r>
        <w:t xml:space="preserve">Ng 2000, PMID 11146367.</w:t>
      </w:r>
    </w:p>
  </w:footnote>
  <w:footnote w:id="839">
    <w:p>
      <w:pPr>
        <w:pStyle w:val="FootnoteText"/>
      </w:pPr>
      <w:r>
        <w:rPr>
          <w:rStyle w:val="FootnoteReference"/>
        </w:rPr>
        <w:footnoteRef/>
      </w:r>
      <w:r>
        <w:t xml:space="preserve"> </w:t>
      </w:r>
      <w:r>
        <w:t xml:space="preserve">Heffernan 2001, PMID 11673763.</w:t>
      </w:r>
    </w:p>
  </w:footnote>
  <w:footnote w:id="840">
    <w:p>
      <w:pPr>
        <w:pStyle w:val="FootnoteText"/>
      </w:pPr>
      <w:r>
        <w:rPr>
          <w:rStyle w:val="FootnoteReference"/>
        </w:rPr>
        <w:footnoteRef/>
      </w:r>
      <w:r>
        <w:t xml:space="preserve"> </w:t>
      </w:r>
      <w:r>
        <w:t xml:space="preserve">Natera 1994, PMID 7987248.</w:t>
      </w:r>
    </w:p>
  </w:footnote>
  <w:footnote w:id="841">
    <w:p>
      <w:pPr>
        <w:pStyle w:val="FootnoteText"/>
      </w:pPr>
      <w:r>
        <w:rPr>
          <w:rStyle w:val="FootnoteReference"/>
        </w:rPr>
        <w:footnoteRef/>
      </w:r>
      <w:r>
        <w:t xml:space="preserve"> </w:t>
      </w:r>
      <w:r>
        <w:t xml:space="preserve">Kwon 2015, PMID 26275694.</w:t>
      </w:r>
    </w:p>
  </w:footnote>
  <w:footnote w:id="843">
    <w:p>
      <w:pPr>
        <w:pStyle w:val="FootnoteText"/>
      </w:pPr>
      <w:r>
        <w:rPr>
          <w:rStyle w:val="FootnoteReference"/>
        </w:rPr>
        <w:footnoteRef/>
      </w:r>
      <w:r>
        <w:t xml:space="preserve"> </w:t>
      </w:r>
      <w:r>
        <w:t xml:space="preserve">Cox 2015, PMID 25208511.</w:t>
      </w:r>
    </w:p>
  </w:footnote>
  <w:footnote w:id="844">
    <w:p>
      <w:pPr>
        <w:pStyle w:val="FootnoteText"/>
      </w:pPr>
      <w:r>
        <w:rPr>
          <w:rStyle w:val="FootnoteReference"/>
        </w:rPr>
        <w:footnoteRef/>
      </w:r>
      <w:r>
        <w:t xml:space="preserve"> </w:t>
      </w:r>
      <w:r>
        <w:t xml:space="preserve">Vanhee 2014, PMID 24976118.</w:t>
      </w:r>
    </w:p>
  </w:footnote>
  <w:footnote w:id="845">
    <w:p>
      <w:pPr>
        <w:pStyle w:val="FootnoteText"/>
      </w:pPr>
      <w:r>
        <w:rPr>
          <w:rStyle w:val="FootnoteReference"/>
        </w:rPr>
        <w:footnoteRef/>
      </w:r>
      <w:r>
        <w:t xml:space="preserve"> </w:t>
      </w:r>
      <w:r>
        <w:t xml:space="preserve">Mendias 2026, PMID 41966639; Dominikowski 2026, PMID 42395176.</w:t>
      </w:r>
    </w:p>
  </w:footnote>
  <w:footnote w:id="846">
    <w:p>
      <w:pPr>
        <w:pStyle w:val="FootnoteText"/>
      </w:pPr>
      <w:r>
        <w:rPr>
          <w:rStyle w:val="FootnoteReference"/>
        </w:rPr>
        <w:footnoteRef/>
      </w:r>
      <w:r>
        <w:t xml:space="preserve"> </w:t>
      </w:r>
      <w:r>
        <w:t xml:space="preserve">Coutinho 2026, PMID 41880199.</w:t>
      </w:r>
    </w:p>
  </w:footnote>
  <w:footnote w:id="847">
    <w:p>
      <w:pPr>
        <w:pStyle w:val="FootnoteText"/>
      </w:pPr>
      <w:r>
        <w:rPr>
          <w:rStyle w:val="FootnoteReference"/>
        </w:rPr>
        <w:footnoteRef/>
      </w:r>
      <w:r>
        <w:t xml:space="preserve"> </w:t>
      </w:r>
      <w:r>
        <w:t xml:space="preserve">Heffernan 2001, PMID 11673763.</w:t>
      </w:r>
    </w:p>
  </w:footnote>
  <w:footnote w:id="849">
    <w:p>
      <w:pPr>
        <w:pStyle w:val="FootnoteText"/>
      </w:pPr>
      <w:r>
        <w:rPr>
          <w:rStyle w:val="FootnoteReference"/>
        </w:rPr>
        <w:footnoteRef/>
      </w:r>
      <w:r>
        <w:t xml:space="preserve"> </w:t>
      </w:r>
      <w:r>
        <w:t xml:space="preserve">Cox 2015, PMID 25208511.</w:t>
      </w:r>
    </w:p>
  </w:footnote>
  <w:footnote w:id="850">
    <w:p>
      <w:pPr>
        <w:pStyle w:val="FootnoteText"/>
      </w:pPr>
      <w:r>
        <w:rPr>
          <w:rStyle w:val="FootnoteReference"/>
        </w:rPr>
        <w:footnoteRef/>
      </w:r>
      <w:r>
        <w:t xml:space="preserve"> </w:t>
      </w:r>
      <w:r>
        <w:t xml:space="preserve">Orlovius 2013, PMID 24124033.</w:t>
      </w:r>
    </w:p>
  </w:footnote>
  <w:footnote w:id="856">
    <w:p>
      <w:pPr>
        <w:pStyle w:val="FootnoteText"/>
      </w:pPr>
      <w:r>
        <w:rPr>
          <w:rStyle w:val="FootnoteReference"/>
        </w:rPr>
        <w:footnoteRef/>
      </w:r>
      <w:r>
        <w:t xml:space="preserve"> </w:t>
      </w:r>
      <w:r>
        <w:t xml:space="preserve">Rosenstock 2026, PMID 41765029.</w:t>
      </w:r>
    </w:p>
  </w:footnote>
  <w:footnote w:id="858">
    <w:p>
      <w:pPr>
        <w:pStyle w:val="FootnoteText"/>
      </w:pPr>
      <w:r>
        <w:rPr>
          <w:rStyle w:val="FootnoteReference"/>
        </w:rPr>
        <w:footnoteRef/>
      </w:r>
      <w:r>
        <w:t xml:space="preserve"> </w:t>
      </w:r>
      <w:r>
        <w:t xml:space="preserve">Rosenstock 2025, PMID 40808573.</w:t>
      </w:r>
    </w:p>
  </w:footnote>
  <w:footnote w:id="860">
    <w:p>
      <w:pPr>
        <w:pStyle w:val="FootnoteText"/>
      </w:pPr>
      <w:r>
        <w:rPr>
          <w:rStyle w:val="FootnoteReference"/>
        </w:rPr>
        <w:footnoteRef/>
      </w:r>
      <w:r>
        <w:t xml:space="preserve"> </w:t>
      </w:r>
      <w:r>
        <w:t xml:space="preserve">Wharton 2025, PMID 40960239.</w:t>
      </w:r>
    </w:p>
  </w:footnote>
  <w:footnote w:id="861">
    <w:p>
      <w:pPr>
        <w:pStyle w:val="FootnoteText"/>
      </w:pPr>
      <w:r>
        <w:rPr>
          <w:rStyle w:val="FootnoteReference"/>
        </w:rPr>
        <w:footnoteRef/>
      </w:r>
      <w:r>
        <w:t xml:space="preserve"> </w:t>
      </w:r>
      <w:r>
        <w:t xml:space="preserve">Wharton 2023, PMID 37351564.</w:t>
      </w:r>
    </w:p>
  </w:footnote>
  <w:footnote w:id="862">
    <w:p>
      <w:pPr>
        <w:pStyle w:val="FootnoteText"/>
      </w:pPr>
      <w:r>
        <w:rPr>
          <w:rStyle w:val="FootnoteReference"/>
        </w:rPr>
        <w:footnoteRef/>
      </w:r>
      <w:r>
        <w:t xml:space="preserve"> </w:t>
      </w:r>
      <w:r>
        <w:t xml:space="preserve">Horn 2026, PMID 41275875.</w:t>
      </w:r>
    </w:p>
  </w:footnote>
  <w:footnote w:id="863">
    <w:p>
      <w:pPr>
        <w:pStyle w:val="FootnoteText"/>
      </w:pPr>
      <w:r>
        <w:rPr>
          <w:rStyle w:val="FootnoteReference"/>
        </w:rPr>
        <w:footnoteRef/>
      </w:r>
      <w:r>
        <w:t xml:space="preserve"> </w:t>
      </w:r>
      <w:r>
        <w:t xml:space="preserve">Aronne 2026, PMID 42120723.</w:t>
      </w:r>
    </w:p>
  </w:footnote>
  <w:footnote w:id="865">
    <w:p>
      <w:pPr>
        <w:pStyle w:val="FootnoteText"/>
      </w:pPr>
      <w:r>
        <w:rPr>
          <w:rStyle w:val="FootnoteReference"/>
        </w:rPr>
        <w:footnoteRef/>
      </w:r>
      <w:r>
        <w:t xml:space="preserve"> </w:t>
      </w:r>
      <w:r>
        <w:t xml:space="preserve">Rosenstock 2025, PMID 40544435.</w:t>
      </w:r>
    </w:p>
  </w:footnote>
  <w:footnote w:id="866">
    <w:p>
      <w:pPr>
        <w:pStyle w:val="FootnoteText"/>
      </w:pPr>
      <w:r>
        <w:rPr>
          <w:rStyle w:val="FootnoteReference"/>
        </w:rPr>
        <w:footnoteRef/>
      </w:r>
      <w:r>
        <w:t xml:space="preserve"> </w:t>
      </w:r>
      <w:r>
        <w:t xml:space="preserve">Welch 2026, PMID 42259339.</w:t>
      </w:r>
    </w:p>
  </w:footnote>
  <w:footnote w:id="867">
    <w:p>
      <w:pPr>
        <w:pStyle w:val="FootnoteText"/>
      </w:pPr>
      <w:r>
        <w:rPr>
          <w:rStyle w:val="FootnoteReference"/>
        </w:rPr>
        <w:footnoteRef/>
      </w:r>
      <w:r>
        <w:t xml:space="preserve"> </w:t>
      </w:r>
      <w:r>
        <w:t xml:space="preserve">Rosenstock 2026, PMID 41765029.</w:t>
      </w:r>
    </w:p>
  </w:footnote>
  <w:footnote w:id="868">
    <w:p>
      <w:pPr>
        <w:pStyle w:val="FootnoteText"/>
      </w:pPr>
      <w:r>
        <w:rPr>
          <w:rStyle w:val="FootnoteReference"/>
        </w:rPr>
        <w:footnoteRef/>
      </w:r>
      <w:r>
        <w:t xml:space="preserve"> </w:t>
      </w:r>
      <w:r>
        <w:t xml:space="preserve">Klein 2026, PMID 42815506.</w:t>
      </w:r>
    </w:p>
  </w:footnote>
  <w:footnote w:id="871">
    <w:p>
      <w:pPr>
        <w:pStyle w:val="FootnoteText"/>
      </w:pPr>
      <w:r>
        <w:rPr>
          <w:rStyle w:val="FootnoteReference"/>
        </w:rPr>
        <w:footnoteRef/>
      </w:r>
      <w:r>
        <w:t xml:space="preserve"> </w:t>
      </w:r>
      <w:r>
        <w:t xml:space="preserve">NCT05469126, NCT05573230, NCT06370728, NCT06704763.</w:t>
      </w:r>
    </w:p>
  </w:footnote>
  <w:footnote w:id="873">
    <w:p>
      <w:pPr>
        <w:pStyle w:val="FootnoteText"/>
      </w:pPr>
      <w:r>
        <w:rPr>
          <w:rStyle w:val="FootnoteReference"/>
        </w:rPr>
        <w:footnoteRef/>
      </w:r>
      <w:r>
        <w:t xml:space="preserve"> </w:t>
      </w:r>
      <w:r>
        <w:t xml:space="preserve">Klein 2026, PMID 42815506.</w:t>
      </w:r>
    </w:p>
  </w:footnote>
  <w:footnote w:id="874">
    <w:p>
      <w:pPr>
        <w:pStyle w:val="FootnoteText"/>
      </w:pPr>
      <w:r>
        <w:rPr>
          <w:rStyle w:val="FootnoteReference"/>
        </w:rPr>
        <w:footnoteRef/>
      </w:r>
      <w:r>
        <w:t xml:space="preserve"> </w:t>
      </w:r>
      <w:r>
        <w:t xml:space="preserve">Wharton 2025, PMID 40960239.</w:t>
      </w:r>
    </w:p>
  </w:footnote>
  <w:footnote w:id="875">
    <w:p>
      <w:pPr>
        <w:pStyle w:val="FootnoteText"/>
      </w:pPr>
      <w:r>
        <w:rPr>
          <w:rStyle w:val="FootnoteReference"/>
        </w:rPr>
        <w:footnoteRef/>
      </w:r>
      <w:r>
        <w:t xml:space="preserve"> </w:t>
      </w:r>
      <w:r>
        <w:t xml:space="preserve">Rosenstock 2026, PMID 41765029.</w:t>
      </w:r>
    </w:p>
  </w:footnote>
  <w:footnote w:id="876">
    <w:p>
      <w:pPr>
        <w:pStyle w:val="FootnoteText"/>
      </w:pPr>
      <w:r>
        <w:rPr>
          <w:rStyle w:val="FootnoteReference"/>
        </w:rPr>
        <w:footnoteRef/>
      </w:r>
      <w:r>
        <w:t xml:space="preserve"> </w:t>
      </w:r>
      <w:r>
        <w:t xml:space="preserve">Rosenstock 2026, PMID 41765029.</w:t>
      </w:r>
    </w:p>
  </w:footnote>
  <w:footnote w:id="877">
    <w:p>
      <w:pPr>
        <w:pStyle w:val="FootnoteText"/>
      </w:pPr>
      <w:r>
        <w:rPr>
          <w:rStyle w:val="FootnoteReference"/>
        </w:rPr>
        <w:footnoteRef/>
      </w:r>
      <w:r>
        <w:t xml:space="preserve"> </w:t>
      </w:r>
      <w:r>
        <w:t xml:space="preserve">Klein 2026, PMID 42815506.</w:t>
      </w:r>
    </w:p>
  </w:footnote>
  <w:footnote w:id="878">
    <w:p>
      <w:pPr>
        <w:pStyle w:val="FootnoteText"/>
      </w:pPr>
      <w:r>
        <w:rPr>
          <w:rStyle w:val="FootnoteReference"/>
        </w:rPr>
        <w:footnoteRef/>
      </w:r>
      <w:r>
        <w:t xml:space="preserve"> </w:t>
      </w:r>
      <w:r>
        <w:t xml:space="preserve">NCT07241390.</w:t>
      </w:r>
    </w:p>
  </w:footnote>
  <w:footnote w:id="879">
    <w:p>
      <w:pPr>
        <w:pStyle w:val="FootnoteText"/>
      </w:pPr>
      <w:r>
        <w:rPr>
          <w:rStyle w:val="FootnoteReference"/>
        </w:rPr>
        <w:footnoteRef/>
      </w:r>
      <w:r>
        <w:t xml:space="preserve"> </w:t>
      </w:r>
      <w:r>
        <w:t xml:space="preserve">Wharton 2026, PMID 42338042.</w:t>
      </w:r>
    </w:p>
  </w:footnote>
  <w:footnote w:id="882">
    <w:p>
      <w:pPr>
        <w:pStyle w:val="FootnoteText"/>
      </w:pPr>
      <w:r>
        <w:rPr>
          <w:rStyle w:val="FootnoteReference"/>
        </w:rPr>
        <w:footnoteRef/>
      </w:r>
      <w:r>
        <w:t xml:space="preserve"> </w:t>
      </w:r>
      <w:r>
        <w:t xml:space="preserve">NCT07223593.</w:t>
      </w:r>
    </w:p>
  </w:footnote>
  <w:footnote w:id="883">
    <w:p>
      <w:pPr>
        <w:pStyle w:val="FootnoteText"/>
      </w:pPr>
      <w:r>
        <w:rPr>
          <w:rStyle w:val="FootnoteReference"/>
        </w:rPr>
        <w:footnoteRef/>
      </w:r>
      <w:r>
        <w:t xml:space="preserve"> </w:t>
      </w:r>
      <w:r>
        <w:t xml:space="preserve">NCT06948422, NCT06948435, NCT06952530.</w:t>
      </w:r>
    </w:p>
  </w:footnote>
  <w:footnote w:id="884">
    <w:p>
      <w:pPr>
        <w:pStyle w:val="FootnoteText"/>
      </w:pPr>
      <w:r>
        <w:rPr>
          <w:rStyle w:val="FootnoteReference"/>
        </w:rPr>
        <w:footnoteRef/>
      </w:r>
      <w:r>
        <w:t xml:space="preserve"> </w:t>
      </w:r>
      <w:r>
        <w:t xml:space="preserve">NCT07153471.</w:t>
      </w:r>
    </w:p>
  </w:footnote>
  <w:footnote w:id="885">
    <w:p>
      <w:pPr>
        <w:pStyle w:val="FootnoteText"/>
      </w:pPr>
      <w:r>
        <w:rPr>
          <w:rStyle w:val="FootnoteReference"/>
        </w:rPr>
        <w:footnoteRef/>
      </w:r>
      <w:r>
        <w:t xml:space="preserve"> </w:t>
      </w:r>
      <w:r>
        <w:t xml:space="preserve">NCT07202884.</w:t>
      </w:r>
    </w:p>
  </w:footnote>
  <w:footnote w:id="886">
    <w:p>
      <w:pPr>
        <w:pStyle w:val="FootnoteText"/>
      </w:pPr>
      <w:r>
        <w:rPr>
          <w:rStyle w:val="FootnoteReference"/>
        </w:rPr>
        <w:footnoteRef/>
      </w:r>
      <w:r>
        <w:t xml:space="preserve"> </w:t>
      </w:r>
      <w:r>
        <w:t xml:space="preserve">NCT06672939.</w:t>
      </w:r>
    </w:p>
  </w:footnote>
  <w:footnote w:id="887">
    <w:p>
      <w:pPr>
        <w:pStyle w:val="FootnoteText"/>
      </w:pPr>
      <w:r>
        <w:rPr>
          <w:rStyle w:val="FootnoteReference"/>
        </w:rPr>
        <w:footnoteRef/>
      </w:r>
      <w:r>
        <w:t xml:space="preserve"> </w:t>
      </w:r>
      <w:r>
        <w:t xml:space="preserve">NCT07668336.</w:t>
      </w:r>
    </w:p>
  </w:footnote>
  <w:footnote w:id="888">
    <w:p>
      <w:pPr>
        <w:pStyle w:val="FootnoteText"/>
      </w:pPr>
      <w:r>
        <w:rPr>
          <w:rStyle w:val="FootnoteReference"/>
        </w:rPr>
        <w:footnoteRef/>
      </w:r>
      <w:r>
        <w:t xml:space="preserve"> </w:t>
      </w:r>
      <w:r>
        <w:t xml:space="preserve">NCT06649045.</w:t>
      </w:r>
    </w:p>
  </w:footnote>
  <w:footnote w:id="896">
    <w:p>
      <w:pPr>
        <w:pStyle w:val="FootnoteText"/>
      </w:pPr>
      <w:r>
        <w:rPr>
          <w:rStyle w:val="FootnoteReference"/>
        </w:rPr>
        <w:footnoteRef/>
      </w:r>
      <w:r>
        <w:t xml:space="preserve"> </w:t>
      </w:r>
      <w:r>
        <w:t xml:space="preserve">Cox 2017, PMID 28035768.</w:t>
      </w:r>
    </w:p>
  </w:footnote>
  <w:footnote w:id="898">
    <w:p>
      <w:pPr>
        <w:pStyle w:val="FootnoteText"/>
      </w:pPr>
      <w:r>
        <w:rPr>
          <w:rStyle w:val="FootnoteReference"/>
        </w:rPr>
        <w:footnoteRef/>
      </w:r>
      <w:r>
        <w:t xml:space="preserve"> </w:t>
      </w:r>
      <w:r>
        <w:t xml:space="preserve">Hsieh 2017, PMID 27847966.</w:t>
      </w:r>
    </w:p>
  </w:footnote>
  <w:footnote w:id="899">
    <w:p>
      <w:pPr>
        <w:pStyle w:val="FootnoteText"/>
      </w:pPr>
      <w:r>
        <w:rPr>
          <w:rStyle w:val="FootnoteReference"/>
        </w:rPr>
        <w:footnoteRef/>
      </w:r>
      <w:r>
        <w:t xml:space="preserve"> </w:t>
      </w:r>
      <w:r>
        <w:t xml:space="preserve">Zhang 2026, PMID 41606641.</w:t>
      </w:r>
    </w:p>
  </w:footnote>
  <w:footnote w:id="900">
    <w:p>
      <w:pPr>
        <w:pStyle w:val="FootnoteText"/>
      </w:pPr>
      <w:r>
        <w:rPr>
          <w:rStyle w:val="FootnoteReference"/>
        </w:rPr>
        <w:footnoteRef/>
      </w:r>
      <w:r>
        <w:t xml:space="preserve"> </w:t>
      </w:r>
      <w:r>
        <w:t xml:space="preserve">Chang 2011, PMID 21030672.</w:t>
      </w:r>
    </w:p>
  </w:footnote>
  <w:footnote w:id="901">
    <w:p>
      <w:pPr>
        <w:pStyle w:val="FootnoteText"/>
      </w:pPr>
      <w:r>
        <w:rPr>
          <w:rStyle w:val="FootnoteReference"/>
        </w:rPr>
        <w:footnoteRef/>
      </w:r>
      <w:r>
        <w:t xml:space="preserve"> </w:t>
      </w:r>
      <w:r>
        <w:t xml:space="preserve">Chang 2014, PMID 25415472.</w:t>
      </w:r>
    </w:p>
  </w:footnote>
  <w:footnote w:id="902">
    <w:p>
      <w:pPr>
        <w:pStyle w:val="FootnoteText"/>
      </w:pPr>
      <w:r>
        <w:rPr>
          <w:rStyle w:val="FootnoteReference"/>
        </w:rPr>
        <w:footnoteRef/>
      </w:r>
      <w:r>
        <w:t xml:space="preserve"> </w:t>
      </w:r>
      <w:r>
        <w:t xml:space="preserve">Sikiric 2025, PMID 40573323.</w:t>
      </w:r>
    </w:p>
  </w:footnote>
  <w:footnote w:id="903">
    <w:p>
      <w:pPr>
        <w:pStyle w:val="FootnoteText"/>
      </w:pPr>
      <w:r>
        <w:rPr>
          <w:rStyle w:val="FootnoteReference"/>
        </w:rPr>
        <w:footnoteRef/>
      </w:r>
      <w:r>
        <w:t xml:space="preserve"> </w:t>
      </w:r>
      <w:r>
        <w:t xml:space="preserve">Mateescu 2026, PMID 42198317.</w:t>
      </w:r>
    </w:p>
  </w:footnote>
  <w:footnote w:id="905">
    <w:p>
      <w:pPr>
        <w:pStyle w:val="FootnoteText"/>
      </w:pPr>
      <w:r>
        <w:rPr>
          <w:rStyle w:val="FootnoteReference"/>
        </w:rPr>
        <w:footnoteRef/>
      </w:r>
      <w:r>
        <w:t xml:space="preserve"> </w:t>
      </w:r>
      <w:r>
        <w:t xml:space="preserve">Poolton 2026, PMID 42885452.</w:t>
      </w:r>
    </w:p>
  </w:footnote>
  <w:footnote w:id="906">
    <w:p>
      <w:pPr>
        <w:pStyle w:val="FootnoteText"/>
      </w:pPr>
      <w:r>
        <w:rPr>
          <w:rStyle w:val="FootnoteReference"/>
        </w:rPr>
        <w:footnoteRef/>
      </w:r>
      <w:r>
        <w:t xml:space="preserve"> </w:t>
      </w:r>
      <w:r>
        <w:t xml:space="preserve">Lee 2021, PMID 34324435.</w:t>
      </w:r>
    </w:p>
  </w:footnote>
  <w:footnote w:id="907">
    <w:p>
      <w:pPr>
        <w:pStyle w:val="FootnoteText"/>
      </w:pPr>
      <w:r>
        <w:rPr>
          <w:rStyle w:val="FootnoteReference"/>
        </w:rPr>
        <w:footnoteRef/>
      </w:r>
      <w:r>
        <w:t xml:space="preserve"> </w:t>
      </w:r>
      <w:r>
        <w:t xml:space="preserve">Lee 2024, PMID 39325560.</w:t>
      </w:r>
    </w:p>
  </w:footnote>
  <w:footnote w:id="908">
    <w:p>
      <w:pPr>
        <w:pStyle w:val="FootnoteText"/>
      </w:pPr>
      <w:r>
        <w:rPr>
          <w:rStyle w:val="FootnoteReference"/>
        </w:rPr>
        <w:footnoteRef/>
      </w:r>
      <w:r>
        <w:t xml:space="preserve"> </w:t>
      </w:r>
      <w:r>
        <w:t xml:space="preserve">Lee 2025, PMID 40131143.</w:t>
      </w:r>
    </w:p>
  </w:footnote>
  <w:footnote w:id="909">
    <w:p>
      <w:pPr>
        <w:pStyle w:val="FootnoteText"/>
      </w:pPr>
      <w:r>
        <w:rPr>
          <w:rStyle w:val="FootnoteReference"/>
        </w:rPr>
        <w:footnoteRef/>
      </w:r>
      <w:r>
        <w:t xml:space="preserve"> </w:t>
      </w:r>
      <w:r>
        <w:t xml:space="preserve">Poolton 2026, PMID 42885452.</w:t>
      </w:r>
    </w:p>
  </w:footnote>
  <w:footnote w:id="910">
    <w:p>
      <w:pPr>
        <w:pStyle w:val="FootnoteText"/>
      </w:pPr>
      <w:r>
        <w:rPr>
          <w:rStyle w:val="FootnoteReference"/>
        </w:rPr>
        <w:footnoteRef/>
      </w:r>
      <w:r>
        <w:t xml:space="preserve"> </w:t>
      </w:r>
      <w:r>
        <w:t xml:space="preserve">Vasireddi 2025, PMID 40756949.</w:t>
      </w:r>
    </w:p>
  </w:footnote>
  <w:footnote w:id="911">
    <w:p>
      <w:pPr>
        <w:pStyle w:val="FootnoteText"/>
      </w:pPr>
      <w:r>
        <w:rPr>
          <w:rStyle w:val="FootnoteReference"/>
        </w:rPr>
        <w:footnoteRef/>
      </w:r>
      <w:r>
        <w:t xml:space="preserve"> </w:t>
      </w:r>
      <w:r>
        <w:t xml:space="preserve">Tham 2026, PMID 42937313; Tewari 2026, PMID 42578445.</w:t>
      </w:r>
    </w:p>
  </w:footnote>
  <w:footnote w:id="913">
    <w:p>
      <w:pPr>
        <w:pStyle w:val="FootnoteText"/>
      </w:pPr>
      <w:r>
        <w:rPr>
          <w:rStyle w:val="FootnoteReference"/>
        </w:rPr>
        <w:footnoteRef/>
      </w:r>
      <w:r>
        <w:t xml:space="preserve"> </w:t>
      </w:r>
      <w:r>
        <w:t xml:space="preserve">Staresinic 2003, PMID 14554208.</w:t>
      </w:r>
    </w:p>
  </w:footnote>
  <w:footnote w:id="914">
    <w:p>
      <w:pPr>
        <w:pStyle w:val="FootnoteText"/>
      </w:pPr>
      <w:r>
        <w:rPr>
          <w:rStyle w:val="FootnoteReference"/>
        </w:rPr>
        <w:footnoteRef/>
      </w:r>
      <w:r>
        <w:t xml:space="preserve"> </w:t>
      </w:r>
      <w:r>
        <w:t xml:space="preserve">Seiwerth 2021, PMID 34267654.</w:t>
      </w:r>
    </w:p>
  </w:footnote>
  <w:footnote w:id="915">
    <w:p>
      <w:pPr>
        <w:pStyle w:val="FootnoteText"/>
      </w:pPr>
      <w:r>
        <w:rPr>
          <w:rStyle w:val="FootnoteReference"/>
        </w:rPr>
        <w:footnoteRef/>
      </w:r>
      <w:r>
        <w:t xml:space="preserve"> </w:t>
      </w:r>
      <w:r>
        <w:t xml:space="preserve">NCT02637284.</w:t>
      </w:r>
    </w:p>
  </w:footnote>
  <w:footnote w:id="918">
    <w:p>
      <w:pPr>
        <w:pStyle w:val="FootnoteText"/>
      </w:pPr>
      <w:r>
        <w:rPr>
          <w:rStyle w:val="FootnoteReference"/>
        </w:rPr>
        <w:footnoteRef/>
      </w:r>
      <w:r>
        <w:t xml:space="preserve"> </w:t>
      </w:r>
      <w:r>
        <w:t xml:space="preserve">Gwyer 2019, PMID 30915550.</w:t>
      </w:r>
    </w:p>
  </w:footnote>
  <w:footnote w:id="919">
    <w:p>
      <w:pPr>
        <w:pStyle w:val="FootnoteText"/>
      </w:pPr>
      <w:r>
        <w:rPr>
          <w:rStyle w:val="FootnoteReference"/>
        </w:rPr>
        <w:footnoteRef/>
      </w:r>
      <w:r>
        <w:t xml:space="preserve"> </w:t>
      </w:r>
      <w:r>
        <w:t xml:space="preserve">Demirtaş 2026, PMID 42794771.</w:t>
      </w:r>
    </w:p>
  </w:footnote>
  <w:footnote w:id="920">
    <w:p>
      <w:pPr>
        <w:pStyle w:val="FootnoteText"/>
      </w:pPr>
      <w:r>
        <w:rPr>
          <w:rStyle w:val="FootnoteReference"/>
        </w:rPr>
        <w:footnoteRef/>
      </w:r>
      <w:r>
        <w:t xml:space="preserve"> </w:t>
      </w:r>
      <w:r>
        <w:t xml:space="preserve">Whitehouse 2025, PMID 40759852.</w:t>
      </w:r>
    </w:p>
  </w:footnote>
  <w:footnote w:id="923">
    <w:p>
      <w:pPr>
        <w:pStyle w:val="FootnoteText"/>
      </w:pPr>
      <w:r>
        <w:rPr>
          <w:rStyle w:val="FootnoteReference"/>
        </w:rPr>
        <w:footnoteRef/>
      </w:r>
      <w:r>
        <w:t xml:space="preserve"> </w:t>
      </w:r>
      <w:r>
        <w:t xml:space="preserve">He 2022, PMID 36588717.</w:t>
      </w:r>
    </w:p>
  </w:footnote>
  <w:footnote w:id="924">
    <w:p>
      <w:pPr>
        <w:pStyle w:val="FootnoteText"/>
      </w:pPr>
      <w:r>
        <w:rPr>
          <w:rStyle w:val="FootnoteReference"/>
        </w:rPr>
        <w:footnoteRef/>
      </w:r>
      <w:r>
        <w:t xml:space="preserve"> </w:t>
      </w:r>
      <w:r>
        <w:t xml:space="preserve">Xu 2020, PMID 32334036.</w:t>
      </w:r>
    </w:p>
  </w:footnote>
  <w:footnote w:id="927">
    <w:p>
      <w:pPr>
        <w:pStyle w:val="FootnoteText"/>
      </w:pPr>
      <w:r>
        <w:rPr>
          <w:rStyle w:val="FootnoteReference"/>
        </w:rPr>
        <w:footnoteRef/>
      </w:r>
      <w:r>
        <w:t xml:space="preserve"> </w:t>
      </w:r>
      <w:r>
        <w:t xml:space="preserve">Poolton 2026, PMID 42885452.</w:t>
      </w:r>
    </w:p>
  </w:footnote>
  <w:footnote w:id="929">
    <w:p>
      <w:pPr>
        <w:pStyle w:val="FootnoteText"/>
      </w:pPr>
      <w:r>
        <w:rPr>
          <w:rStyle w:val="FootnoteReference"/>
        </w:rPr>
        <w:footnoteRef/>
      </w:r>
      <w:r>
        <w:t xml:space="preserve"> </w:t>
      </w:r>
      <w:r>
        <w:t xml:space="preserve">Hsieh 2017, PMID 27847966.</w:t>
      </w:r>
    </w:p>
  </w:footnote>
  <w:footnote w:id="930">
    <w:p>
      <w:pPr>
        <w:pStyle w:val="FootnoteText"/>
      </w:pPr>
      <w:r>
        <w:rPr>
          <w:rStyle w:val="FootnoteReference"/>
        </w:rPr>
        <w:footnoteRef/>
      </w:r>
      <w:r>
        <w:t xml:space="preserve"> </w:t>
      </w:r>
      <w:r>
        <w:t xml:space="preserve">Moiz 2026, PMID 42757290.</w:t>
      </w:r>
    </w:p>
  </w:footnote>
  <w:footnote w:id="931">
    <w:p>
      <w:pPr>
        <w:pStyle w:val="FootnoteText"/>
      </w:pPr>
      <w:r>
        <w:rPr>
          <w:rStyle w:val="FootnoteReference"/>
        </w:rPr>
        <w:footnoteRef/>
      </w:r>
      <w:r>
        <w:t xml:space="preserve"> </w:t>
      </w:r>
      <w:r>
        <w:t xml:space="preserve">Sikiric 2025, PMID 40573323.</w:t>
      </w:r>
    </w:p>
  </w:footnote>
  <w:footnote w:id="933">
    <w:p>
      <w:pPr>
        <w:pStyle w:val="FootnoteText"/>
      </w:pPr>
      <w:r>
        <w:rPr>
          <w:rStyle w:val="FootnoteReference"/>
        </w:rPr>
        <w:footnoteRef/>
      </w:r>
      <w:r>
        <w:t xml:space="preserve"> </w:t>
      </w:r>
      <w:r>
        <w:t xml:space="preserve">Tham 2026, PMID 42937313; Mendias 2026, PMID 41966639.</w:t>
      </w:r>
    </w:p>
  </w:footnote>
  <w:footnote w:id="934">
    <w:p>
      <w:pPr>
        <w:pStyle w:val="FootnoteText"/>
      </w:pPr>
      <w:r>
        <w:rPr>
          <w:rStyle w:val="FootnoteReference"/>
        </w:rPr>
        <w:footnoteRef/>
      </w:r>
      <w:r>
        <w:t xml:space="preserve"> </w:t>
      </w:r>
      <w:r>
        <w:t xml:space="preserve">Cox 2017, PMID 28035768.</w:t>
      </w:r>
    </w:p>
  </w:footnote>
  <w:footnote w:id="936">
    <w:p>
      <w:pPr>
        <w:pStyle w:val="FootnoteText"/>
      </w:pPr>
      <w:r>
        <w:rPr>
          <w:rStyle w:val="FootnoteReference"/>
        </w:rPr>
        <w:footnoteRef/>
      </w:r>
      <w:r>
        <w:t xml:space="preserve"> </w:t>
      </w:r>
      <w:r>
        <w:t xml:space="preserve">Sikiric 2025, PMID 40573323.</w:t>
      </w:r>
    </w:p>
  </w:footnote>
  <w:footnote w:id="937">
    <w:p>
      <w:pPr>
        <w:pStyle w:val="FootnoteText"/>
      </w:pPr>
      <w:r>
        <w:rPr>
          <w:rStyle w:val="FootnoteReference"/>
        </w:rPr>
        <w:footnoteRef/>
      </w:r>
      <w:r>
        <w:t xml:space="preserve"> </w:t>
      </w:r>
      <w:r>
        <w:t xml:space="preserve">Mendias 2026, PMID 41966639.</w:t>
      </w:r>
    </w:p>
  </w:footnote>
  <w:footnote w:id="940">
    <w:p>
      <w:pPr>
        <w:pStyle w:val="FootnoteText"/>
      </w:pPr>
      <w:r>
        <w:rPr>
          <w:rStyle w:val="FootnoteReference"/>
        </w:rPr>
        <w:footnoteRef/>
      </w:r>
      <w:r>
        <w:t xml:space="preserve"> </w:t>
      </w:r>
      <w:r>
        <w:t xml:space="preserve">Willis 2026, PMID 42752426.</w:t>
      </w:r>
    </w:p>
  </w:footnote>
  <w:footnote w:id="941">
    <w:p>
      <w:pPr>
        <w:pStyle w:val="FootnoteText"/>
      </w:pPr>
      <w:r>
        <w:rPr>
          <w:rStyle w:val="FootnoteReference"/>
        </w:rPr>
        <w:footnoteRef/>
      </w:r>
      <w:r>
        <w:t xml:space="preserve"> </w:t>
      </w:r>
      <w:r>
        <w:t xml:space="preserve">Józwiak 2025, PMID 40005999.</w:t>
      </w:r>
    </w:p>
  </w:footnote>
  <w:footnote w:id="942">
    <w:p>
      <w:pPr>
        <w:pStyle w:val="FootnoteText"/>
      </w:pPr>
      <w:r>
        <w:rPr>
          <w:rStyle w:val="FootnoteReference"/>
        </w:rPr>
        <w:footnoteRef/>
      </w:r>
      <w:r>
        <w:t xml:space="preserve"> </w:t>
      </w:r>
      <w:r>
        <w:t xml:space="preserve">Tian 2023, PMID 37959764.</w:t>
      </w:r>
    </w:p>
  </w:footnote>
  <w:footnote w:id="944">
    <w:p>
      <w:pPr>
        <w:pStyle w:val="FootnoteText"/>
      </w:pPr>
      <w:r>
        <w:rPr>
          <w:rStyle w:val="FootnoteReference"/>
        </w:rPr>
        <w:footnoteRef/>
      </w:r>
      <w:r>
        <w:t xml:space="preserve"> </w:t>
      </w:r>
      <w:r>
        <w:t xml:space="preserve">NCT07437547.</w:t>
      </w:r>
    </w:p>
  </w:footnote>
  <w:footnote w:id="945">
    <w:p>
      <w:pPr>
        <w:pStyle w:val="FootnoteText"/>
      </w:pPr>
      <w:r>
        <w:rPr>
          <w:rStyle w:val="FootnoteReference"/>
        </w:rPr>
        <w:footnoteRef/>
      </w:r>
      <w:r>
        <w:t xml:space="preserve"> </w:t>
      </w:r>
      <w:r>
        <w:t xml:space="preserve">NCT07487363.</w:t>
      </w:r>
    </w:p>
  </w:footnote>
  <w:footnote w:id="946">
    <w:p>
      <w:pPr>
        <w:pStyle w:val="FootnoteText"/>
      </w:pPr>
      <w:r>
        <w:rPr>
          <w:rStyle w:val="FootnoteReference"/>
        </w:rPr>
        <w:footnoteRef/>
      </w:r>
      <w:r>
        <w:t xml:space="preserve"> </w:t>
      </w:r>
      <w:r>
        <w:t xml:space="preserve">NCT07803250.</w:t>
      </w:r>
    </w:p>
  </w:footnote>
  <w:footnote w:id="947">
    <w:p>
      <w:pPr>
        <w:pStyle w:val="FootnoteText"/>
      </w:pPr>
      <w:r>
        <w:rPr>
          <w:rStyle w:val="FootnoteReference"/>
        </w:rPr>
        <w:footnoteRef/>
      </w:r>
      <w:r>
        <w:t xml:space="preserve"> </w:t>
      </w:r>
      <w:r>
        <w:t xml:space="preserve">NCT07752381.</w:t>
      </w:r>
    </w:p>
  </w:footnote>
  <w:footnote w:id="948">
    <w:p>
      <w:pPr>
        <w:pStyle w:val="FootnoteText"/>
      </w:pPr>
      <w:r>
        <w:rPr>
          <w:rStyle w:val="FootnoteReference"/>
        </w:rPr>
        <w:footnoteRef/>
      </w:r>
      <w:r>
        <w:t xml:space="preserve"> </w:t>
      </w:r>
      <w:r>
        <w:t xml:space="preserve">Mateescu 2026, PMID 42198317.</w:t>
      </w:r>
    </w:p>
  </w:footnote>
  <w:footnote w:id="950">
    <w:p>
      <w:pPr>
        <w:pStyle w:val="FootnoteText"/>
      </w:pPr>
      <w:r>
        <w:rPr>
          <w:rStyle w:val="FootnoteReference"/>
        </w:rPr>
        <w:footnoteRef/>
      </w:r>
      <w:r>
        <w:t xml:space="preserve"> </w:t>
      </w:r>
      <w:r>
        <w:t xml:space="preserve">Poolton 2026, PMID 42885452.</w:t>
      </w:r>
    </w:p>
  </w:footnote>
  <w:footnote w:id="951">
    <w:p>
      <w:pPr>
        <w:pStyle w:val="FootnoteText"/>
      </w:pPr>
      <w:r>
        <w:rPr>
          <w:rStyle w:val="FootnoteReference"/>
        </w:rPr>
        <w:footnoteRef/>
      </w:r>
      <w:r>
        <w:t xml:space="preserve"> </w:t>
      </w:r>
      <w:r>
        <w:t xml:space="preserve">NCT07803250.</w:t>
      </w:r>
    </w:p>
  </w:footnote>
  <w:footnote w:id="954">
    <w:p>
      <w:pPr>
        <w:pStyle w:val="FootnoteText"/>
      </w:pPr>
      <w:r>
        <w:rPr>
          <w:rStyle w:val="FootnoteReference"/>
        </w:rPr>
        <w:footnoteRef/>
      </w:r>
      <w:r>
        <w:t xml:space="preserve"> </w:t>
      </w:r>
      <w:r>
        <w:t xml:space="preserve">Esposito 2012, PMID 22962027.</w:t>
      </w:r>
    </w:p>
  </w:footnote>
  <w:footnote w:id="956">
    <w:p>
      <w:pPr>
        <w:pStyle w:val="FootnoteText"/>
      </w:pPr>
      <w:r>
        <w:rPr>
          <w:rStyle w:val="FootnoteReference"/>
        </w:rPr>
        <w:footnoteRef/>
      </w:r>
      <w:r>
        <w:t xml:space="preserve"> </w:t>
      </w:r>
      <w:r>
        <w:t xml:space="preserve">Sosne 2010, PMID 20179146.</w:t>
      </w:r>
    </w:p>
  </w:footnote>
  <w:footnote w:id="957">
    <w:p>
      <w:pPr>
        <w:pStyle w:val="FootnoteText"/>
      </w:pPr>
      <w:r>
        <w:rPr>
          <w:rStyle w:val="FootnoteReference"/>
        </w:rPr>
        <w:footnoteRef/>
      </w:r>
      <w:r>
        <w:t xml:space="preserve"> </w:t>
      </w:r>
      <w:r>
        <w:t xml:space="preserve">Philp 2003, PMID 14500546.</w:t>
      </w:r>
    </w:p>
  </w:footnote>
  <w:footnote w:id="958">
    <w:p>
      <w:pPr>
        <w:pStyle w:val="FootnoteText"/>
      </w:pPr>
      <w:r>
        <w:rPr>
          <w:rStyle w:val="FootnoteReference"/>
        </w:rPr>
        <w:footnoteRef/>
      </w:r>
      <w:r>
        <w:t xml:space="preserve"> </w:t>
      </w:r>
      <w:r>
        <w:t xml:space="preserve">Rahaman 2024, PMID 38382158.</w:t>
      </w:r>
    </w:p>
  </w:footnote>
  <w:footnote w:id="959">
    <w:p>
      <w:pPr>
        <w:pStyle w:val="FootnoteText"/>
      </w:pPr>
      <w:r>
        <w:rPr>
          <w:rStyle w:val="FootnoteReference"/>
        </w:rPr>
        <w:footnoteRef/>
      </w:r>
      <w:r>
        <w:t xml:space="preserve"> </w:t>
      </w:r>
      <w:r>
        <w:t xml:space="preserve">Tham 2026, PMID 42937313.</w:t>
      </w:r>
    </w:p>
  </w:footnote>
  <w:footnote w:id="961">
    <w:p>
      <w:pPr>
        <w:pStyle w:val="FootnoteText"/>
      </w:pPr>
      <w:r>
        <w:rPr>
          <w:rStyle w:val="FootnoteReference"/>
        </w:rPr>
        <w:footnoteRef/>
      </w:r>
      <w:r>
        <w:t xml:space="preserve"> </w:t>
      </w:r>
      <w:r>
        <w:t xml:space="preserve">Sosne 2015, PMID 25826322.</w:t>
      </w:r>
    </w:p>
  </w:footnote>
  <w:footnote w:id="962">
    <w:p>
      <w:pPr>
        <w:pStyle w:val="FootnoteText"/>
      </w:pPr>
      <w:r>
        <w:rPr>
          <w:rStyle w:val="FootnoteReference"/>
        </w:rPr>
        <w:footnoteRef/>
      </w:r>
      <w:r>
        <w:t xml:space="preserve"> </w:t>
      </w:r>
      <w:r>
        <w:t xml:space="preserve">Sosne 2015, PMID 26056426.</w:t>
      </w:r>
    </w:p>
  </w:footnote>
  <w:footnote w:id="963">
    <w:p>
      <w:pPr>
        <w:pStyle w:val="FootnoteText"/>
      </w:pPr>
      <w:r>
        <w:rPr>
          <w:rStyle w:val="FootnoteReference"/>
        </w:rPr>
        <w:footnoteRef/>
      </w:r>
      <w:r>
        <w:t xml:space="preserve"> </w:t>
      </w:r>
      <w:r>
        <w:t xml:space="preserve">NCT02974907; NCT03937882.</w:t>
      </w:r>
    </w:p>
  </w:footnote>
  <w:footnote w:id="964">
    <w:p>
      <w:pPr>
        <w:pStyle w:val="FootnoteText"/>
      </w:pPr>
      <w:r>
        <w:rPr>
          <w:rStyle w:val="FootnoteReference"/>
        </w:rPr>
        <w:footnoteRef/>
      </w:r>
      <w:r>
        <w:t xml:space="preserve"> </w:t>
      </w:r>
      <w:r>
        <w:t xml:space="preserve">Sosne 2022, PMID 36613994.</w:t>
      </w:r>
    </w:p>
  </w:footnote>
  <w:footnote w:id="965">
    <w:p>
      <w:pPr>
        <w:pStyle w:val="FootnoteText"/>
      </w:pPr>
      <w:r>
        <w:rPr>
          <w:rStyle w:val="FootnoteReference"/>
        </w:rPr>
        <w:footnoteRef/>
      </w:r>
      <w:r>
        <w:t xml:space="preserve"> </w:t>
      </w:r>
      <w:r>
        <w:t xml:space="preserve">Kruoch 2025, PMID 41347649.</w:t>
      </w:r>
    </w:p>
  </w:footnote>
  <w:footnote w:id="967">
    <w:p>
      <w:pPr>
        <w:pStyle w:val="FootnoteText"/>
      </w:pPr>
      <w:r>
        <w:rPr>
          <w:rStyle w:val="FootnoteReference"/>
        </w:rPr>
        <w:footnoteRef/>
      </w:r>
      <w:r>
        <w:t xml:space="preserve"> </w:t>
      </w:r>
      <w:r>
        <w:t xml:space="preserve">Zhang 2025, PMID 41229390.</w:t>
      </w:r>
    </w:p>
  </w:footnote>
  <w:footnote w:id="969">
    <w:p>
      <w:pPr>
        <w:pStyle w:val="FootnoteText"/>
      </w:pPr>
      <w:r>
        <w:rPr>
          <w:rStyle w:val="FootnoteReference"/>
        </w:rPr>
        <w:footnoteRef/>
      </w:r>
      <w:r>
        <w:t xml:space="preserve"> </w:t>
      </w:r>
      <w:r>
        <w:t xml:space="preserve">Guarnera 2010, PMID 20536470.</w:t>
      </w:r>
    </w:p>
  </w:footnote>
  <w:footnote w:id="970">
    <w:p>
      <w:pPr>
        <w:pStyle w:val="FootnoteText"/>
      </w:pPr>
      <w:r>
        <w:rPr>
          <w:rStyle w:val="FootnoteReference"/>
        </w:rPr>
        <w:footnoteRef/>
      </w:r>
      <w:r>
        <w:t xml:space="preserve"> </w:t>
      </w:r>
      <w:r>
        <w:t xml:space="preserve">NCT00311766.</w:t>
      </w:r>
    </w:p>
  </w:footnote>
  <w:footnote w:id="972">
    <w:p>
      <w:pPr>
        <w:pStyle w:val="FootnoteText"/>
      </w:pPr>
      <w:r>
        <w:rPr>
          <w:rStyle w:val="FootnoteReference"/>
        </w:rPr>
        <w:footnoteRef/>
      </w:r>
      <w:r>
        <w:t xml:space="preserve"> </w:t>
      </w:r>
      <w:r>
        <w:t xml:space="preserve">NCT07487363.</w:t>
      </w:r>
    </w:p>
  </w:footnote>
  <w:footnote w:id="973">
    <w:p>
      <w:pPr>
        <w:pStyle w:val="FootnoteText"/>
      </w:pPr>
      <w:r>
        <w:rPr>
          <w:rStyle w:val="FootnoteReference"/>
        </w:rPr>
        <w:footnoteRef/>
      </w:r>
      <w:r>
        <w:t xml:space="preserve"> </w:t>
      </w:r>
      <w:r>
        <w:t xml:space="preserve">Lee 2021, PMID 34324435.</w:t>
      </w:r>
    </w:p>
  </w:footnote>
  <w:footnote w:id="976">
    <w:p>
      <w:pPr>
        <w:pStyle w:val="FootnoteText"/>
      </w:pPr>
      <w:r>
        <w:rPr>
          <w:rStyle w:val="FootnoteReference"/>
        </w:rPr>
        <w:footnoteRef/>
      </w:r>
      <w:r>
        <w:t xml:space="preserve"> </w:t>
      </w:r>
      <w:r>
        <w:t xml:space="preserve">Bock-Marquette 2004, PMID 15565145.</w:t>
      </w:r>
    </w:p>
  </w:footnote>
  <w:footnote w:id="977">
    <w:p>
      <w:pPr>
        <w:pStyle w:val="FootnoteText"/>
      </w:pPr>
      <w:r>
        <w:rPr>
          <w:rStyle w:val="FootnoteReference"/>
        </w:rPr>
        <w:footnoteRef/>
      </w:r>
      <w:r>
        <w:t xml:space="preserve"> </w:t>
      </w:r>
      <w:r>
        <w:t xml:space="preserve">Smart 2007, PMID 17108969.</w:t>
      </w:r>
    </w:p>
  </w:footnote>
  <w:footnote w:id="978">
    <w:p>
      <w:pPr>
        <w:pStyle w:val="FootnoteText"/>
      </w:pPr>
      <w:r>
        <w:rPr>
          <w:rStyle w:val="FootnoteReference"/>
        </w:rPr>
        <w:footnoteRef/>
      </w:r>
      <w:r>
        <w:t xml:space="preserve"> </w:t>
      </w:r>
      <w:r>
        <w:t xml:space="preserve">Kispert 2012, PMID 22019445.</w:t>
      </w:r>
    </w:p>
  </w:footnote>
  <w:footnote w:id="979">
    <w:p>
      <w:pPr>
        <w:pStyle w:val="FootnoteText"/>
      </w:pPr>
      <w:r>
        <w:rPr>
          <w:rStyle w:val="FootnoteReference"/>
        </w:rPr>
        <w:footnoteRef/>
      </w:r>
      <w:r>
        <w:t xml:space="preserve"> </w:t>
      </w:r>
      <w:r>
        <w:t xml:space="preserve">Tao 2024, PMID 38757041.</w:t>
      </w:r>
    </w:p>
  </w:footnote>
  <w:footnote w:id="980">
    <w:p>
      <w:pPr>
        <w:pStyle w:val="FootnoteText"/>
      </w:pPr>
      <w:r>
        <w:rPr>
          <w:rStyle w:val="FootnoteReference"/>
        </w:rPr>
        <w:footnoteRef/>
      </w:r>
      <w:r>
        <w:t xml:space="preserve"> </w:t>
      </w:r>
      <w:r>
        <w:t xml:space="preserve">Brady 2014, PMID 25042765.</w:t>
      </w:r>
    </w:p>
  </w:footnote>
  <w:footnote w:id="981">
    <w:p>
      <w:pPr>
        <w:pStyle w:val="FootnoteText"/>
      </w:pPr>
      <w:r>
        <w:rPr>
          <w:rStyle w:val="FootnoteReference"/>
        </w:rPr>
        <w:footnoteRef/>
      </w:r>
      <w:r>
        <w:t xml:space="preserve"> </w:t>
      </w:r>
      <w:r>
        <w:t xml:space="preserve">Tham 2026, PMID 42937313.</w:t>
      </w:r>
    </w:p>
  </w:footnote>
  <w:footnote w:id="982">
    <w:p>
      <w:pPr>
        <w:pStyle w:val="FootnoteText"/>
      </w:pPr>
      <w:r>
        <w:rPr>
          <w:rStyle w:val="FootnoteReference"/>
        </w:rPr>
        <w:footnoteRef/>
      </w:r>
      <w:r>
        <w:t xml:space="preserve"> </w:t>
      </w:r>
      <w:r>
        <w:t xml:space="preserve">Biçer 2026, PMID 42542926.</w:t>
      </w:r>
    </w:p>
  </w:footnote>
  <w:footnote w:id="984">
    <w:p>
      <w:pPr>
        <w:pStyle w:val="FootnoteText"/>
      </w:pPr>
      <w:r>
        <w:rPr>
          <w:rStyle w:val="FootnoteReference"/>
        </w:rPr>
        <w:footnoteRef/>
      </w:r>
      <w:r>
        <w:t xml:space="preserve"> </w:t>
      </w:r>
      <w:r>
        <w:t xml:space="preserve">Ruff 2010, PMID 20536472.</w:t>
      </w:r>
    </w:p>
  </w:footnote>
  <w:footnote w:id="985">
    <w:p>
      <w:pPr>
        <w:pStyle w:val="FootnoteText"/>
      </w:pPr>
      <w:r>
        <w:rPr>
          <w:rStyle w:val="FootnoteReference"/>
        </w:rPr>
        <w:footnoteRef/>
      </w:r>
      <w:r>
        <w:t xml:space="preserve"> </w:t>
      </w:r>
      <w:r>
        <w:t xml:space="preserve">Wang 2021, PMID 34346165.</w:t>
      </w:r>
    </w:p>
  </w:footnote>
  <w:footnote w:id="987">
    <w:p>
      <w:pPr>
        <w:pStyle w:val="FootnoteText"/>
      </w:pPr>
      <w:r>
        <w:rPr>
          <w:rStyle w:val="FootnoteReference"/>
        </w:rPr>
        <w:footnoteRef/>
      </w:r>
      <w:r>
        <w:t xml:space="preserve"> </w:t>
      </w:r>
      <w:r>
        <w:t xml:space="preserve">Wang 2016, PMID 27596300.</w:t>
      </w:r>
    </w:p>
  </w:footnote>
  <w:footnote w:id="988">
    <w:p>
      <w:pPr>
        <w:pStyle w:val="FootnoteText"/>
      </w:pPr>
      <w:r>
        <w:rPr>
          <w:rStyle w:val="FootnoteReference"/>
        </w:rPr>
        <w:footnoteRef/>
      </w:r>
      <w:r>
        <w:t xml:space="preserve"> </w:t>
      </w:r>
      <w:r>
        <w:t xml:space="preserve">Larsson 2007, PMID 17495241.</w:t>
      </w:r>
    </w:p>
  </w:footnote>
  <w:footnote w:id="990">
    <w:p>
      <w:pPr>
        <w:pStyle w:val="FootnoteText"/>
      </w:pPr>
      <w:r>
        <w:rPr>
          <w:rStyle w:val="FootnoteReference"/>
        </w:rPr>
        <w:footnoteRef/>
      </w:r>
      <w:r>
        <w:t xml:space="preserve"> </w:t>
      </w:r>
      <w:r>
        <w:t xml:space="preserve">Delcourt 2023, PMID 36482504.</w:t>
      </w:r>
    </w:p>
  </w:footnote>
  <w:footnote w:id="991">
    <w:p>
      <w:pPr>
        <w:pStyle w:val="FootnoteText"/>
      </w:pPr>
      <w:r>
        <w:rPr>
          <w:rStyle w:val="FootnoteReference"/>
        </w:rPr>
        <w:footnoteRef/>
      </w:r>
      <w:r>
        <w:t xml:space="preserve"> </w:t>
      </w:r>
      <w:r>
        <w:t xml:space="preserve">Ho 2012, PMID 23084823.</w:t>
      </w:r>
    </w:p>
  </w:footnote>
  <w:footnote w:id="994">
    <w:p>
      <w:pPr>
        <w:pStyle w:val="FootnoteText"/>
      </w:pPr>
      <w:r>
        <w:rPr>
          <w:rStyle w:val="FootnoteReference"/>
        </w:rPr>
        <w:footnoteRef/>
      </w:r>
      <w:r>
        <w:t xml:space="preserve"> </w:t>
      </w:r>
      <w:r>
        <w:t xml:space="preserve">Willis 2026, PMID 42752426.</w:t>
      </w:r>
    </w:p>
  </w:footnote>
  <w:footnote w:id="995">
    <w:p>
      <w:pPr>
        <w:pStyle w:val="FootnoteText"/>
      </w:pPr>
      <w:r>
        <w:rPr>
          <w:rStyle w:val="FootnoteReference"/>
        </w:rPr>
        <w:footnoteRef/>
      </w:r>
      <w:r>
        <w:t xml:space="preserve"> </w:t>
      </w:r>
      <w:r>
        <w:t xml:space="preserve">Delcourt 2025, PMID 39314109.</w:t>
      </w:r>
    </w:p>
  </w:footnote>
  <w:footnote w:id="997">
    <w:p>
      <w:pPr>
        <w:pStyle w:val="FootnoteText"/>
      </w:pPr>
      <w:r>
        <w:rPr>
          <w:rStyle w:val="FootnoteReference"/>
        </w:rPr>
        <w:footnoteRef/>
      </w:r>
      <w:r>
        <w:t xml:space="preserve"> </w:t>
      </w:r>
      <w:r>
        <w:t xml:space="preserve">NCT05555589.</w:t>
      </w:r>
    </w:p>
  </w:footnote>
  <w:footnote w:id="998">
    <w:p>
      <w:pPr>
        <w:pStyle w:val="FootnoteText"/>
      </w:pPr>
      <w:r>
        <w:rPr>
          <w:rStyle w:val="FootnoteReference"/>
        </w:rPr>
        <w:footnoteRef/>
      </w:r>
      <w:r>
        <w:t xml:space="preserve"> </w:t>
      </w:r>
      <w:r>
        <w:t xml:space="preserve">NCT07586865.</w:t>
      </w:r>
    </w:p>
  </w:footnote>
  <w:footnote w:id="999">
    <w:p>
      <w:pPr>
        <w:pStyle w:val="FootnoteText"/>
      </w:pPr>
      <w:r>
        <w:rPr>
          <w:rStyle w:val="FootnoteReference"/>
        </w:rPr>
        <w:footnoteRef/>
      </w:r>
      <w:r>
        <w:t xml:space="preserve"> </w:t>
      </w:r>
      <w:r>
        <w:t xml:space="preserve">NCT05485818; NCT05984134.</w:t>
      </w:r>
    </w:p>
  </w:footnote>
  <w:footnote w:id="1001">
    <w:p>
      <w:pPr>
        <w:pStyle w:val="FootnoteText"/>
      </w:pPr>
      <w:r>
        <w:rPr>
          <w:rStyle w:val="FootnoteReference"/>
        </w:rPr>
        <w:footnoteRef/>
      </w:r>
      <w:r>
        <w:t xml:space="preserve"> </w:t>
      </w:r>
      <w:r>
        <w:t xml:space="preserve">Zhang 2025, PMID 41229390.</w:t>
      </w:r>
    </w:p>
  </w:footnote>
  <w:footnote w:id="1004">
    <w:p>
      <w:pPr>
        <w:pStyle w:val="FootnoteText"/>
      </w:pPr>
      <w:r>
        <w:rPr>
          <w:rStyle w:val="FootnoteReference"/>
        </w:rPr>
        <w:footnoteRef/>
      </w:r>
      <w:r>
        <w:t xml:space="preserve"> </w:t>
      </w:r>
      <w:r>
        <w:t xml:space="preserve">Iino 2005, PMID 15850471.</w:t>
      </w:r>
    </w:p>
  </w:footnote>
  <w:footnote w:id="1005">
    <w:p>
      <w:pPr>
        <w:pStyle w:val="FootnoteText"/>
      </w:pPr>
      <w:r>
        <w:rPr>
          <w:rStyle w:val="FootnoteReference"/>
        </w:rPr>
        <w:footnoteRef/>
      </w:r>
      <w:r>
        <w:t xml:space="preserve"> </w:t>
      </w:r>
      <w:r>
        <w:t xml:space="preserve">Dinetz 2024, PMID 38308608.</w:t>
      </w:r>
    </w:p>
  </w:footnote>
  <w:footnote w:id="1007">
    <w:p>
      <w:pPr>
        <w:pStyle w:val="FootnoteText"/>
      </w:pPr>
      <w:r>
        <w:rPr>
          <w:rStyle w:val="FootnoteReference"/>
        </w:rPr>
        <w:footnoteRef/>
      </w:r>
      <w:r>
        <w:t xml:space="preserve"> </w:t>
      </w:r>
      <w:r>
        <w:t xml:space="preserve">Garaci 2007, PMID 17600290.</w:t>
      </w:r>
    </w:p>
  </w:footnote>
  <w:footnote w:id="1008">
    <w:p>
      <w:pPr>
        <w:pStyle w:val="FootnoteText"/>
      </w:pPr>
      <w:r>
        <w:rPr>
          <w:rStyle w:val="FootnoteReference"/>
        </w:rPr>
        <w:footnoteRef/>
      </w:r>
      <w:r>
        <w:t xml:space="preserve"> </w:t>
      </w:r>
      <w:r>
        <w:t xml:space="preserve">Ancell 2001, PMID 11381492.</w:t>
      </w:r>
    </w:p>
  </w:footnote>
  <w:footnote w:id="1010">
    <w:p>
      <w:pPr>
        <w:pStyle w:val="FootnoteText"/>
      </w:pPr>
      <w:r>
        <w:rPr>
          <w:rStyle w:val="FootnoteReference"/>
        </w:rPr>
        <w:footnoteRef/>
      </w:r>
      <w:r>
        <w:t xml:space="preserve"> </w:t>
      </w:r>
      <w:r>
        <w:t xml:space="preserve">Dinetz 2024, PMID 38308608.</w:t>
      </w:r>
    </w:p>
  </w:footnote>
  <w:footnote w:id="1012">
    <w:p>
      <w:pPr>
        <w:pStyle w:val="FootnoteText"/>
      </w:pPr>
      <w:r>
        <w:rPr>
          <w:rStyle w:val="FootnoteReference"/>
        </w:rPr>
        <w:footnoteRef/>
      </w:r>
      <w:r>
        <w:t xml:space="preserve"> </w:t>
      </w:r>
      <w:r>
        <w:t xml:space="preserve">Chien 1998, PMID 9581695.</w:t>
      </w:r>
    </w:p>
  </w:footnote>
  <w:footnote w:id="1013">
    <w:p>
      <w:pPr>
        <w:pStyle w:val="FootnoteText"/>
      </w:pPr>
      <w:r>
        <w:rPr>
          <w:rStyle w:val="FootnoteReference"/>
        </w:rPr>
        <w:footnoteRef/>
      </w:r>
      <w:r>
        <w:t xml:space="preserve"> </w:t>
      </w:r>
      <w:r>
        <w:t xml:space="preserve">Mutchnick 1999, PMID 10607256.</w:t>
      </w:r>
    </w:p>
  </w:footnote>
  <w:footnote w:id="1014">
    <w:p>
      <w:pPr>
        <w:pStyle w:val="FootnoteText"/>
      </w:pPr>
      <w:r>
        <w:rPr>
          <w:rStyle w:val="FootnoteReference"/>
        </w:rPr>
        <w:footnoteRef/>
      </w:r>
      <w:r>
        <w:t xml:space="preserve"> </w:t>
      </w:r>
      <w:r>
        <w:t xml:space="preserve">Yang 2008, PMID 18078676.</w:t>
      </w:r>
    </w:p>
  </w:footnote>
  <w:footnote w:id="1015">
    <w:p>
      <w:pPr>
        <w:pStyle w:val="FootnoteText"/>
      </w:pPr>
      <w:r>
        <w:rPr>
          <w:rStyle w:val="FootnoteReference"/>
        </w:rPr>
        <w:footnoteRef/>
      </w:r>
      <w:r>
        <w:t xml:space="preserve"> </w:t>
      </w:r>
      <w:r>
        <w:t xml:space="preserve">Wu 2018, PMID 30063860.</w:t>
      </w:r>
    </w:p>
  </w:footnote>
  <w:footnote w:id="1016">
    <w:p>
      <w:pPr>
        <w:pStyle w:val="FootnoteText"/>
      </w:pPr>
      <w:r>
        <w:rPr>
          <w:rStyle w:val="FootnoteReference"/>
        </w:rPr>
        <w:footnoteRef/>
      </w:r>
      <w:r>
        <w:t xml:space="preserve"> </w:t>
      </w:r>
      <w:r>
        <w:t xml:space="preserve">Peng 2020, PMID 33076834.</w:t>
      </w:r>
    </w:p>
  </w:footnote>
  <w:footnote w:id="1017">
    <w:p>
      <w:pPr>
        <w:pStyle w:val="FootnoteText"/>
      </w:pPr>
      <w:r>
        <w:rPr>
          <w:rStyle w:val="FootnoteReference"/>
        </w:rPr>
        <w:footnoteRef/>
      </w:r>
      <w:r>
        <w:t xml:space="preserve"> </w:t>
      </w:r>
      <w:r>
        <w:t xml:space="preserve">Chen 2022, PMID 35616850.</w:t>
      </w:r>
    </w:p>
  </w:footnote>
  <w:footnote w:id="1018">
    <w:p>
      <w:pPr>
        <w:pStyle w:val="FootnoteText"/>
      </w:pPr>
      <w:r>
        <w:rPr>
          <w:rStyle w:val="FootnoteReference"/>
        </w:rPr>
        <w:footnoteRef/>
      </w:r>
      <w:r>
        <w:t xml:space="preserve"> </w:t>
      </w:r>
      <w:r>
        <w:t xml:space="preserve">Sherman 1998, PMID 9537454; Andreone 2004, PMID 14738560.</w:t>
      </w:r>
    </w:p>
  </w:footnote>
  <w:footnote w:id="1020">
    <w:p>
      <w:pPr>
        <w:pStyle w:val="FootnoteText"/>
      </w:pPr>
      <w:r>
        <w:rPr>
          <w:rStyle w:val="FootnoteReference"/>
        </w:rPr>
        <w:footnoteRef/>
      </w:r>
      <w:r>
        <w:t xml:space="preserve"> </w:t>
      </w:r>
      <w:r>
        <w:t xml:space="preserve">Wu 2013, PMID 23327199.</w:t>
      </w:r>
    </w:p>
  </w:footnote>
  <w:footnote w:id="1021">
    <w:p>
      <w:pPr>
        <w:pStyle w:val="FootnoteText"/>
      </w:pPr>
      <w:r>
        <w:rPr>
          <w:rStyle w:val="FootnoteReference"/>
        </w:rPr>
        <w:footnoteRef/>
      </w:r>
      <w:r>
        <w:t xml:space="preserve"> </w:t>
      </w:r>
      <w:r>
        <w:t xml:space="preserve">Wu 2025, PMID 39814420.</w:t>
      </w:r>
    </w:p>
  </w:footnote>
  <w:footnote w:id="1022">
    <w:p>
      <w:pPr>
        <w:pStyle w:val="FootnoteText"/>
      </w:pPr>
      <w:r>
        <w:rPr>
          <w:rStyle w:val="FootnoteReference"/>
        </w:rPr>
        <w:footnoteRef/>
      </w:r>
      <w:r>
        <w:t xml:space="preserve"> </w:t>
      </w:r>
      <w:r>
        <w:t xml:space="preserve">Gu 2025, PMID 40969554.</w:t>
      </w:r>
    </w:p>
  </w:footnote>
  <w:footnote w:id="1023">
    <w:p>
      <w:pPr>
        <w:pStyle w:val="FootnoteText"/>
      </w:pPr>
      <w:r>
        <w:rPr>
          <w:rStyle w:val="FootnoteReference"/>
        </w:rPr>
        <w:footnoteRef/>
      </w:r>
      <w:r>
        <w:t xml:space="preserve"> </w:t>
      </w:r>
      <w:r>
        <w:t xml:space="preserve">Luo 2026, PMID 42205841.</w:t>
      </w:r>
    </w:p>
  </w:footnote>
  <w:footnote w:id="1025">
    <w:p>
      <w:pPr>
        <w:pStyle w:val="FootnoteText"/>
      </w:pPr>
      <w:r>
        <w:rPr>
          <w:rStyle w:val="FootnoteReference"/>
        </w:rPr>
        <w:footnoteRef/>
      </w:r>
      <w:r>
        <w:t xml:space="preserve"> </w:t>
      </w:r>
      <w:r>
        <w:t xml:space="preserve">Liu 2020, PMID 32442287.</w:t>
      </w:r>
    </w:p>
  </w:footnote>
  <w:footnote w:id="1026">
    <w:p>
      <w:pPr>
        <w:pStyle w:val="FootnoteText"/>
      </w:pPr>
      <w:r>
        <w:rPr>
          <w:rStyle w:val="FootnoteReference"/>
        </w:rPr>
        <w:footnoteRef/>
      </w:r>
      <w:r>
        <w:t xml:space="preserve"> </w:t>
      </w:r>
      <w:r>
        <w:t xml:space="preserve">Liu 2021, PMID 34408744.</w:t>
      </w:r>
    </w:p>
  </w:footnote>
  <w:footnote w:id="1027">
    <w:p>
      <w:pPr>
        <w:pStyle w:val="FootnoteText"/>
      </w:pPr>
      <w:r>
        <w:rPr>
          <w:rStyle w:val="FootnoteReference"/>
        </w:rPr>
        <w:footnoteRef/>
      </w:r>
      <w:r>
        <w:t xml:space="preserve"> </w:t>
      </w:r>
      <w:r>
        <w:t xml:space="preserve">Shehadeh 2023, PMID 36056913.</w:t>
      </w:r>
    </w:p>
  </w:footnote>
  <w:footnote w:id="1028">
    <w:p>
      <w:pPr>
        <w:pStyle w:val="FootnoteText"/>
      </w:pPr>
      <w:r>
        <w:rPr>
          <w:rStyle w:val="FootnoteReference"/>
        </w:rPr>
        <w:footnoteRef/>
      </w:r>
      <w:r>
        <w:t xml:space="preserve"> </w:t>
      </w:r>
      <w:r>
        <w:t xml:space="preserve">Shang 2023, PMID 36527881.</w:t>
      </w:r>
    </w:p>
  </w:footnote>
  <w:footnote w:id="1029">
    <w:p>
      <w:pPr>
        <w:pStyle w:val="FootnoteText"/>
      </w:pPr>
      <w:r>
        <w:rPr>
          <w:rStyle w:val="FootnoteReference"/>
        </w:rPr>
        <w:footnoteRef/>
      </w:r>
      <w:r>
        <w:t xml:space="preserve"> </w:t>
      </w:r>
      <w:r>
        <w:t xml:space="preserve">Soeroto 2023, PMID 37845598.</w:t>
      </w:r>
    </w:p>
  </w:footnote>
  <w:footnote w:id="1031">
    <w:p>
      <w:pPr>
        <w:pStyle w:val="FootnoteText"/>
      </w:pPr>
      <w:r>
        <w:rPr>
          <w:rStyle w:val="FootnoteReference"/>
        </w:rPr>
        <w:footnoteRef/>
      </w:r>
      <w:r>
        <w:t xml:space="preserve"> </w:t>
      </w:r>
      <w:r>
        <w:t xml:space="preserve">Maio 2010, PMID 20194853.</w:t>
      </w:r>
    </w:p>
  </w:footnote>
  <w:footnote w:id="1032">
    <w:p>
      <w:pPr>
        <w:pStyle w:val="FootnoteText"/>
      </w:pPr>
      <w:r>
        <w:rPr>
          <w:rStyle w:val="FootnoteReference"/>
        </w:rPr>
        <w:footnoteRef/>
      </w:r>
      <w:r>
        <w:t xml:space="preserve"> </w:t>
      </w:r>
      <w:r>
        <w:t xml:space="preserve">Kim 2026, PMID 42797537.</w:t>
      </w:r>
    </w:p>
  </w:footnote>
  <w:footnote w:id="1033">
    <w:p>
      <w:pPr>
        <w:pStyle w:val="FootnoteText"/>
      </w:pPr>
      <w:r>
        <w:rPr>
          <w:rStyle w:val="FootnoteReference"/>
        </w:rPr>
        <w:footnoteRef/>
      </w:r>
      <w:r>
        <w:t xml:space="preserve"> </w:t>
      </w:r>
      <w:r>
        <w:t xml:space="preserve">Xu 2026, PMID 41749205.</w:t>
      </w:r>
    </w:p>
  </w:footnote>
  <w:footnote w:id="1035">
    <w:p>
      <w:pPr>
        <w:pStyle w:val="FootnoteText"/>
      </w:pPr>
      <w:r>
        <w:rPr>
          <w:rStyle w:val="FootnoteReference"/>
        </w:rPr>
        <w:footnoteRef/>
      </w:r>
      <w:r>
        <w:t xml:space="preserve"> </w:t>
      </w:r>
      <w:r>
        <w:t xml:space="preserve">Gravenstein 1989, PMID 2642497.</w:t>
      </w:r>
    </w:p>
  </w:footnote>
  <w:footnote w:id="1036">
    <w:p>
      <w:pPr>
        <w:pStyle w:val="FootnoteText"/>
      </w:pPr>
      <w:r>
        <w:rPr>
          <w:rStyle w:val="FootnoteReference"/>
        </w:rPr>
        <w:footnoteRef/>
      </w:r>
      <w:r>
        <w:t xml:space="preserve"> </w:t>
      </w:r>
      <w:r>
        <w:t xml:space="preserve">Tuthill 2023, PMID 36881981.</w:t>
      </w:r>
    </w:p>
  </w:footnote>
  <w:footnote w:id="1037">
    <w:p>
      <w:pPr>
        <w:pStyle w:val="FootnoteText"/>
      </w:pPr>
      <w:r>
        <w:rPr>
          <w:rStyle w:val="FootnoteReference"/>
        </w:rPr>
        <w:footnoteRef/>
      </w:r>
      <w:r>
        <w:t xml:space="preserve"> </w:t>
      </w:r>
      <w:r>
        <w:t xml:space="preserve">NCT06821100.</w:t>
      </w:r>
    </w:p>
  </w:footnote>
  <w:footnote w:id="1040">
    <w:p>
      <w:pPr>
        <w:pStyle w:val="FootnoteText"/>
      </w:pPr>
      <w:r>
        <w:rPr>
          <w:rStyle w:val="FootnoteReference"/>
        </w:rPr>
        <w:footnoteRef/>
      </w:r>
      <w:r>
        <w:t xml:space="preserve"> </w:t>
      </w:r>
      <w:r>
        <w:t xml:space="preserve">Garaci 2007, PMID 17600290.</w:t>
      </w:r>
    </w:p>
  </w:footnote>
  <w:footnote w:id="1042">
    <w:p>
      <w:pPr>
        <w:pStyle w:val="FootnoteText"/>
      </w:pPr>
      <w:r>
        <w:rPr>
          <w:rStyle w:val="FootnoteReference"/>
        </w:rPr>
        <w:footnoteRef/>
      </w:r>
      <w:r>
        <w:t xml:space="preserve"> </w:t>
      </w:r>
      <w:r>
        <w:t xml:space="preserve">Ancell 2001, PMID 11381492.</w:t>
      </w:r>
    </w:p>
  </w:footnote>
  <w:footnote w:id="1043">
    <w:p>
      <w:pPr>
        <w:pStyle w:val="FootnoteText"/>
      </w:pPr>
      <w:r>
        <w:rPr>
          <w:rStyle w:val="FootnoteReference"/>
        </w:rPr>
        <w:footnoteRef/>
      </w:r>
      <w:r>
        <w:t xml:space="preserve"> </w:t>
      </w:r>
      <w:r>
        <w:t xml:space="preserve">Wu 2025, PMID 39814420.</w:t>
      </w:r>
    </w:p>
  </w:footnote>
  <w:footnote w:id="1044">
    <w:p>
      <w:pPr>
        <w:pStyle w:val="FootnoteText"/>
      </w:pPr>
      <w:r>
        <w:rPr>
          <w:rStyle w:val="FootnoteReference"/>
        </w:rPr>
        <w:footnoteRef/>
      </w:r>
      <w:r>
        <w:t xml:space="preserve"> </w:t>
      </w:r>
      <w:r>
        <w:t xml:space="preserve">Iino 2005, PMID 15850471.</w:t>
      </w:r>
    </w:p>
  </w:footnote>
  <w:footnote w:id="1046">
    <w:p>
      <w:pPr>
        <w:pStyle w:val="FootnoteText"/>
      </w:pPr>
      <w:r>
        <w:rPr>
          <w:rStyle w:val="FootnoteReference"/>
        </w:rPr>
        <w:footnoteRef/>
      </w:r>
      <w:r>
        <w:t xml:space="preserve"> </w:t>
      </w:r>
      <w:r>
        <w:t xml:space="preserve">Wu 2025, PMID 39814420.</w:t>
      </w:r>
    </w:p>
  </w:footnote>
  <w:footnote w:id="1047">
    <w:p>
      <w:pPr>
        <w:pStyle w:val="FootnoteText"/>
      </w:pPr>
      <w:r>
        <w:rPr>
          <w:rStyle w:val="FootnoteReference"/>
        </w:rPr>
        <w:footnoteRef/>
      </w:r>
      <w:r>
        <w:t xml:space="preserve"> </w:t>
      </w:r>
      <w:r>
        <w:t xml:space="preserve">Liu 2021, PMID 34408744.</w:t>
      </w:r>
    </w:p>
  </w:footnote>
  <w:footnote w:id="1048">
    <w:p>
      <w:pPr>
        <w:pStyle w:val="FootnoteText"/>
      </w:pPr>
      <w:r>
        <w:rPr>
          <w:rStyle w:val="FootnoteReference"/>
        </w:rPr>
        <w:footnoteRef/>
      </w:r>
      <w:r>
        <w:t xml:space="preserve"> </w:t>
      </w:r>
      <w:r>
        <w:t xml:space="preserve">Kim 2026, PMID 42797537.</w:t>
      </w:r>
    </w:p>
  </w:footnote>
  <w:footnote w:id="1051">
    <w:p>
      <w:pPr>
        <w:pStyle w:val="FootnoteText"/>
      </w:pPr>
      <w:r>
        <w:rPr>
          <w:rStyle w:val="FootnoteReference"/>
        </w:rPr>
        <w:footnoteRef/>
      </w:r>
      <w:r>
        <w:t xml:space="preserve"> </w:t>
      </w:r>
      <w:r>
        <w:t xml:space="preserve">Dinetz 2024, PMID 38308608.</w:t>
      </w:r>
    </w:p>
  </w:footnote>
  <w:footnote w:id="1052">
    <w:p>
      <w:pPr>
        <w:pStyle w:val="FootnoteText"/>
      </w:pPr>
      <w:r>
        <w:rPr>
          <w:rStyle w:val="FootnoteReference"/>
        </w:rPr>
        <w:footnoteRef/>
      </w:r>
      <w:r>
        <w:t xml:space="preserve"> </w:t>
      </w:r>
      <w:r>
        <w:t xml:space="preserve">Willis 2026, PMID 42752426.</w:t>
      </w:r>
    </w:p>
  </w:footnote>
  <w:footnote w:id="1054">
    <w:p>
      <w:pPr>
        <w:pStyle w:val="FootnoteText"/>
      </w:pPr>
      <w:r>
        <w:rPr>
          <w:rStyle w:val="FootnoteReference"/>
        </w:rPr>
        <w:footnoteRef/>
      </w:r>
      <w:r>
        <w:t xml:space="preserve"> </w:t>
      </w:r>
      <w:r>
        <w:t xml:space="preserve">NCT05086614.</w:t>
      </w:r>
    </w:p>
  </w:footnote>
  <w:footnote w:id="1055">
    <w:p>
      <w:pPr>
        <w:pStyle w:val="FootnoteText"/>
      </w:pPr>
      <w:r>
        <w:rPr>
          <w:rStyle w:val="FootnoteReference"/>
        </w:rPr>
        <w:footnoteRef/>
      </w:r>
      <w:r>
        <w:t xml:space="preserve"> </w:t>
      </w:r>
      <w:r>
        <w:t xml:space="preserve">NCT07884201.</w:t>
      </w:r>
    </w:p>
  </w:footnote>
  <w:footnote w:id="1056">
    <w:p>
      <w:pPr>
        <w:pStyle w:val="FootnoteText"/>
      </w:pPr>
      <w:r>
        <w:rPr>
          <w:rStyle w:val="FootnoteReference"/>
        </w:rPr>
        <w:footnoteRef/>
      </w:r>
      <w:r>
        <w:t xml:space="preserve"> </w:t>
      </w:r>
      <w:r>
        <w:t xml:space="preserve">NCT07866118.</w:t>
      </w:r>
    </w:p>
  </w:footnote>
  <w:footnote w:id="1057">
    <w:p>
      <w:pPr>
        <w:pStyle w:val="FootnoteText"/>
      </w:pPr>
      <w:r>
        <w:rPr>
          <w:rStyle w:val="FootnoteReference"/>
        </w:rPr>
        <w:footnoteRef/>
      </w:r>
      <w:r>
        <w:t xml:space="preserve"> </w:t>
      </w:r>
      <w:r>
        <w:t xml:space="preserve">NCT06821100.</w:t>
      </w:r>
    </w:p>
  </w:footnote>
  <w:footnote w:id="1059">
    <w:p>
      <w:pPr>
        <w:pStyle w:val="FootnoteText"/>
      </w:pPr>
      <w:r>
        <w:rPr>
          <w:rStyle w:val="FootnoteReference"/>
        </w:rPr>
        <w:footnoteRef/>
      </w:r>
      <w:r>
        <w:t xml:space="preserve"> </w:t>
      </w:r>
      <w:r>
        <w:t xml:space="preserve">Wu 2025, PMID 39814420.</w:t>
      </w:r>
    </w:p>
  </w:footnote>
  <w:footnote w:id="1060">
    <w:p>
      <w:pPr>
        <w:pStyle w:val="FootnoteText"/>
      </w:pPr>
      <w:r>
        <w:rPr>
          <w:rStyle w:val="FootnoteReference"/>
        </w:rPr>
        <w:footnoteRef/>
      </w:r>
      <w:r>
        <w:t xml:space="preserve"> </w:t>
      </w:r>
      <w:r>
        <w:t xml:space="preserve">Ke 2022, PMID 35713670.</w:t>
      </w:r>
    </w:p>
  </w:footnote>
  <w:footnote w:id="1061">
    <w:p>
      <w:pPr>
        <w:pStyle w:val="FootnoteText"/>
      </w:pPr>
      <w:r>
        <w:rPr>
          <w:rStyle w:val="FootnoteReference"/>
        </w:rPr>
        <w:footnoteRef/>
      </w:r>
      <w:r>
        <w:t xml:space="preserve"> </w:t>
      </w:r>
      <w:r>
        <w:t xml:space="preserve">Wu 2018, PMID 30063860.</w:t>
      </w:r>
    </w:p>
  </w:footnote>
  <w:footnote w:id="1064">
    <w:p>
      <w:pPr>
        <w:pStyle w:val="FootnoteText"/>
      </w:pPr>
      <w:r>
        <w:rPr>
          <w:rStyle w:val="FootnoteReference"/>
        </w:rPr>
        <w:footnoteRef/>
      </w:r>
      <w:r>
        <w:t xml:space="preserve"> </w:t>
      </w:r>
      <w:r>
        <w:t xml:space="preserve">Cutuli 2000, PMID 10670585.</w:t>
      </w:r>
    </w:p>
  </w:footnote>
  <w:footnote w:id="1066">
    <w:p>
      <w:pPr>
        <w:pStyle w:val="FootnoteText"/>
      </w:pPr>
      <w:r>
        <w:rPr>
          <w:rStyle w:val="FootnoteReference"/>
        </w:rPr>
        <w:footnoteRef/>
      </w:r>
      <w:r>
        <w:t xml:space="preserve"> </w:t>
      </w:r>
      <w:r>
        <w:t xml:space="preserve">Catania 1998, PMID 9700761.</w:t>
      </w:r>
    </w:p>
  </w:footnote>
  <w:footnote w:id="1067">
    <w:p>
      <w:pPr>
        <w:pStyle w:val="FootnoteText"/>
      </w:pPr>
      <w:r>
        <w:rPr>
          <w:rStyle w:val="FootnoteReference"/>
        </w:rPr>
        <w:footnoteRef/>
      </w:r>
      <w:r>
        <w:t xml:space="preserve"> </w:t>
      </w:r>
      <w:r>
        <w:t xml:space="preserve">Getting 2003, PMID 12750433.</w:t>
      </w:r>
    </w:p>
  </w:footnote>
  <w:footnote w:id="1068">
    <w:p>
      <w:pPr>
        <w:pStyle w:val="FootnoteText"/>
      </w:pPr>
      <w:r>
        <w:rPr>
          <w:rStyle w:val="FootnoteReference"/>
        </w:rPr>
        <w:footnoteRef/>
      </w:r>
      <w:r>
        <w:t xml:space="preserve"> </w:t>
      </w:r>
      <w:r>
        <w:t xml:space="preserve">Dalmasso 2008, PMID 18061177.</w:t>
      </w:r>
    </w:p>
  </w:footnote>
  <w:footnote w:id="1069">
    <w:p>
      <w:pPr>
        <w:pStyle w:val="FootnoteText"/>
      </w:pPr>
      <w:r>
        <w:rPr>
          <w:rStyle w:val="FootnoteReference"/>
        </w:rPr>
        <w:footnoteRef/>
      </w:r>
      <w:r>
        <w:t xml:space="preserve"> </w:t>
      </w:r>
      <w:r>
        <w:t xml:space="preserve">Cutuli 2000, PMID 10670585.</w:t>
      </w:r>
    </w:p>
  </w:footnote>
  <w:footnote w:id="1071">
    <w:p>
      <w:pPr>
        <w:pStyle w:val="FootnoteText"/>
      </w:pPr>
      <w:r>
        <w:rPr>
          <w:rStyle w:val="FootnoteReference"/>
        </w:rPr>
        <w:footnoteRef/>
      </w:r>
      <w:r>
        <w:t xml:space="preserve"> </w:t>
      </w:r>
      <w:r>
        <w:t xml:space="preserve">Catania 1998, PMID 9700761.</w:t>
      </w:r>
    </w:p>
  </w:footnote>
  <w:footnote w:id="1072">
    <w:p>
      <w:pPr>
        <w:pStyle w:val="FootnoteText"/>
      </w:pPr>
      <w:r>
        <w:rPr>
          <w:rStyle w:val="FootnoteReference"/>
        </w:rPr>
        <w:footnoteRef/>
      </w:r>
      <w:r>
        <w:t xml:space="preserve"> </w:t>
      </w:r>
      <w:r>
        <w:t xml:space="preserve">Elliott 2004, PMID 15102092.</w:t>
      </w:r>
    </w:p>
  </w:footnote>
  <w:footnote w:id="1073">
    <w:p>
      <w:pPr>
        <w:pStyle w:val="FootnoteText"/>
      </w:pPr>
      <w:r>
        <w:rPr>
          <w:rStyle w:val="FootnoteReference"/>
        </w:rPr>
        <w:footnoteRef/>
      </w:r>
      <w:r>
        <w:t xml:space="preserve"> </w:t>
      </w:r>
      <w:r>
        <w:t xml:space="preserve">Pawar 2017, PMID 28343991.</w:t>
      </w:r>
    </w:p>
  </w:footnote>
  <w:footnote w:id="1074">
    <w:p>
      <w:pPr>
        <w:pStyle w:val="FootnoteText"/>
      </w:pPr>
      <w:r>
        <w:rPr>
          <w:rStyle w:val="FootnoteReference"/>
        </w:rPr>
        <w:footnoteRef/>
      </w:r>
      <w:r>
        <w:t xml:space="preserve"> </w:t>
      </w:r>
      <w:r>
        <w:t xml:space="preserve">Gatti 2006, PMID 16413580.</w:t>
      </w:r>
    </w:p>
  </w:footnote>
  <w:footnote w:id="1078">
    <w:p>
      <w:pPr>
        <w:pStyle w:val="FootnoteText"/>
      </w:pPr>
      <w:r>
        <w:rPr>
          <w:rStyle w:val="FootnoteReference"/>
        </w:rPr>
        <w:footnoteRef/>
      </w:r>
      <w:r>
        <w:t xml:space="preserve"> </w:t>
      </w:r>
      <w:r>
        <w:t xml:space="preserve">Cutuli 2000, PMID 10670585.</w:t>
      </w:r>
    </w:p>
  </w:footnote>
  <w:footnote w:id="1079">
    <w:p>
      <w:pPr>
        <w:pStyle w:val="FootnoteText"/>
      </w:pPr>
      <w:r>
        <w:rPr>
          <w:rStyle w:val="FootnoteReference"/>
        </w:rPr>
        <w:footnoteRef/>
      </w:r>
      <w:r>
        <w:t xml:space="preserve"> </w:t>
      </w:r>
      <w:r>
        <w:t xml:space="preserve">Coutinho 2026, PMID 41880199.</w:t>
      </w:r>
    </w:p>
  </w:footnote>
  <w:footnote w:id="1084">
    <w:p>
      <w:pPr>
        <w:pStyle w:val="FootnoteText"/>
      </w:pPr>
      <w:r>
        <w:rPr>
          <w:rStyle w:val="FootnoteReference"/>
        </w:rPr>
        <w:footnoteRef/>
      </w:r>
      <w:r>
        <w:t xml:space="preserve"> </w:t>
      </w:r>
      <w:r>
        <w:t xml:space="preserve">Dalmasso 2008, PMID 18061177; Kannengiesser 2008, PMID 18092346.</w:t>
      </w:r>
    </w:p>
  </w:footnote>
  <w:footnote w:id="1087">
    <w:p>
      <w:pPr>
        <w:pStyle w:val="FootnoteText"/>
      </w:pPr>
      <w:r>
        <w:rPr>
          <w:rStyle w:val="FootnoteReference"/>
        </w:rPr>
        <w:footnoteRef/>
      </w:r>
      <w:r>
        <w:t xml:space="preserve"> </w:t>
      </w:r>
      <w:r>
        <w:t xml:space="preserve">Gombart 2005, PMID 15985530.</w:t>
      </w:r>
    </w:p>
  </w:footnote>
  <w:footnote w:id="1089">
    <w:p>
      <w:pPr>
        <w:pStyle w:val="FootnoteText"/>
      </w:pPr>
      <w:r>
        <w:rPr>
          <w:rStyle w:val="FootnoteReference"/>
        </w:rPr>
        <w:footnoteRef/>
      </w:r>
      <w:r>
        <w:t xml:space="preserve"> </w:t>
      </w:r>
      <w:r>
        <w:t xml:space="preserve">Gombart 2005, PMID 15985530.</w:t>
      </w:r>
    </w:p>
  </w:footnote>
  <w:footnote w:id="1090">
    <w:p>
      <w:pPr>
        <w:pStyle w:val="FootnoteText"/>
      </w:pPr>
      <w:r>
        <w:rPr>
          <w:rStyle w:val="FootnoteReference"/>
        </w:rPr>
        <w:footnoteRef/>
      </w:r>
      <w:r>
        <w:t xml:space="preserve"> </w:t>
      </w:r>
      <w:r>
        <w:t xml:space="preserve">Lande 2007, PMID 17873860.</w:t>
      </w:r>
    </w:p>
  </w:footnote>
  <w:footnote w:id="1091">
    <w:p>
      <w:pPr>
        <w:pStyle w:val="FootnoteText"/>
      </w:pPr>
      <w:r>
        <w:rPr>
          <w:rStyle w:val="FootnoteReference"/>
        </w:rPr>
        <w:footnoteRef/>
      </w:r>
      <w:r>
        <w:t xml:space="preserve"> </w:t>
      </w:r>
      <w:r>
        <w:t xml:space="preserve">Lande 2014, PMID 25470744.</w:t>
      </w:r>
    </w:p>
  </w:footnote>
  <w:footnote w:id="1092">
    <w:p>
      <w:pPr>
        <w:pStyle w:val="FootnoteText"/>
      </w:pPr>
      <w:r>
        <w:rPr>
          <w:rStyle w:val="FootnoteReference"/>
        </w:rPr>
        <w:footnoteRef/>
      </w:r>
      <w:r>
        <w:t xml:space="preserve"> </w:t>
      </w:r>
      <w:r>
        <w:t xml:space="preserve">Yamasaki 2007, PMID 17676051.</w:t>
      </w:r>
    </w:p>
  </w:footnote>
  <w:footnote w:id="1094">
    <w:p>
      <w:pPr>
        <w:pStyle w:val="FootnoteText"/>
      </w:pPr>
      <w:r>
        <w:rPr>
          <w:rStyle w:val="FootnoteReference"/>
        </w:rPr>
        <w:footnoteRef/>
      </w:r>
      <w:r>
        <w:t xml:space="preserve"> </w:t>
      </w:r>
      <w:r>
        <w:t xml:space="preserve">Grönberg 2014, PMID 25041740.</w:t>
      </w:r>
    </w:p>
  </w:footnote>
  <w:footnote w:id="1095">
    <w:p>
      <w:pPr>
        <w:pStyle w:val="FootnoteText"/>
      </w:pPr>
      <w:r>
        <w:rPr>
          <w:rStyle w:val="FootnoteReference"/>
        </w:rPr>
        <w:footnoteRef/>
      </w:r>
      <w:r>
        <w:t xml:space="preserve"> </w:t>
      </w:r>
      <w:r>
        <w:t xml:space="preserve">Mahlapuu 2021, PMID 34687253.</w:t>
      </w:r>
    </w:p>
  </w:footnote>
  <w:footnote w:id="1096">
    <w:p>
      <w:pPr>
        <w:pStyle w:val="FootnoteText"/>
      </w:pPr>
      <w:r>
        <w:rPr>
          <w:rStyle w:val="FootnoteReference"/>
        </w:rPr>
        <w:footnoteRef/>
      </w:r>
      <w:r>
        <w:t xml:space="preserve"> </w:t>
      </w:r>
      <w:r>
        <w:t xml:space="preserve">Miranda 2023, PMID 37480520.</w:t>
      </w:r>
    </w:p>
  </w:footnote>
  <w:footnote w:id="1097">
    <w:p>
      <w:pPr>
        <w:pStyle w:val="FootnoteText"/>
      </w:pPr>
      <w:r>
        <w:rPr>
          <w:rStyle w:val="FootnoteReference"/>
        </w:rPr>
        <w:footnoteRef/>
      </w:r>
      <w:r>
        <w:t xml:space="preserve"> </w:t>
      </w:r>
      <w:r>
        <w:t xml:space="preserve">Zhao 2023, PMID 37605995.</w:t>
      </w:r>
    </w:p>
  </w:footnote>
  <w:footnote w:id="1099">
    <w:p>
      <w:pPr>
        <w:pStyle w:val="FootnoteText"/>
      </w:pPr>
      <w:r>
        <w:rPr>
          <w:rStyle w:val="FootnoteReference"/>
        </w:rPr>
        <w:footnoteRef/>
      </w:r>
      <w:r>
        <w:t xml:space="preserve"> </w:t>
      </w:r>
      <w:r>
        <w:t xml:space="preserve">Majewski 2017, PMID 28956425.</w:t>
      </w:r>
    </w:p>
  </w:footnote>
  <w:footnote w:id="1100">
    <w:p>
      <w:pPr>
        <w:pStyle w:val="FootnoteText"/>
      </w:pPr>
      <w:r>
        <w:rPr>
          <w:rStyle w:val="FootnoteReference"/>
        </w:rPr>
        <w:footnoteRef/>
      </w:r>
      <w:r>
        <w:t xml:space="preserve"> </w:t>
      </w:r>
      <w:r>
        <w:t xml:space="preserve">Savonius 2018, PMID 28827496.</w:t>
      </w:r>
    </w:p>
  </w:footnote>
  <w:footnote w:id="1101">
    <w:p>
      <w:pPr>
        <w:pStyle w:val="FootnoteText"/>
      </w:pPr>
      <w:r>
        <w:rPr>
          <w:rStyle w:val="FootnoteReference"/>
        </w:rPr>
        <w:footnoteRef/>
      </w:r>
      <w:r>
        <w:t xml:space="preserve"> </w:t>
      </w:r>
      <w:r>
        <w:t xml:space="preserve">Quraishi 2015, PMID 26086941.</w:t>
      </w:r>
    </w:p>
  </w:footnote>
  <w:footnote w:id="1103">
    <w:p>
      <w:pPr>
        <w:pStyle w:val="FootnoteText"/>
      </w:pPr>
      <w:r>
        <w:rPr>
          <w:rStyle w:val="FootnoteReference"/>
        </w:rPr>
        <w:footnoteRef/>
      </w:r>
      <w:r>
        <w:t xml:space="preserve"> </w:t>
      </w:r>
      <w:r>
        <w:t xml:space="preserve">Mily 2015, PMID 26394045.</w:t>
      </w:r>
    </w:p>
  </w:footnote>
  <w:footnote w:id="1106">
    <w:p>
      <w:pPr>
        <w:pStyle w:val="FootnoteText"/>
      </w:pPr>
      <w:r>
        <w:rPr>
          <w:rStyle w:val="FootnoteReference"/>
        </w:rPr>
        <w:footnoteRef/>
      </w:r>
      <w:r>
        <w:t xml:space="preserve"> </w:t>
      </w:r>
      <w:r>
        <w:t xml:space="preserve">Chen 2018, PMID 29843147.</w:t>
      </w:r>
    </w:p>
  </w:footnote>
  <w:footnote w:id="1107">
    <w:p>
      <w:pPr>
        <w:pStyle w:val="FootnoteText"/>
      </w:pPr>
      <w:r>
        <w:rPr>
          <w:rStyle w:val="FootnoteReference"/>
        </w:rPr>
        <w:footnoteRef/>
      </w:r>
      <w:r>
        <w:t xml:space="preserve"> </w:t>
      </w:r>
      <w:r>
        <w:t xml:space="preserve">Gombart 2005, PMID 15985530.</w:t>
      </w:r>
    </w:p>
  </w:footnote>
  <w:footnote w:id="1109">
    <w:p>
      <w:pPr>
        <w:pStyle w:val="FootnoteText"/>
      </w:pPr>
      <w:r>
        <w:rPr>
          <w:rStyle w:val="FootnoteReference"/>
        </w:rPr>
        <w:footnoteRef/>
      </w:r>
      <w:r>
        <w:t xml:space="preserve"> </w:t>
      </w:r>
      <w:r>
        <w:t xml:space="preserve">Grönberg 2014, PMID 25041740; Mahlapuu 2021, PMID 34687253.</w:t>
      </w:r>
    </w:p>
  </w:footnote>
  <w:footnote w:id="1110">
    <w:p>
      <w:pPr>
        <w:pStyle w:val="FootnoteText"/>
      </w:pPr>
      <w:r>
        <w:rPr>
          <w:rStyle w:val="FootnoteReference"/>
        </w:rPr>
        <w:footnoteRef/>
      </w:r>
      <w:r>
        <w:t xml:space="preserve"> </w:t>
      </w:r>
      <w:r>
        <w:t xml:space="preserve">Dolkar 2018, PMID 29665030.</w:t>
      </w:r>
    </w:p>
  </w:footnote>
  <w:footnote w:id="1112">
    <w:p>
      <w:pPr>
        <w:pStyle w:val="FootnoteText"/>
      </w:pPr>
      <w:r>
        <w:rPr>
          <w:rStyle w:val="FootnoteReference"/>
        </w:rPr>
        <w:footnoteRef/>
      </w:r>
      <w:r>
        <w:t xml:space="preserve"> </w:t>
      </w:r>
      <w:r>
        <w:t xml:space="preserve">Lande 2007, PMID 17873860; Lande 2014, PMID 25470744.</w:t>
      </w:r>
    </w:p>
  </w:footnote>
  <w:footnote w:id="1113">
    <w:p>
      <w:pPr>
        <w:pStyle w:val="FootnoteText"/>
      </w:pPr>
      <w:r>
        <w:rPr>
          <w:rStyle w:val="FootnoteReference"/>
        </w:rPr>
        <w:footnoteRef/>
      </w:r>
      <w:r>
        <w:t xml:space="preserve"> </w:t>
      </w:r>
      <w:r>
        <w:t xml:space="preserve">Yamasaki 2007, PMID 17676051.</w:t>
      </w:r>
    </w:p>
  </w:footnote>
  <w:footnote w:id="1114">
    <w:p>
      <w:pPr>
        <w:pStyle w:val="FootnoteText"/>
      </w:pPr>
      <w:r>
        <w:rPr>
          <w:rStyle w:val="FootnoteReference"/>
        </w:rPr>
        <w:footnoteRef/>
      </w:r>
      <w:r>
        <w:t xml:space="preserve"> </w:t>
      </w:r>
      <w:r>
        <w:t xml:space="preserve">Chen 2018, PMID 29843147.</w:t>
      </w:r>
    </w:p>
  </w:footnote>
  <w:footnote w:id="1119">
    <w:p>
      <w:pPr>
        <w:pStyle w:val="FootnoteText"/>
      </w:pPr>
      <w:r>
        <w:rPr>
          <w:rStyle w:val="FootnoteReference"/>
        </w:rPr>
        <w:footnoteRef/>
      </w:r>
      <w:r>
        <w:t xml:space="preserve"> </w:t>
      </w:r>
      <w:r>
        <w:t xml:space="preserve">Mahlapuu 2021, PMID 34687253.</w:t>
      </w:r>
    </w:p>
  </w:footnote>
  <w:footnote w:id="1122">
    <w:p>
      <w:pPr>
        <w:pStyle w:val="FootnoteText"/>
      </w:pPr>
      <w:r>
        <w:rPr>
          <w:rStyle w:val="FootnoteReference"/>
        </w:rPr>
        <w:footnoteRef/>
      </w:r>
      <w:r>
        <w:t xml:space="preserve"> </w:t>
      </w:r>
      <w:r>
        <w:t xml:space="preserve">Winicki 2022, PMID 36741836.</w:t>
      </w:r>
    </w:p>
  </w:footnote>
  <w:footnote w:id="1123">
    <w:p>
      <w:pPr>
        <w:pStyle w:val="FootnoteText"/>
      </w:pPr>
      <w:r>
        <w:rPr>
          <w:rStyle w:val="FootnoteReference"/>
        </w:rPr>
        <w:footnoteRef/>
      </w:r>
      <w:r>
        <w:t xml:space="preserve"> </w:t>
      </w:r>
      <w:r>
        <w:t xml:space="preserve">Thomas 2017, PMID 28941172.</w:t>
      </w:r>
    </w:p>
  </w:footnote>
  <w:footnote w:id="1125">
    <w:p>
      <w:pPr>
        <w:pStyle w:val="FootnoteText"/>
      </w:pPr>
      <w:r>
        <w:rPr>
          <w:rStyle w:val="FootnoteReference"/>
        </w:rPr>
        <w:footnoteRef/>
      </w:r>
      <w:r>
        <w:t xml:space="preserve"> </w:t>
      </w:r>
      <w:r>
        <w:t xml:space="preserve">Swartjes 2014, PMID 24529189.</w:t>
      </w:r>
    </w:p>
  </w:footnote>
  <w:footnote w:id="1126">
    <w:p>
      <w:pPr>
        <w:pStyle w:val="FootnoteText"/>
      </w:pPr>
      <w:r>
        <w:rPr>
          <w:rStyle w:val="FootnoteReference"/>
        </w:rPr>
        <w:footnoteRef/>
      </w:r>
      <w:r>
        <w:t xml:space="preserve"> </w:t>
      </w:r>
      <w:r>
        <w:t xml:space="preserve">Thomas 2017, PMID 28941172.</w:t>
      </w:r>
    </w:p>
  </w:footnote>
  <w:footnote w:id="1128">
    <w:p>
      <w:pPr>
        <w:pStyle w:val="FootnoteText"/>
      </w:pPr>
      <w:r>
        <w:rPr>
          <w:rStyle w:val="FootnoteReference"/>
        </w:rPr>
        <w:footnoteRef/>
      </w:r>
      <w:r>
        <w:t xml:space="preserve"> </w:t>
      </w:r>
      <w:r>
        <w:t xml:space="preserve">Heij 2012, PMID 23168581.</w:t>
      </w:r>
    </w:p>
  </w:footnote>
  <w:footnote w:id="1129">
    <w:p>
      <w:pPr>
        <w:pStyle w:val="FootnoteText"/>
      </w:pPr>
      <w:r>
        <w:rPr>
          <w:rStyle w:val="FootnoteReference"/>
        </w:rPr>
        <w:footnoteRef/>
      </w:r>
      <w:r>
        <w:t xml:space="preserve"> </w:t>
      </w:r>
      <w:r>
        <w:t xml:space="preserve">Culver 2017, PMID 28475703.</w:t>
      </w:r>
    </w:p>
  </w:footnote>
  <w:footnote w:id="1130">
    <w:p>
      <w:pPr>
        <w:pStyle w:val="FootnoteText"/>
      </w:pPr>
      <w:r>
        <w:rPr>
          <w:rStyle w:val="FootnoteReference"/>
        </w:rPr>
        <w:footnoteRef/>
      </w:r>
      <w:r>
        <w:t xml:space="preserve"> </w:t>
      </w:r>
      <w:r>
        <w:t xml:space="preserve">van Velzen 2014, PMID 24555851.</w:t>
      </w:r>
    </w:p>
  </w:footnote>
  <w:footnote w:id="1132">
    <w:p>
      <w:pPr>
        <w:pStyle w:val="FootnoteText"/>
      </w:pPr>
      <w:r>
        <w:rPr>
          <w:rStyle w:val="FootnoteReference"/>
        </w:rPr>
        <w:footnoteRef/>
      </w:r>
      <w:r>
        <w:t xml:space="preserve"> </w:t>
      </w:r>
      <w:r>
        <w:t xml:space="preserve">Brines 2015, PMID 25387363.</w:t>
      </w:r>
    </w:p>
  </w:footnote>
  <w:footnote w:id="1133">
    <w:p>
      <w:pPr>
        <w:pStyle w:val="FootnoteText"/>
      </w:pPr>
      <w:r>
        <w:rPr>
          <w:rStyle w:val="FootnoteReference"/>
        </w:rPr>
        <w:footnoteRef/>
      </w:r>
      <w:r>
        <w:t xml:space="preserve"> </w:t>
      </w:r>
      <w:r>
        <w:t xml:space="preserve">NCT01933529.</w:t>
      </w:r>
    </w:p>
  </w:footnote>
  <w:footnote w:id="1134">
    <w:p>
      <w:pPr>
        <w:pStyle w:val="FootnoteText"/>
      </w:pPr>
      <w:r>
        <w:rPr>
          <w:rStyle w:val="FootnoteReference"/>
        </w:rPr>
        <w:footnoteRef/>
      </w:r>
      <w:r>
        <w:t xml:space="preserve"> </w:t>
      </w:r>
      <w:r>
        <w:t xml:space="preserve">Lois 2020, PMID 32674280.</w:t>
      </w:r>
    </w:p>
  </w:footnote>
  <w:footnote w:id="1137">
    <w:p>
      <w:pPr>
        <w:pStyle w:val="FootnoteText"/>
      </w:pPr>
      <w:r>
        <w:rPr>
          <w:rStyle w:val="FootnoteReference"/>
        </w:rPr>
        <w:footnoteRef/>
      </w:r>
      <w:r>
        <w:t xml:space="preserve"> </w:t>
      </w:r>
      <w:r>
        <w:t xml:space="preserve">Swartjes 2014, PMID 24529189; Pulman 2013, PMID 23262243.</w:t>
      </w:r>
    </w:p>
  </w:footnote>
  <w:footnote w:id="1138">
    <w:p>
      <w:pPr>
        <w:pStyle w:val="FootnoteText"/>
      </w:pPr>
      <w:r>
        <w:rPr>
          <w:rStyle w:val="FootnoteReference"/>
        </w:rPr>
        <w:footnoteRef/>
      </w:r>
      <w:r>
        <w:t xml:space="preserve"> </w:t>
      </w:r>
      <w:r>
        <w:t xml:space="preserve">van Rijt 2013, PMID 23302512.</w:t>
      </w:r>
    </w:p>
  </w:footnote>
  <w:footnote w:id="1139">
    <w:p>
      <w:pPr>
        <w:pStyle w:val="FootnoteText"/>
      </w:pPr>
      <w:r>
        <w:rPr>
          <w:rStyle w:val="FootnoteReference"/>
        </w:rPr>
        <w:footnoteRef/>
      </w:r>
      <w:r>
        <w:t xml:space="preserve"> </w:t>
      </w:r>
      <w:r>
        <w:t xml:space="preserve">Muller 2016, PMID 26736179.</w:t>
      </w:r>
    </w:p>
  </w:footnote>
  <w:footnote w:id="1140">
    <w:p>
      <w:pPr>
        <w:pStyle w:val="FootnoteText"/>
      </w:pPr>
      <w:r>
        <w:rPr>
          <w:rStyle w:val="FootnoteReference"/>
        </w:rPr>
        <w:footnoteRef/>
      </w:r>
      <w:r>
        <w:t xml:space="preserve"> </w:t>
      </w:r>
      <w:r>
        <w:t xml:space="preserve">Al-Onaizi 2022, PMID 34343617.</w:t>
      </w:r>
    </w:p>
  </w:footnote>
  <w:footnote w:id="1141">
    <w:p>
      <w:pPr>
        <w:pStyle w:val="FootnoteText"/>
      </w:pPr>
      <w:r>
        <w:rPr>
          <w:rStyle w:val="FootnoteReference"/>
        </w:rPr>
        <w:footnoteRef/>
      </w:r>
      <w:r>
        <w:t xml:space="preserve"> </w:t>
      </w:r>
      <w:r>
        <w:t xml:space="preserve">Winicki 2022, PMID 36741836.</w:t>
      </w:r>
    </w:p>
  </w:footnote>
  <w:footnote w:id="1143">
    <w:p>
      <w:pPr>
        <w:pStyle w:val="FootnoteText"/>
      </w:pPr>
      <w:r>
        <w:rPr>
          <w:rStyle w:val="FootnoteReference"/>
        </w:rPr>
        <w:footnoteRef/>
      </w:r>
      <w:r>
        <w:t xml:space="preserve"> </w:t>
      </w:r>
      <w:r>
        <w:t xml:space="preserve">Heij 2012, PMID 23168581; Brines 2015, PMID 25387363.</w:t>
      </w:r>
    </w:p>
  </w:footnote>
  <w:footnote w:id="1144">
    <w:p>
      <w:pPr>
        <w:pStyle w:val="FootnoteText"/>
      </w:pPr>
      <w:r>
        <w:rPr>
          <w:rStyle w:val="FootnoteReference"/>
        </w:rPr>
        <w:footnoteRef/>
      </w:r>
      <w:r>
        <w:t xml:space="preserve"> </w:t>
      </w:r>
      <w:r>
        <w:t xml:space="preserve">Lois 2020, PMID 32674280.</w:t>
      </w:r>
    </w:p>
  </w:footnote>
  <w:footnote w:id="1149">
    <w:p>
      <w:pPr>
        <w:pStyle w:val="FootnoteText"/>
      </w:pPr>
      <w:r>
        <w:rPr>
          <w:rStyle w:val="FootnoteReference"/>
        </w:rPr>
        <w:footnoteRef/>
      </w:r>
      <w:r>
        <w:t xml:space="preserve"> </w:t>
      </w:r>
      <w:r>
        <w:t xml:space="preserve">NCT02039687.</w:t>
      </w:r>
    </w:p>
  </w:footnote>
  <w:footnote w:id="1150">
    <w:p>
      <w:pPr>
        <w:pStyle w:val="FootnoteText"/>
      </w:pPr>
      <w:r>
        <w:rPr>
          <w:rStyle w:val="FootnoteReference"/>
        </w:rPr>
        <w:footnoteRef/>
      </w:r>
      <w:r>
        <w:t xml:space="preserve"> </w:t>
      </w:r>
      <w:r>
        <w:t xml:space="preserve">NCT06626971.</w:t>
      </w:r>
    </w:p>
  </w:footnote>
  <w:footnote w:id="1152">
    <w:p>
      <w:pPr>
        <w:pStyle w:val="FootnoteText"/>
      </w:pPr>
      <w:r>
        <w:rPr>
          <w:rStyle w:val="FootnoteReference"/>
        </w:rPr>
        <w:footnoteRef/>
      </w:r>
      <w:r>
        <w:t xml:space="preserve"> </w:t>
      </w:r>
      <w:r>
        <w:t xml:space="preserve">Culver 2017, PMID 28475703.</w:t>
      </w:r>
    </w:p>
  </w:footnote>
  <w:footnote w:id="1155">
    <w:p>
      <w:pPr>
        <w:pStyle w:val="FootnoteText"/>
      </w:pPr>
      <w:r>
        <w:rPr>
          <w:rStyle w:val="FootnoteReference"/>
        </w:rPr>
        <w:footnoteRef/>
      </w:r>
      <w:r>
        <w:t xml:space="preserve"> </w:t>
      </w:r>
      <w:r>
        <w:t xml:space="preserve">Gopalakrishnan 2012, PMID 22401908.</w:t>
      </w:r>
    </w:p>
  </w:footnote>
  <w:footnote w:id="1157">
    <w:p>
      <w:pPr>
        <w:pStyle w:val="FootnoteText"/>
      </w:pPr>
      <w:r>
        <w:rPr>
          <w:rStyle w:val="FootnoteReference"/>
        </w:rPr>
        <w:footnoteRef/>
      </w:r>
      <w:r>
        <w:t xml:space="preserve"> </w:t>
      </w:r>
      <w:r>
        <w:t xml:space="preserve">Gopalakrishnan 2012, PMID 22401908.</w:t>
      </w:r>
    </w:p>
  </w:footnote>
  <w:footnote w:id="1158">
    <w:p>
      <w:pPr>
        <w:pStyle w:val="FootnoteText"/>
      </w:pPr>
      <w:r>
        <w:rPr>
          <w:rStyle w:val="FootnoteReference"/>
        </w:rPr>
        <w:footnoteRef/>
      </w:r>
      <w:r>
        <w:t xml:space="preserve"> </w:t>
      </w:r>
      <w:r>
        <w:t xml:space="preserve">Slifer 2021, PMID 33881350.</w:t>
      </w:r>
    </w:p>
  </w:footnote>
  <w:footnote w:id="1160">
    <w:p>
      <w:pPr>
        <w:pStyle w:val="FootnoteText"/>
      </w:pPr>
      <w:r>
        <w:rPr>
          <w:rStyle w:val="FootnoteReference"/>
        </w:rPr>
        <w:footnoteRef/>
      </w:r>
      <w:r>
        <w:t xml:space="preserve"> </w:t>
      </w:r>
      <w:r>
        <w:t xml:space="preserve">Hoilat 2022, PMID 34339872.</w:t>
      </w:r>
    </w:p>
  </w:footnote>
  <w:footnote w:id="1161">
    <w:p>
      <w:pPr>
        <w:pStyle w:val="FootnoteText"/>
      </w:pPr>
      <w:r>
        <w:rPr>
          <w:rStyle w:val="FootnoteReference"/>
        </w:rPr>
        <w:footnoteRef/>
      </w:r>
      <w:r>
        <w:t xml:space="preserve"> </w:t>
      </w:r>
      <w:r>
        <w:t xml:space="preserve">Leffler 2012, PMID 22825365; Kelly 2013, PMID 23163616.</w:t>
      </w:r>
    </w:p>
  </w:footnote>
  <w:footnote w:id="1162">
    <w:p>
      <w:pPr>
        <w:pStyle w:val="FootnoteText"/>
      </w:pPr>
      <w:r>
        <w:rPr>
          <w:rStyle w:val="FootnoteReference"/>
        </w:rPr>
        <w:footnoteRef/>
      </w:r>
      <w:r>
        <w:t xml:space="preserve"> </w:t>
      </w:r>
      <w:r>
        <w:t xml:space="preserve">Kelly 2013, PMID 23163616.</w:t>
      </w:r>
    </w:p>
  </w:footnote>
  <w:footnote w:id="1163">
    <w:p>
      <w:pPr>
        <w:pStyle w:val="FootnoteText"/>
      </w:pPr>
      <w:r>
        <w:rPr>
          <w:rStyle w:val="FootnoteReference"/>
        </w:rPr>
        <w:footnoteRef/>
      </w:r>
      <w:r>
        <w:t xml:space="preserve"> </w:t>
      </w:r>
      <w:r>
        <w:t xml:space="preserve">Leffler 2015, PMID 25683116.</w:t>
      </w:r>
    </w:p>
  </w:footnote>
  <w:footnote w:id="1164">
    <w:p>
      <w:pPr>
        <w:pStyle w:val="FootnoteText"/>
      </w:pPr>
      <w:r>
        <w:rPr>
          <w:rStyle w:val="FootnoteReference"/>
        </w:rPr>
        <w:footnoteRef/>
      </w:r>
      <w:r>
        <w:t xml:space="preserve"> </w:t>
      </w:r>
      <w:r>
        <w:t xml:space="preserve">Hoilat 2022, PMID 34339872.</w:t>
      </w:r>
    </w:p>
  </w:footnote>
  <w:footnote w:id="1166">
    <w:p>
      <w:pPr>
        <w:pStyle w:val="FootnoteText"/>
      </w:pPr>
      <w:r>
        <w:rPr>
          <w:rStyle w:val="FootnoteReference"/>
        </w:rPr>
        <w:footnoteRef/>
      </w:r>
      <w:r>
        <w:t xml:space="preserve"> </w:t>
      </w:r>
      <w:r>
        <w:t xml:space="preserve">NCT03569007.</w:t>
      </w:r>
    </w:p>
  </w:footnote>
  <w:footnote w:id="1167">
    <w:p>
      <w:pPr>
        <w:pStyle w:val="FootnoteText"/>
      </w:pPr>
      <w:r>
        <w:rPr>
          <w:rStyle w:val="FootnoteReference"/>
        </w:rPr>
        <w:footnoteRef/>
      </w:r>
      <w:r>
        <w:t xml:space="preserve"> </w:t>
      </w:r>
      <w:r>
        <w:t xml:space="preserve">D’heedene 2024, PMID 38648685.</w:t>
      </w:r>
    </w:p>
  </w:footnote>
  <w:footnote w:id="1168">
    <w:p>
      <w:pPr>
        <w:pStyle w:val="FootnoteText"/>
      </w:pPr>
      <w:r>
        <w:rPr>
          <w:rStyle w:val="FootnoteReference"/>
        </w:rPr>
        <w:footnoteRef/>
      </w:r>
      <w:r>
        <w:t xml:space="preserve"> </w:t>
      </w:r>
      <w:r>
        <w:t xml:space="preserve">Girbal-González 2025, PMID 41010485.</w:t>
      </w:r>
    </w:p>
  </w:footnote>
  <w:footnote w:id="1170">
    <w:p>
      <w:pPr>
        <w:pStyle w:val="FootnoteText"/>
      </w:pPr>
      <w:r>
        <w:rPr>
          <w:rStyle w:val="FootnoteReference"/>
        </w:rPr>
        <w:footnoteRef/>
      </w:r>
      <w:r>
        <w:t xml:space="preserve"> </w:t>
      </w:r>
      <w:r>
        <w:t xml:space="preserve">Yonker 2022, PMID 35211683.</w:t>
      </w:r>
    </w:p>
  </w:footnote>
  <w:footnote w:id="1171">
    <w:p>
      <w:pPr>
        <w:pStyle w:val="FootnoteText"/>
      </w:pPr>
      <w:r>
        <w:rPr>
          <w:rStyle w:val="FootnoteReference"/>
        </w:rPr>
        <w:footnoteRef/>
      </w:r>
      <w:r>
        <w:t xml:space="preserve"> </w:t>
      </w:r>
      <w:r>
        <w:t xml:space="preserve">Yonker 2025, PMID 40737433.</w:t>
      </w:r>
    </w:p>
  </w:footnote>
  <w:footnote w:id="1172">
    <w:p>
      <w:pPr>
        <w:pStyle w:val="FootnoteText"/>
      </w:pPr>
      <w:r>
        <w:rPr>
          <w:rStyle w:val="FootnoteReference"/>
        </w:rPr>
        <w:footnoteRef/>
      </w:r>
      <w:r>
        <w:t xml:space="preserve"> </w:t>
      </w:r>
      <w:r>
        <w:t xml:space="preserve">NCT05022303.</w:t>
      </w:r>
    </w:p>
  </w:footnote>
  <w:footnote w:id="1173">
    <w:p>
      <w:pPr>
        <w:pStyle w:val="FootnoteText"/>
      </w:pPr>
      <w:r>
        <w:rPr>
          <w:rStyle w:val="FootnoteReference"/>
        </w:rPr>
        <w:footnoteRef/>
      </w:r>
      <w:r>
        <w:t xml:space="preserve"> </w:t>
      </w:r>
      <w:r>
        <w:t xml:space="preserve">NCT05747534.</w:t>
      </w:r>
    </w:p>
  </w:footnote>
  <w:footnote w:id="1176">
    <w:p>
      <w:pPr>
        <w:pStyle w:val="FootnoteText"/>
      </w:pPr>
      <w:r>
        <w:rPr>
          <w:rStyle w:val="FootnoteReference"/>
        </w:rPr>
        <w:footnoteRef/>
      </w:r>
      <w:r>
        <w:t xml:space="preserve"> </w:t>
      </w:r>
      <w:r>
        <w:t xml:space="preserve">Tajik 2020, PMID 32332732.</w:t>
      </w:r>
    </w:p>
  </w:footnote>
  <w:footnote w:id="1177">
    <w:p>
      <w:pPr>
        <w:pStyle w:val="FootnoteText"/>
      </w:pPr>
      <w:r>
        <w:rPr>
          <w:rStyle w:val="FootnoteReference"/>
        </w:rPr>
        <w:footnoteRef/>
      </w:r>
      <w:r>
        <w:t xml:space="preserve"> </w:t>
      </w:r>
      <w:r>
        <w:t xml:space="preserve">Slifer 2021, PMID 33881350.</w:t>
      </w:r>
    </w:p>
  </w:footnote>
  <w:footnote w:id="1178">
    <w:p>
      <w:pPr>
        <w:pStyle w:val="FootnoteText"/>
      </w:pPr>
      <w:r>
        <w:rPr>
          <w:rStyle w:val="FootnoteReference"/>
        </w:rPr>
        <w:footnoteRef/>
      </w:r>
      <w:r>
        <w:t xml:space="preserve"> </w:t>
      </w:r>
      <w:r>
        <w:t xml:space="preserve">Karahan 2024, PMID 38441784; Caliskan 2021, PMID 34791921.</w:t>
      </w:r>
    </w:p>
  </w:footnote>
  <w:footnote w:id="1180">
    <w:p>
      <w:pPr>
        <w:pStyle w:val="FootnoteText"/>
      </w:pPr>
      <w:r>
        <w:rPr>
          <w:rStyle w:val="FootnoteReference"/>
        </w:rPr>
        <w:footnoteRef/>
      </w:r>
      <w:r>
        <w:t xml:space="preserve"> </w:t>
      </w:r>
      <w:r>
        <w:t xml:space="preserve">Leffler 2012, PMID 22825365.</w:t>
      </w:r>
    </w:p>
  </w:footnote>
  <w:footnote w:id="1181">
    <w:p>
      <w:pPr>
        <w:pStyle w:val="FootnoteText"/>
      </w:pPr>
      <w:r>
        <w:rPr>
          <w:rStyle w:val="FootnoteReference"/>
        </w:rPr>
        <w:footnoteRef/>
      </w:r>
      <w:r>
        <w:t xml:space="preserve"> </w:t>
      </w:r>
      <w:r>
        <w:t xml:space="preserve">Leffler 2015, PMID 25683116.</w:t>
      </w:r>
    </w:p>
  </w:footnote>
  <w:footnote w:id="1182">
    <w:p>
      <w:pPr>
        <w:pStyle w:val="FootnoteText"/>
      </w:pPr>
      <w:r>
        <w:rPr>
          <w:rStyle w:val="FootnoteReference"/>
        </w:rPr>
        <w:footnoteRef/>
      </w:r>
      <w:r>
        <w:t xml:space="preserve"> </w:t>
      </w:r>
      <w:r>
        <w:t xml:space="preserve">Hoilat 2022, PMID 34339872.</w:t>
      </w:r>
    </w:p>
  </w:footnote>
  <w:footnote w:id="1187">
    <w:p>
      <w:pPr>
        <w:pStyle w:val="FootnoteText"/>
      </w:pPr>
      <w:r>
        <w:rPr>
          <w:rStyle w:val="FootnoteReference"/>
        </w:rPr>
        <w:footnoteRef/>
      </w:r>
      <w:r>
        <w:t xml:space="preserve"> </w:t>
      </w:r>
      <w:r>
        <w:t xml:space="preserve">NCT05747534.</w:t>
      </w:r>
    </w:p>
  </w:footnote>
  <w:footnote w:id="1188">
    <w:p>
      <w:pPr>
        <w:pStyle w:val="FootnoteText"/>
      </w:pPr>
      <w:r>
        <w:rPr>
          <w:rStyle w:val="FootnoteReference"/>
        </w:rPr>
        <w:footnoteRef/>
      </w:r>
      <w:r>
        <w:t xml:space="preserve"> </w:t>
      </w:r>
      <w:r>
        <w:t xml:space="preserve">D’heedene 2024, PMID 38648685.</w:t>
      </w:r>
    </w:p>
  </w:footnote>
  <w:footnote w:id="1190">
    <w:p>
      <w:pPr>
        <w:pStyle w:val="FootnoteText"/>
      </w:pPr>
      <w:r>
        <w:rPr>
          <w:rStyle w:val="FootnoteReference"/>
        </w:rPr>
        <w:footnoteRef/>
      </w:r>
      <w:r>
        <w:t xml:space="preserve"> </w:t>
      </w:r>
      <w:r>
        <w:t xml:space="preserve">Leffler 2015, PMID 25683116.</w:t>
      </w:r>
    </w:p>
  </w:footnote>
  <w:footnote w:id="1193">
    <w:p>
      <w:pPr>
        <w:pStyle w:val="FootnoteText"/>
      </w:pPr>
      <w:r>
        <w:rPr>
          <w:rStyle w:val="FootnoteReference"/>
        </w:rPr>
        <w:footnoteRef/>
      </w:r>
      <w:r>
        <w:t xml:space="preserve"> </w:t>
      </w:r>
      <w:r>
        <w:t xml:space="preserve">Morozov 1997, PMID 9637345.</w:t>
      </w:r>
    </w:p>
  </w:footnote>
  <w:footnote w:id="1194">
    <w:p>
      <w:pPr>
        <w:pStyle w:val="FootnoteText"/>
      </w:pPr>
      <w:r>
        <w:rPr>
          <w:rStyle w:val="FootnoteReference"/>
        </w:rPr>
        <w:footnoteRef/>
      </w:r>
      <w:r>
        <w:t xml:space="preserve"> </w:t>
      </w:r>
      <w:r>
        <w:t xml:space="preserve">Linkova 2023, PMID 37686182.</w:t>
      </w:r>
    </w:p>
  </w:footnote>
  <w:footnote w:id="1195">
    <w:p>
      <w:pPr>
        <w:pStyle w:val="FootnoteText"/>
      </w:pPr>
      <w:r>
        <w:rPr>
          <w:rStyle w:val="FootnoteReference"/>
        </w:rPr>
        <w:footnoteRef/>
      </w:r>
      <w:r>
        <w:t xml:space="preserve"> </w:t>
      </w:r>
      <w:r>
        <w:t xml:space="preserve">Anisimov 2000, PMID 11707921.</w:t>
      </w:r>
    </w:p>
  </w:footnote>
  <w:footnote w:id="1197">
    <w:p>
      <w:pPr>
        <w:pStyle w:val="FootnoteText"/>
      </w:pPr>
      <w:r>
        <w:rPr>
          <w:rStyle w:val="FootnoteReference"/>
        </w:rPr>
        <w:footnoteRef/>
      </w:r>
      <w:r>
        <w:t xml:space="preserve"> </w:t>
      </w:r>
      <w:r>
        <w:t xml:space="preserve">Morozov 1997, PMID 9637345.</w:t>
      </w:r>
    </w:p>
  </w:footnote>
  <w:footnote w:id="1198">
    <w:p>
      <w:pPr>
        <w:pStyle w:val="FootnoteText"/>
      </w:pPr>
      <w:r>
        <w:rPr>
          <w:rStyle w:val="FootnoteReference"/>
        </w:rPr>
        <w:footnoteRef/>
      </w:r>
      <w:r>
        <w:t xml:space="preserve"> </w:t>
      </w:r>
      <w:r>
        <w:t xml:space="preserve">Khavinson 2002, PMID 12374906.</w:t>
      </w:r>
    </w:p>
  </w:footnote>
  <w:footnote w:id="1199">
    <w:p>
      <w:pPr>
        <w:pStyle w:val="FootnoteText"/>
      </w:pPr>
      <w:r>
        <w:rPr>
          <w:rStyle w:val="FootnoteReference"/>
        </w:rPr>
        <w:footnoteRef/>
      </w:r>
      <w:r>
        <w:t xml:space="preserve"> </w:t>
      </w:r>
      <w:r>
        <w:t xml:space="preserve">Linkova 2023, PMID 37686182.</w:t>
      </w:r>
    </w:p>
  </w:footnote>
  <w:footnote w:id="1201">
    <w:p>
      <w:pPr>
        <w:pStyle w:val="FootnoteText"/>
      </w:pPr>
      <w:r>
        <w:rPr>
          <w:rStyle w:val="FootnoteReference"/>
        </w:rPr>
        <w:footnoteRef/>
      </w:r>
      <w:r>
        <w:t xml:space="preserve"> </w:t>
      </w:r>
      <w:r>
        <w:t xml:space="preserve">Khavinson 2003, PMID 14523363.</w:t>
      </w:r>
    </w:p>
  </w:footnote>
  <w:footnote w:id="1203">
    <w:p>
      <w:pPr>
        <w:pStyle w:val="FootnoteText"/>
      </w:pPr>
      <w:r>
        <w:rPr>
          <w:rStyle w:val="FootnoteReference"/>
        </w:rPr>
        <w:footnoteRef/>
      </w:r>
      <w:r>
        <w:t xml:space="preserve"> </w:t>
      </w:r>
      <w:r>
        <w:t xml:space="preserve">Kuznik 2022, PMID 36169363.</w:t>
      </w:r>
    </w:p>
  </w:footnote>
  <w:footnote w:id="1204">
    <w:p>
      <w:pPr>
        <w:pStyle w:val="FootnoteText"/>
      </w:pPr>
      <w:r>
        <w:rPr>
          <w:rStyle w:val="FootnoteReference"/>
        </w:rPr>
        <w:footnoteRef/>
      </w:r>
      <w:r>
        <w:t xml:space="preserve"> </w:t>
      </w:r>
      <w:r>
        <w:t xml:space="preserve">Khavinson 2021, PMID 33575961.</w:t>
      </w:r>
    </w:p>
  </w:footnote>
  <w:footnote w:id="1206">
    <w:p>
      <w:pPr>
        <w:pStyle w:val="FootnoteText"/>
      </w:pPr>
      <w:r>
        <w:rPr>
          <w:rStyle w:val="FootnoteReference"/>
        </w:rPr>
        <w:footnoteRef/>
      </w:r>
      <w:r>
        <w:t xml:space="preserve"> </w:t>
      </w:r>
      <w:r>
        <w:t xml:space="preserve">Smirnov 2011, PMID 21957588.</w:t>
      </w:r>
    </w:p>
  </w:footnote>
  <w:footnote w:id="1210">
    <w:p>
      <w:pPr>
        <w:pStyle w:val="FootnoteText"/>
      </w:pPr>
      <w:r>
        <w:rPr>
          <w:rStyle w:val="FootnoteReference"/>
        </w:rPr>
        <w:footnoteRef/>
      </w:r>
      <w:r>
        <w:t xml:space="preserve"> </w:t>
      </w:r>
      <w:r>
        <w:t xml:space="preserve">Anisimov 2000, PMID 11707921.</w:t>
      </w:r>
    </w:p>
  </w:footnote>
  <w:footnote w:id="1211">
    <w:p>
      <w:pPr>
        <w:pStyle w:val="FootnoteText"/>
      </w:pPr>
      <w:r>
        <w:rPr>
          <w:rStyle w:val="FootnoteReference"/>
        </w:rPr>
        <w:footnoteRef/>
      </w:r>
      <w:r>
        <w:t xml:space="preserve"> </w:t>
      </w:r>
      <w:r>
        <w:t xml:space="preserve">Khavinson 2020, PMID 33237528.</w:t>
      </w:r>
    </w:p>
  </w:footnote>
  <w:footnote w:id="1219">
    <w:p>
      <w:pPr>
        <w:pStyle w:val="FootnoteText"/>
      </w:pPr>
      <w:r>
        <w:rPr>
          <w:rStyle w:val="FootnoteReference"/>
        </w:rPr>
        <w:footnoteRef/>
      </w:r>
      <w:r>
        <w:t xml:space="preserve"> </w:t>
      </w:r>
      <w:r>
        <w:t xml:space="preserve">Khavinson 2003, PMID 14523363.</w:t>
      </w:r>
    </w:p>
  </w:footnote>
  <w:footnote w:id="1223">
    <w:p>
      <w:pPr>
        <w:pStyle w:val="FootnoteText"/>
      </w:pPr>
      <w:r>
        <w:rPr>
          <w:rStyle w:val="FootnoteReference"/>
        </w:rPr>
        <w:footnoteRef/>
      </w:r>
      <w:r>
        <w:t xml:space="preserve"> </w:t>
      </w:r>
      <w:r>
        <w:t xml:space="preserve">Kojima 1999, PMID 10604470.</w:t>
      </w:r>
    </w:p>
  </w:footnote>
  <w:footnote w:id="1225">
    <w:p>
      <w:pPr>
        <w:pStyle w:val="FootnoteText"/>
      </w:pPr>
      <w:r>
        <w:rPr>
          <w:rStyle w:val="FootnoteReference"/>
        </w:rPr>
        <w:footnoteRef/>
      </w:r>
      <w:r>
        <w:t xml:space="preserve"> </w:t>
      </w:r>
      <w:r>
        <w:t xml:space="preserve">Liu 2008, PMID 18347346.</w:t>
      </w:r>
    </w:p>
  </w:footnote>
  <w:footnote w:id="1226">
    <w:p>
      <w:pPr>
        <w:pStyle w:val="FootnoteText"/>
      </w:pPr>
      <w:r>
        <w:rPr>
          <w:rStyle w:val="FootnoteReference"/>
        </w:rPr>
        <w:footnoteRef/>
      </w:r>
      <w:r>
        <w:t xml:space="preserve"> </w:t>
      </w:r>
      <w:r>
        <w:t xml:space="preserve">Liu 2007, PMID 17227934.</w:t>
      </w:r>
    </w:p>
  </w:footnote>
  <w:footnote w:id="1228">
    <w:p>
      <w:pPr>
        <w:pStyle w:val="FootnoteText"/>
      </w:pPr>
      <w:r>
        <w:rPr>
          <w:rStyle w:val="FootnoteReference"/>
        </w:rPr>
        <w:footnoteRef/>
      </w:r>
      <w:r>
        <w:t xml:space="preserve"> </w:t>
      </w:r>
      <w:r>
        <w:t xml:space="preserve">Renehan 2004, PMID 15110491.</w:t>
      </w:r>
    </w:p>
  </w:footnote>
  <w:footnote w:id="1229">
    <w:p>
      <w:pPr>
        <w:pStyle w:val="FootnoteText"/>
      </w:pPr>
      <w:r>
        <w:rPr>
          <w:rStyle w:val="FootnoteReference"/>
        </w:rPr>
        <w:footnoteRef/>
      </w:r>
      <w:r>
        <w:t xml:space="preserve"> </w:t>
      </w:r>
      <w:r>
        <w:t xml:space="preserve">Murphy 2020, PMID 32169310; Murphy 2020, PMID 31884074.</w:t>
      </w:r>
    </w:p>
  </w:footnote>
  <w:footnote w:id="1230">
    <w:p>
      <w:pPr>
        <w:pStyle w:val="FootnoteText"/>
      </w:pPr>
      <w:r>
        <w:rPr>
          <w:rStyle w:val="FootnoteReference"/>
        </w:rPr>
        <w:footnoteRef/>
      </w:r>
      <w:r>
        <w:t xml:space="preserve"> </w:t>
      </w:r>
      <w:r>
        <w:t xml:space="preserve">Dal 2018, PMID 29590449.</w:t>
      </w:r>
    </w:p>
  </w:footnote>
  <w:footnote w:id="1231">
    <w:p>
      <w:pPr>
        <w:pStyle w:val="FootnoteText"/>
      </w:pPr>
      <w:r>
        <w:rPr>
          <w:rStyle w:val="FootnoteReference"/>
        </w:rPr>
        <w:footnoteRef/>
      </w:r>
      <w:r>
        <w:t xml:space="preserve"> </w:t>
      </w:r>
      <w:r>
        <w:t xml:space="preserve">Guevara-Aguirre 2011, PMID 21325617.</w:t>
      </w:r>
    </w:p>
  </w:footnote>
  <w:footnote w:id="1232">
    <w:p>
      <w:pPr>
        <w:pStyle w:val="FootnoteText"/>
      </w:pPr>
      <w:r>
        <w:rPr>
          <w:rStyle w:val="FootnoteReference"/>
        </w:rPr>
        <w:footnoteRef/>
      </w:r>
      <w:r>
        <w:t xml:space="preserve"> </w:t>
      </w:r>
      <w:r>
        <w:t xml:space="preserve">Swerdlow 2017, PMID 28187225.</w:t>
      </w:r>
    </w:p>
  </w:footnote>
  <w:footnote w:id="1233">
    <w:p>
      <w:pPr>
        <w:pStyle w:val="FootnoteText"/>
      </w:pPr>
      <w:r>
        <w:rPr>
          <w:rStyle w:val="FootnoteReference"/>
        </w:rPr>
        <w:footnoteRef/>
      </w:r>
      <w:r>
        <w:t xml:space="preserve"> </w:t>
      </w:r>
      <w:r>
        <w:t xml:space="preserve">Child 2015, PMID 25810462.</w:t>
      </w:r>
    </w:p>
  </w:footnote>
  <w:footnote w:id="1237">
    <w:p>
      <w:pPr>
        <w:pStyle w:val="FootnoteText"/>
      </w:pPr>
      <w:r>
        <w:rPr>
          <w:rStyle w:val="FootnoteReference"/>
        </w:rPr>
        <w:footnoteRef/>
      </w:r>
      <w:r>
        <w:t xml:space="preserve"> </w:t>
      </w:r>
      <w:r>
        <w:t xml:space="preserve">Prakash 1999, PMID 18031173.</w:t>
      </w:r>
    </w:p>
  </w:footnote>
  <w:footnote w:id="1239">
    <w:p>
      <w:pPr>
        <w:pStyle w:val="FootnoteText"/>
      </w:pPr>
      <w:r>
        <w:rPr>
          <w:rStyle w:val="FootnoteReference"/>
        </w:rPr>
        <w:footnoteRef/>
      </w:r>
      <w:r>
        <w:t xml:space="preserve"> </w:t>
      </w:r>
      <w:r>
        <w:t xml:space="preserve">Esposito 2003, PMID 14499707.</w:t>
      </w:r>
    </w:p>
  </w:footnote>
  <w:footnote w:id="1241">
    <w:p>
      <w:pPr>
        <w:pStyle w:val="FootnoteText"/>
      </w:pPr>
      <w:r>
        <w:rPr>
          <w:rStyle w:val="FootnoteReference"/>
        </w:rPr>
        <w:footnoteRef/>
      </w:r>
      <w:r>
        <w:t xml:space="preserve"> </w:t>
      </w:r>
      <w:r>
        <w:t xml:space="preserve">Thorner 1996, PMID 8772599.</w:t>
      </w:r>
    </w:p>
  </w:footnote>
  <w:footnote w:id="1242">
    <w:p>
      <w:pPr>
        <w:pStyle w:val="FootnoteText"/>
      </w:pPr>
      <w:r>
        <w:rPr>
          <w:rStyle w:val="FootnoteReference"/>
        </w:rPr>
        <w:footnoteRef/>
      </w:r>
      <w:r>
        <w:t xml:space="preserve"> </w:t>
      </w:r>
      <w:r>
        <w:t xml:space="preserve">Ross 1987, PMID 2879138.</w:t>
      </w:r>
    </w:p>
  </w:footnote>
  <w:footnote w:id="1243">
    <w:p>
      <w:pPr>
        <w:pStyle w:val="FootnoteText"/>
      </w:pPr>
      <w:r>
        <w:rPr>
          <w:rStyle w:val="FootnoteReference"/>
        </w:rPr>
        <w:footnoteRef/>
      </w:r>
      <w:r>
        <w:t xml:space="preserve"> </w:t>
      </w:r>
      <w:r>
        <w:t xml:space="preserve">Neyzi 1993, PMID 8329826.</w:t>
      </w:r>
    </w:p>
  </w:footnote>
  <w:footnote w:id="1244">
    <w:p>
      <w:pPr>
        <w:pStyle w:val="FootnoteText"/>
      </w:pPr>
      <w:r>
        <w:rPr>
          <w:rStyle w:val="FootnoteReference"/>
        </w:rPr>
        <w:footnoteRef/>
      </w:r>
      <w:r>
        <w:t xml:space="preserve"> </w:t>
      </w:r>
      <w:r>
        <w:t xml:space="preserve">Prakash 1999, PMID 18031173.</w:t>
      </w:r>
    </w:p>
  </w:footnote>
  <w:footnote w:id="1245">
    <w:p>
      <w:pPr>
        <w:pStyle w:val="FootnoteText"/>
      </w:pPr>
      <w:r>
        <w:rPr>
          <w:rStyle w:val="FootnoteReference"/>
        </w:rPr>
        <w:footnoteRef/>
      </w:r>
      <w:r>
        <w:t xml:space="preserve"> </w:t>
      </w:r>
      <w:r>
        <w:t xml:space="preserve">Kirk 1994, PMID 7955460.</w:t>
      </w:r>
    </w:p>
  </w:footnote>
  <w:footnote w:id="1247">
    <w:p>
      <w:pPr>
        <w:pStyle w:val="FootnoteText"/>
      </w:pPr>
      <w:r>
        <w:rPr>
          <w:rStyle w:val="FootnoteReference"/>
        </w:rPr>
        <w:footnoteRef/>
      </w:r>
      <w:r>
        <w:t xml:space="preserve"> </w:t>
      </w:r>
      <w:r>
        <w:t xml:space="preserve">Khorram 1997, PMID 9141536.</w:t>
      </w:r>
    </w:p>
  </w:footnote>
  <w:footnote w:id="1248">
    <w:p>
      <w:pPr>
        <w:pStyle w:val="FootnoteText"/>
      </w:pPr>
      <w:r>
        <w:rPr>
          <w:rStyle w:val="FootnoteReference"/>
        </w:rPr>
        <w:footnoteRef/>
      </w:r>
      <w:r>
        <w:t xml:space="preserve"> </w:t>
      </w:r>
      <w:r>
        <w:t xml:space="preserve">Khorram 1997, PMID 9360512.</w:t>
      </w:r>
    </w:p>
  </w:footnote>
  <w:footnote w:id="1249">
    <w:p>
      <w:pPr>
        <w:pStyle w:val="FootnoteText"/>
      </w:pPr>
      <w:r>
        <w:rPr>
          <w:rStyle w:val="FootnoteReference"/>
        </w:rPr>
        <w:footnoteRef/>
      </w:r>
      <w:r>
        <w:t xml:space="preserve"> </w:t>
      </w:r>
      <w:r>
        <w:t xml:space="preserve">Vittone 1997, PMID 9005976.</w:t>
      </w:r>
    </w:p>
  </w:footnote>
  <w:footnote w:id="1250">
    <w:p>
      <w:pPr>
        <w:pStyle w:val="FootnoteText"/>
      </w:pPr>
      <w:r>
        <w:rPr>
          <w:rStyle w:val="FootnoteReference"/>
        </w:rPr>
        <w:footnoteRef/>
      </w:r>
      <w:r>
        <w:t xml:space="preserve"> </w:t>
      </w:r>
      <w:r>
        <w:t xml:space="preserve">NCT00807365, NCT01410799.</w:t>
      </w:r>
    </w:p>
  </w:footnote>
  <w:footnote w:id="1252">
    <w:p>
      <w:pPr>
        <w:pStyle w:val="FootnoteText"/>
      </w:pPr>
      <w:r>
        <w:rPr>
          <w:rStyle w:val="FootnoteReference"/>
        </w:rPr>
        <w:footnoteRef/>
      </w:r>
      <w:r>
        <w:t xml:space="preserve"> </w:t>
      </w:r>
      <w:r>
        <w:t xml:space="preserve">Prakash 1999, PMID 18031173.</w:t>
      </w:r>
    </w:p>
  </w:footnote>
  <w:footnote w:id="1253">
    <w:p>
      <w:pPr>
        <w:pStyle w:val="FootnoteText"/>
      </w:pPr>
      <w:r>
        <w:rPr>
          <w:rStyle w:val="FootnoteReference"/>
        </w:rPr>
        <w:footnoteRef/>
      </w:r>
      <w:r>
        <w:t xml:space="preserve"> </w:t>
      </w:r>
      <w:r>
        <w:t xml:space="preserve">Garcia 2013, PMID 23559086.</w:t>
      </w:r>
    </w:p>
  </w:footnote>
  <w:footnote w:id="1255">
    <w:p>
      <w:pPr>
        <w:pStyle w:val="FootnoteText"/>
      </w:pPr>
      <w:r>
        <w:rPr>
          <w:rStyle w:val="FootnoteReference"/>
        </w:rPr>
        <w:footnoteRef/>
      </w:r>
      <w:r>
        <w:t xml:space="preserve"> </w:t>
      </w:r>
      <w:r>
        <w:t xml:space="preserve">Sigalos 2017, PMID 28830317.</w:t>
      </w:r>
    </w:p>
  </w:footnote>
  <w:footnote w:id="1258">
    <w:p>
      <w:pPr>
        <w:pStyle w:val="FootnoteText"/>
      </w:pPr>
      <w:r>
        <w:rPr>
          <w:rStyle w:val="FootnoteReference"/>
        </w:rPr>
        <w:footnoteRef/>
      </w:r>
      <w:r>
        <w:t xml:space="preserve"> </w:t>
      </w:r>
      <w:r>
        <w:t xml:space="preserve">Esposito 2003, PMID 14499707.</w:t>
      </w:r>
    </w:p>
  </w:footnote>
  <w:footnote w:id="1259">
    <w:p>
      <w:pPr>
        <w:pStyle w:val="FootnoteText"/>
      </w:pPr>
      <w:r>
        <w:rPr>
          <w:rStyle w:val="FootnoteReference"/>
        </w:rPr>
        <w:footnoteRef/>
      </w:r>
      <w:r>
        <w:t xml:space="preserve"> </w:t>
      </w:r>
      <w:r>
        <w:t xml:space="preserve">Chang 2021, PMID 33842627.</w:t>
      </w:r>
    </w:p>
  </w:footnote>
  <w:footnote w:id="1261">
    <w:p>
      <w:pPr>
        <w:pStyle w:val="FootnoteText"/>
      </w:pPr>
      <w:r>
        <w:rPr>
          <w:rStyle w:val="FootnoteReference"/>
        </w:rPr>
        <w:footnoteRef/>
      </w:r>
      <w:r>
        <w:t xml:space="preserve"> </w:t>
      </w:r>
      <w:r>
        <w:t xml:space="preserve">Prakash 1999, PMID 18031173.</w:t>
      </w:r>
    </w:p>
  </w:footnote>
  <w:footnote w:id="1262">
    <w:p>
      <w:pPr>
        <w:pStyle w:val="FootnoteText"/>
      </w:pPr>
      <w:r>
        <w:rPr>
          <w:rStyle w:val="FootnoteReference"/>
        </w:rPr>
        <w:footnoteRef/>
      </w:r>
      <w:r>
        <w:t xml:space="preserve"> </w:t>
      </w:r>
      <w:r>
        <w:t xml:space="preserve">Ross 1987, PMID 2879138.</w:t>
      </w:r>
    </w:p>
  </w:footnote>
  <w:footnote w:id="1263">
    <w:p>
      <w:pPr>
        <w:pStyle w:val="FootnoteText"/>
      </w:pPr>
      <w:r>
        <w:rPr>
          <w:rStyle w:val="FootnoteReference"/>
        </w:rPr>
        <w:footnoteRef/>
      </w:r>
      <w:r>
        <w:t xml:space="preserve"> </w:t>
      </w:r>
      <w:r>
        <w:t xml:space="preserve">Kirk 1994, PMID 7955460; Khorram 1997, PMID 9141536.</w:t>
      </w:r>
    </w:p>
  </w:footnote>
  <w:footnote w:id="1264">
    <w:p>
      <w:pPr>
        <w:pStyle w:val="FootnoteText"/>
      </w:pPr>
      <w:r>
        <w:rPr>
          <w:rStyle w:val="FootnoteReference"/>
        </w:rPr>
        <w:footnoteRef/>
      </w:r>
      <w:r>
        <w:t xml:space="preserve"> </w:t>
      </w:r>
      <w:r>
        <w:t xml:space="preserve">Perez 2026, PMID 42465868.</w:t>
      </w:r>
    </w:p>
  </w:footnote>
  <w:footnote w:id="1265">
    <w:p>
      <w:pPr>
        <w:pStyle w:val="FootnoteText"/>
      </w:pPr>
      <w:r>
        <w:rPr>
          <w:rStyle w:val="FootnoteReference"/>
        </w:rPr>
        <w:footnoteRef/>
      </w:r>
      <w:r>
        <w:t xml:space="preserve"> </w:t>
      </w:r>
      <w:r>
        <w:t xml:space="preserve">Venhuis 2016, PMID 26456392.</w:t>
      </w:r>
    </w:p>
  </w:footnote>
  <w:footnote w:id="1267">
    <w:p>
      <w:pPr>
        <w:pStyle w:val="FootnoteText"/>
      </w:pPr>
      <w:r>
        <w:rPr>
          <w:rStyle w:val="FootnoteReference"/>
        </w:rPr>
        <w:footnoteRef/>
      </w:r>
      <w:r>
        <w:t xml:space="preserve"> </w:t>
      </w:r>
      <w:r>
        <w:t xml:space="preserve">Garcia 2013, PMID 23559086.</w:t>
      </w:r>
    </w:p>
  </w:footnote>
  <w:footnote w:id="1268">
    <w:p>
      <w:pPr>
        <w:pStyle w:val="FootnoteText"/>
      </w:pPr>
      <w:r>
        <w:rPr>
          <w:rStyle w:val="FootnoteReference"/>
        </w:rPr>
        <w:footnoteRef/>
      </w:r>
      <w:r>
        <w:t xml:space="preserve"> </w:t>
      </w:r>
      <w:r>
        <w:t xml:space="preserve">Willis 2026, PMID 42752426.</w:t>
      </w:r>
    </w:p>
  </w:footnote>
  <w:footnote w:id="1269">
    <w:p>
      <w:pPr>
        <w:pStyle w:val="FootnoteText"/>
      </w:pPr>
      <w:r>
        <w:rPr>
          <w:rStyle w:val="FootnoteReference"/>
        </w:rPr>
        <w:footnoteRef/>
      </w:r>
      <w:r>
        <w:t xml:space="preserve"> </w:t>
      </w:r>
      <w:r>
        <w:t xml:space="preserve">Memdouh 2021, PMID 34665524.</w:t>
      </w:r>
    </w:p>
  </w:footnote>
  <w:footnote w:id="1274">
    <w:p>
      <w:pPr>
        <w:pStyle w:val="FootnoteText"/>
      </w:pPr>
      <w:r>
        <w:rPr>
          <w:rStyle w:val="FootnoteReference"/>
        </w:rPr>
        <w:footnoteRef/>
      </w:r>
      <w:r>
        <w:t xml:space="preserve"> </w:t>
      </w:r>
      <w:r>
        <w:t xml:space="preserve">Falutz 2010, PMID 20101189.</w:t>
      </w:r>
    </w:p>
  </w:footnote>
  <w:footnote w:id="1275">
    <w:p>
      <w:pPr>
        <w:pStyle w:val="FootnoteText"/>
      </w:pPr>
      <w:r>
        <w:rPr>
          <w:rStyle w:val="FootnoteReference"/>
        </w:rPr>
        <w:footnoteRef/>
      </w:r>
      <w:r>
        <w:t xml:space="preserve"> </w:t>
      </w:r>
      <w:r>
        <w:t xml:space="preserve">FDA approval reported in Traynor 2010, PMID 21115997.</w:t>
      </w:r>
    </w:p>
  </w:footnote>
  <w:footnote w:id="1278">
    <w:p>
      <w:pPr>
        <w:pStyle w:val="FootnoteText"/>
      </w:pPr>
      <w:r>
        <w:rPr>
          <w:rStyle w:val="FootnoteReference"/>
        </w:rPr>
        <w:footnoteRef/>
      </w:r>
      <w:r>
        <w:t xml:space="preserve"> </w:t>
      </w:r>
      <w:r>
        <w:t xml:space="preserve">Falutz 2007, PMID 18057338.</w:t>
      </w:r>
    </w:p>
  </w:footnote>
  <w:footnote w:id="1279">
    <w:p>
      <w:pPr>
        <w:pStyle w:val="FootnoteText"/>
      </w:pPr>
      <w:r>
        <w:rPr>
          <w:rStyle w:val="FootnoteReference"/>
        </w:rPr>
        <w:footnoteRef/>
      </w:r>
      <w:r>
        <w:t xml:space="preserve"> </w:t>
      </w:r>
      <w:r>
        <w:t xml:space="preserve">Falutz 2008, PMID 18690162.</w:t>
      </w:r>
    </w:p>
  </w:footnote>
  <w:footnote w:id="1280">
    <w:p>
      <w:pPr>
        <w:pStyle w:val="FootnoteText"/>
      </w:pPr>
      <w:r>
        <w:rPr>
          <w:rStyle w:val="FootnoteReference"/>
        </w:rPr>
        <w:footnoteRef/>
      </w:r>
      <w:r>
        <w:t xml:space="preserve"> </w:t>
      </w:r>
      <w:r>
        <w:t xml:space="preserve">Falutz 2010, PMID 20101189.</w:t>
      </w:r>
    </w:p>
  </w:footnote>
  <w:footnote w:id="1281">
    <w:p>
      <w:pPr>
        <w:pStyle w:val="FootnoteText"/>
      </w:pPr>
      <w:r>
        <w:rPr>
          <w:rStyle w:val="FootnoteReference"/>
        </w:rPr>
        <w:footnoteRef/>
      </w:r>
      <w:r>
        <w:t xml:space="preserve"> </w:t>
      </w:r>
      <w:r>
        <w:t xml:space="preserve">Falutz 2010, PMID 20554713.</w:t>
      </w:r>
    </w:p>
  </w:footnote>
  <w:footnote w:id="1282">
    <w:p>
      <w:pPr>
        <w:pStyle w:val="FootnoteText"/>
      </w:pPr>
      <w:r>
        <w:rPr>
          <w:rStyle w:val="FootnoteReference"/>
        </w:rPr>
        <w:footnoteRef/>
      </w:r>
      <w:r>
        <w:t xml:space="preserve"> </w:t>
      </w:r>
      <w:r>
        <w:t xml:space="preserve">Stanley 2012, PMID 22495074.</w:t>
      </w:r>
    </w:p>
  </w:footnote>
  <w:footnote w:id="1284">
    <w:p>
      <w:pPr>
        <w:pStyle w:val="FootnoteText"/>
      </w:pPr>
      <w:r>
        <w:rPr>
          <w:rStyle w:val="FootnoteReference"/>
        </w:rPr>
        <w:footnoteRef/>
      </w:r>
      <w:r>
        <w:t xml:space="preserve"> </w:t>
      </w:r>
      <w:r>
        <w:t xml:space="preserve">Stanley 2014, PMID 25038357.</w:t>
      </w:r>
    </w:p>
  </w:footnote>
  <w:footnote w:id="1285">
    <w:p>
      <w:pPr>
        <w:pStyle w:val="FootnoteText"/>
      </w:pPr>
      <w:r>
        <w:rPr>
          <w:rStyle w:val="FootnoteReference"/>
        </w:rPr>
        <w:footnoteRef/>
      </w:r>
      <w:r>
        <w:t xml:space="preserve"> </w:t>
      </w:r>
      <w:r>
        <w:t xml:space="preserve">Stanley 2019, PMID 31611038.</w:t>
      </w:r>
    </w:p>
  </w:footnote>
  <w:footnote w:id="1287">
    <w:p>
      <w:pPr>
        <w:pStyle w:val="FootnoteText"/>
      </w:pPr>
      <w:r>
        <w:rPr>
          <w:rStyle w:val="FootnoteReference"/>
        </w:rPr>
        <w:footnoteRef/>
      </w:r>
      <w:r>
        <w:t xml:space="preserve"> </w:t>
      </w:r>
      <w:r>
        <w:t xml:space="preserve">Makimura 2012, PMID 23015655.</w:t>
      </w:r>
    </w:p>
  </w:footnote>
  <w:footnote w:id="1288">
    <w:p>
      <w:pPr>
        <w:pStyle w:val="FootnoteText"/>
      </w:pPr>
      <w:r>
        <w:rPr>
          <w:rStyle w:val="FootnoteReference"/>
        </w:rPr>
        <w:footnoteRef/>
      </w:r>
      <w:r>
        <w:t xml:space="preserve"> </w:t>
      </w:r>
      <w:r>
        <w:t xml:space="preserve">Clemmons 2017, PMID 28617838.</w:t>
      </w:r>
    </w:p>
  </w:footnote>
  <w:footnote w:id="1289">
    <w:p>
      <w:pPr>
        <w:pStyle w:val="FootnoteText"/>
      </w:pPr>
      <w:r>
        <w:rPr>
          <w:rStyle w:val="FootnoteReference"/>
        </w:rPr>
        <w:footnoteRef/>
      </w:r>
      <w:r>
        <w:t xml:space="preserve"> </w:t>
      </w:r>
      <w:r>
        <w:t xml:space="preserve">Baker 2012, PMID 22869065.</w:t>
      </w:r>
    </w:p>
  </w:footnote>
  <w:footnote w:id="1290">
    <w:p>
      <w:pPr>
        <w:pStyle w:val="FootnoteText"/>
      </w:pPr>
      <w:r>
        <w:rPr>
          <w:rStyle w:val="FootnoteReference"/>
        </w:rPr>
        <w:footnoteRef/>
      </w:r>
      <w:r>
        <w:t xml:space="preserve"> </w:t>
      </w:r>
      <w:r>
        <w:t xml:space="preserve">Ellis 2025, PMID 39813152.</w:t>
      </w:r>
    </w:p>
  </w:footnote>
  <w:footnote w:id="1292">
    <w:p>
      <w:pPr>
        <w:pStyle w:val="FootnoteText"/>
      </w:pPr>
      <w:r>
        <w:rPr>
          <w:rStyle w:val="FootnoteReference"/>
        </w:rPr>
        <w:footnoteRef/>
      </w:r>
      <w:r>
        <w:t xml:space="preserve"> </w:t>
      </w:r>
      <w:r>
        <w:t xml:space="preserve">Ditta 2026, PMID 42538058.</w:t>
      </w:r>
    </w:p>
  </w:footnote>
  <w:footnote w:id="1293">
    <w:p>
      <w:pPr>
        <w:pStyle w:val="FootnoteText"/>
      </w:pPr>
      <w:r>
        <w:rPr>
          <w:rStyle w:val="FootnoteReference"/>
        </w:rPr>
        <w:footnoteRef/>
      </w:r>
      <w:r>
        <w:t xml:space="preserve"> </w:t>
      </w:r>
      <w:r>
        <w:t xml:space="preserve">Badran 2026, PMID 41545261.</w:t>
      </w:r>
    </w:p>
  </w:footnote>
  <w:footnote w:id="1296">
    <w:p>
      <w:pPr>
        <w:pStyle w:val="FootnoteText"/>
      </w:pPr>
      <w:r>
        <w:rPr>
          <w:rStyle w:val="FootnoteReference"/>
        </w:rPr>
        <w:footnoteRef/>
      </w:r>
      <w:r>
        <w:t xml:space="preserve"> </w:t>
      </w:r>
      <w:r>
        <w:t xml:space="preserve">Tuffaha 2016, PMID 27192539.</w:t>
      </w:r>
    </w:p>
  </w:footnote>
  <w:footnote w:id="1297">
    <w:p>
      <w:pPr>
        <w:pStyle w:val="FootnoteText"/>
      </w:pPr>
      <w:r>
        <w:rPr>
          <w:rStyle w:val="FootnoteReference"/>
        </w:rPr>
        <w:footnoteRef/>
      </w:r>
      <w:r>
        <w:t xml:space="preserve"> </w:t>
      </w:r>
      <w:r>
        <w:t xml:space="preserve">NCT03150511.</w:t>
      </w:r>
    </w:p>
  </w:footnote>
  <w:footnote w:id="1298">
    <w:p>
      <w:pPr>
        <w:pStyle w:val="FootnoteText"/>
      </w:pPr>
      <w:r>
        <w:rPr>
          <w:rStyle w:val="FootnoteReference"/>
        </w:rPr>
        <w:footnoteRef/>
      </w:r>
      <w:r>
        <w:t xml:space="preserve"> </w:t>
      </w:r>
      <w:r>
        <w:t xml:space="preserve">Fourman 2020, PMID 32701508.</w:t>
      </w:r>
    </w:p>
  </w:footnote>
  <w:footnote w:id="1300">
    <w:p>
      <w:pPr>
        <w:pStyle w:val="FootnoteText"/>
      </w:pPr>
      <w:r>
        <w:rPr>
          <w:rStyle w:val="FootnoteReference"/>
        </w:rPr>
        <w:footnoteRef/>
      </w:r>
      <w:r>
        <w:t xml:space="preserve"> </w:t>
      </w:r>
      <w:r>
        <w:t xml:space="preserve">Stanley 2019, PMID 31611038.</w:t>
      </w:r>
    </w:p>
  </w:footnote>
  <w:footnote w:id="1301">
    <w:p>
      <w:pPr>
        <w:pStyle w:val="FootnoteText"/>
      </w:pPr>
      <w:r>
        <w:rPr>
          <w:rStyle w:val="FootnoteReference"/>
        </w:rPr>
        <w:footnoteRef/>
      </w:r>
      <w:r>
        <w:t xml:space="preserve"> </w:t>
      </w:r>
      <w:r>
        <w:t xml:space="preserve">Badran 2026, PMID 41545261.</w:t>
      </w:r>
    </w:p>
  </w:footnote>
  <w:footnote w:id="1302">
    <w:p>
      <w:pPr>
        <w:pStyle w:val="FootnoteText"/>
      </w:pPr>
      <w:r>
        <w:rPr>
          <w:rStyle w:val="FootnoteReference"/>
        </w:rPr>
        <w:footnoteRef/>
      </w:r>
      <w:r>
        <w:t xml:space="preserve"> </w:t>
      </w:r>
      <w:r>
        <w:t xml:space="preserve">Stanley 2014, PMID 25038357.</w:t>
      </w:r>
    </w:p>
  </w:footnote>
  <w:footnote w:id="1303">
    <w:p>
      <w:pPr>
        <w:pStyle w:val="FootnoteText"/>
      </w:pPr>
      <w:r>
        <w:rPr>
          <w:rStyle w:val="FootnoteReference"/>
        </w:rPr>
        <w:footnoteRef/>
      </w:r>
      <w:r>
        <w:t xml:space="preserve"> </w:t>
      </w:r>
      <w:r>
        <w:t xml:space="preserve">Stanley 2012, PMID 22495074.</w:t>
      </w:r>
    </w:p>
  </w:footnote>
  <w:footnote w:id="1304">
    <w:p>
      <w:pPr>
        <w:pStyle w:val="FootnoteText"/>
      </w:pPr>
      <w:r>
        <w:rPr>
          <w:rStyle w:val="FootnoteReference"/>
        </w:rPr>
        <w:footnoteRef/>
      </w:r>
      <w:r>
        <w:t xml:space="preserve"> </w:t>
      </w:r>
      <w:r>
        <w:t xml:space="preserve">Falutz 2007, PMID 18057338.</w:t>
      </w:r>
    </w:p>
  </w:footnote>
  <w:footnote w:id="1305">
    <w:p>
      <w:pPr>
        <w:pStyle w:val="FootnoteText"/>
      </w:pPr>
      <w:r>
        <w:rPr>
          <w:rStyle w:val="FootnoteReference"/>
        </w:rPr>
        <w:footnoteRef/>
      </w:r>
      <w:r>
        <w:t xml:space="preserve"> </w:t>
      </w:r>
      <w:r>
        <w:t xml:space="preserve">Falutz 2008, PMID 18690162.</w:t>
      </w:r>
    </w:p>
  </w:footnote>
  <w:footnote w:id="1306">
    <w:p>
      <w:pPr>
        <w:pStyle w:val="FootnoteText"/>
      </w:pPr>
      <w:r>
        <w:rPr>
          <w:rStyle w:val="FootnoteReference"/>
        </w:rPr>
        <w:footnoteRef/>
      </w:r>
      <w:r>
        <w:t xml:space="preserve"> </w:t>
      </w:r>
      <w:r>
        <w:t xml:space="preserve">NCT01579695.</w:t>
      </w:r>
    </w:p>
  </w:footnote>
  <w:footnote w:id="1307">
    <w:p>
      <w:pPr>
        <w:pStyle w:val="FootnoteText"/>
      </w:pPr>
      <w:r>
        <w:rPr>
          <w:rStyle w:val="FootnoteReference"/>
        </w:rPr>
        <w:footnoteRef/>
      </w:r>
      <w:r>
        <w:t xml:space="preserve"> </w:t>
      </w:r>
      <w:r>
        <w:t xml:space="preserve">NCT01591902.</w:t>
      </w:r>
    </w:p>
  </w:footnote>
  <w:footnote w:id="1309">
    <w:p>
      <w:pPr>
        <w:pStyle w:val="FootnoteText"/>
      </w:pPr>
      <w:r>
        <w:rPr>
          <w:rStyle w:val="FootnoteReference"/>
        </w:rPr>
        <w:footnoteRef/>
      </w:r>
      <w:r>
        <w:t xml:space="preserve"> </w:t>
      </w:r>
      <w:r>
        <w:t xml:space="preserve">Memdouh 2021, PMID 34665524.</w:t>
      </w:r>
    </w:p>
  </w:footnote>
  <w:footnote w:id="1314">
    <w:p>
      <w:pPr>
        <w:pStyle w:val="FootnoteText"/>
      </w:pPr>
      <w:r>
        <w:rPr>
          <w:rStyle w:val="FootnoteReference"/>
        </w:rPr>
        <w:footnoteRef/>
      </w:r>
      <w:r>
        <w:t xml:space="preserve"> </w:t>
      </w:r>
      <w:r>
        <w:t xml:space="preserve">Jetté 2005, PMID 15817669.</w:t>
      </w:r>
    </w:p>
  </w:footnote>
  <w:footnote w:id="1316">
    <w:p>
      <w:pPr>
        <w:pStyle w:val="FootnoteText"/>
      </w:pPr>
      <w:r>
        <w:rPr>
          <w:rStyle w:val="FootnoteReference"/>
        </w:rPr>
        <w:footnoteRef/>
      </w:r>
      <w:r>
        <w:t xml:space="preserve"> </w:t>
      </w:r>
      <w:r>
        <w:t xml:space="preserve">Jetté 2005, PMID 15817669.</w:t>
      </w:r>
    </w:p>
  </w:footnote>
  <w:footnote w:id="1318">
    <w:p>
      <w:pPr>
        <w:pStyle w:val="FootnoteText"/>
      </w:pPr>
      <w:r>
        <w:rPr>
          <w:rStyle w:val="FootnoteReference"/>
        </w:rPr>
        <w:footnoteRef/>
      </w:r>
      <w:r>
        <w:t xml:space="preserve"> </w:t>
      </w:r>
      <w:r>
        <w:t xml:space="preserve">Teichman 2006, PMID 16352683.</w:t>
      </w:r>
    </w:p>
  </w:footnote>
  <w:footnote w:id="1319">
    <w:p>
      <w:pPr>
        <w:pStyle w:val="FootnoteText"/>
      </w:pPr>
      <w:r>
        <w:rPr>
          <w:rStyle w:val="FootnoteReference"/>
        </w:rPr>
        <w:footnoteRef/>
      </w:r>
      <w:r>
        <w:t xml:space="preserve"> </w:t>
      </w:r>
      <w:r>
        <w:t xml:space="preserve">Ionescu 2006, PMID 17018654.</w:t>
      </w:r>
    </w:p>
  </w:footnote>
  <w:footnote w:id="1320">
    <w:p>
      <w:pPr>
        <w:pStyle w:val="FootnoteText"/>
      </w:pPr>
      <w:r>
        <w:rPr>
          <w:rStyle w:val="FootnoteReference"/>
        </w:rPr>
        <w:footnoteRef/>
      </w:r>
      <w:r>
        <w:t xml:space="preserve"> </w:t>
      </w:r>
      <w:r>
        <w:t xml:space="preserve">Sackmann-Sala 2009, PMID 19386527.</w:t>
      </w:r>
    </w:p>
  </w:footnote>
  <w:footnote w:id="1321">
    <w:p>
      <w:pPr>
        <w:pStyle w:val="FootnoteText"/>
      </w:pPr>
      <w:r>
        <w:rPr>
          <w:rStyle w:val="FootnoteReference"/>
        </w:rPr>
        <w:footnoteRef/>
      </w:r>
      <w:r>
        <w:t xml:space="preserve"> </w:t>
      </w:r>
      <w:r>
        <w:t xml:space="preserve">NCT00267527.</w:t>
      </w:r>
    </w:p>
  </w:footnote>
  <w:footnote w:id="1324">
    <w:p>
      <w:pPr>
        <w:pStyle w:val="FootnoteText"/>
      </w:pPr>
      <w:r>
        <w:rPr>
          <w:rStyle w:val="FootnoteReference"/>
        </w:rPr>
        <w:footnoteRef/>
      </w:r>
      <w:r>
        <w:t xml:space="preserve"> </w:t>
      </w:r>
      <w:r>
        <w:t xml:space="preserve">Jetté 2005, PMID 15817669.</w:t>
      </w:r>
    </w:p>
  </w:footnote>
  <w:footnote w:id="1325">
    <w:p>
      <w:pPr>
        <w:pStyle w:val="FootnoteText"/>
      </w:pPr>
      <w:r>
        <w:rPr>
          <w:rStyle w:val="FootnoteReference"/>
        </w:rPr>
        <w:footnoteRef/>
      </w:r>
      <w:r>
        <w:t xml:space="preserve"> </w:t>
      </w:r>
      <w:r>
        <w:t xml:space="preserve">Alba 2006, PMID 16822960.</w:t>
      </w:r>
    </w:p>
  </w:footnote>
  <w:footnote w:id="1327">
    <w:p>
      <w:pPr>
        <w:pStyle w:val="FootnoteText"/>
      </w:pPr>
      <w:r>
        <w:rPr>
          <w:rStyle w:val="FootnoteReference"/>
        </w:rPr>
        <w:footnoteRef/>
      </w:r>
      <w:r>
        <w:t xml:space="preserve"> </w:t>
      </w:r>
      <w:r>
        <w:t xml:space="preserve">Teichman 2006, PMID 16352683.</w:t>
      </w:r>
    </w:p>
  </w:footnote>
  <w:footnote w:id="1328">
    <w:p>
      <w:pPr>
        <w:pStyle w:val="FootnoteText"/>
      </w:pPr>
      <w:r>
        <w:rPr>
          <w:rStyle w:val="FootnoteReference"/>
        </w:rPr>
        <w:footnoteRef/>
      </w:r>
      <w:r>
        <w:t xml:space="preserve"> </w:t>
      </w:r>
      <w:r>
        <w:t xml:space="preserve">Henninge 2010, PMID 21204297.</w:t>
      </w:r>
    </w:p>
  </w:footnote>
  <w:footnote w:id="1329">
    <w:p>
      <w:pPr>
        <w:pStyle w:val="FootnoteText"/>
      </w:pPr>
      <w:r>
        <w:rPr>
          <w:rStyle w:val="FootnoteReference"/>
        </w:rPr>
        <w:footnoteRef/>
      </w:r>
      <w:r>
        <w:t xml:space="preserve"> </w:t>
      </w:r>
      <w:r>
        <w:t xml:space="preserve">Gajda 2019, PMID 30136411.</w:t>
      </w:r>
    </w:p>
  </w:footnote>
  <w:footnote w:id="1330">
    <w:p>
      <w:pPr>
        <w:pStyle w:val="FootnoteText"/>
      </w:pPr>
      <w:r>
        <w:rPr>
          <w:rStyle w:val="FootnoteReference"/>
        </w:rPr>
        <w:footnoteRef/>
      </w:r>
      <w:r>
        <w:t xml:space="preserve"> </w:t>
      </w:r>
      <w:r>
        <w:t xml:space="preserve">Van Hout 2016, PMID 26771670.</w:t>
      </w:r>
    </w:p>
  </w:footnote>
  <w:footnote w:id="1332">
    <w:p>
      <w:pPr>
        <w:pStyle w:val="FootnoteText"/>
      </w:pPr>
      <w:r>
        <w:rPr>
          <w:rStyle w:val="FootnoteReference"/>
        </w:rPr>
        <w:footnoteRef/>
      </w:r>
      <w:r>
        <w:t xml:space="preserve"> </w:t>
      </w:r>
      <w:r>
        <w:t xml:space="preserve">Willis 2026, PMID 42752426.</w:t>
      </w:r>
    </w:p>
  </w:footnote>
  <w:footnote w:id="1333">
    <w:p>
      <w:pPr>
        <w:pStyle w:val="FootnoteText"/>
      </w:pPr>
      <w:r>
        <w:rPr>
          <w:rStyle w:val="FootnoteReference"/>
        </w:rPr>
        <w:footnoteRef/>
      </w:r>
      <w:r>
        <w:t xml:space="preserve"> </w:t>
      </w:r>
      <w:r>
        <w:t xml:space="preserve">Memdouh 2021, PMID 34665524.</w:t>
      </w:r>
    </w:p>
  </w:footnote>
  <w:footnote w:id="1334">
    <w:p>
      <w:pPr>
        <w:pStyle w:val="FootnoteText"/>
      </w:pPr>
      <w:r>
        <w:rPr>
          <w:rStyle w:val="FootnoteReference"/>
        </w:rPr>
        <w:footnoteRef/>
      </w:r>
      <w:r>
        <w:t xml:space="preserve"> </w:t>
      </w:r>
      <w:r>
        <w:t xml:space="preserve">Timms 2019, PMID 30938069.</w:t>
      </w:r>
    </w:p>
  </w:footnote>
  <w:footnote w:id="1339">
    <w:p>
      <w:pPr>
        <w:pStyle w:val="FootnoteText"/>
      </w:pPr>
      <w:r>
        <w:rPr>
          <w:rStyle w:val="FootnoteReference"/>
        </w:rPr>
        <w:footnoteRef/>
      </w:r>
      <w:r>
        <w:t xml:space="preserve"> </w:t>
      </w:r>
      <w:r>
        <w:t xml:space="preserve">Raun 1998, PMID 9849822.</w:t>
      </w:r>
    </w:p>
  </w:footnote>
  <w:footnote w:id="1341">
    <w:p>
      <w:pPr>
        <w:pStyle w:val="FootnoteText"/>
      </w:pPr>
      <w:r>
        <w:rPr>
          <w:rStyle w:val="FootnoteReference"/>
        </w:rPr>
        <w:footnoteRef/>
      </w:r>
      <w:r>
        <w:t xml:space="preserve"> </w:t>
      </w:r>
      <w:r>
        <w:t xml:space="preserve">Kojima 1999, PMID 10604470.</w:t>
      </w:r>
    </w:p>
  </w:footnote>
  <w:footnote w:id="1342">
    <w:p>
      <w:pPr>
        <w:pStyle w:val="FootnoteText"/>
      </w:pPr>
      <w:r>
        <w:rPr>
          <w:rStyle w:val="FootnoteReference"/>
        </w:rPr>
        <w:footnoteRef/>
      </w:r>
      <w:r>
        <w:t xml:space="preserve"> </w:t>
      </w:r>
      <w:r>
        <w:t xml:space="preserve">Raun 1998, PMID 9849822.</w:t>
      </w:r>
    </w:p>
  </w:footnote>
  <w:footnote w:id="1344">
    <w:p>
      <w:pPr>
        <w:pStyle w:val="FootnoteText"/>
      </w:pPr>
      <w:r>
        <w:rPr>
          <w:rStyle w:val="FootnoteReference"/>
        </w:rPr>
        <w:footnoteRef/>
      </w:r>
      <w:r>
        <w:t xml:space="preserve"> </w:t>
      </w:r>
      <w:r>
        <w:t xml:space="preserve">NCT07717866.</w:t>
      </w:r>
    </w:p>
  </w:footnote>
  <w:footnote w:id="1345">
    <w:p>
      <w:pPr>
        <w:pStyle w:val="FootnoteText"/>
      </w:pPr>
      <w:r>
        <w:rPr>
          <w:rStyle w:val="FootnoteReference"/>
        </w:rPr>
        <w:footnoteRef/>
      </w:r>
      <w:r>
        <w:t xml:space="preserve"> </w:t>
      </w:r>
      <w:r>
        <w:t xml:space="preserve">Gobburu 1999, PMID 10496658.</w:t>
      </w:r>
    </w:p>
  </w:footnote>
  <w:footnote w:id="1346">
    <w:p>
      <w:pPr>
        <w:pStyle w:val="FootnoteText"/>
      </w:pPr>
      <w:r>
        <w:rPr>
          <w:rStyle w:val="FootnoteReference"/>
        </w:rPr>
        <w:footnoteRef/>
      </w:r>
      <w:r>
        <w:t xml:space="preserve"> </w:t>
      </w:r>
      <w:r>
        <w:t xml:space="preserve">Beck 2014, PMID 25331030.</w:t>
      </w:r>
    </w:p>
  </w:footnote>
  <w:footnote w:id="1347">
    <w:p>
      <w:pPr>
        <w:pStyle w:val="FootnoteText"/>
      </w:pPr>
      <w:r>
        <w:rPr>
          <w:rStyle w:val="FootnoteReference"/>
        </w:rPr>
        <w:footnoteRef/>
      </w:r>
      <w:r>
        <w:t xml:space="preserve"> </w:t>
      </w:r>
      <w:r>
        <w:t xml:space="preserve">NCT01280344.</w:t>
      </w:r>
    </w:p>
  </w:footnote>
  <w:footnote w:id="1349">
    <w:p>
      <w:pPr>
        <w:pStyle w:val="FootnoteText"/>
      </w:pPr>
      <w:r>
        <w:rPr>
          <w:rStyle w:val="FootnoteReference"/>
        </w:rPr>
        <w:footnoteRef/>
      </w:r>
      <w:r>
        <w:t xml:space="preserve"> </w:t>
      </w:r>
      <w:r>
        <w:t xml:space="preserve">Venkova 2009, PMID 19289567.</w:t>
      </w:r>
    </w:p>
  </w:footnote>
  <w:footnote w:id="1350">
    <w:p>
      <w:pPr>
        <w:pStyle w:val="FootnoteText"/>
      </w:pPr>
      <w:r>
        <w:rPr>
          <w:rStyle w:val="FootnoteReference"/>
        </w:rPr>
        <w:footnoteRef/>
      </w:r>
      <w:r>
        <w:t xml:space="preserve"> </w:t>
      </w:r>
      <w:r>
        <w:t xml:space="preserve">Johansen 1999, PMID 10373343.</w:t>
      </w:r>
    </w:p>
  </w:footnote>
  <w:footnote w:id="1351">
    <w:p>
      <w:pPr>
        <w:pStyle w:val="FootnoteText"/>
      </w:pPr>
      <w:r>
        <w:rPr>
          <w:rStyle w:val="FootnoteReference"/>
        </w:rPr>
        <w:footnoteRef/>
      </w:r>
      <w:r>
        <w:t xml:space="preserve"> </w:t>
      </w:r>
      <w:r>
        <w:t xml:space="preserve">Raun 1998, PMID 9849822.</w:t>
      </w:r>
    </w:p>
  </w:footnote>
  <w:footnote w:id="1353">
    <w:p>
      <w:pPr>
        <w:pStyle w:val="FootnoteText"/>
      </w:pPr>
      <w:r>
        <w:rPr>
          <w:rStyle w:val="FootnoteReference"/>
        </w:rPr>
        <w:footnoteRef/>
      </w:r>
      <w:r>
        <w:t xml:space="preserve"> </w:t>
      </w:r>
      <w:r>
        <w:t xml:space="preserve">Beck 2014, PMID 25331030.</w:t>
      </w:r>
    </w:p>
  </w:footnote>
  <w:footnote w:id="1354">
    <w:p>
      <w:pPr>
        <w:pStyle w:val="FootnoteText"/>
      </w:pPr>
      <w:r>
        <w:rPr>
          <w:rStyle w:val="FootnoteReference"/>
        </w:rPr>
        <w:footnoteRef/>
      </w:r>
      <w:r>
        <w:t xml:space="preserve"> </w:t>
      </w:r>
      <w:r>
        <w:t xml:space="preserve">Krug 2018, PMID 29864719; Gajda 2019, PMID 30136411.</w:t>
      </w:r>
    </w:p>
  </w:footnote>
  <w:footnote w:id="1356">
    <w:p>
      <w:pPr>
        <w:pStyle w:val="FootnoteText"/>
      </w:pPr>
      <w:r>
        <w:rPr>
          <w:rStyle w:val="FootnoteReference"/>
        </w:rPr>
        <w:footnoteRef/>
      </w:r>
      <w:r>
        <w:t xml:space="preserve"> </w:t>
      </w:r>
      <w:r>
        <w:t xml:space="preserve">Willis 2026, PMID 42752426.</w:t>
      </w:r>
    </w:p>
  </w:footnote>
  <w:footnote w:id="1357">
    <w:p>
      <w:pPr>
        <w:pStyle w:val="FootnoteText"/>
      </w:pPr>
      <w:r>
        <w:rPr>
          <w:rStyle w:val="FootnoteReference"/>
        </w:rPr>
        <w:footnoteRef/>
      </w:r>
      <w:r>
        <w:t xml:space="preserve"> </w:t>
      </w:r>
      <w:r>
        <w:t xml:space="preserve">Semenistaya 2015, PMID 25869809.</w:t>
      </w:r>
    </w:p>
  </w:footnote>
  <w:footnote w:id="1362">
    <w:p>
      <w:pPr>
        <w:pStyle w:val="FootnoteText"/>
      </w:pPr>
      <w:r>
        <w:rPr>
          <w:rStyle w:val="FootnoteReference"/>
        </w:rPr>
        <w:footnoteRef/>
      </w:r>
      <w:r>
        <w:t xml:space="preserve"> </w:t>
      </w:r>
      <w:r>
        <w:t xml:space="preserve">Doi 2004, PMID 15646370.</w:t>
      </w:r>
    </w:p>
  </w:footnote>
  <w:footnote w:id="1363">
    <w:p>
      <w:pPr>
        <w:pStyle w:val="FootnoteText"/>
      </w:pPr>
      <w:r>
        <w:rPr>
          <w:rStyle w:val="FootnoteReference"/>
        </w:rPr>
        <w:footnoteRef/>
      </w:r>
      <w:r>
        <w:t xml:space="preserve"> </w:t>
      </w:r>
      <w:r>
        <w:t xml:space="preserve">anonymous drug profile in Drugs R D 2004, PMID 15230633.</w:t>
      </w:r>
    </w:p>
  </w:footnote>
  <w:footnote w:id="1365">
    <w:p>
      <w:pPr>
        <w:pStyle w:val="FootnoteText"/>
      </w:pPr>
      <w:r>
        <w:rPr>
          <w:rStyle w:val="FootnoteReference"/>
        </w:rPr>
        <w:footnoteRef/>
      </w:r>
      <w:r>
        <w:t xml:space="preserve"> </w:t>
      </w:r>
      <w:r>
        <w:t xml:space="preserve">Kojima 1999, PMID 10604470.</w:t>
      </w:r>
    </w:p>
  </w:footnote>
  <w:footnote w:id="1366">
    <w:p>
      <w:pPr>
        <w:pStyle w:val="FootnoteText"/>
      </w:pPr>
      <w:r>
        <w:rPr>
          <w:rStyle w:val="FootnoteReference"/>
        </w:rPr>
        <w:footnoteRef/>
      </w:r>
      <w:r>
        <w:t xml:space="preserve"> </w:t>
      </w:r>
      <w:r>
        <w:t xml:space="preserve">Doi 2004, PMID 15646370.</w:t>
      </w:r>
    </w:p>
  </w:footnote>
  <w:footnote w:id="1368">
    <w:p>
      <w:pPr>
        <w:pStyle w:val="FootnoteText"/>
      </w:pPr>
      <w:r>
        <w:rPr>
          <w:rStyle w:val="FootnoteReference"/>
        </w:rPr>
        <w:footnoteRef/>
      </w:r>
      <w:r>
        <w:t xml:space="preserve"> </w:t>
      </w:r>
      <w:r>
        <w:t xml:space="preserve">Chihara 2007, PMID 17609397.</w:t>
      </w:r>
    </w:p>
  </w:footnote>
  <w:footnote w:id="1369">
    <w:p>
      <w:pPr>
        <w:pStyle w:val="FootnoteText"/>
      </w:pPr>
      <w:r>
        <w:rPr>
          <w:rStyle w:val="FootnoteReference"/>
        </w:rPr>
        <w:footnoteRef/>
      </w:r>
      <w:r>
        <w:t xml:space="preserve"> </w:t>
      </w:r>
      <w:r>
        <w:t xml:space="preserve">Kinoshita 2013, PMID 23079545.</w:t>
      </w:r>
    </w:p>
  </w:footnote>
  <w:footnote w:id="1370">
    <w:p>
      <w:pPr>
        <w:pStyle w:val="FootnoteText"/>
      </w:pPr>
      <w:r>
        <w:rPr>
          <w:rStyle w:val="FootnoteReference"/>
        </w:rPr>
        <w:footnoteRef/>
      </w:r>
      <w:r>
        <w:t xml:space="preserve"> </w:t>
      </w:r>
      <w:r>
        <w:t xml:space="preserve">Arimura 2016, PMID 27020037.</w:t>
      </w:r>
    </w:p>
  </w:footnote>
  <w:footnote w:id="1371">
    <w:p>
      <w:pPr>
        <w:pStyle w:val="FootnoteText"/>
      </w:pPr>
      <w:r>
        <w:rPr>
          <w:rStyle w:val="FootnoteReference"/>
        </w:rPr>
        <w:footnoteRef/>
      </w:r>
      <w:r>
        <w:t xml:space="preserve"> </w:t>
      </w:r>
      <w:r>
        <w:t xml:space="preserve">Hayakawa 2018, PMID 30324179.</w:t>
      </w:r>
    </w:p>
  </w:footnote>
  <w:footnote w:id="1373">
    <w:p>
      <w:pPr>
        <w:pStyle w:val="FootnoteText"/>
      </w:pPr>
      <w:r>
        <w:rPr>
          <w:rStyle w:val="FootnoteReference"/>
        </w:rPr>
        <w:footnoteRef/>
      </w:r>
      <w:r>
        <w:t xml:space="preserve"> </w:t>
      </w:r>
      <w:r>
        <w:t xml:space="preserve">Mericq 1998, PMID 9661608.</w:t>
      </w:r>
    </w:p>
  </w:footnote>
  <w:footnote w:id="1374">
    <w:p>
      <w:pPr>
        <w:pStyle w:val="FootnoteText"/>
      </w:pPr>
      <w:r>
        <w:rPr>
          <w:rStyle w:val="FootnoteReference"/>
        </w:rPr>
        <w:footnoteRef/>
      </w:r>
      <w:r>
        <w:t xml:space="preserve"> </w:t>
      </w:r>
      <w:r>
        <w:t xml:space="preserve">Pihoker 1997, PMID 9390009.</w:t>
      </w:r>
    </w:p>
  </w:footnote>
  <w:footnote w:id="1375">
    <w:p>
      <w:pPr>
        <w:pStyle w:val="FootnoteText"/>
      </w:pPr>
      <w:r>
        <w:rPr>
          <w:rStyle w:val="FootnoteReference"/>
        </w:rPr>
        <w:footnoteRef/>
      </w:r>
      <w:r>
        <w:t xml:space="preserve"> </w:t>
      </w:r>
      <w:r>
        <w:t xml:space="preserve">Mericq 2003, PMID 14513874.</w:t>
      </w:r>
    </w:p>
  </w:footnote>
  <w:footnote w:id="1376">
    <w:p>
      <w:pPr>
        <w:pStyle w:val="FootnoteText"/>
      </w:pPr>
      <w:r>
        <w:rPr>
          <w:rStyle w:val="FootnoteReference"/>
        </w:rPr>
        <w:footnoteRef/>
      </w:r>
      <w:r>
        <w:t xml:space="preserve"> </w:t>
      </w:r>
      <w:r>
        <w:t xml:space="preserve">anonymous drug profile in Drugs R D 2004, PMID 15230633.</w:t>
      </w:r>
    </w:p>
  </w:footnote>
  <w:footnote w:id="1378">
    <w:p>
      <w:pPr>
        <w:pStyle w:val="FootnoteText"/>
      </w:pPr>
      <w:r>
        <w:rPr>
          <w:rStyle w:val="FootnoteReference"/>
        </w:rPr>
        <w:footnoteRef/>
      </w:r>
      <w:r>
        <w:t xml:space="preserve"> </w:t>
      </w:r>
      <w:r>
        <w:t xml:space="preserve">Laferrère 2006, PMID 16861611.</w:t>
      </w:r>
    </w:p>
  </w:footnote>
  <w:footnote w:id="1379">
    <w:p>
      <w:pPr>
        <w:pStyle w:val="FootnoteText"/>
      </w:pPr>
      <w:r>
        <w:rPr>
          <w:rStyle w:val="FootnoteReference"/>
        </w:rPr>
        <w:footnoteRef/>
      </w:r>
      <w:r>
        <w:t xml:space="preserve"> </w:t>
      </w:r>
      <w:r>
        <w:t xml:space="preserve">Van den Berghe 1999, PMID 10199772.</w:t>
      </w:r>
    </w:p>
  </w:footnote>
  <w:footnote w:id="1382">
    <w:p>
      <w:pPr>
        <w:pStyle w:val="FootnoteText"/>
      </w:pPr>
      <w:r>
        <w:rPr>
          <w:rStyle w:val="FootnoteReference"/>
        </w:rPr>
        <w:footnoteRef/>
      </w:r>
      <w:r>
        <w:t xml:space="preserve"> </w:t>
      </w:r>
      <w:r>
        <w:t xml:space="preserve">Doi 2004, PMID 15646370.</w:t>
      </w:r>
    </w:p>
  </w:footnote>
  <w:footnote w:id="1383">
    <w:p>
      <w:pPr>
        <w:pStyle w:val="FootnoteText"/>
      </w:pPr>
      <w:r>
        <w:rPr>
          <w:rStyle w:val="FootnoteReference"/>
        </w:rPr>
        <w:footnoteRef/>
      </w:r>
      <w:r>
        <w:t xml:space="preserve"> </w:t>
      </w:r>
      <w:r>
        <w:t xml:space="preserve">Raun 1998, PMID 9849822.</w:t>
      </w:r>
    </w:p>
  </w:footnote>
  <w:footnote w:id="1385">
    <w:p>
      <w:pPr>
        <w:pStyle w:val="FootnoteText"/>
      </w:pPr>
      <w:r>
        <w:rPr>
          <w:rStyle w:val="FootnoteReference"/>
        </w:rPr>
        <w:footnoteRef/>
      </w:r>
      <w:r>
        <w:t xml:space="preserve"> </w:t>
      </w:r>
      <w:r>
        <w:t xml:space="preserve">Mericq 2003, PMID 14513874; Laferrère 2006, PMID 16861611.</w:t>
      </w:r>
    </w:p>
  </w:footnote>
  <w:footnote w:id="1386">
    <w:p>
      <w:pPr>
        <w:pStyle w:val="FootnoteText"/>
      </w:pPr>
      <w:r>
        <w:rPr>
          <w:rStyle w:val="FootnoteReference"/>
        </w:rPr>
        <w:footnoteRef/>
      </w:r>
      <w:r>
        <w:t xml:space="preserve"> </w:t>
      </w:r>
      <w:r>
        <w:t xml:space="preserve">Arimura 2016, PMID 27020037.</w:t>
      </w:r>
    </w:p>
  </w:footnote>
  <w:footnote w:id="1387">
    <w:p>
      <w:pPr>
        <w:pStyle w:val="FootnoteText"/>
      </w:pPr>
      <w:r>
        <w:rPr>
          <w:rStyle w:val="FootnoteReference"/>
        </w:rPr>
        <w:footnoteRef/>
      </w:r>
      <w:r>
        <w:t xml:space="preserve"> </w:t>
      </w:r>
      <w:r>
        <w:t xml:space="preserve">Sigalos 2018, PMID 28400207.</w:t>
      </w:r>
    </w:p>
  </w:footnote>
  <w:footnote w:id="1388">
    <w:p>
      <w:pPr>
        <w:pStyle w:val="FootnoteText"/>
      </w:pPr>
      <w:r>
        <w:rPr>
          <w:rStyle w:val="FootnoteReference"/>
        </w:rPr>
        <w:footnoteRef/>
      </w:r>
      <w:r>
        <w:t xml:space="preserve"> </w:t>
      </w:r>
      <w:r>
        <w:t xml:space="preserve">Krug 2018, PMID 29864719; Gajda 2019, PMID 30136411.</w:t>
      </w:r>
    </w:p>
  </w:footnote>
  <w:footnote w:id="1390">
    <w:p>
      <w:pPr>
        <w:pStyle w:val="FootnoteText"/>
      </w:pPr>
      <w:r>
        <w:rPr>
          <w:rStyle w:val="FootnoteReference"/>
        </w:rPr>
        <w:footnoteRef/>
      </w:r>
      <w:r>
        <w:t xml:space="preserve"> </w:t>
      </w:r>
      <w:r>
        <w:t xml:space="preserve">Semenistaya 2015, PMID 25869809.</w:t>
      </w:r>
    </w:p>
  </w:footnote>
  <w:footnote w:id="1395">
    <w:p>
      <w:pPr>
        <w:pStyle w:val="FootnoteText"/>
      </w:pPr>
      <w:r>
        <w:rPr>
          <w:rStyle w:val="FootnoteReference"/>
        </w:rPr>
        <w:footnoteRef/>
      </w:r>
      <w:r>
        <w:t xml:space="preserve"> </w:t>
      </w:r>
      <w:r>
        <w:t xml:space="preserve">Bowers 1984, PMID 6714155.</w:t>
      </w:r>
    </w:p>
  </w:footnote>
  <w:footnote w:id="1397">
    <w:p>
      <w:pPr>
        <w:pStyle w:val="FootnoteText"/>
      </w:pPr>
      <w:r>
        <w:rPr>
          <w:rStyle w:val="FootnoteReference"/>
        </w:rPr>
        <w:footnoteRef/>
      </w:r>
      <w:r>
        <w:t xml:space="preserve"> </w:t>
      </w:r>
      <w:r>
        <w:t xml:space="preserve">Bowers 1984, PMID 6714155.</w:t>
      </w:r>
    </w:p>
  </w:footnote>
  <w:footnote w:id="1398">
    <w:p>
      <w:pPr>
        <w:pStyle w:val="FootnoteText"/>
      </w:pPr>
      <w:r>
        <w:rPr>
          <w:rStyle w:val="FootnoteReference"/>
        </w:rPr>
        <w:footnoteRef/>
      </w:r>
      <w:r>
        <w:t xml:space="preserve"> </w:t>
      </w:r>
      <w:r>
        <w:t xml:space="preserve">Kojima 1999, PMID 10604470.</w:t>
      </w:r>
    </w:p>
  </w:footnote>
  <w:footnote w:id="1400">
    <w:p>
      <w:pPr>
        <w:pStyle w:val="FootnoteText"/>
      </w:pPr>
      <w:r>
        <w:rPr>
          <w:rStyle w:val="FootnoteReference"/>
        </w:rPr>
        <w:footnoteRef/>
      </w:r>
      <w:r>
        <w:t xml:space="preserve"> </w:t>
      </w:r>
      <w:r>
        <w:t xml:space="preserve">Popovic 2000, PMID 11030292.</w:t>
      </w:r>
    </w:p>
  </w:footnote>
  <w:footnote w:id="1401">
    <w:p>
      <w:pPr>
        <w:pStyle w:val="FootnoteText"/>
      </w:pPr>
      <w:r>
        <w:rPr>
          <w:rStyle w:val="FootnoteReference"/>
        </w:rPr>
        <w:footnoteRef/>
      </w:r>
      <w:r>
        <w:t xml:space="preserve"> </w:t>
      </w:r>
      <w:r>
        <w:t xml:space="preserve">Petersenn 2002, PMID 11980622.</w:t>
      </w:r>
    </w:p>
  </w:footnote>
  <w:footnote w:id="1402">
    <w:p>
      <w:pPr>
        <w:pStyle w:val="FootnoteText"/>
      </w:pPr>
      <w:r>
        <w:rPr>
          <w:rStyle w:val="FootnoteReference"/>
        </w:rPr>
        <w:footnoteRef/>
      </w:r>
      <w:r>
        <w:t xml:space="preserve"> </w:t>
      </w:r>
      <w:r>
        <w:t xml:space="preserve">Leal-Cerro 1995, PMID 7788011.</w:t>
      </w:r>
    </w:p>
  </w:footnote>
  <w:footnote w:id="1403">
    <w:p>
      <w:pPr>
        <w:pStyle w:val="FootnoteText"/>
      </w:pPr>
      <w:r>
        <w:rPr>
          <w:rStyle w:val="FootnoteReference"/>
        </w:rPr>
        <w:footnoteRef/>
      </w:r>
      <w:r>
        <w:t xml:space="preserve"> </w:t>
      </w:r>
      <w:r>
        <w:t xml:space="preserve">Alaioubi 2010, PMID 19946832.</w:t>
      </w:r>
    </w:p>
  </w:footnote>
  <w:footnote w:id="1405">
    <w:p>
      <w:pPr>
        <w:pStyle w:val="FootnoteText"/>
      </w:pPr>
      <w:r>
        <w:rPr>
          <w:rStyle w:val="FootnoteReference"/>
        </w:rPr>
        <w:footnoteRef/>
      </w:r>
      <w:r>
        <w:t xml:space="preserve"> </w:t>
      </w:r>
      <w:r>
        <w:t xml:space="preserve">Cabrales 2013, PMID 23099431.</w:t>
      </w:r>
    </w:p>
  </w:footnote>
  <w:footnote w:id="1406">
    <w:p>
      <w:pPr>
        <w:pStyle w:val="FootnoteText"/>
      </w:pPr>
      <w:r>
        <w:rPr>
          <w:rStyle w:val="FootnoteReference"/>
        </w:rPr>
        <w:footnoteRef/>
      </w:r>
      <w:r>
        <w:t xml:space="preserve"> </w:t>
      </w:r>
      <w:r>
        <w:t xml:space="preserve">Frieboes 1995, PMID 7617137.</w:t>
      </w:r>
    </w:p>
  </w:footnote>
  <w:footnote w:id="1407">
    <w:p>
      <w:pPr>
        <w:pStyle w:val="FootnoteText"/>
      </w:pPr>
      <w:r>
        <w:rPr>
          <w:rStyle w:val="FootnoteReference"/>
        </w:rPr>
        <w:footnoteRef/>
      </w:r>
      <w:r>
        <w:t xml:space="preserve"> </w:t>
      </w:r>
      <w:r>
        <w:t xml:space="preserve">Micic 1995, PMID 7734029.</w:t>
      </w:r>
    </w:p>
  </w:footnote>
  <w:footnote w:id="1408">
    <w:p>
      <w:pPr>
        <w:pStyle w:val="FootnoteText"/>
      </w:pPr>
      <w:r>
        <w:rPr>
          <w:rStyle w:val="FootnoteReference"/>
        </w:rPr>
        <w:footnoteRef/>
      </w:r>
      <w:r>
        <w:t xml:space="preserve"> </w:t>
      </w:r>
      <w:r>
        <w:t xml:space="preserve">Bellone 1995, PMID 7581965.</w:t>
      </w:r>
    </w:p>
  </w:footnote>
  <w:footnote w:id="1411">
    <w:p>
      <w:pPr>
        <w:pStyle w:val="FootnoteText"/>
      </w:pPr>
      <w:r>
        <w:rPr>
          <w:rStyle w:val="FootnoteReference"/>
        </w:rPr>
        <w:footnoteRef/>
      </w:r>
      <w:r>
        <w:t xml:space="preserve"> </w:t>
      </w:r>
      <w:r>
        <w:t xml:space="preserve">Berlanga-Acosta 2024, PMID 38873418.</w:t>
      </w:r>
    </w:p>
  </w:footnote>
  <w:footnote w:id="1412">
    <w:p>
      <w:pPr>
        <w:pStyle w:val="FootnoteText"/>
      </w:pPr>
      <w:r>
        <w:rPr>
          <w:rStyle w:val="FootnoteReference"/>
        </w:rPr>
        <w:footnoteRef/>
      </w:r>
      <w:r>
        <w:t xml:space="preserve"> </w:t>
      </w:r>
      <w:r>
        <w:t xml:space="preserve">Cibrián 2006, PMID 16417467.</w:t>
      </w:r>
    </w:p>
  </w:footnote>
  <w:footnote w:id="1413">
    <w:p>
      <w:pPr>
        <w:pStyle w:val="FootnoteText"/>
      </w:pPr>
      <w:r>
        <w:rPr>
          <w:rStyle w:val="FootnoteReference"/>
        </w:rPr>
        <w:footnoteRef/>
      </w:r>
      <w:r>
        <w:t xml:space="preserve"> </w:t>
      </w:r>
      <w:r>
        <w:t xml:space="preserve">del Barco 2011, PMID 21697595.</w:t>
      </w:r>
    </w:p>
  </w:footnote>
  <w:footnote w:id="1415">
    <w:p>
      <w:pPr>
        <w:pStyle w:val="FootnoteText"/>
      </w:pPr>
      <w:r>
        <w:rPr>
          <w:rStyle w:val="FootnoteReference"/>
        </w:rPr>
        <w:footnoteRef/>
      </w:r>
      <w:r>
        <w:t xml:space="preserve"> </w:t>
      </w:r>
      <w:r>
        <w:t xml:space="preserve">Petersenn 2002, PMID 11980622.</w:t>
      </w:r>
    </w:p>
  </w:footnote>
  <w:footnote w:id="1416">
    <w:p>
      <w:pPr>
        <w:pStyle w:val="FootnoteText"/>
      </w:pPr>
      <w:r>
        <w:rPr>
          <w:rStyle w:val="FootnoteReference"/>
        </w:rPr>
        <w:footnoteRef/>
      </w:r>
      <w:r>
        <w:t xml:space="preserve"> </w:t>
      </w:r>
      <w:r>
        <w:t xml:space="preserve">Frieboes 1995, PMID 7617137.</w:t>
      </w:r>
    </w:p>
  </w:footnote>
  <w:footnote w:id="1417">
    <w:p>
      <w:pPr>
        <w:pStyle w:val="FootnoteText"/>
      </w:pPr>
      <w:r>
        <w:rPr>
          <w:rStyle w:val="FootnoteReference"/>
        </w:rPr>
        <w:footnoteRef/>
      </w:r>
      <w:r>
        <w:t xml:space="preserve"> </w:t>
      </w:r>
      <w:r>
        <w:t xml:space="preserve">Perez 2026, PMID 42465868.</w:t>
      </w:r>
    </w:p>
  </w:footnote>
  <w:footnote w:id="1418">
    <w:p>
      <w:pPr>
        <w:pStyle w:val="FootnoteText"/>
      </w:pPr>
      <w:r>
        <w:rPr>
          <w:rStyle w:val="FootnoteReference"/>
        </w:rPr>
        <w:footnoteRef/>
      </w:r>
      <w:r>
        <w:t xml:space="preserve"> </w:t>
      </w:r>
      <w:r>
        <w:t xml:space="preserve">Krug 2018, PMID 29864719.</w:t>
      </w:r>
    </w:p>
  </w:footnote>
  <w:footnote w:id="1420">
    <w:p>
      <w:pPr>
        <w:pStyle w:val="FootnoteText"/>
      </w:pPr>
      <w:r>
        <w:rPr>
          <w:rStyle w:val="FootnoteReference"/>
        </w:rPr>
        <w:footnoteRef/>
      </w:r>
      <w:r>
        <w:t xml:space="preserve"> </w:t>
      </w:r>
      <w:r>
        <w:t xml:space="preserve">Semenistaya 2015, PMID 25869809.</w:t>
      </w:r>
    </w:p>
  </w:footnote>
  <w:footnote w:id="1425">
    <w:p>
      <w:pPr>
        <w:pStyle w:val="FootnoteText"/>
      </w:pPr>
      <w:r>
        <w:rPr>
          <w:rStyle w:val="FootnoteReference"/>
        </w:rPr>
        <w:footnoteRef/>
      </w:r>
      <w:r>
        <w:t xml:space="preserve"> </w:t>
      </w:r>
      <w:r>
        <w:t xml:space="preserve">Imbimbo 1994, PMID 7957536.</w:t>
      </w:r>
    </w:p>
  </w:footnote>
  <w:footnote w:id="1426">
    <w:p>
      <w:pPr>
        <w:pStyle w:val="FootnoteText"/>
      </w:pPr>
      <w:r>
        <w:rPr>
          <w:rStyle w:val="FootnoteReference"/>
        </w:rPr>
        <w:footnoteRef/>
      </w:r>
      <w:r>
        <w:t xml:space="preserve"> </w:t>
      </w:r>
      <w:r>
        <w:t xml:space="preserve">Mao 2014, PMID 25278975.</w:t>
      </w:r>
    </w:p>
  </w:footnote>
  <w:footnote w:id="1428">
    <w:p>
      <w:pPr>
        <w:pStyle w:val="FootnoteText"/>
      </w:pPr>
      <w:r>
        <w:rPr>
          <w:rStyle w:val="FootnoteReference"/>
        </w:rPr>
        <w:footnoteRef/>
      </w:r>
      <w:r>
        <w:t xml:space="preserve"> </w:t>
      </w:r>
      <w:r>
        <w:t xml:space="preserve">Loche 1995, PMID 7673411.</w:t>
      </w:r>
    </w:p>
  </w:footnote>
  <w:footnote w:id="1430">
    <w:p>
      <w:pPr>
        <w:pStyle w:val="FootnoteText"/>
      </w:pPr>
      <w:r>
        <w:rPr>
          <w:rStyle w:val="FootnoteReference"/>
        </w:rPr>
        <w:footnoteRef/>
      </w:r>
      <w:r>
        <w:t xml:space="preserve"> </w:t>
      </w:r>
      <w:r>
        <w:t xml:space="preserve">Imbimbo 1994, PMID 7957536.</w:t>
      </w:r>
    </w:p>
  </w:footnote>
  <w:footnote w:id="1431">
    <w:p>
      <w:pPr>
        <w:pStyle w:val="FootnoteText"/>
      </w:pPr>
      <w:r>
        <w:rPr>
          <w:rStyle w:val="FootnoteReference"/>
        </w:rPr>
        <w:footnoteRef/>
      </w:r>
      <w:r>
        <w:t xml:space="preserve"> </w:t>
      </w:r>
      <w:r>
        <w:t xml:space="preserve">Massoud 1996, PMID 8954038.</w:t>
      </w:r>
    </w:p>
  </w:footnote>
  <w:footnote w:id="1432">
    <w:p>
      <w:pPr>
        <w:pStyle w:val="FootnoteText"/>
      </w:pPr>
      <w:r>
        <w:rPr>
          <w:rStyle w:val="FootnoteReference"/>
        </w:rPr>
        <w:footnoteRef/>
      </w:r>
      <w:r>
        <w:t xml:space="preserve"> </w:t>
      </w:r>
      <w:r>
        <w:t xml:space="preserve">Korbonits 1999, PMID 10404825.</w:t>
      </w:r>
    </w:p>
  </w:footnote>
  <w:footnote w:id="1434">
    <w:p>
      <w:pPr>
        <w:pStyle w:val="FootnoteText"/>
      </w:pPr>
      <w:r>
        <w:rPr>
          <w:rStyle w:val="FootnoteReference"/>
        </w:rPr>
        <w:footnoteRef/>
      </w:r>
      <w:r>
        <w:t xml:space="preserve"> </w:t>
      </w:r>
      <w:r>
        <w:t xml:space="preserve">Rahim 1998, PMID 9589671.</w:t>
      </w:r>
    </w:p>
  </w:footnote>
  <w:footnote w:id="1435">
    <w:p>
      <w:pPr>
        <w:pStyle w:val="FootnoteText"/>
      </w:pPr>
      <w:r>
        <w:rPr>
          <w:rStyle w:val="FootnoteReference"/>
        </w:rPr>
        <w:footnoteRef/>
      </w:r>
      <w:r>
        <w:t xml:space="preserve"> </w:t>
      </w:r>
      <w:r>
        <w:t xml:space="preserve">Rahim 1999, PMID 10341859.</w:t>
      </w:r>
    </w:p>
  </w:footnote>
  <w:footnote w:id="1436">
    <w:p>
      <w:pPr>
        <w:pStyle w:val="FootnoteText"/>
      </w:pPr>
      <w:r>
        <w:rPr>
          <w:rStyle w:val="FootnoteReference"/>
        </w:rPr>
        <w:footnoteRef/>
      </w:r>
      <w:r>
        <w:t xml:space="preserve"> </w:t>
      </w:r>
      <w:r>
        <w:t xml:space="preserve">Laron 1995, PMID 8548949.</w:t>
      </w:r>
    </w:p>
  </w:footnote>
  <w:footnote w:id="1437">
    <w:p>
      <w:pPr>
        <w:pStyle w:val="FootnoteText"/>
      </w:pPr>
      <w:r>
        <w:rPr>
          <w:rStyle w:val="FootnoteReference"/>
        </w:rPr>
        <w:footnoteRef/>
      </w:r>
      <w:r>
        <w:t xml:space="preserve"> </w:t>
      </w:r>
      <w:r>
        <w:t xml:space="preserve">Klinger 1996, PMID 8766941.</w:t>
      </w:r>
    </w:p>
  </w:footnote>
  <w:footnote w:id="1439">
    <w:p>
      <w:pPr>
        <w:pStyle w:val="FootnoteText"/>
      </w:pPr>
      <w:r>
        <w:rPr>
          <w:rStyle w:val="FootnoteReference"/>
        </w:rPr>
        <w:footnoteRef/>
      </w:r>
      <w:r>
        <w:t xml:space="preserve"> </w:t>
      </w:r>
      <w:r>
        <w:t xml:space="preserve">Bisi 1999, PMID 10528131.</w:t>
      </w:r>
    </w:p>
  </w:footnote>
  <w:footnote w:id="1440">
    <w:p>
      <w:pPr>
        <w:pStyle w:val="FootnoteText"/>
      </w:pPr>
      <w:r>
        <w:rPr>
          <w:rStyle w:val="FootnoteReference"/>
        </w:rPr>
        <w:footnoteRef/>
      </w:r>
      <w:r>
        <w:t xml:space="preserve"> </w:t>
      </w:r>
      <w:r>
        <w:t xml:space="preserve">Broglio 2001, PMID 11322491.</w:t>
      </w:r>
    </w:p>
  </w:footnote>
  <w:footnote w:id="1441">
    <w:p>
      <w:pPr>
        <w:pStyle w:val="FootnoteText"/>
      </w:pPr>
      <w:r>
        <w:rPr>
          <w:rStyle w:val="FootnoteReference"/>
        </w:rPr>
        <w:footnoteRef/>
      </w:r>
      <w:r>
        <w:t xml:space="preserve"> </w:t>
      </w:r>
      <w:r>
        <w:t xml:space="preserve">Broglio 2002, PMID 12144941.</w:t>
      </w:r>
    </w:p>
  </w:footnote>
  <w:footnote w:id="1444">
    <w:p>
      <w:pPr>
        <w:pStyle w:val="FootnoteText"/>
      </w:pPr>
      <w:r>
        <w:rPr>
          <w:rStyle w:val="FootnoteReference"/>
        </w:rPr>
        <w:footnoteRef/>
      </w:r>
      <w:r>
        <w:t xml:space="preserve"> </w:t>
      </w:r>
      <w:r>
        <w:t xml:space="preserve">Tivesten 2000, PMID 10614623.</w:t>
      </w:r>
    </w:p>
  </w:footnote>
  <w:footnote w:id="1445">
    <w:p>
      <w:pPr>
        <w:pStyle w:val="FootnoteText"/>
      </w:pPr>
      <w:r>
        <w:rPr>
          <w:rStyle w:val="FootnoteReference"/>
        </w:rPr>
        <w:footnoteRef/>
      </w:r>
      <w:r>
        <w:t xml:space="preserve"> </w:t>
      </w:r>
      <w:r>
        <w:t xml:space="preserve">McDonald 2018, PMID 29756411.</w:t>
      </w:r>
    </w:p>
  </w:footnote>
  <w:footnote w:id="1446">
    <w:p>
      <w:pPr>
        <w:pStyle w:val="FootnoteText"/>
      </w:pPr>
      <w:r>
        <w:rPr>
          <w:rStyle w:val="FootnoteReference"/>
        </w:rPr>
        <w:footnoteRef/>
      </w:r>
      <w:r>
        <w:t xml:space="preserve"> </w:t>
      </w:r>
      <w:r>
        <w:t xml:space="preserve">Mao 2014, PMID 25278975.</w:t>
      </w:r>
    </w:p>
  </w:footnote>
  <w:footnote w:id="1448">
    <w:p>
      <w:pPr>
        <w:pStyle w:val="FootnoteText"/>
      </w:pPr>
      <w:r>
        <w:rPr>
          <w:rStyle w:val="FootnoteReference"/>
        </w:rPr>
        <w:footnoteRef/>
      </w:r>
      <w:r>
        <w:t xml:space="preserve"> </w:t>
      </w:r>
      <w:r>
        <w:t xml:space="preserve">Massoud 1996, PMID 8954038; Korbonits 1999, PMID 10404825.</w:t>
      </w:r>
    </w:p>
  </w:footnote>
  <w:footnote w:id="1449">
    <w:p>
      <w:pPr>
        <w:pStyle w:val="FootnoteText"/>
      </w:pPr>
      <w:r>
        <w:rPr>
          <w:rStyle w:val="FootnoteReference"/>
        </w:rPr>
        <w:footnoteRef/>
      </w:r>
      <w:r>
        <w:t xml:space="preserve"> </w:t>
      </w:r>
      <w:r>
        <w:t xml:space="preserve">Korbonits 1999, PMID 10404825.</w:t>
      </w:r>
    </w:p>
  </w:footnote>
  <w:footnote w:id="1450">
    <w:p>
      <w:pPr>
        <w:pStyle w:val="FootnoteText"/>
      </w:pPr>
      <w:r>
        <w:rPr>
          <w:rStyle w:val="FootnoteReference"/>
        </w:rPr>
        <w:footnoteRef/>
      </w:r>
      <w:r>
        <w:t xml:space="preserve"> </w:t>
      </w:r>
      <w:r>
        <w:t xml:space="preserve">Rahim 1998, PMID 9589671; Klinger 1996, PMID 8766941.</w:t>
      </w:r>
    </w:p>
  </w:footnote>
  <w:footnote w:id="1451">
    <w:p>
      <w:pPr>
        <w:pStyle w:val="FootnoteText"/>
      </w:pPr>
      <w:r>
        <w:rPr>
          <w:rStyle w:val="FootnoteReference"/>
        </w:rPr>
        <w:footnoteRef/>
      </w:r>
      <w:r>
        <w:t xml:space="preserve"> </w:t>
      </w:r>
      <w:r>
        <w:t xml:space="preserve">Laron 1995, PMID 8548949.</w:t>
      </w:r>
    </w:p>
  </w:footnote>
  <w:footnote w:id="1453">
    <w:p>
      <w:pPr>
        <w:pStyle w:val="FootnoteText"/>
      </w:pPr>
      <w:r>
        <w:rPr>
          <w:rStyle w:val="FootnoteReference"/>
        </w:rPr>
        <w:footnoteRef/>
      </w:r>
      <w:r>
        <w:t xml:space="preserve"> </w:t>
      </w:r>
      <w:r>
        <w:t xml:space="preserve">Semenistaya 2015, PMID 25869809.</w:t>
      </w:r>
    </w:p>
  </w:footnote>
  <w:footnote w:id="1458">
    <w:p>
      <w:pPr>
        <w:pStyle w:val="FootnoteText"/>
      </w:pPr>
      <w:r>
        <w:rPr>
          <w:rStyle w:val="FootnoteReference"/>
        </w:rPr>
        <w:footnoteRef/>
      </w:r>
      <w:r>
        <w:t xml:space="preserve"> </w:t>
      </w:r>
      <w:r>
        <w:t xml:space="preserve">Piccoli 2007, PMID 17284637.</w:t>
      </w:r>
    </w:p>
  </w:footnote>
  <w:footnote w:id="1461">
    <w:p>
      <w:pPr>
        <w:pStyle w:val="FootnoteText"/>
      </w:pPr>
      <w:r>
        <w:rPr>
          <w:rStyle w:val="FootnoteReference"/>
        </w:rPr>
        <w:footnoteRef/>
      </w:r>
      <w:r>
        <w:t xml:space="preserve"> </w:t>
      </w:r>
      <w:r>
        <w:t xml:space="preserve">Piccoli 2007, PMID 17284637.</w:t>
      </w:r>
    </w:p>
  </w:footnote>
  <w:footnote w:id="1462">
    <w:p>
      <w:pPr>
        <w:pStyle w:val="FootnoteText"/>
      </w:pPr>
      <w:r>
        <w:rPr>
          <w:rStyle w:val="FootnoteReference"/>
        </w:rPr>
        <w:footnoteRef/>
      </w:r>
      <w:r>
        <w:t xml:space="preserve"> </w:t>
      </w:r>
      <w:r>
        <w:t xml:space="preserve">Klaus 2020, PMID 32325373.</w:t>
      </w:r>
    </w:p>
  </w:footnote>
  <w:footnote w:id="1464">
    <w:p>
      <w:pPr>
        <w:pStyle w:val="FootnoteText"/>
      </w:pPr>
      <w:r>
        <w:rPr>
          <w:rStyle w:val="FootnoteReference"/>
        </w:rPr>
        <w:footnoteRef/>
      </w:r>
      <w:r>
        <w:t xml:space="preserve"> </w:t>
      </w:r>
      <w:r>
        <w:t xml:space="preserve">Garcia 2013, PMID 23559086.</w:t>
      </w:r>
    </w:p>
  </w:footnote>
  <w:footnote w:id="1465">
    <w:p>
      <w:pPr>
        <w:pStyle w:val="FootnoteText"/>
      </w:pPr>
      <w:r>
        <w:rPr>
          <w:rStyle w:val="FootnoteReference"/>
        </w:rPr>
        <w:footnoteRef/>
      </w:r>
      <w:r>
        <w:t xml:space="preserve"> </w:t>
      </w:r>
      <w:r>
        <w:t xml:space="preserve">Garcia 2018, PMID 29860473; NCT02558829.</w:t>
      </w:r>
    </w:p>
  </w:footnote>
  <w:footnote w:id="1466">
    <w:p>
      <w:pPr>
        <w:pStyle w:val="FootnoteText"/>
      </w:pPr>
      <w:r>
        <w:rPr>
          <w:rStyle w:val="FootnoteReference"/>
        </w:rPr>
        <w:footnoteRef/>
      </w:r>
      <w:r>
        <w:t xml:space="preserve"> </w:t>
      </w:r>
      <w:r>
        <w:t xml:space="preserve">Garcia 2021, PMID 33320108.</w:t>
      </w:r>
    </w:p>
  </w:footnote>
  <w:footnote w:id="1468">
    <w:p>
      <w:pPr>
        <w:pStyle w:val="FootnoteText"/>
      </w:pPr>
      <w:r>
        <w:rPr>
          <w:rStyle w:val="FootnoteReference"/>
        </w:rPr>
        <w:footnoteRef/>
      </w:r>
      <w:r>
        <w:t xml:space="preserve"> </w:t>
      </w:r>
      <w:r>
        <w:t xml:space="preserve">Yadav 2026, PMID 41793495.</w:t>
      </w:r>
    </w:p>
  </w:footnote>
  <w:footnote w:id="1470">
    <w:p>
      <w:pPr>
        <w:pStyle w:val="FootnoteText"/>
      </w:pPr>
      <w:r>
        <w:rPr>
          <w:rStyle w:val="FootnoteReference"/>
        </w:rPr>
        <w:footnoteRef/>
      </w:r>
      <w:r>
        <w:t xml:space="preserve"> </w:t>
      </w:r>
      <w:r>
        <w:t xml:space="preserve">Csákváry 2021, PMID 34438400.</w:t>
      </w:r>
    </w:p>
  </w:footnote>
  <w:footnote w:id="1471">
    <w:p>
      <w:pPr>
        <w:pStyle w:val="FootnoteText"/>
      </w:pPr>
      <w:r>
        <w:rPr>
          <w:rStyle w:val="FootnoteReference"/>
        </w:rPr>
        <w:footnoteRef/>
      </w:r>
      <w:r>
        <w:t xml:space="preserve"> </w:t>
      </w:r>
      <w:r>
        <w:t xml:space="preserve">NCT04786873.</w:t>
      </w:r>
    </w:p>
  </w:footnote>
  <w:footnote w:id="1472">
    <w:p>
      <w:pPr>
        <w:pStyle w:val="FootnoteText"/>
      </w:pPr>
      <w:r>
        <w:rPr>
          <w:rStyle w:val="FootnoteReference"/>
        </w:rPr>
        <w:footnoteRef/>
      </w:r>
      <w:r>
        <w:t xml:space="preserve"> </w:t>
      </w:r>
      <w:r>
        <w:t xml:space="preserve">Herodes 2023, PMID 36860137.</w:t>
      </w:r>
    </w:p>
  </w:footnote>
  <w:footnote w:id="1475">
    <w:p>
      <w:pPr>
        <w:pStyle w:val="FootnoteText"/>
      </w:pPr>
      <w:r>
        <w:rPr>
          <w:rStyle w:val="FootnoteReference"/>
        </w:rPr>
        <w:footnoteRef/>
      </w:r>
      <w:r>
        <w:t xml:space="preserve"> </w:t>
      </w:r>
      <w:r>
        <w:t xml:space="preserve">Buckinx 2021, PMID 34157194.</w:t>
      </w:r>
    </w:p>
  </w:footnote>
  <w:footnote w:id="1476">
    <w:p>
      <w:pPr>
        <w:pStyle w:val="FootnoteText"/>
      </w:pPr>
      <w:r>
        <w:rPr>
          <w:rStyle w:val="FootnoteReference"/>
        </w:rPr>
        <w:footnoteRef/>
      </w:r>
      <w:r>
        <w:t xml:space="preserve"> </w:t>
      </w:r>
      <w:r>
        <w:t xml:space="preserve">Wang 2025, PMID 40542284.</w:t>
      </w:r>
    </w:p>
  </w:footnote>
  <w:footnote w:id="1478">
    <w:p>
      <w:pPr>
        <w:pStyle w:val="FootnoteText"/>
      </w:pPr>
      <w:r>
        <w:rPr>
          <w:rStyle w:val="FootnoteReference"/>
        </w:rPr>
        <w:footnoteRef/>
      </w:r>
      <w:r>
        <w:t xml:space="preserve"> </w:t>
      </w:r>
      <w:r>
        <w:t xml:space="preserve">Garcia 2018, PMID 29860473.</w:t>
      </w:r>
    </w:p>
  </w:footnote>
  <w:footnote w:id="1479">
    <w:p>
      <w:pPr>
        <w:pStyle w:val="FootnoteText"/>
      </w:pPr>
      <w:r>
        <w:rPr>
          <w:rStyle w:val="FootnoteReference"/>
        </w:rPr>
        <w:footnoteRef/>
      </w:r>
      <w:r>
        <w:t xml:space="preserve"> </w:t>
      </w:r>
      <w:r>
        <w:t xml:space="preserve">Klaus 2020, PMID 32325373.</w:t>
      </w:r>
    </w:p>
  </w:footnote>
  <w:footnote w:id="1480">
    <w:p>
      <w:pPr>
        <w:pStyle w:val="FootnoteText"/>
      </w:pPr>
      <w:r>
        <w:rPr>
          <w:rStyle w:val="FootnoteReference"/>
        </w:rPr>
        <w:footnoteRef/>
      </w:r>
      <w:r>
        <w:t xml:space="preserve"> </w:t>
      </w:r>
      <w:r>
        <w:t xml:space="preserve">Lissy 2021, PMID 32961034.</w:t>
      </w:r>
    </w:p>
  </w:footnote>
  <w:footnote w:id="1481">
    <w:p>
      <w:pPr>
        <w:pStyle w:val="FootnoteText"/>
      </w:pPr>
      <w:r>
        <w:rPr>
          <w:rStyle w:val="FootnoteReference"/>
        </w:rPr>
        <w:footnoteRef/>
      </w:r>
      <w:r>
        <w:t xml:space="preserve"> </w:t>
      </w:r>
      <w:r>
        <w:t xml:space="preserve">Yadav 2026, PMID 41793495.</w:t>
      </w:r>
    </w:p>
  </w:footnote>
  <w:footnote w:id="1483">
    <w:p>
      <w:pPr>
        <w:pStyle w:val="FootnoteText"/>
      </w:pPr>
      <w:r>
        <w:rPr>
          <w:rStyle w:val="FootnoteReference"/>
        </w:rPr>
        <w:footnoteRef/>
      </w:r>
      <w:r>
        <w:t xml:space="preserve"> </w:t>
      </w:r>
      <w:r>
        <w:t xml:space="preserve">Lange 2021, PMID 33458843.</w:t>
      </w:r>
    </w:p>
  </w:footnote>
  <w:footnote w:id="1485">
    <w:p>
      <w:pPr>
        <w:pStyle w:val="FootnoteText"/>
      </w:pPr>
      <w:r>
        <w:rPr>
          <w:rStyle w:val="FootnoteReference"/>
        </w:rPr>
        <w:footnoteRef/>
      </w:r>
      <w:r>
        <w:t xml:space="preserve"> </w:t>
      </w:r>
      <w:r>
        <w:t xml:space="preserve">NCT04786873.</w:t>
      </w:r>
    </w:p>
  </w:footnote>
  <w:footnote w:id="1486">
    <w:p>
      <w:pPr>
        <w:pStyle w:val="FootnoteText"/>
      </w:pPr>
      <w:r>
        <w:rPr>
          <w:rStyle w:val="FootnoteReference"/>
        </w:rPr>
        <w:footnoteRef/>
      </w:r>
      <w:r>
        <w:t xml:space="preserve"> </w:t>
      </w:r>
      <w:r>
        <w:t xml:space="preserve">NCT03844217.</w:t>
      </w:r>
    </w:p>
  </w:footnote>
  <w:footnote w:id="1491">
    <w:p>
      <w:pPr>
        <w:pStyle w:val="FootnoteText"/>
      </w:pPr>
      <w:r>
        <w:rPr>
          <w:rStyle w:val="FootnoteReference"/>
        </w:rPr>
        <w:footnoteRef/>
      </w:r>
      <w:r>
        <w:t xml:space="preserve"> </w:t>
      </w:r>
      <w:r>
        <w:t xml:space="preserve">Saavedra 2026, PMID 42341624.</w:t>
      </w:r>
    </w:p>
  </w:footnote>
  <w:footnote w:id="1493">
    <w:p>
      <w:pPr>
        <w:pStyle w:val="FootnoteText"/>
      </w:pPr>
      <w:r>
        <w:rPr>
          <w:rStyle w:val="FootnoteReference"/>
        </w:rPr>
        <w:footnoteRef/>
      </w:r>
      <w:r>
        <w:t xml:space="preserve"> </w:t>
      </w:r>
      <w:r>
        <w:t xml:space="preserve">Chernausek 2007, PMID 17192294.</w:t>
      </w:r>
    </w:p>
  </w:footnote>
  <w:footnote w:id="1494">
    <w:p>
      <w:pPr>
        <w:pStyle w:val="FootnoteText"/>
      </w:pPr>
      <w:r>
        <w:rPr>
          <w:rStyle w:val="FootnoteReference"/>
        </w:rPr>
        <w:footnoteRef/>
      </w:r>
      <w:r>
        <w:t xml:space="preserve"> </w:t>
      </w:r>
      <w:r>
        <w:t xml:space="preserve">NCT00903110.</w:t>
      </w:r>
    </w:p>
  </w:footnote>
  <w:footnote w:id="1495">
    <w:p>
      <w:pPr>
        <w:pStyle w:val="FootnoteText"/>
      </w:pPr>
      <w:r>
        <w:rPr>
          <w:rStyle w:val="FootnoteReference"/>
        </w:rPr>
        <w:footnoteRef/>
      </w:r>
      <w:r>
        <w:t xml:space="preserve"> </w:t>
      </w:r>
      <w:r>
        <w:t xml:space="preserve">Bang 2021, PMID 33434161.</w:t>
      </w:r>
    </w:p>
  </w:footnote>
  <w:footnote w:id="1496">
    <w:p>
      <w:pPr>
        <w:pStyle w:val="FootnoteText"/>
      </w:pPr>
      <w:r>
        <w:rPr>
          <w:rStyle w:val="FootnoteReference"/>
        </w:rPr>
        <w:footnoteRef/>
      </w:r>
      <w:r>
        <w:t xml:space="preserve"> </w:t>
      </w:r>
      <w:r>
        <w:t xml:space="preserve">Ramon-Krauel 2026, PMID 40626687.</w:t>
      </w:r>
    </w:p>
  </w:footnote>
  <w:footnote w:id="1497">
    <w:p>
      <w:pPr>
        <w:pStyle w:val="FootnoteText"/>
      </w:pPr>
      <w:r>
        <w:rPr>
          <w:rStyle w:val="FootnoteReference"/>
        </w:rPr>
        <w:footnoteRef/>
      </w:r>
      <w:r>
        <w:t xml:space="preserve"> </w:t>
      </w:r>
      <w:r>
        <w:t xml:space="preserve">Bang 2023, PMID 37579214.</w:t>
      </w:r>
    </w:p>
  </w:footnote>
  <w:footnote w:id="1499">
    <w:p>
      <w:pPr>
        <w:pStyle w:val="FootnoteText"/>
      </w:pPr>
      <w:r>
        <w:rPr>
          <w:rStyle w:val="FootnoteReference"/>
        </w:rPr>
        <w:footnoteRef/>
      </w:r>
      <w:r>
        <w:t xml:space="preserve"> </w:t>
      </w:r>
      <w:r>
        <w:t xml:space="preserve">Sorenson 2008, PMID 19029516.</w:t>
      </w:r>
    </w:p>
  </w:footnote>
  <w:footnote w:id="1500">
    <w:p>
      <w:pPr>
        <w:pStyle w:val="FootnoteText"/>
      </w:pPr>
      <w:r>
        <w:rPr>
          <w:rStyle w:val="FootnoteReference"/>
        </w:rPr>
        <w:footnoteRef/>
      </w:r>
      <w:r>
        <w:t xml:space="preserve"> </w:t>
      </w:r>
      <w:r>
        <w:t xml:space="preserve">Rutter 2020, PMID 32108355.</w:t>
      </w:r>
    </w:p>
  </w:footnote>
  <w:footnote w:id="1501">
    <w:p>
      <w:pPr>
        <w:pStyle w:val="FootnoteText"/>
      </w:pPr>
      <w:r>
        <w:rPr>
          <w:rStyle w:val="FootnoteReference"/>
        </w:rPr>
        <w:footnoteRef/>
      </w:r>
      <w:r>
        <w:t xml:space="preserve"> </w:t>
      </w:r>
      <w:r>
        <w:t xml:space="preserve">Ribeiro 2025, PMID 41174329.</w:t>
      </w:r>
    </w:p>
  </w:footnote>
  <w:footnote w:id="1502">
    <w:p>
      <w:pPr>
        <w:pStyle w:val="FootnoteText"/>
      </w:pPr>
      <w:r>
        <w:rPr>
          <w:rStyle w:val="FootnoteReference"/>
        </w:rPr>
        <w:footnoteRef/>
      </w:r>
      <w:r>
        <w:t xml:space="preserve"> </w:t>
      </w:r>
      <w:r>
        <w:t xml:space="preserve">Ley 2019, PMID 30471715.</w:t>
      </w:r>
    </w:p>
  </w:footnote>
  <w:footnote w:id="1503">
    <w:p>
      <w:pPr>
        <w:pStyle w:val="FootnoteText"/>
      </w:pPr>
      <w:r>
        <w:rPr>
          <w:rStyle w:val="FootnoteReference"/>
        </w:rPr>
        <w:footnoteRef/>
      </w:r>
      <w:r>
        <w:t xml:space="preserve"> </w:t>
      </w:r>
      <w:r>
        <w:t xml:space="preserve">NCT03253263.</w:t>
      </w:r>
    </w:p>
  </w:footnote>
  <w:footnote w:id="1504">
    <w:p>
      <w:pPr>
        <w:pStyle w:val="FootnoteText"/>
      </w:pPr>
      <w:r>
        <w:rPr>
          <w:rStyle w:val="FootnoteReference"/>
        </w:rPr>
        <w:footnoteRef/>
      </w:r>
      <w:r>
        <w:t xml:space="preserve"> </w:t>
      </w:r>
      <w:r>
        <w:t xml:space="preserve">Haines 2021, PMID 34355814.</w:t>
      </w:r>
    </w:p>
  </w:footnote>
  <w:footnote w:id="1505">
    <w:p>
      <w:pPr>
        <w:pStyle w:val="FootnoteText"/>
      </w:pPr>
      <w:r>
        <w:rPr>
          <w:rStyle w:val="FootnoteReference"/>
        </w:rPr>
        <w:footnoteRef/>
      </w:r>
      <w:r>
        <w:t xml:space="preserve"> </w:t>
      </w:r>
      <w:r>
        <w:t xml:space="preserve">Mauras 2000, PMID 10999782.</w:t>
      </w:r>
    </w:p>
  </w:footnote>
  <w:footnote w:id="1506">
    <w:p>
      <w:pPr>
        <w:pStyle w:val="FootnoteText"/>
      </w:pPr>
      <w:r>
        <w:rPr>
          <w:rStyle w:val="FootnoteReference"/>
        </w:rPr>
        <w:footnoteRef/>
      </w:r>
      <w:r>
        <w:t xml:space="preserve"> </w:t>
      </w:r>
      <w:r>
        <w:t xml:space="preserve">Guha 2021, PMID 33249593.</w:t>
      </w:r>
    </w:p>
  </w:footnote>
  <w:footnote w:id="1509">
    <w:p>
      <w:pPr>
        <w:pStyle w:val="FootnoteText"/>
      </w:pPr>
      <w:r>
        <w:rPr>
          <w:rStyle w:val="FootnoteReference"/>
        </w:rPr>
        <w:footnoteRef/>
      </w:r>
      <w:r>
        <w:t xml:space="preserve"> </w:t>
      </w:r>
      <w:r>
        <w:t xml:space="preserve">Guevara-Aguirre 2011, PMID 21325617.</w:t>
      </w:r>
    </w:p>
  </w:footnote>
  <w:footnote w:id="1510">
    <w:p>
      <w:pPr>
        <w:pStyle w:val="FootnoteText"/>
      </w:pPr>
      <w:r>
        <w:rPr>
          <w:rStyle w:val="FootnoteReference"/>
        </w:rPr>
        <w:footnoteRef/>
      </w:r>
      <w:r>
        <w:t xml:space="preserve"> </w:t>
      </w:r>
      <w:r>
        <w:t xml:space="preserve">Guevara-Aguirre 2015, PMID 25316432.</w:t>
      </w:r>
    </w:p>
  </w:footnote>
  <w:footnote w:id="1512">
    <w:p>
      <w:pPr>
        <w:pStyle w:val="FootnoteText"/>
      </w:pPr>
      <w:r>
        <w:rPr>
          <w:rStyle w:val="FootnoteReference"/>
        </w:rPr>
        <w:footnoteRef/>
      </w:r>
      <w:r>
        <w:t xml:space="preserve"> </w:t>
      </w:r>
      <w:r>
        <w:t xml:space="preserve">Chernausek 2007, PMID 17192294; Bang 2023, PMID 37579214.</w:t>
      </w:r>
    </w:p>
  </w:footnote>
  <w:footnote w:id="1513">
    <w:p>
      <w:pPr>
        <w:pStyle w:val="FootnoteText"/>
      </w:pPr>
      <w:r>
        <w:rPr>
          <w:rStyle w:val="FootnoteReference"/>
        </w:rPr>
        <w:footnoteRef/>
      </w:r>
      <w:r>
        <w:t xml:space="preserve"> </w:t>
      </w:r>
      <w:r>
        <w:t xml:space="preserve">Chernausek 2007, PMID 17192294.</w:t>
      </w:r>
    </w:p>
  </w:footnote>
  <w:footnote w:id="1514">
    <w:p>
      <w:pPr>
        <w:pStyle w:val="FootnoteText"/>
      </w:pPr>
      <w:r>
        <w:rPr>
          <w:rStyle w:val="FootnoteReference"/>
        </w:rPr>
        <w:footnoteRef/>
      </w:r>
      <w:r>
        <w:t xml:space="preserve"> </w:t>
      </w:r>
      <w:r>
        <w:t xml:space="preserve">Ley 2019, PMID 30471715.</w:t>
      </w:r>
    </w:p>
  </w:footnote>
  <w:footnote w:id="1515">
    <w:p>
      <w:pPr>
        <w:pStyle w:val="FootnoteText"/>
      </w:pPr>
      <w:r>
        <w:rPr>
          <w:rStyle w:val="FootnoteReference"/>
        </w:rPr>
        <w:footnoteRef/>
      </w:r>
      <w:r>
        <w:t xml:space="preserve"> </w:t>
      </w:r>
      <w:r>
        <w:t xml:space="preserve">Renehan 2004, PMID 15110491.</w:t>
      </w:r>
    </w:p>
  </w:footnote>
  <w:footnote w:id="1516">
    <w:p>
      <w:pPr>
        <w:pStyle w:val="FootnoteText"/>
      </w:pPr>
      <w:r>
        <w:rPr>
          <w:rStyle w:val="FootnoteReference"/>
        </w:rPr>
        <w:footnoteRef/>
      </w:r>
      <w:r>
        <w:t xml:space="preserve"> </w:t>
      </w:r>
      <w:r>
        <w:t xml:space="preserve">Murphy 2020, PMID 32169310.</w:t>
      </w:r>
    </w:p>
  </w:footnote>
  <w:footnote w:id="1517">
    <w:p>
      <w:pPr>
        <w:pStyle w:val="FootnoteText"/>
      </w:pPr>
      <w:r>
        <w:rPr>
          <w:rStyle w:val="FootnoteReference"/>
        </w:rPr>
        <w:footnoteRef/>
      </w:r>
      <w:r>
        <w:t xml:space="preserve"> </w:t>
      </w:r>
      <w:r>
        <w:t xml:space="preserve">Murphy 2020, PMID 31884074.</w:t>
      </w:r>
    </w:p>
  </w:footnote>
  <w:footnote w:id="1518">
    <w:p>
      <w:pPr>
        <w:pStyle w:val="FootnoteText"/>
      </w:pPr>
      <w:r>
        <w:rPr>
          <w:rStyle w:val="FootnoteReference"/>
        </w:rPr>
        <w:footnoteRef/>
      </w:r>
      <w:r>
        <w:t xml:space="preserve"> </w:t>
      </w:r>
      <w:r>
        <w:t xml:space="preserve">Watts 2023, PMID 35726641.</w:t>
      </w:r>
    </w:p>
  </w:footnote>
  <w:footnote w:id="1519">
    <w:p>
      <w:pPr>
        <w:pStyle w:val="FootnoteText"/>
      </w:pPr>
      <w:r>
        <w:rPr>
          <w:rStyle w:val="FootnoteReference"/>
        </w:rPr>
        <w:footnoteRef/>
      </w:r>
      <w:r>
        <w:t xml:space="preserve"> </w:t>
      </w:r>
      <w:r>
        <w:t xml:space="preserve">Murphy 2020, PMID 32169310; Murphy 2020, PMID 31884074.</w:t>
      </w:r>
    </w:p>
  </w:footnote>
  <w:footnote w:id="1520">
    <w:p>
      <w:pPr>
        <w:pStyle w:val="FootnoteText"/>
      </w:pPr>
      <w:r>
        <w:rPr>
          <w:rStyle w:val="FootnoteReference"/>
        </w:rPr>
        <w:footnoteRef/>
      </w:r>
      <w:r>
        <w:t xml:space="preserve"> </w:t>
      </w:r>
      <w:r>
        <w:t xml:space="preserve">Guevara-Aguirre 2011, PMID 21325617.</w:t>
      </w:r>
    </w:p>
  </w:footnote>
  <w:footnote w:id="1521">
    <w:p>
      <w:pPr>
        <w:pStyle w:val="FootnoteText"/>
      </w:pPr>
      <w:r>
        <w:rPr>
          <w:rStyle w:val="FootnoteReference"/>
        </w:rPr>
        <w:footnoteRef/>
      </w:r>
      <w:r>
        <w:t xml:space="preserve"> </w:t>
      </w:r>
      <w:r>
        <w:t xml:space="preserve">NCT00903110.</w:t>
      </w:r>
    </w:p>
  </w:footnote>
  <w:footnote w:id="1523">
    <w:p>
      <w:pPr>
        <w:pStyle w:val="FootnoteText"/>
      </w:pPr>
      <w:r>
        <w:rPr>
          <w:rStyle w:val="FootnoteReference"/>
        </w:rPr>
        <w:footnoteRef/>
      </w:r>
      <w:r>
        <w:t xml:space="preserve"> </w:t>
      </w:r>
      <w:r>
        <w:t xml:space="preserve">Saavedra 2026, PMID 42341624.</w:t>
      </w:r>
    </w:p>
  </w:footnote>
  <w:footnote w:id="1524">
    <w:p>
      <w:pPr>
        <w:pStyle w:val="FootnoteText"/>
      </w:pPr>
      <w:r>
        <w:rPr>
          <w:rStyle w:val="FootnoteReference"/>
        </w:rPr>
        <w:footnoteRef/>
      </w:r>
      <w:r>
        <w:t xml:space="preserve"> </w:t>
      </w:r>
      <w:r>
        <w:t xml:space="preserve">Guha 2013, PMID 23934394.</w:t>
      </w:r>
    </w:p>
  </w:footnote>
  <w:footnote w:id="1526">
    <w:p>
      <w:pPr>
        <w:pStyle w:val="FootnoteText"/>
      </w:pPr>
      <w:r>
        <w:rPr>
          <w:rStyle w:val="FootnoteReference"/>
        </w:rPr>
        <w:footnoteRef/>
      </w:r>
      <w:r>
        <w:t xml:space="preserve"> </w:t>
      </w:r>
      <w:r>
        <w:t xml:space="preserve">NCT00903110.</w:t>
      </w:r>
    </w:p>
  </w:footnote>
  <w:footnote w:id="1530">
    <w:p>
      <w:pPr>
        <w:pStyle w:val="FootnoteText"/>
      </w:pPr>
      <w:r>
        <w:rPr>
          <w:rStyle w:val="FootnoteReference"/>
        </w:rPr>
        <w:footnoteRef/>
      </w:r>
      <w:r>
        <w:t xml:space="preserve"> </w:t>
      </w:r>
      <w:r>
        <w:t xml:space="preserve">Bastian 1993, PMID 7693845; Tomas 1993, PMID 7683875.</w:t>
      </w:r>
    </w:p>
  </w:footnote>
  <w:footnote w:id="1532">
    <w:p>
      <w:pPr>
        <w:pStyle w:val="FootnoteText"/>
      </w:pPr>
      <w:r>
        <w:rPr>
          <w:rStyle w:val="FootnoteReference"/>
        </w:rPr>
        <w:footnoteRef/>
      </w:r>
      <w:r>
        <w:t xml:space="preserve"> </w:t>
      </w:r>
      <w:r>
        <w:t xml:space="preserve">Devi 2001, PMID 11735239.</w:t>
      </w:r>
    </w:p>
  </w:footnote>
  <w:footnote w:id="1533">
    <w:p>
      <w:pPr>
        <w:pStyle w:val="FootnoteText"/>
      </w:pPr>
      <w:r>
        <w:rPr>
          <w:rStyle w:val="FootnoteReference"/>
        </w:rPr>
        <w:footnoteRef/>
      </w:r>
      <w:r>
        <w:t xml:space="preserve"> </w:t>
      </w:r>
      <w:r>
        <w:t xml:space="preserve">Bastian 1993, PMID 7693845.</w:t>
      </w:r>
    </w:p>
  </w:footnote>
  <w:footnote w:id="1534">
    <w:p>
      <w:pPr>
        <w:pStyle w:val="FootnoteText"/>
      </w:pPr>
      <w:r>
        <w:rPr>
          <w:rStyle w:val="FootnoteReference"/>
        </w:rPr>
        <w:footnoteRef/>
      </w:r>
      <w:r>
        <w:t xml:space="preserve"> </w:t>
      </w:r>
      <w:r>
        <w:t xml:space="preserve">Tomas 1993, PMID 7683875.</w:t>
      </w:r>
    </w:p>
  </w:footnote>
  <w:footnote w:id="1536">
    <w:p>
      <w:pPr>
        <w:pStyle w:val="FootnoteText"/>
      </w:pPr>
      <w:r>
        <w:rPr>
          <w:rStyle w:val="FootnoteReference"/>
        </w:rPr>
        <w:footnoteRef/>
      </w:r>
      <w:r>
        <w:t xml:space="preserve"> </w:t>
      </w:r>
      <w:r>
        <w:t xml:space="preserve">Kohler 2010, PMID 20675162.</w:t>
      </w:r>
    </w:p>
  </w:footnote>
  <w:footnote w:id="1537">
    <w:p>
      <w:pPr>
        <w:pStyle w:val="FootnoteText"/>
      </w:pPr>
      <w:r>
        <w:rPr>
          <w:rStyle w:val="FootnoteReference"/>
        </w:rPr>
        <w:footnoteRef/>
      </w:r>
      <w:r>
        <w:t xml:space="preserve"> </w:t>
      </w:r>
      <w:r>
        <w:t xml:space="preserve">Mongongu 2021, PMID 33587816.</w:t>
      </w:r>
    </w:p>
  </w:footnote>
  <w:footnote w:id="1538">
    <w:p>
      <w:pPr>
        <w:pStyle w:val="FootnoteText"/>
      </w:pPr>
      <w:r>
        <w:rPr>
          <w:rStyle w:val="FootnoteReference"/>
        </w:rPr>
        <w:footnoteRef/>
      </w:r>
      <w:r>
        <w:t xml:space="preserve"> </w:t>
      </w:r>
      <w:r>
        <w:t xml:space="preserve">Guha 2013, PMID 23934394.</w:t>
      </w:r>
    </w:p>
  </w:footnote>
  <w:footnote w:id="1540">
    <w:p>
      <w:pPr>
        <w:pStyle w:val="FootnoteText"/>
      </w:pPr>
      <w:r>
        <w:rPr>
          <w:rStyle w:val="FootnoteReference"/>
        </w:rPr>
        <w:footnoteRef/>
      </w:r>
      <w:r>
        <w:t xml:space="preserve"> </w:t>
      </w:r>
      <w:r>
        <w:t xml:space="preserve">Bastian 1993, PMID 7693845.</w:t>
      </w:r>
    </w:p>
  </w:footnote>
  <w:footnote w:id="1541">
    <w:p>
      <w:pPr>
        <w:pStyle w:val="FootnoteText"/>
      </w:pPr>
      <w:r>
        <w:rPr>
          <w:rStyle w:val="FootnoteReference"/>
        </w:rPr>
        <w:footnoteRef/>
      </w:r>
      <w:r>
        <w:t xml:space="preserve"> </w:t>
      </w:r>
      <w:r>
        <w:t xml:space="preserve">Tomas 1993, PMID 7683875.</w:t>
      </w:r>
    </w:p>
  </w:footnote>
  <w:footnote w:id="1542">
    <w:p>
      <w:pPr>
        <w:pStyle w:val="FootnoteText"/>
      </w:pPr>
      <w:r>
        <w:rPr>
          <w:rStyle w:val="FootnoteReference"/>
        </w:rPr>
        <w:footnoteRef/>
      </w:r>
      <w:r>
        <w:t xml:space="preserve"> </w:t>
      </w:r>
      <w:r>
        <w:t xml:space="preserve">Dunaiski 1997, PMID 9488001.</w:t>
      </w:r>
    </w:p>
  </w:footnote>
  <w:footnote w:id="1543">
    <w:p>
      <w:pPr>
        <w:pStyle w:val="FootnoteText"/>
      </w:pPr>
      <w:r>
        <w:rPr>
          <w:rStyle w:val="FootnoteReference"/>
        </w:rPr>
        <w:footnoteRef/>
      </w:r>
      <w:r>
        <w:t xml:space="preserve"> </w:t>
      </w:r>
      <w:r>
        <w:t xml:space="preserve">Conlon 1995, PMID 7561636.</w:t>
      </w:r>
    </w:p>
  </w:footnote>
  <w:footnote w:id="1544">
    <w:p>
      <w:pPr>
        <w:pStyle w:val="FootnoteText"/>
      </w:pPr>
      <w:r>
        <w:rPr>
          <w:rStyle w:val="FootnoteReference"/>
        </w:rPr>
        <w:footnoteRef/>
      </w:r>
      <w:r>
        <w:t xml:space="preserve"> </w:t>
      </w:r>
      <w:r>
        <w:t xml:space="preserve">White 2023, PMID 37114757.</w:t>
      </w:r>
    </w:p>
  </w:footnote>
  <w:footnote w:id="1545">
    <w:p>
      <w:pPr>
        <w:pStyle w:val="FootnoteText"/>
      </w:pPr>
      <w:r>
        <w:rPr>
          <w:rStyle w:val="FootnoteReference"/>
        </w:rPr>
        <w:footnoteRef/>
      </w:r>
      <w:r>
        <w:t xml:space="preserve"> </w:t>
      </w:r>
      <w:r>
        <w:t xml:space="preserve">White 2025, PMID 39679943.</w:t>
      </w:r>
    </w:p>
  </w:footnote>
  <w:footnote w:id="1546">
    <w:p>
      <w:pPr>
        <w:pStyle w:val="FootnoteText"/>
      </w:pPr>
      <w:r>
        <w:rPr>
          <w:rStyle w:val="FootnoteReference"/>
        </w:rPr>
        <w:footnoteRef/>
      </w:r>
      <w:r>
        <w:t xml:space="preserve"> </w:t>
      </w:r>
      <w:r>
        <w:t xml:space="preserve">Engel 2025, PMID 39610283.</w:t>
      </w:r>
    </w:p>
  </w:footnote>
  <w:footnote w:id="1548">
    <w:p>
      <w:pPr>
        <w:pStyle w:val="FootnoteText"/>
      </w:pPr>
      <w:r>
        <w:rPr>
          <w:rStyle w:val="FootnoteReference"/>
        </w:rPr>
        <w:footnoteRef/>
      </w:r>
      <w:r>
        <w:t xml:space="preserve"> </w:t>
      </w:r>
      <w:r>
        <w:t xml:space="preserve">Chernausek 2007, PMID 17192294.</w:t>
      </w:r>
    </w:p>
  </w:footnote>
  <w:footnote w:id="1549">
    <w:p>
      <w:pPr>
        <w:pStyle w:val="FootnoteText"/>
      </w:pPr>
      <w:r>
        <w:rPr>
          <w:rStyle w:val="FootnoteReference"/>
        </w:rPr>
        <w:footnoteRef/>
      </w:r>
      <w:r>
        <w:t xml:space="preserve"> </w:t>
      </w:r>
      <w:r>
        <w:t xml:space="preserve">Dunaiski 1997, PMID 9488001; White 2023, PMID 37114757.</w:t>
      </w:r>
    </w:p>
  </w:footnote>
  <w:footnote w:id="1550">
    <w:p>
      <w:pPr>
        <w:pStyle w:val="FootnoteText"/>
      </w:pPr>
      <w:r>
        <w:rPr>
          <w:rStyle w:val="FootnoteReference"/>
        </w:rPr>
        <w:footnoteRef/>
      </w:r>
      <w:r>
        <w:t xml:space="preserve"> </w:t>
      </w:r>
      <w:r>
        <w:t xml:space="preserve">Conlon 1995, PMID 7561636.</w:t>
      </w:r>
    </w:p>
  </w:footnote>
  <w:footnote w:id="1551">
    <w:p>
      <w:pPr>
        <w:pStyle w:val="FootnoteText"/>
      </w:pPr>
      <w:r>
        <w:rPr>
          <w:rStyle w:val="FootnoteReference"/>
        </w:rPr>
        <w:footnoteRef/>
      </w:r>
      <w:r>
        <w:t xml:space="preserve"> </w:t>
      </w:r>
      <w:r>
        <w:t xml:space="preserve">Renehan 2004, PMID 15110491; Murphy 2020, PMID 32169310; Watts 2023, PMID 35726641.</w:t>
      </w:r>
    </w:p>
  </w:footnote>
  <w:footnote w:id="1552">
    <w:p>
      <w:pPr>
        <w:pStyle w:val="FootnoteText"/>
      </w:pPr>
      <w:r>
        <w:rPr>
          <w:rStyle w:val="FootnoteReference"/>
        </w:rPr>
        <w:footnoteRef/>
      </w:r>
      <w:r>
        <w:t xml:space="preserve"> </w:t>
      </w:r>
      <w:r>
        <w:t xml:space="preserve">Guevara-Aguirre 2011, PMID 21325617.</w:t>
      </w:r>
    </w:p>
  </w:footnote>
  <w:footnote w:id="1553">
    <w:p>
      <w:pPr>
        <w:pStyle w:val="FootnoteText"/>
      </w:pPr>
      <w:r>
        <w:rPr>
          <w:rStyle w:val="FootnoteReference"/>
        </w:rPr>
        <w:footnoteRef/>
      </w:r>
      <w:r>
        <w:t xml:space="preserve"> </w:t>
      </w:r>
      <w:r>
        <w:t xml:space="preserve">Kohler 2010, PMID 20675162; Mongongu 2021, PMID 33587816.</w:t>
      </w:r>
    </w:p>
  </w:footnote>
  <w:footnote w:id="1555">
    <w:p>
      <w:pPr>
        <w:pStyle w:val="FootnoteText"/>
      </w:pPr>
      <w:r>
        <w:rPr>
          <w:rStyle w:val="FootnoteReference"/>
        </w:rPr>
        <w:footnoteRef/>
      </w:r>
      <w:r>
        <w:t xml:space="preserve"> </w:t>
      </w:r>
      <w:r>
        <w:t xml:space="preserve">Mongongu 2021, PMID 33587816.</w:t>
      </w:r>
    </w:p>
  </w:footnote>
  <w:footnote w:id="1560">
    <w:p>
      <w:pPr>
        <w:pStyle w:val="FootnoteText"/>
      </w:pPr>
      <w:r>
        <w:rPr>
          <w:rStyle w:val="FootnoteReference"/>
        </w:rPr>
        <w:footnoteRef/>
      </w:r>
      <w:r>
        <w:t xml:space="preserve"> </w:t>
      </w:r>
      <w:r>
        <w:t xml:space="preserve">Bright 2022, PMID 35354138.</w:t>
      </w:r>
    </w:p>
  </w:footnote>
  <w:footnote w:id="1562">
    <w:p>
      <w:pPr>
        <w:pStyle w:val="FootnoteText"/>
      </w:pPr>
      <w:r>
        <w:rPr>
          <w:rStyle w:val="FootnoteReference"/>
        </w:rPr>
        <w:footnoteRef/>
      </w:r>
      <w:r>
        <w:t xml:space="preserve"> </w:t>
      </w:r>
      <w:r>
        <w:t xml:space="preserve">Chapman 1996, PMID 8954023.</w:t>
      </w:r>
    </w:p>
  </w:footnote>
  <w:footnote w:id="1564">
    <w:p>
      <w:pPr>
        <w:pStyle w:val="FootnoteText"/>
      </w:pPr>
      <w:r>
        <w:rPr>
          <w:rStyle w:val="FootnoteReference"/>
        </w:rPr>
        <w:footnoteRef/>
      </w:r>
      <w:r>
        <w:t xml:space="preserve"> </w:t>
      </w:r>
      <w:r>
        <w:t xml:space="preserve">Nass 2008, PMID 18981485.</w:t>
      </w:r>
    </w:p>
  </w:footnote>
  <w:footnote w:id="1566">
    <w:p>
      <w:pPr>
        <w:pStyle w:val="FootnoteText"/>
      </w:pPr>
      <w:r>
        <w:rPr>
          <w:rStyle w:val="FootnoteReference"/>
        </w:rPr>
        <w:footnoteRef/>
      </w:r>
      <w:r>
        <w:t xml:space="preserve"> </w:t>
      </w:r>
      <w:r>
        <w:t xml:space="preserve">Bach 2004, PMID 15066065.</w:t>
      </w:r>
    </w:p>
  </w:footnote>
  <w:footnote w:id="1567">
    <w:p>
      <w:pPr>
        <w:pStyle w:val="FootnoteText"/>
      </w:pPr>
      <w:r>
        <w:rPr>
          <w:rStyle w:val="FootnoteReference"/>
        </w:rPr>
        <w:footnoteRef/>
      </w:r>
      <w:r>
        <w:t xml:space="preserve"> </w:t>
      </w:r>
      <w:r>
        <w:t xml:space="preserve">Adunsky 2011, PMID 21067829.</w:t>
      </w:r>
    </w:p>
  </w:footnote>
  <w:footnote w:id="1569">
    <w:p>
      <w:pPr>
        <w:pStyle w:val="FootnoteText"/>
      </w:pPr>
      <w:r>
        <w:rPr>
          <w:rStyle w:val="FootnoteReference"/>
        </w:rPr>
        <w:footnoteRef/>
      </w:r>
      <w:r>
        <w:t xml:space="preserve"> </w:t>
      </w:r>
      <w:r>
        <w:t xml:space="preserve">Sevigny 2008, PMID 19015485.</w:t>
      </w:r>
    </w:p>
  </w:footnote>
  <w:footnote w:id="1571">
    <w:p>
      <w:pPr>
        <w:pStyle w:val="FootnoteText"/>
      </w:pPr>
      <w:r>
        <w:rPr>
          <w:rStyle w:val="FootnoteReference"/>
        </w:rPr>
        <w:footnoteRef/>
      </w:r>
      <w:r>
        <w:t xml:space="preserve"> </w:t>
      </w:r>
      <w:r>
        <w:t xml:space="preserve">Svensson 1998, PMID 9467542.</w:t>
      </w:r>
    </w:p>
  </w:footnote>
  <w:footnote w:id="1572">
    <w:p>
      <w:pPr>
        <w:pStyle w:val="FootnoteText"/>
      </w:pPr>
      <w:r>
        <w:rPr>
          <w:rStyle w:val="FootnoteReference"/>
        </w:rPr>
        <w:footnoteRef/>
      </w:r>
      <w:r>
        <w:t xml:space="preserve"> </w:t>
      </w:r>
      <w:r>
        <w:t xml:space="preserve">Murphy 2001, PMID 11238495.</w:t>
      </w:r>
    </w:p>
  </w:footnote>
  <w:footnote w:id="1573">
    <w:p>
      <w:pPr>
        <w:pStyle w:val="FootnoteText"/>
      </w:pPr>
      <w:r>
        <w:rPr>
          <w:rStyle w:val="FootnoteReference"/>
        </w:rPr>
        <w:footnoteRef/>
      </w:r>
      <w:r>
        <w:t xml:space="preserve"> </w:t>
      </w:r>
      <w:r>
        <w:t xml:space="preserve">Copinschi 1997, PMID 9349662.</w:t>
      </w:r>
    </w:p>
  </w:footnote>
  <w:footnote w:id="1574">
    <w:p>
      <w:pPr>
        <w:pStyle w:val="FootnoteText"/>
      </w:pPr>
      <w:r>
        <w:rPr>
          <w:rStyle w:val="FootnoteReference"/>
        </w:rPr>
        <w:footnoteRef/>
      </w:r>
      <w:r>
        <w:t xml:space="preserve"> </w:t>
      </w:r>
      <w:r>
        <w:t xml:space="preserve">Campbell 2018, PMID 28340044.</w:t>
      </w:r>
    </w:p>
  </w:footnote>
  <w:footnote w:id="1575">
    <w:p>
      <w:pPr>
        <w:pStyle w:val="FootnoteText"/>
      </w:pPr>
      <w:r>
        <w:rPr>
          <w:rStyle w:val="FootnoteReference"/>
        </w:rPr>
        <w:footnoteRef/>
      </w:r>
      <w:r>
        <w:t xml:space="preserve"> </w:t>
      </w:r>
      <w:r>
        <w:t xml:space="preserve">Codner 2001, PMID 11452249.</w:t>
      </w:r>
    </w:p>
  </w:footnote>
  <w:footnote w:id="1576">
    <w:p>
      <w:pPr>
        <w:pStyle w:val="FootnoteText"/>
      </w:pPr>
      <w:r>
        <w:rPr>
          <w:rStyle w:val="FootnoteReference"/>
        </w:rPr>
        <w:footnoteRef/>
      </w:r>
      <w:r>
        <w:t xml:space="preserve"> </w:t>
      </w:r>
      <w:r>
        <w:t xml:space="preserve">Bright 2022, PMID 35354138.</w:t>
      </w:r>
    </w:p>
  </w:footnote>
  <w:footnote w:id="1579">
    <w:p>
      <w:pPr>
        <w:pStyle w:val="FootnoteText"/>
      </w:pPr>
      <w:r>
        <w:rPr>
          <w:rStyle w:val="FootnoteReference"/>
        </w:rPr>
        <w:footnoteRef/>
      </w:r>
      <w:r>
        <w:t xml:space="preserve"> </w:t>
      </w:r>
      <w:r>
        <w:t xml:space="preserve">Jeong 2018, PMID 29912176.</w:t>
      </w:r>
    </w:p>
  </w:footnote>
  <w:footnote w:id="1580">
    <w:p>
      <w:pPr>
        <w:pStyle w:val="FootnoteText"/>
      </w:pPr>
      <w:r>
        <w:rPr>
          <w:rStyle w:val="FootnoteReference"/>
        </w:rPr>
        <w:footnoteRef/>
      </w:r>
      <w:r>
        <w:t xml:space="preserve"> </w:t>
      </w:r>
      <w:r>
        <w:t xml:space="preserve">Liu 2021, PMID 34737341.</w:t>
      </w:r>
    </w:p>
  </w:footnote>
  <w:footnote w:id="1582">
    <w:p>
      <w:pPr>
        <w:pStyle w:val="FootnoteText"/>
      </w:pPr>
      <w:r>
        <w:rPr>
          <w:rStyle w:val="FootnoteReference"/>
        </w:rPr>
        <w:footnoteRef/>
      </w:r>
      <w:r>
        <w:t xml:space="preserve"> </w:t>
      </w:r>
      <w:r>
        <w:t xml:space="preserve">Adunsky 2011, PMID 21067829.</w:t>
      </w:r>
    </w:p>
  </w:footnote>
  <w:footnote w:id="1583">
    <w:p>
      <w:pPr>
        <w:pStyle w:val="FootnoteText"/>
      </w:pPr>
      <w:r>
        <w:rPr>
          <w:rStyle w:val="FootnoteReference"/>
        </w:rPr>
        <w:footnoteRef/>
      </w:r>
      <w:r>
        <w:t xml:space="preserve"> </w:t>
      </w:r>
      <w:r>
        <w:t xml:space="preserve">Nass 2008, PMID 18981485; Chapman 1996, PMID 8954023.</w:t>
      </w:r>
    </w:p>
  </w:footnote>
  <w:footnote w:id="1584">
    <w:p>
      <w:pPr>
        <w:pStyle w:val="FootnoteText"/>
      </w:pPr>
      <w:r>
        <w:rPr>
          <w:rStyle w:val="FootnoteReference"/>
        </w:rPr>
        <w:footnoteRef/>
      </w:r>
      <w:r>
        <w:t xml:space="preserve"> </w:t>
      </w:r>
      <w:r>
        <w:t xml:space="preserve">Svensson 1998, PMID 9467542.</w:t>
      </w:r>
    </w:p>
  </w:footnote>
  <w:footnote w:id="1585">
    <w:p>
      <w:pPr>
        <w:pStyle w:val="FootnoteText"/>
      </w:pPr>
      <w:r>
        <w:rPr>
          <w:rStyle w:val="FootnoteReference"/>
        </w:rPr>
        <w:footnoteRef/>
      </w:r>
      <w:r>
        <w:t xml:space="preserve"> </w:t>
      </w:r>
      <w:r>
        <w:t xml:space="preserve">Nass 2008, PMID 18981485.</w:t>
      </w:r>
    </w:p>
  </w:footnote>
  <w:footnote w:id="1586">
    <w:p>
      <w:pPr>
        <w:pStyle w:val="FootnoteText"/>
      </w:pPr>
      <w:r>
        <w:rPr>
          <w:rStyle w:val="FootnoteReference"/>
        </w:rPr>
        <w:footnoteRef/>
      </w:r>
      <w:r>
        <w:t xml:space="preserve"> </w:t>
      </w:r>
      <w:r>
        <w:t xml:space="preserve">Nass 2008, PMID 18981485.</w:t>
      </w:r>
    </w:p>
  </w:footnote>
  <w:footnote w:id="1587">
    <w:p>
      <w:pPr>
        <w:pStyle w:val="FootnoteText"/>
      </w:pPr>
      <w:r>
        <w:rPr>
          <w:rStyle w:val="FootnoteReference"/>
        </w:rPr>
        <w:footnoteRef/>
      </w:r>
      <w:r>
        <w:t xml:space="preserve"> </w:t>
      </w:r>
      <w:r>
        <w:t xml:space="preserve">Cobani 2025, PMID 40675653.</w:t>
      </w:r>
    </w:p>
  </w:footnote>
  <w:footnote w:id="1588">
    <w:p>
      <w:pPr>
        <w:pStyle w:val="FootnoteText"/>
      </w:pPr>
      <w:r>
        <w:rPr>
          <w:rStyle w:val="FootnoteReference"/>
        </w:rPr>
        <w:footnoteRef/>
      </w:r>
      <w:r>
        <w:t xml:space="preserve"> </w:t>
      </w:r>
      <w:r>
        <w:t xml:space="preserve">Chong 2024, PMID 39145153.</w:t>
      </w:r>
    </w:p>
  </w:footnote>
  <w:footnote w:id="1589">
    <w:p>
      <w:pPr>
        <w:pStyle w:val="FootnoteText"/>
      </w:pPr>
      <w:r>
        <w:rPr>
          <w:rStyle w:val="FootnoteReference"/>
        </w:rPr>
        <w:footnoteRef/>
      </w:r>
      <w:r>
        <w:t xml:space="preserve"> </w:t>
      </w:r>
      <w:r>
        <w:t xml:space="preserve">Sigalos 2018, PMID 28400207.</w:t>
      </w:r>
    </w:p>
  </w:footnote>
  <w:footnote w:id="1590">
    <w:p>
      <w:pPr>
        <w:pStyle w:val="FootnoteText"/>
      </w:pPr>
      <w:r>
        <w:rPr>
          <w:rStyle w:val="FootnoteReference"/>
        </w:rPr>
        <w:footnoteRef/>
      </w:r>
      <w:r>
        <w:t xml:space="preserve"> </w:t>
      </w:r>
      <w:r>
        <w:t xml:space="preserve">Van Wagoner 2017, PMID 29183075.</w:t>
      </w:r>
    </w:p>
  </w:footnote>
  <w:footnote w:id="1591">
    <w:p>
      <w:pPr>
        <w:pStyle w:val="FootnoteText"/>
      </w:pPr>
      <w:r>
        <w:rPr>
          <w:rStyle w:val="FootnoteReference"/>
        </w:rPr>
        <w:footnoteRef/>
      </w:r>
      <w:r>
        <w:t xml:space="preserve"> </w:t>
      </w:r>
      <w:r>
        <w:t xml:space="preserve">Barrios 2025, PMID 40551438.</w:t>
      </w:r>
    </w:p>
  </w:footnote>
  <w:footnote w:id="1593">
    <w:p>
      <w:pPr>
        <w:pStyle w:val="FootnoteText"/>
      </w:pPr>
      <w:r>
        <w:rPr>
          <w:rStyle w:val="FootnoteReference"/>
        </w:rPr>
        <w:footnoteRef/>
      </w:r>
      <w:r>
        <w:t xml:space="preserve"> </w:t>
      </w:r>
      <w:r>
        <w:t xml:space="preserve">Viljanto 2023, PMID 36354265.</w:t>
      </w:r>
    </w:p>
  </w:footnote>
  <w:footnote w:id="1595">
    <w:p>
      <w:pPr>
        <w:pStyle w:val="FootnoteText"/>
      </w:pPr>
      <w:r>
        <w:rPr>
          <w:rStyle w:val="FootnoteReference"/>
        </w:rPr>
        <w:footnoteRef/>
      </w:r>
      <w:r>
        <w:t xml:space="preserve"> </w:t>
      </w:r>
      <w:r>
        <w:t xml:space="preserve">NCT04614337.</w:t>
      </w:r>
    </w:p>
  </w:footnote>
  <w:footnote w:id="1596">
    <w:p>
      <w:pPr>
        <w:pStyle w:val="FootnoteText"/>
      </w:pPr>
      <w:r>
        <w:rPr>
          <w:rStyle w:val="FootnoteReference"/>
        </w:rPr>
        <w:footnoteRef/>
      </w:r>
      <w:r>
        <w:t xml:space="preserve"> </w:t>
      </w:r>
      <w:r>
        <w:t xml:space="preserve">NCT06948214.</w:t>
      </w:r>
    </w:p>
  </w:footnote>
  <w:footnote w:id="1597">
    <w:p>
      <w:pPr>
        <w:pStyle w:val="FootnoteText"/>
      </w:pPr>
      <w:r>
        <w:rPr>
          <w:rStyle w:val="FootnoteReference"/>
        </w:rPr>
        <w:footnoteRef/>
      </w:r>
      <w:r>
        <w:t xml:space="preserve"> </w:t>
      </w:r>
      <w:r>
        <w:t xml:space="preserve">NCT07129759.</w:t>
      </w:r>
    </w:p>
  </w:footnote>
  <w:footnote w:id="1598">
    <w:p>
      <w:pPr>
        <w:pStyle w:val="FootnoteText"/>
      </w:pPr>
      <w:r>
        <w:rPr>
          <w:rStyle w:val="FootnoteReference"/>
        </w:rPr>
        <w:footnoteRef/>
      </w:r>
      <w:r>
        <w:t xml:space="preserve"> </w:t>
      </w:r>
      <w:r>
        <w:t xml:space="preserve">NCT07754045.</w:t>
      </w:r>
    </w:p>
  </w:footnote>
  <w:footnote w:id="1609">
    <w:p>
      <w:pPr>
        <w:pStyle w:val="FootnoteText"/>
      </w:pPr>
      <w:r>
        <w:rPr>
          <w:rStyle w:val="FootnoteReference"/>
        </w:rPr>
        <w:footnoteRef/>
      </w:r>
      <w:r>
        <w:t xml:space="preserve"> </w:t>
      </w:r>
      <w:r>
        <w:t xml:space="preserve">Dolotov 2006, PMID 16635254.</w:t>
      </w:r>
    </w:p>
  </w:footnote>
  <w:footnote w:id="1610">
    <w:p>
      <w:pPr>
        <w:pStyle w:val="FootnoteText"/>
      </w:pPr>
      <w:r>
        <w:rPr>
          <w:rStyle w:val="FootnoteReference"/>
        </w:rPr>
        <w:footnoteRef/>
      </w:r>
      <w:r>
        <w:t xml:space="preserve"> </w:t>
      </w:r>
      <w:r>
        <w:t xml:space="preserve">Medvedeva 2014, PMID 24661604.</w:t>
      </w:r>
    </w:p>
  </w:footnote>
  <w:footnote w:id="1612">
    <w:p>
      <w:pPr>
        <w:pStyle w:val="FootnoteText"/>
      </w:pPr>
      <w:r>
        <w:rPr>
          <w:rStyle w:val="FootnoteReference"/>
        </w:rPr>
        <w:footnoteRef/>
      </w:r>
      <w:r>
        <w:t xml:space="preserve"> </w:t>
      </w:r>
      <w:r>
        <w:t xml:space="preserve">Gusev 1997, PMID 11517472.</w:t>
      </w:r>
    </w:p>
  </w:footnote>
  <w:footnote w:id="1613">
    <w:p>
      <w:pPr>
        <w:pStyle w:val="FootnoteText"/>
      </w:pPr>
      <w:r>
        <w:rPr>
          <w:rStyle w:val="FootnoteReference"/>
        </w:rPr>
        <w:footnoteRef/>
      </w:r>
      <w:r>
        <w:t xml:space="preserve"> </w:t>
      </w:r>
      <w:r>
        <w:t xml:space="preserve">Miasoedova 1999, PMID 10358912.</w:t>
      </w:r>
    </w:p>
  </w:footnote>
  <w:footnote w:id="1614">
    <w:p>
      <w:pPr>
        <w:pStyle w:val="FootnoteText"/>
      </w:pPr>
      <w:r>
        <w:rPr>
          <w:rStyle w:val="FootnoteReference"/>
        </w:rPr>
        <w:footnoteRef/>
      </w:r>
      <w:r>
        <w:t xml:space="preserve"> </w:t>
      </w:r>
      <w:r>
        <w:t xml:space="preserve">Gusev 2018, PMID 29798983.</w:t>
      </w:r>
    </w:p>
  </w:footnote>
  <w:footnote w:id="1616">
    <w:p>
      <w:pPr>
        <w:pStyle w:val="FootnoteText"/>
      </w:pPr>
      <w:r>
        <w:rPr>
          <w:rStyle w:val="FootnoteReference"/>
        </w:rPr>
        <w:footnoteRef/>
      </w:r>
      <w:r>
        <w:t xml:space="preserve"> </w:t>
      </w:r>
      <w:r>
        <w:t xml:space="preserve">Serdiuk 2007, PMID 18379501.</w:t>
      </w:r>
    </w:p>
  </w:footnote>
  <w:footnote w:id="1617">
    <w:p>
      <w:pPr>
        <w:pStyle w:val="FootnoteText"/>
      </w:pPr>
      <w:r>
        <w:rPr>
          <w:rStyle w:val="FootnoteReference"/>
        </w:rPr>
        <w:footnoteRef/>
      </w:r>
      <w:r>
        <w:t xml:space="preserve"> </w:t>
      </w:r>
      <w:r>
        <w:t xml:space="preserve">Polunin 2000, PMID 10741256.</w:t>
      </w:r>
    </w:p>
  </w:footnote>
  <w:footnote w:id="1618">
    <w:p>
      <w:pPr>
        <w:pStyle w:val="FootnoteText"/>
      </w:pPr>
      <w:r>
        <w:rPr>
          <w:rStyle w:val="FootnoteReference"/>
        </w:rPr>
        <w:footnoteRef/>
      </w:r>
      <w:r>
        <w:t xml:space="preserve"> </w:t>
      </w:r>
      <w:r>
        <w:t xml:space="preserve">Alekseeva 1999, PMID 10199046.</w:t>
      </w:r>
    </w:p>
  </w:footnote>
  <w:footnote w:id="1619">
    <w:p>
      <w:pPr>
        <w:pStyle w:val="FootnoteText"/>
      </w:pPr>
      <w:r>
        <w:rPr>
          <w:rStyle w:val="FootnoteReference"/>
        </w:rPr>
        <w:footnoteRef/>
      </w:r>
      <w:r>
        <w:t xml:space="preserve"> </w:t>
      </w:r>
      <w:r>
        <w:t xml:space="preserve">Ivanikov 2002, PMID 12459874.</w:t>
      </w:r>
    </w:p>
  </w:footnote>
  <w:footnote w:id="1621">
    <w:p>
      <w:pPr>
        <w:pStyle w:val="FootnoteText"/>
      </w:pPr>
      <w:r>
        <w:rPr>
          <w:rStyle w:val="FootnoteReference"/>
        </w:rPr>
        <w:footnoteRef/>
      </w:r>
      <w:r>
        <w:t xml:space="preserve"> </w:t>
      </w:r>
      <w:r>
        <w:t xml:space="preserve">Asmarin 1997, PMID 9173745.</w:t>
      </w:r>
    </w:p>
  </w:footnote>
  <w:footnote w:id="1624">
    <w:p>
      <w:pPr>
        <w:pStyle w:val="FootnoteText"/>
      </w:pPr>
      <w:r>
        <w:rPr>
          <w:rStyle w:val="FootnoteReference"/>
        </w:rPr>
        <w:footnoteRef/>
      </w:r>
      <w:r>
        <w:t xml:space="preserve"> </w:t>
      </w:r>
      <w:r>
        <w:t xml:space="preserve">Medvedeva 2014, PMID 24661604.</w:t>
      </w:r>
    </w:p>
  </w:footnote>
  <w:footnote w:id="1625">
    <w:p>
      <w:pPr>
        <w:pStyle w:val="FootnoteText"/>
      </w:pPr>
      <w:r>
        <w:rPr>
          <w:rStyle w:val="FootnoteReference"/>
        </w:rPr>
        <w:footnoteRef/>
      </w:r>
      <w:r>
        <w:t xml:space="preserve"> </w:t>
      </w:r>
      <w:r>
        <w:t xml:space="preserve">Levitskaya 2004, PMID 15341218.</w:t>
      </w:r>
    </w:p>
  </w:footnote>
  <w:footnote w:id="1626">
    <w:p>
      <w:pPr>
        <w:pStyle w:val="FootnoteText"/>
      </w:pPr>
      <w:r>
        <w:rPr>
          <w:rStyle w:val="FootnoteReference"/>
        </w:rPr>
        <w:footnoteRef/>
      </w:r>
      <w:r>
        <w:t xml:space="preserve"> </w:t>
      </w:r>
      <w:r>
        <w:t xml:space="preserve">Radchenko 2025, PMID 41479572.</w:t>
      </w:r>
    </w:p>
  </w:footnote>
  <w:footnote w:id="1627">
    <w:p>
      <w:pPr>
        <w:pStyle w:val="FootnoteText"/>
      </w:pPr>
      <w:r>
        <w:rPr>
          <w:rStyle w:val="FootnoteReference"/>
        </w:rPr>
        <w:footnoteRef/>
      </w:r>
      <w:r>
        <w:t xml:space="preserve"> </w:t>
      </w:r>
      <w:r>
        <w:t xml:space="preserve">Tomasello 2025, PMID 40496623.</w:t>
      </w:r>
    </w:p>
  </w:footnote>
  <w:footnote w:id="1629">
    <w:p>
      <w:pPr>
        <w:pStyle w:val="FootnoteText"/>
      </w:pPr>
      <w:r>
        <w:rPr>
          <w:rStyle w:val="FootnoteReference"/>
        </w:rPr>
        <w:footnoteRef/>
      </w:r>
      <w:r>
        <w:t xml:space="preserve"> </w:t>
      </w:r>
      <w:r>
        <w:t xml:space="preserve">Gusev 2005, PMID 15792140.</w:t>
      </w:r>
    </w:p>
  </w:footnote>
  <w:footnote w:id="1630">
    <w:p>
      <w:pPr>
        <w:pStyle w:val="FootnoteText"/>
      </w:pPr>
      <w:r>
        <w:rPr>
          <w:rStyle w:val="FootnoteReference"/>
        </w:rPr>
        <w:footnoteRef/>
      </w:r>
      <w:r>
        <w:t xml:space="preserve"> </w:t>
      </w:r>
      <w:r>
        <w:t xml:space="preserve">Alekseeva 1999, PMID 10199046.</w:t>
      </w:r>
    </w:p>
  </w:footnote>
  <w:footnote w:id="1631">
    <w:p>
      <w:pPr>
        <w:pStyle w:val="FootnoteText"/>
      </w:pPr>
      <w:r>
        <w:rPr>
          <w:rStyle w:val="FootnoteReference"/>
        </w:rPr>
        <w:footnoteRef/>
      </w:r>
      <w:r>
        <w:t xml:space="preserve"> </w:t>
      </w:r>
      <w:r>
        <w:t xml:space="preserve">Vanhee 2020, PMID 31667971.</w:t>
      </w:r>
    </w:p>
  </w:footnote>
  <w:footnote w:id="1638">
    <w:p>
      <w:pPr>
        <w:pStyle w:val="FootnoteText"/>
      </w:pPr>
      <w:r>
        <w:rPr>
          <w:rStyle w:val="FootnoteReference"/>
        </w:rPr>
        <w:footnoteRef/>
      </w:r>
      <w:r>
        <w:t xml:space="preserve"> </w:t>
      </w:r>
      <w:r>
        <w:t xml:space="preserve">Zozulya 2001, PMID 11550013.</w:t>
      </w:r>
    </w:p>
  </w:footnote>
  <w:footnote w:id="1639">
    <w:p>
      <w:pPr>
        <w:pStyle w:val="FootnoteText"/>
      </w:pPr>
      <w:r>
        <w:rPr>
          <w:rStyle w:val="FootnoteReference"/>
        </w:rPr>
        <w:footnoteRef/>
      </w:r>
      <w:r>
        <w:t xml:space="preserve"> </w:t>
      </w:r>
      <w:r>
        <w:t xml:space="preserve">Volkova 2016, PMID 26924987.</w:t>
      </w:r>
    </w:p>
  </w:footnote>
  <w:footnote w:id="1640">
    <w:p>
      <w:pPr>
        <w:pStyle w:val="FootnoteText"/>
      </w:pPr>
      <w:r>
        <w:rPr>
          <w:rStyle w:val="FootnoteReference"/>
        </w:rPr>
        <w:footnoteRef/>
      </w:r>
      <w:r>
        <w:t xml:space="preserve"> </w:t>
      </w:r>
      <w:r>
        <w:t xml:space="preserve">Ershov 2009, PMID 19882898.</w:t>
      </w:r>
    </w:p>
  </w:footnote>
  <w:footnote w:id="1642">
    <w:p>
      <w:pPr>
        <w:pStyle w:val="FootnoteText"/>
      </w:pPr>
      <w:r>
        <w:rPr>
          <w:rStyle w:val="FootnoteReference"/>
        </w:rPr>
        <w:footnoteRef/>
      </w:r>
      <w:r>
        <w:t xml:space="preserve"> </w:t>
      </w:r>
      <w:r>
        <w:t xml:space="preserve">Zozulia 2008, PMID 18454096.</w:t>
      </w:r>
    </w:p>
  </w:footnote>
  <w:footnote w:id="1643">
    <w:p>
      <w:pPr>
        <w:pStyle w:val="FootnoteText"/>
      </w:pPr>
      <w:r>
        <w:rPr>
          <w:rStyle w:val="FootnoteReference"/>
        </w:rPr>
        <w:footnoteRef/>
      </w:r>
      <w:r>
        <w:t xml:space="preserve"> </w:t>
      </w:r>
      <w:r>
        <w:t xml:space="preserve">Medvedev 2014, PMID 25176261.</w:t>
      </w:r>
    </w:p>
  </w:footnote>
  <w:footnote w:id="1644">
    <w:p>
      <w:pPr>
        <w:pStyle w:val="FootnoteText"/>
      </w:pPr>
      <w:r>
        <w:rPr>
          <w:rStyle w:val="FootnoteReference"/>
        </w:rPr>
        <w:footnoteRef/>
      </w:r>
      <w:r>
        <w:t xml:space="preserve"> </w:t>
      </w:r>
      <w:r>
        <w:t xml:space="preserve">Medvedev 2015, PMID 26356395.</w:t>
      </w:r>
    </w:p>
  </w:footnote>
  <w:footnote w:id="1646">
    <w:p>
      <w:pPr>
        <w:pStyle w:val="FootnoteText"/>
      </w:pPr>
      <w:r>
        <w:rPr>
          <w:rStyle w:val="FootnoteReference"/>
        </w:rPr>
        <w:footnoteRef/>
      </w:r>
      <w:r>
        <w:t xml:space="preserve"> </w:t>
      </w:r>
      <w:r>
        <w:t xml:space="preserve">Uchakina 2008, PMID 18577961.</w:t>
      </w:r>
    </w:p>
  </w:footnote>
  <w:footnote w:id="1647">
    <w:p>
      <w:pPr>
        <w:pStyle w:val="FootnoteText"/>
      </w:pPr>
      <w:r>
        <w:rPr>
          <w:rStyle w:val="FootnoteReference"/>
        </w:rPr>
        <w:footnoteRef/>
      </w:r>
      <w:r>
        <w:t xml:space="preserve"> </w:t>
      </w:r>
      <w:r>
        <w:t xml:space="preserve">Panikratova 2020, PMID 32342318.</w:t>
      </w:r>
    </w:p>
  </w:footnote>
  <w:footnote w:id="1650">
    <w:p>
      <w:pPr>
        <w:pStyle w:val="FootnoteText"/>
      </w:pPr>
      <w:r>
        <w:rPr>
          <w:rStyle w:val="FootnoteReference"/>
        </w:rPr>
        <w:footnoteRef/>
      </w:r>
      <w:r>
        <w:t xml:space="preserve"> </w:t>
      </w:r>
      <w:r>
        <w:t xml:space="preserve">Kolik 2019, PMID 31625062.</w:t>
      </w:r>
    </w:p>
  </w:footnote>
  <w:footnote w:id="1651">
    <w:p>
      <w:pPr>
        <w:pStyle w:val="FootnoteText"/>
      </w:pPr>
      <w:r>
        <w:rPr>
          <w:rStyle w:val="FootnoteReference"/>
        </w:rPr>
        <w:footnoteRef/>
      </w:r>
      <w:r>
        <w:t xml:space="preserve"> </w:t>
      </w:r>
      <w:r>
        <w:t xml:space="preserve">Volkova 2016, PMID 26924987.</w:t>
      </w:r>
    </w:p>
  </w:footnote>
  <w:footnote w:id="1652">
    <w:p>
      <w:pPr>
        <w:pStyle w:val="FootnoteText"/>
      </w:pPr>
      <w:r>
        <w:rPr>
          <w:rStyle w:val="FootnoteReference"/>
        </w:rPr>
        <w:footnoteRef/>
      </w:r>
      <w:r>
        <w:t xml:space="preserve"> </w:t>
      </w:r>
      <w:r>
        <w:t xml:space="preserve">Ershov 2009, PMID 19882898.</w:t>
      </w:r>
    </w:p>
  </w:footnote>
  <w:footnote w:id="1654">
    <w:p>
      <w:pPr>
        <w:pStyle w:val="FootnoteText"/>
      </w:pPr>
      <w:r>
        <w:rPr>
          <w:rStyle w:val="FootnoteReference"/>
        </w:rPr>
        <w:footnoteRef/>
      </w:r>
      <w:r>
        <w:t xml:space="preserve"> </w:t>
      </w:r>
      <w:r>
        <w:t xml:space="preserve">Vanhee 2020, PMID 31667971.</w:t>
      </w:r>
    </w:p>
  </w:footnote>
  <w:footnote w:id="1662">
    <w:p>
      <w:pPr>
        <w:pStyle w:val="FootnoteText"/>
      </w:pPr>
      <w:r>
        <w:rPr>
          <w:rStyle w:val="FootnoteReference"/>
        </w:rPr>
        <w:footnoteRef/>
      </w:r>
      <w:r>
        <w:t xml:space="preserve"> </w:t>
      </w:r>
      <w:r>
        <w:t xml:space="preserve">Hong 2009, PMID 19765131.</w:t>
      </w:r>
    </w:p>
  </w:footnote>
  <w:footnote w:id="1663">
    <w:p>
      <w:pPr>
        <w:pStyle w:val="FootnoteText"/>
      </w:pPr>
      <w:r>
        <w:rPr>
          <w:rStyle w:val="FootnoteReference"/>
        </w:rPr>
        <w:footnoteRef/>
      </w:r>
      <w:r>
        <w:t xml:space="preserve"> </w:t>
      </w:r>
      <w:r>
        <w:t xml:space="preserve">NCT00868283.</w:t>
      </w:r>
    </w:p>
  </w:footnote>
  <w:footnote w:id="1664">
    <w:p>
      <w:pPr>
        <w:pStyle w:val="FootnoteText"/>
      </w:pPr>
      <w:r>
        <w:rPr>
          <w:rStyle w:val="FootnoteReference"/>
        </w:rPr>
        <w:footnoteRef/>
      </w:r>
      <w:r>
        <w:t xml:space="preserve"> </w:t>
      </w:r>
      <w:r>
        <w:t xml:space="preserve">Heiss 2012, PMID 22282884.</w:t>
      </w:r>
    </w:p>
  </w:footnote>
  <w:footnote w:id="1665">
    <w:p>
      <w:pPr>
        <w:pStyle w:val="FootnoteText"/>
      </w:pPr>
      <w:r>
        <w:rPr>
          <w:rStyle w:val="FootnoteReference"/>
        </w:rPr>
        <w:footnoteRef/>
      </w:r>
      <w:r>
        <w:t xml:space="preserve"> </w:t>
      </w:r>
      <w:r>
        <w:t xml:space="preserve">Lang 2013, PMID 23009193.</w:t>
      </w:r>
    </w:p>
  </w:footnote>
  <w:footnote w:id="1666">
    <w:p>
      <w:pPr>
        <w:pStyle w:val="FootnoteText"/>
      </w:pPr>
      <w:r>
        <w:rPr>
          <w:rStyle w:val="FootnoteReference"/>
        </w:rPr>
        <w:footnoteRef/>
      </w:r>
      <w:r>
        <w:t xml:space="preserve"> </w:t>
      </w:r>
      <w:r>
        <w:t xml:space="preserve">Khasanova 2023, PMID 36973684.</w:t>
      </w:r>
    </w:p>
  </w:footnote>
  <w:footnote w:id="1667">
    <w:p>
      <w:pPr>
        <w:pStyle w:val="FootnoteText"/>
      </w:pPr>
      <w:r>
        <w:rPr>
          <w:rStyle w:val="FootnoteReference"/>
        </w:rPr>
        <w:footnoteRef/>
      </w:r>
      <w:r>
        <w:t xml:space="preserve"> </w:t>
      </w:r>
      <w:r>
        <w:t xml:space="preserve">Staszewski 2025, PMID 40325343.</w:t>
      </w:r>
    </w:p>
  </w:footnote>
  <w:footnote w:id="1669">
    <w:p>
      <w:pPr>
        <w:pStyle w:val="FootnoteText"/>
      </w:pPr>
      <w:r>
        <w:rPr>
          <w:rStyle w:val="FootnoteReference"/>
        </w:rPr>
        <w:footnoteRef/>
      </w:r>
      <w:r>
        <w:t xml:space="preserve"> </w:t>
      </w:r>
      <w:r>
        <w:t xml:space="preserve">Muresanu 2016, PMID 26564102.</w:t>
      </w:r>
    </w:p>
  </w:footnote>
  <w:footnote w:id="1670">
    <w:p>
      <w:pPr>
        <w:pStyle w:val="FootnoteText"/>
      </w:pPr>
      <w:r>
        <w:rPr>
          <w:rStyle w:val="FootnoteReference"/>
        </w:rPr>
        <w:footnoteRef/>
      </w:r>
      <w:r>
        <w:t xml:space="preserve"> </w:t>
      </w:r>
      <w:r>
        <w:t xml:space="preserve">Guekht 2017, PMID 28707130.</w:t>
      </w:r>
    </w:p>
  </w:footnote>
  <w:footnote w:id="1671">
    <w:p>
      <w:pPr>
        <w:pStyle w:val="FootnoteText"/>
      </w:pPr>
      <w:r>
        <w:rPr>
          <w:rStyle w:val="FootnoteReference"/>
        </w:rPr>
        <w:footnoteRef/>
      </w:r>
      <w:r>
        <w:t xml:space="preserve"> </w:t>
      </w:r>
      <w:r>
        <w:t xml:space="preserve">Stan 2017, PMID 29362596.</w:t>
      </w:r>
    </w:p>
  </w:footnote>
  <w:footnote w:id="1672">
    <w:p>
      <w:pPr>
        <w:pStyle w:val="FootnoteText"/>
      </w:pPr>
      <w:r>
        <w:rPr>
          <w:rStyle w:val="FootnoteReference"/>
        </w:rPr>
        <w:footnoteRef/>
      </w:r>
      <w:r>
        <w:t xml:space="preserve"> </w:t>
      </w:r>
      <w:r>
        <w:t xml:space="preserve">Chang 2016, PMID 26934986.</w:t>
      </w:r>
    </w:p>
  </w:footnote>
  <w:footnote w:id="1673">
    <w:p>
      <w:pPr>
        <w:pStyle w:val="FootnoteText"/>
      </w:pPr>
      <w:r>
        <w:rPr>
          <w:rStyle w:val="FootnoteReference"/>
        </w:rPr>
        <w:footnoteRef/>
      </w:r>
      <w:r>
        <w:t xml:space="preserve"> </w:t>
      </w:r>
      <w:r>
        <w:t xml:space="preserve">Homberg 2025, PMID 39957612.</w:t>
      </w:r>
    </w:p>
  </w:footnote>
  <w:footnote w:id="1674">
    <w:p>
      <w:pPr>
        <w:pStyle w:val="FootnoteText"/>
      </w:pPr>
      <w:r>
        <w:rPr>
          <w:rStyle w:val="FootnoteReference"/>
        </w:rPr>
        <w:footnoteRef/>
      </w:r>
      <w:r>
        <w:t xml:space="preserve"> </w:t>
      </w:r>
      <w:r>
        <w:t xml:space="preserve">Beghi 2021, PMID 34152062.</w:t>
      </w:r>
    </w:p>
  </w:footnote>
  <w:footnote w:id="1676">
    <w:p>
      <w:pPr>
        <w:pStyle w:val="FootnoteText"/>
      </w:pPr>
      <w:r>
        <w:rPr>
          <w:rStyle w:val="FootnoteReference"/>
        </w:rPr>
        <w:footnoteRef/>
      </w:r>
      <w:r>
        <w:t xml:space="preserve"> </w:t>
      </w:r>
      <w:r>
        <w:t xml:space="preserve">Ziganshina 2020, PMID 32662068.</w:t>
      </w:r>
    </w:p>
  </w:footnote>
  <w:footnote w:id="1677">
    <w:p>
      <w:pPr>
        <w:pStyle w:val="FootnoteText"/>
      </w:pPr>
      <w:r>
        <w:rPr>
          <w:rStyle w:val="FootnoteReference"/>
        </w:rPr>
        <w:footnoteRef/>
      </w:r>
      <w:r>
        <w:t xml:space="preserve"> </w:t>
      </w:r>
      <w:r>
        <w:t xml:space="preserve">Ziganshina 2023, PMID 37818733.</w:t>
      </w:r>
    </w:p>
  </w:footnote>
  <w:footnote w:id="1678">
    <w:p>
      <w:pPr>
        <w:pStyle w:val="FootnoteText"/>
      </w:pPr>
      <w:r>
        <w:rPr>
          <w:rStyle w:val="FootnoteReference"/>
        </w:rPr>
        <w:footnoteRef/>
      </w:r>
      <w:r>
        <w:t xml:space="preserve"> </w:t>
      </w:r>
      <w:r>
        <w:t xml:space="preserve">Bornstein 2018, PMID 29248999.</w:t>
      </w:r>
    </w:p>
  </w:footnote>
  <w:footnote w:id="1679">
    <w:p>
      <w:pPr>
        <w:pStyle w:val="FootnoteText"/>
      </w:pPr>
      <w:r>
        <w:rPr>
          <w:rStyle w:val="FootnoteReference"/>
        </w:rPr>
        <w:footnoteRef/>
      </w:r>
      <w:r>
        <w:t xml:space="preserve"> </w:t>
      </w:r>
      <w:r>
        <w:t xml:space="preserve">Strilciuc 2021, PMID 34959697.</w:t>
      </w:r>
    </w:p>
  </w:footnote>
  <w:footnote w:id="1681">
    <w:p>
      <w:pPr>
        <w:pStyle w:val="FootnoteText"/>
      </w:pPr>
      <w:r>
        <w:rPr>
          <w:rStyle w:val="FootnoteReference"/>
        </w:rPr>
        <w:footnoteRef/>
      </w:r>
      <w:r>
        <w:t xml:space="preserve"> </w:t>
      </w:r>
      <w:r>
        <w:t xml:space="preserve">Vosko 2025, PMID 40851188; NCT03480698.</w:t>
      </w:r>
    </w:p>
  </w:footnote>
  <w:footnote w:id="1683">
    <w:p>
      <w:pPr>
        <w:pStyle w:val="FootnoteText"/>
      </w:pPr>
      <w:r>
        <w:rPr>
          <w:rStyle w:val="FootnoteReference"/>
        </w:rPr>
        <w:footnoteRef/>
      </w:r>
      <w:r>
        <w:t xml:space="preserve"> </w:t>
      </w:r>
      <w:r>
        <w:t xml:space="preserve">Bajenaru 2010, PMID 20968198.</w:t>
      </w:r>
    </w:p>
  </w:footnote>
  <w:footnote w:id="1684">
    <w:p>
      <w:pPr>
        <w:pStyle w:val="FootnoteText"/>
      </w:pPr>
      <w:r>
        <w:rPr>
          <w:rStyle w:val="FootnoteReference"/>
        </w:rPr>
        <w:footnoteRef/>
      </w:r>
      <w:r>
        <w:t xml:space="preserve"> </w:t>
      </w:r>
      <w:r>
        <w:t xml:space="preserve">Woo 2020, PMID 33143640; NCT01787123.</w:t>
      </w:r>
    </w:p>
  </w:footnote>
  <w:footnote w:id="1685">
    <w:p>
      <w:pPr>
        <w:pStyle w:val="FootnoteText"/>
      </w:pPr>
      <w:r>
        <w:rPr>
          <w:rStyle w:val="FootnoteReference"/>
        </w:rPr>
        <w:footnoteRef/>
      </w:r>
      <w:r>
        <w:t xml:space="preserve"> </w:t>
      </w:r>
      <w:r>
        <w:t xml:space="preserve">Kobayashi 2025, PMID 41180520.</w:t>
      </w:r>
    </w:p>
  </w:footnote>
  <w:footnote w:id="1687">
    <w:p>
      <w:pPr>
        <w:pStyle w:val="FootnoteText"/>
      </w:pPr>
      <w:r>
        <w:rPr>
          <w:rStyle w:val="FootnoteReference"/>
        </w:rPr>
        <w:footnoteRef/>
      </w:r>
      <w:r>
        <w:t xml:space="preserve"> </w:t>
      </w:r>
      <w:r>
        <w:t xml:space="preserve">Ghaffarpasand 2019, PMID 30643411; Jarosz 2023, PMID 36979317.</w:t>
      </w:r>
    </w:p>
  </w:footnote>
  <w:footnote w:id="1689">
    <w:p>
      <w:pPr>
        <w:pStyle w:val="FootnoteText"/>
      </w:pPr>
      <w:r>
        <w:rPr>
          <w:rStyle w:val="FootnoteReference"/>
        </w:rPr>
        <w:footnoteRef/>
      </w:r>
      <w:r>
        <w:t xml:space="preserve"> </w:t>
      </w:r>
      <w:r>
        <w:t xml:space="preserve">Panisset 2002, PMID 12111446.</w:t>
      </w:r>
    </w:p>
  </w:footnote>
  <w:footnote w:id="1690">
    <w:p>
      <w:pPr>
        <w:pStyle w:val="FootnoteText"/>
      </w:pPr>
      <w:r>
        <w:rPr>
          <w:rStyle w:val="FootnoteReference"/>
        </w:rPr>
        <w:footnoteRef/>
      </w:r>
      <w:r>
        <w:t xml:space="preserve"> </w:t>
      </w:r>
      <w:r>
        <w:t xml:space="preserve">Alvarez 2011, PMID 21679156.</w:t>
      </w:r>
    </w:p>
  </w:footnote>
  <w:footnote w:id="1691">
    <w:p>
      <w:pPr>
        <w:pStyle w:val="FootnoteText"/>
      </w:pPr>
      <w:r>
        <w:rPr>
          <w:rStyle w:val="FootnoteReference"/>
        </w:rPr>
        <w:footnoteRef/>
      </w:r>
      <w:r>
        <w:t xml:space="preserve"> </w:t>
      </w:r>
      <w:r>
        <w:t xml:space="preserve">Gauthier 2015, PMID 25832905.</w:t>
      </w:r>
    </w:p>
  </w:footnote>
  <w:footnote w:id="1692">
    <w:p>
      <w:pPr>
        <w:pStyle w:val="FootnoteText"/>
      </w:pPr>
      <w:r>
        <w:rPr>
          <w:rStyle w:val="FootnoteReference"/>
        </w:rPr>
        <w:footnoteRef/>
      </w:r>
      <w:r>
        <w:t xml:space="preserve"> </w:t>
      </w:r>
      <w:r>
        <w:t xml:space="preserve">Guekht 2011, PMID 20656516.</w:t>
      </w:r>
    </w:p>
  </w:footnote>
  <w:footnote w:id="1693">
    <w:p>
      <w:pPr>
        <w:pStyle w:val="FootnoteText"/>
      </w:pPr>
      <w:r>
        <w:rPr>
          <w:rStyle w:val="FootnoteReference"/>
        </w:rPr>
        <w:footnoteRef/>
      </w:r>
      <w:r>
        <w:t xml:space="preserve"> </w:t>
      </w:r>
      <w:r>
        <w:t xml:space="preserve">Cui 2019, PMID 31710397.</w:t>
      </w:r>
    </w:p>
  </w:footnote>
  <w:footnote w:id="1695">
    <w:p>
      <w:pPr>
        <w:pStyle w:val="FootnoteText"/>
      </w:pPr>
      <w:r>
        <w:rPr>
          <w:rStyle w:val="FootnoteReference"/>
        </w:rPr>
        <w:footnoteRef/>
      </w:r>
      <w:r>
        <w:t xml:space="preserve"> </w:t>
      </w:r>
      <w:r>
        <w:t xml:space="preserve">Funke 1998, PMID 9700674.</w:t>
      </w:r>
    </w:p>
  </w:footnote>
  <w:footnote w:id="1698">
    <w:p>
      <w:pPr>
        <w:pStyle w:val="FootnoteText"/>
      </w:pPr>
      <w:r>
        <w:rPr>
          <w:rStyle w:val="FootnoteReference"/>
        </w:rPr>
        <w:footnoteRef/>
      </w:r>
      <w:r>
        <w:t xml:space="preserve"> </w:t>
      </w:r>
      <w:r>
        <w:t xml:space="preserve">Zhang 2016, PMID 26763925.</w:t>
      </w:r>
    </w:p>
  </w:footnote>
  <w:footnote w:id="1699">
    <w:p>
      <w:pPr>
        <w:pStyle w:val="FootnoteText"/>
      </w:pPr>
      <w:r>
        <w:rPr>
          <w:rStyle w:val="FootnoteReference"/>
        </w:rPr>
        <w:footnoteRef/>
      </w:r>
      <w:r>
        <w:t xml:space="preserve"> </w:t>
      </w:r>
      <w:r>
        <w:t xml:space="preserve">Zhang 2019, PMID 30499355.</w:t>
      </w:r>
    </w:p>
  </w:footnote>
  <w:footnote w:id="1700">
    <w:p>
      <w:pPr>
        <w:pStyle w:val="FootnoteText"/>
      </w:pPr>
      <w:r>
        <w:rPr>
          <w:rStyle w:val="FootnoteReference"/>
        </w:rPr>
        <w:footnoteRef/>
      </w:r>
      <w:r>
        <w:t xml:space="preserve"> </w:t>
      </w:r>
      <w:r>
        <w:t xml:space="preserve">Kastberger 2024, PMID 38062874.</w:t>
      </w:r>
    </w:p>
  </w:footnote>
  <w:footnote w:id="1702">
    <w:p>
      <w:pPr>
        <w:pStyle w:val="FootnoteText"/>
      </w:pPr>
      <w:r>
        <w:rPr>
          <w:rStyle w:val="FootnoteReference"/>
        </w:rPr>
        <w:footnoteRef/>
      </w:r>
      <w:r>
        <w:t xml:space="preserve"> </w:t>
      </w:r>
      <w:r>
        <w:t xml:space="preserve">Panisset 2002, PMID 12111446.</w:t>
      </w:r>
    </w:p>
  </w:footnote>
  <w:footnote w:id="1703">
    <w:p>
      <w:pPr>
        <w:pStyle w:val="FootnoteText"/>
      </w:pPr>
      <w:r>
        <w:rPr>
          <w:rStyle w:val="FootnoteReference"/>
        </w:rPr>
        <w:footnoteRef/>
      </w:r>
      <w:r>
        <w:t xml:space="preserve"> </w:t>
      </w:r>
      <w:r>
        <w:t xml:space="preserve">Strilciuc 2021, PMID 34959697.</w:t>
      </w:r>
    </w:p>
  </w:footnote>
  <w:footnote w:id="1704">
    <w:p>
      <w:pPr>
        <w:pStyle w:val="FootnoteText"/>
      </w:pPr>
      <w:r>
        <w:rPr>
          <w:rStyle w:val="FootnoteReference"/>
        </w:rPr>
        <w:footnoteRef/>
      </w:r>
      <w:r>
        <w:t xml:space="preserve"> </w:t>
      </w:r>
      <w:r>
        <w:t xml:space="preserve">Trimmel 2024, PMID 39055722.</w:t>
      </w:r>
    </w:p>
  </w:footnote>
  <w:footnote w:id="1707">
    <w:p>
      <w:pPr>
        <w:pStyle w:val="FootnoteText"/>
      </w:pPr>
      <w:r>
        <w:rPr>
          <w:rStyle w:val="FootnoteReference"/>
        </w:rPr>
        <w:footnoteRef/>
      </w:r>
      <w:r>
        <w:t xml:space="preserve"> </w:t>
      </w:r>
      <w:r>
        <w:t xml:space="preserve">NCT05755997.</w:t>
      </w:r>
    </w:p>
  </w:footnote>
  <w:footnote w:id="1708">
    <w:p>
      <w:pPr>
        <w:pStyle w:val="FootnoteText"/>
      </w:pPr>
      <w:r>
        <w:rPr>
          <w:rStyle w:val="FootnoteReference"/>
        </w:rPr>
        <w:footnoteRef/>
      </w:r>
      <w:r>
        <w:t xml:space="preserve"> </w:t>
      </w:r>
      <w:r>
        <w:t xml:space="preserve">NCT06897176.</w:t>
      </w:r>
    </w:p>
  </w:footnote>
  <w:footnote w:id="1709">
    <w:p>
      <w:pPr>
        <w:pStyle w:val="FootnoteText"/>
      </w:pPr>
      <w:r>
        <w:rPr>
          <w:rStyle w:val="FootnoteReference"/>
        </w:rPr>
        <w:footnoteRef/>
      </w:r>
      <w:r>
        <w:t xml:space="preserve"> </w:t>
      </w:r>
      <w:r>
        <w:t xml:space="preserve">NCT06339411.</w:t>
      </w:r>
    </w:p>
  </w:footnote>
  <w:footnote w:id="1714">
    <w:p>
      <w:pPr>
        <w:pStyle w:val="FootnoteText"/>
      </w:pPr>
      <w:r>
        <w:rPr>
          <w:rStyle w:val="FootnoteReference"/>
        </w:rPr>
        <w:footnoteRef/>
      </w:r>
      <w:r>
        <w:t xml:space="preserve"> </w:t>
      </w:r>
      <w:r>
        <w:t xml:space="preserve">McCoy 2013, PMID 23055539.</w:t>
      </w:r>
    </w:p>
  </w:footnote>
  <w:footnote w:id="1715">
    <w:p>
      <w:pPr>
        <w:pStyle w:val="FootnoteText"/>
      </w:pPr>
      <w:r>
        <w:rPr>
          <w:rStyle w:val="FootnoteReference"/>
        </w:rPr>
        <w:footnoteRef/>
      </w:r>
      <w:r>
        <w:t xml:space="preserve"> </w:t>
      </w:r>
      <w:r>
        <w:t xml:space="preserve">Benoist 2014, PMID 25187433.</w:t>
      </w:r>
    </w:p>
  </w:footnote>
  <w:footnote w:id="1717">
    <w:p>
      <w:pPr>
        <w:pStyle w:val="FootnoteText"/>
      </w:pPr>
      <w:r>
        <w:rPr>
          <w:rStyle w:val="FootnoteReference"/>
        </w:rPr>
        <w:footnoteRef/>
      </w:r>
      <w:r>
        <w:t xml:space="preserve"> </w:t>
      </w:r>
      <w:r>
        <w:t xml:space="preserve">NCT04488419.</w:t>
      </w:r>
    </w:p>
  </w:footnote>
  <w:footnote w:id="1718">
    <w:p>
      <w:pPr>
        <w:pStyle w:val="FootnoteText"/>
      </w:pPr>
      <w:r>
        <w:rPr>
          <w:rStyle w:val="FootnoteReference"/>
        </w:rPr>
        <w:footnoteRef/>
      </w:r>
      <w:r>
        <w:t xml:space="preserve"> </w:t>
      </w:r>
      <w:r>
        <w:t xml:space="preserve">Porsteinsson 2025, PMID 41393340.</w:t>
      </w:r>
    </w:p>
  </w:footnote>
  <w:footnote w:id="1719">
    <w:p>
      <w:pPr>
        <w:pStyle w:val="FootnoteText"/>
      </w:pPr>
      <w:r>
        <w:rPr>
          <w:rStyle w:val="FootnoteReference"/>
        </w:rPr>
        <w:footnoteRef/>
      </w:r>
      <w:r>
        <w:t xml:space="preserve"> </w:t>
      </w:r>
      <w:r>
        <w:t xml:space="preserve">NCT04831281.</w:t>
      </w:r>
    </w:p>
  </w:footnote>
  <w:footnote w:id="1722">
    <w:p>
      <w:pPr>
        <w:pStyle w:val="FootnoteText"/>
      </w:pPr>
      <w:r>
        <w:rPr>
          <w:rStyle w:val="FootnoteReference"/>
        </w:rPr>
        <w:footnoteRef/>
      </w:r>
      <w:r>
        <w:t xml:space="preserve"> </w:t>
      </w:r>
      <w:r>
        <w:t xml:space="preserve">McCoy 2013, PMID 23055539.</w:t>
      </w:r>
    </w:p>
  </w:footnote>
  <w:footnote w:id="1723">
    <w:p>
      <w:pPr>
        <w:pStyle w:val="FootnoteText"/>
      </w:pPr>
      <w:r>
        <w:rPr>
          <w:rStyle w:val="FootnoteReference"/>
        </w:rPr>
        <w:footnoteRef/>
      </w:r>
      <w:r>
        <w:t xml:space="preserve"> </w:t>
      </w:r>
      <w:r>
        <w:t xml:space="preserve">Sun 2021, PMID 34827486.</w:t>
      </w:r>
    </w:p>
  </w:footnote>
  <w:footnote w:id="1724">
    <w:p>
      <w:pPr>
        <w:pStyle w:val="FootnoteText"/>
      </w:pPr>
      <w:r>
        <w:rPr>
          <w:rStyle w:val="FootnoteReference"/>
        </w:rPr>
        <w:footnoteRef/>
      </w:r>
      <w:r>
        <w:t xml:space="preserve"> </w:t>
      </w:r>
      <w:r>
        <w:t xml:space="preserve">Wells 2024, PMID 38489193.</w:t>
      </w:r>
    </w:p>
  </w:footnote>
  <w:footnote w:id="1725">
    <w:p>
      <w:pPr>
        <w:pStyle w:val="FootnoteText"/>
      </w:pPr>
      <w:r>
        <w:rPr>
          <w:rStyle w:val="FootnoteReference"/>
        </w:rPr>
        <w:footnoteRef/>
      </w:r>
      <w:r>
        <w:t xml:space="preserve"> </w:t>
      </w:r>
      <w:r>
        <w:t xml:space="preserve">Uribe 2015, PMID 25674052.</w:t>
      </w:r>
    </w:p>
  </w:footnote>
  <w:footnote w:id="1726">
    <w:p>
      <w:pPr>
        <w:pStyle w:val="FootnoteText"/>
      </w:pPr>
      <w:r>
        <w:rPr>
          <w:rStyle w:val="FootnoteReference"/>
        </w:rPr>
        <w:footnoteRef/>
      </w:r>
      <w:r>
        <w:t xml:space="preserve"> </w:t>
      </w:r>
      <w:r>
        <w:t xml:space="preserve">Pan 2022, PMID 35410439.</w:t>
      </w:r>
    </w:p>
  </w:footnote>
  <w:footnote w:id="1727">
    <w:p>
      <w:pPr>
        <w:pStyle w:val="FootnoteText"/>
      </w:pPr>
      <w:r>
        <w:rPr>
          <w:rStyle w:val="FootnoteReference"/>
        </w:rPr>
        <w:footnoteRef/>
      </w:r>
      <w:r>
        <w:t xml:space="preserve"> </w:t>
      </w:r>
      <w:r>
        <w:t xml:space="preserve">Ho 2018, PMID 29733881.</w:t>
      </w:r>
    </w:p>
  </w:footnote>
  <w:footnote w:id="1729">
    <w:p>
      <w:pPr>
        <w:pStyle w:val="FootnoteText"/>
      </w:pPr>
      <w:r>
        <w:rPr>
          <w:rStyle w:val="FootnoteReference"/>
        </w:rPr>
        <w:footnoteRef/>
      </w:r>
      <w:r>
        <w:t xml:space="preserve"> </w:t>
      </w:r>
      <w:r>
        <w:t xml:space="preserve">Wright 2015, PMID 25649658.</w:t>
      </w:r>
    </w:p>
  </w:footnote>
  <w:footnote w:id="1736">
    <w:p>
      <w:pPr>
        <w:pStyle w:val="FootnoteText"/>
      </w:pPr>
      <w:r>
        <w:rPr>
          <w:rStyle w:val="FootnoteReference"/>
        </w:rPr>
        <w:footnoteRef/>
      </w:r>
      <w:r>
        <w:t xml:space="preserve"> </w:t>
      </w:r>
      <w:r>
        <w:t xml:space="preserve">Monnier 1977, PMID 862769.</w:t>
      </w:r>
    </w:p>
  </w:footnote>
  <w:footnote w:id="1737">
    <w:p>
      <w:pPr>
        <w:pStyle w:val="FootnoteText"/>
      </w:pPr>
      <w:r>
        <w:rPr>
          <w:rStyle w:val="FootnoteReference"/>
        </w:rPr>
        <w:footnoteRef/>
      </w:r>
      <w:r>
        <w:t xml:space="preserve"> </w:t>
      </w:r>
      <w:r>
        <w:t xml:space="preserve">Kovalzon 2006, PMID 16539679.</w:t>
      </w:r>
    </w:p>
  </w:footnote>
  <w:footnote w:id="1738">
    <w:p>
      <w:pPr>
        <w:pStyle w:val="FootnoteText"/>
      </w:pPr>
      <w:r>
        <w:rPr>
          <w:rStyle w:val="FootnoteReference"/>
        </w:rPr>
        <w:footnoteRef/>
      </w:r>
      <w:r>
        <w:t xml:space="preserve"> </w:t>
      </w:r>
      <w:r>
        <w:t xml:space="preserve">Zlokovic 1988, PMID 3420012.</w:t>
      </w:r>
    </w:p>
  </w:footnote>
  <w:footnote w:id="1740">
    <w:p>
      <w:pPr>
        <w:pStyle w:val="FootnoteText"/>
      </w:pPr>
      <w:r>
        <w:rPr>
          <w:rStyle w:val="FootnoteReference"/>
        </w:rPr>
        <w:footnoteRef/>
      </w:r>
      <w:r>
        <w:t xml:space="preserve"> </w:t>
      </w:r>
      <w:r>
        <w:t xml:space="preserve">Schneider-Helmert 1981, PMID 6895513.</w:t>
      </w:r>
    </w:p>
  </w:footnote>
  <w:footnote w:id="1741">
    <w:p>
      <w:pPr>
        <w:pStyle w:val="FootnoteText"/>
      </w:pPr>
      <w:r>
        <w:rPr>
          <w:rStyle w:val="FootnoteReference"/>
        </w:rPr>
        <w:footnoteRef/>
      </w:r>
      <w:r>
        <w:t xml:space="preserve"> </w:t>
      </w:r>
      <w:r>
        <w:t xml:space="preserve">Schneider-Helmert 1987, PMID 3622582.</w:t>
      </w:r>
    </w:p>
  </w:footnote>
  <w:footnote w:id="1742">
    <w:p>
      <w:pPr>
        <w:pStyle w:val="FootnoteText"/>
      </w:pPr>
      <w:r>
        <w:rPr>
          <w:rStyle w:val="FootnoteReference"/>
        </w:rPr>
        <w:footnoteRef/>
      </w:r>
      <w:r>
        <w:t xml:space="preserve"> </w:t>
      </w:r>
      <w:r>
        <w:t xml:space="preserve">Monti 1987, PMID 3583493.</w:t>
      </w:r>
    </w:p>
  </w:footnote>
  <w:footnote w:id="1743">
    <w:p>
      <w:pPr>
        <w:pStyle w:val="FootnoteText"/>
      </w:pPr>
      <w:r>
        <w:rPr>
          <w:rStyle w:val="FootnoteReference"/>
        </w:rPr>
        <w:footnoteRef/>
      </w:r>
      <w:r>
        <w:t xml:space="preserve"> </w:t>
      </w:r>
      <w:r>
        <w:t xml:space="preserve">Bes 1992, PMID 1299794.</w:t>
      </w:r>
    </w:p>
  </w:footnote>
  <w:footnote w:id="1745">
    <w:p>
      <w:pPr>
        <w:pStyle w:val="FootnoteText"/>
      </w:pPr>
      <w:r>
        <w:rPr>
          <w:rStyle w:val="FootnoteReference"/>
        </w:rPr>
        <w:footnoteRef/>
      </w:r>
      <w:r>
        <w:t xml:space="preserve"> </w:t>
      </w:r>
      <w:r>
        <w:t xml:space="preserve">Dick 1984, PMID 6548969.</w:t>
      </w:r>
    </w:p>
  </w:footnote>
  <w:footnote w:id="1746">
    <w:p>
      <w:pPr>
        <w:pStyle w:val="FootnoteText"/>
      </w:pPr>
      <w:r>
        <w:rPr>
          <w:rStyle w:val="FootnoteReference"/>
        </w:rPr>
        <w:footnoteRef/>
      </w:r>
      <w:r>
        <w:t xml:space="preserve"> </w:t>
      </w:r>
      <w:r>
        <w:t xml:space="preserve">Backmund 1998, PMID 9617990.</w:t>
      </w:r>
    </w:p>
  </w:footnote>
  <w:footnote w:id="1747">
    <w:p>
      <w:pPr>
        <w:pStyle w:val="FootnoteText"/>
      </w:pPr>
      <w:r>
        <w:rPr>
          <w:rStyle w:val="FootnoteReference"/>
        </w:rPr>
        <w:footnoteRef/>
      </w:r>
      <w:r>
        <w:t xml:space="preserve"> </w:t>
      </w:r>
      <w:r>
        <w:t xml:space="preserve">Larbig 1984, PMID 6548970.</w:t>
      </w:r>
    </w:p>
  </w:footnote>
  <w:footnote w:id="1748">
    <w:p>
      <w:pPr>
        <w:pStyle w:val="FootnoteText"/>
      </w:pPr>
      <w:r>
        <w:rPr>
          <w:rStyle w:val="FootnoteReference"/>
        </w:rPr>
        <w:footnoteRef/>
      </w:r>
      <w:r>
        <w:t xml:space="preserve"> </w:t>
      </w:r>
      <w:r>
        <w:t xml:space="preserve">Schneider-Helmert 1984, PMID 6548968.</w:t>
      </w:r>
    </w:p>
  </w:footnote>
  <w:footnote w:id="1749">
    <w:p>
      <w:pPr>
        <w:pStyle w:val="FootnoteText"/>
      </w:pPr>
      <w:r>
        <w:rPr>
          <w:rStyle w:val="FootnoteReference"/>
        </w:rPr>
        <w:footnoteRef/>
      </w:r>
      <w:r>
        <w:t xml:space="preserve"> </w:t>
      </w:r>
      <w:r>
        <w:t xml:space="preserve">Kresiun 2014, PMID 25739189.</w:t>
      </w:r>
    </w:p>
  </w:footnote>
  <w:footnote w:id="1751">
    <w:p>
      <w:pPr>
        <w:pStyle w:val="FootnoteText"/>
      </w:pPr>
      <w:r>
        <w:rPr>
          <w:rStyle w:val="FootnoteReference"/>
        </w:rPr>
        <w:footnoteRef/>
      </w:r>
      <w:r>
        <w:t xml:space="preserve"> </w:t>
      </w:r>
      <w:r>
        <w:t xml:space="preserve">Bjartell 1989, PMID 2554357.</w:t>
      </w:r>
    </w:p>
  </w:footnote>
  <w:footnote w:id="1752">
    <w:p>
      <w:pPr>
        <w:pStyle w:val="FootnoteText"/>
      </w:pPr>
      <w:r>
        <w:rPr>
          <w:rStyle w:val="FootnoteReference"/>
        </w:rPr>
        <w:footnoteRef/>
      </w:r>
      <w:r>
        <w:t xml:space="preserve"> </w:t>
      </w:r>
      <w:r>
        <w:t xml:space="preserve">Späth-Schwalbe 1995, PMID 7777652.</w:t>
      </w:r>
    </w:p>
  </w:footnote>
  <w:footnote w:id="1753">
    <w:p>
      <w:pPr>
        <w:pStyle w:val="FootnoteText"/>
      </w:pPr>
      <w:r>
        <w:rPr>
          <w:rStyle w:val="FootnoteReference"/>
        </w:rPr>
        <w:footnoteRef/>
      </w:r>
      <w:r>
        <w:t xml:space="preserve"> </w:t>
      </w:r>
      <w:r>
        <w:t xml:space="preserve">Giusti 1993, PMID 8475226.</w:t>
      </w:r>
    </w:p>
  </w:footnote>
  <w:footnote w:id="1754">
    <w:p>
      <w:pPr>
        <w:pStyle w:val="FootnoteText"/>
      </w:pPr>
      <w:r>
        <w:rPr>
          <w:rStyle w:val="FootnoteReference"/>
        </w:rPr>
        <w:footnoteRef/>
      </w:r>
      <w:r>
        <w:t xml:space="preserve"> </w:t>
      </w:r>
      <w:r>
        <w:t xml:space="preserve">Pomfrett 2009, PMID 19142086.</w:t>
      </w:r>
    </w:p>
  </w:footnote>
  <w:footnote w:id="1757">
    <w:p>
      <w:pPr>
        <w:pStyle w:val="FootnoteText"/>
      </w:pPr>
      <w:r>
        <w:rPr>
          <w:rStyle w:val="FootnoteReference"/>
        </w:rPr>
        <w:footnoteRef/>
      </w:r>
      <w:r>
        <w:t xml:space="preserve"> </w:t>
      </w:r>
      <w:r>
        <w:t xml:space="preserve">Kovalzon 2006, PMID 16539679.</w:t>
      </w:r>
    </w:p>
  </w:footnote>
  <w:footnote w:id="1758">
    <w:p>
      <w:pPr>
        <w:pStyle w:val="FootnoteText"/>
      </w:pPr>
      <w:r>
        <w:rPr>
          <w:rStyle w:val="FootnoteReference"/>
        </w:rPr>
        <w:footnoteRef/>
      </w:r>
      <w:r>
        <w:t xml:space="preserve"> </w:t>
      </w:r>
      <w:r>
        <w:t xml:space="preserve">Voĭtenkov 2009, PMID 20405733.</w:t>
      </w:r>
    </w:p>
  </w:footnote>
  <w:footnote w:id="1760">
    <w:p>
      <w:pPr>
        <w:pStyle w:val="FootnoteText"/>
      </w:pPr>
      <w:r>
        <w:rPr>
          <w:rStyle w:val="FootnoteReference"/>
        </w:rPr>
        <w:footnoteRef/>
      </w:r>
      <w:r>
        <w:t xml:space="preserve"> </w:t>
      </w:r>
      <w:r>
        <w:t xml:space="preserve">Dick 1984, PMID 6548969.</w:t>
      </w:r>
    </w:p>
  </w:footnote>
  <w:footnote w:id="1761">
    <w:p>
      <w:pPr>
        <w:pStyle w:val="FootnoteText"/>
      </w:pPr>
      <w:r>
        <w:rPr>
          <w:rStyle w:val="FootnoteReference"/>
        </w:rPr>
        <w:footnoteRef/>
      </w:r>
      <w:r>
        <w:t xml:space="preserve"> </w:t>
      </w:r>
      <w:r>
        <w:t xml:space="preserve">Pomfrett 2009, PMID 19142086.</w:t>
      </w:r>
    </w:p>
  </w:footnote>
  <w:footnote w:id="1768">
    <w:p>
      <w:pPr>
        <w:pStyle w:val="FootnoteText"/>
      </w:pPr>
      <w:r>
        <w:rPr>
          <w:rStyle w:val="FootnoteReference"/>
        </w:rPr>
        <w:footnoteRef/>
      </w:r>
      <w:r>
        <w:t xml:space="preserve"> </w:t>
      </w:r>
      <w:r>
        <w:t xml:space="preserve">Khavinson 2003, PMID 12937682.</w:t>
      </w:r>
    </w:p>
  </w:footnote>
  <w:footnote w:id="1769">
    <w:p>
      <w:pPr>
        <w:pStyle w:val="FootnoteText"/>
      </w:pPr>
      <w:r>
        <w:rPr>
          <w:rStyle w:val="FootnoteReference"/>
        </w:rPr>
        <w:footnoteRef/>
      </w:r>
      <w:r>
        <w:t xml:space="preserve"> </w:t>
      </w:r>
      <w:r>
        <w:t xml:space="preserve">Khavinson 2003, PMID 14647006.</w:t>
      </w:r>
    </w:p>
  </w:footnote>
  <w:footnote w:id="1770">
    <w:p>
      <w:pPr>
        <w:pStyle w:val="FootnoteText"/>
      </w:pPr>
      <w:r>
        <w:rPr>
          <w:rStyle w:val="FootnoteReference"/>
        </w:rPr>
        <w:footnoteRef/>
      </w:r>
      <w:r>
        <w:t xml:space="preserve"> </w:t>
      </w:r>
      <w:r>
        <w:t xml:space="preserve">Araj 2025, PMID 40141333.</w:t>
      </w:r>
    </w:p>
  </w:footnote>
  <w:footnote w:id="1772">
    <w:p>
      <w:pPr>
        <w:pStyle w:val="FootnoteText"/>
      </w:pPr>
      <w:r>
        <w:rPr>
          <w:rStyle w:val="FootnoteReference"/>
        </w:rPr>
        <w:footnoteRef/>
      </w:r>
      <w:r>
        <w:t xml:space="preserve"> </w:t>
      </w:r>
      <w:r>
        <w:t xml:space="preserve">Jain 2026, PMID 42884164.</w:t>
      </w:r>
    </w:p>
  </w:footnote>
  <w:footnote w:id="1773">
    <w:p>
      <w:pPr>
        <w:pStyle w:val="FootnoteText"/>
      </w:pPr>
      <w:r>
        <w:rPr>
          <w:rStyle w:val="FootnoteReference"/>
        </w:rPr>
        <w:footnoteRef/>
      </w:r>
      <w:r>
        <w:t xml:space="preserve"> </w:t>
      </w:r>
      <w:r>
        <w:t xml:space="preserve">Khavinson 2002, PMID 12195242.</w:t>
      </w:r>
    </w:p>
  </w:footnote>
  <w:footnote w:id="1775">
    <w:p>
      <w:pPr>
        <w:pStyle w:val="FootnoteText"/>
      </w:pPr>
      <w:r>
        <w:rPr>
          <w:rStyle w:val="FootnoteReference"/>
        </w:rPr>
        <w:footnoteRef/>
      </w:r>
      <w:r>
        <w:t xml:space="preserve"> </w:t>
      </w:r>
      <w:r>
        <w:t xml:space="preserve">Khavinson 2003, PMID 14523363.</w:t>
      </w:r>
    </w:p>
  </w:footnote>
  <w:footnote w:id="1777">
    <w:p>
      <w:pPr>
        <w:pStyle w:val="FootnoteText"/>
      </w:pPr>
      <w:r>
        <w:rPr>
          <w:rStyle w:val="FootnoteReference"/>
        </w:rPr>
        <w:footnoteRef/>
      </w:r>
      <w:r>
        <w:t xml:space="preserve"> </w:t>
      </w:r>
      <w:r>
        <w:t xml:space="preserve">Khavinson 2003, PMID 12937682.</w:t>
      </w:r>
    </w:p>
  </w:footnote>
  <w:footnote w:id="1778">
    <w:p>
      <w:pPr>
        <w:pStyle w:val="FootnoteText"/>
      </w:pPr>
      <w:r>
        <w:rPr>
          <w:rStyle w:val="FootnoteReference"/>
        </w:rPr>
        <w:footnoteRef/>
      </w:r>
      <w:r>
        <w:t xml:space="preserve"> </w:t>
      </w:r>
      <w:r>
        <w:t xml:space="preserve">Khavinson 2004, PMID 15455129.</w:t>
      </w:r>
    </w:p>
  </w:footnote>
  <w:footnote w:id="1779">
    <w:p>
      <w:pPr>
        <w:pStyle w:val="FootnoteText"/>
      </w:pPr>
      <w:r>
        <w:rPr>
          <w:rStyle w:val="FootnoteReference"/>
        </w:rPr>
        <w:footnoteRef/>
      </w:r>
      <w:r>
        <w:t xml:space="preserve"> </w:t>
      </w:r>
      <w:r>
        <w:t xml:space="preserve">Al-Dulaimi 2025, PMID 40908429.</w:t>
      </w:r>
    </w:p>
  </w:footnote>
  <w:footnote w:id="1780">
    <w:p>
      <w:pPr>
        <w:pStyle w:val="FootnoteText"/>
      </w:pPr>
      <w:r>
        <w:rPr>
          <w:rStyle w:val="FootnoteReference"/>
        </w:rPr>
        <w:footnoteRef/>
      </w:r>
      <w:r>
        <w:t xml:space="preserve"> </w:t>
      </w:r>
      <w:r>
        <w:t xml:space="preserve">Khavinson 2019, PMID 31761987.</w:t>
      </w:r>
    </w:p>
  </w:footnote>
  <w:footnote w:id="1783">
    <w:p>
      <w:pPr>
        <w:pStyle w:val="FootnoteText"/>
      </w:pPr>
      <w:r>
        <w:rPr>
          <w:rStyle w:val="FootnoteReference"/>
        </w:rPr>
        <w:footnoteRef/>
      </w:r>
      <w:r>
        <w:t xml:space="preserve"> </w:t>
      </w:r>
      <w:r>
        <w:t xml:space="preserve">Anisimov 2003, PMID 14501183.</w:t>
      </w:r>
    </w:p>
  </w:footnote>
  <w:footnote w:id="1784">
    <w:p>
      <w:pPr>
        <w:pStyle w:val="FootnoteText"/>
      </w:pPr>
      <w:r>
        <w:rPr>
          <w:rStyle w:val="FootnoteReference"/>
        </w:rPr>
        <w:footnoteRef/>
      </w:r>
      <w:r>
        <w:t xml:space="preserve"> </w:t>
      </w:r>
      <w:r>
        <w:t xml:space="preserve">Khavinson 2000, PMID 11087911.</w:t>
      </w:r>
    </w:p>
  </w:footnote>
  <w:footnote w:id="1785">
    <w:p>
      <w:pPr>
        <w:pStyle w:val="FootnoteText"/>
      </w:pPr>
      <w:r>
        <w:rPr>
          <w:rStyle w:val="FootnoteReference"/>
        </w:rPr>
        <w:footnoteRef/>
      </w:r>
      <w:r>
        <w:t xml:space="preserve"> </w:t>
      </w:r>
      <w:r>
        <w:t xml:space="preserve">Khavinson 2003, PMID 12910293.</w:t>
      </w:r>
    </w:p>
  </w:footnote>
  <w:footnote w:id="1786">
    <w:p>
      <w:pPr>
        <w:pStyle w:val="FootnoteText"/>
      </w:pPr>
      <w:r>
        <w:rPr>
          <w:rStyle w:val="FootnoteReference"/>
        </w:rPr>
        <w:footnoteRef/>
      </w:r>
      <w:r>
        <w:t xml:space="preserve"> </w:t>
      </w:r>
      <w:r>
        <w:t xml:space="preserve">Yue 2022, PMID 35413689.</w:t>
      </w:r>
    </w:p>
  </w:footnote>
  <w:footnote w:id="1788">
    <w:p>
      <w:pPr>
        <w:pStyle w:val="FootnoteText"/>
      </w:pPr>
      <w:r>
        <w:rPr>
          <w:rStyle w:val="FootnoteReference"/>
        </w:rPr>
        <w:footnoteRef/>
      </w:r>
      <w:r>
        <w:t xml:space="preserve"> </w:t>
      </w:r>
      <w:r>
        <w:t xml:space="preserve">Al-Dulaimi 2025, PMID 40908429.</w:t>
      </w:r>
    </w:p>
  </w:footnote>
  <w:footnote w:id="1789">
    <w:p>
      <w:pPr>
        <w:pStyle w:val="FootnoteText"/>
      </w:pPr>
      <w:r>
        <w:rPr>
          <w:rStyle w:val="FootnoteReference"/>
        </w:rPr>
        <w:footnoteRef/>
      </w:r>
      <w:r>
        <w:t xml:space="preserve"> </w:t>
      </w:r>
      <w:r>
        <w:t xml:space="preserve">Anisimov 2003, PMID 14501183.</w:t>
      </w:r>
    </w:p>
  </w:footnote>
  <w:footnote w:id="1790">
    <w:p>
      <w:pPr>
        <w:pStyle w:val="FootnoteText"/>
      </w:pPr>
      <w:r>
        <w:rPr>
          <w:rStyle w:val="FootnoteReference"/>
        </w:rPr>
        <w:footnoteRef/>
      </w:r>
      <w:r>
        <w:t xml:space="preserve"> </w:t>
      </w:r>
      <w:r>
        <w:t xml:space="preserve">Jain 2026, PMID 42884164.</w:t>
      </w:r>
    </w:p>
  </w:footnote>
  <w:footnote w:id="1793">
    <w:p>
      <w:pPr>
        <w:pStyle w:val="FootnoteText"/>
      </w:pPr>
      <w:r>
        <w:rPr>
          <w:rStyle w:val="FootnoteReference"/>
        </w:rPr>
        <w:footnoteRef/>
      </w:r>
      <w:r>
        <w:t xml:space="preserve"> </w:t>
      </w:r>
      <w:r>
        <w:t xml:space="preserve">NCT07888595.</w:t>
      </w:r>
    </w:p>
  </w:footnote>
  <w:footnote w:id="1798">
    <w:p>
      <w:pPr>
        <w:pStyle w:val="FootnoteText"/>
      </w:pPr>
      <w:r>
        <w:rPr>
          <w:rStyle w:val="FootnoteReference"/>
        </w:rPr>
        <w:footnoteRef/>
      </w:r>
      <w:r>
        <w:t xml:space="preserve"> </w:t>
      </w:r>
      <w:r>
        <w:t xml:space="preserve">Fedoreyeva 2011, PMID 22117547.</w:t>
      </w:r>
    </w:p>
  </w:footnote>
  <w:footnote w:id="1799">
    <w:p>
      <w:pPr>
        <w:pStyle w:val="FootnoteText"/>
      </w:pPr>
      <w:r>
        <w:rPr>
          <w:rStyle w:val="FootnoteReference"/>
        </w:rPr>
        <w:footnoteRef/>
      </w:r>
      <w:r>
        <w:t xml:space="preserve"> </w:t>
      </w:r>
      <w:r>
        <w:t xml:space="preserve">Khavinson 2011, PMID 21978084.</w:t>
      </w:r>
    </w:p>
  </w:footnote>
  <w:footnote w:id="1800">
    <w:p>
      <w:pPr>
        <w:pStyle w:val="FootnoteText"/>
      </w:pPr>
      <w:r>
        <w:rPr>
          <w:rStyle w:val="FootnoteReference"/>
        </w:rPr>
        <w:footnoteRef/>
      </w:r>
      <w:r>
        <w:t xml:space="preserve"> </w:t>
      </w:r>
      <w:r>
        <w:t xml:space="preserve">Khavinson 2020, PMID 33396470.</w:t>
      </w:r>
    </w:p>
  </w:footnote>
  <w:footnote w:id="1802">
    <w:p>
      <w:pPr>
        <w:pStyle w:val="FootnoteText"/>
      </w:pPr>
      <w:r>
        <w:rPr>
          <w:rStyle w:val="FootnoteReference"/>
        </w:rPr>
        <w:footnoteRef/>
      </w:r>
      <w:r>
        <w:t xml:space="preserve"> </w:t>
      </w:r>
      <w:r>
        <w:t xml:space="preserve">Meshchaninov 2015, PMID 26390612.</w:t>
      </w:r>
    </w:p>
  </w:footnote>
  <w:footnote w:id="1804">
    <w:p>
      <w:pPr>
        <w:pStyle w:val="FootnoteText"/>
      </w:pPr>
      <w:r>
        <w:rPr>
          <w:rStyle w:val="FootnoteReference"/>
        </w:rPr>
        <w:footnoteRef/>
      </w:r>
      <w:r>
        <w:t xml:space="preserve"> </w:t>
      </w:r>
      <w:r>
        <w:t xml:space="preserve">Arutjunyan 2012, PMID 22567179.</w:t>
      </w:r>
    </w:p>
  </w:footnote>
  <w:footnote w:id="1805">
    <w:p>
      <w:pPr>
        <w:pStyle w:val="FootnoteText"/>
      </w:pPr>
      <w:r>
        <w:rPr>
          <w:rStyle w:val="FootnoteReference"/>
        </w:rPr>
        <w:footnoteRef/>
      </w:r>
      <w:r>
        <w:t xml:space="preserve"> </w:t>
      </w:r>
      <w:r>
        <w:t xml:space="preserve">Mendzheritsky 2015, PMID 28509493.</w:t>
      </w:r>
    </w:p>
  </w:footnote>
  <w:footnote w:id="1806">
    <w:p>
      <w:pPr>
        <w:pStyle w:val="FootnoteText"/>
      </w:pPr>
      <w:r>
        <w:rPr>
          <w:rStyle w:val="FootnoteReference"/>
        </w:rPr>
        <w:footnoteRef/>
      </w:r>
      <w:r>
        <w:t xml:space="preserve"> </w:t>
      </w:r>
      <w:r>
        <w:t xml:space="preserve">Khavinson 2011, PMID 21978084.</w:t>
      </w:r>
    </w:p>
  </w:footnote>
  <w:footnote w:id="1808">
    <w:p>
      <w:pPr>
        <w:pStyle w:val="FootnoteText"/>
      </w:pPr>
      <w:r>
        <w:rPr>
          <w:rStyle w:val="FootnoteReference"/>
        </w:rPr>
        <w:footnoteRef/>
      </w:r>
      <w:r>
        <w:t xml:space="preserve"> </w:t>
      </w:r>
      <w:r>
        <w:t xml:space="preserve">Meshchaninov 2015, PMID 26390612.</w:t>
      </w:r>
    </w:p>
  </w:footnote>
  <w:footnote w:id="1815">
    <w:p>
      <w:pPr>
        <w:pStyle w:val="FootnoteText"/>
      </w:pPr>
      <w:r>
        <w:rPr>
          <w:rStyle w:val="FootnoteReference"/>
        </w:rPr>
        <w:footnoteRef/>
      </w:r>
      <w:r>
        <w:t xml:space="preserve"> </w:t>
      </w:r>
      <w:r>
        <w:t xml:space="preserve">Lee 2015, PMID 25738459.</w:t>
      </w:r>
    </w:p>
  </w:footnote>
  <w:footnote w:id="1816">
    <w:p>
      <w:pPr>
        <w:pStyle w:val="FootnoteText"/>
      </w:pPr>
      <w:r>
        <w:rPr>
          <w:rStyle w:val="FootnoteReference"/>
        </w:rPr>
        <w:footnoteRef/>
      </w:r>
      <w:r>
        <w:t xml:space="preserve"> </w:t>
      </w:r>
      <w:r>
        <w:t xml:space="preserve">Kim 2018, PMID 29983246.</w:t>
      </w:r>
    </w:p>
  </w:footnote>
  <w:footnote w:id="1817">
    <w:p>
      <w:pPr>
        <w:pStyle w:val="FootnoteText"/>
      </w:pPr>
      <w:r>
        <w:rPr>
          <w:rStyle w:val="FootnoteReference"/>
        </w:rPr>
        <w:footnoteRef/>
      </w:r>
      <w:r>
        <w:t xml:space="preserve"> </w:t>
      </w:r>
      <w:r>
        <w:t xml:space="preserve">Reynolds 2021, PMID 33473109.</w:t>
      </w:r>
    </w:p>
  </w:footnote>
  <w:footnote w:id="1819">
    <w:p>
      <w:pPr>
        <w:pStyle w:val="FootnoteText"/>
      </w:pPr>
      <w:r>
        <w:rPr>
          <w:rStyle w:val="FootnoteReference"/>
        </w:rPr>
        <w:footnoteRef/>
      </w:r>
      <w:r>
        <w:t xml:space="preserve"> </w:t>
      </w:r>
      <w:r>
        <w:t xml:space="preserve">NCT03998514.</w:t>
      </w:r>
    </w:p>
  </w:footnote>
  <w:footnote w:id="1820">
    <w:p>
      <w:pPr>
        <w:pStyle w:val="FootnoteText"/>
      </w:pPr>
      <w:r>
        <w:rPr>
          <w:rStyle w:val="FootnoteReference"/>
        </w:rPr>
        <w:footnoteRef/>
      </w:r>
      <w:r>
        <w:t xml:space="preserve"> </w:t>
      </w:r>
      <w:r>
        <w:t xml:space="preserve">Du 2018, PMID 29691953; Kirik 2023, PMID 37750635; Qin 2018, PMID 29242099.</w:t>
      </w:r>
    </w:p>
  </w:footnote>
  <w:footnote w:id="1821">
    <w:p>
      <w:pPr>
        <w:pStyle w:val="FootnoteText"/>
      </w:pPr>
      <w:r>
        <w:rPr>
          <w:rStyle w:val="FootnoteReference"/>
        </w:rPr>
        <w:footnoteRef/>
      </w:r>
      <w:r>
        <w:t xml:space="preserve"> </w:t>
      </w:r>
      <w:r>
        <w:t xml:space="preserve">Du 2018, PMID 29691953.</w:t>
      </w:r>
    </w:p>
  </w:footnote>
  <w:footnote w:id="1822">
    <w:p>
      <w:pPr>
        <w:pStyle w:val="FootnoteText"/>
      </w:pPr>
      <w:r>
        <w:rPr>
          <w:rStyle w:val="FootnoteReference"/>
        </w:rPr>
        <w:footnoteRef/>
      </w:r>
      <w:r>
        <w:t xml:space="preserve"> </w:t>
      </w:r>
      <w:r>
        <w:t xml:space="preserve">Ikonomidis 2020, PMID 32052315.</w:t>
      </w:r>
    </w:p>
  </w:footnote>
  <w:footnote w:id="1823">
    <w:p>
      <w:pPr>
        <w:pStyle w:val="FootnoteText"/>
      </w:pPr>
      <w:r>
        <w:rPr>
          <w:rStyle w:val="FootnoteReference"/>
        </w:rPr>
        <w:footnoteRef/>
      </w:r>
      <w:r>
        <w:t xml:space="preserve"> </w:t>
      </w:r>
      <w:r>
        <w:t xml:space="preserve">Cuyàs 2022, PMID 36490309.</w:t>
      </w:r>
    </w:p>
  </w:footnote>
  <w:footnote w:id="1824">
    <w:p>
      <w:pPr>
        <w:pStyle w:val="FootnoteText"/>
      </w:pPr>
      <w:r>
        <w:rPr>
          <w:rStyle w:val="FootnoteReference"/>
        </w:rPr>
        <w:footnoteRef/>
      </w:r>
      <w:r>
        <w:t xml:space="preserve"> </w:t>
      </w:r>
      <w:r>
        <w:t xml:space="preserve">Zempo 2021, PMID 33468709.</w:t>
      </w:r>
    </w:p>
  </w:footnote>
  <w:footnote w:id="1826">
    <w:p>
      <w:pPr>
        <w:pStyle w:val="FootnoteText"/>
      </w:pPr>
      <w:r>
        <w:rPr>
          <w:rStyle w:val="FootnoteReference"/>
        </w:rPr>
        <w:footnoteRef/>
      </w:r>
      <w:r>
        <w:t xml:space="preserve"> </w:t>
      </w:r>
      <w:r>
        <w:t xml:space="preserve">NCT03998514.</w:t>
      </w:r>
    </w:p>
  </w:footnote>
  <w:footnote w:id="1829">
    <w:p>
      <w:pPr>
        <w:pStyle w:val="FootnoteText"/>
      </w:pPr>
      <w:r>
        <w:rPr>
          <w:rStyle w:val="FootnoteReference"/>
        </w:rPr>
        <w:footnoteRef/>
      </w:r>
      <w:r>
        <w:t xml:space="preserve"> </w:t>
      </w:r>
      <w:r>
        <w:t xml:space="preserve">Lee 2015, PMID 25738459.</w:t>
      </w:r>
    </w:p>
  </w:footnote>
  <w:footnote w:id="1830">
    <w:p>
      <w:pPr>
        <w:pStyle w:val="FootnoteText"/>
      </w:pPr>
      <w:r>
        <w:rPr>
          <w:rStyle w:val="FootnoteReference"/>
        </w:rPr>
        <w:footnoteRef/>
      </w:r>
      <w:r>
        <w:t xml:space="preserve"> </w:t>
      </w:r>
      <w:r>
        <w:t xml:space="preserve">Kumagai 2021, PMID 33554779.</w:t>
      </w:r>
    </w:p>
  </w:footnote>
  <w:footnote w:id="1831">
    <w:p>
      <w:pPr>
        <w:pStyle w:val="FootnoteText"/>
      </w:pPr>
      <w:r>
        <w:rPr>
          <w:rStyle w:val="FootnoteReference"/>
        </w:rPr>
        <w:footnoteRef/>
      </w:r>
      <w:r>
        <w:t xml:space="preserve"> </w:t>
      </w:r>
      <w:r>
        <w:t xml:space="preserve">Reynolds 2021, PMID 33473109.</w:t>
      </w:r>
    </w:p>
  </w:footnote>
  <w:footnote w:id="1832">
    <w:p>
      <w:pPr>
        <w:pStyle w:val="FootnoteText"/>
      </w:pPr>
      <w:r>
        <w:rPr>
          <w:rStyle w:val="FootnoteReference"/>
        </w:rPr>
        <w:footnoteRef/>
      </w:r>
      <w:r>
        <w:t xml:space="preserve"> </w:t>
      </w:r>
      <w:r>
        <w:t xml:space="preserve">Kong 2025, PMID 40855115.</w:t>
      </w:r>
    </w:p>
  </w:footnote>
  <w:footnote w:id="1834">
    <w:p>
      <w:pPr>
        <w:pStyle w:val="FootnoteText"/>
      </w:pPr>
      <w:r>
        <w:rPr>
          <w:rStyle w:val="FootnoteReference"/>
        </w:rPr>
        <w:footnoteRef/>
      </w:r>
      <w:r>
        <w:t xml:space="preserve"> </w:t>
      </w:r>
      <w:r>
        <w:t xml:space="preserve">Yin 2024, PMID 39321430.</w:t>
      </w:r>
    </w:p>
  </w:footnote>
  <w:footnote w:id="1835">
    <w:p>
      <w:pPr>
        <w:pStyle w:val="FootnoteText"/>
      </w:pPr>
      <w:r>
        <w:rPr>
          <w:rStyle w:val="FootnoteReference"/>
        </w:rPr>
        <w:footnoteRef/>
      </w:r>
      <w:r>
        <w:t xml:space="preserve"> </w:t>
      </w:r>
      <w:r>
        <w:t xml:space="preserve">Shen 2025, PMID 39581216.</w:t>
      </w:r>
    </w:p>
  </w:footnote>
  <w:footnote w:id="1838">
    <w:p>
      <w:pPr>
        <w:pStyle w:val="FootnoteText"/>
      </w:pPr>
      <w:r>
        <w:rPr>
          <w:rStyle w:val="FootnoteReference"/>
        </w:rPr>
        <w:footnoteRef/>
      </w:r>
      <w:r>
        <w:t xml:space="preserve"> </w:t>
      </w:r>
      <w:r>
        <w:t xml:space="preserve">NCT07678073.</w:t>
      </w:r>
    </w:p>
  </w:footnote>
  <w:footnote w:id="1839">
    <w:p>
      <w:pPr>
        <w:pStyle w:val="FootnoteText"/>
      </w:pPr>
      <w:r>
        <w:rPr>
          <w:rStyle w:val="FootnoteReference"/>
        </w:rPr>
        <w:footnoteRef/>
      </w:r>
      <w:r>
        <w:t xml:space="preserve"> </w:t>
      </w:r>
      <w:r>
        <w:t xml:space="preserve">NCT03878706.</w:t>
      </w:r>
    </w:p>
  </w:footnote>
  <w:footnote w:id="1844">
    <w:p>
      <w:pPr>
        <w:pStyle w:val="FootnoteText"/>
      </w:pPr>
      <w:r>
        <w:rPr>
          <w:rStyle w:val="FootnoteReference"/>
        </w:rPr>
        <w:footnoteRef/>
      </w:r>
      <w:r>
        <w:t xml:space="preserve"> </w:t>
      </w:r>
      <w:r>
        <w:t xml:space="preserve">Hashimoto 2001, PMID 11717357.</w:t>
      </w:r>
    </w:p>
  </w:footnote>
  <w:footnote w:id="1845">
    <w:p>
      <w:pPr>
        <w:pStyle w:val="FootnoteText"/>
      </w:pPr>
      <w:r>
        <w:rPr>
          <w:rStyle w:val="FootnoteReference"/>
        </w:rPr>
        <w:footnoteRef/>
      </w:r>
      <w:r>
        <w:t xml:space="preserve"> </w:t>
      </w:r>
      <w:r>
        <w:t xml:space="preserve">Hashimoto 2009, PMID 19386761.</w:t>
      </w:r>
    </w:p>
  </w:footnote>
  <w:footnote w:id="1846">
    <w:p>
      <w:pPr>
        <w:pStyle w:val="FootnoteText"/>
      </w:pPr>
      <w:r>
        <w:rPr>
          <w:rStyle w:val="FootnoteReference"/>
        </w:rPr>
        <w:footnoteRef/>
      </w:r>
      <w:r>
        <w:t xml:space="preserve"> </w:t>
      </w:r>
      <w:r>
        <w:t xml:space="preserve">Miller 2022, PMID 35499074.</w:t>
      </w:r>
    </w:p>
  </w:footnote>
  <w:footnote w:id="1848">
    <w:p>
      <w:pPr>
        <w:pStyle w:val="FootnoteText"/>
      </w:pPr>
      <w:r>
        <w:rPr>
          <w:rStyle w:val="FootnoteReference"/>
        </w:rPr>
        <w:footnoteRef/>
      </w:r>
      <w:r>
        <w:t xml:space="preserve"> </w:t>
      </w:r>
      <w:r>
        <w:t xml:space="preserve">Lee 2014, PMID 25040290.</w:t>
      </w:r>
    </w:p>
  </w:footnote>
  <w:footnote w:id="1852">
    <w:p>
      <w:pPr>
        <w:pStyle w:val="FootnoteText"/>
      </w:pPr>
      <w:r>
        <w:rPr>
          <w:rStyle w:val="FootnoteReference"/>
        </w:rPr>
        <w:footnoteRef/>
      </w:r>
      <w:r>
        <w:t xml:space="preserve"> </w:t>
      </w:r>
      <w:r>
        <w:t xml:space="preserve">Yen 2020, PMID 32575074.</w:t>
      </w:r>
    </w:p>
  </w:footnote>
  <w:footnote w:id="1853">
    <w:p>
      <w:pPr>
        <w:pStyle w:val="FootnoteText"/>
      </w:pPr>
      <w:r>
        <w:rPr>
          <w:rStyle w:val="FootnoteReference"/>
        </w:rPr>
        <w:footnoteRef/>
      </w:r>
      <w:r>
        <w:t xml:space="preserve"> </w:t>
      </w:r>
      <w:r>
        <w:t xml:space="preserve">Muzumdar 2010, PMID 20651283.</w:t>
      </w:r>
    </w:p>
  </w:footnote>
  <w:footnote w:id="1854">
    <w:p>
      <w:pPr>
        <w:pStyle w:val="FootnoteText"/>
      </w:pPr>
      <w:r>
        <w:rPr>
          <w:rStyle w:val="FootnoteReference"/>
        </w:rPr>
        <w:footnoteRef/>
      </w:r>
      <w:r>
        <w:t xml:space="preserve"> </w:t>
      </w:r>
      <w:r>
        <w:t xml:space="preserve">Qin 2018, PMID 30004252.</w:t>
      </w:r>
    </w:p>
  </w:footnote>
  <w:footnote w:id="1855">
    <w:p>
      <w:pPr>
        <w:pStyle w:val="FootnoteText"/>
      </w:pPr>
      <w:r>
        <w:rPr>
          <w:rStyle w:val="FootnoteReference"/>
        </w:rPr>
        <w:footnoteRef/>
      </w:r>
      <w:r>
        <w:t xml:space="preserve"> </w:t>
      </w:r>
      <w:r>
        <w:t xml:space="preserve">Miller 2024, PMID 38520065.</w:t>
      </w:r>
    </w:p>
  </w:footnote>
  <w:footnote w:id="1856">
    <w:p>
      <w:pPr>
        <w:pStyle w:val="FootnoteText"/>
      </w:pPr>
      <w:r>
        <w:rPr>
          <w:rStyle w:val="FootnoteReference"/>
        </w:rPr>
        <w:footnoteRef/>
      </w:r>
      <w:r>
        <w:t xml:space="preserve"> </w:t>
      </w:r>
      <w:r>
        <w:t xml:space="preserve">Nashine 2017, PMID 28726777.</w:t>
      </w:r>
    </w:p>
  </w:footnote>
  <w:footnote w:id="1858">
    <w:p>
      <w:pPr>
        <w:pStyle w:val="FootnoteText"/>
      </w:pPr>
      <w:r>
        <w:rPr>
          <w:rStyle w:val="FootnoteReference"/>
        </w:rPr>
        <w:footnoteRef/>
      </w:r>
      <w:r>
        <w:t xml:space="preserve"> </w:t>
      </w:r>
      <w:r>
        <w:t xml:space="preserve">Moreno Ayala 2020, PMID 32444831.</w:t>
      </w:r>
    </w:p>
  </w:footnote>
  <w:footnote w:id="1859">
    <w:p>
      <w:pPr>
        <w:pStyle w:val="FootnoteText"/>
      </w:pPr>
      <w:r>
        <w:rPr>
          <w:rStyle w:val="FootnoteReference"/>
        </w:rPr>
        <w:footnoteRef/>
      </w:r>
      <w:r>
        <w:t xml:space="preserve"> </w:t>
      </w:r>
      <w:r>
        <w:t xml:space="preserve">Mendelsohn 2018, PMID 30058454.</w:t>
      </w:r>
    </w:p>
  </w:footnote>
  <w:footnote w:id="1862">
    <w:p>
      <w:pPr>
        <w:pStyle w:val="FootnoteText"/>
      </w:pPr>
      <w:r>
        <w:rPr>
          <w:rStyle w:val="FootnoteReference"/>
        </w:rPr>
        <w:footnoteRef/>
      </w:r>
      <w:r>
        <w:t xml:space="preserve"> </w:t>
      </w:r>
      <w:r>
        <w:t xml:space="preserve">NCT07678073.</w:t>
      </w:r>
    </w:p>
  </w:footnote>
  <w:footnote w:id="1867">
    <w:p>
      <w:pPr>
        <w:pStyle w:val="FootnoteText"/>
      </w:pPr>
      <w:r>
        <w:rPr>
          <w:rStyle w:val="FootnoteReference"/>
        </w:rPr>
        <w:footnoteRef/>
      </w:r>
      <w:r>
        <w:t xml:space="preserve"> </w:t>
      </w:r>
      <w:r>
        <w:t xml:space="preserve">Szeto 2014, PMID 24117165.</w:t>
      </w:r>
    </w:p>
  </w:footnote>
  <w:footnote w:id="1869">
    <w:p>
      <w:pPr>
        <w:pStyle w:val="FootnoteText"/>
      </w:pPr>
      <w:r>
        <w:rPr>
          <w:rStyle w:val="FootnoteReference"/>
        </w:rPr>
        <w:footnoteRef/>
      </w:r>
      <w:r>
        <w:t xml:space="preserve"> </w:t>
      </w:r>
      <w:r>
        <w:t xml:space="preserve">NCT03098797.</w:t>
      </w:r>
    </w:p>
  </w:footnote>
  <w:footnote w:id="1870">
    <w:p>
      <w:pPr>
        <w:pStyle w:val="FootnoteText"/>
      </w:pPr>
      <w:r>
        <w:rPr>
          <w:rStyle w:val="FootnoteReference"/>
        </w:rPr>
        <w:footnoteRef/>
      </w:r>
      <w:r>
        <w:t xml:space="preserve"> </w:t>
      </w:r>
      <w:r>
        <w:t xml:space="preserve">Reid Thompson 2021, PMID 33077895.</w:t>
      </w:r>
    </w:p>
  </w:footnote>
  <w:footnote w:id="1871">
    <w:p>
      <w:pPr>
        <w:pStyle w:val="FootnoteText"/>
      </w:pPr>
      <w:r>
        <w:rPr>
          <w:rStyle w:val="FootnoteReference"/>
        </w:rPr>
        <w:footnoteRef/>
      </w:r>
      <w:r>
        <w:t xml:space="preserve"> </w:t>
      </w:r>
      <w:r>
        <w:t xml:space="preserve">Reid Thompson 2021, PMID 33077895.</w:t>
      </w:r>
    </w:p>
  </w:footnote>
  <w:footnote w:id="1872">
    <w:p>
      <w:pPr>
        <w:pStyle w:val="FootnoteText"/>
      </w:pPr>
      <w:r>
        <w:rPr>
          <w:rStyle w:val="FootnoteReference"/>
        </w:rPr>
        <w:footnoteRef/>
      </w:r>
      <w:r>
        <w:t xml:space="preserve"> </w:t>
      </w:r>
      <w:r>
        <w:t xml:space="preserve">Thompson 2024, PMID 38602181.</w:t>
      </w:r>
    </w:p>
  </w:footnote>
  <w:footnote w:id="1873">
    <w:p>
      <w:pPr>
        <w:pStyle w:val="FootnoteText"/>
      </w:pPr>
      <w:r>
        <w:rPr>
          <w:rStyle w:val="FootnoteReference"/>
        </w:rPr>
        <w:footnoteRef/>
      </w:r>
      <w:r>
        <w:t xml:space="preserve"> </w:t>
      </w:r>
      <w:r>
        <w:t xml:space="preserve">Hornby 2022, PMID 36056411.</w:t>
      </w:r>
    </w:p>
  </w:footnote>
  <w:footnote w:id="1874">
    <w:p>
      <w:pPr>
        <w:pStyle w:val="FootnoteText"/>
      </w:pPr>
      <w:r>
        <w:rPr>
          <w:rStyle w:val="FootnoteReference"/>
        </w:rPr>
        <w:footnoteRef/>
      </w:r>
      <w:r>
        <w:t xml:space="preserve"> </w:t>
      </w:r>
      <w:r>
        <w:t xml:space="preserve">Shirley 2026, PMID 41335372.</w:t>
      </w:r>
    </w:p>
  </w:footnote>
  <w:footnote w:id="1875">
    <w:p>
      <w:pPr>
        <w:pStyle w:val="FootnoteText"/>
      </w:pPr>
      <w:r>
        <w:rPr>
          <w:rStyle w:val="FootnoteReference"/>
        </w:rPr>
        <w:footnoteRef/>
      </w:r>
      <w:r>
        <w:t xml:space="preserve"> </w:t>
      </w:r>
      <w:r>
        <w:t xml:space="preserve">NCT07531251.</w:t>
      </w:r>
    </w:p>
  </w:footnote>
  <w:footnote w:id="1877">
    <w:p>
      <w:pPr>
        <w:pStyle w:val="FootnoteText"/>
      </w:pPr>
      <w:r>
        <w:rPr>
          <w:rStyle w:val="FootnoteReference"/>
        </w:rPr>
        <w:footnoteRef/>
      </w:r>
      <w:r>
        <w:t xml:space="preserve"> </w:t>
      </w:r>
      <w:r>
        <w:t xml:space="preserve">NCT03323749.</w:t>
      </w:r>
    </w:p>
  </w:footnote>
  <w:footnote w:id="1878">
    <w:p>
      <w:pPr>
        <w:pStyle w:val="FootnoteText"/>
      </w:pPr>
      <w:r>
        <w:rPr>
          <w:rStyle w:val="FootnoteReference"/>
        </w:rPr>
        <w:footnoteRef/>
      </w:r>
      <w:r>
        <w:t xml:space="preserve"> </w:t>
      </w:r>
      <w:r>
        <w:t xml:space="preserve">Karaa 2023, PMID 37268435.</w:t>
      </w:r>
    </w:p>
  </w:footnote>
  <w:footnote w:id="1879">
    <w:p>
      <w:pPr>
        <w:pStyle w:val="FootnoteText"/>
      </w:pPr>
      <w:r>
        <w:rPr>
          <w:rStyle w:val="FootnoteReference"/>
        </w:rPr>
        <w:footnoteRef/>
      </w:r>
      <w:r>
        <w:t xml:space="preserve"> </w:t>
      </w:r>
      <w:r>
        <w:t xml:space="preserve">Karaa 2024, PMID 39574155.</w:t>
      </w:r>
    </w:p>
  </w:footnote>
  <w:footnote w:id="1880">
    <w:p>
      <w:pPr>
        <w:pStyle w:val="FootnoteText"/>
      </w:pPr>
      <w:r>
        <w:rPr>
          <w:rStyle w:val="FootnoteReference"/>
        </w:rPr>
        <w:footnoteRef/>
      </w:r>
      <w:r>
        <w:t xml:space="preserve"> </w:t>
      </w:r>
      <w:r>
        <w:t xml:space="preserve">NCT05162768.</w:t>
      </w:r>
    </w:p>
  </w:footnote>
  <w:footnote w:id="1882">
    <w:p>
      <w:pPr>
        <w:pStyle w:val="FootnoteText"/>
      </w:pPr>
      <w:r>
        <w:rPr>
          <w:rStyle w:val="FootnoteReference"/>
        </w:rPr>
        <w:footnoteRef/>
      </w:r>
      <w:r>
        <w:t xml:space="preserve"> </w:t>
      </w:r>
      <w:r>
        <w:t xml:space="preserve">Gibson 2016, PMID 26586786; Butler 2020, PMID 32068002.</w:t>
      </w:r>
    </w:p>
  </w:footnote>
  <w:footnote w:id="1883">
    <w:p>
      <w:pPr>
        <w:pStyle w:val="FootnoteText"/>
      </w:pPr>
      <w:r>
        <w:rPr>
          <w:rStyle w:val="FootnoteReference"/>
        </w:rPr>
        <w:footnoteRef/>
      </w:r>
      <w:r>
        <w:t xml:space="preserve"> </w:t>
      </w:r>
      <w:r>
        <w:t xml:space="preserve">Ehlers 2025, PMID 39605874.</w:t>
      </w:r>
    </w:p>
  </w:footnote>
  <w:footnote w:id="1884">
    <w:p>
      <w:pPr>
        <w:pStyle w:val="FootnoteText"/>
      </w:pPr>
      <w:r>
        <w:rPr>
          <w:rStyle w:val="FootnoteReference"/>
        </w:rPr>
        <w:footnoteRef/>
      </w:r>
      <w:r>
        <w:t xml:space="preserve"> </w:t>
      </w:r>
      <w:r>
        <w:t xml:space="preserve">NCT06373731.</w:t>
      </w:r>
    </w:p>
  </w:footnote>
  <w:footnote w:id="1885">
    <w:p>
      <w:pPr>
        <w:pStyle w:val="FootnoteText"/>
      </w:pPr>
      <w:r>
        <w:rPr>
          <w:rStyle w:val="FootnoteReference"/>
        </w:rPr>
        <w:footnoteRef/>
      </w:r>
      <w:r>
        <w:t xml:space="preserve"> </w:t>
      </w:r>
      <w:r>
        <w:t xml:space="preserve">Roshanravan 2021, PMID 34264994.</w:t>
      </w:r>
    </w:p>
  </w:footnote>
  <w:footnote w:id="1888">
    <w:p>
      <w:pPr>
        <w:pStyle w:val="FootnoteText"/>
      </w:pPr>
      <w:r>
        <w:rPr>
          <w:rStyle w:val="FootnoteReference"/>
        </w:rPr>
        <w:footnoteRef/>
      </w:r>
      <w:r>
        <w:t xml:space="preserve"> </w:t>
      </w:r>
      <w:r>
        <w:t xml:space="preserve">Szeto 2014, PMID 24117165.</w:t>
      </w:r>
    </w:p>
  </w:footnote>
  <w:footnote w:id="1889">
    <w:p>
      <w:pPr>
        <w:pStyle w:val="FootnoteText"/>
      </w:pPr>
      <w:r>
        <w:rPr>
          <w:rStyle w:val="FootnoteReference"/>
        </w:rPr>
        <w:footnoteRef/>
      </w:r>
      <w:r>
        <w:t xml:space="preserve"> </w:t>
      </w:r>
      <w:r>
        <w:t xml:space="preserve">Sabbah 2016, PMID 26839394.</w:t>
      </w:r>
    </w:p>
  </w:footnote>
  <w:footnote w:id="1890">
    <w:p>
      <w:pPr>
        <w:pStyle w:val="FootnoteText"/>
      </w:pPr>
      <w:r>
        <w:rPr>
          <w:rStyle w:val="FootnoteReference"/>
        </w:rPr>
        <w:footnoteRef/>
      </w:r>
      <w:r>
        <w:t xml:space="preserve"> </w:t>
      </w:r>
      <w:r>
        <w:t xml:space="preserve">Schauer 2026, PMID 41596703.</w:t>
      </w:r>
    </w:p>
  </w:footnote>
  <w:footnote w:id="1892">
    <w:p>
      <w:pPr>
        <w:pStyle w:val="FootnoteText"/>
      </w:pPr>
      <w:r>
        <w:rPr>
          <w:rStyle w:val="FootnoteReference"/>
        </w:rPr>
        <w:footnoteRef/>
      </w:r>
      <w:r>
        <w:t xml:space="preserve"> </w:t>
      </w:r>
      <w:r>
        <w:t xml:space="preserve">Karaa 2020, PMID 32096613.</w:t>
      </w:r>
    </w:p>
  </w:footnote>
  <w:footnote w:id="1893">
    <w:p>
      <w:pPr>
        <w:pStyle w:val="FootnoteText"/>
      </w:pPr>
      <w:r>
        <w:rPr>
          <w:rStyle w:val="FootnoteReference"/>
        </w:rPr>
        <w:footnoteRef/>
      </w:r>
      <w:r>
        <w:t xml:space="preserve"> </w:t>
      </w:r>
      <w:r>
        <w:t xml:space="preserve">Ehlers 2025, PMID 39605874.</w:t>
      </w:r>
    </w:p>
  </w:footnote>
  <w:footnote w:id="1894">
    <w:p>
      <w:pPr>
        <w:pStyle w:val="FootnoteText"/>
      </w:pPr>
      <w:r>
        <w:rPr>
          <w:rStyle w:val="FootnoteReference"/>
        </w:rPr>
        <w:footnoteRef/>
      </w:r>
      <w:r>
        <w:t xml:space="preserve"> </w:t>
      </w:r>
      <w:r>
        <w:t xml:space="preserve">Karaa 2023, PMID 37268435.</w:t>
      </w:r>
    </w:p>
  </w:footnote>
  <w:footnote w:id="1895">
    <w:p>
      <w:pPr>
        <w:pStyle w:val="FootnoteText"/>
      </w:pPr>
      <w:r>
        <w:rPr>
          <w:rStyle w:val="FootnoteReference"/>
        </w:rPr>
        <w:footnoteRef/>
      </w:r>
      <w:r>
        <w:t xml:space="preserve"> </w:t>
      </w:r>
      <w:r>
        <w:t xml:space="preserve">Thompson 2024, PMID 38602181.</w:t>
      </w:r>
    </w:p>
  </w:footnote>
  <w:footnote w:id="1897">
    <w:p>
      <w:pPr>
        <w:pStyle w:val="FootnoteText"/>
      </w:pPr>
      <w:r>
        <w:rPr>
          <w:rStyle w:val="FootnoteReference"/>
        </w:rPr>
        <w:footnoteRef/>
      </w:r>
      <w:r>
        <w:t xml:space="preserve"> </w:t>
      </w:r>
      <w:r>
        <w:t xml:space="preserve">NCT04689360.</w:t>
      </w:r>
    </w:p>
  </w:footnote>
  <w:footnote w:id="1899">
    <w:p>
      <w:pPr>
        <w:pStyle w:val="FootnoteText"/>
      </w:pPr>
      <w:r>
        <w:rPr>
          <w:rStyle w:val="FootnoteReference"/>
        </w:rPr>
        <w:footnoteRef/>
      </w:r>
      <w:r>
        <w:t xml:space="preserve"> </w:t>
      </w:r>
      <w:r>
        <w:t xml:space="preserve">NCT06373731.</w:t>
      </w:r>
    </w:p>
  </w:footnote>
  <w:footnote w:id="1900">
    <w:p>
      <w:pPr>
        <w:pStyle w:val="FootnoteText"/>
      </w:pPr>
      <w:r>
        <w:rPr>
          <w:rStyle w:val="FootnoteReference"/>
        </w:rPr>
        <w:footnoteRef/>
      </w:r>
      <w:r>
        <w:t xml:space="preserve"> </w:t>
      </w:r>
      <w:r>
        <w:t xml:space="preserve">NCT07531251.</w:t>
      </w:r>
    </w:p>
  </w:footnote>
  <w:footnote w:id="1901">
    <w:p>
      <w:pPr>
        <w:pStyle w:val="FootnoteText"/>
      </w:pPr>
      <w:r>
        <w:rPr>
          <w:rStyle w:val="FootnoteReference"/>
        </w:rPr>
        <w:footnoteRef/>
      </w:r>
      <w:r>
        <w:t xml:space="preserve"> </w:t>
      </w:r>
      <w:r>
        <w:t xml:space="preserve">NCT05162768.</w:t>
      </w:r>
    </w:p>
  </w:footnote>
  <w:footnote w:id="1902">
    <w:p>
      <w:pPr>
        <w:pStyle w:val="FootnoteText"/>
      </w:pPr>
      <w:r>
        <w:rPr>
          <w:rStyle w:val="FootnoteReference"/>
        </w:rPr>
        <w:footnoteRef/>
      </w:r>
      <w:r>
        <w:t xml:space="preserve"> </w:t>
      </w:r>
      <w:r>
        <w:t xml:space="preserve">NCT07275424.</w:t>
      </w:r>
    </w:p>
  </w:footnote>
  <w:footnote w:id="1907">
    <w:p>
      <w:pPr>
        <w:pStyle w:val="FootnoteText"/>
      </w:pPr>
      <w:r>
        <w:rPr>
          <w:rStyle w:val="FootnoteReference"/>
        </w:rPr>
        <w:footnoteRef/>
      </w:r>
      <w:r>
        <w:t xml:space="preserve"> </w:t>
      </w:r>
      <w:r>
        <w:t xml:space="preserve">Baar 2017, PMID 28340339.</w:t>
      </w:r>
    </w:p>
  </w:footnote>
  <w:footnote w:id="1908">
    <w:p>
      <w:pPr>
        <w:pStyle w:val="FootnoteText"/>
      </w:pPr>
      <w:r>
        <w:rPr>
          <w:rStyle w:val="FootnoteReference"/>
        </w:rPr>
        <w:footnoteRef/>
      </w:r>
      <w:r>
        <w:t xml:space="preserve"> </w:t>
      </w:r>
      <w:r>
        <w:t xml:space="preserve">Bourgeois 2025, PMID 40593617.</w:t>
      </w:r>
    </w:p>
  </w:footnote>
  <w:footnote w:id="1909">
    <w:p>
      <w:pPr>
        <w:pStyle w:val="FootnoteText"/>
      </w:pPr>
      <w:r>
        <w:rPr>
          <w:rStyle w:val="FootnoteReference"/>
        </w:rPr>
        <w:footnoteRef/>
      </w:r>
      <w:r>
        <w:t xml:space="preserve"> </w:t>
      </w:r>
      <w:r>
        <w:t xml:space="preserve">Justice 2019, PMID 30616998.</w:t>
      </w:r>
    </w:p>
  </w:footnote>
  <w:footnote w:id="1910">
    <w:p>
      <w:pPr>
        <w:pStyle w:val="FootnoteText"/>
      </w:pPr>
      <w:r>
        <w:rPr>
          <w:rStyle w:val="FootnoteReference"/>
        </w:rPr>
        <w:footnoteRef/>
      </w:r>
      <w:r>
        <w:t xml:space="preserve"> </w:t>
      </w:r>
      <w:r>
        <w:t xml:space="preserve">Farr 2024, PMID 38956196.</w:t>
      </w:r>
    </w:p>
  </w:footnote>
  <w:footnote w:id="1913">
    <w:p>
      <w:pPr>
        <w:pStyle w:val="FootnoteText"/>
      </w:pPr>
      <w:r>
        <w:rPr>
          <w:rStyle w:val="FootnoteReference"/>
        </w:rPr>
        <w:footnoteRef/>
      </w:r>
      <w:r>
        <w:t xml:space="preserve"> </w:t>
      </w:r>
      <w:r>
        <w:t xml:space="preserve">Huang 2021, PMID 33996787.</w:t>
      </w:r>
    </w:p>
  </w:footnote>
  <w:footnote w:id="1915">
    <w:p>
      <w:pPr>
        <w:pStyle w:val="FootnoteText"/>
      </w:pPr>
      <w:r>
        <w:rPr>
          <w:rStyle w:val="FootnoteReference"/>
        </w:rPr>
        <w:footnoteRef/>
      </w:r>
      <w:r>
        <w:t xml:space="preserve"> </w:t>
      </w:r>
      <w:r>
        <w:t xml:space="preserve">Baar 2017, PMID 28340339.</w:t>
      </w:r>
    </w:p>
  </w:footnote>
  <w:footnote w:id="1916">
    <w:p>
      <w:pPr>
        <w:pStyle w:val="FootnoteText"/>
      </w:pPr>
      <w:r>
        <w:rPr>
          <w:rStyle w:val="FootnoteReference"/>
        </w:rPr>
        <w:footnoteRef/>
      </w:r>
      <w:r>
        <w:t xml:space="preserve"> </w:t>
      </w:r>
      <w:r>
        <w:t xml:space="preserve">Born 2023, PMID 36515093.</w:t>
      </w:r>
    </w:p>
  </w:footnote>
  <w:footnote w:id="1918">
    <w:p>
      <w:pPr>
        <w:pStyle w:val="FootnoteText"/>
      </w:pPr>
      <w:r>
        <w:rPr>
          <w:rStyle w:val="FootnoteReference"/>
        </w:rPr>
        <w:footnoteRef/>
      </w:r>
      <w:r>
        <w:t xml:space="preserve"> </w:t>
      </w:r>
      <w:r>
        <w:t xml:space="preserve">Born 2023, PMID 36515093.</w:t>
      </w:r>
    </w:p>
  </w:footnote>
  <w:footnote w:id="1919">
    <w:p>
      <w:pPr>
        <w:pStyle w:val="FootnoteText"/>
      </w:pPr>
      <w:r>
        <w:rPr>
          <w:rStyle w:val="FootnoteReference"/>
        </w:rPr>
        <w:footnoteRef/>
      </w:r>
      <w:r>
        <w:t xml:space="preserve"> </w:t>
      </w:r>
      <w:r>
        <w:t xml:space="preserve">Bourgeois 2025, PMID 40593617.</w:t>
      </w:r>
    </w:p>
  </w:footnote>
  <w:footnote w:id="1927">
    <w:p>
      <w:pPr>
        <w:pStyle w:val="FootnoteText"/>
      </w:pPr>
      <w:r>
        <w:rPr>
          <w:rStyle w:val="FootnoteReference"/>
        </w:rPr>
        <w:footnoteRef/>
      </w:r>
      <w:r>
        <w:t xml:space="preserve"> </w:t>
      </w:r>
      <w:r>
        <w:t xml:space="preserve">Allen 2011, PMID 21875351.</w:t>
      </w:r>
    </w:p>
  </w:footnote>
  <w:footnote w:id="1928">
    <w:p>
      <w:pPr>
        <w:pStyle w:val="FootnoteText"/>
      </w:pPr>
      <w:r>
        <w:rPr>
          <w:rStyle w:val="FootnoteReference"/>
        </w:rPr>
        <w:footnoteRef/>
      </w:r>
      <w:r>
        <w:t xml:space="preserve"> </w:t>
      </w:r>
      <w:r>
        <w:t xml:space="preserve">Richie 2015, PMID 24791752.</w:t>
      </w:r>
    </w:p>
  </w:footnote>
  <w:footnote w:id="1929">
    <w:p>
      <w:pPr>
        <w:pStyle w:val="FootnoteText"/>
      </w:pPr>
      <w:r>
        <w:rPr>
          <w:rStyle w:val="FootnoteReference"/>
        </w:rPr>
        <w:footnoteRef/>
      </w:r>
      <w:r>
        <w:t xml:space="preserve"> </w:t>
      </w:r>
      <w:r>
        <w:t xml:space="preserve">Sinha 2018, PMID 28853742.</w:t>
      </w:r>
    </w:p>
  </w:footnote>
  <w:footnote w:id="1931">
    <w:p>
      <w:pPr>
        <w:pStyle w:val="FootnoteText"/>
      </w:pPr>
      <w:r>
        <w:rPr>
          <w:rStyle w:val="FootnoteReference"/>
        </w:rPr>
        <w:footnoteRef/>
      </w:r>
      <w:r>
        <w:t xml:space="preserve"> </w:t>
      </w:r>
      <w:r>
        <w:t xml:space="preserve">Leal 2014, PMID 24619793.</w:t>
      </w:r>
    </w:p>
  </w:footnote>
  <w:footnote w:id="1932">
    <w:p>
      <w:pPr>
        <w:pStyle w:val="FootnoteText"/>
      </w:pPr>
      <w:r>
        <w:rPr>
          <w:rStyle w:val="FootnoteReference"/>
        </w:rPr>
        <w:footnoteRef/>
      </w:r>
      <w:r>
        <w:t xml:space="preserve"> </w:t>
      </w:r>
      <w:r>
        <w:t xml:space="preserve">Hauser 2009, PMID 19230029.</w:t>
      </w:r>
    </w:p>
  </w:footnote>
  <w:footnote w:id="1933">
    <w:p>
      <w:pPr>
        <w:pStyle w:val="FootnoteText"/>
      </w:pPr>
      <w:r>
        <w:rPr>
          <w:rStyle w:val="FootnoteReference"/>
        </w:rPr>
        <w:footnoteRef/>
      </w:r>
      <w:r>
        <w:t xml:space="preserve"> </w:t>
      </w:r>
      <w:r>
        <w:t xml:space="preserve">Mischley 2017, PMID 28436395.</w:t>
      </w:r>
    </w:p>
  </w:footnote>
  <w:footnote w:id="1934">
    <w:p>
      <w:pPr>
        <w:pStyle w:val="FootnoteText"/>
      </w:pPr>
      <w:r>
        <w:rPr>
          <w:rStyle w:val="FootnoteReference"/>
        </w:rPr>
        <w:footnoteRef/>
      </w:r>
      <w:r>
        <w:t xml:space="preserve"> </w:t>
      </w:r>
      <w:r>
        <w:t xml:space="preserve">Bozic 2020, PMID 32960827.</w:t>
      </w:r>
    </w:p>
  </w:footnote>
  <w:footnote w:id="1935">
    <w:p>
      <w:pPr>
        <w:pStyle w:val="FootnoteText"/>
      </w:pPr>
      <w:r>
        <w:rPr>
          <w:rStyle w:val="FootnoteReference"/>
        </w:rPr>
        <w:footnoteRef/>
      </w:r>
      <w:r>
        <w:t xml:space="preserve"> </w:t>
      </w:r>
      <w:r>
        <w:t xml:space="preserve">Søndergård 2021, PMID 33740389.</w:t>
      </w:r>
    </w:p>
  </w:footnote>
  <w:footnote w:id="1936">
    <w:p>
      <w:pPr>
        <w:pStyle w:val="FootnoteText"/>
      </w:pPr>
      <w:r>
        <w:rPr>
          <w:rStyle w:val="FootnoteReference"/>
        </w:rPr>
        <w:footnoteRef/>
      </w:r>
      <w:r>
        <w:t xml:space="preserve"> </w:t>
      </w:r>
      <w:r>
        <w:t xml:space="preserve">Honda 2017, PMID 28789631.</w:t>
      </w:r>
    </w:p>
  </w:footnote>
  <w:footnote w:id="1937">
    <w:p>
      <w:pPr>
        <w:pStyle w:val="FootnoteText"/>
      </w:pPr>
      <w:r>
        <w:rPr>
          <w:rStyle w:val="FootnoteReference"/>
        </w:rPr>
        <w:footnoteRef/>
      </w:r>
      <w:r>
        <w:t xml:space="preserve"> </w:t>
      </w:r>
      <w:r>
        <w:t xml:space="preserve">Arrivi 2023, PMID 36083043.</w:t>
      </w:r>
    </w:p>
  </w:footnote>
  <w:footnote w:id="1939">
    <w:p>
      <w:pPr>
        <w:pStyle w:val="FootnoteText"/>
      </w:pPr>
      <w:r>
        <w:rPr>
          <w:rStyle w:val="FootnoteReference"/>
        </w:rPr>
        <w:footnoteRef/>
      </w:r>
      <w:r>
        <w:t xml:space="preserve"> </w:t>
      </w:r>
      <w:r>
        <w:t xml:space="preserve">Arjinpathana 2012, PMID 20524875.</w:t>
      </w:r>
    </w:p>
  </w:footnote>
  <w:footnote w:id="1940">
    <w:p>
      <w:pPr>
        <w:pStyle w:val="FootnoteText"/>
      </w:pPr>
      <w:r>
        <w:rPr>
          <w:rStyle w:val="FootnoteReference"/>
        </w:rPr>
        <w:footnoteRef/>
      </w:r>
      <w:r>
        <w:t xml:space="preserve"> </w:t>
      </w:r>
      <w:r>
        <w:t xml:space="preserve">Dilokthornsakul 2019, PMID 30895708.</w:t>
      </w:r>
    </w:p>
  </w:footnote>
  <w:footnote w:id="1941">
    <w:p>
      <w:pPr>
        <w:pStyle w:val="FootnoteText"/>
      </w:pPr>
      <w:r>
        <w:rPr>
          <w:rStyle w:val="FootnoteReference"/>
        </w:rPr>
        <w:footnoteRef/>
      </w:r>
      <w:r>
        <w:t xml:space="preserve"> </w:t>
      </w:r>
      <w:r>
        <w:t xml:space="preserve">Sarkar 2025, PMID 39444151.</w:t>
      </w:r>
    </w:p>
  </w:footnote>
  <w:footnote w:id="1942">
    <w:p>
      <w:pPr>
        <w:pStyle w:val="FootnoteText"/>
      </w:pPr>
      <w:r>
        <w:rPr>
          <w:rStyle w:val="FootnoteReference"/>
        </w:rPr>
        <w:footnoteRef/>
      </w:r>
      <w:r>
        <w:t xml:space="preserve"> </w:t>
      </w:r>
      <w:r>
        <w:t xml:space="preserve">Sarkar 2025, PMID 39444151.</w:t>
      </w:r>
    </w:p>
  </w:footnote>
  <w:footnote w:id="1943">
    <w:p>
      <w:pPr>
        <w:pStyle w:val="FootnoteText"/>
      </w:pPr>
      <w:r>
        <w:rPr>
          <w:rStyle w:val="FootnoteReference"/>
        </w:rPr>
        <w:footnoteRef/>
      </w:r>
      <w:r>
        <w:t xml:space="preserve"> </w:t>
      </w:r>
      <w:r>
        <w:t xml:space="preserve">Davids 2016, PMID 27499402.</w:t>
      </w:r>
    </w:p>
  </w:footnote>
  <w:footnote w:id="1944">
    <w:p>
      <w:pPr>
        <w:pStyle w:val="FootnoteText"/>
      </w:pPr>
      <w:r>
        <w:rPr>
          <w:rStyle w:val="FootnoteReference"/>
        </w:rPr>
        <w:footnoteRef/>
      </w:r>
      <w:r>
        <w:t xml:space="preserve"> </w:t>
      </w:r>
      <w:r>
        <w:t xml:space="preserve">Dadzie 2016, PMID 27581922.</w:t>
      </w:r>
    </w:p>
  </w:footnote>
  <w:footnote w:id="1948">
    <w:p>
      <w:pPr>
        <w:pStyle w:val="FootnoteText"/>
      </w:pPr>
      <w:r>
        <w:rPr>
          <w:rStyle w:val="FootnoteReference"/>
        </w:rPr>
        <w:footnoteRef/>
      </w:r>
      <w:r>
        <w:t xml:space="preserve"> </w:t>
      </w:r>
      <w:r>
        <w:t xml:space="preserve">Mischley 2017, PMID 28436395.</w:t>
      </w:r>
    </w:p>
  </w:footnote>
  <w:footnote w:id="1949">
    <w:p>
      <w:pPr>
        <w:pStyle w:val="FootnoteText"/>
      </w:pPr>
      <w:r>
        <w:rPr>
          <w:rStyle w:val="FootnoteReference"/>
        </w:rPr>
        <w:footnoteRef/>
      </w:r>
      <w:r>
        <w:t xml:space="preserve"> </w:t>
      </w:r>
      <w:r>
        <w:t xml:space="preserve">Davids 2016, PMID 27499402.</w:t>
      </w:r>
    </w:p>
  </w:footnote>
  <w:footnote w:id="1950">
    <w:p>
      <w:pPr>
        <w:pStyle w:val="FootnoteText"/>
      </w:pPr>
      <w:r>
        <w:rPr>
          <w:rStyle w:val="FootnoteReference"/>
        </w:rPr>
        <w:footnoteRef/>
      </w:r>
      <w:r>
        <w:t xml:space="preserve"> </w:t>
      </w:r>
      <w:r>
        <w:t xml:space="preserve">Leal 2014, PMID 24619793.</w:t>
      </w:r>
    </w:p>
  </w:footnote>
  <w:footnote w:id="1953">
    <w:p>
      <w:pPr>
        <w:pStyle w:val="FootnoteText"/>
      </w:pPr>
      <w:r>
        <w:rPr>
          <w:rStyle w:val="FootnoteReference"/>
        </w:rPr>
        <w:footnoteRef/>
      </w:r>
      <w:r>
        <w:t xml:space="preserve"> </w:t>
      </w:r>
      <w:r>
        <w:t xml:space="preserve">NCT07448415.</w:t>
      </w:r>
    </w:p>
  </w:footnote>
  <w:footnote w:id="1958">
    <w:p>
      <w:pPr>
        <w:pStyle w:val="FootnoteText"/>
      </w:pPr>
      <w:r>
        <w:rPr>
          <w:rStyle w:val="FootnoteReference"/>
        </w:rPr>
        <w:footnoteRef/>
      </w:r>
      <w:r>
        <w:t xml:space="preserve"> </w:t>
      </w:r>
      <w:r>
        <w:t xml:space="preserve">Hadley 2006, PMID 16412534.</w:t>
      </w:r>
    </w:p>
  </w:footnote>
  <w:footnote w:id="1959">
    <w:p>
      <w:pPr>
        <w:pStyle w:val="FootnoteText"/>
      </w:pPr>
      <w:r>
        <w:rPr>
          <w:rStyle w:val="FootnoteReference"/>
        </w:rPr>
        <w:footnoteRef/>
      </w:r>
      <w:r>
        <w:t xml:space="preserve"> </w:t>
      </w:r>
      <w:r>
        <w:t xml:space="preserve">Hadley 2005, PMID 15996790.</w:t>
      </w:r>
    </w:p>
  </w:footnote>
  <w:footnote w:id="1964">
    <w:p>
      <w:pPr>
        <w:pStyle w:val="FootnoteText"/>
      </w:pPr>
      <w:r>
        <w:rPr>
          <w:rStyle w:val="FootnoteReference"/>
        </w:rPr>
        <w:footnoteRef/>
      </w:r>
      <w:r>
        <w:t xml:space="preserve"> </w:t>
      </w:r>
      <w:r>
        <w:t xml:space="preserve">Hadley 2006, PMID 16412534.</w:t>
      </w:r>
    </w:p>
  </w:footnote>
  <w:footnote w:id="1965">
    <w:p>
      <w:pPr>
        <w:pStyle w:val="FootnoteText"/>
      </w:pPr>
      <w:r>
        <w:rPr>
          <w:rStyle w:val="FootnoteReference"/>
        </w:rPr>
        <w:footnoteRef/>
      </w:r>
      <w:r>
        <w:t xml:space="preserve"> </w:t>
      </w:r>
      <w:r>
        <w:t xml:space="preserve">Dhillon 2019, PMID 31429064.</w:t>
      </w:r>
    </w:p>
  </w:footnote>
  <w:footnote w:id="1967">
    <w:p>
      <w:pPr>
        <w:pStyle w:val="FootnoteText"/>
      </w:pPr>
      <w:r>
        <w:rPr>
          <w:rStyle w:val="FootnoteReference"/>
        </w:rPr>
        <w:footnoteRef/>
      </w:r>
      <w:r>
        <w:t xml:space="preserve"> </w:t>
      </w:r>
      <w:r>
        <w:t xml:space="preserve">Hadley 2005, PMID 15996790.</w:t>
      </w:r>
    </w:p>
  </w:footnote>
  <w:footnote w:id="1968">
    <w:p>
      <w:pPr>
        <w:pStyle w:val="FootnoteText"/>
      </w:pPr>
      <w:r>
        <w:rPr>
          <w:rStyle w:val="FootnoteReference"/>
        </w:rPr>
        <w:footnoteRef/>
      </w:r>
      <w:r>
        <w:t xml:space="preserve"> </w:t>
      </w:r>
      <w:r>
        <w:t xml:space="preserve">Pfaus 2022, PMID 33455598.</w:t>
      </w:r>
    </w:p>
  </w:footnote>
  <w:footnote w:id="1969">
    <w:p>
      <w:pPr>
        <w:pStyle w:val="FootnoteText"/>
      </w:pPr>
      <w:r>
        <w:rPr>
          <w:rStyle w:val="FootnoteReference"/>
        </w:rPr>
        <w:footnoteRef/>
      </w:r>
      <w:r>
        <w:t xml:space="preserve"> </w:t>
      </w:r>
      <w:r>
        <w:t xml:space="preserve">Pfaus 2022, PMID 33455598.</w:t>
      </w:r>
    </w:p>
  </w:footnote>
  <w:footnote w:id="1970">
    <w:p>
      <w:pPr>
        <w:pStyle w:val="FootnoteText"/>
      </w:pPr>
      <w:r>
        <w:rPr>
          <w:rStyle w:val="FootnoteReference"/>
        </w:rPr>
        <w:footnoteRef/>
      </w:r>
      <w:r>
        <w:t xml:space="preserve"> </w:t>
      </w:r>
      <w:r>
        <w:t xml:space="preserve">Thurston 2022, PMID 36189794.</w:t>
      </w:r>
    </w:p>
  </w:footnote>
  <w:footnote w:id="1972">
    <w:p>
      <w:pPr>
        <w:pStyle w:val="FootnoteText"/>
      </w:pPr>
      <w:r>
        <w:rPr>
          <w:rStyle w:val="FootnoteReference"/>
        </w:rPr>
        <w:footnoteRef/>
      </w:r>
      <w:r>
        <w:t xml:space="preserve"> </w:t>
      </w:r>
      <w:r>
        <w:t xml:space="preserve">Diamond 2004, PMID 14963471.</w:t>
      </w:r>
    </w:p>
  </w:footnote>
  <w:footnote w:id="1973">
    <w:p>
      <w:pPr>
        <w:pStyle w:val="FootnoteText"/>
      </w:pPr>
      <w:r>
        <w:rPr>
          <w:rStyle w:val="FootnoteReference"/>
        </w:rPr>
        <w:footnoteRef/>
      </w:r>
      <w:r>
        <w:t xml:space="preserve"> </w:t>
      </w:r>
      <w:r>
        <w:t xml:space="preserve">Rosen 2004, PMID 14999221.</w:t>
      </w:r>
    </w:p>
  </w:footnote>
  <w:footnote w:id="1974">
    <w:p>
      <w:pPr>
        <w:pStyle w:val="FootnoteText"/>
      </w:pPr>
      <w:r>
        <w:rPr>
          <w:rStyle w:val="FootnoteReference"/>
        </w:rPr>
        <w:footnoteRef/>
      </w:r>
      <w:r>
        <w:t xml:space="preserve"> </w:t>
      </w:r>
      <w:r>
        <w:t xml:space="preserve">Diamond 2005, PMID 15833522.</w:t>
      </w:r>
    </w:p>
  </w:footnote>
  <w:footnote w:id="1975">
    <w:p>
      <w:pPr>
        <w:pStyle w:val="FootnoteText"/>
      </w:pPr>
      <w:r>
        <w:rPr>
          <w:rStyle w:val="FootnoteReference"/>
        </w:rPr>
        <w:footnoteRef/>
      </w:r>
      <w:r>
        <w:t xml:space="preserve"> </w:t>
      </w:r>
      <w:r>
        <w:t xml:space="preserve">Safarinejad 2008, PMID 18206919.</w:t>
      </w:r>
    </w:p>
  </w:footnote>
  <w:footnote w:id="1976">
    <w:p>
      <w:pPr>
        <w:pStyle w:val="FootnoteText"/>
      </w:pPr>
      <w:r>
        <w:rPr>
          <w:rStyle w:val="FootnoteReference"/>
        </w:rPr>
        <w:footnoteRef/>
      </w:r>
      <w:r>
        <w:t xml:space="preserve"> </w:t>
      </w:r>
      <w:r>
        <w:t xml:space="preserve">Safarinejad 2008, PMID 18179455.</w:t>
      </w:r>
    </w:p>
  </w:footnote>
  <w:footnote w:id="1978">
    <w:p>
      <w:pPr>
        <w:pStyle w:val="FootnoteText"/>
      </w:pPr>
      <w:r>
        <w:rPr>
          <w:rStyle w:val="FootnoteReference"/>
        </w:rPr>
        <w:footnoteRef/>
      </w:r>
      <w:r>
        <w:t xml:space="preserve"> </w:t>
      </w:r>
      <w:r>
        <w:t xml:space="preserve">Diamond 2006, PMID 16839319.</w:t>
      </w:r>
    </w:p>
  </w:footnote>
  <w:footnote w:id="1979">
    <w:p>
      <w:pPr>
        <w:pStyle w:val="FootnoteText"/>
      </w:pPr>
      <w:r>
        <w:rPr>
          <w:rStyle w:val="FootnoteReference"/>
        </w:rPr>
        <w:footnoteRef/>
      </w:r>
      <w:r>
        <w:t xml:space="preserve"> </w:t>
      </w:r>
      <w:r>
        <w:t xml:space="preserve">Clayton 2016, PMID 27181790; NCT01382719.</w:t>
      </w:r>
    </w:p>
  </w:footnote>
  <w:footnote w:id="1980">
    <w:p>
      <w:pPr>
        <w:pStyle w:val="FootnoteText"/>
      </w:pPr>
      <w:r>
        <w:rPr>
          <w:rStyle w:val="FootnoteReference"/>
        </w:rPr>
        <w:footnoteRef/>
      </w:r>
      <w:r>
        <w:t xml:space="preserve"> </w:t>
      </w:r>
      <w:r>
        <w:t xml:space="preserve">Althof 2019, PMID 31277966.</w:t>
      </w:r>
    </w:p>
  </w:footnote>
  <w:footnote w:id="1982">
    <w:p>
      <w:pPr>
        <w:pStyle w:val="FootnoteText"/>
      </w:pPr>
      <w:r>
        <w:rPr>
          <w:rStyle w:val="FootnoteReference"/>
        </w:rPr>
        <w:footnoteRef/>
      </w:r>
      <w:r>
        <w:t xml:space="preserve"> </w:t>
      </w:r>
      <w:r>
        <w:t xml:space="preserve">NCT02333071, NCT02338960.</w:t>
      </w:r>
    </w:p>
  </w:footnote>
  <w:footnote w:id="1983">
    <w:p>
      <w:pPr>
        <w:pStyle w:val="FootnoteText"/>
      </w:pPr>
      <w:r>
        <w:rPr>
          <w:rStyle w:val="FootnoteReference"/>
        </w:rPr>
        <w:footnoteRef/>
      </w:r>
      <w:r>
        <w:t xml:space="preserve"> </w:t>
      </w:r>
      <w:r>
        <w:t xml:space="preserve">Kingsberg 2019, PMID 31599840.</w:t>
      </w:r>
    </w:p>
  </w:footnote>
  <w:footnote w:id="1984">
    <w:p>
      <w:pPr>
        <w:pStyle w:val="FootnoteText"/>
      </w:pPr>
      <w:r>
        <w:rPr>
          <w:rStyle w:val="FootnoteReference"/>
        </w:rPr>
        <w:footnoteRef/>
      </w:r>
      <w:r>
        <w:t xml:space="preserve"> </w:t>
      </w:r>
      <w:r>
        <w:t xml:space="preserve">Koochaki 2021, PMID 33538638.</w:t>
      </w:r>
    </w:p>
  </w:footnote>
  <w:footnote w:id="1986">
    <w:p>
      <w:pPr>
        <w:pStyle w:val="FootnoteText"/>
      </w:pPr>
      <w:r>
        <w:rPr>
          <w:rStyle w:val="FootnoteReference"/>
        </w:rPr>
        <w:footnoteRef/>
      </w:r>
      <w:r>
        <w:t xml:space="preserve"> </w:t>
      </w:r>
      <w:r>
        <w:t xml:space="preserve">Spielmans 2021, PMID 33678061.</w:t>
      </w:r>
    </w:p>
  </w:footnote>
  <w:footnote w:id="1987">
    <w:p>
      <w:pPr>
        <w:pStyle w:val="FootnoteText"/>
      </w:pPr>
      <w:r>
        <w:rPr>
          <w:rStyle w:val="FootnoteReference"/>
        </w:rPr>
        <w:footnoteRef/>
      </w:r>
      <w:r>
        <w:t xml:space="preserve"> </w:t>
      </w:r>
      <w:r>
        <w:t xml:space="preserve">Clayton 2022, PMID 35147466.</w:t>
      </w:r>
    </w:p>
  </w:footnote>
  <w:footnote w:id="1989">
    <w:p>
      <w:pPr>
        <w:pStyle w:val="FootnoteText"/>
      </w:pPr>
      <w:r>
        <w:rPr>
          <w:rStyle w:val="FootnoteReference"/>
        </w:rPr>
        <w:footnoteRef/>
      </w:r>
      <w:r>
        <w:t xml:space="preserve"> </w:t>
      </w:r>
      <w:r>
        <w:t xml:space="preserve">Weinberger 2018, PMID 29995725.</w:t>
      </w:r>
    </w:p>
  </w:footnote>
  <w:footnote w:id="1990">
    <w:p>
      <w:pPr>
        <w:pStyle w:val="FootnoteText"/>
      </w:pPr>
      <w:r>
        <w:rPr>
          <w:rStyle w:val="FootnoteReference"/>
        </w:rPr>
        <w:footnoteRef/>
      </w:r>
      <w:r>
        <w:t xml:space="preserve"> </w:t>
      </w:r>
      <w:r>
        <w:t xml:space="preserve">Toledo 2026, PMID 40543759.</w:t>
      </w:r>
    </w:p>
  </w:footnote>
  <w:footnote w:id="1991">
    <w:p>
      <w:pPr>
        <w:pStyle w:val="FootnoteText"/>
      </w:pPr>
      <w:r>
        <w:rPr>
          <w:rStyle w:val="FootnoteReference"/>
        </w:rPr>
        <w:footnoteRef/>
      </w:r>
      <w:r>
        <w:t xml:space="preserve"> </w:t>
      </w:r>
      <w:r>
        <w:t xml:space="preserve">Ashour 2026, PMID 42254382.</w:t>
      </w:r>
    </w:p>
  </w:footnote>
  <w:footnote w:id="1993">
    <w:p>
      <w:pPr>
        <w:pStyle w:val="FootnoteText"/>
      </w:pPr>
      <w:r>
        <w:rPr>
          <w:rStyle w:val="FootnoteReference"/>
        </w:rPr>
        <w:footnoteRef/>
      </w:r>
      <w:r>
        <w:t xml:space="preserve"> </w:t>
      </w:r>
      <w:r>
        <w:t xml:space="preserve">Clayton 2017, PMID 28189361.</w:t>
      </w:r>
    </w:p>
  </w:footnote>
  <w:footnote w:id="1994">
    <w:p>
      <w:pPr>
        <w:pStyle w:val="FootnoteText"/>
      </w:pPr>
      <w:r>
        <w:rPr>
          <w:rStyle w:val="FootnoteReference"/>
        </w:rPr>
        <w:footnoteRef/>
      </w:r>
      <w:r>
        <w:t xml:space="preserve"> </w:t>
      </w:r>
      <w:r>
        <w:t xml:space="preserve">Spana 2022, PMID 35170192.</w:t>
      </w:r>
    </w:p>
  </w:footnote>
  <w:footnote w:id="1995">
    <w:p>
      <w:pPr>
        <w:pStyle w:val="FootnoteText"/>
      </w:pPr>
      <w:r>
        <w:rPr>
          <w:rStyle w:val="FootnoteReference"/>
        </w:rPr>
        <w:footnoteRef/>
      </w:r>
      <w:r>
        <w:t xml:space="preserve"> </w:t>
      </w:r>
      <w:r>
        <w:t xml:space="preserve">Thurston 2022, PMID 36189794; NCT04179734.</w:t>
      </w:r>
    </w:p>
  </w:footnote>
  <w:footnote w:id="1998">
    <w:p>
      <w:pPr>
        <w:pStyle w:val="FootnoteText"/>
      </w:pPr>
      <w:r>
        <w:rPr>
          <w:rStyle w:val="FootnoteReference"/>
        </w:rPr>
        <w:footnoteRef/>
      </w:r>
      <w:r>
        <w:t xml:space="preserve"> </w:t>
      </w:r>
      <w:r>
        <w:t xml:space="preserve">Pfaus 2022, PMID 33455598.</w:t>
      </w:r>
    </w:p>
  </w:footnote>
  <w:footnote w:id="1999">
    <w:p>
      <w:pPr>
        <w:pStyle w:val="FootnoteText"/>
      </w:pPr>
      <w:r>
        <w:rPr>
          <w:rStyle w:val="FootnoteReference"/>
        </w:rPr>
        <w:footnoteRef/>
      </w:r>
      <w:r>
        <w:t xml:space="preserve"> </w:t>
      </w:r>
      <w:r>
        <w:t xml:space="preserve">Borland 2025, PMID 39793696.</w:t>
      </w:r>
    </w:p>
  </w:footnote>
  <w:footnote w:id="2000">
    <w:p>
      <w:pPr>
        <w:pStyle w:val="FootnoteText"/>
      </w:pPr>
      <w:r>
        <w:rPr>
          <w:rStyle w:val="FootnoteReference"/>
        </w:rPr>
        <w:footnoteRef/>
      </w:r>
      <w:r>
        <w:t xml:space="preserve"> </w:t>
      </w:r>
      <w:r>
        <w:t xml:space="preserve">Suzuki 2024, PMID 39197897.</w:t>
      </w:r>
    </w:p>
  </w:footnote>
  <w:footnote w:id="2002">
    <w:p>
      <w:pPr>
        <w:pStyle w:val="FootnoteText"/>
      </w:pPr>
      <w:r>
        <w:rPr>
          <w:rStyle w:val="FootnoteReference"/>
        </w:rPr>
        <w:footnoteRef/>
      </w:r>
      <w:r>
        <w:t xml:space="preserve"> </w:t>
      </w:r>
      <w:r>
        <w:t xml:space="preserve">Clayton 2022, PMID 35147466.</w:t>
      </w:r>
    </w:p>
  </w:footnote>
  <w:footnote w:id="2003">
    <w:p>
      <w:pPr>
        <w:pStyle w:val="FootnoteText"/>
      </w:pPr>
      <w:r>
        <w:rPr>
          <w:rStyle w:val="FootnoteReference"/>
        </w:rPr>
        <w:footnoteRef/>
      </w:r>
      <w:r>
        <w:t xml:space="preserve"> </w:t>
      </w:r>
      <w:r>
        <w:t xml:space="preserve">NCT03973047.</w:t>
      </w:r>
    </w:p>
  </w:footnote>
  <w:footnote w:id="2004">
    <w:p>
      <w:pPr>
        <w:pStyle w:val="FootnoteText"/>
      </w:pPr>
      <w:r>
        <w:rPr>
          <w:rStyle w:val="FootnoteReference"/>
        </w:rPr>
        <w:footnoteRef/>
      </w:r>
      <w:r>
        <w:t xml:space="preserve"> </w:t>
      </w:r>
      <w:r>
        <w:t xml:space="preserve">White 2017, PMID 27977473.</w:t>
      </w:r>
    </w:p>
  </w:footnote>
  <w:footnote w:id="2005">
    <w:p>
      <w:pPr>
        <w:pStyle w:val="FootnoteText"/>
      </w:pPr>
      <w:r>
        <w:rPr>
          <w:rStyle w:val="FootnoteReference"/>
        </w:rPr>
        <w:footnoteRef/>
      </w:r>
      <w:r>
        <w:t xml:space="preserve"> </w:t>
      </w:r>
      <w:r>
        <w:t xml:space="preserve">Clayton 2022, PMID 35147466.</w:t>
      </w:r>
    </w:p>
  </w:footnote>
  <w:footnote w:id="2006">
    <w:p>
      <w:pPr>
        <w:pStyle w:val="FootnoteText"/>
      </w:pPr>
      <w:r>
        <w:rPr>
          <w:rStyle w:val="FootnoteReference"/>
        </w:rPr>
        <w:footnoteRef/>
      </w:r>
      <w:r>
        <w:t xml:space="preserve"> </w:t>
      </w:r>
      <w:r>
        <w:t xml:space="preserve">Clayton 2022, PMID 35147466.</w:t>
      </w:r>
    </w:p>
  </w:footnote>
  <w:footnote w:id="2008">
    <w:p>
      <w:pPr>
        <w:pStyle w:val="FootnoteText"/>
      </w:pPr>
      <w:r>
        <w:rPr>
          <w:rStyle w:val="FootnoteReference"/>
        </w:rPr>
        <w:footnoteRef/>
      </w:r>
      <w:r>
        <w:t xml:space="preserve"> </w:t>
      </w:r>
      <w:r>
        <w:t xml:space="preserve">NCT06867835.</w:t>
      </w:r>
    </w:p>
  </w:footnote>
  <w:footnote w:id="2010">
    <w:p>
      <w:pPr>
        <w:pStyle w:val="FootnoteText"/>
      </w:pPr>
      <w:r>
        <w:rPr>
          <w:rStyle w:val="FootnoteReference"/>
        </w:rPr>
        <w:footnoteRef/>
      </w:r>
      <w:r>
        <w:t xml:space="preserve"> </w:t>
      </w:r>
      <w:r>
        <w:t xml:space="preserve">Mestria 2021, PMID 33245851.</w:t>
      </w:r>
    </w:p>
  </w:footnote>
  <w:footnote w:id="2013">
    <w:p>
      <w:pPr>
        <w:pStyle w:val="FootnoteText"/>
      </w:pPr>
      <w:r>
        <w:rPr>
          <w:rStyle w:val="FootnoteReference"/>
        </w:rPr>
        <w:footnoteRef/>
      </w:r>
      <w:r>
        <w:t xml:space="preserve"> </w:t>
      </w:r>
      <w:r>
        <w:t xml:space="preserve">NCT04943068.</w:t>
      </w:r>
    </w:p>
  </w:footnote>
  <w:footnote w:id="2015">
    <w:p>
      <w:pPr>
        <w:pStyle w:val="FootnoteText"/>
      </w:pPr>
      <w:r>
        <w:rPr>
          <w:rStyle w:val="FootnoteReference"/>
        </w:rPr>
        <w:footnoteRef/>
      </w:r>
      <w:r>
        <w:t xml:space="preserve"> </w:t>
      </w:r>
      <w:r>
        <w:t xml:space="preserve">NCT06565611.</w:t>
      </w:r>
    </w:p>
  </w:footnote>
  <w:footnote w:id="2016">
    <w:p>
      <w:pPr>
        <w:pStyle w:val="FootnoteText"/>
      </w:pPr>
      <w:r>
        <w:rPr>
          <w:rStyle w:val="FootnoteReference"/>
        </w:rPr>
        <w:footnoteRef/>
      </w:r>
      <w:r>
        <w:t xml:space="preserve"> </w:t>
      </w:r>
      <w:r>
        <w:t xml:space="preserve">NCT05709444.</w:t>
      </w:r>
    </w:p>
  </w:footnote>
  <w:footnote w:id="2017">
    <w:p>
      <w:pPr>
        <w:pStyle w:val="FootnoteText"/>
      </w:pPr>
      <w:r>
        <w:rPr>
          <w:rStyle w:val="FootnoteReference"/>
        </w:rPr>
        <w:footnoteRef/>
      </w:r>
      <w:r>
        <w:t xml:space="preserve"> </w:t>
      </w:r>
      <w:r>
        <w:t xml:space="preserve">NCT06867835.</w:t>
      </w:r>
    </w:p>
  </w:footnote>
  <w:footnote w:id="2021">
    <w:p>
      <w:pPr>
        <w:pStyle w:val="FootnoteText"/>
      </w:pPr>
      <w:r>
        <w:rPr>
          <w:rStyle w:val="FootnoteReference"/>
        </w:rPr>
        <w:footnoteRef/>
      </w:r>
      <w:r>
        <w:t xml:space="preserve"> </w:t>
      </w:r>
      <w:r>
        <w:t xml:space="preserve">Dorr 1996, PMID 8637402.</w:t>
      </w:r>
    </w:p>
  </w:footnote>
  <w:footnote w:id="2022">
    <w:p>
      <w:pPr>
        <w:pStyle w:val="FootnoteText"/>
      </w:pPr>
      <w:r>
        <w:rPr>
          <w:rStyle w:val="FootnoteReference"/>
        </w:rPr>
        <w:footnoteRef/>
      </w:r>
      <w:r>
        <w:t xml:space="preserve"> </w:t>
      </w:r>
      <w:r>
        <w:t xml:space="preserve">Hadley 2006, PMID 16412534.</w:t>
      </w:r>
    </w:p>
  </w:footnote>
  <w:footnote w:id="2024">
    <w:p>
      <w:pPr>
        <w:pStyle w:val="FootnoteText"/>
      </w:pPr>
      <w:r>
        <w:rPr>
          <w:rStyle w:val="FootnoteReference"/>
        </w:rPr>
        <w:footnoteRef/>
      </w:r>
      <w:r>
        <w:t xml:space="preserve"> </w:t>
      </w:r>
      <w:r>
        <w:t xml:space="preserve">Langan 2011, PMID 21547334.</w:t>
      </w:r>
    </w:p>
  </w:footnote>
  <w:footnote w:id="2026">
    <w:p>
      <w:pPr>
        <w:pStyle w:val="FootnoteText"/>
      </w:pPr>
      <w:r>
        <w:rPr>
          <w:rStyle w:val="FootnoteReference"/>
        </w:rPr>
        <w:footnoteRef/>
      </w:r>
      <w:r>
        <w:t xml:space="preserve"> </w:t>
      </w:r>
      <w:r>
        <w:t xml:space="preserve">Dorr 1996, PMID 8637402.</w:t>
      </w:r>
    </w:p>
  </w:footnote>
  <w:footnote w:id="2027">
    <w:p>
      <w:pPr>
        <w:pStyle w:val="FootnoteText"/>
      </w:pPr>
      <w:r>
        <w:rPr>
          <w:rStyle w:val="FootnoteReference"/>
        </w:rPr>
        <w:footnoteRef/>
      </w:r>
      <w:r>
        <w:t xml:space="preserve"> </w:t>
      </w:r>
      <w:r>
        <w:t xml:space="preserve">Wessells 1998, PMID 9679884; Wessells 2000, PMID 11018622.</w:t>
      </w:r>
    </w:p>
  </w:footnote>
  <w:footnote w:id="2028">
    <w:p>
      <w:pPr>
        <w:pStyle w:val="FootnoteText"/>
      </w:pPr>
      <w:r>
        <w:rPr>
          <w:rStyle w:val="FootnoteReference"/>
        </w:rPr>
        <w:footnoteRef/>
      </w:r>
      <w:r>
        <w:t xml:space="preserve"> </w:t>
      </w:r>
      <w:r>
        <w:t xml:space="preserve">Wessells 2000, PMID 11035391.</w:t>
      </w:r>
    </w:p>
  </w:footnote>
  <w:footnote w:id="2030">
    <w:p>
      <w:pPr>
        <w:pStyle w:val="FootnoteText"/>
      </w:pPr>
      <w:r>
        <w:rPr>
          <w:rStyle w:val="FootnoteReference"/>
        </w:rPr>
        <w:footnoteRef/>
      </w:r>
      <w:r>
        <w:t xml:space="preserve"> </w:t>
      </w:r>
      <w:r>
        <w:t xml:space="preserve">Dorr 2000, PMID 11045725.</w:t>
      </w:r>
    </w:p>
  </w:footnote>
  <w:footnote w:id="2031">
    <w:p>
      <w:pPr>
        <w:pStyle w:val="FootnoteText"/>
      </w:pPr>
      <w:r>
        <w:rPr>
          <w:rStyle w:val="FootnoteReference"/>
        </w:rPr>
        <w:footnoteRef/>
      </w:r>
      <w:r>
        <w:t xml:space="preserve"> </w:t>
      </w:r>
      <w:r>
        <w:t xml:space="preserve">Dorr 2004, PMID 15262693.</w:t>
      </w:r>
    </w:p>
  </w:footnote>
  <w:footnote w:id="2033">
    <w:p>
      <w:pPr>
        <w:pStyle w:val="FootnoteText"/>
      </w:pPr>
      <w:r>
        <w:rPr>
          <w:rStyle w:val="FootnoteReference"/>
        </w:rPr>
        <w:footnoteRef/>
      </w:r>
      <w:r>
        <w:t xml:space="preserve"> </w:t>
      </w:r>
      <w:r>
        <w:t xml:space="preserve">Evans-Brown 2009, PMID 19224885.</w:t>
      </w:r>
    </w:p>
  </w:footnote>
  <w:footnote w:id="2034">
    <w:p>
      <w:pPr>
        <w:pStyle w:val="FootnoteText"/>
      </w:pPr>
      <w:r>
        <w:rPr>
          <w:rStyle w:val="FootnoteReference"/>
        </w:rPr>
        <w:footnoteRef/>
      </w:r>
      <w:r>
        <w:t xml:space="preserve"> </w:t>
      </w:r>
      <w:r>
        <w:t xml:space="preserve">Brennan 2017, PMID 26806443.</w:t>
      </w:r>
    </w:p>
  </w:footnote>
  <w:footnote w:id="2035">
    <w:p>
      <w:pPr>
        <w:pStyle w:val="FootnoteText"/>
      </w:pPr>
      <w:r>
        <w:rPr>
          <w:rStyle w:val="FootnoteReference"/>
        </w:rPr>
        <w:footnoteRef/>
      </w:r>
      <w:r>
        <w:t xml:space="preserve"> </w:t>
      </w:r>
      <w:r>
        <w:t xml:space="preserve">Gilhooley 2021, PMID 34464955.</w:t>
      </w:r>
    </w:p>
  </w:footnote>
  <w:footnote w:id="2036">
    <w:p>
      <w:pPr>
        <w:pStyle w:val="FootnoteText"/>
      </w:pPr>
      <w:r>
        <w:rPr>
          <w:rStyle w:val="FootnoteReference"/>
        </w:rPr>
        <w:footnoteRef/>
      </w:r>
      <w:r>
        <w:t xml:space="preserve"> </w:t>
      </w:r>
      <w:r>
        <w:t xml:space="preserve">Callaghan 2018, PMID 30142729.</w:t>
      </w:r>
    </w:p>
  </w:footnote>
  <w:footnote w:id="2037">
    <w:p>
      <w:pPr>
        <w:pStyle w:val="FootnoteText"/>
      </w:pPr>
      <w:r>
        <w:rPr>
          <w:rStyle w:val="FootnoteReference"/>
        </w:rPr>
        <w:footnoteRef/>
      </w:r>
      <w:r>
        <w:t xml:space="preserve"> </w:t>
      </w:r>
      <w:r>
        <w:t xml:space="preserve">Orr 2025, PMID 38808957; Herlihy 2025, PMID 39148422; Sidhu 2026, PMID 41559011.</w:t>
      </w:r>
    </w:p>
  </w:footnote>
  <w:footnote w:id="2040">
    <w:p>
      <w:pPr>
        <w:pStyle w:val="FootnoteText"/>
      </w:pPr>
      <w:r>
        <w:rPr>
          <w:rStyle w:val="FootnoteReference"/>
        </w:rPr>
        <w:footnoteRef/>
      </w:r>
      <w:r>
        <w:t xml:space="preserve"> </w:t>
      </w:r>
      <w:r>
        <w:t xml:space="preserve">Strader 2007, PMID 17567964.</w:t>
      </w:r>
    </w:p>
  </w:footnote>
  <w:footnote w:id="2041">
    <w:p>
      <w:pPr>
        <w:pStyle w:val="FootnoteText"/>
      </w:pPr>
      <w:r>
        <w:rPr>
          <w:rStyle w:val="FootnoteReference"/>
        </w:rPr>
        <w:footnoteRef/>
      </w:r>
      <w:r>
        <w:t xml:space="preserve"> </w:t>
      </w:r>
      <w:r>
        <w:t xml:space="preserve">Jain 2018, PMID 29812984.</w:t>
      </w:r>
    </w:p>
  </w:footnote>
  <w:footnote w:id="2042">
    <w:p>
      <w:pPr>
        <w:pStyle w:val="FootnoteText"/>
      </w:pPr>
      <w:r>
        <w:rPr>
          <w:rStyle w:val="FootnoteReference"/>
        </w:rPr>
        <w:footnoteRef/>
      </w:r>
      <w:r>
        <w:t xml:space="preserve"> </w:t>
      </w:r>
      <w:r>
        <w:t xml:space="preserve">Minakova 2019, PMID 30629642.</w:t>
      </w:r>
    </w:p>
  </w:footnote>
  <w:footnote w:id="2044">
    <w:p>
      <w:pPr>
        <w:pStyle w:val="FootnoteText"/>
      </w:pPr>
      <w:r>
        <w:rPr>
          <w:rStyle w:val="FootnoteReference"/>
        </w:rPr>
        <w:footnoteRef/>
      </w:r>
      <w:r>
        <w:t xml:space="preserve"> </w:t>
      </w:r>
      <w:r>
        <w:t xml:space="preserve">Dorr 1996, PMID 8637402; Wessells 2000, PMID 11035391.</w:t>
      </w:r>
    </w:p>
  </w:footnote>
  <w:footnote w:id="2045">
    <w:p>
      <w:pPr>
        <w:pStyle w:val="FootnoteText"/>
      </w:pPr>
      <w:r>
        <w:rPr>
          <w:rStyle w:val="FootnoteReference"/>
        </w:rPr>
        <w:footnoteRef/>
      </w:r>
      <w:r>
        <w:t xml:space="preserve"> </w:t>
      </w:r>
      <w:r>
        <w:t xml:space="preserve">Paurobally 2013, PMID 22182016.</w:t>
      </w:r>
    </w:p>
  </w:footnote>
  <w:footnote w:id="2046">
    <w:p>
      <w:pPr>
        <w:pStyle w:val="FootnoteText"/>
      </w:pPr>
      <w:r>
        <w:rPr>
          <w:rStyle w:val="FootnoteReference"/>
        </w:rPr>
        <w:footnoteRef/>
      </w:r>
      <w:r>
        <w:t xml:space="preserve"> </w:t>
      </w:r>
      <w:r>
        <w:t xml:space="preserve">Bonchev 2026, PMID 41752902.</w:t>
      </w:r>
    </w:p>
  </w:footnote>
  <w:footnote w:id="2047">
    <w:p>
      <w:pPr>
        <w:pStyle w:val="FootnoteText"/>
      </w:pPr>
      <w:r>
        <w:rPr>
          <w:rStyle w:val="FootnoteReference"/>
        </w:rPr>
        <w:footnoteRef/>
      </w:r>
      <w:r>
        <w:t xml:space="preserve"> </w:t>
      </w:r>
      <w:r>
        <w:t xml:space="preserve">Ume 2026, PMID 42212476.</w:t>
      </w:r>
    </w:p>
  </w:footnote>
  <w:footnote w:id="2049">
    <w:p>
      <w:pPr>
        <w:pStyle w:val="FootnoteText"/>
      </w:pPr>
      <w:r>
        <w:rPr>
          <w:rStyle w:val="FootnoteReference"/>
        </w:rPr>
        <w:footnoteRef/>
      </w:r>
      <w:r>
        <w:t xml:space="preserve"> </w:t>
      </w:r>
      <w:r>
        <w:t xml:space="preserve">Cousen 2009, PMID 19575725; Thestrup-Pedersen 2011, PMID 21453640.</w:t>
      </w:r>
    </w:p>
  </w:footnote>
  <w:footnote w:id="2050">
    <w:p>
      <w:pPr>
        <w:pStyle w:val="FootnoteText"/>
      </w:pPr>
      <w:r>
        <w:rPr>
          <w:rStyle w:val="FootnoteReference"/>
        </w:rPr>
        <w:footnoteRef/>
      </w:r>
      <w:r>
        <w:t xml:space="preserve"> </w:t>
      </w:r>
      <w:r>
        <w:t xml:space="preserve">Reid 2013, PMID 23914578.</w:t>
      </w:r>
    </w:p>
  </w:footnote>
  <w:footnote w:id="2051">
    <w:p>
      <w:pPr>
        <w:pStyle w:val="FootnoteText"/>
      </w:pPr>
      <w:r>
        <w:rPr>
          <w:rStyle w:val="FootnoteReference"/>
        </w:rPr>
        <w:footnoteRef/>
      </w:r>
      <w:r>
        <w:t xml:space="preserve"> </w:t>
      </w:r>
      <w:r>
        <w:t xml:space="preserve">Paurobally 2011, PMID 21564053; Ong 2012, PMID 22724573.</w:t>
      </w:r>
    </w:p>
  </w:footnote>
  <w:footnote w:id="2052">
    <w:p>
      <w:pPr>
        <w:pStyle w:val="FootnoteText"/>
      </w:pPr>
      <w:r>
        <w:rPr>
          <w:rStyle w:val="FootnoteReference"/>
        </w:rPr>
        <w:footnoteRef/>
      </w:r>
      <w:r>
        <w:t xml:space="preserve"> </w:t>
      </w:r>
      <w:r>
        <w:t xml:space="preserve">Hjuler 2014, PMID 24355990.</w:t>
      </w:r>
    </w:p>
  </w:footnote>
  <w:footnote w:id="2053">
    <w:p>
      <w:pPr>
        <w:pStyle w:val="FootnoteText"/>
      </w:pPr>
      <w:r>
        <w:rPr>
          <w:rStyle w:val="FootnoteReference"/>
        </w:rPr>
        <w:footnoteRef/>
      </w:r>
      <w:r>
        <w:t xml:space="preserve"> </w:t>
      </w:r>
      <w:r>
        <w:t xml:space="preserve">Yassin Alsabbagh 2025, PMID 40210573.</w:t>
      </w:r>
    </w:p>
  </w:footnote>
  <w:footnote w:id="2054">
    <w:p>
      <w:pPr>
        <w:pStyle w:val="FootnoteText"/>
      </w:pPr>
      <w:r>
        <w:rPr>
          <w:rStyle w:val="FootnoteReference"/>
        </w:rPr>
        <w:footnoteRef/>
      </w:r>
      <w:r>
        <w:t xml:space="preserve"> </w:t>
      </w:r>
      <w:r>
        <w:t xml:space="preserve">Burian 2019, PMID 31119650.</w:t>
      </w:r>
    </w:p>
  </w:footnote>
  <w:footnote w:id="2055">
    <w:p>
      <w:pPr>
        <w:pStyle w:val="FootnoteText"/>
      </w:pPr>
      <w:r>
        <w:rPr>
          <w:rStyle w:val="FootnoteReference"/>
        </w:rPr>
        <w:footnoteRef/>
      </w:r>
      <w:r>
        <w:t xml:space="preserve"> </w:t>
      </w:r>
      <w:r>
        <w:t xml:space="preserve">Habbema 2017, PMID 28266027.</w:t>
      </w:r>
    </w:p>
  </w:footnote>
  <w:footnote w:id="2057">
    <w:p>
      <w:pPr>
        <w:pStyle w:val="FootnoteText"/>
      </w:pPr>
      <w:r>
        <w:rPr>
          <w:rStyle w:val="FootnoteReference"/>
        </w:rPr>
        <w:footnoteRef/>
      </w:r>
      <w:r>
        <w:t xml:space="preserve"> </w:t>
      </w:r>
      <w:r>
        <w:t xml:space="preserve">Devlin 2013, PMID 23537392; Dreyer 2019, PMID 30796078.</w:t>
      </w:r>
    </w:p>
  </w:footnote>
  <w:footnote w:id="2058">
    <w:p>
      <w:pPr>
        <w:pStyle w:val="FootnoteText"/>
      </w:pPr>
      <w:r>
        <w:rPr>
          <w:rStyle w:val="FootnoteReference"/>
        </w:rPr>
        <w:footnoteRef/>
      </w:r>
      <w:r>
        <w:t xml:space="preserve"> </w:t>
      </w:r>
      <w:r>
        <w:t xml:space="preserve">Mallory 2021, PMID 33460908.</w:t>
      </w:r>
    </w:p>
  </w:footnote>
  <w:footnote w:id="2059">
    <w:p>
      <w:pPr>
        <w:pStyle w:val="FootnoteText"/>
      </w:pPr>
      <w:r>
        <w:rPr>
          <w:rStyle w:val="FootnoteReference"/>
        </w:rPr>
        <w:footnoteRef/>
      </w:r>
      <w:r>
        <w:t xml:space="preserve"> </w:t>
      </w:r>
      <w:r>
        <w:t xml:space="preserve">Dreyer 2019, PMID 30796078.</w:t>
      </w:r>
    </w:p>
  </w:footnote>
  <w:footnote w:id="2060">
    <w:p>
      <w:pPr>
        <w:pStyle w:val="FootnoteText"/>
      </w:pPr>
      <w:r>
        <w:rPr>
          <w:rStyle w:val="FootnoteReference"/>
        </w:rPr>
        <w:footnoteRef/>
      </w:r>
      <w:r>
        <w:t xml:space="preserve"> </w:t>
      </w:r>
      <w:r>
        <w:t xml:space="preserve">Nelson 2012, PMID 23121206.</w:t>
      </w:r>
    </w:p>
  </w:footnote>
  <w:footnote w:id="2061">
    <w:p>
      <w:pPr>
        <w:pStyle w:val="FootnoteText"/>
      </w:pPr>
      <w:r>
        <w:rPr>
          <w:rStyle w:val="FootnoteReference"/>
        </w:rPr>
        <w:footnoteRef/>
      </w:r>
      <w:r>
        <w:t xml:space="preserve"> </w:t>
      </w:r>
      <w:r>
        <w:t xml:space="preserve">Peters 2020, PMID 31953620.</w:t>
      </w:r>
    </w:p>
  </w:footnote>
  <w:footnote w:id="2062">
    <w:p>
      <w:pPr>
        <w:pStyle w:val="FootnoteText"/>
      </w:pPr>
      <w:r>
        <w:rPr>
          <w:rStyle w:val="FootnoteReference"/>
        </w:rPr>
        <w:footnoteRef/>
      </w:r>
      <w:r>
        <w:t xml:space="preserve"> </w:t>
      </w:r>
      <w:r>
        <w:t xml:space="preserve">Kaski 2013, PMID 23648958.</w:t>
      </w:r>
    </w:p>
  </w:footnote>
  <w:footnote w:id="2063">
    <w:p>
      <w:pPr>
        <w:pStyle w:val="FootnoteText"/>
      </w:pPr>
      <w:r>
        <w:rPr>
          <w:rStyle w:val="FootnoteReference"/>
        </w:rPr>
        <w:footnoteRef/>
      </w:r>
      <w:r>
        <w:t xml:space="preserve"> </w:t>
      </w:r>
      <w:r>
        <w:t xml:space="preserve">Dickson 2025, PMID 41487785.</w:t>
      </w:r>
    </w:p>
  </w:footnote>
  <w:footnote w:id="2065">
    <w:p>
      <w:pPr>
        <w:pStyle w:val="FootnoteText"/>
      </w:pPr>
      <w:r>
        <w:rPr>
          <w:rStyle w:val="FootnoteReference"/>
        </w:rPr>
        <w:footnoteRef/>
      </w:r>
      <w:r>
        <w:t xml:space="preserve"> </w:t>
      </w:r>
      <w:r>
        <w:t xml:space="preserve">Breindahl 2015, PMID 24771717.</w:t>
      </w:r>
    </w:p>
  </w:footnote>
  <w:footnote w:id="2066">
    <w:p>
      <w:pPr>
        <w:pStyle w:val="FootnoteText"/>
      </w:pPr>
      <w:r>
        <w:rPr>
          <w:rStyle w:val="FootnoteReference"/>
        </w:rPr>
        <w:footnoteRef/>
      </w:r>
      <w:r>
        <w:t xml:space="preserve"> </w:t>
      </w:r>
      <w:r>
        <w:t xml:space="preserve">Deville 2024, PMID 39302005.</w:t>
      </w:r>
    </w:p>
  </w:footnote>
  <w:footnote w:id="2067">
    <w:p>
      <w:pPr>
        <w:pStyle w:val="FootnoteText"/>
      </w:pPr>
      <w:r>
        <w:rPr>
          <w:rStyle w:val="FootnoteReference"/>
        </w:rPr>
        <w:footnoteRef/>
      </w:r>
      <w:r>
        <w:t xml:space="preserve"> </w:t>
      </w:r>
      <w:r>
        <w:t xml:space="preserve">Gilhooley 2021, PMID 34464955.</w:t>
      </w:r>
    </w:p>
  </w:footnote>
  <w:footnote w:id="2070">
    <w:p>
      <w:pPr>
        <w:pStyle w:val="FootnoteText"/>
      </w:pPr>
      <w:r>
        <w:rPr>
          <w:rStyle w:val="FootnoteReference"/>
        </w:rPr>
        <w:footnoteRef/>
      </w:r>
      <w:r>
        <w:t xml:space="preserve"> </w:t>
      </w:r>
      <w:r>
        <w:t xml:space="preserve">Habbema 2017, PMID 28266027.</w:t>
      </w:r>
    </w:p>
  </w:footnote>
  <w:footnote w:id="2071">
    <w:p>
      <w:pPr>
        <w:pStyle w:val="FootnoteText"/>
      </w:pPr>
      <w:r>
        <w:rPr>
          <w:rStyle w:val="FootnoteReference"/>
        </w:rPr>
        <w:footnoteRef/>
      </w:r>
      <w:r>
        <w:t xml:space="preserve"> </w:t>
      </w:r>
      <w:r>
        <w:t xml:space="preserve">Yassin Alsabbagh 2025, PMID 40210573.</w:t>
      </w:r>
    </w:p>
  </w:footnote>
  <w:footnote w:id="2076">
    <w:p>
      <w:pPr>
        <w:pStyle w:val="FootnoteText"/>
      </w:pPr>
      <w:r>
        <w:rPr>
          <w:rStyle w:val="FootnoteReference"/>
        </w:rPr>
        <w:footnoteRef/>
      </w:r>
      <w:r>
        <w:t xml:space="preserve"> </w:t>
      </w:r>
      <w:r>
        <w:t xml:space="preserve">Hadley 2006, PMID 16412534.</w:t>
      </w:r>
    </w:p>
  </w:footnote>
  <w:footnote w:id="2077">
    <w:p>
      <w:pPr>
        <w:pStyle w:val="FootnoteText"/>
      </w:pPr>
      <w:r>
        <w:rPr>
          <w:rStyle w:val="FootnoteReference"/>
        </w:rPr>
        <w:footnoteRef/>
      </w:r>
      <w:r>
        <w:t xml:space="preserve"> </w:t>
      </w:r>
      <w:r>
        <w:t xml:space="preserve">Homey 2025, PMID 40082741.</w:t>
      </w:r>
    </w:p>
  </w:footnote>
  <w:footnote w:id="2079">
    <w:p>
      <w:pPr>
        <w:pStyle w:val="FootnoteText"/>
      </w:pPr>
      <w:r>
        <w:rPr>
          <w:rStyle w:val="FootnoteReference"/>
        </w:rPr>
        <w:footnoteRef/>
      </w:r>
      <w:r>
        <w:t xml:space="preserve"> </w:t>
      </w:r>
      <w:r>
        <w:t xml:space="preserve">Homey 2025, PMID 40082741.</w:t>
      </w:r>
    </w:p>
  </w:footnote>
  <w:footnote w:id="2080">
    <w:p>
      <w:pPr>
        <w:pStyle w:val="FootnoteText"/>
      </w:pPr>
      <w:r>
        <w:rPr>
          <w:rStyle w:val="FootnoteReference"/>
        </w:rPr>
        <w:footnoteRef/>
      </w:r>
      <w:r>
        <w:t xml:space="preserve"> </w:t>
      </w:r>
      <w:r>
        <w:t xml:space="preserve">Minder 2023, PMID 37109595.</w:t>
      </w:r>
    </w:p>
  </w:footnote>
  <w:footnote w:id="2082">
    <w:p>
      <w:pPr>
        <w:pStyle w:val="FootnoteText"/>
      </w:pPr>
      <w:r>
        <w:rPr>
          <w:rStyle w:val="FootnoteReference"/>
        </w:rPr>
        <w:footnoteRef/>
      </w:r>
      <w:r>
        <w:t xml:space="preserve"> </w:t>
      </w:r>
      <w:r>
        <w:t xml:space="preserve">Dorr 2000, PMID 11045725.</w:t>
      </w:r>
    </w:p>
  </w:footnote>
  <w:footnote w:id="2083">
    <w:p>
      <w:pPr>
        <w:pStyle w:val="FootnoteText"/>
      </w:pPr>
      <w:r>
        <w:rPr>
          <w:rStyle w:val="FootnoteReference"/>
        </w:rPr>
        <w:footnoteRef/>
      </w:r>
      <w:r>
        <w:t xml:space="preserve"> </w:t>
      </w:r>
      <w:r>
        <w:t xml:space="preserve">Dorr 2004, PMID 15262693.</w:t>
      </w:r>
    </w:p>
  </w:footnote>
  <w:footnote w:id="2084">
    <w:p>
      <w:pPr>
        <w:pStyle w:val="FootnoteText"/>
      </w:pPr>
      <w:r>
        <w:rPr>
          <w:rStyle w:val="FootnoteReference"/>
        </w:rPr>
        <w:footnoteRef/>
      </w:r>
      <w:r>
        <w:t xml:space="preserve"> </w:t>
      </w:r>
      <w:r>
        <w:t xml:space="preserve">Fitzgerald 2006, PMID 16293341.</w:t>
      </w:r>
    </w:p>
  </w:footnote>
  <w:footnote w:id="2086">
    <w:p>
      <w:pPr>
        <w:pStyle w:val="FootnoteText"/>
      </w:pPr>
      <w:r>
        <w:rPr>
          <w:rStyle w:val="FootnoteReference"/>
        </w:rPr>
        <w:footnoteRef/>
      </w:r>
      <w:r>
        <w:t xml:space="preserve"> </w:t>
      </w:r>
      <w:r>
        <w:t xml:space="preserve">Harms 2009, PMID 19656325.</w:t>
      </w:r>
    </w:p>
  </w:footnote>
  <w:footnote w:id="2087">
    <w:p>
      <w:pPr>
        <w:pStyle w:val="FootnoteText"/>
      </w:pPr>
      <w:r>
        <w:rPr>
          <w:rStyle w:val="FootnoteReference"/>
        </w:rPr>
        <w:footnoteRef/>
      </w:r>
      <w:r>
        <w:t xml:space="preserve"> </w:t>
      </w:r>
      <w:r>
        <w:t xml:space="preserve">Langendonk 2015, PMID 26132941; NCT00979745, NCT01605136.</w:t>
      </w:r>
    </w:p>
  </w:footnote>
  <w:footnote w:id="2088">
    <w:p>
      <w:pPr>
        <w:pStyle w:val="FootnoteText"/>
      </w:pPr>
      <w:r>
        <w:rPr>
          <w:rStyle w:val="FootnoteReference"/>
        </w:rPr>
        <w:footnoteRef/>
      </w:r>
      <w:r>
        <w:t xml:space="preserve"> </w:t>
      </w:r>
      <w:r>
        <w:t xml:space="preserve">Heerfordt 2023, PMID 36525819.</w:t>
      </w:r>
    </w:p>
  </w:footnote>
  <w:footnote w:id="2090">
    <w:p>
      <w:pPr>
        <w:pStyle w:val="FootnoteText"/>
      </w:pPr>
      <w:r>
        <w:rPr>
          <w:rStyle w:val="FootnoteReference"/>
        </w:rPr>
        <w:footnoteRef/>
      </w:r>
      <w:r>
        <w:t xml:space="preserve"> </w:t>
      </w:r>
      <w:r>
        <w:t xml:space="preserve">Biolcati 2015, PMID 25494545.</w:t>
      </w:r>
    </w:p>
  </w:footnote>
  <w:footnote w:id="2091">
    <w:p>
      <w:pPr>
        <w:pStyle w:val="FootnoteText"/>
      </w:pPr>
      <w:r>
        <w:rPr>
          <w:rStyle w:val="FootnoteReference"/>
        </w:rPr>
        <w:footnoteRef/>
      </w:r>
      <w:r>
        <w:t xml:space="preserve"> </w:t>
      </w:r>
      <w:r>
        <w:t xml:space="preserve">Wensink 2020, PMID 32186677.</w:t>
      </w:r>
    </w:p>
  </w:footnote>
  <w:footnote w:id="2092">
    <w:p>
      <w:pPr>
        <w:pStyle w:val="FootnoteText"/>
      </w:pPr>
      <w:r>
        <w:rPr>
          <w:rStyle w:val="FootnoteReference"/>
        </w:rPr>
        <w:footnoteRef/>
      </w:r>
      <w:r>
        <w:t xml:space="preserve"> </w:t>
      </w:r>
      <w:r>
        <w:t xml:space="preserve">Seidl-Philipp 2026, PMID 41793078.</w:t>
      </w:r>
    </w:p>
  </w:footnote>
  <w:footnote w:id="2094">
    <w:p>
      <w:pPr>
        <w:pStyle w:val="FootnoteText"/>
      </w:pPr>
      <w:r>
        <w:rPr>
          <w:rStyle w:val="FootnoteReference"/>
        </w:rPr>
        <w:footnoteRef/>
      </w:r>
      <w:r>
        <w:t xml:space="preserve"> </w:t>
      </w:r>
      <w:r>
        <w:t xml:space="preserve">Minder 2023, PMID 37109595.</w:t>
      </w:r>
    </w:p>
  </w:footnote>
  <w:footnote w:id="2095">
    <w:p>
      <w:pPr>
        <w:pStyle w:val="FootnoteText"/>
      </w:pPr>
      <w:r>
        <w:rPr>
          <w:rStyle w:val="FootnoteReference"/>
        </w:rPr>
        <w:footnoteRef/>
      </w:r>
      <w:r>
        <w:t xml:space="preserve"> </w:t>
      </w:r>
      <w:r>
        <w:t xml:space="preserve">Kluijver 2024, PMID 38634774.</w:t>
      </w:r>
    </w:p>
  </w:footnote>
  <w:footnote w:id="2096">
    <w:p>
      <w:pPr>
        <w:pStyle w:val="FootnoteText"/>
      </w:pPr>
      <w:r>
        <w:rPr>
          <w:rStyle w:val="FootnoteReference"/>
        </w:rPr>
        <w:footnoteRef/>
      </w:r>
      <w:r>
        <w:t xml:space="preserve"> </w:t>
      </w:r>
      <w:r>
        <w:t xml:space="preserve">Lengweiler 2015, PMID 25402764.</w:t>
      </w:r>
    </w:p>
  </w:footnote>
  <w:footnote w:id="2098">
    <w:p>
      <w:pPr>
        <w:pStyle w:val="FootnoteText"/>
      </w:pPr>
      <w:r>
        <w:rPr>
          <w:rStyle w:val="FootnoteReference"/>
        </w:rPr>
        <w:footnoteRef/>
      </w:r>
      <w:r>
        <w:t xml:space="preserve"> </w:t>
      </w:r>
      <w:r>
        <w:t xml:space="preserve">Grimes 2013, PMID 23407924.</w:t>
      </w:r>
    </w:p>
  </w:footnote>
  <w:footnote w:id="2099">
    <w:p>
      <w:pPr>
        <w:pStyle w:val="FootnoteText"/>
      </w:pPr>
      <w:r>
        <w:rPr>
          <w:rStyle w:val="FootnoteReference"/>
        </w:rPr>
        <w:footnoteRef/>
      </w:r>
      <w:r>
        <w:t xml:space="preserve"> </w:t>
      </w:r>
      <w:r>
        <w:t xml:space="preserve">Lim 2015, PMID 25230094; NCT01430195.</w:t>
      </w:r>
    </w:p>
  </w:footnote>
  <w:footnote w:id="2100">
    <w:p>
      <w:pPr>
        <w:pStyle w:val="FootnoteText"/>
      </w:pPr>
      <w:r>
        <w:rPr>
          <w:rStyle w:val="FootnoteReference"/>
        </w:rPr>
        <w:footnoteRef/>
      </w:r>
      <w:r>
        <w:t xml:space="preserve"> </w:t>
      </w:r>
      <w:r>
        <w:t xml:space="preserve">Passeron 2015, PMID 25607635.</w:t>
      </w:r>
    </w:p>
  </w:footnote>
  <w:footnote w:id="2101">
    <w:p>
      <w:pPr>
        <w:pStyle w:val="FootnoteText"/>
      </w:pPr>
      <w:r>
        <w:rPr>
          <w:rStyle w:val="FootnoteReference"/>
        </w:rPr>
        <w:footnoteRef/>
      </w:r>
      <w:r>
        <w:t xml:space="preserve"> </w:t>
      </w:r>
      <w:r>
        <w:t xml:space="preserve">Toh 2020, PMID 31987791.</w:t>
      </w:r>
    </w:p>
  </w:footnote>
  <w:footnote w:id="2103">
    <w:p>
      <w:pPr>
        <w:pStyle w:val="FootnoteText"/>
      </w:pPr>
      <w:r>
        <w:rPr>
          <w:rStyle w:val="FootnoteReference"/>
        </w:rPr>
        <w:footnoteRef/>
      </w:r>
      <w:r>
        <w:t xml:space="preserve"> </w:t>
      </w:r>
      <w:r>
        <w:t xml:space="preserve">Haylett 2011, PMID 20969564.</w:t>
      </w:r>
    </w:p>
  </w:footnote>
  <w:footnote w:id="2104">
    <w:p>
      <w:pPr>
        <w:pStyle w:val="FootnoteText"/>
      </w:pPr>
      <w:r>
        <w:rPr>
          <w:rStyle w:val="FootnoteReference"/>
        </w:rPr>
        <w:footnoteRef/>
      </w:r>
      <w:r>
        <w:t xml:space="preserve"> </w:t>
      </w:r>
      <w:r>
        <w:t xml:space="preserve">Böhm 2014, PMID 22845050.</w:t>
      </w:r>
    </w:p>
  </w:footnote>
  <w:footnote w:id="2105">
    <w:p>
      <w:pPr>
        <w:pStyle w:val="FootnoteText"/>
      </w:pPr>
      <w:r>
        <w:rPr>
          <w:rStyle w:val="FootnoteReference"/>
        </w:rPr>
        <w:footnoteRef/>
      </w:r>
      <w:r>
        <w:t xml:space="preserve"> </w:t>
      </w:r>
      <w:r>
        <w:t xml:space="preserve">Biolcati 2014, PMID 24256215.</w:t>
      </w:r>
    </w:p>
  </w:footnote>
  <w:footnote w:id="2106">
    <w:p>
      <w:pPr>
        <w:pStyle w:val="FootnoteText"/>
      </w:pPr>
      <w:r>
        <w:rPr>
          <w:rStyle w:val="FootnoteReference"/>
        </w:rPr>
        <w:footnoteRef/>
      </w:r>
      <w:r>
        <w:t xml:space="preserve"> </w:t>
      </w:r>
      <w:r>
        <w:t xml:space="preserve">Stanislaus 2023, PMID 37496004.</w:t>
      </w:r>
    </w:p>
  </w:footnote>
  <w:footnote w:id="2107">
    <w:p>
      <w:pPr>
        <w:pStyle w:val="FootnoteText"/>
      </w:pPr>
      <w:r>
        <w:rPr>
          <w:rStyle w:val="FootnoteReference"/>
        </w:rPr>
        <w:footnoteRef/>
      </w:r>
      <w:r>
        <w:t xml:space="preserve"> </w:t>
      </w:r>
      <w:r>
        <w:t xml:space="preserve">Griffin 2026, PMID 42678656.</w:t>
      </w:r>
    </w:p>
  </w:footnote>
  <w:footnote w:id="2110">
    <w:p>
      <w:pPr>
        <w:pStyle w:val="FootnoteText"/>
      </w:pPr>
      <w:r>
        <w:rPr>
          <w:rStyle w:val="FootnoteReference"/>
        </w:rPr>
        <w:footnoteRef/>
      </w:r>
      <w:r>
        <w:t xml:space="preserve"> </w:t>
      </w:r>
      <w:r>
        <w:t xml:space="preserve">Biolcati 2014, PMID 24256215.</w:t>
      </w:r>
    </w:p>
  </w:footnote>
  <w:footnote w:id="2111">
    <w:p>
      <w:pPr>
        <w:pStyle w:val="FootnoteText"/>
      </w:pPr>
      <w:r>
        <w:rPr>
          <w:rStyle w:val="FootnoteReference"/>
        </w:rPr>
        <w:footnoteRef/>
      </w:r>
      <w:r>
        <w:t xml:space="preserve"> </w:t>
      </w:r>
      <w:r>
        <w:t xml:space="preserve">Chawathe 2026, PMID 41547183.</w:t>
      </w:r>
    </w:p>
  </w:footnote>
  <w:footnote w:id="2113">
    <w:p>
      <w:pPr>
        <w:pStyle w:val="FootnoteText"/>
      </w:pPr>
      <w:r>
        <w:rPr>
          <w:rStyle w:val="FootnoteReference"/>
        </w:rPr>
        <w:footnoteRef/>
      </w:r>
      <w:r>
        <w:t xml:space="preserve"> </w:t>
      </w:r>
      <w:r>
        <w:t xml:space="preserve">Langendonk 2015, PMID 26132941; Wensink 2020, PMID 32186677; Biolcati 2015, PMID 25494545.</w:t>
      </w:r>
    </w:p>
  </w:footnote>
  <w:footnote w:id="2114">
    <w:p>
      <w:pPr>
        <w:pStyle w:val="FootnoteText"/>
      </w:pPr>
      <w:r>
        <w:rPr>
          <w:rStyle w:val="FootnoteReference"/>
        </w:rPr>
        <w:footnoteRef/>
      </w:r>
      <w:r>
        <w:t xml:space="preserve"> </w:t>
      </w:r>
      <w:r>
        <w:t xml:space="preserve">Arisi 2021, PMID 33721252.</w:t>
      </w:r>
    </w:p>
  </w:footnote>
  <w:footnote w:id="2115">
    <w:p>
      <w:pPr>
        <w:pStyle w:val="FootnoteText"/>
      </w:pPr>
      <w:r>
        <w:rPr>
          <w:rStyle w:val="FootnoteReference"/>
        </w:rPr>
        <w:footnoteRef/>
      </w:r>
      <w:r>
        <w:t xml:space="preserve"> </w:t>
      </w:r>
      <w:r>
        <w:t xml:space="preserve">von Bartenwerffer 2011, PMID 21597671.</w:t>
      </w:r>
    </w:p>
  </w:footnote>
  <w:footnote w:id="2116">
    <w:p>
      <w:pPr>
        <w:pStyle w:val="FootnoteText"/>
      </w:pPr>
      <w:r>
        <w:rPr>
          <w:rStyle w:val="FootnoteReference"/>
        </w:rPr>
        <w:footnoteRef/>
      </w:r>
      <w:r>
        <w:t xml:space="preserve"> </w:t>
      </w:r>
      <w:r>
        <w:t xml:space="preserve">Kluijver 2024, PMID 38634774.</w:t>
      </w:r>
    </w:p>
  </w:footnote>
  <w:footnote w:id="2118">
    <w:p>
      <w:pPr>
        <w:pStyle w:val="FootnoteText"/>
      </w:pPr>
      <w:r>
        <w:rPr>
          <w:rStyle w:val="FootnoteReference"/>
        </w:rPr>
        <w:footnoteRef/>
      </w:r>
      <w:r>
        <w:t xml:space="preserve"> </w:t>
      </w:r>
      <w:r>
        <w:t xml:space="preserve">Barman-Aksözen 2026, PMID 41885813.</w:t>
      </w:r>
    </w:p>
  </w:footnote>
  <w:footnote w:id="2119">
    <w:p>
      <w:pPr>
        <w:pStyle w:val="FootnoteText"/>
      </w:pPr>
      <w:r>
        <w:rPr>
          <w:rStyle w:val="FootnoteReference"/>
        </w:rPr>
        <w:footnoteRef/>
      </w:r>
      <w:r>
        <w:t xml:space="preserve"> </w:t>
      </w:r>
      <w:r>
        <w:t xml:space="preserve">Minder 2026, PMID 41542313.</w:t>
      </w:r>
    </w:p>
  </w:footnote>
  <w:footnote w:id="2121">
    <w:p>
      <w:pPr>
        <w:pStyle w:val="FootnoteText"/>
      </w:pPr>
      <w:r>
        <w:rPr>
          <w:rStyle w:val="FootnoteReference"/>
        </w:rPr>
        <w:footnoteRef/>
      </w:r>
      <w:r>
        <w:t xml:space="preserve"> </w:t>
      </w:r>
      <w:r>
        <w:t xml:space="preserve">Habbema 2017, PMID 28266027.</w:t>
      </w:r>
    </w:p>
  </w:footnote>
  <w:footnote w:id="2124">
    <w:p>
      <w:pPr>
        <w:pStyle w:val="FootnoteText"/>
      </w:pPr>
      <w:r>
        <w:rPr>
          <w:rStyle w:val="FootnoteReference"/>
        </w:rPr>
        <w:footnoteRef/>
      </w:r>
      <w:r>
        <w:t xml:space="preserve"> </w:t>
      </w:r>
      <w:r>
        <w:t xml:space="preserve">Homey 2025, PMID 40082741.</w:t>
      </w:r>
    </w:p>
  </w:footnote>
  <w:footnote w:id="2125">
    <w:p>
      <w:pPr>
        <w:pStyle w:val="FootnoteText"/>
      </w:pPr>
      <w:r>
        <w:rPr>
          <w:rStyle w:val="FootnoteReference"/>
        </w:rPr>
        <w:footnoteRef/>
      </w:r>
      <w:r>
        <w:t xml:space="preserve"> </w:t>
      </w:r>
      <w:r>
        <w:t xml:space="preserve">Homey 2025, PMID 40082741; Seidl-Philipp 2026, PMID 41793078.</w:t>
      </w:r>
    </w:p>
  </w:footnote>
  <w:footnote w:id="2126">
    <w:p>
      <w:pPr>
        <w:pStyle w:val="FootnoteText"/>
      </w:pPr>
      <w:r>
        <w:rPr>
          <w:rStyle w:val="FootnoteReference"/>
        </w:rPr>
        <w:footnoteRef/>
      </w:r>
      <w:r>
        <w:t xml:space="preserve"> </w:t>
      </w:r>
      <w:r>
        <w:t xml:space="preserve">Barman-Aksözen 2024, PMID 38791830.</w:t>
      </w:r>
    </w:p>
  </w:footnote>
  <w:footnote w:id="2128">
    <w:p>
      <w:pPr>
        <w:pStyle w:val="FootnoteText"/>
      </w:pPr>
      <w:r>
        <w:rPr>
          <w:rStyle w:val="FootnoteReference"/>
        </w:rPr>
        <w:footnoteRef/>
      </w:r>
      <w:r>
        <w:t xml:space="preserve"> </w:t>
      </w:r>
      <w:r>
        <w:t xml:space="preserve">NCT06109649.</w:t>
      </w:r>
    </w:p>
  </w:footnote>
  <w:footnote w:id="2129">
    <w:p>
      <w:pPr>
        <w:pStyle w:val="FootnoteText"/>
      </w:pPr>
      <w:r>
        <w:rPr>
          <w:rStyle w:val="FootnoteReference"/>
        </w:rPr>
        <w:footnoteRef/>
      </w:r>
      <w:r>
        <w:t xml:space="preserve"> </w:t>
      </w:r>
      <w:r>
        <w:t xml:space="preserve">NCT05210582.</w:t>
      </w:r>
    </w:p>
  </w:footnote>
  <w:footnote w:id="2130">
    <w:p>
      <w:pPr>
        <w:pStyle w:val="FootnoteText"/>
      </w:pPr>
      <w:r>
        <w:rPr>
          <w:rStyle w:val="FootnoteReference"/>
        </w:rPr>
        <w:footnoteRef/>
      </w:r>
      <w:r>
        <w:t xml:space="preserve"> </w:t>
      </w:r>
      <w:r>
        <w:t xml:space="preserve">NCT05370235, NCT05159752.</w:t>
      </w:r>
    </w:p>
  </w:footnote>
  <w:footnote w:id="2131">
    <w:p>
      <w:pPr>
        <w:pStyle w:val="FootnoteText"/>
      </w:pPr>
      <w:r>
        <w:rPr>
          <w:rStyle w:val="FootnoteReference"/>
        </w:rPr>
        <w:footnoteRef/>
      </w:r>
      <w:r>
        <w:t xml:space="preserve"> </w:t>
      </w:r>
      <w:r>
        <w:t xml:space="preserve">NCT06388642.</w:t>
      </w:r>
    </w:p>
  </w:footnote>
  <w:footnote w:id="2132">
    <w:p>
      <w:pPr>
        <w:pStyle w:val="FootnoteText"/>
      </w:pPr>
      <w:r>
        <w:rPr>
          <w:rStyle w:val="FootnoteReference"/>
        </w:rPr>
        <w:footnoteRef/>
      </w:r>
      <w:r>
        <w:t xml:space="preserve"> </w:t>
      </w:r>
      <w:r>
        <w:t xml:space="preserve">Barman-Aksözen 2026, PMID 41885813.</w:t>
      </w:r>
    </w:p>
  </w:footnote>
  <w:footnote w:id="2136">
    <w:p>
      <w:pPr>
        <w:pStyle w:val="FootnoteText"/>
      </w:pPr>
      <w:r>
        <w:rPr>
          <w:rStyle w:val="FootnoteReference"/>
        </w:rPr>
        <w:footnoteRef/>
      </w:r>
      <w:r>
        <w:t xml:space="preserve"> </w:t>
      </w:r>
      <w:r>
        <w:t xml:space="preserve">Lee 1996, PMID 8944003.</w:t>
      </w:r>
    </w:p>
  </w:footnote>
  <w:footnote w:id="2137">
    <w:p>
      <w:pPr>
        <w:pStyle w:val="FootnoteText"/>
      </w:pPr>
      <w:r>
        <w:rPr>
          <w:rStyle w:val="FootnoteReference"/>
        </w:rPr>
        <w:footnoteRef/>
      </w:r>
      <w:r>
        <w:t xml:space="preserve"> </w:t>
      </w:r>
      <w:r>
        <w:t xml:space="preserve">Ohtaki 2001, PMID 11385580.</w:t>
      </w:r>
    </w:p>
  </w:footnote>
  <w:footnote w:id="2139">
    <w:p>
      <w:pPr>
        <w:pStyle w:val="FootnoteText"/>
      </w:pPr>
      <w:r>
        <w:rPr>
          <w:rStyle w:val="FootnoteReference"/>
        </w:rPr>
        <w:footnoteRef/>
      </w:r>
      <w:r>
        <w:t xml:space="preserve"> </w:t>
      </w:r>
      <w:r>
        <w:t xml:space="preserve">de Roux 2003, PMID 12944565; Seminara 2003, PMID 14573733.</w:t>
      </w:r>
    </w:p>
  </w:footnote>
  <w:footnote w:id="2141">
    <w:p>
      <w:pPr>
        <w:pStyle w:val="FootnoteText"/>
      </w:pPr>
      <w:r>
        <w:rPr>
          <w:rStyle w:val="FootnoteReference"/>
        </w:rPr>
        <w:footnoteRef/>
      </w:r>
      <w:r>
        <w:t xml:space="preserve"> </w:t>
      </w:r>
      <w:r>
        <w:t xml:space="preserve">Dhillo 2005, PMID 16174713.</w:t>
      </w:r>
    </w:p>
  </w:footnote>
  <w:footnote w:id="2142">
    <w:p>
      <w:pPr>
        <w:pStyle w:val="FootnoteText"/>
      </w:pPr>
      <w:r>
        <w:rPr>
          <w:rStyle w:val="FootnoteReference"/>
        </w:rPr>
        <w:footnoteRef/>
      </w:r>
      <w:r>
        <w:t xml:space="preserve"> </w:t>
      </w:r>
      <w:r>
        <w:t xml:space="preserve">Dhillo 2007, PMID 17635940.</w:t>
      </w:r>
    </w:p>
  </w:footnote>
  <w:footnote w:id="2143">
    <w:p>
      <w:pPr>
        <w:pStyle w:val="FootnoteText"/>
      </w:pPr>
      <w:r>
        <w:rPr>
          <w:rStyle w:val="FootnoteReference"/>
        </w:rPr>
        <w:footnoteRef/>
      </w:r>
      <w:r>
        <w:t xml:space="preserve"> </w:t>
      </w:r>
      <w:r>
        <w:t xml:space="preserve">George 2011, PMID 21632807.</w:t>
      </w:r>
    </w:p>
  </w:footnote>
  <w:footnote w:id="2144">
    <w:p>
      <w:pPr>
        <w:pStyle w:val="FootnoteText"/>
      </w:pPr>
      <w:r>
        <w:rPr>
          <w:rStyle w:val="FootnoteReference"/>
        </w:rPr>
        <w:footnoteRef/>
      </w:r>
      <w:r>
        <w:t xml:space="preserve"> </w:t>
      </w:r>
      <w:r>
        <w:t xml:space="preserve">Chan 2018, PMID 29669934.</w:t>
      </w:r>
    </w:p>
  </w:footnote>
  <w:footnote w:id="2146">
    <w:p>
      <w:pPr>
        <w:pStyle w:val="FootnoteText"/>
      </w:pPr>
      <w:r>
        <w:rPr>
          <w:rStyle w:val="FootnoteReference"/>
        </w:rPr>
        <w:footnoteRef/>
      </w:r>
      <w:r>
        <w:t xml:space="preserve"> </w:t>
      </w:r>
      <w:r>
        <w:t xml:space="preserve">Jayasena 2014, PMID 25036713; NCT01667406.</w:t>
      </w:r>
    </w:p>
  </w:footnote>
  <w:footnote w:id="2147">
    <w:p>
      <w:pPr>
        <w:pStyle w:val="FootnoteText"/>
      </w:pPr>
      <w:r>
        <w:rPr>
          <w:rStyle w:val="FootnoteReference"/>
        </w:rPr>
        <w:footnoteRef/>
      </w:r>
      <w:r>
        <w:t xml:space="preserve"> </w:t>
      </w:r>
      <w:r>
        <w:t xml:space="preserve">Abbara 2015, PMID 26192876.</w:t>
      </w:r>
    </w:p>
  </w:footnote>
  <w:footnote w:id="2148">
    <w:p>
      <w:pPr>
        <w:pStyle w:val="FootnoteText"/>
      </w:pPr>
      <w:r>
        <w:rPr>
          <w:rStyle w:val="FootnoteReference"/>
        </w:rPr>
        <w:footnoteRef/>
      </w:r>
      <w:r>
        <w:t xml:space="preserve"> </w:t>
      </w:r>
      <w:r>
        <w:t xml:space="preserve">Abbara 2017, PMID 28854728.</w:t>
      </w:r>
    </w:p>
  </w:footnote>
  <w:footnote w:id="2149">
    <w:p>
      <w:pPr>
        <w:pStyle w:val="FootnoteText"/>
      </w:pPr>
      <w:r>
        <w:rPr>
          <w:rStyle w:val="FootnoteReference"/>
        </w:rPr>
        <w:footnoteRef/>
      </w:r>
      <w:r>
        <w:t xml:space="preserve"> </w:t>
      </w:r>
      <w:r>
        <w:t xml:space="preserve">Abbara 2017, PMID 28854728.</w:t>
      </w:r>
    </w:p>
  </w:footnote>
  <w:footnote w:id="2150">
    <w:p>
      <w:pPr>
        <w:pStyle w:val="FootnoteText"/>
      </w:pPr>
      <w:r>
        <w:rPr>
          <w:rStyle w:val="FootnoteReference"/>
        </w:rPr>
        <w:footnoteRef/>
      </w:r>
      <w:r>
        <w:t xml:space="preserve"> </w:t>
      </w:r>
      <w:r>
        <w:t xml:space="preserve">Abbara 2020, PMID 33196464.</w:t>
      </w:r>
    </w:p>
  </w:footnote>
  <w:footnote w:id="2151">
    <w:p>
      <w:pPr>
        <w:pStyle w:val="FootnoteText"/>
      </w:pPr>
      <w:r>
        <w:rPr>
          <w:rStyle w:val="FootnoteReference"/>
        </w:rPr>
        <w:footnoteRef/>
      </w:r>
      <w:r>
        <w:t xml:space="preserve"> </w:t>
      </w:r>
      <w:r>
        <w:t xml:space="preserve">Abbara 2024, PMID 37925096.</w:t>
      </w:r>
    </w:p>
  </w:footnote>
  <w:footnote w:id="2153">
    <w:p>
      <w:pPr>
        <w:pStyle w:val="FootnoteText"/>
      </w:pPr>
      <w:r>
        <w:rPr>
          <w:rStyle w:val="FootnoteReference"/>
        </w:rPr>
        <w:footnoteRef/>
      </w:r>
      <w:r>
        <w:t xml:space="preserve"> </w:t>
      </w:r>
      <w:r>
        <w:t xml:space="preserve">Jayasena 2009, PMID 19820030.</w:t>
      </w:r>
    </w:p>
  </w:footnote>
  <w:footnote w:id="2154">
    <w:p>
      <w:pPr>
        <w:pStyle w:val="FootnoteText"/>
      </w:pPr>
      <w:r>
        <w:rPr>
          <w:rStyle w:val="FootnoteReference"/>
        </w:rPr>
        <w:footnoteRef/>
      </w:r>
      <w:r>
        <w:t xml:space="preserve"> </w:t>
      </w:r>
      <w:r>
        <w:t xml:space="preserve">Jayasena 2010, PMID 20980998.</w:t>
      </w:r>
    </w:p>
  </w:footnote>
  <w:footnote w:id="2155">
    <w:p>
      <w:pPr>
        <w:pStyle w:val="FootnoteText"/>
      </w:pPr>
      <w:r>
        <w:rPr>
          <w:rStyle w:val="FootnoteReference"/>
        </w:rPr>
        <w:footnoteRef/>
      </w:r>
      <w:r>
        <w:t xml:space="preserve"> </w:t>
      </w:r>
      <w:r>
        <w:t xml:space="preserve">Jayasena 2014, PMID 24517142.</w:t>
      </w:r>
    </w:p>
  </w:footnote>
  <w:footnote w:id="2156">
    <w:p>
      <w:pPr>
        <w:pStyle w:val="FootnoteText"/>
      </w:pPr>
      <w:r>
        <w:rPr>
          <w:rStyle w:val="FootnoteReference"/>
        </w:rPr>
        <w:footnoteRef/>
      </w:r>
      <w:r>
        <w:t xml:space="preserve"> </w:t>
      </w:r>
      <w:r>
        <w:t xml:space="preserve">Young 2013, PMID 22377698.</w:t>
      </w:r>
    </w:p>
  </w:footnote>
  <w:footnote w:id="2157">
    <w:p>
      <w:pPr>
        <w:pStyle w:val="FootnoteText"/>
      </w:pPr>
      <w:r>
        <w:rPr>
          <w:rStyle w:val="FootnoteReference"/>
        </w:rPr>
        <w:footnoteRef/>
      </w:r>
      <w:r>
        <w:t xml:space="preserve"> </w:t>
      </w:r>
      <w:r>
        <w:t xml:space="preserve">Romero-Ruiz 2019, PMID 31820802.</w:t>
      </w:r>
    </w:p>
  </w:footnote>
  <w:footnote w:id="2159">
    <w:p>
      <w:pPr>
        <w:pStyle w:val="FootnoteText"/>
      </w:pPr>
      <w:r>
        <w:rPr>
          <w:rStyle w:val="FootnoteReference"/>
        </w:rPr>
        <w:footnoteRef/>
      </w:r>
      <w:r>
        <w:t xml:space="preserve"> </w:t>
      </w:r>
      <w:r>
        <w:t xml:space="preserve">George 2013, PMID 23153270.</w:t>
      </w:r>
    </w:p>
  </w:footnote>
  <w:footnote w:id="2160">
    <w:p>
      <w:pPr>
        <w:pStyle w:val="FootnoteText"/>
      </w:pPr>
      <w:r>
        <w:rPr>
          <w:rStyle w:val="FootnoteReference"/>
        </w:rPr>
        <w:footnoteRef/>
      </w:r>
      <w:r>
        <w:t xml:space="preserve"> </w:t>
      </w:r>
      <w:r>
        <w:t xml:space="preserve">Yeung 2026, PMID 42549827.</w:t>
      </w:r>
    </w:p>
  </w:footnote>
  <w:footnote w:id="2162">
    <w:p>
      <w:pPr>
        <w:pStyle w:val="FootnoteText"/>
      </w:pPr>
      <w:r>
        <w:rPr>
          <w:rStyle w:val="FootnoteReference"/>
        </w:rPr>
        <w:footnoteRef/>
      </w:r>
      <w:r>
        <w:t xml:space="preserve"> </w:t>
      </w:r>
      <w:r>
        <w:t xml:space="preserve">Mills 2023, PMID 36735255.</w:t>
      </w:r>
    </w:p>
  </w:footnote>
  <w:footnote w:id="2163">
    <w:p>
      <w:pPr>
        <w:pStyle w:val="FootnoteText"/>
      </w:pPr>
      <w:r>
        <w:rPr>
          <w:rStyle w:val="FootnoteReference"/>
        </w:rPr>
        <w:footnoteRef/>
      </w:r>
      <w:r>
        <w:t xml:space="preserve"> </w:t>
      </w:r>
      <w:r>
        <w:t xml:space="preserve">Thurston 2022, PMID 36287566.</w:t>
      </w:r>
    </w:p>
  </w:footnote>
  <w:footnote w:id="2164">
    <w:p>
      <w:pPr>
        <w:pStyle w:val="FootnoteText"/>
      </w:pPr>
      <w:r>
        <w:rPr>
          <w:rStyle w:val="FootnoteReference"/>
        </w:rPr>
        <w:footnoteRef/>
      </w:r>
      <w:r>
        <w:t xml:space="preserve"> </w:t>
      </w:r>
      <w:r>
        <w:t xml:space="preserve">Mills 2025, PMID 40036336.</w:t>
      </w:r>
    </w:p>
  </w:footnote>
  <w:footnote w:id="2166">
    <w:p>
      <w:pPr>
        <w:pStyle w:val="FootnoteText"/>
      </w:pPr>
      <w:r>
        <w:rPr>
          <w:rStyle w:val="FootnoteReference"/>
        </w:rPr>
        <w:footnoteRef/>
      </w:r>
      <w:r>
        <w:t xml:space="preserve"> </w:t>
      </w:r>
      <w:r>
        <w:t xml:space="preserve">Mills 2025, PMID 40215751.</w:t>
      </w:r>
    </w:p>
  </w:footnote>
  <w:footnote w:id="2168">
    <w:p>
      <w:pPr>
        <w:pStyle w:val="FootnoteText"/>
      </w:pPr>
      <w:r>
        <w:rPr>
          <w:rStyle w:val="FootnoteReference"/>
        </w:rPr>
        <w:footnoteRef/>
      </w:r>
      <w:r>
        <w:t xml:space="preserve"> </w:t>
      </w:r>
      <w:r>
        <w:t xml:space="preserve">Comninos 2022, PMID 35244717.</w:t>
      </w:r>
    </w:p>
  </w:footnote>
  <w:footnote w:id="2169">
    <w:p>
      <w:pPr>
        <w:pStyle w:val="FootnoteText"/>
      </w:pPr>
      <w:r>
        <w:rPr>
          <w:rStyle w:val="FootnoteReference"/>
        </w:rPr>
        <w:footnoteRef/>
      </w:r>
      <w:r>
        <w:t xml:space="preserve"> </w:t>
      </w:r>
      <w:r>
        <w:t xml:space="preserve">Izzi-Engbeaya 2018, PMID 29974637.</w:t>
      </w:r>
    </w:p>
  </w:footnote>
  <w:footnote w:id="2170">
    <w:p>
      <w:pPr>
        <w:pStyle w:val="FootnoteText"/>
      </w:pPr>
      <w:r>
        <w:rPr>
          <w:rStyle w:val="FootnoteReference"/>
        </w:rPr>
        <w:footnoteRef/>
      </w:r>
      <w:r>
        <w:t xml:space="preserve"> </w:t>
      </w:r>
      <w:r>
        <w:t xml:space="preserve">Galbiati 2025, PMID 39965102.</w:t>
      </w:r>
    </w:p>
  </w:footnote>
  <w:footnote w:id="2172">
    <w:p>
      <w:pPr>
        <w:pStyle w:val="FootnoteText"/>
      </w:pPr>
      <w:r>
        <w:rPr>
          <w:rStyle w:val="FootnoteReference"/>
        </w:rPr>
        <w:footnoteRef/>
      </w:r>
      <w:r>
        <w:t xml:space="preserve"> </w:t>
      </w:r>
      <w:r>
        <w:t xml:space="preserve">MacLean 2014, PMID 24762108.</w:t>
      </w:r>
    </w:p>
  </w:footnote>
  <w:footnote w:id="2173">
    <w:p>
      <w:pPr>
        <w:pStyle w:val="FootnoteText"/>
      </w:pPr>
      <w:r>
        <w:rPr>
          <w:rStyle w:val="FootnoteReference"/>
        </w:rPr>
        <w:footnoteRef/>
      </w:r>
      <w:r>
        <w:t xml:space="preserve"> </w:t>
      </w:r>
      <w:r>
        <w:t xml:space="preserve">NCT02369796, NCT02381288.</w:t>
      </w:r>
    </w:p>
  </w:footnote>
  <w:footnote w:id="2176">
    <w:p>
      <w:pPr>
        <w:pStyle w:val="FootnoteText"/>
      </w:pPr>
      <w:r>
        <w:rPr>
          <w:rStyle w:val="FootnoteReference"/>
        </w:rPr>
        <w:footnoteRef/>
      </w:r>
      <w:r>
        <w:t xml:space="preserve"> </w:t>
      </w:r>
      <w:r>
        <w:t xml:space="preserve">Seminara 2003, PMID 14573733.</w:t>
      </w:r>
    </w:p>
  </w:footnote>
  <w:footnote w:id="2177">
    <w:p>
      <w:pPr>
        <w:pStyle w:val="FootnoteText"/>
      </w:pPr>
      <w:r>
        <w:rPr>
          <w:rStyle w:val="FootnoteReference"/>
        </w:rPr>
        <w:footnoteRef/>
      </w:r>
      <w:r>
        <w:t xml:space="preserve"> </w:t>
      </w:r>
      <w:r>
        <w:t xml:space="preserve">Lee 1996, PMID 8944003; Ohtaki 2001, PMID 11385580.</w:t>
      </w:r>
    </w:p>
  </w:footnote>
  <w:footnote w:id="2178">
    <w:p>
      <w:pPr>
        <w:pStyle w:val="FootnoteText"/>
      </w:pPr>
      <w:r>
        <w:rPr>
          <w:rStyle w:val="FootnoteReference"/>
        </w:rPr>
        <w:footnoteRef/>
      </w:r>
      <w:r>
        <w:t xml:space="preserve"> </w:t>
      </w:r>
      <w:r>
        <w:t xml:space="preserve">Romero-Ruiz 2019, PMID 31820802.</w:t>
      </w:r>
    </w:p>
  </w:footnote>
  <w:footnote w:id="2179">
    <w:p>
      <w:pPr>
        <w:pStyle w:val="FootnoteText"/>
      </w:pPr>
      <w:r>
        <w:rPr>
          <w:rStyle w:val="FootnoteReference"/>
        </w:rPr>
        <w:footnoteRef/>
      </w:r>
      <w:r>
        <w:t xml:space="preserve"> </w:t>
      </w:r>
      <w:r>
        <w:t xml:space="preserve">Koysombat 2025, PMID 39813600.</w:t>
      </w:r>
    </w:p>
  </w:footnote>
  <w:footnote w:id="2181">
    <w:p>
      <w:pPr>
        <w:pStyle w:val="FootnoteText"/>
      </w:pPr>
      <w:r>
        <w:rPr>
          <w:rStyle w:val="FootnoteReference"/>
        </w:rPr>
        <w:footnoteRef/>
      </w:r>
      <w:r>
        <w:t xml:space="preserve"> </w:t>
      </w:r>
      <w:r>
        <w:t xml:space="preserve">Jayasena 2010, PMID 20980998; Thurston 2022, PMID 36287566; Mills 2025, PMID 40215751.</w:t>
      </w:r>
    </w:p>
  </w:footnote>
  <w:footnote w:id="2182">
    <w:p>
      <w:pPr>
        <w:pStyle w:val="FootnoteText"/>
      </w:pPr>
      <w:r>
        <w:rPr>
          <w:rStyle w:val="FootnoteReference"/>
        </w:rPr>
        <w:footnoteRef/>
      </w:r>
      <w:r>
        <w:t xml:space="preserve"> </w:t>
      </w:r>
      <w:r>
        <w:t xml:space="preserve">Jayasena 2014, PMID 24863252.</w:t>
      </w:r>
    </w:p>
  </w:footnote>
  <w:footnote w:id="2183">
    <w:p>
      <w:pPr>
        <w:pStyle w:val="FootnoteText"/>
      </w:pPr>
      <w:r>
        <w:rPr>
          <w:rStyle w:val="FootnoteReference"/>
        </w:rPr>
        <w:footnoteRef/>
      </w:r>
      <w:r>
        <w:t xml:space="preserve"> </w:t>
      </w:r>
      <w:r>
        <w:t xml:space="preserve">Mills 2025, PMID 40036336.</w:t>
      </w:r>
    </w:p>
  </w:footnote>
  <w:footnote w:id="2184">
    <w:p>
      <w:pPr>
        <w:pStyle w:val="FootnoteText"/>
      </w:pPr>
      <w:r>
        <w:rPr>
          <w:rStyle w:val="FootnoteReference"/>
        </w:rPr>
        <w:footnoteRef/>
      </w:r>
      <w:r>
        <w:t xml:space="preserve"> </w:t>
      </w:r>
      <w:r>
        <w:t xml:space="preserve">MacLean 2014, PMID 24762108.</w:t>
      </w:r>
    </w:p>
  </w:footnote>
  <w:footnote w:id="2190">
    <w:p>
      <w:pPr>
        <w:pStyle w:val="FootnoteText"/>
      </w:pPr>
      <w:r>
        <w:rPr>
          <w:rStyle w:val="FootnoteReference"/>
        </w:rPr>
        <w:footnoteRef/>
      </w:r>
      <w:r>
        <w:t xml:space="preserve"> </w:t>
      </w:r>
      <w:r>
        <w:t xml:space="preserve">NCT07224490.</w:t>
      </w:r>
    </w:p>
  </w:footnote>
  <w:footnote w:id="2191">
    <w:p>
      <w:pPr>
        <w:pStyle w:val="FootnoteText"/>
      </w:pPr>
      <w:r>
        <w:rPr>
          <w:rStyle w:val="FootnoteReference"/>
        </w:rPr>
        <w:footnoteRef/>
      </w:r>
      <w:r>
        <w:t xml:space="preserve"> </w:t>
      </w:r>
      <w:r>
        <w:t xml:space="preserve">NCT04648969.</w:t>
      </w:r>
    </w:p>
  </w:footnote>
  <w:footnote w:id="2197">
    <w:p>
      <w:pPr>
        <w:pStyle w:val="FootnoteText"/>
      </w:pPr>
      <w:r>
        <w:rPr>
          <w:rStyle w:val="FootnoteReference"/>
        </w:rPr>
        <w:footnoteRef/>
      </w:r>
      <w:r>
        <w:t xml:space="preserve"> </w:t>
      </w:r>
      <w:r>
        <w:t xml:space="preserve">Leng 2016, PMID 26049207.</w:t>
      </w:r>
    </w:p>
  </w:footnote>
  <w:footnote w:id="2198">
    <w:p>
      <w:pPr>
        <w:pStyle w:val="FootnoteText"/>
      </w:pPr>
      <w:r>
        <w:rPr>
          <w:rStyle w:val="FootnoteReference"/>
        </w:rPr>
        <w:footnoteRef/>
      </w:r>
      <w:r>
        <w:t xml:space="preserve"> </w:t>
      </w:r>
      <w:r>
        <w:t xml:space="preserve">Lee 2018, PMID 28289281.</w:t>
      </w:r>
    </w:p>
  </w:footnote>
  <w:footnote w:id="2199">
    <w:p>
      <w:pPr>
        <w:pStyle w:val="FootnoteText"/>
      </w:pPr>
      <w:r>
        <w:rPr>
          <w:rStyle w:val="FootnoteReference"/>
        </w:rPr>
        <w:footnoteRef/>
      </w:r>
      <w:r>
        <w:t xml:space="preserve"> </w:t>
      </w:r>
      <w:r>
        <w:t xml:space="preserve">Lee 2020, PMID 32494001.</w:t>
      </w:r>
    </w:p>
  </w:footnote>
  <w:footnote w:id="2200">
    <w:p>
      <w:pPr>
        <w:pStyle w:val="FootnoteText"/>
      </w:pPr>
      <w:r>
        <w:rPr>
          <w:rStyle w:val="FootnoteReference"/>
        </w:rPr>
        <w:footnoteRef/>
      </w:r>
      <w:r>
        <w:t xml:space="preserve"> </w:t>
      </w:r>
      <w:r>
        <w:t xml:space="preserve">Martins 2020, PMID 32127545.</w:t>
      </w:r>
    </w:p>
  </w:footnote>
  <w:footnote w:id="2201">
    <w:p>
      <w:pPr>
        <w:pStyle w:val="FootnoteText"/>
      </w:pPr>
      <w:r>
        <w:rPr>
          <w:rStyle w:val="FootnoteReference"/>
        </w:rPr>
        <w:footnoteRef/>
      </w:r>
      <w:r>
        <w:t xml:space="preserve"> </w:t>
      </w:r>
      <w:r>
        <w:t xml:space="preserve">Valstad 2017, PMID 28442403.</w:t>
      </w:r>
    </w:p>
  </w:footnote>
  <w:footnote w:id="2202">
    <w:p>
      <w:pPr>
        <w:pStyle w:val="FootnoteText"/>
      </w:pPr>
      <w:r>
        <w:rPr>
          <w:rStyle w:val="FootnoteReference"/>
        </w:rPr>
        <w:footnoteRef/>
      </w:r>
      <w:r>
        <w:t xml:space="preserve"> </w:t>
      </w:r>
      <w:r>
        <w:t xml:space="preserve">Leng 2016, PMID 26049207.</w:t>
      </w:r>
    </w:p>
  </w:footnote>
  <w:footnote w:id="2203">
    <w:p>
      <w:pPr>
        <w:pStyle w:val="FootnoteText"/>
      </w:pPr>
      <w:r>
        <w:rPr>
          <w:rStyle w:val="FootnoteReference"/>
        </w:rPr>
        <w:footnoteRef/>
      </w:r>
      <w:r>
        <w:t xml:space="preserve"> </w:t>
      </w:r>
      <w:r>
        <w:t xml:space="preserve">Quintana 2021, PMID 32807845.</w:t>
      </w:r>
    </w:p>
  </w:footnote>
  <w:footnote w:id="2205">
    <w:p>
      <w:pPr>
        <w:pStyle w:val="FootnoteText"/>
      </w:pPr>
      <w:r>
        <w:rPr>
          <w:rStyle w:val="FootnoteReference"/>
        </w:rPr>
        <w:footnoteRef/>
      </w:r>
      <w:r>
        <w:t xml:space="preserve"> </w:t>
      </w:r>
      <w:r>
        <w:t xml:space="preserve">Salati 2019, PMID 31032882.</w:t>
      </w:r>
    </w:p>
  </w:footnote>
  <w:footnote w:id="2208">
    <w:p>
      <w:pPr>
        <w:pStyle w:val="FootnoteText"/>
      </w:pPr>
      <w:r>
        <w:rPr>
          <w:rStyle w:val="FootnoteReference"/>
        </w:rPr>
        <w:footnoteRef/>
      </w:r>
      <w:r>
        <w:t xml:space="preserve"> </w:t>
      </w:r>
      <w:r>
        <w:t xml:space="preserve">Kosfeld 2005, PMID 15931222.</w:t>
      </w:r>
    </w:p>
  </w:footnote>
  <w:footnote w:id="2209">
    <w:p>
      <w:pPr>
        <w:pStyle w:val="FootnoteText"/>
      </w:pPr>
      <w:r>
        <w:rPr>
          <w:rStyle w:val="FootnoteReference"/>
        </w:rPr>
        <w:footnoteRef/>
      </w:r>
      <w:r>
        <w:t xml:space="preserve"> </w:t>
      </w:r>
      <w:r>
        <w:t xml:space="preserve">Heinrichs 2003, PMID 14675803.</w:t>
      </w:r>
    </w:p>
  </w:footnote>
  <w:footnote w:id="2210">
    <w:p>
      <w:pPr>
        <w:pStyle w:val="FootnoteText"/>
      </w:pPr>
      <w:r>
        <w:rPr>
          <w:rStyle w:val="FootnoteReference"/>
        </w:rPr>
        <w:footnoteRef/>
      </w:r>
      <w:r>
        <w:t xml:space="preserve"> </w:t>
      </w:r>
      <w:r>
        <w:t xml:space="preserve">Leppanen 2017, PMID 28467893.</w:t>
      </w:r>
    </w:p>
  </w:footnote>
  <w:footnote w:id="2212">
    <w:p>
      <w:pPr>
        <w:pStyle w:val="FootnoteText"/>
      </w:pPr>
      <w:r>
        <w:rPr>
          <w:rStyle w:val="FootnoteReference"/>
        </w:rPr>
        <w:footnoteRef/>
      </w:r>
      <w:r>
        <w:t xml:space="preserve"> </w:t>
      </w:r>
      <w:r>
        <w:t xml:space="preserve">Nave 2015, PMID 26581735.</w:t>
      </w:r>
    </w:p>
  </w:footnote>
  <w:footnote w:id="2213">
    <w:p>
      <w:pPr>
        <w:pStyle w:val="FootnoteText"/>
      </w:pPr>
      <w:r>
        <w:rPr>
          <w:rStyle w:val="FootnoteReference"/>
        </w:rPr>
        <w:footnoteRef/>
      </w:r>
      <w:r>
        <w:t xml:space="preserve"> </w:t>
      </w:r>
      <w:r>
        <w:t xml:space="preserve">Walum 2016, PMID 26210057.</w:t>
      </w:r>
    </w:p>
  </w:footnote>
  <w:footnote w:id="2214">
    <w:p>
      <w:pPr>
        <w:pStyle w:val="FootnoteText"/>
      </w:pPr>
      <w:r>
        <w:rPr>
          <w:rStyle w:val="FootnoteReference"/>
        </w:rPr>
        <w:footnoteRef/>
      </w:r>
      <w:r>
        <w:t xml:space="preserve"> </w:t>
      </w:r>
      <w:r>
        <w:t xml:space="preserve">Declerck 2020, PMID 32514040.</w:t>
      </w:r>
    </w:p>
  </w:footnote>
  <w:footnote w:id="2215">
    <w:p>
      <w:pPr>
        <w:pStyle w:val="FootnoteText"/>
      </w:pPr>
      <w:r>
        <w:rPr>
          <w:rStyle w:val="FootnoteReference"/>
        </w:rPr>
        <w:footnoteRef/>
      </w:r>
      <w:r>
        <w:t xml:space="preserve"> </w:t>
      </w:r>
      <w:r>
        <w:t xml:space="preserve">Vogt 2026, PMID 42561025.</w:t>
      </w:r>
    </w:p>
  </w:footnote>
  <w:footnote w:id="2216">
    <w:p>
      <w:pPr>
        <w:pStyle w:val="FootnoteText"/>
      </w:pPr>
      <w:r>
        <w:rPr>
          <w:rStyle w:val="FootnoteReference"/>
        </w:rPr>
        <w:footnoteRef/>
      </w:r>
      <w:r>
        <w:t xml:space="preserve"> </w:t>
      </w:r>
      <w:r>
        <w:t xml:space="preserve">Iversen 2026, PMID 41389446.</w:t>
      </w:r>
    </w:p>
  </w:footnote>
  <w:footnote w:id="2218">
    <w:p>
      <w:pPr>
        <w:pStyle w:val="FootnoteText"/>
      </w:pPr>
      <w:r>
        <w:rPr>
          <w:rStyle w:val="FootnoteReference"/>
        </w:rPr>
        <w:footnoteRef/>
      </w:r>
      <w:r>
        <w:t xml:space="preserve"> </w:t>
      </w:r>
      <w:r>
        <w:t xml:space="preserve">Sikich 2021, PMID 34644471.</w:t>
      </w:r>
    </w:p>
  </w:footnote>
  <w:footnote w:id="2219">
    <w:p>
      <w:pPr>
        <w:pStyle w:val="FootnoteText"/>
      </w:pPr>
      <w:r>
        <w:rPr>
          <w:rStyle w:val="FootnoteReference"/>
        </w:rPr>
        <w:footnoteRef/>
      </w:r>
      <w:r>
        <w:t xml:space="preserve"> </w:t>
      </w:r>
      <w:r>
        <w:t xml:space="preserve">Preti 2014, PMID 24679173.</w:t>
      </w:r>
    </w:p>
  </w:footnote>
  <w:footnote w:id="2220">
    <w:p>
      <w:pPr>
        <w:pStyle w:val="FootnoteText"/>
      </w:pPr>
      <w:r>
        <w:rPr>
          <w:rStyle w:val="FootnoteReference"/>
        </w:rPr>
        <w:footnoteRef/>
      </w:r>
      <w:r>
        <w:t xml:space="preserve"> </w:t>
      </w:r>
      <w:r>
        <w:t xml:space="preserve">Sikich 2021, PMID 34644471; NCT01944046.</w:t>
      </w:r>
    </w:p>
  </w:footnote>
  <w:footnote w:id="2221">
    <w:p>
      <w:pPr>
        <w:pStyle w:val="FootnoteText"/>
      </w:pPr>
      <w:r>
        <w:rPr>
          <w:rStyle w:val="FootnoteReference"/>
        </w:rPr>
        <w:footnoteRef/>
      </w:r>
      <w:r>
        <w:t xml:space="preserve"> </w:t>
      </w:r>
      <w:r>
        <w:t xml:space="preserve">Yatawara 2016, PMID 26503762.</w:t>
      </w:r>
    </w:p>
  </w:footnote>
  <w:footnote w:id="2222">
    <w:p>
      <w:pPr>
        <w:pStyle w:val="FootnoteText"/>
      </w:pPr>
      <w:r>
        <w:rPr>
          <w:rStyle w:val="FootnoteReference"/>
        </w:rPr>
        <w:footnoteRef/>
      </w:r>
      <w:r>
        <w:t xml:space="preserve"> </w:t>
      </w:r>
      <w:r>
        <w:t xml:space="preserve">Guastella 2023, PMID 36302965.</w:t>
      </w:r>
    </w:p>
  </w:footnote>
  <w:footnote w:id="2223">
    <w:p>
      <w:pPr>
        <w:pStyle w:val="FootnoteText"/>
      </w:pPr>
      <w:r>
        <w:rPr>
          <w:rStyle w:val="FootnoteReference"/>
        </w:rPr>
        <w:footnoteRef/>
      </w:r>
      <w:r>
        <w:t xml:space="preserve"> </w:t>
      </w:r>
      <w:r>
        <w:t xml:space="preserve">Guastella 2015, PMID 25087908.</w:t>
      </w:r>
    </w:p>
  </w:footnote>
  <w:footnote w:id="2224">
    <w:p>
      <w:pPr>
        <w:pStyle w:val="FootnoteText"/>
      </w:pPr>
      <w:r>
        <w:rPr>
          <w:rStyle w:val="FootnoteReference"/>
        </w:rPr>
        <w:footnoteRef/>
      </w:r>
      <w:r>
        <w:t xml:space="preserve"> </w:t>
      </w:r>
      <w:r>
        <w:t xml:space="preserve">Moerkerke 2024, PMID 38167302.</w:t>
      </w:r>
    </w:p>
  </w:footnote>
  <w:footnote w:id="2225">
    <w:p>
      <w:pPr>
        <w:pStyle w:val="FootnoteText"/>
      </w:pPr>
      <w:r>
        <w:rPr>
          <w:rStyle w:val="FootnoteReference"/>
        </w:rPr>
        <w:footnoteRef/>
      </w:r>
      <w:r>
        <w:t xml:space="preserve"> </w:t>
      </w:r>
      <w:r>
        <w:t xml:space="preserve">Moerkerke 2024, PMID 39709442.</w:t>
      </w:r>
    </w:p>
  </w:footnote>
  <w:footnote w:id="2226">
    <w:p>
      <w:pPr>
        <w:pStyle w:val="FootnoteText"/>
      </w:pPr>
      <w:r>
        <w:rPr>
          <w:rStyle w:val="FootnoteReference"/>
        </w:rPr>
        <w:footnoteRef/>
      </w:r>
      <w:r>
        <w:t xml:space="preserve"> </w:t>
      </w:r>
      <w:r>
        <w:t xml:space="preserve">Keech 2018, PMID 29032324.</w:t>
      </w:r>
    </w:p>
  </w:footnote>
  <w:footnote w:id="2227">
    <w:p>
      <w:pPr>
        <w:pStyle w:val="FootnoteText"/>
      </w:pPr>
      <w:r>
        <w:rPr>
          <w:rStyle w:val="FootnoteReference"/>
        </w:rPr>
        <w:footnoteRef/>
      </w:r>
      <w:r>
        <w:t xml:space="preserve"> </w:t>
      </w:r>
      <w:r>
        <w:t xml:space="preserve">Huang 2021, PMID 33400920.</w:t>
      </w:r>
    </w:p>
  </w:footnote>
  <w:footnote w:id="2228">
    <w:p>
      <w:pPr>
        <w:pStyle w:val="FootnoteText"/>
      </w:pPr>
      <w:r>
        <w:rPr>
          <w:rStyle w:val="FootnoteReference"/>
        </w:rPr>
        <w:footnoteRef/>
      </w:r>
      <w:r>
        <w:t xml:space="preserve"> </w:t>
      </w:r>
      <w:r>
        <w:t xml:space="preserve">Bonnieux 2026, PMID 42134427.</w:t>
      </w:r>
    </w:p>
  </w:footnote>
  <w:footnote w:id="2229">
    <w:p>
      <w:pPr>
        <w:pStyle w:val="FootnoteText"/>
      </w:pPr>
      <w:r>
        <w:rPr>
          <w:rStyle w:val="FootnoteReference"/>
        </w:rPr>
        <w:footnoteRef/>
      </w:r>
      <w:r>
        <w:t xml:space="preserve"> </w:t>
      </w:r>
      <w:r>
        <w:t xml:space="preserve">Boulton 2026, PMID 42144048.</w:t>
      </w:r>
    </w:p>
  </w:footnote>
  <w:footnote w:id="2231">
    <w:p>
      <w:pPr>
        <w:pStyle w:val="FootnoteText"/>
      </w:pPr>
      <w:r>
        <w:rPr>
          <w:rStyle w:val="FootnoteReference"/>
        </w:rPr>
        <w:footnoteRef/>
      </w:r>
      <w:r>
        <w:t xml:space="preserve"> </w:t>
      </w:r>
      <w:r>
        <w:t xml:space="preserve">Jarskog 2017, PMID 28094169.</w:t>
      </w:r>
    </w:p>
  </w:footnote>
  <w:footnote w:id="2232">
    <w:p>
      <w:pPr>
        <w:pStyle w:val="FootnoteText"/>
      </w:pPr>
      <w:r>
        <w:rPr>
          <w:rStyle w:val="FootnoteReference"/>
        </w:rPr>
        <w:footnoteRef/>
      </w:r>
      <w:r>
        <w:t xml:space="preserve"> </w:t>
      </w:r>
      <w:r>
        <w:t xml:space="preserve">Sabe 2021, PMID 33890987.</w:t>
      </w:r>
    </w:p>
  </w:footnote>
  <w:footnote w:id="2233">
    <w:p>
      <w:pPr>
        <w:pStyle w:val="FootnoteText"/>
      </w:pPr>
      <w:r>
        <w:rPr>
          <w:rStyle w:val="FootnoteReference"/>
        </w:rPr>
        <w:footnoteRef/>
      </w:r>
      <w:r>
        <w:t xml:space="preserve"> </w:t>
      </w:r>
      <w:r>
        <w:t xml:space="preserve">Bonnieux 2026, PMID 42134427.</w:t>
      </w:r>
    </w:p>
  </w:footnote>
  <w:footnote w:id="2234">
    <w:p>
      <w:pPr>
        <w:pStyle w:val="FootnoteText"/>
      </w:pPr>
      <w:r>
        <w:rPr>
          <w:rStyle w:val="FootnoteReference"/>
        </w:rPr>
        <w:footnoteRef/>
      </w:r>
      <w:r>
        <w:t xml:space="preserve"> </w:t>
      </w:r>
      <w:r>
        <w:t xml:space="preserve">Melby 2019, PMID 30784955.</w:t>
      </w:r>
    </w:p>
  </w:footnote>
  <w:footnote w:id="2235">
    <w:p>
      <w:pPr>
        <w:pStyle w:val="FootnoteText"/>
      </w:pPr>
      <w:r>
        <w:rPr>
          <w:rStyle w:val="FootnoteReference"/>
        </w:rPr>
        <w:footnoteRef/>
      </w:r>
      <w:r>
        <w:t xml:space="preserve"> </w:t>
      </w:r>
      <w:r>
        <w:t xml:space="preserve">Santos 2026, PMID 42335670.</w:t>
      </w:r>
    </w:p>
  </w:footnote>
  <w:footnote w:id="2236">
    <w:p>
      <w:pPr>
        <w:pStyle w:val="FootnoteText"/>
      </w:pPr>
      <w:r>
        <w:rPr>
          <w:rStyle w:val="FootnoteReference"/>
        </w:rPr>
        <w:footnoteRef/>
      </w:r>
      <w:r>
        <w:t xml:space="preserve"> </w:t>
      </w:r>
      <w:r>
        <w:t xml:space="preserve">Pérez-Arqueros 2025, PMID 39366103.</w:t>
      </w:r>
    </w:p>
  </w:footnote>
  <w:footnote w:id="2237">
    <w:p>
      <w:pPr>
        <w:pStyle w:val="FootnoteText"/>
      </w:pPr>
      <w:r>
        <w:rPr>
          <w:rStyle w:val="FootnoteReference"/>
        </w:rPr>
        <w:footnoteRef/>
      </w:r>
      <w:r>
        <w:t xml:space="preserve"> </w:t>
      </w:r>
      <w:r>
        <w:t xml:space="preserve">Riem 2025, PMID 40614394.</w:t>
      </w:r>
    </w:p>
  </w:footnote>
  <w:footnote w:id="2239">
    <w:p>
      <w:pPr>
        <w:pStyle w:val="FootnoteText"/>
      </w:pPr>
      <w:r>
        <w:rPr>
          <w:rStyle w:val="FootnoteReference"/>
        </w:rPr>
        <w:footnoteRef/>
      </w:r>
      <w:r>
        <w:t xml:space="preserve"> </w:t>
      </w:r>
      <w:r>
        <w:t xml:space="preserve">Chen 2021, PMID 34600216.</w:t>
      </w:r>
    </w:p>
  </w:footnote>
  <w:footnote w:id="2240">
    <w:p>
      <w:pPr>
        <w:pStyle w:val="FootnoteText"/>
      </w:pPr>
      <w:r>
        <w:rPr>
          <w:rStyle w:val="FootnoteReference"/>
        </w:rPr>
        <w:footnoteRef/>
      </w:r>
      <w:r>
        <w:t xml:space="preserve"> </w:t>
      </w:r>
      <w:r>
        <w:t xml:space="preserve">Plessow 2024, PMID 38815173.</w:t>
      </w:r>
    </w:p>
  </w:footnote>
  <w:footnote w:id="2241">
    <w:p>
      <w:pPr>
        <w:pStyle w:val="FootnoteText"/>
      </w:pPr>
      <w:r>
        <w:rPr>
          <w:rStyle w:val="FootnoteReference"/>
        </w:rPr>
        <w:footnoteRef/>
      </w:r>
      <w:r>
        <w:t xml:space="preserve"> </w:t>
      </w:r>
      <w:r>
        <w:t xml:space="preserve">Espinoza 2021, PMID 34029521.</w:t>
      </w:r>
    </w:p>
  </w:footnote>
  <w:footnote w:id="2242">
    <w:p>
      <w:pPr>
        <w:pStyle w:val="FootnoteText"/>
      </w:pPr>
      <w:r>
        <w:rPr>
          <w:rStyle w:val="FootnoteReference"/>
        </w:rPr>
        <w:footnoteRef/>
      </w:r>
      <w:r>
        <w:t xml:space="preserve"> </w:t>
      </w:r>
      <w:r>
        <w:t xml:space="preserve">Shalma 2023, PMID 36774885.</w:t>
      </w:r>
    </w:p>
  </w:footnote>
  <w:footnote w:id="2243">
    <w:p>
      <w:pPr>
        <w:pStyle w:val="FootnoteText"/>
      </w:pPr>
      <w:r>
        <w:rPr>
          <w:rStyle w:val="FootnoteReference"/>
        </w:rPr>
        <w:footnoteRef/>
      </w:r>
      <w:r>
        <w:t xml:space="preserve"> </w:t>
      </w:r>
      <w:r>
        <w:t xml:space="preserve">Hollander 2021, PMID 33190843.</w:t>
      </w:r>
    </w:p>
  </w:footnote>
  <w:footnote w:id="2244">
    <w:p>
      <w:pPr>
        <w:pStyle w:val="FootnoteText"/>
      </w:pPr>
      <w:r>
        <w:rPr>
          <w:rStyle w:val="FootnoteReference"/>
        </w:rPr>
        <w:footnoteRef/>
      </w:r>
      <w:r>
        <w:t xml:space="preserve"> </w:t>
      </w:r>
      <w:r>
        <w:t xml:space="preserve">Lopes 2023, PMID 36463692.</w:t>
      </w:r>
    </w:p>
  </w:footnote>
  <w:footnote w:id="2246">
    <w:p>
      <w:pPr>
        <w:pStyle w:val="FootnoteText"/>
      </w:pPr>
      <w:r>
        <w:rPr>
          <w:rStyle w:val="FootnoteReference"/>
        </w:rPr>
        <w:footnoteRef/>
      </w:r>
      <w:r>
        <w:t xml:space="preserve"> </w:t>
      </w:r>
      <w:r>
        <w:t xml:space="preserve">Burri 2008, PMID 18375074.</w:t>
      </w:r>
    </w:p>
  </w:footnote>
  <w:footnote w:id="2247">
    <w:p>
      <w:pPr>
        <w:pStyle w:val="FootnoteText"/>
      </w:pPr>
      <w:r>
        <w:rPr>
          <w:rStyle w:val="FootnoteReference"/>
        </w:rPr>
        <w:footnoteRef/>
      </w:r>
      <w:r>
        <w:t xml:space="preserve"> </w:t>
      </w:r>
      <w:r>
        <w:t xml:space="preserve">Weinberger 2018, PMID 29995725.</w:t>
      </w:r>
    </w:p>
  </w:footnote>
  <w:footnote w:id="2249">
    <w:p>
      <w:pPr>
        <w:pStyle w:val="FootnoteText"/>
      </w:pPr>
      <w:r>
        <w:rPr>
          <w:rStyle w:val="FootnoteReference"/>
        </w:rPr>
        <w:footnoteRef/>
      </w:r>
      <w:r>
        <w:t xml:space="preserve"> </w:t>
      </w:r>
      <w:r>
        <w:t xml:space="preserve">Atila 2023, PMID 37192642.</w:t>
      </w:r>
    </w:p>
  </w:footnote>
  <w:footnote w:id="2250">
    <w:p>
      <w:pPr>
        <w:pStyle w:val="FootnoteText"/>
      </w:pPr>
      <w:r>
        <w:rPr>
          <w:rStyle w:val="FootnoteReference"/>
        </w:rPr>
        <w:footnoteRef/>
      </w:r>
      <w:r>
        <w:t xml:space="preserve"> </w:t>
      </w:r>
      <w:r>
        <w:t xml:space="preserve">NCT06036004.</w:t>
      </w:r>
    </w:p>
  </w:footnote>
  <w:footnote w:id="2253">
    <w:p>
      <w:pPr>
        <w:pStyle w:val="FootnoteText"/>
      </w:pPr>
      <w:r>
        <w:rPr>
          <w:rStyle w:val="FootnoteReference"/>
        </w:rPr>
        <w:footnoteRef/>
      </w:r>
      <w:r>
        <w:t xml:space="preserve"> </w:t>
      </w:r>
      <w:r>
        <w:t xml:space="preserve">Minakova 2019, PMID 30629642.</w:t>
      </w:r>
    </w:p>
  </w:footnote>
  <w:footnote w:id="2254">
    <w:p>
      <w:pPr>
        <w:pStyle w:val="FootnoteText"/>
      </w:pPr>
      <w:r>
        <w:rPr>
          <w:rStyle w:val="FootnoteReference"/>
        </w:rPr>
        <w:footnoteRef/>
      </w:r>
      <w:r>
        <w:t xml:space="preserve"> </w:t>
      </w:r>
      <w:r>
        <w:t xml:space="preserve">Lee 2020, PMID 32494001.</w:t>
      </w:r>
    </w:p>
  </w:footnote>
  <w:footnote w:id="2256">
    <w:p>
      <w:pPr>
        <w:pStyle w:val="FootnoteText"/>
      </w:pPr>
      <w:r>
        <w:rPr>
          <w:rStyle w:val="FootnoteReference"/>
        </w:rPr>
        <w:footnoteRef/>
      </w:r>
      <w:r>
        <w:t xml:space="preserve"> </w:t>
      </w:r>
      <w:r>
        <w:t xml:space="preserve">MacDonald 2011, PMID 21429671.</w:t>
      </w:r>
    </w:p>
  </w:footnote>
  <w:footnote w:id="2257">
    <w:p>
      <w:pPr>
        <w:pStyle w:val="FootnoteText"/>
      </w:pPr>
      <w:r>
        <w:rPr>
          <w:rStyle w:val="FootnoteReference"/>
        </w:rPr>
        <w:footnoteRef/>
      </w:r>
      <w:r>
        <w:t xml:space="preserve"> </w:t>
      </w:r>
      <w:r>
        <w:t xml:space="preserve">Sikich 2021, PMID 34644471.</w:t>
      </w:r>
    </w:p>
  </w:footnote>
  <w:footnote w:id="2258">
    <w:p>
      <w:pPr>
        <w:pStyle w:val="FootnoteText"/>
      </w:pPr>
      <w:r>
        <w:rPr>
          <w:rStyle w:val="FootnoteReference"/>
        </w:rPr>
        <w:footnoteRef/>
      </w:r>
      <w:r>
        <w:t xml:space="preserve"> </w:t>
      </w:r>
      <w:r>
        <w:t xml:space="preserve">Rung 2021, PMID 33982141.</w:t>
      </w:r>
    </w:p>
  </w:footnote>
  <w:footnote w:id="2259">
    <w:p>
      <w:pPr>
        <w:pStyle w:val="FootnoteText"/>
      </w:pPr>
      <w:r>
        <w:rPr>
          <w:rStyle w:val="FootnoteReference"/>
        </w:rPr>
        <w:footnoteRef/>
      </w:r>
      <w:r>
        <w:t xml:space="preserve"> </w:t>
      </w:r>
      <w:r>
        <w:t xml:space="preserve">Yatawara 2016, PMID 26503762.</w:t>
      </w:r>
    </w:p>
  </w:footnote>
  <w:footnote w:id="2261">
    <w:p>
      <w:pPr>
        <w:pStyle w:val="FootnoteText"/>
      </w:pPr>
      <w:r>
        <w:rPr>
          <w:rStyle w:val="FootnoteReference"/>
        </w:rPr>
        <w:footnoteRef/>
      </w:r>
      <w:r>
        <w:t xml:space="preserve"> </w:t>
      </w:r>
      <w:r>
        <w:t xml:space="preserve">Mayer-Hubner 1996, PMID 8596357.</w:t>
      </w:r>
    </w:p>
  </w:footnote>
  <w:footnote w:id="2262">
    <w:p>
      <w:pPr>
        <w:pStyle w:val="FootnoteText"/>
      </w:pPr>
      <w:r>
        <w:rPr>
          <w:rStyle w:val="FootnoteReference"/>
        </w:rPr>
        <w:footnoteRef/>
      </w:r>
      <w:r>
        <w:t xml:space="preserve"> </w:t>
      </w:r>
      <w:r>
        <w:t xml:space="preserve">Meusel 2021, PMID 33296278.</w:t>
      </w:r>
    </w:p>
  </w:footnote>
  <w:footnote w:id="2267">
    <w:p>
      <w:pPr>
        <w:pStyle w:val="FootnoteText"/>
      </w:pPr>
      <w:r>
        <w:rPr>
          <w:rStyle w:val="FootnoteReference"/>
        </w:rPr>
        <w:footnoteRef/>
      </w:r>
      <w:r>
        <w:t xml:space="preserve"> </w:t>
      </w:r>
      <w:r>
        <w:t xml:space="preserve">NCT04903002.</w:t>
      </w:r>
    </w:p>
  </w:footnote>
  <w:footnote w:id="2268">
    <w:p>
      <w:pPr>
        <w:pStyle w:val="FootnoteText"/>
      </w:pPr>
      <w:r>
        <w:rPr>
          <w:rStyle w:val="FootnoteReference"/>
        </w:rPr>
        <w:footnoteRef/>
      </w:r>
      <w:r>
        <w:t xml:space="preserve"> </w:t>
      </w:r>
      <w:r>
        <w:t xml:space="preserve">NCT06036004.</w:t>
      </w:r>
    </w:p>
  </w:footnote>
  <w:footnote w:id="2269">
    <w:p>
      <w:pPr>
        <w:pStyle w:val="FootnoteText"/>
      </w:pPr>
      <w:r>
        <w:rPr>
          <w:rStyle w:val="FootnoteReference"/>
        </w:rPr>
        <w:footnoteRef/>
      </w:r>
      <w:r>
        <w:t xml:space="preserve"> </w:t>
      </w:r>
      <w:r>
        <w:t xml:space="preserve">NCT05754073.</w:t>
      </w:r>
    </w:p>
  </w:footnote>
  <w:footnote w:id="2270">
    <w:p>
      <w:pPr>
        <w:pStyle w:val="FootnoteText"/>
      </w:pPr>
      <w:r>
        <w:rPr>
          <w:rStyle w:val="FootnoteReference"/>
        </w:rPr>
        <w:footnoteRef/>
      </w:r>
      <w:r>
        <w:t xml:space="preserve"> </w:t>
      </w:r>
      <w:r>
        <w:t xml:space="preserve">NCT05664516.</w:t>
      </w:r>
    </w:p>
  </w:footnote>
  <w:footnote w:id="2271">
    <w:p>
      <w:pPr>
        <w:pStyle w:val="FootnoteText"/>
      </w:pPr>
      <w:r>
        <w:rPr>
          <w:rStyle w:val="FootnoteReference"/>
        </w:rPr>
        <w:footnoteRef/>
      </w:r>
      <w:r>
        <w:t xml:space="preserve"> </w:t>
      </w:r>
      <w:r>
        <w:t xml:space="preserve">NCT07730294.</w:t>
      </w:r>
    </w:p>
  </w:footnote>
  <w:footnote w:id="2277">
    <w:p>
      <w:pPr>
        <w:pStyle w:val="FootnoteText"/>
      </w:pPr>
      <w:r>
        <w:rPr>
          <w:rStyle w:val="FootnoteReference"/>
        </w:rPr>
        <w:footnoteRef/>
      </w:r>
      <w:r>
        <w:t xml:space="preserve"> </w:t>
      </w:r>
      <w:r>
        <w:t xml:space="preserve">Steg 1985, PMID 2934695.</w:t>
      </w:r>
    </w:p>
  </w:footnote>
  <w:footnote w:id="2278">
    <w:p>
      <w:pPr>
        <w:pStyle w:val="FootnoteText"/>
      </w:pPr>
      <w:r>
        <w:rPr>
          <w:rStyle w:val="FootnoteReference"/>
        </w:rPr>
        <w:footnoteRef/>
      </w:r>
      <w:r>
        <w:t xml:space="preserve"> </w:t>
      </w:r>
      <w:r>
        <w:t xml:space="preserve">Segarra 1996, PMID 8773342; Falkenbach 1997, PMID 9189734.</w:t>
      </w:r>
    </w:p>
  </w:footnote>
  <w:footnote w:id="2279">
    <w:p>
      <w:pPr>
        <w:pStyle w:val="FootnoteText"/>
      </w:pPr>
      <w:r>
        <w:rPr>
          <w:rStyle w:val="FootnoteReference"/>
        </w:rPr>
        <w:footnoteRef/>
      </w:r>
      <w:r>
        <w:t xml:space="preserve"> </w:t>
      </w:r>
      <w:r>
        <w:t xml:space="preserve">Kandemir 2011, PMID 21448328.</w:t>
      </w:r>
    </w:p>
  </w:footnote>
  <w:footnote w:id="2280">
    <w:p>
      <w:pPr>
        <w:pStyle w:val="FootnoteText"/>
      </w:pPr>
      <w:r>
        <w:rPr>
          <w:rStyle w:val="FootnoteReference"/>
        </w:rPr>
        <w:footnoteRef/>
      </w:r>
      <w:r>
        <w:t xml:space="preserve"> </w:t>
      </w:r>
      <w:r>
        <w:t xml:space="preserve">Ab Rahim 2020, PMID 32871650.</w:t>
      </w:r>
    </w:p>
  </w:footnote>
  <w:footnote w:id="2281">
    <w:p>
      <w:pPr>
        <w:pStyle w:val="FootnoteText"/>
      </w:pPr>
      <w:r>
        <w:rPr>
          <w:rStyle w:val="FootnoteReference"/>
        </w:rPr>
        <w:footnoteRef/>
      </w:r>
      <w:r>
        <w:t xml:space="preserve"> </w:t>
      </w:r>
      <w:r>
        <w:t xml:space="preserve">Chioma 2025, PMID 41384863.</w:t>
      </w:r>
    </w:p>
  </w:footnote>
  <w:footnote w:id="2283">
    <w:p>
      <w:pPr>
        <w:pStyle w:val="FootnoteText"/>
      </w:pPr>
      <w:r>
        <w:rPr>
          <w:rStyle w:val="FootnoteReference"/>
        </w:rPr>
        <w:footnoteRef/>
      </w:r>
      <w:r>
        <w:t xml:space="preserve"> </w:t>
      </w:r>
      <w:r>
        <w:t xml:space="preserve">Quaas 2022, PMID 36378460.</w:t>
      </w:r>
    </w:p>
  </w:footnote>
  <w:footnote w:id="2284">
    <w:p>
      <w:pPr>
        <w:pStyle w:val="FootnoteText"/>
      </w:pPr>
      <w:r>
        <w:rPr>
          <w:rStyle w:val="FootnoteReference"/>
        </w:rPr>
        <w:footnoteRef/>
      </w:r>
      <w:r>
        <w:t xml:space="preserve"> </w:t>
      </w:r>
      <w:r>
        <w:t xml:space="preserve">Filicori 1994, PMID 7962297.</w:t>
      </w:r>
    </w:p>
  </w:footnote>
  <w:footnote w:id="2285">
    <w:p>
      <w:pPr>
        <w:pStyle w:val="FootnoteText"/>
      </w:pPr>
      <w:r>
        <w:rPr>
          <w:rStyle w:val="FootnoteReference"/>
        </w:rPr>
        <w:footnoteRef/>
      </w:r>
      <w:r>
        <w:t xml:space="preserve"> </w:t>
      </w:r>
      <w:r>
        <w:t xml:space="preserve">Santoro 1990, PMID 2122733.</w:t>
      </w:r>
    </w:p>
  </w:footnote>
  <w:footnote w:id="2286">
    <w:p>
      <w:pPr>
        <w:pStyle w:val="FootnoteText"/>
      </w:pPr>
      <w:r>
        <w:rPr>
          <w:rStyle w:val="FootnoteReference"/>
        </w:rPr>
        <w:footnoteRef/>
      </w:r>
      <w:r>
        <w:t xml:space="preserve"> </w:t>
      </w:r>
      <w:r>
        <w:t xml:space="preserve">Christin-Maitre 2007, PMID 17293247.</w:t>
      </w:r>
    </w:p>
  </w:footnote>
  <w:footnote w:id="2287">
    <w:p>
      <w:pPr>
        <w:pStyle w:val="FootnoteText"/>
      </w:pPr>
      <w:r>
        <w:rPr>
          <w:rStyle w:val="FootnoteReference"/>
        </w:rPr>
        <w:footnoteRef/>
      </w:r>
      <w:r>
        <w:t xml:space="preserve"> </w:t>
      </w:r>
      <w:r>
        <w:t xml:space="preserve">Quaas 2022, PMID 36378460.</w:t>
      </w:r>
    </w:p>
  </w:footnote>
  <w:footnote w:id="2289">
    <w:p>
      <w:pPr>
        <w:pStyle w:val="FootnoteText"/>
      </w:pPr>
      <w:r>
        <w:rPr>
          <w:rStyle w:val="FootnoteReference"/>
        </w:rPr>
        <w:footnoteRef/>
      </w:r>
      <w:r>
        <w:t xml:space="preserve"> </w:t>
      </w:r>
      <w:r>
        <w:t xml:space="preserve">Kliesch 1994, PMID 7921222.</w:t>
      </w:r>
    </w:p>
  </w:footnote>
  <w:footnote w:id="2290">
    <w:p>
      <w:pPr>
        <w:pStyle w:val="FootnoteText"/>
      </w:pPr>
      <w:r>
        <w:rPr>
          <w:rStyle w:val="FootnoteReference"/>
        </w:rPr>
        <w:footnoteRef/>
      </w:r>
      <w:r>
        <w:t xml:space="preserve"> </w:t>
      </w:r>
      <w:r>
        <w:t xml:space="preserve">Gong 2015, PMID 25978110.</w:t>
      </w:r>
    </w:p>
  </w:footnote>
  <w:footnote w:id="2291">
    <w:p>
      <w:pPr>
        <w:pStyle w:val="FootnoteText"/>
      </w:pPr>
      <w:r>
        <w:rPr>
          <w:rStyle w:val="FootnoteReference"/>
        </w:rPr>
        <w:footnoteRef/>
      </w:r>
      <w:r>
        <w:t xml:space="preserve"> </w:t>
      </w:r>
      <w:r>
        <w:t xml:space="preserve">Dwyer 2013, PMID 24037890.</w:t>
      </w:r>
    </w:p>
  </w:footnote>
  <w:footnote w:id="2293">
    <w:p>
      <w:pPr>
        <w:pStyle w:val="FootnoteText"/>
      </w:pPr>
      <w:r>
        <w:rPr>
          <w:rStyle w:val="FootnoteReference"/>
        </w:rPr>
        <w:footnoteRef/>
      </w:r>
      <w:r>
        <w:t xml:space="preserve"> </w:t>
      </w:r>
      <w:r>
        <w:t xml:space="preserve">Spinelli 2014, PMID 25106891.</w:t>
      </w:r>
    </w:p>
  </w:footnote>
  <w:footnote w:id="2294">
    <w:p>
      <w:pPr>
        <w:pStyle w:val="FootnoteText"/>
      </w:pPr>
      <w:r>
        <w:rPr>
          <w:rStyle w:val="FootnoteReference"/>
        </w:rPr>
        <w:footnoteRef/>
      </w:r>
      <w:r>
        <w:t xml:space="preserve"> </w:t>
      </w:r>
      <w:r>
        <w:t xml:space="preserve">Fiala 2022, PMID 35691791.</w:t>
      </w:r>
    </w:p>
  </w:footnote>
  <w:footnote w:id="2298">
    <w:p>
      <w:pPr>
        <w:pStyle w:val="FootnoteText"/>
      </w:pPr>
      <w:r>
        <w:rPr>
          <w:rStyle w:val="FootnoteReference"/>
        </w:rPr>
        <w:footnoteRef/>
      </w:r>
      <w:r>
        <w:t xml:space="preserve"> </w:t>
      </w:r>
      <w:r>
        <w:t xml:space="preserve">Santoro 1990, PMID 2122733; Christin-Maitre 2007, PMID 17293247.</w:t>
      </w:r>
    </w:p>
  </w:footnote>
  <w:footnote w:id="2302">
    <w:p>
      <w:pPr>
        <w:pStyle w:val="FootnoteText"/>
      </w:pPr>
      <w:r>
        <w:rPr>
          <w:rStyle w:val="FootnoteReference"/>
        </w:rPr>
        <w:footnoteRef/>
      </w:r>
      <w:r>
        <w:t xml:space="preserve"> </w:t>
      </w:r>
      <w:r>
        <w:t xml:space="preserve">Smit 2026, PMID 42644333.</w:t>
      </w:r>
    </w:p>
  </w:footnote>
  <w:footnote w:id="2303">
    <w:p>
      <w:pPr>
        <w:pStyle w:val="FootnoteText"/>
      </w:pPr>
      <w:r>
        <w:rPr>
          <w:rStyle w:val="FootnoteReference"/>
        </w:rPr>
        <w:footnoteRef/>
      </w:r>
      <w:r>
        <w:t xml:space="preserve"> </w:t>
      </w:r>
      <w:r>
        <w:t xml:space="preserve">Smit 2021, PMID 33550376.</w:t>
      </w:r>
    </w:p>
  </w:footnote>
  <w:footnote w:id="2304">
    <w:p>
      <w:pPr>
        <w:pStyle w:val="FootnoteText"/>
      </w:pPr>
      <w:r>
        <w:rPr>
          <w:rStyle w:val="FootnoteReference"/>
        </w:rPr>
        <w:footnoteRef/>
      </w:r>
      <w:r>
        <w:t xml:space="preserve"> </w:t>
      </w:r>
      <w:r>
        <w:t xml:space="preserve">Torrini 2023, PMID 36858006.</w:t>
      </w:r>
    </w:p>
  </w:footnote>
  <w:footnote w:id="2307">
    <w:p>
      <w:pPr>
        <w:pStyle w:val="FootnoteText"/>
      </w:pPr>
      <w:r>
        <w:rPr>
          <w:rStyle w:val="FootnoteReference"/>
        </w:rPr>
        <w:footnoteRef/>
      </w:r>
      <w:r>
        <w:t xml:space="preserve"> </w:t>
      </w:r>
      <w:r>
        <w:t xml:space="preserve">NCT07152730.</w:t>
      </w:r>
    </w:p>
  </w:footnote>
  <w:footnote w:id="2308">
    <w:p>
      <w:pPr>
        <w:pStyle w:val="FootnoteText"/>
      </w:pPr>
      <w:r>
        <w:rPr>
          <w:rStyle w:val="FootnoteReference"/>
        </w:rPr>
        <w:footnoteRef/>
      </w:r>
      <w:r>
        <w:t xml:space="preserve"> </w:t>
      </w:r>
      <w:r>
        <w:t xml:space="preserve">NCT02310074.</w:t>
      </w:r>
    </w:p>
  </w:footnote>
  <w:footnote w:id="2309">
    <w:p>
      <w:pPr>
        <w:pStyle w:val="FootnoteText"/>
      </w:pPr>
      <w:r>
        <w:rPr>
          <w:rStyle w:val="FootnoteReference"/>
        </w:rPr>
        <w:footnoteRef/>
      </w:r>
      <w:r>
        <w:t xml:space="preserve"> </w:t>
      </w:r>
      <w:r>
        <w:t xml:space="preserve">NCT03989024.</w:t>
      </w:r>
    </w:p>
  </w:footnote>
  <w:footnote w:id="2314">
    <w:p>
      <w:pPr>
        <w:pStyle w:val="FootnoteText"/>
      </w:pPr>
      <w:r>
        <w:rPr>
          <w:rStyle w:val="FootnoteReference"/>
        </w:rPr>
        <w:footnoteRef/>
      </w:r>
      <w:r>
        <w:t xml:space="preserve"> </w:t>
      </w:r>
      <w:r>
        <w:t xml:space="preserve">Myung 2025, PMID 40324552.</w:t>
      </w:r>
    </w:p>
  </w:footnote>
  <w:footnote w:id="2320">
    <w:p>
      <w:pPr>
        <w:pStyle w:val="FootnoteText"/>
      </w:pPr>
      <w:r>
        <w:rPr>
          <w:rStyle w:val="FootnoteReference"/>
        </w:rPr>
        <w:footnoteRef/>
      </w:r>
      <w:r>
        <w:t xml:space="preserve"> </w:t>
      </w:r>
      <w:r>
        <w:t xml:space="preserve">Iwai 2005, PMID 16076145.</w:t>
      </w:r>
    </w:p>
  </w:footnote>
  <w:footnote w:id="2321">
    <w:p>
      <w:pPr>
        <w:pStyle w:val="FootnoteText"/>
      </w:pPr>
      <w:r>
        <w:rPr>
          <w:rStyle w:val="FootnoteReference"/>
        </w:rPr>
        <w:footnoteRef/>
      </w:r>
      <w:r>
        <w:t xml:space="preserve"> </w:t>
      </w:r>
      <w:r>
        <w:t xml:space="preserve">Yamamoto 2016, PMID 26934933.</w:t>
      </w:r>
    </w:p>
  </w:footnote>
  <w:footnote w:id="2322">
    <w:p>
      <w:pPr>
        <w:pStyle w:val="FootnoteText"/>
      </w:pPr>
      <w:r>
        <w:rPr>
          <w:rStyle w:val="FootnoteReference"/>
        </w:rPr>
        <w:footnoteRef/>
      </w:r>
      <w:r>
        <w:t xml:space="preserve"> </w:t>
      </w:r>
      <w:r>
        <w:t xml:space="preserve">Shaw 2017, PMID 27852613.</w:t>
      </w:r>
    </w:p>
  </w:footnote>
  <w:footnote w:id="2323">
    <w:p>
      <w:pPr>
        <w:pStyle w:val="FootnoteText"/>
      </w:pPr>
      <w:r>
        <w:rPr>
          <w:rStyle w:val="FootnoteReference"/>
        </w:rPr>
        <w:footnoteRef/>
      </w:r>
      <w:r>
        <w:t xml:space="preserve"> </w:t>
      </w:r>
      <w:r>
        <w:t xml:space="preserve">Stenbæk 2016, PMID 26655163.</w:t>
      </w:r>
    </w:p>
  </w:footnote>
  <w:footnote w:id="2325">
    <w:p>
      <w:pPr>
        <w:pStyle w:val="FootnoteText"/>
      </w:pPr>
      <w:r>
        <w:rPr>
          <w:rStyle w:val="FootnoteReference"/>
        </w:rPr>
        <w:footnoteRef/>
      </w:r>
      <w:r>
        <w:t xml:space="preserve"> </w:t>
      </w:r>
      <w:r>
        <w:t xml:space="preserve">Hexsel 2017, PMID 28786550.</w:t>
      </w:r>
    </w:p>
  </w:footnote>
  <w:footnote w:id="2326">
    <w:p>
      <w:pPr>
        <w:pStyle w:val="FootnoteText"/>
      </w:pPr>
      <w:r>
        <w:rPr>
          <w:rStyle w:val="FootnoteReference"/>
        </w:rPr>
        <w:footnoteRef/>
      </w:r>
      <w:r>
        <w:t xml:space="preserve"> </w:t>
      </w:r>
      <w:r>
        <w:t xml:space="preserve">Sugihara 2018, PMID 30061579.</w:t>
      </w:r>
    </w:p>
  </w:footnote>
  <w:footnote w:id="2328">
    <w:p>
      <w:pPr>
        <w:pStyle w:val="FootnoteText"/>
      </w:pPr>
      <w:r>
        <w:rPr>
          <w:rStyle w:val="FootnoteReference"/>
        </w:rPr>
        <w:footnoteRef/>
      </w:r>
      <w:r>
        <w:t xml:space="preserve"> </w:t>
      </w:r>
      <w:r>
        <w:t xml:space="preserve">de Miranda 2021, PMID 33742704.</w:t>
      </w:r>
    </w:p>
  </w:footnote>
  <w:footnote w:id="2329">
    <w:p>
      <w:pPr>
        <w:pStyle w:val="FootnoteText"/>
      </w:pPr>
      <w:r>
        <w:rPr>
          <w:rStyle w:val="FootnoteReference"/>
        </w:rPr>
        <w:footnoteRef/>
      </w:r>
      <w:r>
        <w:t xml:space="preserve"> </w:t>
      </w:r>
      <w:r>
        <w:t xml:space="preserve">Pu 2023, PMID 37432180.</w:t>
      </w:r>
    </w:p>
  </w:footnote>
  <w:footnote w:id="2330">
    <w:p>
      <w:pPr>
        <w:pStyle w:val="FootnoteText"/>
      </w:pPr>
      <w:r>
        <w:rPr>
          <w:rStyle w:val="FootnoteReference"/>
        </w:rPr>
        <w:footnoteRef/>
      </w:r>
      <w:r>
        <w:t xml:space="preserve"> </w:t>
      </w:r>
      <w:r>
        <w:t xml:space="preserve">Danessa 2025, PMID 40826844.</w:t>
      </w:r>
    </w:p>
  </w:footnote>
  <w:footnote w:id="2331">
    <w:p>
      <w:pPr>
        <w:pStyle w:val="FootnoteText"/>
      </w:pPr>
      <w:r>
        <w:rPr>
          <w:rStyle w:val="FootnoteReference"/>
        </w:rPr>
        <w:footnoteRef/>
      </w:r>
      <w:r>
        <w:t xml:space="preserve"> </w:t>
      </w:r>
      <w:r>
        <w:t xml:space="preserve">Myung 2025, PMID 40324552.</w:t>
      </w:r>
    </w:p>
  </w:footnote>
  <w:footnote w:id="2333">
    <w:p>
      <w:pPr>
        <w:pStyle w:val="FootnoteText"/>
      </w:pPr>
      <w:r>
        <w:rPr>
          <w:rStyle w:val="FootnoteReference"/>
        </w:rPr>
        <w:footnoteRef/>
      </w:r>
      <w:r>
        <w:t xml:space="preserve"> </w:t>
      </w:r>
      <w:r>
        <w:t xml:space="preserve">García-Coronado 2019, PMID 30368550.</w:t>
      </w:r>
    </w:p>
  </w:footnote>
  <w:footnote w:id="2334">
    <w:p>
      <w:pPr>
        <w:pStyle w:val="FootnoteText"/>
      </w:pPr>
      <w:r>
        <w:rPr>
          <w:rStyle w:val="FootnoteReference"/>
        </w:rPr>
        <w:footnoteRef/>
      </w:r>
      <w:r>
        <w:t xml:space="preserve"> </w:t>
      </w:r>
      <w:r>
        <w:t xml:space="preserve">Liang 2024, PMID 38218227.</w:t>
      </w:r>
    </w:p>
  </w:footnote>
  <w:footnote w:id="2335">
    <w:p>
      <w:pPr>
        <w:pStyle w:val="FootnoteText"/>
      </w:pPr>
      <w:r>
        <w:rPr>
          <w:rStyle w:val="FootnoteReference"/>
        </w:rPr>
        <w:footnoteRef/>
      </w:r>
      <w:r>
        <w:t xml:space="preserve"> </w:t>
      </w:r>
      <w:r>
        <w:t xml:space="preserve">Lin 2023, PMID 37717022.</w:t>
      </w:r>
    </w:p>
  </w:footnote>
  <w:footnote w:id="2336">
    <w:p>
      <w:pPr>
        <w:pStyle w:val="FootnoteText"/>
      </w:pPr>
      <w:r>
        <w:rPr>
          <w:rStyle w:val="FootnoteReference"/>
        </w:rPr>
        <w:footnoteRef/>
      </w:r>
      <w:r>
        <w:t xml:space="preserve"> </w:t>
      </w:r>
      <w:r>
        <w:t xml:space="preserve">Simental-Mendía 2025, PMID 39212129.</w:t>
      </w:r>
    </w:p>
  </w:footnote>
  <w:footnote w:id="2337">
    <w:p>
      <w:pPr>
        <w:pStyle w:val="FootnoteText"/>
      </w:pPr>
      <w:r>
        <w:rPr>
          <w:rStyle w:val="FootnoteReference"/>
        </w:rPr>
        <w:footnoteRef/>
      </w:r>
      <w:r>
        <w:t xml:space="preserve"> </w:t>
      </w:r>
      <w:r>
        <w:t xml:space="preserve">Liu 2018, PMID 29018060.</w:t>
      </w:r>
    </w:p>
  </w:footnote>
  <w:footnote w:id="2339">
    <w:p>
      <w:pPr>
        <w:pStyle w:val="FootnoteText"/>
      </w:pPr>
      <w:r>
        <w:rPr>
          <w:rStyle w:val="FootnoteReference"/>
        </w:rPr>
        <w:footnoteRef/>
      </w:r>
      <w:r>
        <w:t xml:space="preserve"> </w:t>
      </w:r>
      <w:r>
        <w:t xml:space="preserve">Trentham 1993, PMID 8378772.</w:t>
      </w:r>
    </w:p>
  </w:footnote>
  <w:footnote w:id="2340">
    <w:p>
      <w:pPr>
        <w:pStyle w:val="FootnoteText"/>
      </w:pPr>
      <w:r>
        <w:rPr>
          <w:rStyle w:val="FootnoteReference"/>
        </w:rPr>
        <w:footnoteRef/>
      </w:r>
      <w:r>
        <w:t xml:space="preserve"> </w:t>
      </w:r>
      <w:r>
        <w:t xml:space="preserve">Barnett 1998, PMID 9485087.</w:t>
      </w:r>
    </w:p>
  </w:footnote>
  <w:footnote w:id="2343">
    <w:p>
      <w:pPr>
        <w:pStyle w:val="FootnoteText"/>
      </w:pPr>
      <w:r>
        <w:rPr>
          <w:rStyle w:val="FootnoteReference"/>
        </w:rPr>
        <w:footnoteRef/>
      </w:r>
      <w:r>
        <w:t xml:space="preserve"> </w:t>
      </w:r>
      <w:r>
        <w:t xml:space="preserve">Zdzieblik 2015, PMID 26353786.</w:t>
      </w:r>
    </w:p>
  </w:footnote>
  <w:footnote w:id="2344">
    <w:p>
      <w:pPr>
        <w:pStyle w:val="FootnoteText"/>
      </w:pPr>
      <w:r>
        <w:rPr>
          <w:rStyle w:val="FootnoteReference"/>
        </w:rPr>
        <w:footnoteRef/>
      </w:r>
      <w:r>
        <w:t xml:space="preserve"> </w:t>
      </w:r>
      <w:r>
        <w:t xml:space="preserve">Oikawa 2020, PMID 31919527.</w:t>
      </w:r>
    </w:p>
  </w:footnote>
  <w:footnote w:id="2345">
    <w:p>
      <w:pPr>
        <w:pStyle w:val="FootnoteText"/>
      </w:pPr>
      <w:r>
        <w:rPr>
          <w:rStyle w:val="FootnoteReference"/>
        </w:rPr>
        <w:footnoteRef/>
      </w:r>
      <w:r>
        <w:t xml:space="preserve"> </w:t>
      </w:r>
      <w:r>
        <w:t xml:space="preserve">Jacinto 2022, PMID 35042187.</w:t>
      </w:r>
    </w:p>
  </w:footnote>
  <w:footnote w:id="2346">
    <w:p>
      <w:pPr>
        <w:pStyle w:val="FootnoteText"/>
      </w:pPr>
      <w:r>
        <w:rPr>
          <w:rStyle w:val="FootnoteReference"/>
        </w:rPr>
        <w:footnoteRef/>
      </w:r>
      <w:r>
        <w:t xml:space="preserve"> </w:t>
      </w:r>
      <w:r>
        <w:t xml:space="preserve">Kirmse 2024, PMID 39086044.</w:t>
      </w:r>
    </w:p>
  </w:footnote>
  <w:footnote w:id="2347">
    <w:p>
      <w:pPr>
        <w:pStyle w:val="FootnoteText"/>
      </w:pPr>
      <w:r>
        <w:rPr>
          <w:rStyle w:val="FootnoteReference"/>
        </w:rPr>
        <w:footnoteRef/>
      </w:r>
      <w:r>
        <w:t xml:space="preserve"> </w:t>
      </w:r>
      <w:r>
        <w:t xml:space="preserve">Bischof 2024, PMID 39060741.</w:t>
      </w:r>
    </w:p>
  </w:footnote>
  <w:footnote w:id="2348">
    <w:p>
      <w:pPr>
        <w:pStyle w:val="FootnoteText"/>
      </w:pPr>
      <w:r>
        <w:rPr>
          <w:rStyle w:val="FootnoteReference"/>
        </w:rPr>
        <w:footnoteRef/>
      </w:r>
      <w:r>
        <w:t xml:space="preserve"> </w:t>
      </w:r>
      <w:r>
        <w:t xml:space="preserve">Khatri 2021, PMID 34491424.</w:t>
      </w:r>
    </w:p>
  </w:footnote>
  <w:footnote w:id="2350">
    <w:p>
      <w:pPr>
        <w:pStyle w:val="FootnoteText"/>
      </w:pPr>
      <w:r>
        <w:rPr>
          <w:rStyle w:val="FootnoteReference"/>
        </w:rPr>
        <w:footnoteRef/>
      </w:r>
      <w:r>
        <w:t xml:space="preserve"> </w:t>
      </w:r>
      <w:r>
        <w:t xml:space="preserve">Jalili 2023, PMID 35658958.</w:t>
      </w:r>
    </w:p>
  </w:footnote>
  <w:footnote w:id="2353">
    <w:p>
      <w:pPr>
        <w:pStyle w:val="FootnoteText"/>
      </w:pPr>
      <w:r>
        <w:rPr>
          <w:rStyle w:val="FootnoteReference"/>
        </w:rPr>
        <w:footnoteRef/>
      </w:r>
      <w:r>
        <w:t xml:space="preserve"> </w:t>
      </w:r>
      <w:r>
        <w:t xml:space="preserve">Asserin 2015, PMID 26362110.</w:t>
      </w:r>
    </w:p>
  </w:footnote>
  <w:footnote w:id="2354">
    <w:p>
      <w:pPr>
        <w:pStyle w:val="FootnoteText"/>
      </w:pPr>
      <w:r>
        <w:rPr>
          <w:rStyle w:val="FootnoteReference"/>
        </w:rPr>
        <w:footnoteRef/>
      </w:r>
      <w:r>
        <w:t xml:space="preserve"> </w:t>
      </w:r>
      <w:r>
        <w:t xml:space="preserve">Inacio 2024, PMID 38892477.</w:t>
      </w:r>
    </w:p>
  </w:footnote>
  <w:footnote w:id="2355">
    <w:p>
      <w:pPr>
        <w:pStyle w:val="FootnoteText"/>
      </w:pPr>
      <w:r>
        <w:rPr>
          <w:rStyle w:val="FootnoteReference"/>
        </w:rPr>
        <w:footnoteRef/>
      </w:r>
      <w:r>
        <w:t xml:space="preserve"> </w:t>
      </w:r>
      <w:r>
        <w:t xml:space="preserve">Bischof 2026, PMID 41168365.</w:t>
      </w:r>
    </w:p>
  </w:footnote>
  <w:footnote w:id="2357">
    <w:p>
      <w:pPr>
        <w:pStyle w:val="FootnoteText"/>
      </w:pPr>
      <w:r>
        <w:rPr>
          <w:rStyle w:val="FootnoteReference"/>
        </w:rPr>
        <w:footnoteRef/>
      </w:r>
      <w:r>
        <w:t xml:space="preserve"> </w:t>
      </w:r>
      <w:r>
        <w:t xml:space="preserve">Liang 2024, PMID 38218227.</w:t>
      </w:r>
    </w:p>
  </w:footnote>
  <w:footnote w:id="2358">
    <w:p>
      <w:pPr>
        <w:pStyle w:val="FootnoteText"/>
      </w:pPr>
      <w:r>
        <w:rPr>
          <w:rStyle w:val="FootnoteReference"/>
        </w:rPr>
        <w:footnoteRef/>
      </w:r>
      <w:r>
        <w:t xml:space="preserve"> </w:t>
      </w:r>
      <w:r>
        <w:t xml:space="preserve">Knight 2006, PMID 17021603.</w:t>
      </w:r>
    </w:p>
  </w:footnote>
  <w:footnote w:id="2361">
    <w:p>
      <w:pPr>
        <w:pStyle w:val="FootnoteText"/>
      </w:pPr>
      <w:r>
        <w:rPr>
          <w:rStyle w:val="FootnoteReference"/>
        </w:rPr>
        <w:footnoteRef/>
      </w:r>
      <w:r>
        <w:t xml:space="preserve"> </w:t>
      </w:r>
      <w:r>
        <w:t xml:space="preserve">NCT04998188.</w:t>
      </w:r>
    </w:p>
  </w:footnote>
  <w:footnote w:id="2362">
    <w:p>
      <w:pPr>
        <w:pStyle w:val="FootnoteText"/>
      </w:pPr>
      <w:r>
        <w:rPr>
          <w:rStyle w:val="FootnoteReference"/>
        </w:rPr>
        <w:footnoteRef/>
      </w:r>
      <w:r>
        <w:t xml:space="preserve"> </w:t>
      </w:r>
      <w:r>
        <w:t xml:space="preserve">NCT07800780.</w:t>
      </w:r>
    </w:p>
  </w:footnote>
  <w:footnote w:id="2363">
    <w:p>
      <w:pPr>
        <w:pStyle w:val="FootnoteText"/>
      </w:pPr>
      <w:r>
        <w:rPr>
          <w:rStyle w:val="FootnoteReference"/>
        </w:rPr>
        <w:footnoteRef/>
      </w:r>
      <w:r>
        <w:t xml:space="preserve"> </w:t>
      </w:r>
      <w:r>
        <w:t xml:space="preserve">NCT05823727.</w:t>
      </w:r>
    </w:p>
  </w:footnote>
  <w:footnote w:id="2364">
    <w:p>
      <w:pPr>
        <w:pStyle w:val="FootnoteText"/>
      </w:pPr>
      <w:r>
        <w:rPr>
          <w:rStyle w:val="FootnoteReference"/>
        </w:rPr>
        <w:footnoteRef/>
      </w:r>
      <w:r>
        <w:t xml:space="preserve"> </w:t>
      </w:r>
      <w:r>
        <w:t xml:space="preserve">NCT07473037.</w:t>
      </w:r>
    </w:p>
  </w:footnote>
  <w:footnote w:id="2365">
    <w:p>
      <w:pPr>
        <w:pStyle w:val="FootnoteText"/>
      </w:pPr>
      <w:r>
        <w:rPr>
          <w:rStyle w:val="FootnoteReference"/>
        </w:rPr>
        <w:footnoteRef/>
      </w:r>
      <w:r>
        <w:t xml:space="preserve"> </w:t>
      </w:r>
      <w:r>
        <w:t xml:space="preserve">NCT07456449.</w:t>
      </w:r>
    </w:p>
  </w:footnote>
  <w:footnote w:id="2366">
    <w:p>
      <w:pPr>
        <w:pStyle w:val="FootnoteText"/>
      </w:pPr>
      <w:r>
        <w:rPr>
          <w:rStyle w:val="FootnoteReference"/>
        </w:rPr>
        <w:footnoteRef/>
      </w:r>
      <w:r>
        <w:t xml:space="preserve"> </w:t>
      </w:r>
      <w:r>
        <w:t xml:space="preserve">NCT07229014.</w:t>
      </w:r>
    </w:p>
  </w:footnote>
  <w:footnote w:id="2367">
    <w:p>
      <w:pPr>
        <w:pStyle w:val="FootnoteText"/>
      </w:pPr>
      <w:r>
        <w:rPr>
          <w:rStyle w:val="FootnoteReference"/>
        </w:rPr>
        <w:footnoteRef/>
      </w:r>
      <w:r>
        <w:t xml:space="preserve"> </w:t>
      </w:r>
      <w:r>
        <w:t xml:space="preserve">Myung 2025, PMID 40324552.</w:t>
      </w:r>
    </w:p>
  </w:footnote>
  <w:footnote w:id="2372">
    <w:p>
      <w:pPr>
        <w:pStyle w:val="FootnoteText"/>
      </w:pPr>
      <w:r>
        <w:rPr>
          <w:rStyle w:val="FootnoteReference"/>
        </w:rPr>
        <w:footnoteRef/>
      </w:r>
      <w:r>
        <w:t xml:space="preserve"> </w:t>
      </w:r>
      <w:r>
        <w:t xml:space="preserve">Nakamura 1995, PMID 7673515.</w:t>
      </w:r>
    </w:p>
  </w:footnote>
  <w:footnote w:id="2373">
    <w:p>
      <w:pPr>
        <w:pStyle w:val="FootnoteText"/>
      </w:pPr>
      <w:r>
        <w:rPr>
          <w:rStyle w:val="FootnoteReference"/>
        </w:rPr>
        <w:footnoteRef/>
      </w:r>
      <w:r>
        <w:t xml:space="preserve"> </w:t>
      </w:r>
      <w:r>
        <w:t xml:space="preserve">Foltz 2007, PMID 17374660.</w:t>
      </w:r>
    </w:p>
  </w:footnote>
  <w:footnote w:id="2374">
    <w:p>
      <w:pPr>
        <w:pStyle w:val="FootnoteText"/>
      </w:pPr>
      <w:r>
        <w:rPr>
          <w:rStyle w:val="FootnoteReference"/>
        </w:rPr>
        <w:footnoteRef/>
      </w:r>
      <w:r>
        <w:t xml:space="preserve"> </w:t>
      </w:r>
      <w:r>
        <w:t xml:space="preserve">Wuerzner 2009, PMID 19506528.</w:t>
      </w:r>
    </w:p>
  </w:footnote>
  <w:footnote w:id="2377">
    <w:p>
      <w:pPr>
        <w:pStyle w:val="FootnoteText"/>
      </w:pPr>
      <w:r>
        <w:rPr>
          <w:rStyle w:val="FootnoteReference"/>
        </w:rPr>
        <w:footnoteRef/>
      </w:r>
      <w:r>
        <w:t xml:space="preserve"> </w:t>
      </w:r>
      <w:r>
        <w:t xml:space="preserve">Geleijnse 2010, PMID 19884823.</w:t>
      </w:r>
    </w:p>
  </w:footnote>
  <w:footnote w:id="2379">
    <w:p>
      <w:pPr>
        <w:pStyle w:val="FootnoteText"/>
      </w:pPr>
      <w:r>
        <w:rPr>
          <w:rStyle w:val="FootnoteReference"/>
        </w:rPr>
        <w:footnoteRef/>
      </w:r>
      <w:r>
        <w:t xml:space="preserve"> </w:t>
      </w:r>
      <w:r>
        <w:t xml:space="preserve">Jauhiainen 2012, PMID 22617279.</w:t>
      </w:r>
    </w:p>
  </w:footnote>
  <w:footnote w:id="2380">
    <w:p>
      <w:pPr>
        <w:pStyle w:val="FootnoteText"/>
      </w:pPr>
      <w:r>
        <w:rPr>
          <w:rStyle w:val="FootnoteReference"/>
        </w:rPr>
        <w:footnoteRef/>
      </w:r>
      <w:r>
        <w:t xml:space="preserve"> </w:t>
      </w:r>
      <w:r>
        <w:t xml:space="preserve">Turpeinen 2012, PMID 22398753.</w:t>
      </w:r>
    </w:p>
  </w:footnote>
  <w:footnote w:id="2381">
    <w:p>
      <w:pPr>
        <w:pStyle w:val="FootnoteText"/>
      </w:pPr>
      <w:r>
        <w:rPr>
          <w:rStyle w:val="FootnoteReference"/>
        </w:rPr>
        <w:footnoteRef/>
      </w:r>
      <w:r>
        <w:t xml:space="preserve"> </w:t>
      </w:r>
      <w:r>
        <w:t xml:space="preserve">Cicero 2011, PMID 21753776; Cicero 2016, PMID 26683986.</w:t>
      </w:r>
    </w:p>
  </w:footnote>
  <w:footnote w:id="2382">
    <w:p>
      <w:pPr>
        <w:pStyle w:val="FootnoteText"/>
      </w:pPr>
      <w:r>
        <w:rPr>
          <w:rStyle w:val="FootnoteReference"/>
        </w:rPr>
        <w:footnoteRef/>
      </w:r>
      <w:r>
        <w:t xml:space="preserve"> </w:t>
      </w:r>
      <w:r>
        <w:t xml:space="preserve">Germino 2010, PMID 20433527.</w:t>
      </w:r>
    </w:p>
  </w:footnote>
  <w:footnote w:id="2383">
    <w:p>
      <w:pPr>
        <w:pStyle w:val="FootnoteText"/>
      </w:pPr>
      <w:r>
        <w:rPr>
          <w:rStyle w:val="FootnoteReference"/>
        </w:rPr>
        <w:footnoteRef/>
      </w:r>
      <w:r>
        <w:t xml:space="preserve"> </w:t>
      </w:r>
      <w:r>
        <w:t xml:space="preserve">e.g. Akazawa 2018, PMID 29703414.</w:t>
      </w:r>
    </w:p>
  </w:footnote>
  <w:footnote w:id="2385">
    <w:p>
      <w:pPr>
        <w:pStyle w:val="FootnoteText"/>
      </w:pPr>
      <w:r>
        <w:rPr>
          <w:rStyle w:val="FootnoteReference"/>
        </w:rPr>
        <w:footnoteRef/>
      </w:r>
      <w:r>
        <w:t xml:space="preserve"> </w:t>
      </w:r>
      <w:r>
        <w:t xml:space="preserve">Fekete 2015, PMID 25608938.</w:t>
      </w:r>
    </w:p>
  </w:footnote>
  <w:footnote w:id="2388">
    <w:p>
      <w:pPr>
        <w:pStyle w:val="FootnoteText"/>
      </w:pPr>
      <w:r>
        <w:rPr>
          <w:rStyle w:val="FootnoteReference"/>
        </w:rPr>
        <w:footnoteRef/>
      </w:r>
      <w:r>
        <w:t xml:space="preserve"> </w:t>
      </w:r>
      <w:r>
        <w:t xml:space="preserve">Nakamura 1995, PMID 7673515.</w:t>
      </w:r>
    </w:p>
  </w:footnote>
  <w:footnote w:id="2389">
    <w:p>
      <w:pPr>
        <w:pStyle w:val="FootnoteText"/>
      </w:pPr>
      <w:r>
        <w:rPr>
          <w:rStyle w:val="FootnoteReference"/>
        </w:rPr>
        <w:footnoteRef/>
      </w:r>
      <w:r>
        <w:t xml:space="preserve"> </w:t>
      </w:r>
      <w:r>
        <w:t xml:space="preserve">Hirota 2011, PMID 21221598.</w:t>
      </w:r>
    </w:p>
  </w:footnote>
  <w:footnote w:id="2390">
    <w:p>
      <w:pPr>
        <w:pStyle w:val="FootnoteText"/>
      </w:pPr>
      <w:r>
        <w:rPr>
          <w:rStyle w:val="FootnoteReference"/>
        </w:rPr>
        <w:footnoteRef/>
      </w:r>
      <w:r>
        <w:t xml:space="preserve"> </w:t>
      </w:r>
      <w:r>
        <w:t xml:space="preserve">Foltz 2007, PMID 17374660.</w:t>
      </w:r>
    </w:p>
  </w:footnote>
  <w:footnote w:id="2391">
    <w:p>
      <w:pPr>
        <w:pStyle w:val="FootnoteText"/>
      </w:pPr>
      <w:r>
        <w:rPr>
          <w:rStyle w:val="FootnoteReference"/>
        </w:rPr>
        <w:footnoteRef/>
      </w:r>
      <w:r>
        <w:t xml:space="preserve"> </w:t>
      </w:r>
      <w:r>
        <w:t xml:space="preserve">Gregory 2024, PMID 37904282.</w:t>
      </w:r>
    </w:p>
  </w:footnote>
  <w:footnote w:id="2392">
    <w:p>
      <w:pPr>
        <w:pStyle w:val="FootnoteText"/>
      </w:pPr>
      <w:r>
        <w:rPr>
          <w:rStyle w:val="FootnoteReference"/>
        </w:rPr>
        <w:footnoteRef/>
      </w:r>
      <w:r>
        <w:t xml:space="preserve"> </w:t>
      </w:r>
      <w:r>
        <w:t xml:space="preserve">Dent 2007, PMID 17383063.</w:t>
      </w:r>
    </w:p>
  </w:footnote>
  <w:footnote w:id="2393">
    <w:p>
      <w:pPr>
        <w:pStyle w:val="FootnoteText"/>
      </w:pPr>
      <w:r>
        <w:rPr>
          <w:rStyle w:val="FootnoteReference"/>
        </w:rPr>
        <w:footnoteRef/>
      </w:r>
      <w:r>
        <w:t xml:space="preserve"> </w:t>
      </w:r>
      <w:r>
        <w:t xml:space="preserve">Ponstein-Simarro Doorten 2009, PMID 18955104.</w:t>
      </w:r>
    </w:p>
  </w:footnote>
  <w:footnote w:id="2395">
    <w:p>
      <w:pPr>
        <w:pStyle w:val="FootnoteText"/>
      </w:pPr>
      <w:r>
        <w:rPr>
          <w:rStyle w:val="FootnoteReference"/>
        </w:rPr>
        <w:footnoteRef/>
      </w:r>
      <w:r>
        <w:t xml:space="preserve"> </w:t>
      </w:r>
      <w:r>
        <w:t xml:space="preserve">e.g. Jauhiainen 2005, PMID 16364832.</w:t>
      </w:r>
    </w:p>
  </w:footnote>
  <w:footnote w:id="2398">
    <w:p>
      <w:pPr>
        <w:pStyle w:val="FootnoteText"/>
      </w:pPr>
      <w:r>
        <w:rPr>
          <w:rStyle w:val="FootnoteReference"/>
        </w:rPr>
        <w:footnoteRef/>
      </w:r>
      <w:r>
        <w:t xml:space="preserve"> </w:t>
      </w:r>
      <w:r>
        <w:t xml:space="preserve">NCT00924157.</w:t>
      </w:r>
    </w:p>
  </w:footnote>
  <w:footnote w:id="2403">
    <w:p>
      <w:pPr>
        <w:pStyle w:val="FootnoteText"/>
      </w:pPr>
      <w:r>
        <w:rPr>
          <w:rStyle w:val="FootnoteReference"/>
        </w:rPr>
        <w:footnoteRef/>
      </w:r>
      <w:r>
        <w:t xml:space="preserve"> </w:t>
      </w:r>
      <w:r>
        <w:t xml:space="preserve">Baguet 2010, PMID 20671038.</w:t>
      </w:r>
    </w:p>
  </w:footnote>
  <w:footnote w:id="2404">
    <w:p>
      <w:pPr>
        <w:pStyle w:val="FootnoteText"/>
      </w:pPr>
      <w:r>
        <w:rPr>
          <w:rStyle w:val="FootnoteReference"/>
        </w:rPr>
        <w:footnoteRef/>
      </w:r>
      <w:r>
        <w:t xml:space="preserve"> </w:t>
      </w:r>
      <w:r>
        <w:t xml:space="preserve">Gardner 1991, PMID 1910085.</w:t>
      </w:r>
    </w:p>
  </w:footnote>
  <w:footnote w:id="2405">
    <w:p>
      <w:pPr>
        <w:pStyle w:val="FootnoteText"/>
      </w:pPr>
      <w:r>
        <w:rPr>
          <w:rStyle w:val="FootnoteReference"/>
        </w:rPr>
        <w:footnoteRef/>
      </w:r>
      <w:r>
        <w:t xml:space="preserve"> </w:t>
      </w:r>
      <w:r>
        <w:t xml:space="preserve">Baba 2024, PMID 39215872.</w:t>
      </w:r>
    </w:p>
  </w:footnote>
  <w:footnote w:id="2407">
    <w:p>
      <w:pPr>
        <w:pStyle w:val="FootnoteText"/>
      </w:pPr>
      <w:r>
        <w:rPr>
          <w:rStyle w:val="FootnoteReference"/>
        </w:rPr>
        <w:footnoteRef/>
      </w:r>
      <w:r>
        <w:t xml:space="preserve"> </w:t>
      </w:r>
      <w:r>
        <w:t xml:space="preserve">Harris 2006, PMID 16554972.</w:t>
      </w:r>
    </w:p>
  </w:footnote>
  <w:footnote w:id="2408">
    <w:p>
      <w:pPr>
        <w:pStyle w:val="FootnoteText"/>
      </w:pPr>
      <w:r>
        <w:rPr>
          <w:rStyle w:val="FootnoteReference"/>
        </w:rPr>
        <w:footnoteRef/>
      </w:r>
      <w:r>
        <w:t xml:space="preserve"> </w:t>
      </w:r>
      <w:r>
        <w:t xml:space="preserve">Yamaguchi 2021, PMID 33148972.</w:t>
      </w:r>
    </w:p>
  </w:footnote>
  <w:footnote w:id="2409">
    <w:p>
      <w:pPr>
        <w:pStyle w:val="FootnoteText"/>
      </w:pPr>
      <w:r>
        <w:rPr>
          <w:rStyle w:val="FootnoteReference"/>
        </w:rPr>
        <w:footnoteRef/>
      </w:r>
      <w:r>
        <w:t xml:space="preserve"> </w:t>
      </w:r>
      <w:r>
        <w:t xml:space="preserve">Rezende 2020, PMID 32922303.</w:t>
      </w:r>
    </w:p>
  </w:footnote>
  <w:footnote w:id="2412">
    <w:p>
      <w:pPr>
        <w:pStyle w:val="FootnoteText"/>
      </w:pPr>
      <w:r>
        <w:rPr>
          <w:rStyle w:val="FootnoteReference"/>
        </w:rPr>
        <w:footnoteRef/>
      </w:r>
      <w:r>
        <w:t xml:space="preserve"> </w:t>
      </w:r>
      <w:r>
        <w:t xml:space="preserve">Saunders 2017, PMID 27797728.</w:t>
      </w:r>
    </w:p>
  </w:footnote>
  <w:footnote w:id="2413">
    <w:p>
      <w:pPr>
        <w:pStyle w:val="FootnoteText"/>
      </w:pPr>
      <w:r>
        <w:rPr>
          <w:rStyle w:val="FootnoteReference"/>
        </w:rPr>
        <w:footnoteRef/>
      </w:r>
      <w:r>
        <w:t xml:space="preserve"> </w:t>
      </w:r>
      <w:r>
        <w:t xml:space="preserve">Derave 2007, PMID 17690198.</w:t>
      </w:r>
    </w:p>
  </w:footnote>
  <w:footnote w:id="2414">
    <w:p>
      <w:pPr>
        <w:pStyle w:val="FootnoteText"/>
      </w:pPr>
      <w:r>
        <w:rPr>
          <w:rStyle w:val="FootnoteReference"/>
        </w:rPr>
        <w:footnoteRef/>
      </w:r>
      <w:r>
        <w:t xml:space="preserve"> </w:t>
      </w:r>
      <w:r>
        <w:t xml:space="preserve">Chung 2014, PMID 24457999.</w:t>
      </w:r>
    </w:p>
  </w:footnote>
  <w:footnote w:id="2415">
    <w:p>
      <w:pPr>
        <w:pStyle w:val="FootnoteText"/>
      </w:pPr>
      <w:r>
        <w:rPr>
          <w:rStyle w:val="FootnoteReference"/>
        </w:rPr>
        <w:footnoteRef/>
      </w:r>
      <w:r>
        <w:t xml:space="preserve"> </w:t>
      </w:r>
      <w:r>
        <w:t xml:space="preserve">O’Toole 2026, PMID 42308284.</w:t>
      </w:r>
    </w:p>
  </w:footnote>
  <w:footnote w:id="2417">
    <w:p>
      <w:pPr>
        <w:pStyle w:val="FootnoteText"/>
      </w:pPr>
      <w:r>
        <w:rPr>
          <w:rStyle w:val="FootnoteReference"/>
        </w:rPr>
        <w:footnoteRef/>
      </w:r>
      <w:r>
        <w:t xml:space="preserve"> </w:t>
      </w:r>
      <w:r>
        <w:t xml:space="preserve">Peng 2020, PMID 31987255.</w:t>
      </w:r>
    </w:p>
  </w:footnote>
  <w:footnote w:id="2418">
    <w:p>
      <w:pPr>
        <w:pStyle w:val="FootnoteText"/>
      </w:pPr>
      <w:r>
        <w:rPr>
          <w:rStyle w:val="FootnoteReference"/>
        </w:rPr>
        <w:footnoteRef/>
      </w:r>
      <w:r>
        <w:t xml:space="preserve"> </w:t>
      </w:r>
      <w:r>
        <w:t xml:space="preserve">Matthews 2021, PMID 34333586.</w:t>
      </w:r>
    </w:p>
  </w:footnote>
  <w:footnote w:id="2419">
    <w:p>
      <w:pPr>
        <w:pStyle w:val="FootnoteText"/>
      </w:pPr>
      <w:r>
        <w:rPr>
          <w:rStyle w:val="FootnoteReference"/>
        </w:rPr>
        <w:footnoteRef/>
      </w:r>
      <w:r>
        <w:t xml:space="preserve"> </w:t>
      </w:r>
      <w:r>
        <w:t xml:space="preserve">Li 2025, PMID 40999397.</w:t>
      </w:r>
    </w:p>
  </w:footnote>
  <w:footnote w:id="2421">
    <w:p>
      <w:pPr>
        <w:pStyle w:val="FootnoteText"/>
      </w:pPr>
      <w:r>
        <w:rPr>
          <w:rStyle w:val="FootnoteReference"/>
        </w:rPr>
        <w:footnoteRef/>
      </w:r>
      <w:r>
        <w:t xml:space="preserve"> </w:t>
      </w:r>
      <w:r>
        <w:t xml:space="preserve">Saadati 2024, PMID 38086332.</w:t>
      </w:r>
    </w:p>
  </w:footnote>
  <w:footnote w:id="2423">
    <w:p>
      <w:pPr>
        <w:pStyle w:val="FootnoteText"/>
      </w:pPr>
      <w:r>
        <w:rPr>
          <w:rStyle w:val="FootnoteReference"/>
        </w:rPr>
        <w:footnoteRef/>
      </w:r>
      <w:r>
        <w:t xml:space="preserve"> </w:t>
      </w:r>
      <w:r>
        <w:t xml:space="preserve">Hisatsune 2016, PMID 26682691.</w:t>
      </w:r>
    </w:p>
  </w:footnote>
  <w:footnote w:id="2424">
    <w:p>
      <w:pPr>
        <w:pStyle w:val="FootnoteText"/>
      </w:pPr>
      <w:r>
        <w:rPr>
          <w:rStyle w:val="FootnoteReference"/>
        </w:rPr>
        <w:footnoteRef/>
      </w:r>
      <w:r>
        <w:t xml:space="preserve"> </w:t>
      </w:r>
      <w:r>
        <w:t xml:space="preserve">Masuoka 2019, PMID 31319510.</w:t>
      </w:r>
    </w:p>
  </w:footnote>
  <w:footnote w:id="2425">
    <w:p>
      <w:pPr>
        <w:pStyle w:val="FootnoteText"/>
      </w:pPr>
      <w:r>
        <w:rPr>
          <w:rStyle w:val="FootnoteReference"/>
        </w:rPr>
        <w:footnoteRef/>
      </w:r>
      <w:r>
        <w:t xml:space="preserve"> </w:t>
      </w:r>
      <w:r>
        <w:t xml:space="preserve">O’Toole 2025, PMID 39919936.</w:t>
      </w:r>
    </w:p>
  </w:footnote>
  <w:footnote w:id="2426">
    <w:p>
      <w:pPr>
        <w:pStyle w:val="FootnoteText"/>
      </w:pPr>
      <w:r>
        <w:rPr>
          <w:rStyle w:val="FootnoteReference"/>
        </w:rPr>
        <w:footnoteRef/>
      </w:r>
      <w:r>
        <w:t xml:space="preserve"> </w:t>
      </w:r>
      <w:r>
        <w:t xml:space="preserve">Hsiao 2026, PMID 42123986.</w:t>
      </w:r>
    </w:p>
  </w:footnote>
  <w:footnote w:id="2427">
    <w:p>
      <w:pPr>
        <w:pStyle w:val="FootnoteText"/>
      </w:pPr>
      <w:r>
        <w:rPr>
          <w:rStyle w:val="FootnoteReference"/>
        </w:rPr>
        <w:footnoteRef/>
      </w:r>
      <w:r>
        <w:t xml:space="preserve"> </w:t>
      </w:r>
      <w:r>
        <w:t xml:space="preserve">Kabthymer 2025, PMID 38545720.</w:t>
      </w:r>
    </w:p>
  </w:footnote>
  <w:footnote w:id="2428">
    <w:p>
      <w:pPr>
        <w:pStyle w:val="FootnoteText"/>
      </w:pPr>
      <w:r>
        <w:rPr>
          <w:rStyle w:val="FootnoteReference"/>
        </w:rPr>
        <w:footnoteRef/>
      </w:r>
      <w:r>
        <w:t xml:space="preserve"> </w:t>
      </w:r>
      <w:r>
        <w:t xml:space="preserve">Chez 2002, PMID 12585724.</w:t>
      </w:r>
    </w:p>
  </w:footnote>
  <w:footnote w:id="2429">
    <w:p>
      <w:pPr>
        <w:pStyle w:val="FootnoteText"/>
      </w:pPr>
      <w:r>
        <w:rPr>
          <w:rStyle w:val="FootnoteReference"/>
        </w:rPr>
        <w:footnoteRef/>
      </w:r>
      <w:r>
        <w:t xml:space="preserve"> </w:t>
      </w:r>
      <w:r>
        <w:t xml:space="preserve">Abraham 2020, PMID 33170378.</w:t>
      </w:r>
    </w:p>
  </w:footnote>
  <w:footnote w:id="2431">
    <w:p>
      <w:pPr>
        <w:pStyle w:val="FootnoteText"/>
      </w:pPr>
      <w:r>
        <w:rPr>
          <w:rStyle w:val="FootnoteReference"/>
        </w:rPr>
        <w:footnoteRef/>
      </w:r>
      <w:r>
        <w:t xml:space="preserve"> </w:t>
      </w:r>
      <w:r>
        <w:t xml:space="preserve">Yehia 2019, PMID 30592963.</w:t>
      </w:r>
    </w:p>
  </w:footnote>
  <w:footnote w:id="2432">
    <w:p>
      <w:pPr>
        <w:pStyle w:val="FootnoteText"/>
      </w:pPr>
      <w:r>
        <w:rPr>
          <w:rStyle w:val="FootnoteReference"/>
        </w:rPr>
        <w:footnoteRef/>
      </w:r>
      <w:r>
        <w:t xml:space="preserve"> </w:t>
      </w:r>
      <w:r>
        <w:t xml:space="preserve">Lombardi 2015, PMID 25287762.</w:t>
      </w:r>
    </w:p>
  </w:footnote>
  <w:footnote w:id="2433">
    <w:p>
      <w:pPr>
        <w:pStyle w:val="FootnoteText"/>
      </w:pPr>
      <w:r>
        <w:rPr>
          <w:rStyle w:val="FootnoteReference"/>
        </w:rPr>
        <w:footnoteRef/>
      </w:r>
      <w:r>
        <w:t xml:space="preserve"> </w:t>
      </w:r>
      <w:r>
        <w:t xml:space="preserve">Baraniuk 2013, PMID 23618477.</w:t>
      </w:r>
    </w:p>
  </w:footnote>
  <w:footnote w:id="2434">
    <w:p>
      <w:pPr>
        <w:pStyle w:val="FootnoteText"/>
      </w:pPr>
      <w:r>
        <w:rPr>
          <w:rStyle w:val="FootnoteReference"/>
        </w:rPr>
        <w:footnoteRef/>
      </w:r>
      <w:r>
        <w:t xml:space="preserve"> </w:t>
      </w:r>
      <w:r>
        <w:t xml:space="preserve">Babizhayev 2012, PMID 21756141.</w:t>
      </w:r>
    </w:p>
  </w:footnote>
  <w:footnote w:id="2436">
    <w:p>
      <w:pPr>
        <w:pStyle w:val="FootnoteText"/>
      </w:pPr>
      <w:r>
        <w:rPr>
          <w:rStyle w:val="FootnoteReference"/>
        </w:rPr>
        <w:footnoteRef/>
      </w:r>
      <w:r>
        <w:t xml:space="preserve"> </w:t>
      </w:r>
      <w:r>
        <w:t xml:space="preserve">Shen 2022, PMID 35999163.</w:t>
      </w:r>
    </w:p>
  </w:footnote>
  <w:footnote w:id="2437">
    <w:p>
      <w:pPr>
        <w:pStyle w:val="FootnoteText"/>
      </w:pPr>
      <w:r>
        <w:rPr>
          <w:rStyle w:val="FootnoteReference"/>
        </w:rPr>
        <w:footnoteRef/>
      </w:r>
      <w:r>
        <w:t xml:space="preserve"> </w:t>
      </w:r>
      <w:r>
        <w:t xml:space="preserve">Dubois 2017, PMID 28245346.</w:t>
      </w:r>
    </w:p>
  </w:footnote>
  <w:footnote w:id="2440">
    <w:p>
      <w:pPr>
        <w:pStyle w:val="FootnoteText"/>
      </w:pPr>
      <w:r>
        <w:rPr>
          <w:rStyle w:val="FootnoteReference"/>
        </w:rPr>
        <w:footnoteRef/>
      </w:r>
      <w:r>
        <w:t xml:space="preserve"> </w:t>
      </w:r>
      <w:r>
        <w:t xml:space="preserve">Matthews 2021, PMID 34333586.</w:t>
      </w:r>
    </w:p>
  </w:footnote>
  <w:footnote w:id="2441">
    <w:p>
      <w:pPr>
        <w:pStyle w:val="FootnoteText"/>
      </w:pPr>
      <w:r>
        <w:rPr>
          <w:rStyle w:val="FootnoteReference"/>
        </w:rPr>
        <w:footnoteRef/>
      </w:r>
      <w:r>
        <w:t xml:space="preserve"> </w:t>
      </w:r>
      <w:r>
        <w:t xml:space="preserve">Qiu 2020, PMID 32803273.</w:t>
      </w:r>
    </w:p>
  </w:footnote>
  <w:footnote w:id="2443">
    <w:p>
      <w:pPr>
        <w:pStyle w:val="FootnoteText"/>
      </w:pPr>
      <w:r>
        <w:rPr>
          <w:rStyle w:val="FootnoteReference"/>
        </w:rPr>
        <w:footnoteRef/>
      </w:r>
      <w:r>
        <w:t xml:space="preserve"> </w:t>
      </w:r>
      <w:r>
        <w:t xml:space="preserve">Baba 2024, PMID 39215872.</w:t>
      </w:r>
    </w:p>
  </w:footnote>
  <w:footnote w:id="2444">
    <w:p>
      <w:pPr>
        <w:pStyle w:val="FootnoteText"/>
      </w:pPr>
      <w:r>
        <w:rPr>
          <w:rStyle w:val="FootnoteReference"/>
        </w:rPr>
        <w:footnoteRef/>
      </w:r>
      <w:r>
        <w:t xml:space="preserve"> </w:t>
      </w:r>
      <w:r>
        <w:t xml:space="preserve">Dolan 2019, PMID 30980076.</w:t>
      </w:r>
    </w:p>
  </w:footnote>
  <w:footnote w:id="2447">
    <w:p>
      <w:pPr>
        <w:pStyle w:val="FootnoteText"/>
      </w:pPr>
      <w:r>
        <w:rPr>
          <w:rStyle w:val="FootnoteReference"/>
        </w:rPr>
        <w:footnoteRef/>
      </w:r>
      <w:r>
        <w:t xml:space="preserve"> </w:t>
      </w:r>
      <w:r>
        <w:t xml:space="preserve">NCT06480760.</w:t>
      </w:r>
    </w:p>
  </w:footnote>
  <w:footnote w:id="2448">
    <w:p>
      <w:pPr>
        <w:pStyle w:val="FootnoteText"/>
      </w:pPr>
      <w:r>
        <w:rPr>
          <w:rStyle w:val="FootnoteReference"/>
        </w:rPr>
        <w:footnoteRef/>
      </w:r>
      <w:r>
        <w:t xml:space="preserve"> </w:t>
      </w:r>
      <w:r>
        <w:t xml:space="preserve">NCT07475546.</w:t>
      </w:r>
    </w:p>
  </w:footnote>
  <w:footnote w:id="2449">
    <w:p>
      <w:pPr>
        <w:pStyle w:val="FootnoteText"/>
      </w:pPr>
      <w:r>
        <w:rPr>
          <w:rStyle w:val="FootnoteReference"/>
        </w:rPr>
        <w:footnoteRef/>
      </w:r>
      <w:r>
        <w:t xml:space="preserve"> </w:t>
      </w:r>
      <w:r>
        <w:t xml:space="preserve">NCT03314987.</w:t>
      </w:r>
    </w:p>
  </w:footnote>
  <w:footnote w:id="2453">
    <w:p>
      <w:pPr>
        <w:pStyle w:val="FootnoteText"/>
      </w:pPr>
      <w:r>
        <w:rPr>
          <w:rStyle w:val="FootnoteReference"/>
        </w:rPr>
        <w:footnoteRef/>
      </w:r>
      <w:r>
        <w:t xml:space="preserve"> </w:t>
      </w:r>
      <w:r>
        <w:t xml:space="preserve">Pickart 1973, PMID 4349963.</w:t>
      </w:r>
    </w:p>
  </w:footnote>
  <w:footnote w:id="2455">
    <w:p>
      <w:pPr>
        <w:pStyle w:val="FootnoteText"/>
      </w:pPr>
      <w:r>
        <w:rPr>
          <w:rStyle w:val="FootnoteReference"/>
        </w:rPr>
        <w:footnoteRef/>
      </w:r>
      <w:r>
        <w:t xml:space="preserve"> </w:t>
      </w:r>
      <w:r>
        <w:t xml:space="preserve">Pickart 1980, PMID 7453802.</w:t>
      </w:r>
    </w:p>
  </w:footnote>
  <w:footnote w:id="2456">
    <w:p>
      <w:pPr>
        <w:pStyle w:val="FootnoteText"/>
      </w:pPr>
      <w:r>
        <w:rPr>
          <w:rStyle w:val="FootnoteReference"/>
        </w:rPr>
        <w:footnoteRef/>
      </w:r>
      <w:r>
        <w:t xml:space="preserve"> </w:t>
      </w:r>
      <w:r>
        <w:t xml:space="preserve">Maquart 1988, PMID 3169264.</w:t>
      </w:r>
    </w:p>
  </w:footnote>
  <w:footnote w:id="2457">
    <w:p>
      <w:pPr>
        <w:pStyle w:val="FootnoteText"/>
      </w:pPr>
      <w:r>
        <w:rPr>
          <w:rStyle w:val="FootnoteReference"/>
        </w:rPr>
        <w:footnoteRef/>
      </w:r>
      <w:r>
        <w:t xml:space="preserve"> </w:t>
      </w:r>
      <w:r>
        <w:t xml:space="preserve">Pickart 2015, PMID 26236730; Pickart 2018, PMID 29986520.</w:t>
      </w:r>
    </w:p>
  </w:footnote>
  <w:footnote w:id="2458">
    <w:p>
      <w:pPr>
        <w:pStyle w:val="FootnoteText"/>
      </w:pPr>
      <w:r>
        <w:rPr>
          <w:rStyle w:val="FootnoteReference"/>
        </w:rPr>
        <w:footnoteRef/>
      </w:r>
      <w:r>
        <w:t xml:space="preserve"> </w:t>
      </w:r>
      <w:r>
        <w:t xml:space="preserve">Mortazavi 2025, PMID 39963574.</w:t>
      </w:r>
    </w:p>
  </w:footnote>
  <w:footnote w:id="2459">
    <w:p>
      <w:pPr>
        <w:pStyle w:val="FootnoteText"/>
      </w:pPr>
      <w:r>
        <w:rPr>
          <w:rStyle w:val="FootnoteReference"/>
        </w:rPr>
        <w:footnoteRef/>
      </w:r>
      <w:r>
        <w:t xml:space="preserve"> </w:t>
      </w:r>
      <w:r>
        <w:t xml:space="preserve">Trzaska 2026, PMID 42790608.</w:t>
      </w:r>
    </w:p>
  </w:footnote>
  <w:footnote w:id="2462">
    <w:p>
      <w:pPr>
        <w:pStyle w:val="FootnoteText"/>
      </w:pPr>
      <w:r>
        <w:rPr>
          <w:rStyle w:val="FootnoteReference"/>
        </w:rPr>
        <w:footnoteRef/>
      </w:r>
      <w:r>
        <w:t xml:space="preserve"> </w:t>
      </w:r>
      <w:r>
        <w:t xml:space="preserve">Nukaly 2026, PMID 41924746.</w:t>
      </w:r>
    </w:p>
  </w:footnote>
  <w:footnote w:id="2463">
    <w:p>
      <w:pPr>
        <w:pStyle w:val="FootnoteText"/>
      </w:pPr>
      <w:r>
        <w:rPr>
          <w:rStyle w:val="FootnoteReference"/>
        </w:rPr>
        <w:footnoteRef/>
      </w:r>
      <w:r>
        <w:t xml:space="preserve"> </w:t>
      </w:r>
      <w:r>
        <w:t xml:space="preserve">Mayfield 2026, PMID 41476424.</w:t>
      </w:r>
    </w:p>
  </w:footnote>
  <w:footnote w:id="2464">
    <w:p>
      <w:pPr>
        <w:pStyle w:val="FootnoteText"/>
      </w:pPr>
      <w:r>
        <w:rPr>
          <w:rStyle w:val="FootnoteReference"/>
        </w:rPr>
        <w:footnoteRef/>
      </w:r>
      <w:r>
        <w:t xml:space="preserve"> </w:t>
      </w:r>
      <w:r>
        <w:t xml:space="preserve">Mendias 2026, PMID 41966639.</w:t>
      </w:r>
    </w:p>
  </w:footnote>
  <w:footnote w:id="2466">
    <w:p>
      <w:pPr>
        <w:pStyle w:val="FootnoteText"/>
      </w:pPr>
      <w:r>
        <w:rPr>
          <w:rStyle w:val="FootnoteReference"/>
        </w:rPr>
        <w:footnoteRef/>
      </w:r>
      <w:r>
        <w:t xml:space="preserve"> </w:t>
      </w:r>
      <w:r>
        <w:t xml:space="preserve">Maquart 1988, PMID 3169264.</w:t>
      </w:r>
    </w:p>
  </w:footnote>
  <w:footnote w:id="2467">
    <w:p>
      <w:pPr>
        <w:pStyle w:val="FootnoteText"/>
      </w:pPr>
      <w:r>
        <w:rPr>
          <w:rStyle w:val="FootnoteReference"/>
        </w:rPr>
        <w:footnoteRef/>
      </w:r>
      <w:r>
        <w:t xml:space="preserve"> </w:t>
      </w:r>
      <w:r>
        <w:t xml:space="preserve">Canapp 2003, PMID 14648529.</w:t>
      </w:r>
    </w:p>
  </w:footnote>
  <w:footnote w:id="2468">
    <w:p>
      <w:pPr>
        <w:pStyle w:val="FootnoteText"/>
      </w:pPr>
      <w:r>
        <w:rPr>
          <w:rStyle w:val="FootnoteReference"/>
        </w:rPr>
        <w:footnoteRef/>
      </w:r>
      <w:r>
        <w:t xml:space="preserve"> </w:t>
      </w:r>
      <w:r>
        <w:t xml:space="preserve">Wang 2017, PMID 28370978.</w:t>
      </w:r>
    </w:p>
  </w:footnote>
  <w:footnote w:id="2469">
    <w:p>
      <w:pPr>
        <w:pStyle w:val="FootnoteText"/>
      </w:pPr>
      <w:r>
        <w:rPr>
          <w:rStyle w:val="FootnoteReference"/>
        </w:rPr>
        <w:footnoteRef/>
      </w:r>
      <w:r>
        <w:t xml:space="preserve"> </w:t>
      </w:r>
      <w:r>
        <w:t xml:space="preserve">Ma 2020, PMID 31809714.</w:t>
      </w:r>
    </w:p>
  </w:footnote>
  <w:footnote w:id="2470">
    <w:p>
      <w:pPr>
        <w:pStyle w:val="FootnoteText"/>
      </w:pPr>
      <w:r>
        <w:rPr>
          <w:rStyle w:val="FootnoteReference"/>
        </w:rPr>
        <w:footnoteRef/>
      </w:r>
      <w:r>
        <w:t xml:space="preserve"> </w:t>
      </w:r>
      <w:r>
        <w:t xml:space="preserve">Fu 2015, PMID 25731775.</w:t>
      </w:r>
    </w:p>
  </w:footnote>
  <w:footnote w:id="2471">
    <w:p>
      <w:pPr>
        <w:pStyle w:val="FootnoteText"/>
      </w:pPr>
      <w:r>
        <w:rPr>
          <w:rStyle w:val="FootnoteReference"/>
        </w:rPr>
        <w:footnoteRef/>
      </w:r>
      <w:r>
        <w:t xml:space="preserve"> </w:t>
      </w:r>
      <w:r>
        <w:t xml:space="preserve">Mazzola 2026, PMID 42245779.</w:t>
      </w:r>
    </w:p>
  </w:footnote>
  <w:footnote w:id="2473">
    <w:p>
      <w:pPr>
        <w:pStyle w:val="FootnoteText"/>
      </w:pPr>
      <w:r>
        <w:rPr>
          <w:rStyle w:val="FootnoteReference"/>
        </w:rPr>
        <w:footnoteRef/>
      </w:r>
      <w:r>
        <w:t xml:space="preserve"> </w:t>
      </w:r>
      <w:r>
        <w:t xml:space="preserve">Pickart 1980, PMID 7453802.</w:t>
      </w:r>
    </w:p>
  </w:footnote>
  <w:footnote w:id="2474">
    <w:p>
      <w:pPr>
        <w:pStyle w:val="FootnoteText"/>
      </w:pPr>
      <w:r>
        <w:rPr>
          <w:rStyle w:val="FootnoteReference"/>
        </w:rPr>
        <w:footnoteRef/>
      </w:r>
      <w:r>
        <w:t xml:space="preserve"> </w:t>
      </w:r>
      <w:r>
        <w:t xml:space="preserve">Moiz 2026, PMID 42757290.</w:t>
      </w:r>
    </w:p>
  </w:footnote>
  <w:footnote w:id="2477">
    <w:p>
      <w:pPr>
        <w:pStyle w:val="FootnoteText"/>
      </w:pPr>
      <w:r>
        <w:rPr>
          <w:rStyle w:val="FootnoteReference"/>
        </w:rPr>
        <w:footnoteRef/>
      </w:r>
      <w:r>
        <w:t xml:space="preserve"> </w:t>
      </w:r>
      <w:r>
        <w:t xml:space="preserve">NCT07706361.</w:t>
      </w:r>
    </w:p>
  </w:footnote>
  <w:footnote w:id="2482">
    <w:p>
      <w:pPr>
        <w:pStyle w:val="FootnoteText"/>
      </w:pPr>
      <w:r>
        <w:rPr>
          <w:rStyle w:val="FootnoteReference"/>
        </w:rPr>
        <w:footnoteRef/>
      </w:r>
      <w:r>
        <w:t xml:space="preserve"> </w:t>
      </w:r>
      <w:r>
        <w:t xml:space="preserve">Katayama 1993, PMID 8486721.</w:t>
      </w:r>
    </w:p>
  </w:footnote>
  <w:footnote w:id="2483">
    <w:p>
      <w:pPr>
        <w:pStyle w:val="FootnoteText"/>
      </w:pPr>
      <w:r>
        <w:rPr>
          <w:rStyle w:val="FootnoteReference"/>
        </w:rPr>
        <w:footnoteRef/>
      </w:r>
      <w:r>
        <w:t xml:space="preserve"> </w:t>
      </w:r>
      <w:r>
        <w:t xml:space="preserve">Jones 2013, PMID 23320752.</w:t>
      </w:r>
    </w:p>
  </w:footnote>
  <w:footnote w:id="2484">
    <w:p>
      <w:pPr>
        <w:pStyle w:val="FootnoteText"/>
      </w:pPr>
      <w:r>
        <w:rPr>
          <w:rStyle w:val="FootnoteReference"/>
        </w:rPr>
        <w:footnoteRef/>
      </w:r>
      <w:r>
        <w:t xml:space="preserve"> </w:t>
      </w:r>
      <w:r>
        <w:t xml:space="preserve">Trzaska 2026, PMID 42790608.</w:t>
      </w:r>
    </w:p>
  </w:footnote>
  <w:footnote w:id="2486">
    <w:p>
      <w:pPr>
        <w:pStyle w:val="FootnoteText"/>
      </w:pPr>
      <w:r>
        <w:rPr>
          <w:rStyle w:val="FootnoteReference"/>
        </w:rPr>
        <w:footnoteRef/>
      </w:r>
      <w:r>
        <w:t xml:space="preserve"> </w:t>
      </w:r>
      <w:r>
        <w:t xml:space="preserve">Kaczvinsky 2009, PMID 19735523.</w:t>
      </w:r>
    </w:p>
  </w:footnote>
  <w:footnote w:id="2487">
    <w:p>
      <w:pPr>
        <w:pStyle w:val="FootnoteText"/>
      </w:pPr>
      <w:r>
        <w:rPr>
          <w:rStyle w:val="FootnoteReference"/>
        </w:rPr>
        <w:footnoteRef/>
      </w:r>
      <w:r>
        <w:t xml:space="preserve"> </w:t>
      </w:r>
      <w:r>
        <w:t xml:space="preserve">Nukaly 2026, PMID 41924746.</w:t>
      </w:r>
    </w:p>
  </w:footnote>
  <w:footnote w:id="2489">
    <w:p>
      <w:pPr>
        <w:pStyle w:val="FootnoteText"/>
      </w:pPr>
      <w:r>
        <w:rPr>
          <w:rStyle w:val="FootnoteReference"/>
        </w:rPr>
        <w:footnoteRef/>
      </w:r>
      <w:r>
        <w:t xml:space="preserve"> </w:t>
      </w:r>
      <w:r>
        <w:t xml:space="preserve">Katayama 1993, PMID 8486721; Jones 2013, PMID 23320752.</w:t>
      </w:r>
    </w:p>
  </w:footnote>
  <w:footnote w:id="2490">
    <w:p>
      <w:pPr>
        <w:pStyle w:val="FootnoteText"/>
      </w:pPr>
      <w:r>
        <w:rPr>
          <w:rStyle w:val="FootnoteReference"/>
        </w:rPr>
        <w:footnoteRef/>
      </w:r>
      <w:r>
        <w:t xml:space="preserve"> </w:t>
      </w:r>
      <w:r>
        <w:t xml:space="preserve">Park 2017, PMID 30603464.</w:t>
      </w:r>
    </w:p>
  </w:footnote>
  <w:footnote w:id="2491">
    <w:p>
      <w:pPr>
        <w:pStyle w:val="FootnoteText"/>
      </w:pPr>
      <w:r>
        <w:rPr>
          <w:rStyle w:val="FootnoteReference"/>
        </w:rPr>
        <w:footnoteRef/>
      </w:r>
      <w:r>
        <w:t xml:space="preserve"> </w:t>
      </w:r>
      <w:r>
        <w:t xml:space="preserve">Kachooeian 2022, PMID 35874243.</w:t>
      </w:r>
    </w:p>
  </w:footnote>
  <w:footnote w:id="2493">
    <w:p>
      <w:pPr>
        <w:pStyle w:val="FootnoteText"/>
      </w:pPr>
      <w:r>
        <w:rPr>
          <w:rStyle w:val="FootnoteReference"/>
        </w:rPr>
        <w:footnoteRef/>
      </w:r>
      <w:r>
        <w:t xml:space="preserve"> </w:t>
      </w:r>
      <w:r>
        <w:t xml:space="preserve">Röper 2004, PMID 15127162.</w:t>
      </w:r>
    </w:p>
  </w:footnote>
  <w:footnote w:id="2494">
    <w:p>
      <w:pPr>
        <w:pStyle w:val="FootnoteText"/>
      </w:pPr>
      <w:r>
        <w:rPr>
          <w:rStyle w:val="FootnoteReference"/>
        </w:rPr>
        <w:footnoteRef/>
      </w:r>
      <w:r>
        <w:t xml:space="preserve"> </w:t>
      </w:r>
      <w:r>
        <w:t xml:space="preserve">Bjerke 2026, PMID 41953401.</w:t>
      </w:r>
    </w:p>
  </w:footnote>
  <w:footnote w:id="2501">
    <w:p>
      <w:pPr>
        <w:pStyle w:val="FootnoteText"/>
      </w:pPr>
      <w:r>
        <w:rPr>
          <w:rStyle w:val="FootnoteReference"/>
        </w:rPr>
        <w:footnoteRef/>
      </w:r>
      <w:r>
        <w:t xml:space="preserve"> </w:t>
      </w:r>
      <w:r>
        <w:t xml:space="preserve">Blanes-Mira 2002, PMID 18498523.</w:t>
      </w:r>
    </w:p>
  </w:footnote>
  <w:footnote w:id="2502">
    <w:p>
      <w:pPr>
        <w:pStyle w:val="FootnoteText"/>
      </w:pPr>
      <w:r>
        <w:rPr>
          <w:rStyle w:val="FootnoteReference"/>
        </w:rPr>
        <w:footnoteRef/>
      </w:r>
      <w:r>
        <w:t xml:space="preserve"> </w:t>
      </w:r>
      <w:r>
        <w:t xml:space="preserve">Kraeling 2015, PMID 24754410.</w:t>
      </w:r>
    </w:p>
  </w:footnote>
  <w:footnote w:id="2503">
    <w:p>
      <w:pPr>
        <w:pStyle w:val="FootnoteText"/>
      </w:pPr>
      <w:r>
        <w:rPr>
          <w:rStyle w:val="FootnoteReference"/>
        </w:rPr>
        <w:footnoteRef/>
      </w:r>
      <w:r>
        <w:t xml:space="preserve"> </w:t>
      </w:r>
      <w:r>
        <w:t xml:space="preserve">Zdrada-Nowak 2025, PMID 40565185.</w:t>
      </w:r>
    </w:p>
  </w:footnote>
  <w:footnote w:id="2505">
    <w:p>
      <w:pPr>
        <w:pStyle w:val="FootnoteText"/>
      </w:pPr>
      <w:r>
        <w:rPr>
          <w:rStyle w:val="FootnoteReference"/>
        </w:rPr>
        <w:footnoteRef/>
      </w:r>
      <w:r>
        <w:t xml:space="preserve"> </w:t>
      </w:r>
      <w:r>
        <w:t xml:space="preserve">Wang 2013, PMID 23607739.</w:t>
      </w:r>
    </w:p>
  </w:footnote>
  <w:footnote w:id="2506">
    <w:p>
      <w:pPr>
        <w:pStyle w:val="FootnoteText"/>
      </w:pPr>
      <w:r>
        <w:rPr>
          <w:rStyle w:val="FootnoteReference"/>
        </w:rPr>
        <w:footnoteRef/>
      </w:r>
      <w:r>
        <w:t xml:space="preserve"> </w:t>
      </w:r>
      <w:r>
        <w:t xml:space="preserve">NCT01750346.</w:t>
      </w:r>
    </w:p>
  </w:footnote>
  <w:footnote w:id="2507">
    <w:p>
      <w:pPr>
        <w:pStyle w:val="FootnoteText"/>
      </w:pPr>
      <w:r>
        <w:rPr>
          <w:rStyle w:val="FootnoteReference"/>
        </w:rPr>
        <w:footnoteRef/>
      </w:r>
      <w:r>
        <w:t xml:space="preserve"> </w:t>
      </w:r>
      <w:r>
        <w:t xml:space="preserve">An 2019, PMID 33911590.</w:t>
      </w:r>
    </w:p>
  </w:footnote>
  <w:footnote w:id="2508">
    <w:p>
      <w:pPr>
        <w:pStyle w:val="FootnoteText"/>
      </w:pPr>
      <w:r>
        <w:rPr>
          <w:rStyle w:val="FootnoteReference"/>
        </w:rPr>
        <w:footnoteRef/>
      </w:r>
      <w:r>
        <w:t xml:space="preserve"> </w:t>
      </w:r>
      <w:r>
        <w:t xml:space="preserve">NCT02597777.</w:t>
      </w:r>
    </w:p>
  </w:footnote>
  <w:footnote w:id="2509">
    <w:p>
      <w:pPr>
        <w:pStyle w:val="FootnoteText"/>
      </w:pPr>
      <w:r>
        <w:rPr>
          <w:rStyle w:val="FootnoteReference"/>
        </w:rPr>
        <w:footnoteRef/>
      </w:r>
      <w:r>
        <w:t xml:space="preserve"> </w:t>
      </w:r>
      <w:r>
        <w:t xml:space="preserve">NCT01381484.</w:t>
      </w:r>
    </w:p>
  </w:footnote>
  <w:footnote w:id="2512">
    <w:p>
      <w:pPr>
        <w:pStyle w:val="FootnoteText"/>
      </w:pPr>
      <w:r>
        <w:rPr>
          <w:rStyle w:val="FootnoteReference"/>
        </w:rPr>
        <w:footnoteRef/>
      </w:r>
      <w:r>
        <w:t xml:space="preserve"> </w:t>
      </w:r>
      <w:r>
        <w:t xml:space="preserve">Blanes-Mira 2002, PMID 18498523.</w:t>
      </w:r>
    </w:p>
  </w:footnote>
  <w:footnote w:id="2513">
    <w:p>
      <w:pPr>
        <w:pStyle w:val="FootnoteText"/>
      </w:pPr>
      <w:r>
        <w:rPr>
          <w:rStyle w:val="FootnoteReference"/>
        </w:rPr>
        <w:footnoteRef/>
      </w:r>
      <w:r>
        <w:t xml:space="preserve"> </w:t>
      </w:r>
      <w:r>
        <w:t xml:space="preserve">Grosicki 2014, PMID 24644551.</w:t>
      </w:r>
    </w:p>
  </w:footnote>
  <w:footnote w:id="2514">
    <w:p>
      <w:pPr>
        <w:pStyle w:val="FootnoteText"/>
      </w:pPr>
      <w:r>
        <w:rPr>
          <w:rStyle w:val="FootnoteReference"/>
        </w:rPr>
        <w:footnoteRef/>
      </w:r>
      <w:r>
        <w:t xml:space="preserve"> </w:t>
      </w:r>
      <w:r>
        <w:t xml:space="preserve">Wang 2013, PMID 23464592.</w:t>
      </w:r>
    </w:p>
  </w:footnote>
  <w:footnote w:id="2515">
    <w:p>
      <w:pPr>
        <w:pStyle w:val="FootnoteText"/>
      </w:pPr>
      <w:r>
        <w:rPr>
          <w:rStyle w:val="FootnoteReference"/>
        </w:rPr>
        <w:footnoteRef/>
      </w:r>
      <w:r>
        <w:t xml:space="preserve"> </w:t>
      </w:r>
      <w:r>
        <w:t xml:space="preserve">Kraeling 2015, PMID 24754410.</w:t>
      </w:r>
    </w:p>
  </w:footnote>
  <w:footnote w:id="2517">
    <w:p>
      <w:pPr>
        <w:pStyle w:val="FootnoteText"/>
      </w:pPr>
      <w:r>
        <w:rPr>
          <w:rStyle w:val="FootnoteReference"/>
        </w:rPr>
        <w:footnoteRef/>
      </w:r>
      <w:r>
        <w:t xml:space="preserve"> </w:t>
      </w:r>
      <w:r>
        <w:t xml:space="preserve">Johnson 2025, PMID 40673537.</w:t>
      </w:r>
    </w:p>
  </w:footnote>
  <w:footnote w:id="2518">
    <w:p>
      <w:pPr>
        <w:pStyle w:val="FootnoteText"/>
      </w:pPr>
      <w:r>
        <w:rPr>
          <w:rStyle w:val="FootnoteReference"/>
        </w:rPr>
        <w:footnoteRef/>
      </w:r>
      <w:r>
        <w:t xml:space="preserve"> </w:t>
      </w:r>
      <w:r>
        <w:t xml:space="preserve">Chen 2021, PMID 33748252.</w:t>
      </w:r>
    </w:p>
  </w:footnote>
  <w:footnote w:id="2539">
    <w:p>
      <w:pPr>
        <w:pStyle w:val="FootnoteText"/>
      </w:pPr>
      <w:r>
        <w:rPr>
          <w:rStyle w:val="FootnoteReference"/>
        </w:rPr>
        <w:footnoteRef/>
      </w:r>
      <w:r>
        <w:t xml:space="preserve"> </w:t>
      </w:r>
      <w:r>
        <w:t xml:space="preserve">Gao 2026, PMID 42251595.</w:t>
      </w:r>
    </w:p>
  </w:footnote>
  <w:footnote w:id="2540">
    <w:p>
      <w:pPr>
        <w:pStyle w:val="FootnoteText"/>
      </w:pPr>
      <w:r>
        <w:rPr>
          <w:rStyle w:val="FootnoteReference"/>
        </w:rPr>
        <w:footnoteRef/>
      </w:r>
      <w:r>
        <w:t xml:space="preserve"> </w:t>
      </w:r>
      <w:r>
        <w:t xml:space="preserve">NCT06662383.</w:t>
      </w:r>
    </w:p>
  </w:footnote>
  <w:footnote w:id="2542">
    <w:p>
      <w:pPr>
        <w:pStyle w:val="FootnoteText"/>
      </w:pPr>
      <w:r>
        <w:rPr>
          <w:rStyle w:val="FootnoteReference"/>
        </w:rPr>
        <w:footnoteRef/>
      </w:r>
      <w:r>
        <w:t xml:space="preserve"> </w:t>
      </w:r>
      <w:r>
        <w:t xml:space="preserve">Rubino 2021, PMID 33755728.</w:t>
      </w:r>
    </w:p>
  </w:footnote>
  <w:footnote w:id="2543">
    <w:p>
      <w:pPr>
        <w:pStyle w:val="FootnoteText"/>
      </w:pPr>
      <w:r>
        <w:rPr>
          <w:rStyle w:val="FootnoteReference"/>
        </w:rPr>
        <w:footnoteRef/>
      </w:r>
      <w:r>
        <w:t xml:space="preserve"> </w:t>
      </w:r>
      <w:r>
        <w:t xml:space="preserve">Aronne 2024, PMID 38078870.</w:t>
      </w:r>
    </w:p>
  </w:footnote>
  <w:footnote w:id="2546">
    <w:p>
      <w:pPr>
        <w:pStyle w:val="FootnoteText"/>
      </w:pPr>
      <w:r>
        <w:rPr>
          <w:rStyle w:val="FootnoteReference"/>
        </w:rPr>
        <w:footnoteRef/>
      </w:r>
      <w:r>
        <w:t xml:space="preserve"> </w:t>
      </w:r>
      <w:r>
        <w:t xml:space="preserve">Edelman 2006, PMID 17003291.</w:t>
      </w:r>
    </w:p>
  </w:footnote>
  <w:footnote w:id="2548">
    <w:p>
      <w:pPr>
        <w:pStyle w:val="FootnoteText"/>
      </w:pPr>
      <w:r>
        <w:rPr>
          <w:rStyle w:val="FootnoteReference"/>
        </w:rPr>
        <w:footnoteRef/>
      </w:r>
      <w:r>
        <w:t xml:space="preserve"> </w:t>
      </w:r>
      <w:r>
        <w:t xml:space="preserve">Kristensen 2019, PMID 31422062.</w:t>
      </w:r>
    </w:p>
  </w:footnote>
  <w:footnote w:id="2549">
    <w:p>
      <w:pPr>
        <w:pStyle w:val="FootnoteText"/>
      </w:pPr>
      <w:r>
        <w:rPr>
          <w:rStyle w:val="FootnoteReference"/>
        </w:rPr>
        <w:footnoteRef/>
      </w:r>
      <w:r>
        <w:t xml:space="preserve"> </w:t>
      </w:r>
      <w:r>
        <w:t xml:space="preserve">Kosiborod 2023, PMID 37622681.</w:t>
      </w:r>
    </w:p>
  </w:footnote>
  <w:footnote w:id="2550">
    <w:p>
      <w:pPr>
        <w:pStyle w:val="FootnoteText"/>
      </w:pPr>
      <w:r>
        <w:rPr>
          <w:rStyle w:val="FootnoteReference"/>
        </w:rPr>
        <w:footnoteRef/>
      </w:r>
      <w:r>
        <w:t xml:space="preserve"> </w:t>
      </w:r>
      <w:r>
        <w:t xml:space="preserve">NCT05556512.</w:t>
      </w:r>
    </w:p>
  </w:footnote>
  <w:footnote w:id="2551">
    <w:p>
      <w:pPr>
        <w:pStyle w:val="FootnoteText"/>
      </w:pPr>
      <w:r>
        <w:rPr>
          <w:rStyle w:val="FootnoteReference"/>
        </w:rPr>
        <w:footnoteRef/>
      </w:r>
      <w:r>
        <w:t xml:space="preserve"> </w:t>
      </w:r>
      <w:r>
        <w:t xml:space="preserve">NCT06383390.</w:t>
      </w:r>
    </w:p>
  </w:footnote>
  <w:footnote w:id="2552">
    <w:p>
      <w:pPr>
        <w:pStyle w:val="FootnoteText"/>
      </w:pPr>
      <w:r>
        <w:rPr>
          <w:rStyle w:val="FootnoteReference"/>
        </w:rPr>
        <w:footnoteRef/>
      </w:r>
      <w:r>
        <w:t xml:space="preserve"> </w:t>
      </w:r>
      <w:r>
        <w:t xml:space="preserve">NCT05669755.</w:t>
      </w:r>
    </w:p>
  </w:footnote>
  <w:footnote w:id="2553">
    <w:p>
      <w:pPr>
        <w:pStyle w:val="FootnoteText"/>
      </w:pPr>
      <w:r>
        <w:rPr>
          <w:rStyle w:val="FootnoteReference"/>
        </w:rPr>
        <w:footnoteRef/>
      </w:r>
      <w:r>
        <w:t xml:space="preserve"> </w:t>
      </w:r>
      <w:r>
        <w:t xml:space="preserve">NCT07037433.</w:t>
      </w:r>
    </w:p>
  </w:footnote>
  <w:footnote w:id="2554">
    <w:p>
      <w:pPr>
        <w:pStyle w:val="FootnoteText"/>
      </w:pPr>
      <w:r>
        <w:rPr>
          <w:rStyle w:val="FootnoteReference"/>
        </w:rPr>
        <w:footnoteRef/>
      </w:r>
      <w:r>
        <w:t xml:space="preserve"> </w:t>
      </w:r>
      <w:r>
        <w:t xml:space="preserve">NCT07241390.</w:t>
      </w:r>
    </w:p>
  </w:footnote>
  <w:footnote w:id="2556">
    <w:p>
      <w:pPr>
        <w:pStyle w:val="FootnoteText"/>
      </w:pPr>
      <w:r>
        <w:rPr>
          <w:rStyle w:val="FootnoteReference"/>
        </w:rPr>
        <w:footnoteRef/>
      </w:r>
      <w:r>
        <w:t xml:space="preserve"> </w:t>
      </w:r>
      <w:r>
        <w:t xml:space="preserve">Perkovic 2024, PMID 38785209.</w:t>
      </w:r>
    </w:p>
  </w:footnote>
  <w:footnote w:id="2557">
    <w:p>
      <w:pPr>
        <w:pStyle w:val="FootnoteText"/>
      </w:pPr>
      <w:r>
        <w:rPr>
          <w:rStyle w:val="FootnoteReference"/>
        </w:rPr>
        <w:footnoteRef/>
      </w:r>
      <w:r>
        <w:t xml:space="preserve"> </w:t>
      </w:r>
      <w:r>
        <w:t xml:space="preserve">Mann 2017, PMID 28854085.</w:t>
      </w:r>
    </w:p>
  </w:footnote>
  <w:footnote w:id="2558">
    <w:p>
      <w:pPr>
        <w:pStyle w:val="FootnoteText"/>
      </w:pPr>
      <w:r>
        <w:rPr>
          <w:rStyle w:val="FootnoteReference"/>
        </w:rPr>
        <w:footnoteRef/>
      </w:r>
      <w:r>
        <w:t xml:space="preserve"> </w:t>
      </w:r>
      <w:r>
        <w:t xml:space="preserve">Gerstein 2019, PMID 31189509.</w:t>
      </w:r>
    </w:p>
  </w:footnote>
  <w:footnote w:id="2559">
    <w:p>
      <w:pPr>
        <w:pStyle w:val="FootnoteText"/>
      </w:pPr>
      <w:r>
        <w:rPr>
          <w:rStyle w:val="FootnoteReference"/>
        </w:rPr>
        <w:footnoteRef/>
      </w:r>
      <w:r>
        <w:t xml:space="preserve"> </w:t>
      </w:r>
      <w:r>
        <w:t xml:space="preserve">Kristensen 2019, PMID 31422062.</w:t>
      </w:r>
    </w:p>
  </w:footnote>
  <w:footnote w:id="2560">
    <w:p>
      <w:pPr>
        <w:pStyle w:val="FootnoteText"/>
      </w:pPr>
      <w:r>
        <w:rPr>
          <w:rStyle w:val="FootnoteReference"/>
        </w:rPr>
        <w:footnoteRef/>
      </w:r>
      <w:r>
        <w:t xml:space="preserve"> </w:t>
      </w:r>
      <w:r>
        <w:t xml:space="preserve">McGuire 2025, PMID 40162642.</w:t>
      </w:r>
    </w:p>
  </w:footnote>
  <w:footnote w:id="2561">
    <w:p>
      <w:pPr>
        <w:pStyle w:val="FootnoteText"/>
      </w:pPr>
      <w:r>
        <w:rPr>
          <w:rStyle w:val="FootnoteReference"/>
        </w:rPr>
        <w:footnoteRef/>
      </w:r>
      <w:r>
        <w:t xml:space="preserve"> </w:t>
      </w:r>
      <w:r>
        <w:t xml:space="preserve">NCT06632444.</w:t>
      </w:r>
    </w:p>
  </w:footnote>
  <w:footnote w:id="2562">
    <w:p>
      <w:pPr>
        <w:pStyle w:val="FootnoteText"/>
      </w:pPr>
      <w:r>
        <w:rPr>
          <w:rStyle w:val="FootnoteReference"/>
        </w:rPr>
        <w:footnoteRef/>
      </w:r>
      <w:r>
        <w:t xml:space="preserve"> </w:t>
      </w:r>
      <w:r>
        <w:t xml:space="preserve">NCT06632457.</w:t>
      </w:r>
    </w:p>
  </w:footnote>
  <w:footnote w:id="2564">
    <w:p>
      <w:pPr>
        <w:pStyle w:val="FootnoteText"/>
      </w:pPr>
      <w:r>
        <w:rPr>
          <w:rStyle w:val="FootnoteReference"/>
        </w:rPr>
        <w:footnoteRef/>
      </w:r>
      <w:r>
        <w:t xml:space="preserve"> </w:t>
      </w:r>
      <w:r>
        <w:t xml:space="preserve">Buse 2013, PMID 23141817.</w:t>
      </w:r>
    </w:p>
  </w:footnote>
  <w:footnote w:id="2565">
    <w:p>
      <w:pPr>
        <w:pStyle w:val="FootnoteText"/>
      </w:pPr>
      <w:r>
        <w:rPr>
          <w:rStyle w:val="FootnoteReference"/>
        </w:rPr>
        <w:footnoteRef/>
      </w:r>
      <w:r>
        <w:t xml:space="preserve"> </w:t>
      </w:r>
      <w:r>
        <w:t xml:space="preserve">Rubino 2022, PMID 35015037.</w:t>
      </w:r>
    </w:p>
  </w:footnote>
  <w:footnote w:id="2566">
    <w:p>
      <w:pPr>
        <w:pStyle w:val="FootnoteText"/>
      </w:pPr>
      <w:r>
        <w:rPr>
          <w:rStyle w:val="FootnoteReference"/>
        </w:rPr>
        <w:footnoteRef/>
      </w:r>
      <w:r>
        <w:t xml:space="preserve"> </w:t>
      </w:r>
      <w:r>
        <w:t xml:space="preserve">Frías 2021, PMID 34170647.</w:t>
      </w:r>
    </w:p>
  </w:footnote>
  <w:footnote w:id="2567">
    <w:p>
      <w:pPr>
        <w:pStyle w:val="FootnoteText"/>
      </w:pPr>
      <w:r>
        <w:rPr>
          <w:rStyle w:val="FootnoteReference"/>
        </w:rPr>
        <w:footnoteRef/>
      </w:r>
      <w:r>
        <w:t xml:space="preserve"> </w:t>
      </w:r>
      <w:r>
        <w:t xml:space="preserve">Yamauchi 2026, PMID 42009015.</w:t>
      </w:r>
    </w:p>
  </w:footnote>
  <w:footnote w:id="2568">
    <w:p>
      <w:pPr>
        <w:pStyle w:val="FootnoteText"/>
      </w:pPr>
      <w:r>
        <w:rPr>
          <w:rStyle w:val="FootnoteReference"/>
        </w:rPr>
        <w:footnoteRef/>
      </w:r>
      <w:r>
        <w:t xml:space="preserve"> </w:t>
      </w:r>
      <w:r>
        <w:t xml:space="preserve">Hsia 2026, PMID 42628555.</w:t>
      </w:r>
    </w:p>
  </w:footnote>
  <w:footnote w:id="2569">
    <w:p>
      <w:pPr>
        <w:pStyle w:val="FootnoteText"/>
      </w:pPr>
      <w:r>
        <w:rPr>
          <w:rStyle w:val="FootnoteReference"/>
        </w:rPr>
        <w:footnoteRef/>
      </w:r>
      <w:r>
        <w:t xml:space="preserve"> </w:t>
      </w:r>
      <w:r>
        <w:t xml:space="preserve">Kristensen 2019, PMID 31422062.</w:t>
      </w:r>
    </w:p>
  </w:footnote>
  <w:footnote w:id="2570">
    <w:p>
      <w:pPr>
        <w:pStyle w:val="FootnoteText"/>
      </w:pPr>
      <w:r>
        <w:rPr>
          <w:rStyle w:val="FootnoteReference"/>
        </w:rPr>
        <w:footnoteRef/>
      </w:r>
      <w:r>
        <w:t xml:space="preserve"> </w:t>
      </w:r>
      <w:r>
        <w:t xml:space="preserve">Sodhi 2023, PMID 37796527.</w:t>
      </w:r>
    </w:p>
  </w:footnote>
  <w:footnote w:id="2571">
    <w:p>
      <w:pPr>
        <w:pStyle w:val="FootnoteText"/>
      </w:pPr>
      <w:r>
        <w:rPr>
          <w:rStyle w:val="FootnoteReference"/>
        </w:rPr>
        <w:footnoteRef/>
      </w:r>
      <w:r>
        <w:t xml:space="preserve"> </w:t>
      </w:r>
      <w:r>
        <w:t xml:space="preserve">Silverii 2025, PMID 40437949.</w:t>
      </w:r>
    </w:p>
  </w:footnote>
  <w:footnote w:id="2572">
    <w:p>
      <w:pPr>
        <w:pStyle w:val="FootnoteText"/>
      </w:pPr>
      <w:r>
        <w:rPr>
          <w:rStyle w:val="FootnoteReference"/>
        </w:rPr>
        <w:footnoteRef/>
      </w:r>
      <w:r>
        <w:t xml:space="preserve"> </w:t>
      </w:r>
      <w:r>
        <w:t xml:space="preserve">Simonsen 2025, PMID 40098249.</w:t>
      </w:r>
    </w:p>
  </w:footnote>
  <w:footnote w:id="2573">
    <w:p>
      <w:pPr>
        <w:pStyle w:val="FootnoteText"/>
      </w:pPr>
      <w:r>
        <w:rPr>
          <w:rStyle w:val="FootnoteReference"/>
        </w:rPr>
        <w:footnoteRef/>
      </w:r>
      <w:r>
        <w:t xml:space="preserve"> </w:t>
      </w:r>
      <w:r>
        <w:t xml:space="preserve">Look 2025, PMID 39996356.</w:t>
      </w:r>
    </w:p>
  </w:footnote>
  <w:footnote w:id="2575">
    <w:p>
      <w:pPr>
        <w:pStyle w:val="FootnoteText"/>
      </w:pPr>
      <w:r>
        <w:rPr>
          <w:rStyle w:val="FootnoteReference"/>
        </w:rPr>
        <w:footnoteRef/>
      </w:r>
      <w:r>
        <w:t xml:space="preserve"> </w:t>
      </w:r>
      <w:r>
        <w:t xml:space="preserve">NCT06662383.</w:t>
      </w:r>
    </w:p>
  </w:footnote>
  <w:footnote w:id="2576">
    <w:p>
      <w:pPr>
        <w:pStyle w:val="FootnoteText"/>
      </w:pPr>
      <w:r>
        <w:rPr>
          <w:rStyle w:val="FootnoteReference"/>
        </w:rPr>
        <w:footnoteRef/>
      </w:r>
      <w:r>
        <w:t xml:space="preserve"> </w:t>
      </w:r>
      <w:r>
        <w:t xml:space="preserve">NCT06184568, NCT06884293.</w:t>
      </w:r>
    </w:p>
  </w:footnote>
  <w:footnote w:id="2581">
    <w:p>
      <w:pPr>
        <w:pStyle w:val="FootnoteText"/>
      </w:pPr>
      <w:r>
        <w:rPr>
          <w:rStyle w:val="FootnoteReference"/>
        </w:rPr>
        <w:footnoteRef/>
      </w:r>
      <w:r>
        <w:t xml:space="preserve"> </w:t>
      </w:r>
      <w:r>
        <w:t xml:space="preserve">Porsteinsson 2025, PMID 41393340.</w:t>
      </w:r>
    </w:p>
  </w:footnote>
  <w:footnote w:id="2583">
    <w:p>
      <w:pPr>
        <w:pStyle w:val="FootnoteText"/>
      </w:pPr>
      <w:r>
        <w:rPr>
          <w:rStyle w:val="FootnoteReference"/>
        </w:rPr>
        <w:footnoteRef/>
      </w:r>
      <w:r>
        <w:t xml:space="preserve"> </w:t>
      </w:r>
      <w:r>
        <w:t xml:space="preserve">Nass 2008, PMID 18981485.</w:t>
      </w:r>
    </w:p>
  </w:footnote>
  <w:footnote w:id="2585">
    <w:p>
      <w:pPr>
        <w:pStyle w:val="FootnoteText"/>
      </w:pPr>
      <w:r>
        <w:rPr>
          <w:rStyle w:val="FootnoteReference"/>
        </w:rPr>
        <w:footnoteRef/>
      </w:r>
      <w:r>
        <w:t xml:space="preserve"> </w:t>
      </w:r>
      <w:r>
        <w:t xml:space="preserve">Gajda 2019, PMID 30136411.</w:t>
      </w:r>
    </w:p>
  </w:footnote>
  <w:footnote w:id="2587">
    <w:p>
      <w:pPr>
        <w:pStyle w:val="FootnoteText"/>
      </w:pPr>
      <w:r>
        <w:rPr>
          <w:rStyle w:val="FootnoteReference"/>
        </w:rPr>
        <w:footnoteRef/>
      </w:r>
      <w:r>
        <w:t xml:space="preserve"> </w:t>
      </w:r>
      <w:r>
        <w:t xml:space="preserve">Beck 2014, PMID 25331030.</w:t>
      </w:r>
    </w:p>
  </w:footnote>
  <w:footnote w:id="2588">
    <w:p>
      <w:pPr>
        <w:pStyle w:val="FootnoteText"/>
      </w:pPr>
      <w:r>
        <w:rPr>
          <w:rStyle w:val="FootnoteReference"/>
        </w:rPr>
        <w:footnoteRef/>
      </w:r>
      <w:r>
        <w:t xml:space="preserve"> </w:t>
      </w:r>
      <w:r>
        <w:t xml:space="preserve">Leal 2014, PMID 24619793.</w:t>
      </w:r>
    </w:p>
  </w:footnote>
  <w:footnote w:id="2589">
    <w:p>
      <w:pPr>
        <w:pStyle w:val="FootnoteText"/>
      </w:pPr>
      <w:r>
        <w:rPr>
          <w:rStyle w:val="FootnoteReference"/>
        </w:rPr>
        <w:footnoteRef/>
      </w:r>
      <w:r>
        <w:t xml:space="preserve"> </w:t>
      </w:r>
      <w:r>
        <w:t xml:space="preserve">Myung 2025, PMID 40324552.</w:t>
      </w:r>
    </w:p>
  </w:footnote>
  <w:footnote w:id="2592">
    <w:p>
      <w:pPr>
        <w:pStyle w:val="FootnoteText"/>
      </w:pPr>
      <w:r>
        <w:rPr>
          <w:rStyle w:val="FootnoteReference"/>
        </w:rPr>
        <w:footnoteRef/>
      </w:r>
      <w:r>
        <w:t xml:space="preserve"> </w:t>
      </w:r>
      <w:r>
        <w:t xml:space="preserve">Breindahl 2015, PMID 24771717.</w:t>
      </w:r>
    </w:p>
  </w:footnote>
  <w:footnote w:id="2604">
    <w:p>
      <w:pPr>
        <w:pStyle w:val="FootnoteText"/>
      </w:pPr>
      <w:r>
        <w:rPr>
          <w:rStyle w:val="FootnoteReference"/>
        </w:rPr>
        <w:footnoteRef/>
      </w:r>
      <w:r>
        <w:t xml:space="preserve"> </w:t>
      </w:r>
      <w:r>
        <w:t xml:space="preserve">Simonsen 2025, PMID 40098249.</w:t>
      </w:r>
    </w:p>
  </w:footnote>
  <w:footnote w:id="2605">
    <w:p>
      <w:pPr>
        <w:pStyle w:val="FootnoteText"/>
      </w:pPr>
      <w:r>
        <w:rPr>
          <w:rStyle w:val="FootnoteReference"/>
        </w:rPr>
        <w:footnoteRef/>
      </w:r>
      <w:r>
        <w:t xml:space="preserve"> </w:t>
      </w:r>
      <w:r>
        <w:t xml:space="preserve">Yang 2026, PMID 41915388.</w:t>
      </w:r>
    </w:p>
  </w:footnote>
  <w:footnote w:id="2606">
    <w:p>
      <w:pPr>
        <w:pStyle w:val="FootnoteText"/>
      </w:pPr>
      <w:r>
        <w:rPr>
          <w:rStyle w:val="FootnoteReference"/>
        </w:rPr>
        <w:footnoteRef/>
      </w:r>
      <w:r>
        <w:t xml:space="preserve"> </w:t>
      </w:r>
      <w:r>
        <w:t xml:space="preserve">Ismaiel 2025, PMID 40804463.</w:t>
      </w:r>
    </w:p>
  </w:footnote>
  <w:footnote w:id="2607">
    <w:p>
      <w:pPr>
        <w:pStyle w:val="FootnoteText"/>
      </w:pPr>
      <w:r>
        <w:rPr>
          <w:rStyle w:val="FootnoteReference"/>
        </w:rPr>
        <w:footnoteRef/>
      </w:r>
      <w:r>
        <w:t xml:space="preserve"> </w:t>
      </w:r>
      <w:r>
        <w:t xml:space="preserve">Sanyal 2024, PMID 38847460.</w:t>
      </w:r>
    </w:p>
  </w:footnote>
  <w:footnote w:id="2608">
    <w:p>
      <w:pPr>
        <w:pStyle w:val="FootnoteText"/>
      </w:pPr>
      <w:r>
        <w:rPr>
          <w:rStyle w:val="FootnoteReference"/>
        </w:rPr>
        <w:footnoteRef/>
      </w:r>
      <w:r>
        <w:t xml:space="preserve"> </w:t>
      </w:r>
      <w:r>
        <w:t xml:space="preserve">Clayton 2022, PMID 35147466.</w:t>
      </w:r>
    </w:p>
  </w:footnote>
  <w:footnote w:id="2609">
    <w:p>
      <w:pPr>
        <w:pStyle w:val="FootnoteText"/>
      </w:pPr>
      <w:r>
        <w:rPr>
          <w:rStyle w:val="FootnoteReference"/>
        </w:rPr>
        <w:footnoteRef/>
      </w:r>
      <w:r>
        <w:t xml:space="preserve"> </w:t>
      </w:r>
      <w:r>
        <w:t xml:space="preserve">Edelman 2006, PMID 17003291.</w:t>
      </w:r>
    </w:p>
  </w:footnote>
  <w:footnote w:id="2610">
    <w:p>
      <w:pPr>
        <w:pStyle w:val="FootnoteText"/>
      </w:pPr>
      <w:r>
        <w:rPr>
          <w:rStyle w:val="FootnoteReference"/>
        </w:rPr>
        <w:footnoteRef/>
      </w:r>
      <w:r>
        <w:t xml:space="preserve"> </w:t>
      </w:r>
      <w:r>
        <w:t xml:space="preserve">Sridharan 2026, PMID 39924461.</w:t>
      </w:r>
    </w:p>
  </w:footnote>
  <w:footnote w:id="2611">
    <w:p>
      <w:pPr>
        <w:pStyle w:val="FootnoteText"/>
      </w:pPr>
      <w:r>
        <w:rPr>
          <w:rStyle w:val="FootnoteReference"/>
        </w:rPr>
        <w:footnoteRef/>
      </w:r>
      <w:r>
        <w:t xml:space="preserve"> </w:t>
      </w:r>
      <w:r>
        <w:t xml:space="preserve">Sodhi 2023, PMID 37796527.</w:t>
      </w:r>
    </w:p>
  </w:footnote>
  <w:footnote w:id="2612">
    <w:p>
      <w:pPr>
        <w:pStyle w:val="FootnoteText"/>
      </w:pPr>
      <w:r>
        <w:rPr>
          <w:rStyle w:val="FootnoteReference"/>
        </w:rPr>
        <w:footnoteRef/>
      </w:r>
      <w:r>
        <w:t xml:space="preserve"> </w:t>
      </w:r>
      <w:r>
        <w:t xml:space="preserve">Chiang 2025, PMID 40499738.</w:t>
      </w:r>
    </w:p>
  </w:footnote>
  <w:footnote w:id="2613">
    <w:p>
      <w:pPr>
        <w:pStyle w:val="FootnoteText"/>
      </w:pPr>
      <w:r>
        <w:rPr>
          <w:rStyle w:val="FootnoteReference"/>
        </w:rPr>
        <w:footnoteRef/>
      </w:r>
      <w:r>
        <w:t xml:space="preserve"> </w:t>
      </w:r>
      <w:r>
        <w:t xml:space="preserve">Crisafulli 2026, PMID 41183330.</w:t>
      </w:r>
    </w:p>
  </w:footnote>
  <w:footnote w:id="2615">
    <w:p>
      <w:pPr>
        <w:pStyle w:val="FootnoteText"/>
      </w:pPr>
      <w:r>
        <w:rPr>
          <w:rStyle w:val="FootnoteReference"/>
        </w:rPr>
        <w:footnoteRef/>
      </w:r>
      <w:r>
        <w:t xml:space="preserve"> </w:t>
      </w:r>
      <w:r>
        <w:t xml:space="preserve">He 2022, PMID 35344001.</w:t>
      </w:r>
    </w:p>
  </w:footnote>
  <w:footnote w:id="2616">
    <w:p>
      <w:pPr>
        <w:pStyle w:val="FootnoteText"/>
      </w:pPr>
      <w:r>
        <w:rPr>
          <w:rStyle w:val="FootnoteReference"/>
        </w:rPr>
        <w:footnoteRef/>
      </w:r>
      <w:r>
        <w:t xml:space="preserve"> </w:t>
      </w:r>
      <w:r>
        <w:t xml:space="preserve">Weghuber 2022, PMID 36322838.</w:t>
      </w:r>
    </w:p>
  </w:footnote>
  <w:footnote w:id="2617">
    <w:p>
      <w:pPr>
        <w:pStyle w:val="FootnoteText"/>
      </w:pPr>
      <w:r>
        <w:rPr>
          <w:rStyle w:val="FootnoteReference"/>
        </w:rPr>
        <w:footnoteRef/>
      </w:r>
      <w:r>
        <w:t xml:space="preserve"> </w:t>
      </w:r>
      <w:r>
        <w:t xml:space="preserve">Wen 2025, PMID 40988099.</w:t>
      </w:r>
    </w:p>
  </w:footnote>
  <w:footnote w:id="2619">
    <w:p>
      <w:pPr>
        <w:pStyle w:val="FootnoteText"/>
      </w:pPr>
      <w:r>
        <w:rPr>
          <w:rStyle w:val="FootnoteReference"/>
        </w:rPr>
        <w:footnoteRef/>
      </w:r>
      <w:r>
        <w:t xml:space="preserve"> </w:t>
      </w:r>
      <w:r>
        <w:t xml:space="preserve">Hegedüs 2018, PMID 29279300.</w:t>
      </w:r>
    </w:p>
  </w:footnote>
  <w:footnote w:id="2621">
    <w:p>
      <w:pPr>
        <w:pStyle w:val="FootnoteText"/>
      </w:pPr>
      <w:r>
        <w:rPr>
          <w:rStyle w:val="FootnoteReference"/>
        </w:rPr>
        <w:footnoteRef/>
      </w:r>
      <w:r>
        <w:t xml:space="preserve"> </w:t>
      </w:r>
      <w:r>
        <w:t xml:space="preserve">Marso 2016, PMID 27633186.</w:t>
      </w:r>
    </w:p>
  </w:footnote>
  <w:footnote w:id="2622">
    <w:p>
      <w:pPr>
        <w:pStyle w:val="FootnoteText"/>
      </w:pPr>
      <w:r>
        <w:rPr>
          <w:rStyle w:val="FootnoteReference"/>
        </w:rPr>
        <w:footnoteRef/>
      </w:r>
      <w:r>
        <w:t xml:space="preserve"> </w:t>
      </w:r>
      <w:r>
        <w:t xml:space="preserve">Natividade 2025, PMID 40810985.</w:t>
      </w:r>
    </w:p>
  </w:footnote>
  <w:footnote w:id="2623">
    <w:p>
      <w:pPr>
        <w:pStyle w:val="FootnoteText"/>
      </w:pPr>
      <w:r>
        <w:rPr>
          <w:rStyle w:val="FootnoteReference"/>
        </w:rPr>
        <w:footnoteRef/>
      </w:r>
      <w:r>
        <w:t xml:space="preserve"> </w:t>
      </w:r>
      <w:r>
        <w:t xml:space="preserve">Hathaway 2024, PMID 38958939.</w:t>
      </w:r>
    </w:p>
  </w:footnote>
  <w:footnote w:id="2624">
    <w:p>
      <w:pPr>
        <w:pStyle w:val="FootnoteText"/>
      </w:pPr>
      <w:r>
        <w:rPr>
          <w:rStyle w:val="FootnoteReference"/>
        </w:rPr>
        <w:footnoteRef/>
      </w:r>
      <w:r>
        <w:t xml:space="preserve"> </w:t>
      </w:r>
      <w:r>
        <w:t xml:space="preserve">Simonsen 2025, PMID 40098249.</w:t>
      </w:r>
    </w:p>
  </w:footnote>
  <w:footnote w:id="2625">
    <w:p>
      <w:pPr>
        <w:pStyle w:val="FootnoteText"/>
      </w:pPr>
      <w:r>
        <w:rPr>
          <w:rStyle w:val="FootnoteReference"/>
        </w:rPr>
        <w:footnoteRef/>
      </w:r>
      <w:r>
        <w:t xml:space="preserve"> </w:t>
      </w:r>
      <w:r>
        <w:t xml:space="preserve">Wang 2025, PMID 40788646.</w:t>
      </w:r>
    </w:p>
  </w:footnote>
  <w:footnote w:id="2626">
    <w:p>
      <w:pPr>
        <w:pStyle w:val="FootnoteText"/>
      </w:pPr>
      <w:r>
        <w:rPr>
          <w:rStyle w:val="FootnoteReference"/>
        </w:rPr>
        <w:footnoteRef/>
      </w:r>
      <w:r>
        <w:t xml:space="preserve"> </w:t>
      </w:r>
      <w:r>
        <w:t xml:space="preserve">Chou 2025, PMID 39491755.</w:t>
      </w:r>
    </w:p>
  </w:footnote>
  <w:footnote w:id="2627">
    <w:p>
      <w:pPr>
        <w:pStyle w:val="FootnoteText"/>
      </w:pPr>
      <w:r>
        <w:rPr>
          <w:rStyle w:val="FootnoteReference"/>
        </w:rPr>
        <w:footnoteRef/>
      </w:r>
      <w:r>
        <w:t xml:space="preserve"> </w:t>
      </w:r>
      <w:r>
        <w:t xml:space="preserve">Liu 2026, PMID 41475544.</w:t>
      </w:r>
    </w:p>
  </w:footnote>
  <w:footnote w:id="2629">
    <w:p>
      <w:pPr>
        <w:pStyle w:val="FootnoteText"/>
      </w:pPr>
      <w:r>
        <w:rPr>
          <w:rStyle w:val="FootnoteReference"/>
        </w:rPr>
        <w:footnoteRef/>
      </w:r>
      <w:r>
        <w:t xml:space="preserve"> </w:t>
      </w:r>
      <w:r>
        <w:t xml:space="preserve">Marso 2016, PMID 27633186.</w:t>
      </w:r>
    </w:p>
  </w:footnote>
  <w:footnote w:id="2630">
    <w:p>
      <w:pPr>
        <w:pStyle w:val="FootnoteText"/>
      </w:pPr>
      <w:r>
        <w:rPr>
          <w:rStyle w:val="FootnoteReference"/>
        </w:rPr>
        <w:footnoteRef/>
      </w:r>
      <w:r>
        <w:t xml:space="preserve"> </w:t>
      </w:r>
      <w:r>
        <w:t xml:space="preserve">Bellido 2026, PMID 42810372.</w:t>
      </w:r>
    </w:p>
  </w:footnote>
  <w:footnote w:id="2631">
    <w:p>
      <w:pPr>
        <w:pStyle w:val="FootnoteText"/>
      </w:pPr>
      <w:r>
        <w:rPr>
          <w:rStyle w:val="FootnoteReference"/>
        </w:rPr>
        <w:footnoteRef/>
      </w:r>
      <w:r>
        <w:t xml:space="preserve"> </w:t>
      </w:r>
      <w:r>
        <w:t xml:space="preserve">Liu 2007, PMID 17227934.</w:t>
      </w:r>
    </w:p>
  </w:footnote>
  <w:footnote w:id="2632">
    <w:p>
      <w:pPr>
        <w:pStyle w:val="FootnoteText"/>
      </w:pPr>
      <w:r>
        <w:rPr>
          <w:rStyle w:val="FootnoteReference"/>
        </w:rPr>
        <w:footnoteRef/>
      </w:r>
      <w:r>
        <w:t xml:space="preserve"> </w:t>
      </w:r>
      <w:r>
        <w:t xml:space="preserve">Adunsky 2011, PMID 21067829.</w:t>
      </w:r>
    </w:p>
  </w:footnote>
  <w:footnote w:id="2633">
    <w:p>
      <w:pPr>
        <w:pStyle w:val="FootnoteText"/>
      </w:pPr>
      <w:r>
        <w:rPr>
          <w:rStyle w:val="FootnoteReference"/>
        </w:rPr>
        <w:footnoteRef/>
      </w:r>
      <w:r>
        <w:t xml:space="preserve"> </w:t>
      </w:r>
      <w:r>
        <w:t xml:space="preserve">White 2017, PMID 27977473.</w:t>
      </w:r>
    </w:p>
  </w:footnote>
  <w:footnote w:id="2634">
    <w:p>
      <w:pPr>
        <w:pStyle w:val="FootnoteText"/>
      </w:pPr>
      <w:r>
        <w:rPr>
          <w:rStyle w:val="FootnoteReference"/>
        </w:rPr>
        <w:footnoteRef/>
      </w:r>
      <w:r>
        <w:t xml:space="preserve"> </w:t>
      </w:r>
      <w:r>
        <w:t xml:space="preserve">Lissy 2021, PMID 32961034.</w:t>
      </w:r>
    </w:p>
  </w:footnote>
  <w:footnote w:id="2635">
    <w:p>
      <w:pPr>
        <w:pStyle w:val="FootnoteText"/>
      </w:pPr>
      <w:r>
        <w:rPr>
          <w:rStyle w:val="FootnoteReference"/>
        </w:rPr>
        <w:footnoteRef/>
      </w:r>
      <w:r>
        <w:t xml:space="preserve"> </w:t>
      </w:r>
      <w:r>
        <w:t xml:space="preserve">Mayer-Hubner 1996, PMID 8596357.</w:t>
      </w:r>
    </w:p>
  </w:footnote>
  <w:footnote w:id="2636">
    <w:p>
      <w:pPr>
        <w:pStyle w:val="FootnoteText"/>
      </w:pPr>
      <w:r>
        <w:rPr>
          <w:rStyle w:val="FootnoteReference"/>
        </w:rPr>
        <w:footnoteRef/>
      </w:r>
      <w:r>
        <w:t xml:space="preserve"> </w:t>
      </w:r>
      <w:r>
        <w:t xml:space="preserve">Nelson 2012, PMID 23121206.</w:t>
      </w:r>
    </w:p>
  </w:footnote>
  <w:footnote w:id="2638">
    <w:p>
      <w:pPr>
        <w:pStyle w:val="FootnoteText"/>
      </w:pPr>
      <w:r>
        <w:rPr>
          <w:rStyle w:val="FootnoteReference"/>
        </w:rPr>
        <w:footnoteRef/>
      </w:r>
      <w:r>
        <w:t xml:space="preserve"> </w:t>
      </w:r>
      <w:r>
        <w:t xml:space="preserve">Han 2026, PMID 41852258.</w:t>
      </w:r>
    </w:p>
  </w:footnote>
  <w:footnote w:id="2639">
    <w:p>
      <w:pPr>
        <w:pStyle w:val="FootnoteText"/>
      </w:pPr>
      <w:r>
        <w:rPr>
          <w:rStyle w:val="FootnoteReference"/>
        </w:rPr>
        <w:footnoteRef/>
      </w:r>
      <w:r>
        <w:t xml:space="preserve"> </w:t>
      </w:r>
      <w:r>
        <w:t xml:space="preserve">Ueda 2024, PMID 39226030.</w:t>
      </w:r>
    </w:p>
  </w:footnote>
  <w:footnote w:id="2640">
    <w:p>
      <w:pPr>
        <w:pStyle w:val="FootnoteText"/>
      </w:pPr>
      <w:r>
        <w:rPr>
          <w:rStyle w:val="FootnoteReference"/>
        </w:rPr>
        <w:footnoteRef/>
      </w:r>
      <w:r>
        <w:t xml:space="preserve"> </w:t>
      </w:r>
      <w:r>
        <w:t xml:space="preserve">Wadden 2026, PMID 41537305.</w:t>
      </w:r>
    </w:p>
  </w:footnote>
  <w:footnote w:id="2641">
    <w:p>
      <w:pPr>
        <w:pStyle w:val="FootnoteText"/>
      </w:pPr>
      <w:r>
        <w:rPr>
          <w:rStyle w:val="FootnoteReference"/>
        </w:rPr>
        <w:footnoteRef/>
      </w:r>
      <w:r>
        <w:t xml:space="preserve"> </w:t>
      </w:r>
      <w:r>
        <w:t xml:space="preserve">Silva 2026, PMID 42115753.</w:t>
      </w:r>
    </w:p>
  </w:footnote>
  <w:footnote w:id="2643">
    <w:p>
      <w:pPr>
        <w:pStyle w:val="FootnoteText"/>
      </w:pPr>
      <w:r>
        <w:rPr>
          <w:rStyle w:val="FootnoteReference"/>
        </w:rPr>
        <w:footnoteRef/>
      </w:r>
      <w:r>
        <w:t xml:space="preserve"> </w:t>
      </w:r>
      <w:r>
        <w:t xml:space="preserve">Sridharan 2026, PMID 39924461.</w:t>
      </w:r>
    </w:p>
  </w:footnote>
  <w:footnote w:id="2644">
    <w:p>
      <w:pPr>
        <w:pStyle w:val="FootnoteText"/>
      </w:pPr>
      <w:r>
        <w:rPr>
          <w:rStyle w:val="FootnoteReference"/>
        </w:rPr>
        <w:footnoteRef/>
      </w:r>
      <w:r>
        <w:t xml:space="preserve"> </w:t>
      </w:r>
      <w:r>
        <w:t xml:space="preserve">Kanti 2021, PMID 34058738.</w:t>
      </w:r>
    </w:p>
  </w:footnote>
  <w:footnote w:id="2645">
    <w:p>
      <w:pPr>
        <w:pStyle w:val="FootnoteText"/>
      </w:pPr>
      <w:r>
        <w:rPr>
          <w:rStyle w:val="FootnoteReference"/>
        </w:rPr>
        <w:footnoteRef/>
      </w:r>
      <w:r>
        <w:t xml:space="preserve"> </w:t>
      </w:r>
      <w:r>
        <w:t xml:space="preserve">Clayton 2022, PMID 35147466.</w:t>
      </w:r>
    </w:p>
  </w:footnote>
  <w:footnote w:id="2646">
    <w:p>
      <w:pPr>
        <w:pStyle w:val="FootnoteText"/>
      </w:pPr>
      <w:r>
        <w:rPr>
          <w:rStyle w:val="FootnoteReference"/>
        </w:rPr>
        <w:footnoteRef/>
      </w:r>
      <w:r>
        <w:t xml:space="preserve"> </w:t>
      </w:r>
      <w:r>
        <w:t xml:space="preserve">Burian 2019, PMID 31119650.</w:t>
      </w:r>
    </w:p>
  </w:footnote>
  <w:footnote w:id="2647">
    <w:p>
      <w:pPr>
        <w:pStyle w:val="FootnoteText"/>
      </w:pPr>
      <w:r>
        <w:rPr>
          <w:rStyle w:val="FootnoteReference"/>
        </w:rPr>
        <w:footnoteRef/>
      </w:r>
      <w:r>
        <w:t xml:space="preserve"> </w:t>
      </w:r>
      <w:r>
        <w:t xml:space="preserve">Gupta 2026, PMID 42930571.</w:t>
      </w:r>
    </w:p>
  </w:footnote>
  <w:footnote w:id="2648">
    <w:p>
      <w:pPr>
        <w:pStyle w:val="FootnoteText"/>
      </w:pPr>
      <w:r>
        <w:rPr>
          <w:rStyle w:val="FootnoteReference"/>
        </w:rPr>
        <w:footnoteRef/>
      </w:r>
      <w:r>
        <w:t xml:space="preserve"> </w:t>
      </w:r>
      <w:r>
        <w:t xml:space="preserve">Bellido 2026, PMID 42810372.</w:t>
      </w:r>
    </w:p>
  </w:footnote>
  <w:footnote w:id="2649">
    <w:p>
      <w:pPr>
        <w:pStyle w:val="FootnoteText"/>
      </w:pPr>
      <w:r>
        <w:rPr>
          <w:rStyle w:val="FootnoteReference"/>
        </w:rPr>
        <w:footnoteRef/>
      </w:r>
      <w:r>
        <w:t xml:space="preserve"> </w:t>
      </w:r>
      <w:r>
        <w:t xml:space="preserve">Dolkar 2018, PMID 29665030.</w:t>
      </w:r>
    </w:p>
  </w:footnote>
  <w:footnote w:id="2651">
    <w:p>
      <w:pPr>
        <w:pStyle w:val="FootnoteText"/>
      </w:pPr>
      <w:r>
        <w:rPr>
          <w:rStyle w:val="FootnoteReference"/>
        </w:rPr>
        <w:footnoteRef/>
      </w:r>
      <w:r>
        <w:t xml:space="preserve"> </w:t>
      </w:r>
      <w:r>
        <w:t xml:space="preserve">Arimura 2016, PMID 27020037.</w:t>
      </w:r>
    </w:p>
  </w:footnote>
  <w:footnote w:id="2652">
    <w:p>
      <w:pPr>
        <w:pStyle w:val="FootnoteText"/>
      </w:pPr>
      <w:r>
        <w:rPr>
          <w:rStyle w:val="FootnoteReference"/>
        </w:rPr>
        <w:footnoteRef/>
      </w:r>
      <w:r>
        <w:t xml:space="preserve"> </w:t>
      </w:r>
      <w:r>
        <w:t xml:space="preserve">MacLean 2014, PMID 24762108.</w:t>
      </w:r>
    </w:p>
  </w:footnote>
  <w:footnote w:id="2653">
    <w:p>
      <w:pPr>
        <w:pStyle w:val="FootnoteText"/>
      </w:pPr>
      <w:r>
        <w:rPr>
          <w:rStyle w:val="FootnoteReference"/>
        </w:rPr>
        <w:footnoteRef/>
      </w:r>
      <w:r>
        <w:t xml:space="preserve"> </w:t>
      </w:r>
      <w:r>
        <w:t xml:space="preserve">Liu 2007, PMID 17227934.</w:t>
      </w:r>
    </w:p>
  </w:footnote>
  <w:footnote w:id="2655">
    <w:p>
      <w:pPr>
        <w:pStyle w:val="FootnoteText"/>
      </w:pPr>
      <w:r>
        <w:rPr>
          <w:rStyle w:val="FootnoteReference"/>
        </w:rPr>
        <w:footnoteRef/>
      </w:r>
      <w:r>
        <w:t xml:space="preserve"> </w:t>
      </w:r>
      <w:r>
        <w:t xml:space="preserve">Chernausek 2007, PMID 17192294.</w:t>
      </w:r>
    </w:p>
  </w:footnote>
  <w:footnote w:id="2656">
    <w:p>
      <w:pPr>
        <w:pStyle w:val="FootnoteText"/>
      </w:pPr>
      <w:r>
        <w:rPr>
          <w:rStyle w:val="FootnoteReference"/>
        </w:rPr>
        <w:footnoteRef/>
      </w:r>
      <w:r>
        <w:t xml:space="preserve"> </w:t>
      </w:r>
      <w:r>
        <w:t xml:space="preserve">Edelman 2006, PMID 17003291.</w:t>
      </w:r>
    </w:p>
  </w:footnote>
  <w:footnote w:id="2657">
    <w:p>
      <w:pPr>
        <w:pStyle w:val="FootnoteText"/>
      </w:pPr>
      <w:r>
        <w:rPr>
          <w:rStyle w:val="FootnoteReference"/>
        </w:rPr>
        <w:footnoteRef/>
      </w:r>
      <w:r>
        <w:t xml:space="preserve"> </w:t>
      </w:r>
      <w:r>
        <w:t xml:space="preserve">Kendall 2005, PMID 15855571.</w:t>
      </w:r>
    </w:p>
  </w:footnote>
  <w:footnote w:id="2658">
    <w:p>
      <w:pPr>
        <w:pStyle w:val="FootnoteText"/>
      </w:pPr>
      <w:r>
        <w:rPr>
          <w:rStyle w:val="FootnoteReference"/>
        </w:rPr>
        <w:footnoteRef/>
      </w:r>
      <w:r>
        <w:t xml:space="preserve"> </w:t>
      </w:r>
      <w:r>
        <w:t xml:space="preserve">Nass 2008, PMID 18981485.</w:t>
      </w:r>
    </w:p>
  </w:footnote>
  <w:footnote w:id="2659">
    <w:p>
      <w:pPr>
        <w:pStyle w:val="FootnoteText"/>
      </w:pPr>
      <w:r>
        <w:rPr>
          <w:rStyle w:val="FootnoteReference"/>
        </w:rPr>
        <w:footnoteRef/>
      </w:r>
      <w:r>
        <w:t xml:space="preserve"> </w:t>
      </w:r>
      <w:r>
        <w:t xml:space="preserve">Liu 2007, PMID 17227934.</w:t>
      </w:r>
    </w:p>
  </w:footnote>
  <w:footnote w:id="2663">
    <w:p>
      <w:pPr>
        <w:pStyle w:val="FootnoteText"/>
      </w:pPr>
      <w:r>
        <w:rPr>
          <w:rStyle w:val="FootnoteReference"/>
        </w:rPr>
        <w:footnoteRef/>
      </w:r>
      <w:r>
        <w:t xml:space="preserve"> </w:t>
      </w:r>
      <w:r>
        <w:t xml:space="preserve">Silverii 2025, PMID 40437949.</w:t>
      </w:r>
    </w:p>
  </w:footnote>
  <w:footnote w:id="2665">
    <w:p>
      <w:pPr>
        <w:pStyle w:val="FootnoteText"/>
      </w:pPr>
      <w:r>
        <w:rPr>
          <w:rStyle w:val="FootnoteReference"/>
        </w:rPr>
        <w:footnoteRef/>
      </w:r>
      <w:r>
        <w:t xml:space="preserve"> </w:t>
      </w:r>
      <w:r>
        <w:t xml:space="preserve">Renehan 2004, PMID 15110491.</w:t>
      </w:r>
    </w:p>
  </w:footnote>
  <w:footnote w:id="2666">
    <w:p>
      <w:pPr>
        <w:pStyle w:val="FootnoteText"/>
      </w:pPr>
      <w:r>
        <w:rPr>
          <w:rStyle w:val="FootnoteReference"/>
        </w:rPr>
        <w:footnoteRef/>
      </w:r>
      <w:r>
        <w:t xml:space="preserve"> </w:t>
      </w:r>
      <w:r>
        <w:t xml:space="preserve">Murphy 2020, PMID 32169310.</w:t>
      </w:r>
    </w:p>
  </w:footnote>
  <w:footnote w:id="2667">
    <w:p>
      <w:pPr>
        <w:pStyle w:val="FootnoteText"/>
      </w:pPr>
      <w:r>
        <w:rPr>
          <w:rStyle w:val="FootnoteReference"/>
        </w:rPr>
        <w:footnoteRef/>
      </w:r>
      <w:r>
        <w:t xml:space="preserve"> </w:t>
      </w:r>
      <w:r>
        <w:t xml:space="preserve">Murphy 2020, PMID 31884074.</w:t>
      </w:r>
    </w:p>
  </w:footnote>
  <w:footnote w:id="2668">
    <w:p>
      <w:pPr>
        <w:pStyle w:val="FootnoteText"/>
      </w:pPr>
      <w:r>
        <w:rPr>
          <w:rStyle w:val="FootnoteReference"/>
        </w:rPr>
        <w:footnoteRef/>
      </w:r>
      <w:r>
        <w:t xml:space="preserve"> </w:t>
      </w:r>
      <w:r>
        <w:t xml:space="preserve">Murphy 2020, PMID 32169310.</w:t>
      </w:r>
    </w:p>
  </w:footnote>
  <w:footnote w:id="2669">
    <w:p>
      <w:pPr>
        <w:pStyle w:val="FootnoteText"/>
      </w:pPr>
      <w:r>
        <w:rPr>
          <w:rStyle w:val="FootnoteReference"/>
        </w:rPr>
        <w:footnoteRef/>
      </w:r>
      <w:r>
        <w:t xml:space="preserve"> </w:t>
      </w:r>
      <w:r>
        <w:t xml:space="preserve">Dal 2018, PMID 29590449.</w:t>
      </w:r>
    </w:p>
  </w:footnote>
  <w:footnote w:id="2670">
    <w:p>
      <w:pPr>
        <w:pStyle w:val="FootnoteText"/>
      </w:pPr>
      <w:r>
        <w:rPr>
          <w:rStyle w:val="FootnoteReference"/>
        </w:rPr>
        <w:footnoteRef/>
      </w:r>
      <w:r>
        <w:t xml:space="preserve"> </w:t>
      </w:r>
      <w:r>
        <w:t xml:space="preserve">Guevara-Aguirre 2011, PMID 21325617.</w:t>
      </w:r>
    </w:p>
  </w:footnote>
  <w:footnote w:id="2671">
    <w:p>
      <w:pPr>
        <w:pStyle w:val="FootnoteText"/>
      </w:pPr>
      <w:r>
        <w:rPr>
          <w:rStyle w:val="FootnoteReference"/>
        </w:rPr>
        <w:footnoteRef/>
      </w:r>
      <w:r>
        <w:t xml:space="preserve"> </w:t>
      </w:r>
      <w:r>
        <w:t xml:space="preserve">Swerdlow 2017, PMID 28187225.</w:t>
      </w:r>
    </w:p>
  </w:footnote>
  <w:footnote w:id="2672">
    <w:p>
      <w:pPr>
        <w:pStyle w:val="FootnoteText"/>
      </w:pPr>
      <w:r>
        <w:rPr>
          <w:rStyle w:val="FootnoteReference"/>
        </w:rPr>
        <w:footnoteRef/>
      </w:r>
      <w:r>
        <w:t xml:space="preserve"> </w:t>
      </w:r>
      <w:r>
        <w:t xml:space="preserve">Child 2015, PMID 25810462.</w:t>
      </w:r>
    </w:p>
  </w:footnote>
  <w:footnote w:id="2673">
    <w:p>
      <w:pPr>
        <w:pStyle w:val="FootnoteText"/>
      </w:pPr>
      <w:r>
        <w:rPr>
          <w:rStyle w:val="FootnoteReference"/>
        </w:rPr>
        <w:footnoteRef/>
      </w:r>
      <w:r>
        <w:t xml:space="preserve"> </w:t>
      </w:r>
      <w:r>
        <w:t xml:space="preserve">Nass 2008, PMID 18981485.</w:t>
      </w:r>
    </w:p>
  </w:footnote>
  <w:footnote w:id="2675">
    <w:p>
      <w:pPr>
        <w:pStyle w:val="FootnoteText"/>
      </w:pPr>
      <w:r>
        <w:rPr>
          <w:rStyle w:val="FootnoteReference"/>
        </w:rPr>
        <w:footnoteRef/>
      </w:r>
      <w:r>
        <w:t xml:space="preserve"> </w:t>
      </w:r>
      <w:r>
        <w:t xml:space="preserve">Hsieh 2017, PMID 27847966.</w:t>
      </w:r>
    </w:p>
  </w:footnote>
  <w:footnote w:id="2676">
    <w:p>
      <w:pPr>
        <w:pStyle w:val="FootnoteText"/>
      </w:pPr>
      <w:r>
        <w:rPr>
          <w:rStyle w:val="FootnoteReference"/>
        </w:rPr>
        <w:footnoteRef/>
      </w:r>
      <w:r>
        <w:t xml:space="preserve"> </w:t>
      </w:r>
      <w:r>
        <w:t xml:space="preserve">Sikiric 2025, PMID 40573323.</w:t>
      </w:r>
    </w:p>
  </w:footnote>
  <w:footnote w:id="2677">
    <w:p>
      <w:pPr>
        <w:pStyle w:val="FootnoteText"/>
      </w:pPr>
      <w:r>
        <w:rPr>
          <w:rStyle w:val="FootnoteReference"/>
        </w:rPr>
        <w:footnoteRef/>
      </w:r>
      <w:r>
        <w:t xml:space="preserve"> </w:t>
      </w:r>
      <w:r>
        <w:t xml:space="preserve">Wang 2016, PMID 27596300.</w:t>
      </w:r>
    </w:p>
  </w:footnote>
  <w:footnote w:id="2678">
    <w:p>
      <w:pPr>
        <w:pStyle w:val="FootnoteText"/>
      </w:pPr>
      <w:r>
        <w:rPr>
          <w:rStyle w:val="FootnoteReference"/>
        </w:rPr>
        <w:footnoteRef/>
      </w:r>
      <w:r>
        <w:t xml:space="preserve"> </w:t>
      </w:r>
      <w:r>
        <w:t xml:space="preserve">Larsson 2007, PMID 17495241.</w:t>
      </w:r>
    </w:p>
  </w:footnote>
  <w:footnote w:id="2679">
    <w:p>
      <w:pPr>
        <w:pStyle w:val="FootnoteText"/>
      </w:pPr>
      <w:r>
        <w:rPr>
          <w:rStyle w:val="FootnoteReference"/>
        </w:rPr>
        <w:footnoteRef/>
      </w:r>
      <w:r>
        <w:t xml:space="preserve"> </w:t>
      </w:r>
      <w:r>
        <w:t xml:space="preserve">Moreno Ayala 2020, PMID 32444831.</w:t>
      </w:r>
    </w:p>
  </w:footnote>
  <w:footnote w:id="2680">
    <w:p>
      <w:pPr>
        <w:pStyle w:val="FootnoteText"/>
      </w:pPr>
      <w:r>
        <w:rPr>
          <w:rStyle w:val="FootnoteReference"/>
        </w:rPr>
        <w:footnoteRef/>
      </w:r>
      <w:r>
        <w:t xml:space="preserve"> </w:t>
      </w:r>
      <w:r>
        <w:t xml:space="preserve">Al-Dulaimi 2025, PMID 40908429.</w:t>
      </w:r>
    </w:p>
  </w:footnote>
  <w:footnote w:id="2681">
    <w:p>
      <w:pPr>
        <w:pStyle w:val="FootnoteText"/>
      </w:pPr>
      <w:r>
        <w:rPr>
          <w:rStyle w:val="FootnoteReference"/>
        </w:rPr>
        <w:footnoteRef/>
      </w:r>
      <w:r>
        <w:t xml:space="preserve"> </w:t>
      </w:r>
      <w:r>
        <w:t xml:space="preserve">Anisimov 2003, PMID 14501183.</w:t>
      </w:r>
    </w:p>
  </w:footnote>
  <w:footnote w:id="2682">
    <w:p>
      <w:pPr>
        <w:pStyle w:val="FootnoteText"/>
      </w:pPr>
      <w:r>
        <w:rPr>
          <w:rStyle w:val="FootnoteReference"/>
        </w:rPr>
        <w:footnoteRef/>
      </w:r>
      <w:r>
        <w:t xml:space="preserve"> </w:t>
      </w:r>
      <w:r>
        <w:t xml:space="preserve">Chen 2018, PMID 29843147.</w:t>
      </w:r>
    </w:p>
  </w:footnote>
  <w:footnote w:id="2683">
    <w:p>
      <w:pPr>
        <w:pStyle w:val="FootnoteText"/>
      </w:pPr>
      <w:r>
        <w:rPr>
          <w:rStyle w:val="FootnoteReference"/>
        </w:rPr>
        <w:footnoteRef/>
      </w:r>
      <w:r>
        <w:t xml:space="preserve"> </w:t>
      </w:r>
      <w:r>
        <w:t xml:space="preserve">Wright 2015, PMID 25649658.</w:t>
      </w:r>
    </w:p>
  </w:footnote>
  <w:footnote w:id="2685">
    <w:p>
      <w:pPr>
        <w:pStyle w:val="FootnoteText"/>
      </w:pPr>
      <w:r>
        <w:rPr>
          <w:rStyle w:val="FootnoteReference"/>
        </w:rPr>
        <w:footnoteRef/>
      </w:r>
      <w:r>
        <w:t xml:space="preserve"> </w:t>
      </w:r>
      <w:r>
        <w:t xml:space="preserve">Habbema 2017, PMID 28266027.</w:t>
      </w:r>
    </w:p>
  </w:footnote>
  <w:footnote w:id="2686">
    <w:p>
      <w:pPr>
        <w:pStyle w:val="FootnoteText"/>
      </w:pPr>
      <w:r>
        <w:rPr>
          <w:rStyle w:val="FootnoteReference"/>
        </w:rPr>
        <w:footnoteRef/>
      </w:r>
      <w:r>
        <w:t xml:space="preserve"> </w:t>
      </w:r>
      <w:r>
        <w:t xml:space="preserve">Burian 2019, PMID 31119650.</w:t>
      </w:r>
    </w:p>
  </w:footnote>
  <w:footnote w:id="2687">
    <w:p>
      <w:pPr>
        <w:pStyle w:val="FootnoteText"/>
      </w:pPr>
      <w:r>
        <w:rPr>
          <w:rStyle w:val="FootnoteReference"/>
        </w:rPr>
        <w:footnoteRef/>
      </w:r>
      <w:r>
        <w:t xml:space="preserve"> </w:t>
      </w:r>
      <w:r>
        <w:t xml:space="preserve">Arisi 2021, PMID 33721252.</w:t>
      </w:r>
    </w:p>
  </w:footnote>
  <w:footnote w:id="2688">
    <w:p>
      <w:pPr>
        <w:pStyle w:val="FootnoteText"/>
      </w:pPr>
      <w:r>
        <w:rPr>
          <w:rStyle w:val="FootnoteReference"/>
        </w:rPr>
        <w:footnoteRef/>
      </w:r>
      <w:r>
        <w:t xml:space="preserve"> </w:t>
      </w:r>
      <w:r>
        <w:t xml:space="preserve">Kanti 2021, PMID 34058738.</w:t>
      </w:r>
    </w:p>
  </w:footnote>
  <w:footnote w:id="2690">
    <w:p>
      <w:pPr>
        <w:pStyle w:val="FootnoteText"/>
      </w:pPr>
      <w:r>
        <w:rPr>
          <w:rStyle w:val="FootnoteReference"/>
        </w:rPr>
        <w:footnoteRef/>
      </w:r>
      <w:r>
        <w:t xml:space="preserve"> </w:t>
      </w:r>
      <w:r>
        <w:t xml:space="preserve">Bjerre Knudsen 2010, PMID 20203154.</w:t>
      </w:r>
    </w:p>
  </w:footnote>
  <w:footnote w:id="2691">
    <w:p>
      <w:pPr>
        <w:pStyle w:val="FootnoteText"/>
      </w:pPr>
      <w:r>
        <w:rPr>
          <w:rStyle w:val="FootnoteReference"/>
        </w:rPr>
        <w:footnoteRef/>
      </w:r>
      <w:r>
        <w:t xml:space="preserve"> </w:t>
      </w:r>
      <w:r>
        <w:t xml:space="preserve">Gier 2012, PMID 22031513.</w:t>
      </w:r>
    </w:p>
  </w:footnote>
  <w:footnote w:id="2692">
    <w:p>
      <w:pPr>
        <w:pStyle w:val="FootnoteText"/>
      </w:pPr>
      <w:r>
        <w:rPr>
          <w:rStyle w:val="FootnoteReference"/>
        </w:rPr>
        <w:footnoteRef/>
      </w:r>
      <w:r>
        <w:t xml:space="preserve"> </w:t>
      </w:r>
      <w:r>
        <w:t xml:space="preserve">Hegedüs 2018, PMID 29279300.</w:t>
      </w:r>
    </w:p>
  </w:footnote>
  <w:footnote w:id="2693">
    <w:p>
      <w:pPr>
        <w:pStyle w:val="FootnoteText"/>
      </w:pPr>
      <w:r>
        <w:rPr>
          <w:rStyle w:val="FootnoteReference"/>
        </w:rPr>
        <w:footnoteRef/>
      </w:r>
      <w:r>
        <w:t xml:space="preserve"> </w:t>
      </w:r>
      <w:r>
        <w:t xml:space="preserve">Bezin 2023, PMID 36356111.</w:t>
      </w:r>
    </w:p>
  </w:footnote>
  <w:footnote w:id="2694">
    <w:p>
      <w:pPr>
        <w:pStyle w:val="FootnoteText"/>
      </w:pPr>
      <w:r>
        <w:rPr>
          <w:rStyle w:val="FootnoteReference"/>
        </w:rPr>
        <w:footnoteRef/>
      </w:r>
      <w:r>
        <w:t xml:space="preserve"> </w:t>
      </w:r>
      <w:r>
        <w:t xml:space="preserve">Pasternak 2024, PMID 38683947.</w:t>
      </w:r>
    </w:p>
  </w:footnote>
  <w:footnote w:id="2695">
    <w:p>
      <w:pPr>
        <w:pStyle w:val="FootnoteText"/>
      </w:pPr>
      <w:r>
        <w:rPr>
          <w:rStyle w:val="FootnoteReference"/>
        </w:rPr>
        <w:footnoteRef/>
      </w:r>
      <w:r>
        <w:t xml:space="preserve"> </w:t>
      </w:r>
      <w:r>
        <w:t xml:space="preserve">Silverii 2025, PMID 40437949.</w:t>
      </w:r>
    </w:p>
  </w:footnote>
  <w:footnote w:id="2697">
    <w:p>
      <w:pPr>
        <w:pStyle w:val="FootnoteText"/>
      </w:pPr>
      <w:r>
        <w:rPr>
          <w:rStyle w:val="FootnoteReference"/>
        </w:rPr>
        <w:footnoteRef/>
      </w:r>
      <w:r>
        <w:t xml:space="preserve"> </w:t>
      </w:r>
      <w:r>
        <w:t xml:space="preserve">Wen 2025, PMID 40988099.</w:t>
      </w:r>
    </w:p>
  </w:footnote>
  <w:footnote w:id="2698">
    <w:p>
      <w:pPr>
        <w:pStyle w:val="FootnoteText"/>
      </w:pPr>
      <w:r>
        <w:rPr>
          <w:rStyle w:val="FootnoteReference"/>
        </w:rPr>
        <w:footnoteRef/>
      </w:r>
      <w:r>
        <w:t xml:space="preserve"> </w:t>
      </w:r>
      <w:r>
        <w:t xml:space="preserve">Wang 2024, PMID 38967919.</w:t>
      </w:r>
    </w:p>
  </w:footnote>
  <w:footnote w:id="2699">
    <w:p>
      <w:pPr>
        <w:pStyle w:val="FootnoteText"/>
      </w:pPr>
      <w:r>
        <w:rPr>
          <w:rStyle w:val="FootnoteReference"/>
        </w:rPr>
        <w:footnoteRef/>
      </w:r>
      <w:r>
        <w:t xml:space="preserve"> </w:t>
      </w:r>
      <w:r>
        <w:t xml:space="preserve">Rajan 2026, PMID 42541759.</w:t>
      </w:r>
    </w:p>
  </w:footnote>
  <w:footnote w:id="2704">
    <w:p>
      <w:pPr>
        <w:pStyle w:val="FootnoteText"/>
      </w:pPr>
      <w:r>
        <w:rPr>
          <w:rStyle w:val="FootnoteReference"/>
        </w:rPr>
        <w:footnoteRef/>
      </w:r>
      <w:r>
        <w:t xml:space="preserve"> </w:t>
      </w:r>
      <w:r>
        <w:t xml:space="preserve">Shankar 2014, PMID 24764037.</w:t>
      </w:r>
    </w:p>
  </w:footnote>
  <w:footnote w:id="2706">
    <w:p>
      <w:pPr>
        <w:pStyle w:val="FootnoteText"/>
      </w:pPr>
      <w:r>
        <w:rPr>
          <w:rStyle w:val="FootnoteReference"/>
        </w:rPr>
        <w:footnoteRef/>
      </w:r>
      <w:r>
        <w:t xml:space="preserve"> </w:t>
      </w:r>
      <w:r>
        <w:t xml:space="preserve">Buse 2011, PMID 21450987.</w:t>
      </w:r>
    </w:p>
  </w:footnote>
  <w:footnote w:id="2707">
    <w:p>
      <w:pPr>
        <w:pStyle w:val="FootnoteText"/>
      </w:pPr>
      <w:r>
        <w:rPr>
          <w:rStyle w:val="FootnoteReference"/>
        </w:rPr>
        <w:footnoteRef/>
      </w:r>
      <w:r>
        <w:t xml:space="preserve"> </w:t>
      </w:r>
      <w:r>
        <w:t xml:space="preserve">Mullins 2024, PMID 37700637.</w:t>
      </w:r>
    </w:p>
  </w:footnote>
  <w:footnote w:id="2709">
    <w:p>
      <w:pPr>
        <w:pStyle w:val="FootnoteText"/>
      </w:pPr>
      <w:r>
        <w:rPr>
          <w:rStyle w:val="FootnoteReference"/>
        </w:rPr>
        <w:footnoteRef/>
      </w:r>
      <w:r>
        <w:t xml:space="preserve"> </w:t>
      </w:r>
      <w:r>
        <w:t xml:space="preserve">Taj 2026, PMID 41395692.</w:t>
      </w:r>
    </w:p>
  </w:footnote>
  <w:footnote w:id="2710">
    <w:p>
      <w:pPr>
        <w:pStyle w:val="FootnoteText"/>
      </w:pPr>
      <w:r>
        <w:rPr>
          <w:rStyle w:val="FootnoteReference"/>
        </w:rPr>
        <w:footnoteRef/>
      </w:r>
      <w:r>
        <w:t xml:space="preserve"> </w:t>
      </w:r>
      <w:r>
        <w:t xml:space="preserve">Wysham 2015, PMID 25744115.</w:t>
      </w:r>
    </w:p>
  </w:footnote>
  <w:footnote w:id="2711">
    <w:p>
      <w:pPr>
        <w:pStyle w:val="FootnoteText"/>
      </w:pPr>
      <w:r>
        <w:rPr>
          <w:rStyle w:val="FootnoteReference"/>
        </w:rPr>
        <w:footnoteRef/>
      </w:r>
      <w:r>
        <w:t xml:space="preserve"> </w:t>
      </w:r>
      <w:r>
        <w:t xml:space="preserve">Chen 2021, PMID 33748252.</w:t>
      </w:r>
    </w:p>
  </w:footnote>
  <w:footnote w:id="2713">
    <w:p>
      <w:pPr>
        <w:pStyle w:val="FootnoteText"/>
      </w:pPr>
      <w:r>
        <w:rPr>
          <w:rStyle w:val="FootnoteReference"/>
        </w:rPr>
        <w:footnoteRef/>
      </w:r>
      <w:r>
        <w:t xml:space="preserve"> </w:t>
      </w:r>
      <w:r>
        <w:t xml:space="preserve">Anthony 2024, PMID 38363873.</w:t>
      </w:r>
    </w:p>
  </w:footnote>
  <w:footnote w:id="2714">
    <w:p>
      <w:pPr>
        <w:pStyle w:val="FootnoteText"/>
      </w:pPr>
      <w:r>
        <w:rPr>
          <w:rStyle w:val="FootnoteReference"/>
        </w:rPr>
        <w:footnoteRef/>
      </w:r>
      <w:r>
        <w:t xml:space="preserve"> </w:t>
      </w:r>
      <w:r>
        <w:t xml:space="preserve">Pradhan 2022, PMID 35136902.</w:t>
      </w:r>
    </w:p>
  </w:footnote>
  <w:footnote w:id="2715">
    <w:p>
      <w:pPr>
        <w:pStyle w:val="FootnoteText"/>
      </w:pPr>
      <w:r>
        <w:rPr>
          <w:rStyle w:val="FootnoteReference"/>
        </w:rPr>
        <w:footnoteRef/>
      </w:r>
      <w:r>
        <w:t xml:space="preserve"> </w:t>
      </w:r>
      <w:r>
        <w:t xml:space="preserve">Ornelas 2018, PMID 30350785.</w:t>
      </w:r>
    </w:p>
  </w:footnote>
  <w:footnote w:id="2716">
    <w:p>
      <w:pPr>
        <w:pStyle w:val="FootnoteText"/>
      </w:pPr>
      <w:r>
        <w:rPr>
          <w:rStyle w:val="FootnoteReference"/>
        </w:rPr>
        <w:footnoteRef/>
      </w:r>
      <w:r>
        <w:t xml:space="preserve"> </w:t>
      </w:r>
      <w:r>
        <w:t xml:space="preserve">Shamriz 2019, PMID 31296642.</w:t>
      </w:r>
    </w:p>
  </w:footnote>
  <w:footnote w:id="2717">
    <w:p>
      <w:pPr>
        <w:pStyle w:val="FootnoteText"/>
      </w:pPr>
      <w:r>
        <w:rPr>
          <w:rStyle w:val="FootnoteReference"/>
        </w:rPr>
        <w:footnoteRef/>
      </w:r>
      <w:r>
        <w:t xml:space="preserve"> </w:t>
      </w:r>
      <w:r>
        <w:t xml:space="preserve">He 2023, PMID 38186543.</w:t>
      </w:r>
    </w:p>
  </w:footnote>
  <w:footnote w:id="2718">
    <w:p>
      <w:pPr>
        <w:pStyle w:val="FootnoteText"/>
      </w:pPr>
      <w:r>
        <w:rPr>
          <w:rStyle w:val="FootnoteReference"/>
        </w:rPr>
        <w:footnoteRef/>
      </w:r>
      <w:r>
        <w:t xml:space="preserve"> </w:t>
      </w:r>
      <w:r>
        <w:t xml:space="preserve">Kraft 2026, PMID 42194666.</w:t>
      </w:r>
    </w:p>
  </w:footnote>
  <w:footnote w:id="2719">
    <w:p>
      <w:pPr>
        <w:pStyle w:val="FootnoteText"/>
      </w:pPr>
      <w:r>
        <w:rPr>
          <w:rStyle w:val="FootnoteReference"/>
        </w:rPr>
        <w:footnoteRef/>
      </w:r>
      <w:r>
        <w:t xml:space="preserve"> </w:t>
      </w:r>
      <w:r>
        <w:t xml:space="preserve">Trimmel 2024, PMID 39055722.</w:t>
      </w:r>
    </w:p>
  </w:footnote>
  <w:footnote w:id="2720">
    <w:p>
      <w:pPr>
        <w:pStyle w:val="FootnoteText"/>
      </w:pPr>
      <w:r>
        <w:rPr>
          <w:rStyle w:val="FootnoteReference"/>
        </w:rPr>
        <w:footnoteRef/>
      </w:r>
      <w:r>
        <w:t xml:space="preserve"> </w:t>
      </w:r>
      <w:r>
        <w:t xml:space="preserve">Röper 2004, PMID 15127162.</w:t>
      </w:r>
    </w:p>
  </w:footnote>
  <w:footnote w:id="2722">
    <w:p>
      <w:pPr>
        <w:pStyle w:val="FootnoteText"/>
      </w:pPr>
      <w:r>
        <w:rPr>
          <w:rStyle w:val="FootnoteReference"/>
        </w:rPr>
        <w:footnoteRef/>
      </w:r>
      <w:r>
        <w:t xml:space="preserve"> </w:t>
      </w:r>
      <w:r>
        <w:t xml:space="preserve">Lande 2007, PMID 17873860.</w:t>
      </w:r>
    </w:p>
  </w:footnote>
  <w:footnote w:id="2723">
    <w:p>
      <w:pPr>
        <w:pStyle w:val="FootnoteText"/>
      </w:pPr>
      <w:r>
        <w:rPr>
          <w:rStyle w:val="FootnoteReference"/>
        </w:rPr>
        <w:footnoteRef/>
      </w:r>
      <w:r>
        <w:t xml:space="preserve"> </w:t>
      </w:r>
      <w:r>
        <w:t xml:space="preserve">Lande 2014, PMID 25470744.</w:t>
      </w:r>
    </w:p>
  </w:footnote>
  <w:footnote w:id="2724">
    <w:p>
      <w:pPr>
        <w:pStyle w:val="FootnoteText"/>
      </w:pPr>
      <w:r>
        <w:rPr>
          <w:rStyle w:val="FootnoteReference"/>
        </w:rPr>
        <w:footnoteRef/>
      </w:r>
      <w:r>
        <w:t xml:space="preserve"> </w:t>
      </w:r>
      <w:r>
        <w:t xml:space="preserve">Dolkar 2018, PMID 29665030.</w:t>
      </w:r>
    </w:p>
  </w:footnote>
  <w:footnote w:id="2725">
    <w:p>
      <w:pPr>
        <w:pStyle w:val="FootnoteText"/>
      </w:pPr>
      <w:r>
        <w:rPr>
          <w:rStyle w:val="FootnoteReference"/>
        </w:rPr>
        <w:footnoteRef/>
      </w:r>
      <w:r>
        <w:t xml:space="preserve"> </w:t>
      </w:r>
      <w:r>
        <w:t xml:space="preserve">Gupta 2026, PMID 42930571.</w:t>
      </w:r>
    </w:p>
  </w:footnote>
  <w:footnote w:id="2727">
    <w:p>
      <w:pPr>
        <w:pStyle w:val="FootnoteText"/>
      </w:pPr>
      <w:r>
        <w:rPr>
          <w:rStyle w:val="FootnoteReference"/>
        </w:rPr>
        <w:footnoteRef/>
      </w:r>
      <w:r>
        <w:t xml:space="preserve"> </w:t>
      </w:r>
      <w:r>
        <w:t xml:space="preserve">De Groot 2023, PMID 37467878.</w:t>
      </w:r>
    </w:p>
  </w:footnote>
  <w:footnote w:id="2728">
    <w:p>
      <w:pPr>
        <w:pStyle w:val="FootnoteText"/>
      </w:pPr>
      <w:r>
        <w:rPr>
          <w:rStyle w:val="FootnoteReference"/>
        </w:rPr>
        <w:footnoteRef/>
      </w:r>
      <w:r>
        <w:t xml:space="preserve"> </w:t>
      </w:r>
      <w:r>
        <w:t xml:space="preserve">Mattei 2025, PMID 41445733.</w:t>
      </w:r>
    </w:p>
  </w:footnote>
  <w:footnote w:id="2729">
    <w:p>
      <w:pPr>
        <w:pStyle w:val="FootnoteText"/>
      </w:pPr>
      <w:r>
        <w:rPr>
          <w:rStyle w:val="FootnoteReference"/>
        </w:rPr>
        <w:footnoteRef/>
      </w:r>
      <w:r>
        <w:t xml:space="preserve"> </w:t>
      </w:r>
      <w:r>
        <w:t xml:space="preserve">Hach 2024, PMID 39379664.</w:t>
      </w:r>
    </w:p>
  </w:footnote>
  <w:footnote w:id="2730">
    <w:p>
      <w:pPr>
        <w:pStyle w:val="FootnoteText"/>
      </w:pPr>
      <w:r>
        <w:rPr>
          <w:rStyle w:val="FootnoteReference"/>
        </w:rPr>
        <w:footnoteRef/>
      </w:r>
      <w:r>
        <w:t xml:space="preserve"> </w:t>
      </w:r>
      <w:r>
        <w:t xml:space="preserve">Tang 2025, PMID 40398094.</w:t>
      </w:r>
    </w:p>
  </w:footnote>
  <w:footnote w:id="2731">
    <w:p>
      <w:pPr>
        <w:pStyle w:val="FootnoteText"/>
      </w:pPr>
      <w:r>
        <w:rPr>
          <w:rStyle w:val="FootnoteReference"/>
        </w:rPr>
        <w:footnoteRef/>
      </w:r>
      <w:r>
        <w:t xml:space="preserve"> </w:t>
      </w:r>
      <w:r>
        <w:t xml:space="preserve">Janvier 2018, PMID 28941153.</w:t>
      </w:r>
    </w:p>
  </w:footnote>
  <w:footnote w:id="2735">
    <w:p>
      <w:pPr>
        <w:pStyle w:val="FootnoteText"/>
      </w:pPr>
      <w:r>
        <w:rPr>
          <w:rStyle w:val="FootnoteReference"/>
        </w:rPr>
        <w:footnoteRef/>
      </w:r>
      <w:r>
        <w:t xml:space="preserve"> </w:t>
      </w:r>
      <w:r>
        <w:t xml:space="preserve">Vanhee 2015, PMID 26003685.</w:t>
      </w:r>
    </w:p>
  </w:footnote>
  <w:footnote w:id="2737">
    <w:p>
      <w:pPr>
        <w:pStyle w:val="FootnoteText"/>
      </w:pPr>
      <w:r>
        <w:rPr>
          <w:rStyle w:val="FootnoteReference"/>
        </w:rPr>
        <w:footnoteRef/>
      </w:r>
      <w:r>
        <w:t xml:space="preserve"> </w:t>
      </w:r>
      <w:r>
        <w:t xml:space="preserve">Høj 2021, PMID 33686802.</w:t>
      </w:r>
    </w:p>
  </w:footnote>
  <w:footnote w:id="2738">
    <w:p>
      <w:pPr>
        <w:pStyle w:val="FootnoteText"/>
      </w:pPr>
      <w:r>
        <w:rPr>
          <w:rStyle w:val="FootnoteReference"/>
        </w:rPr>
        <w:footnoteRef/>
      </w:r>
      <w:r>
        <w:t xml:space="preserve"> </w:t>
      </w:r>
      <w:r>
        <w:t xml:space="preserve">Venhuis 2016, PMID 26456392.</w:t>
      </w:r>
    </w:p>
  </w:footnote>
  <w:footnote w:id="2739">
    <w:p>
      <w:pPr>
        <w:pStyle w:val="FootnoteText"/>
      </w:pPr>
      <w:r>
        <w:rPr>
          <w:rStyle w:val="FootnoteReference"/>
        </w:rPr>
        <w:footnoteRef/>
      </w:r>
      <w:r>
        <w:t xml:space="preserve"> </w:t>
      </w:r>
      <w:r>
        <w:t xml:space="preserve">Vanhee 2017, PMID 27390261.</w:t>
      </w:r>
    </w:p>
  </w:footnote>
  <w:footnote w:id="2740">
    <w:p>
      <w:pPr>
        <w:pStyle w:val="FootnoteText"/>
      </w:pPr>
      <w:r>
        <w:rPr>
          <w:rStyle w:val="FootnoteReference"/>
        </w:rPr>
        <w:footnoteRef/>
      </w:r>
      <w:r>
        <w:t xml:space="preserve"> </w:t>
      </w:r>
      <w:r>
        <w:t xml:space="preserve">Delcourt 2023, PMID 36482504.</w:t>
      </w:r>
    </w:p>
  </w:footnote>
  <w:footnote w:id="2741">
    <w:p>
      <w:pPr>
        <w:pStyle w:val="FootnoteText"/>
      </w:pPr>
      <w:r>
        <w:rPr>
          <w:rStyle w:val="FootnoteReference"/>
        </w:rPr>
        <w:footnoteRef/>
      </w:r>
      <w:r>
        <w:t xml:space="preserve"> </w:t>
      </w:r>
      <w:r>
        <w:t xml:space="preserve">Van Wagoner 2017, PMID 29183075.</w:t>
      </w:r>
    </w:p>
  </w:footnote>
  <w:footnote w:id="2743">
    <w:p>
      <w:pPr>
        <w:pStyle w:val="FootnoteText"/>
      </w:pPr>
      <w:r>
        <w:rPr>
          <w:rStyle w:val="FootnoteReference"/>
        </w:rPr>
        <w:footnoteRef/>
      </w:r>
      <w:r>
        <w:t xml:space="preserve"> </w:t>
      </w:r>
      <w:r>
        <w:t xml:space="preserve">Van Wagoner 2017, PMID 29183075.</w:t>
      </w:r>
    </w:p>
  </w:footnote>
  <w:footnote w:id="2744">
    <w:p>
      <w:pPr>
        <w:pStyle w:val="FootnoteText"/>
      </w:pPr>
      <w:r>
        <w:rPr>
          <w:rStyle w:val="FootnoteReference"/>
        </w:rPr>
        <w:footnoteRef/>
      </w:r>
      <w:r>
        <w:t xml:space="preserve"> </w:t>
      </w:r>
      <w:r>
        <w:t xml:space="preserve">Fabresse 2021, PMID 33838562.</w:t>
      </w:r>
    </w:p>
  </w:footnote>
  <w:footnote w:id="2745">
    <w:p>
      <w:pPr>
        <w:pStyle w:val="FootnoteText"/>
      </w:pPr>
      <w:r>
        <w:rPr>
          <w:rStyle w:val="FootnoteReference"/>
        </w:rPr>
        <w:footnoteRef/>
      </w:r>
      <w:r>
        <w:t xml:space="preserve"> </w:t>
      </w:r>
      <w:r>
        <w:t xml:space="preserve">Barrios 2025, PMID 40551438.</w:t>
      </w:r>
    </w:p>
  </w:footnote>
  <w:footnote w:id="2747">
    <w:p>
      <w:pPr>
        <w:pStyle w:val="FootnoteText"/>
      </w:pPr>
      <w:r>
        <w:rPr>
          <w:rStyle w:val="FootnoteReference"/>
        </w:rPr>
        <w:footnoteRef/>
      </w:r>
      <w:r>
        <w:t xml:space="preserve"> </w:t>
      </w:r>
      <w:r>
        <w:t xml:space="preserve">Janvier 2018, PMID 30029448.</w:t>
      </w:r>
    </w:p>
  </w:footnote>
  <w:footnote w:id="2748">
    <w:p>
      <w:pPr>
        <w:pStyle w:val="FootnoteText"/>
      </w:pPr>
      <w:r>
        <w:rPr>
          <w:rStyle w:val="FootnoteReference"/>
        </w:rPr>
        <w:footnoteRef/>
      </w:r>
      <w:r>
        <w:t xml:space="preserve"> </w:t>
      </w:r>
      <w:r>
        <w:t xml:space="preserve">Mongongu 2021, PMID 33587816.</w:t>
      </w:r>
    </w:p>
  </w:footnote>
  <w:footnote w:id="2749">
    <w:p>
      <w:pPr>
        <w:pStyle w:val="FootnoteText"/>
      </w:pPr>
      <w:r>
        <w:rPr>
          <w:rStyle w:val="FootnoteReference"/>
        </w:rPr>
        <w:footnoteRef/>
      </w:r>
      <w:r>
        <w:t xml:space="preserve"> </w:t>
      </w:r>
      <w:r>
        <w:t xml:space="preserve">Deville 2024, PMID 39302005.</w:t>
      </w:r>
    </w:p>
  </w:footnote>
  <w:footnote w:id="2750">
    <w:p>
      <w:pPr>
        <w:pStyle w:val="FootnoteText"/>
      </w:pPr>
      <w:r>
        <w:rPr>
          <w:rStyle w:val="FootnoteReference"/>
        </w:rPr>
        <w:footnoteRef/>
      </w:r>
      <w:r>
        <w:t xml:space="preserve"> </w:t>
      </w:r>
      <w:r>
        <w:t xml:space="preserve">Gajda 2019, PMID 30136411.</w:t>
      </w:r>
    </w:p>
  </w:footnote>
  <w:footnote w:id="2752">
    <w:p>
      <w:pPr>
        <w:pStyle w:val="FootnoteText"/>
      </w:pPr>
      <w:r>
        <w:rPr>
          <w:rStyle w:val="FootnoteReference"/>
        </w:rPr>
        <w:footnoteRef/>
      </w:r>
      <w:r>
        <w:t xml:space="preserve"> </w:t>
      </w:r>
      <w:r>
        <w:t xml:space="preserve">Janvier 2018, PMID 30029448.</w:t>
      </w:r>
    </w:p>
  </w:footnote>
  <w:footnote w:id="2753">
    <w:p>
      <w:pPr>
        <w:pStyle w:val="FootnoteText"/>
      </w:pPr>
      <w:r>
        <w:rPr>
          <w:rStyle w:val="FootnoteReference"/>
        </w:rPr>
        <w:footnoteRef/>
      </w:r>
      <w:r>
        <w:t xml:space="preserve"> </w:t>
      </w:r>
      <w:r>
        <w:t xml:space="preserve">Janvier 2018, PMID 28941153.</w:t>
      </w:r>
    </w:p>
  </w:footnote>
  <w:footnote w:id="2754">
    <w:p>
      <w:pPr>
        <w:pStyle w:val="FootnoteText"/>
      </w:pPr>
      <w:r>
        <w:rPr>
          <w:rStyle w:val="FootnoteReference"/>
        </w:rPr>
        <w:footnoteRef/>
      </w:r>
      <w:r>
        <w:t xml:space="preserve"> </w:t>
      </w:r>
      <w:r>
        <w:t xml:space="preserve">Ashraf 2024, PMID 39509151.</w:t>
      </w:r>
    </w:p>
  </w:footnote>
  <w:footnote w:id="2757">
    <w:p>
      <w:pPr>
        <w:pStyle w:val="FootnoteText"/>
      </w:pPr>
      <w:r>
        <w:rPr>
          <w:rStyle w:val="FootnoteReference"/>
        </w:rPr>
        <w:footnoteRef/>
      </w:r>
      <w:r>
        <w:t xml:space="preserve"> </w:t>
      </w:r>
      <w:r>
        <w:t xml:space="preserve">Deconinck 2021, PMID 33453144.</w:t>
      </w:r>
    </w:p>
  </w:footnote>
  <w:footnote w:id="2758">
    <w:p>
      <w:pPr>
        <w:pStyle w:val="FootnoteText"/>
      </w:pPr>
      <w:r>
        <w:rPr>
          <w:rStyle w:val="FootnoteReference"/>
        </w:rPr>
        <w:footnoteRef/>
      </w:r>
      <w:r>
        <w:t xml:space="preserve"> </w:t>
      </w:r>
      <w:r>
        <w:t xml:space="preserve">Vanhee 2015, PMID 25535022.</w:t>
      </w:r>
    </w:p>
  </w:footnote>
  <w:footnote w:id="2759">
    <w:p>
      <w:pPr>
        <w:pStyle w:val="FootnoteText"/>
      </w:pPr>
      <w:r>
        <w:rPr>
          <w:rStyle w:val="FootnoteReference"/>
        </w:rPr>
        <w:footnoteRef/>
      </w:r>
      <w:r>
        <w:t xml:space="preserve"> </w:t>
      </w:r>
      <w:r>
        <w:t xml:space="preserve">Vanhee 2020, PMID 31667971.</w:t>
      </w:r>
    </w:p>
  </w:footnote>
  <w:footnote w:id="2760">
    <w:p>
      <w:pPr>
        <w:pStyle w:val="FootnoteText"/>
      </w:pPr>
      <w:r>
        <w:rPr>
          <w:rStyle w:val="FootnoteReference"/>
        </w:rPr>
        <w:footnoteRef/>
      </w:r>
      <w:r>
        <w:t xml:space="preserve"> </w:t>
      </w:r>
      <w:r>
        <w:t xml:space="preserve">White 2026, PMID 41480958.</w:t>
      </w:r>
    </w:p>
  </w:footnote>
  <w:footnote w:id="2761">
    <w:p>
      <w:pPr>
        <w:pStyle w:val="FootnoteText"/>
      </w:pPr>
      <w:r>
        <w:rPr>
          <w:rStyle w:val="FootnoteReference"/>
        </w:rPr>
        <w:footnoteRef/>
      </w:r>
      <w:r>
        <w:t xml:space="preserve"> </w:t>
      </w:r>
      <w:r>
        <w:t xml:space="preserve">Barrios 2025, PMID 40551438.</w:t>
      </w:r>
    </w:p>
  </w:footnote>
  <w:footnote w:id="2764">
    <w:p>
      <w:pPr>
        <w:pStyle w:val="FootnoteText"/>
      </w:pPr>
      <w:r>
        <w:rPr>
          <w:rStyle w:val="FootnoteReference"/>
        </w:rPr>
        <w:footnoteRef/>
      </w:r>
      <w:r>
        <w:t xml:space="preserve"> </w:t>
      </w:r>
      <w:r>
        <w:t xml:space="preserve">Gaw 2024, PMID 38421490.</w:t>
      </w:r>
    </w:p>
  </w:footnote>
  <w:footnote w:id="2765">
    <w:p>
      <w:pPr>
        <w:pStyle w:val="FootnoteText"/>
      </w:pPr>
      <w:r>
        <w:rPr>
          <w:rStyle w:val="FootnoteReference"/>
        </w:rPr>
        <w:footnoteRef/>
      </w:r>
      <w:r>
        <w:t xml:space="preserve"> </w:t>
      </w:r>
      <w:r>
        <w:t xml:space="preserve">Senthilkumar 2026, PMID 41784916.</w:t>
      </w:r>
    </w:p>
  </w:footnote>
  <w:footnote w:id="2766">
    <w:p>
      <w:pPr>
        <w:pStyle w:val="FootnoteText"/>
      </w:pPr>
      <w:r>
        <w:rPr>
          <w:rStyle w:val="FootnoteReference"/>
        </w:rPr>
        <w:footnoteRef/>
      </w:r>
      <w:r>
        <w:t xml:space="preserve"> </w:t>
      </w:r>
      <w:r>
        <w:t xml:space="preserve">Gaw 2024, PMID 38421490; Ho 2025, PMID 40371098.</w:t>
      </w:r>
    </w:p>
  </w:footnote>
  <w:footnote w:id="2767">
    <w:p>
      <w:pPr>
        <w:pStyle w:val="FootnoteText"/>
      </w:pPr>
      <w:r>
        <w:rPr>
          <w:rStyle w:val="FootnoteReference"/>
        </w:rPr>
        <w:footnoteRef/>
      </w:r>
      <w:r>
        <w:t xml:space="preserve"> </w:t>
      </w:r>
      <w:r>
        <w:t xml:space="preserve">Marshall 2024, PMID 38861153.</w:t>
      </w:r>
    </w:p>
  </w:footnote>
  <w:footnote w:id="2768">
    <w:p>
      <w:pPr>
        <w:pStyle w:val="FootnoteText"/>
      </w:pPr>
      <w:r>
        <w:rPr>
          <w:rStyle w:val="FootnoteReference"/>
        </w:rPr>
        <w:footnoteRef/>
      </w:r>
      <w:r>
        <w:t xml:space="preserve"> </w:t>
      </w:r>
      <w:r>
        <w:t xml:space="preserve">Ho 2025, PMID 40371098.</w:t>
      </w:r>
    </w:p>
  </w:footnote>
  <w:footnote w:id="2769">
    <w:p>
      <w:pPr>
        <w:pStyle w:val="FootnoteText"/>
      </w:pPr>
      <w:r>
        <w:rPr>
          <w:rStyle w:val="FootnoteReference"/>
        </w:rPr>
        <w:footnoteRef/>
      </w:r>
      <w:r>
        <w:t xml:space="preserve"> </w:t>
      </w:r>
      <w:r>
        <w:t xml:space="preserve">Gaw 2024, PMID 38421490; Senthilkumar 2026, PMID 41784916.</w:t>
      </w:r>
    </w:p>
  </w:footnote>
  <w:footnote w:id="2770">
    <w:p>
      <w:pPr>
        <w:pStyle w:val="FootnoteText"/>
      </w:pPr>
      <w:r>
        <w:rPr>
          <w:rStyle w:val="FootnoteReference"/>
        </w:rPr>
        <w:footnoteRef/>
      </w:r>
      <w:r>
        <w:t xml:space="preserve"> </w:t>
      </w:r>
      <w:r>
        <w:t xml:space="preserve">Muschler 2025, PMID 39803696.</w:t>
      </w:r>
    </w:p>
  </w:footnote>
  <w:footnote w:id="2771">
    <w:p>
      <w:pPr>
        <w:pStyle w:val="FootnoteText"/>
      </w:pPr>
      <w:r>
        <w:rPr>
          <w:rStyle w:val="FootnoteReference"/>
        </w:rPr>
        <w:footnoteRef/>
      </w:r>
      <w:r>
        <w:t xml:space="preserve"> </w:t>
      </w:r>
      <w:r>
        <w:t xml:space="preserve">Ho 2025, PMID 40371098.</w:t>
      </w:r>
    </w:p>
  </w:footnote>
  <w:footnote w:id="2772">
    <w:p>
      <w:pPr>
        <w:pStyle w:val="FootnoteText"/>
      </w:pPr>
      <w:r>
        <w:rPr>
          <w:rStyle w:val="FootnoteReference"/>
        </w:rPr>
        <w:footnoteRef/>
      </w:r>
      <w:r>
        <w:t xml:space="preserve"> </w:t>
      </w:r>
      <w:r>
        <w:t xml:space="preserve">Marshall 2024, PMID 38861153.</w:t>
      </w:r>
    </w:p>
  </w:footnote>
  <w:footnote w:id="2773">
    <w:p>
      <w:pPr>
        <w:pStyle w:val="FootnoteText"/>
      </w:pPr>
      <w:r>
        <w:rPr>
          <w:rStyle w:val="FootnoteReference"/>
        </w:rPr>
        <w:footnoteRef/>
      </w:r>
      <w:r>
        <w:t xml:space="preserve"> </w:t>
      </w:r>
      <w:r>
        <w:t xml:space="preserve">Kraft 2026, PMID 42194666.</w:t>
      </w:r>
    </w:p>
  </w:footnote>
  <w:footnote w:id="2774">
    <w:p>
      <w:pPr>
        <w:pStyle w:val="FootnoteText"/>
      </w:pPr>
      <w:r>
        <w:rPr>
          <w:rStyle w:val="FootnoteReference"/>
        </w:rPr>
        <w:footnoteRef/>
      </w:r>
      <w:r>
        <w:t xml:space="preserve"> </w:t>
      </w:r>
      <w:r>
        <w:t xml:space="preserve">Senthilkumar 2026, PMID 41784916.</w:t>
      </w:r>
    </w:p>
  </w:footnote>
  <w:footnote w:id="2779">
    <w:p>
      <w:pPr>
        <w:pStyle w:val="FootnoteText"/>
      </w:pPr>
      <w:r>
        <w:rPr>
          <w:rStyle w:val="FootnoteReference"/>
        </w:rPr>
        <w:footnoteRef/>
      </w:r>
      <w:r>
        <w:t xml:space="preserve"> </w:t>
      </w:r>
      <w:r>
        <w:t xml:space="preserve">Cesta 2024, PMID 38079178.</w:t>
      </w:r>
    </w:p>
  </w:footnote>
  <w:footnote w:id="2780">
    <w:p>
      <w:pPr>
        <w:pStyle w:val="FootnoteText"/>
      </w:pPr>
      <w:r>
        <w:rPr>
          <w:rStyle w:val="FootnoteReference"/>
        </w:rPr>
        <w:footnoteRef/>
      </w:r>
      <w:r>
        <w:t xml:space="preserve"> </w:t>
      </w:r>
      <w:r>
        <w:t xml:space="preserve">Dao 2024, PMID 38663923.</w:t>
      </w:r>
    </w:p>
  </w:footnote>
  <w:footnote w:id="2781">
    <w:p>
      <w:pPr>
        <w:pStyle w:val="FootnoteText"/>
      </w:pPr>
      <w:r>
        <w:rPr>
          <w:rStyle w:val="FootnoteReference"/>
        </w:rPr>
        <w:footnoteRef/>
      </w:r>
      <w:r>
        <w:t xml:space="preserve"> </w:t>
      </w:r>
      <w:r>
        <w:t xml:space="preserve">Brown 2026, PMID 42258827.</w:t>
      </w:r>
    </w:p>
  </w:footnote>
  <w:footnote w:id="2782">
    <w:p>
      <w:pPr>
        <w:pStyle w:val="FootnoteText"/>
      </w:pPr>
      <w:r>
        <w:rPr>
          <w:rStyle w:val="FootnoteReference"/>
        </w:rPr>
        <w:footnoteRef/>
      </w:r>
      <w:r>
        <w:t xml:space="preserve"> </w:t>
      </w:r>
      <w:r>
        <w:t xml:space="preserve">Uysal 2026, PMID 42420519.</w:t>
      </w:r>
    </w:p>
  </w:footnote>
  <w:footnote w:id="2783">
    <w:p>
      <w:pPr>
        <w:pStyle w:val="FootnoteText"/>
      </w:pPr>
      <w:r>
        <w:rPr>
          <w:rStyle w:val="FootnoteReference"/>
        </w:rPr>
        <w:footnoteRef/>
      </w:r>
      <w:r>
        <w:t xml:space="preserve"> </w:t>
      </w:r>
      <w:r>
        <w:t xml:space="preserve">NCT06867835.</w:t>
      </w:r>
    </w:p>
  </w:footnote>
  <w:footnote w:id="2785">
    <w:p>
      <w:pPr>
        <w:pStyle w:val="FootnoteText"/>
      </w:pPr>
      <w:r>
        <w:rPr>
          <w:rStyle w:val="FootnoteReference"/>
        </w:rPr>
        <w:footnoteRef/>
      </w:r>
      <w:r>
        <w:t xml:space="preserve"> </w:t>
      </w:r>
      <w:r>
        <w:t xml:space="preserve">Kapitza 2015, PMID 25475122.</w:t>
      </w:r>
    </w:p>
  </w:footnote>
  <w:footnote w:id="2786">
    <w:p>
      <w:pPr>
        <w:pStyle w:val="FootnoteText"/>
      </w:pPr>
      <w:r>
        <w:rPr>
          <w:rStyle w:val="FootnoteReference"/>
        </w:rPr>
        <w:footnoteRef/>
      </w:r>
      <w:r>
        <w:t xml:space="preserve"> </w:t>
      </w:r>
      <w:r>
        <w:t xml:space="preserve">Skelley 2024, PMID 37940101.</w:t>
      </w:r>
    </w:p>
  </w:footnote>
  <w:footnote w:id="2787">
    <w:p>
      <w:pPr>
        <w:pStyle w:val="FootnoteText"/>
      </w:pPr>
      <w:r>
        <w:rPr>
          <w:rStyle w:val="FootnoteReference"/>
        </w:rPr>
        <w:footnoteRef/>
      </w:r>
      <w:r>
        <w:t xml:space="preserve"> </w:t>
      </w:r>
      <w:r>
        <w:t xml:space="preserve">Clayton 2022, PMID 35147466.</w:t>
      </w:r>
    </w:p>
  </w:footnote>
  <w:footnote w:id="2788">
    <w:p>
      <w:pPr>
        <w:pStyle w:val="FootnoteText"/>
      </w:pPr>
      <w:r>
        <w:rPr>
          <w:rStyle w:val="FootnoteReference"/>
        </w:rPr>
        <w:footnoteRef/>
      </w:r>
      <w:r>
        <w:t xml:space="preserve"> </w:t>
      </w:r>
      <w:r>
        <w:t xml:space="preserve">Lissy 2021, PMID 32961034.</w:t>
      </w:r>
    </w:p>
  </w:footnote>
  <w:footnote w:id="2790">
    <w:p>
      <w:pPr>
        <w:pStyle w:val="FootnoteText"/>
      </w:pPr>
      <w:r>
        <w:rPr>
          <w:rStyle w:val="FootnoteReference"/>
        </w:rPr>
        <w:footnoteRef/>
      </w:r>
      <w:r>
        <w:t xml:space="preserve"> </w:t>
      </w:r>
      <w:r>
        <w:t xml:space="preserve">Baig 2025, PMID 39694296.</w:t>
      </w:r>
    </w:p>
  </w:footnote>
  <w:footnote w:id="2791">
    <w:p>
      <w:pPr>
        <w:pStyle w:val="FootnoteText"/>
      </w:pPr>
      <w:r>
        <w:rPr>
          <w:rStyle w:val="FootnoteReference"/>
        </w:rPr>
        <w:footnoteRef/>
      </w:r>
      <w:r>
        <w:t xml:space="preserve"> </w:t>
      </w:r>
      <w:r>
        <w:t xml:space="preserve">Vlaeminck 2026, PMID 41631344.</w:t>
      </w:r>
    </w:p>
  </w:footnote>
  <w:footnote w:id="2792">
    <w:p>
      <w:pPr>
        <w:pStyle w:val="FootnoteText"/>
      </w:pPr>
      <w:r>
        <w:rPr>
          <w:rStyle w:val="FootnoteReference"/>
        </w:rPr>
        <w:footnoteRef/>
      </w:r>
      <w:r>
        <w:t xml:space="preserve"> </w:t>
      </w:r>
      <w:r>
        <w:t xml:space="preserve">Wu 2026, PMID 40940281.</w:t>
      </w:r>
    </w:p>
  </w:footnote>
  <w:footnote w:id="2793">
    <w:p>
      <w:pPr>
        <w:pStyle w:val="FootnoteText"/>
      </w:pPr>
      <w:r>
        <w:rPr>
          <w:rStyle w:val="FootnoteReference"/>
        </w:rPr>
        <w:footnoteRef/>
      </w:r>
      <w:r>
        <w:t xml:space="preserve"> </w:t>
      </w:r>
      <w:r>
        <w:t xml:space="preserve">NCT07276763.</w:t>
      </w:r>
    </w:p>
  </w:footnote>
  <w:footnote w:id="2795">
    <w:p>
      <w:pPr>
        <w:pStyle w:val="FootnoteText"/>
      </w:pPr>
      <w:r>
        <w:rPr>
          <w:rStyle w:val="FootnoteReference"/>
        </w:rPr>
        <w:footnoteRef/>
      </w:r>
      <w:r>
        <w:t xml:space="preserve"> </w:t>
      </w:r>
      <w:r>
        <w:t xml:space="preserve">Kendall 2005, PMID 15855571.</w:t>
      </w:r>
    </w:p>
  </w:footnote>
  <w:footnote w:id="2796">
    <w:p>
      <w:pPr>
        <w:pStyle w:val="FootnoteText"/>
      </w:pPr>
      <w:r>
        <w:rPr>
          <w:rStyle w:val="FootnoteReference"/>
        </w:rPr>
        <w:footnoteRef/>
      </w:r>
      <w:r>
        <w:t xml:space="preserve"> </w:t>
      </w:r>
      <w:r>
        <w:t xml:space="preserve">Edelman 2006, PMID 17003291.</w:t>
      </w:r>
    </w:p>
  </w:footnote>
  <w:footnote w:id="2798">
    <w:p>
      <w:pPr>
        <w:pStyle w:val="FootnoteText"/>
      </w:pPr>
      <w:r>
        <w:rPr>
          <w:rStyle w:val="FootnoteReference"/>
        </w:rPr>
        <w:footnoteRef/>
      </w:r>
      <w:r>
        <w:t xml:space="preserve"> </w:t>
      </w:r>
      <w:r>
        <w:t xml:space="preserve">Kelly 2020, PMID 32233338.</w:t>
      </w:r>
    </w:p>
  </w:footnote>
  <w:footnote w:id="2799">
    <w:p>
      <w:pPr>
        <w:pStyle w:val="FootnoteText"/>
      </w:pPr>
      <w:r>
        <w:rPr>
          <w:rStyle w:val="FootnoteReference"/>
        </w:rPr>
        <w:footnoteRef/>
      </w:r>
      <w:r>
        <w:t xml:space="preserve"> </w:t>
      </w:r>
      <w:r>
        <w:t xml:space="preserve">Silva 2026, PMID 42115753.</w:t>
      </w:r>
    </w:p>
  </w:footnote>
  <w:footnote w:id="2800">
    <w:p>
      <w:pPr>
        <w:pStyle w:val="FootnoteText"/>
      </w:pPr>
      <w:r>
        <w:rPr>
          <w:rStyle w:val="FootnoteReference"/>
        </w:rPr>
        <w:footnoteRef/>
      </w:r>
      <w:r>
        <w:t xml:space="preserve"> </w:t>
      </w:r>
      <w:r>
        <w:t xml:space="preserve">Senthilkumar 2026, PMID 41784916.</w:t>
      </w:r>
    </w:p>
  </w:footnote>
  <w:footnote w:id="2801">
    <w:p>
      <w:pPr>
        <w:pStyle w:val="FootnoteText"/>
      </w:pPr>
      <w:r>
        <w:rPr>
          <w:rStyle w:val="FootnoteReference"/>
        </w:rPr>
        <w:footnoteRef/>
      </w:r>
      <w:r>
        <w:t xml:space="preserve"> </w:t>
      </w:r>
      <w:r>
        <w:t xml:space="preserve">Coutinho 2026, PMID 41880199.</w:t>
      </w:r>
    </w:p>
  </w:footnote>
  <w:footnote w:id="2803">
    <w:p>
      <w:pPr>
        <w:pStyle w:val="FootnoteText"/>
      </w:pPr>
      <w:r>
        <w:rPr>
          <w:rStyle w:val="FootnoteReference"/>
        </w:rPr>
        <w:footnoteRef/>
      </w:r>
      <w:r>
        <w:t xml:space="preserve"> </w:t>
      </w:r>
      <w:r>
        <w:t xml:space="preserve">Liu 2007, PMID 17227934.</w:t>
      </w:r>
    </w:p>
  </w:footnote>
  <w:footnote w:id="2804">
    <w:p>
      <w:pPr>
        <w:pStyle w:val="FootnoteText"/>
      </w:pPr>
      <w:r>
        <w:rPr>
          <w:rStyle w:val="FootnoteReference"/>
        </w:rPr>
        <w:footnoteRef/>
      </w:r>
      <w:r>
        <w:t xml:space="preserve"> </w:t>
      </w:r>
      <w:r>
        <w:t xml:space="preserve">Adunsky 2011, PMID 21067829.</w:t>
      </w:r>
    </w:p>
  </w:footnote>
  <w:footnote w:id="2806">
    <w:p>
      <w:pPr>
        <w:pStyle w:val="FootnoteText"/>
      </w:pPr>
      <w:r>
        <w:rPr>
          <w:rStyle w:val="FootnoteReference"/>
        </w:rPr>
        <w:footnoteRef/>
      </w:r>
      <w:r>
        <w:t xml:space="preserve"> </w:t>
      </w:r>
      <w:r>
        <w:t xml:space="preserve">Look 2025, PMID 39996356.</w:t>
      </w:r>
    </w:p>
  </w:footnote>
  <w:footnote w:id="2807">
    <w:p>
      <w:pPr>
        <w:pStyle w:val="FootnoteText"/>
      </w:pPr>
      <w:r>
        <w:rPr>
          <w:rStyle w:val="FootnoteReference"/>
        </w:rPr>
        <w:footnoteRef/>
      </w:r>
      <w:r>
        <w:t xml:space="preserve"> </w:t>
      </w:r>
      <w:r>
        <w:t xml:space="preserve">Karakasis 2025, PMID 39719170.</w:t>
      </w:r>
    </w:p>
  </w:footnote>
  <w:footnote w:id="2808">
    <w:p>
      <w:pPr>
        <w:pStyle w:val="FootnoteText"/>
      </w:pPr>
      <w:r>
        <w:rPr>
          <w:rStyle w:val="FootnoteReference"/>
        </w:rPr>
        <w:footnoteRef/>
      </w:r>
      <w:r>
        <w:t xml:space="preserve"> </w:t>
      </w:r>
      <w:r>
        <w:t xml:space="preserve">Batsis 2026, PMID 41996180.</w:t>
      </w:r>
    </w:p>
  </w:footnote>
  <w:footnote w:id="2809">
    <w:p>
      <w:pPr>
        <w:pStyle w:val="FootnoteText"/>
      </w:pPr>
      <w:r>
        <w:rPr>
          <w:rStyle w:val="FootnoteReference"/>
        </w:rPr>
        <w:footnoteRef/>
      </w:r>
      <w:r>
        <w:t xml:space="preserve"> </w:t>
      </w:r>
      <w:r>
        <w:t xml:space="preserve">Laverde 2026, PMID 42321502.</w:t>
      </w:r>
    </w:p>
  </w:footnote>
  <w:footnote w:id="2811">
    <w:p>
      <w:pPr>
        <w:pStyle w:val="FootnoteText"/>
      </w:pPr>
      <w:r>
        <w:rPr>
          <w:rStyle w:val="FootnoteReference"/>
        </w:rPr>
        <w:footnoteRef/>
      </w:r>
      <w:r>
        <w:t xml:space="preserve"> </w:t>
      </w:r>
      <w:r>
        <w:t xml:space="preserve">Guerdjikova 2024, PMID 38329147.</w:t>
      </w:r>
    </w:p>
  </w:footnote>
  <w:footnote w:id="2812">
    <w:p>
      <w:pPr>
        <w:pStyle w:val="FootnoteText"/>
      </w:pPr>
      <w:r>
        <w:rPr>
          <w:rStyle w:val="FootnoteReference"/>
        </w:rPr>
        <w:footnoteRef/>
      </w:r>
      <w:r>
        <w:t xml:space="preserve"> </w:t>
      </w:r>
      <w:r>
        <w:t xml:space="preserve">Peiper 2026, PMID 42340738.</w:t>
      </w:r>
    </w:p>
  </w:footnote>
  <w:footnote w:id="2813">
    <w:p>
      <w:pPr>
        <w:pStyle w:val="FootnoteText"/>
      </w:pPr>
      <w:r>
        <w:rPr>
          <w:rStyle w:val="FootnoteReference"/>
        </w:rPr>
        <w:footnoteRef/>
      </w:r>
      <w:r>
        <w:t xml:space="preserve"> </w:t>
      </w:r>
      <w:r>
        <w:t xml:space="preserve">Keshen 2026, PMID 42742590.</w:t>
      </w:r>
    </w:p>
  </w:footnote>
  <w:footnote w:id="2814">
    <w:p>
      <w:pPr>
        <w:pStyle w:val="FootnoteText"/>
      </w:pPr>
      <w:r>
        <w:rPr>
          <w:rStyle w:val="FootnoteReference"/>
        </w:rPr>
        <w:footnoteRef/>
      </w:r>
      <w:r>
        <w:t xml:space="preserve"> </w:t>
      </w:r>
      <w:r>
        <w:t xml:space="preserve">Keshen 2026, PMID 42742590.</w:t>
      </w:r>
    </w:p>
  </w:footnote>
  <w:footnote w:id="2816">
    <w:p>
      <w:pPr>
        <w:pStyle w:val="FootnoteText"/>
      </w:pPr>
      <w:r>
        <w:rPr>
          <w:rStyle w:val="FootnoteReference"/>
        </w:rPr>
        <w:footnoteRef/>
      </w:r>
      <w:r>
        <w:t xml:space="preserve"> </w:t>
      </w:r>
      <w:r>
        <w:t xml:space="preserve">Borschel 2026, PMID 42874322.</w:t>
      </w:r>
    </w:p>
  </w:footnote>
  <w:footnote w:id="2817">
    <w:p>
      <w:pPr>
        <w:pStyle w:val="FootnoteText"/>
      </w:pPr>
      <w:r>
        <w:rPr>
          <w:rStyle w:val="FootnoteReference"/>
        </w:rPr>
        <w:footnoteRef/>
      </w:r>
      <w:r>
        <w:t xml:space="preserve"> </w:t>
      </w:r>
      <w:r>
        <w:t xml:space="preserve">Barrios 2025, PMID 40551438.</w:t>
      </w:r>
    </w:p>
  </w:footnote>
  <w:footnote w:id="2818">
    <w:p>
      <w:pPr>
        <w:pStyle w:val="FootnoteText"/>
      </w:pPr>
      <w:r>
        <w:rPr>
          <w:rStyle w:val="FootnoteReference"/>
        </w:rPr>
        <w:footnoteRef/>
      </w:r>
      <w:r>
        <w:t xml:space="preserve"> </w:t>
      </w:r>
      <w:r>
        <w:t xml:space="preserve">Gajda 2019, PMID 30136411.</w:t>
      </w:r>
    </w:p>
  </w:footnote>
  <w:footnote w:id="2819">
    <w:p>
      <w:pPr>
        <w:pStyle w:val="FootnoteText"/>
      </w:pPr>
      <w:r>
        <w:rPr>
          <w:rStyle w:val="FootnoteReference"/>
        </w:rPr>
        <w:footnoteRef/>
      </w:r>
      <w:r>
        <w:t xml:space="preserve"> </w:t>
      </w:r>
      <w:r>
        <w:t xml:space="preserve">La Vignera 2026, PMID 42511463.</w:t>
      </w:r>
    </w:p>
  </w:footnote>
  <w:footnote w:id="2820">
    <w:p>
      <w:pPr>
        <w:pStyle w:val="FootnoteText"/>
      </w:pPr>
      <w:r>
        <w:rPr>
          <w:rStyle w:val="FootnoteReference"/>
        </w:rPr>
        <w:footnoteRef/>
      </w:r>
      <w:r>
        <w:t xml:space="preserve"> </w:t>
      </w:r>
      <w:r>
        <w:t xml:space="preserve">Villegas Meza 2026, PMID 42160466.</w:t>
      </w:r>
    </w:p>
  </w:footnote>
  <w:footnote w:id="2825">
    <w:p>
      <w:pPr>
        <w:pStyle w:val="FootnoteText"/>
      </w:pPr>
      <w:r>
        <w:rPr>
          <w:rStyle w:val="FootnoteReference"/>
        </w:rPr>
        <w:footnoteRef/>
      </w:r>
      <w:r>
        <w:t xml:space="preserve"> </w:t>
      </w:r>
      <w:r>
        <w:t xml:space="preserve">NCT07543458.</w:t>
      </w:r>
    </w:p>
  </w:footnote>
  <w:footnote w:id="2826">
    <w:p>
      <w:pPr>
        <w:pStyle w:val="FootnoteText"/>
      </w:pPr>
      <w:r>
        <w:rPr>
          <w:rStyle w:val="FootnoteReference"/>
        </w:rPr>
        <w:footnoteRef/>
      </w:r>
      <w:r>
        <w:t xml:space="preserve"> </w:t>
      </w:r>
      <w:r>
        <w:t xml:space="preserve">NCT04020055, NCT06904261.</w:t>
      </w:r>
    </w:p>
  </w:footnote>
  <w:footnote w:id="2828">
    <w:p>
      <w:pPr>
        <w:pStyle w:val="FootnoteText"/>
      </w:pPr>
      <w:r>
        <w:rPr>
          <w:rStyle w:val="FootnoteReference"/>
        </w:rPr>
        <w:footnoteRef/>
      </w:r>
      <w:r>
        <w:t xml:space="preserve"> </w:t>
      </w:r>
      <w:r>
        <w:t xml:space="preserve">NCT05086614.</w:t>
      </w:r>
    </w:p>
  </w:footnote>
  <w:footnote w:id="2829">
    <w:p>
      <w:pPr>
        <w:pStyle w:val="FootnoteText"/>
      </w:pPr>
      <w:r>
        <w:rPr>
          <w:rStyle w:val="FootnoteReference"/>
        </w:rPr>
        <w:footnoteRef/>
      </w:r>
      <w:r>
        <w:t xml:space="preserve"> </w:t>
      </w:r>
      <w:r>
        <w:t xml:space="preserve">NCT05555589.</w:t>
      </w:r>
    </w:p>
  </w:footnote>
  <w:footnote w:id="2830">
    <w:p>
      <w:pPr>
        <w:pStyle w:val="FootnoteText"/>
      </w:pPr>
      <w:r>
        <w:rPr>
          <w:rStyle w:val="FootnoteReference"/>
        </w:rPr>
        <w:footnoteRef/>
      </w:r>
      <w:r>
        <w:t xml:space="preserve"> </w:t>
      </w:r>
      <w:r>
        <w:t xml:space="preserve">NCT06373731.</w:t>
      </w:r>
    </w:p>
  </w:footnote>
  <w:footnote w:id="2831">
    <w:p>
      <w:pPr>
        <w:pStyle w:val="FootnoteText"/>
      </w:pPr>
      <w:r>
        <w:rPr>
          <w:rStyle w:val="FootnoteReference"/>
        </w:rPr>
        <w:footnoteRef/>
      </w:r>
      <w:r>
        <w:t xml:space="preserve"> </w:t>
      </w:r>
      <w:r>
        <w:t xml:space="preserve">NCT06109649.</w:t>
      </w:r>
    </w:p>
  </w:footnote>
  <w:footnote w:id="2832">
    <w:p>
      <w:pPr>
        <w:pStyle w:val="FootnoteText"/>
      </w:pPr>
      <w:r>
        <w:rPr>
          <w:rStyle w:val="FootnoteReference"/>
        </w:rPr>
        <w:footnoteRef/>
      </w:r>
      <w:r>
        <w:t xml:space="preserve"> </w:t>
      </w:r>
      <w:r>
        <w:t xml:space="preserve">NCT06948214.</w:t>
      </w:r>
    </w:p>
  </w:footnote>
  <w:footnote w:id="2833">
    <w:p>
      <w:pPr>
        <w:pStyle w:val="FootnoteText"/>
      </w:pPr>
      <w:r>
        <w:rPr>
          <w:rStyle w:val="FootnoteReference"/>
        </w:rPr>
        <w:footnoteRef/>
      </w:r>
      <w:r>
        <w:t xml:space="preserve"> </w:t>
      </w:r>
      <w:r>
        <w:t xml:space="preserve">NCT04903002.</w:t>
      </w:r>
    </w:p>
  </w:footnote>
  <w:footnote w:id="2834">
    <w:p>
      <w:pPr>
        <w:pStyle w:val="FootnoteText"/>
      </w:pPr>
      <w:r>
        <w:rPr>
          <w:rStyle w:val="FootnoteReference"/>
        </w:rPr>
        <w:footnoteRef/>
      </w:r>
      <w:r>
        <w:t xml:space="preserve"> </w:t>
      </w:r>
      <w:r>
        <w:t xml:space="preserve">NCT07675980.</w:t>
      </w:r>
    </w:p>
  </w:footnote>
  <w:footnote w:id="2837">
    <w:p>
      <w:pPr>
        <w:pStyle w:val="FootnoteText"/>
      </w:pPr>
      <w:r>
        <w:rPr>
          <w:rStyle w:val="FootnoteReference"/>
        </w:rPr>
        <w:footnoteRef/>
      </w:r>
      <w:r>
        <w:t xml:space="preserve"> </w:t>
      </w:r>
      <w:r>
        <w:t xml:space="preserve">NCT06662383.</w:t>
      </w:r>
    </w:p>
  </w:footnote>
  <w:footnote w:id="2838">
    <w:p>
      <w:pPr>
        <w:pStyle w:val="FootnoteText"/>
      </w:pPr>
      <w:r>
        <w:rPr>
          <w:rStyle w:val="FootnoteReference"/>
        </w:rPr>
        <w:footnoteRef/>
      </w:r>
      <w:r>
        <w:t xml:space="preserve"> </w:t>
      </w:r>
      <w:r>
        <w:t xml:space="preserve">NCT07889648.</w:t>
      </w:r>
    </w:p>
  </w:footnote>
  <w:footnote w:id="2839">
    <w:p>
      <w:pPr>
        <w:pStyle w:val="FootnoteText"/>
      </w:pPr>
      <w:r>
        <w:rPr>
          <w:rStyle w:val="FootnoteReference"/>
        </w:rPr>
        <w:footnoteRef/>
      </w:r>
      <w:r>
        <w:t xml:space="preserve"> </w:t>
      </w:r>
      <w:r>
        <w:t xml:space="preserve">NCT06780449.</w:t>
      </w:r>
    </w:p>
  </w:footnote>
  <w:footnote w:id="2840">
    <w:p>
      <w:pPr>
        <w:pStyle w:val="FootnoteText"/>
      </w:pPr>
      <w:r>
        <w:rPr>
          <w:rStyle w:val="FootnoteReference"/>
        </w:rPr>
        <w:footnoteRef/>
      </w:r>
      <w:r>
        <w:t xml:space="preserve"> </w:t>
      </w:r>
      <w:r>
        <w:t xml:space="preserve">NCT07575399.</w:t>
      </w:r>
    </w:p>
  </w:footnote>
  <w:footnote w:id="2841">
    <w:p>
      <w:pPr>
        <w:pStyle w:val="FootnoteText"/>
      </w:pPr>
      <w:r>
        <w:rPr>
          <w:rStyle w:val="FootnoteReference"/>
        </w:rPr>
        <w:footnoteRef/>
      </w:r>
      <w:r>
        <w:t xml:space="preserve"> </w:t>
      </w:r>
      <w:r>
        <w:t xml:space="preserve">NCT07845500.</w:t>
      </w:r>
    </w:p>
  </w:footnote>
  <w:footnote w:id="2842">
    <w:p>
      <w:pPr>
        <w:pStyle w:val="FootnoteText"/>
      </w:pPr>
      <w:r>
        <w:rPr>
          <w:rStyle w:val="FootnoteReference"/>
        </w:rPr>
        <w:footnoteRef/>
      </w:r>
      <w:r>
        <w:t xml:space="preserve"> </w:t>
      </w:r>
      <w:r>
        <w:t xml:space="preserve">Aronne 2024, PMID 38078870.</w:t>
      </w:r>
    </w:p>
  </w:footnote>
  <w:footnote w:id="2843">
    <w:p>
      <w:pPr>
        <w:pStyle w:val="FootnoteText"/>
      </w:pPr>
      <w:r>
        <w:rPr>
          <w:rStyle w:val="FootnoteReference"/>
        </w:rPr>
        <w:footnoteRef/>
      </w:r>
      <w:r>
        <w:t xml:space="preserve"> </w:t>
      </w:r>
      <w:r>
        <w:t xml:space="preserve">NCT06257966.</w:t>
      </w:r>
    </w:p>
  </w:footnote>
  <w:footnote w:id="2844">
    <w:p>
      <w:pPr>
        <w:pStyle w:val="FootnoteText"/>
      </w:pPr>
      <w:r>
        <w:rPr>
          <w:rStyle w:val="FootnoteReference"/>
        </w:rPr>
        <w:footnoteRef/>
      </w:r>
      <w:r>
        <w:t xml:space="preserve"> </w:t>
      </w:r>
      <w:r>
        <w:t xml:space="preserve">NCT06439277, NCT07817875.</w:t>
      </w:r>
    </w:p>
  </w:footnote>
  <w:footnote w:id="2845">
    <w:p>
      <w:pPr>
        <w:pStyle w:val="FootnoteText"/>
      </w:pPr>
      <w:r>
        <w:rPr>
          <w:rStyle w:val="FootnoteReference"/>
        </w:rPr>
        <w:footnoteRef/>
      </w:r>
      <w:r>
        <w:t xml:space="preserve"> </w:t>
      </w:r>
      <w:r>
        <w:t xml:space="preserve">NCT06672939.</w:t>
      </w:r>
    </w:p>
  </w:footnote>
  <w:footnote w:id="2847">
    <w:p>
      <w:pPr>
        <w:pStyle w:val="FootnoteText"/>
      </w:pPr>
      <w:r>
        <w:rPr>
          <w:rStyle w:val="FootnoteReference"/>
        </w:rPr>
        <w:footnoteRef/>
      </w:r>
      <w:r>
        <w:t xml:space="preserve"> </w:t>
      </w:r>
      <w:r>
        <w:t xml:space="preserve">Jastreboff 2023, PMID 37366315.</w:t>
      </w:r>
    </w:p>
  </w:footnote>
  <w:footnote w:id="2848">
    <w:p>
      <w:pPr>
        <w:pStyle w:val="FootnoteText"/>
      </w:pPr>
      <w:r>
        <w:rPr>
          <w:rStyle w:val="FootnoteReference"/>
        </w:rPr>
        <w:footnoteRef/>
      </w:r>
      <w:r>
        <w:t xml:space="preserve"> </w:t>
      </w:r>
      <w:r>
        <w:t xml:space="preserve">Jastreboff 2026, PMID 42814954.</w:t>
      </w:r>
    </w:p>
  </w:footnote>
  <w:footnote w:id="2849">
    <w:p>
      <w:pPr>
        <w:pStyle w:val="FootnoteText"/>
      </w:pPr>
      <w:r>
        <w:rPr>
          <w:rStyle w:val="FootnoteReference"/>
        </w:rPr>
        <w:footnoteRef/>
      </w:r>
      <w:r>
        <w:t xml:space="preserve"> </w:t>
      </w:r>
      <w:r>
        <w:t xml:space="preserve">NCT06383390.</w:t>
      </w:r>
    </w:p>
  </w:footnote>
  <w:footnote w:id="2851">
    <w:p>
      <w:pPr>
        <w:pStyle w:val="FootnoteText"/>
      </w:pPr>
      <w:r>
        <w:rPr>
          <w:rStyle w:val="FootnoteReference"/>
        </w:rPr>
        <w:footnoteRef/>
      </w:r>
      <w:r>
        <w:t xml:space="preserve"> </w:t>
      </w:r>
      <w:r>
        <w:t xml:space="preserve">Garvey 2025, PMID 40544433.</w:t>
      </w:r>
    </w:p>
  </w:footnote>
  <w:footnote w:id="2852">
    <w:p>
      <w:pPr>
        <w:pStyle w:val="FootnoteText"/>
      </w:pPr>
      <w:r>
        <w:rPr>
          <w:rStyle w:val="FootnoteReference"/>
        </w:rPr>
        <w:footnoteRef/>
      </w:r>
      <w:r>
        <w:t xml:space="preserve"> </w:t>
      </w:r>
      <w:r>
        <w:t xml:space="preserve">Dahl 2025, PMID 40550231.</w:t>
      </w:r>
    </w:p>
  </w:footnote>
  <w:footnote w:id="2853">
    <w:p>
      <w:pPr>
        <w:pStyle w:val="FootnoteText"/>
      </w:pPr>
      <w:r>
        <w:rPr>
          <w:rStyle w:val="FootnoteReference"/>
        </w:rPr>
        <w:footnoteRef/>
      </w:r>
      <w:r>
        <w:t xml:space="preserve"> </w:t>
      </w:r>
      <w:r>
        <w:t xml:space="preserve">Billings 2025, PMID 41207310.</w:t>
      </w:r>
    </w:p>
  </w:footnote>
  <w:footnote w:id="2854">
    <w:p>
      <w:pPr>
        <w:pStyle w:val="FootnoteText"/>
      </w:pPr>
      <w:r>
        <w:rPr>
          <w:rStyle w:val="FootnoteReference"/>
        </w:rPr>
        <w:footnoteRef/>
      </w:r>
      <w:r>
        <w:t xml:space="preserve"> </w:t>
      </w:r>
      <w:r>
        <w:t xml:space="preserve">Garvey 2026, PMID 42810355.</w:t>
      </w:r>
    </w:p>
  </w:footnote>
  <w:footnote w:id="2856">
    <w:p>
      <w:pPr>
        <w:pStyle w:val="FootnoteText"/>
      </w:pPr>
      <w:r>
        <w:rPr>
          <w:rStyle w:val="FootnoteReference"/>
        </w:rPr>
        <w:footnoteRef/>
      </w:r>
      <w:r>
        <w:t xml:space="preserve"> </w:t>
      </w:r>
      <w:r>
        <w:t xml:space="preserve">Yie 2026, PMID 42592044.</w:t>
      </w:r>
    </w:p>
  </w:footnote>
  <w:footnote w:id="2857">
    <w:p>
      <w:pPr>
        <w:pStyle w:val="FootnoteText"/>
      </w:pPr>
      <w:r>
        <w:rPr>
          <w:rStyle w:val="FootnoteReference"/>
        </w:rPr>
        <w:footnoteRef/>
      </w:r>
      <w:r>
        <w:t xml:space="preserve"> </w:t>
      </w:r>
      <w:r>
        <w:t xml:space="preserve">Jastreboff 2025, PMID 40549887.</w:t>
      </w:r>
    </w:p>
  </w:footnote>
  <w:footnote w:id="2859">
    <w:p>
      <w:pPr>
        <w:pStyle w:val="FootnoteText"/>
      </w:pPr>
      <w:r>
        <w:rPr>
          <w:rStyle w:val="FootnoteReference"/>
        </w:rPr>
        <w:footnoteRef/>
      </w:r>
      <w:r>
        <w:t xml:space="preserve"> </w:t>
      </w:r>
      <w:r>
        <w:t xml:space="preserve">Heymsfield 2021, PMID 33439265.</w:t>
      </w:r>
    </w:p>
  </w:footnote>
  <w:footnote w:id="2860">
    <w:p>
      <w:pPr>
        <w:pStyle w:val="FootnoteText"/>
      </w:pPr>
      <w:r>
        <w:rPr>
          <w:rStyle w:val="FootnoteReference"/>
        </w:rPr>
        <w:footnoteRef/>
      </w:r>
      <w:r>
        <w:t xml:space="preserve"> </w:t>
      </w:r>
      <w:r>
        <w:t xml:space="preserve">Heymsfield 2026, PMID 41772149.</w:t>
      </w:r>
    </w:p>
  </w:footnote>
  <w:footnote w:id="2861">
    <w:p>
      <w:pPr>
        <w:pStyle w:val="FootnoteText"/>
      </w:pPr>
      <w:r>
        <w:rPr>
          <w:rStyle w:val="FootnoteReference"/>
        </w:rPr>
        <w:footnoteRef/>
      </w:r>
      <w:r>
        <w:t xml:space="preserve"> </w:t>
      </w:r>
      <w:r>
        <w:t xml:space="preserve">NCT05933499.</w:t>
      </w:r>
    </w:p>
  </w:footnote>
  <w:footnote w:id="2867">
    <w:p>
      <w:pPr>
        <w:pStyle w:val="FootnoteText"/>
      </w:pPr>
      <w:r>
        <w:rPr>
          <w:rStyle w:val="FootnoteReference"/>
        </w:rPr>
        <w:footnoteRef/>
      </w:r>
      <w:r>
        <w:t xml:space="preserve"> </w:t>
      </w:r>
      <w:r>
        <w:t xml:space="preserve">Drucker 2020, PMID 31848464.</w:t>
      </w:r>
    </w:p>
  </w:footnote>
  <w:footnote w:id="2868">
    <w:p>
      <w:pPr>
        <w:pStyle w:val="FootnoteText"/>
      </w:pPr>
      <w:r>
        <w:rPr>
          <w:rStyle w:val="FootnoteReference"/>
        </w:rPr>
        <w:footnoteRef/>
      </w:r>
      <w:r>
        <w:t xml:space="preserve"> </w:t>
      </w:r>
      <w:r>
        <w:t xml:space="preserve">Vahora 2026, PMID 42687069.</w:t>
      </w:r>
    </w:p>
  </w:footnote>
  <w:footnote w:id="2870">
    <w:p>
      <w:pPr>
        <w:pStyle w:val="FootnoteText"/>
      </w:pPr>
      <w:r>
        <w:rPr>
          <w:rStyle w:val="FootnoteReference"/>
        </w:rPr>
        <w:footnoteRef/>
      </w:r>
      <w:r>
        <w:t xml:space="preserve"> </w:t>
      </w:r>
      <w:r>
        <w:t xml:space="preserve">Levi 2026, PMID 42437874.</w:t>
      </w:r>
    </w:p>
  </w:footnote>
  <w:footnote w:id="2872">
    <w:p>
      <w:pPr>
        <w:pStyle w:val="FootnoteText"/>
      </w:pPr>
      <w:r>
        <w:rPr>
          <w:rStyle w:val="FootnoteReference"/>
        </w:rPr>
        <w:footnoteRef/>
      </w:r>
      <w:r>
        <w:t xml:space="preserve"> </w:t>
      </w:r>
      <w:r>
        <w:t xml:space="preserve">McGuire 2025, PMID 40162642.</w:t>
      </w:r>
    </w:p>
  </w:footnote>
  <w:footnote w:id="2874">
    <w:p>
      <w:pPr>
        <w:pStyle w:val="FootnoteText"/>
      </w:pPr>
      <w:r>
        <w:rPr>
          <w:rStyle w:val="FootnoteReference"/>
        </w:rPr>
        <w:footnoteRef/>
      </w:r>
      <w:r>
        <w:t xml:space="preserve"> </w:t>
      </w:r>
      <w:r>
        <w:t xml:space="preserve">Mora 2026, PMID 42532079.</w:t>
      </w:r>
    </w:p>
  </w:footnote>
  <w:footnote w:id="2875">
    <w:p>
      <w:pPr>
        <w:pStyle w:val="FootnoteText"/>
      </w:pPr>
      <w:r>
        <w:rPr>
          <w:rStyle w:val="FootnoteReference"/>
        </w:rPr>
        <w:footnoteRef/>
      </w:r>
      <w:r>
        <w:t xml:space="preserve"> </w:t>
      </w:r>
      <w:r>
        <w:t xml:space="preserve">NCT07815067.</w:t>
      </w:r>
    </w:p>
  </w:footnote>
  <w:footnote w:id="2877">
    <w:p>
      <w:pPr>
        <w:pStyle w:val="FootnoteText"/>
      </w:pPr>
      <w:r>
        <w:rPr>
          <w:rStyle w:val="FootnoteReference"/>
        </w:rPr>
        <w:footnoteRef/>
      </w:r>
      <w:r>
        <w:t xml:space="preserve"> </w:t>
      </w:r>
      <w:r>
        <w:t xml:space="preserve">Johns 2023, PMID 37125593.</w:t>
      </w:r>
    </w:p>
  </w:footnote>
  <w:footnote w:id="2878">
    <w:p>
      <w:pPr>
        <w:pStyle w:val="FootnoteText"/>
      </w:pPr>
      <w:r>
        <w:rPr>
          <w:rStyle w:val="FootnoteReference"/>
        </w:rPr>
        <w:footnoteRef/>
      </w:r>
      <w:r>
        <w:t xml:space="preserve"> </w:t>
      </w:r>
      <w:r>
        <w:t xml:space="preserve">Navar 2026, PMID 41879224.</w:t>
      </w:r>
    </w:p>
  </w:footnote>
  <w:footnote w:id="2879">
    <w:p>
      <w:pPr>
        <w:pStyle w:val="FootnoteText"/>
      </w:pPr>
      <w:r>
        <w:rPr>
          <w:rStyle w:val="FootnoteReference"/>
        </w:rPr>
        <w:footnoteRef/>
      </w:r>
      <w:r>
        <w:t xml:space="preserve"> </w:t>
      </w:r>
      <w:r>
        <w:t xml:space="preserve">Bissonnette 2025, PMID 41191940.</w:t>
      </w:r>
    </w:p>
  </w:footnote>
  <w:footnote w:id="2880">
    <w:p>
      <w:pPr>
        <w:pStyle w:val="FootnoteText"/>
      </w:pPr>
      <w:r>
        <w:rPr>
          <w:rStyle w:val="FootnoteReference"/>
        </w:rPr>
        <w:footnoteRef/>
      </w:r>
      <w:r>
        <w:t xml:space="preserve"> </w:t>
      </w:r>
      <w:r>
        <w:t xml:space="preserve">Knight 2025, PMID 40629250.</w:t>
      </w:r>
    </w:p>
  </w:footnote>
  <w:footnote w:id="2883">
    <w:p>
      <w:pPr>
        <w:pStyle w:val="FootnoteText"/>
      </w:pPr>
      <w:r>
        <w:rPr>
          <w:rStyle w:val="FootnoteReference"/>
        </w:rPr>
        <w:footnoteRef/>
      </w:r>
      <w:r>
        <w:t xml:space="preserve"> </w:t>
      </w:r>
      <w:r>
        <w:t xml:space="preserve">Rosenstock 2026, PMID 41765029.</w:t>
      </w:r>
    </w:p>
  </w:footnote>
  <w:footnote w:id="2884">
    <w:p>
      <w:pPr>
        <w:pStyle w:val="FootnoteText"/>
      </w:pPr>
      <w:r>
        <w:rPr>
          <w:rStyle w:val="FootnoteReference"/>
        </w:rPr>
        <w:footnoteRef/>
      </w:r>
      <w:r>
        <w:t xml:space="preserve"> </w:t>
      </w:r>
      <w:r>
        <w:t xml:space="preserve">Wharton 2025, PMID 40960239.</w:t>
      </w:r>
    </w:p>
  </w:footnote>
  <w:footnote w:id="2885">
    <w:p>
      <w:pPr>
        <w:pStyle w:val="FootnoteText"/>
      </w:pPr>
      <w:r>
        <w:rPr>
          <w:rStyle w:val="FootnoteReference"/>
        </w:rPr>
        <w:footnoteRef/>
      </w:r>
      <w:r>
        <w:t xml:space="preserve"> </w:t>
      </w:r>
      <w:r>
        <w:t xml:space="preserve">Rosenstock 2026, PMID 41765029.</w:t>
      </w:r>
    </w:p>
  </w:footnote>
  <w:footnote w:id="2886">
    <w:p>
      <w:pPr>
        <w:pStyle w:val="FootnoteText"/>
      </w:pPr>
      <w:r>
        <w:rPr>
          <w:rStyle w:val="FootnoteReference"/>
        </w:rPr>
        <w:footnoteRef/>
      </w:r>
      <w:r>
        <w:t xml:space="preserve"> </w:t>
      </w:r>
      <w:r>
        <w:t xml:space="preserve">Aronne 2026, PMID 42120723.</w:t>
      </w:r>
    </w:p>
  </w:footnote>
  <w:footnote w:id="2887">
    <w:p>
      <w:pPr>
        <w:pStyle w:val="FootnoteText"/>
      </w:pPr>
      <w:r>
        <w:rPr>
          <w:rStyle w:val="FootnoteReference"/>
        </w:rPr>
        <w:footnoteRef/>
      </w:r>
      <w:r>
        <w:t xml:space="preserve"> </w:t>
      </w:r>
      <w:r>
        <w:t xml:space="preserve">Wharton 2026, PMID 42338042.</w:t>
      </w:r>
    </w:p>
  </w:footnote>
  <w:footnote w:id="2889">
    <w:p>
      <w:pPr>
        <w:pStyle w:val="FootnoteText"/>
      </w:pPr>
      <w:r>
        <w:rPr>
          <w:rStyle w:val="FootnoteReference"/>
        </w:rPr>
        <w:footnoteRef/>
      </w:r>
      <w:r>
        <w:t xml:space="preserve"> </w:t>
      </w:r>
      <w:r>
        <w:t xml:space="preserve">Buckeridge 2025, PMID 40539310.</w:t>
      </w:r>
    </w:p>
  </w:footnote>
  <w:footnote w:id="2892">
    <w:p>
      <w:pPr>
        <w:pStyle w:val="FootnoteText"/>
      </w:pPr>
      <w:r>
        <w:rPr>
          <w:rStyle w:val="FootnoteReference"/>
        </w:rPr>
        <w:footnoteRef/>
      </w:r>
      <w:r>
        <w:t xml:space="preserve"> </w:t>
      </w:r>
      <w:r>
        <w:t xml:space="preserve">Michalak 2026, PMID 42225305.</w:t>
      </w:r>
    </w:p>
  </w:footnote>
  <w:footnote w:id="2894">
    <w:p>
      <w:pPr>
        <w:pStyle w:val="FootnoteText"/>
      </w:pPr>
      <w:r>
        <w:rPr>
          <w:rStyle w:val="FootnoteReference"/>
        </w:rPr>
        <w:footnoteRef/>
      </w:r>
      <w:r>
        <w:t xml:space="preserve"> </w:t>
      </w:r>
      <w:r>
        <w:t xml:space="preserve">Vahora 2026, PMID 42687069.</w:t>
      </w:r>
    </w:p>
  </w:footnote>
  <w:footnote w:id="2895">
    <w:p>
      <w:pPr>
        <w:pStyle w:val="FootnoteText"/>
      </w:pPr>
      <w:r>
        <w:rPr>
          <w:rStyle w:val="FootnoteReference"/>
        </w:rPr>
        <w:footnoteRef/>
      </w:r>
      <w:r>
        <w:t xml:space="preserve"> </w:t>
      </w:r>
      <w:r>
        <w:t xml:space="preserve">NCT07241390.</w:t>
      </w:r>
    </w:p>
  </w:footnote>
  <w:footnote w:id="2896">
    <w:p>
      <w:pPr>
        <w:pStyle w:val="FootnoteText"/>
      </w:pPr>
      <w:r>
        <w:rPr>
          <w:rStyle w:val="FootnoteReference"/>
        </w:rPr>
        <w:footnoteRef/>
      </w:r>
      <w:r>
        <w:t xml:space="preserve"> </w:t>
      </w:r>
      <w:r>
        <w:t xml:space="preserve">Levi 2026, PMID 42437874.</w:t>
      </w:r>
    </w:p>
  </w:footnote>
  <w:footnote w:id="2897">
    <w:p>
      <w:pPr>
        <w:pStyle w:val="FootnoteText"/>
      </w:pPr>
      <w:r>
        <w:rPr>
          <w:rStyle w:val="FootnoteReference"/>
        </w:rPr>
        <w:footnoteRef/>
      </w:r>
      <w:r>
        <w:t xml:space="preserve"> </w:t>
      </w:r>
      <w:r>
        <w:t xml:space="preserve">Belcourt 2026, PMID 41689811.</w:t>
      </w:r>
    </w:p>
  </w:footnote>
  <w:footnote w:id="2898">
    <w:p>
      <w:pPr>
        <w:pStyle w:val="FootnoteText"/>
      </w:pPr>
      <w:r>
        <w:rPr>
          <w:rStyle w:val="FootnoteReference"/>
        </w:rPr>
        <w:footnoteRef/>
      </w:r>
      <w:r>
        <w:t xml:space="preserve"> </w:t>
      </w:r>
      <w:r>
        <w:t xml:space="preserve">Hach 2024, PMID 39379664.</w:t>
      </w:r>
    </w:p>
  </w:footnote>
  <w:footnote w:id="2903">
    <w:p>
      <w:pPr>
        <w:pStyle w:val="FootnoteText"/>
      </w:pPr>
      <w:r>
        <w:rPr>
          <w:rStyle w:val="FootnoteReference"/>
        </w:rPr>
        <w:footnoteRef/>
      </w:r>
      <w:r>
        <w:t xml:space="preserve"> </w:t>
      </w:r>
      <w:r>
        <w:t xml:space="preserve">Hach 2024, PMID 39379664.</w:t>
      </w:r>
    </w:p>
  </w:footnote>
  <w:footnote w:id="2905">
    <w:p>
      <w:pPr>
        <w:pStyle w:val="FootnoteText"/>
      </w:pPr>
      <w:r>
        <w:rPr>
          <w:rStyle w:val="FootnoteReference"/>
        </w:rPr>
        <w:footnoteRef/>
      </w:r>
      <w:r>
        <w:t xml:space="preserve"> </w:t>
      </w:r>
      <w:r>
        <w:t xml:space="preserve">Rubino 2022, PMID 35015037.</w:t>
      </w:r>
    </w:p>
  </w:footnote>
  <w:footnote w:id="2907">
    <w:p>
      <w:pPr>
        <w:pStyle w:val="FootnoteText"/>
      </w:pPr>
      <w:r>
        <w:rPr>
          <w:rStyle w:val="FootnoteReference"/>
        </w:rPr>
        <w:footnoteRef/>
      </w:r>
      <w:r>
        <w:t xml:space="preserve"> </w:t>
      </w:r>
      <w:r>
        <w:t xml:space="preserve">Levi 2026, PMID 42437874.</w:t>
      </w:r>
    </w:p>
  </w:footnote>
  <w:footnote w:id="2908">
    <w:p>
      <w:pPr>
        <w:pStyle w:val="FootnoteText"/>
      </w:pPr>
      <w:r>
        <w:rPr>
          <w:rStyle w:val="FootnoteReference"/>
        </w:rPr>
        <w:footnoteRef/>
      </w:r>
      <w:r>
        <w:t xml:space="preserve"> </w:t>
      </w:r>
      <w:r>
        <w:t xml:space="preserve">Mohan 2026, PMID 42747945.</w:t>
      </w:r>
    </w:p>
  </w:footnote>
  <w:footnote w:id="2909">
    <w:p>
      <w:pPr>
        <w:pStyle w:val="FootnoteText"/>
      </w:pPr>
      <w:r>
        <w:rPr>
          <w:rStyle w:val="FootnoteReference"/>
        </w:rPr>
        <w:footnoteRef/>
      </w:r>
      <w:r>
        <w:t xml:space="preserve"> </w:t>
      </w:r>
      <w:r>
        <w:t xml:space="preserve">Mani 2025, PMID 41358329.</w:t>
      </w:r>
    </w:p>
  </w:footnote>
  <w:footnote w:id="2910">
    <w:p>
      <w:pPr>
        <w:pStyle w:val="FootnoteText"/>
      </w:pPr>
      <w:r>
        <w:rPr>
          <w:rStyle w:val="FootnoteReference"/>
        </w:rPr>
        <w:footnoteRef/>
      </w:r>
      <w:r>
        <w:t xml:space="preserve"> </w:t>
      </w:r>
      <w:r>
        <w:t xml:space="preserve">Celletti 2026, PMID 41324410.</w:t>
      </w:r>
    </w:p>
  </w:footnote>
  <w:footnote w:id="2913">
    <w:p>
      <w:pPr>
        <w:pStyle w:val="FootnoteText"/>
      </w:pPr>
      <w:r>
        <w:rPr>
          <w:rStyle w:val="FootnoteReference"/>
        </w:rPr>
        <w:footnoteRef/>
      </w:r>
      <w:r>
        <w:t xml:space="preserve"> </w:t>
      </w:r>
      <w:r>
        <w:t xml:space="preserve">DiStefano 2025, PMID 39776466.</w:t>
      </w:r>
    </w:p>
  </w:footnote>
  <w:footnote w:id="2914">
    <w:p>
      <w:pPr>
        <w:pStyle w:val="FootnoteText"/>
      </w:pPr>
      <w:r>
        <w:rPr>
          <w:rStyle w:val="FootnoteReference"/>
        </w:rPr>
        <w:footnoteRef/>
      </w:r>
      <w:r>
        <w:t xml:space="preserve"> </w:t>
      </w:r>
      <w:r>
        <w:t xml:space="preserve">Belcourt 2026, PMID 41689811.</w:t>
      </w:r>
    </w:p>
  </w:footnote>
  <w:footnote w:id="2915">
    <w:p>
      <w:pPr>
        <w:pStyle w:val="FootnoteText"/>
      </w:pPr>
      <w:r>
        <w:rPr>
          <w:rStyle w:val="FootnoteReference"/>
        </w:rPr>
        <w:footnoteRef/>
      </w:r>
      <w:r>
        <w:t xml:space="preserve"> </w:t>
      </w:r>
      <w:r>
        <w:t xml:space="preserve">Jordan 2026, PMID 42010938.</w:t>
      </w:r>
    </w:p>
  </w:footnote>
  <w:footnote w:id="2917">
    <w:p>
      <w:pPr>
        <w:pStyle w:val="FootnoteText"/>
      </w:pPr>
      <w:r>
        <w:rPr>
          <w:rStyle w:val="FootnoteReference"/>
        </w:rPr>
        <w:footnoteRef/>
      </w:r>
      <w:r>
        <w:t xml:space="preserve"> </w:t>
      </w:r>
      <w:r>
        <w:t xml:space="preserve">Mailhac 2024, PMID 38685990.</w:t>
      </w:r>
    </w:p>
  </w:footnote>
  <w:footnote w:id="2918">
    <w:p>
      <w:pPr>
        <w:pStyle w:val="FootnoteText"/>
      </w:pPr>
      <w:r>
        <w:rPr>
          <w:rStyle w:val="FootnoteReference"/>
        </w:rPr>
        <w:footnoteRef/>
      </w:r>
      <w:r>
        <w:t xml:space="preserve"> </w:t>
      </w:r>
      <w:r>
        <w:t xml:space="preserve">Gasoyan 2025, PMID 41039650.</w:t>
      </w:r>
    </w:p>
  </w:footnote>
  <w:footnote w:id="2920">
    <w:p>
      <w:pPr>
        <w:pStyle w:val="FootnoteText"/>
      </w:pPr>
      <w:r>
        <w:rPr>
          <w:rStyle w:val="FootnoteReference"/>
        </w:rPr>
        <w:footnoteRef/>
      </w:r>
      <w:r>
        <w:t xml:space="preserve"> </w:t>
      </w:r>
      <w:r>
        <w:t xml:space="preserve">Hwang 2025, PMID 40085108.</w:t>
      </w:r>
    </w:p>
  </w:footnote>
  <w:footnote w:id="2921">
    <w:p>
      <w:pPr>
        <w:pStyle w:val="FootnoteText"/>
      </w:pPr>
      <w:r>
        <w:rPr>
          <w:rStyle w:val="FootnoteReference"/>
        </w:rPr>
        <w:footnoteRef/>
      </w:r>
      <w:r>
        <w:t xml:space="preserve"> </w:t>
      </w:r>
      <w:r>
        <w:t xml:space="preserve">Dhippayom 2026, PMID 41365841.</w:t>
      </w:r>
    </w:p>
  </w:footnote>
  <w:footnote w:id="2922">
    <w:p>
      <w:pPr>
        <w:pStyle w:val="FootnoteText"/>
      </w:pPr>
      <w:r>
        <w:rPr>
          <w:rStyle w:val="FootnoteReference"/>
        </w:rPr>
        <w:footnoteRef/>
      </w:r>
      <w:r>
        <w:t xml:space="preserve"> </w:t>
      </w:r>
      <w:r>
        <w:t xml:space="preserve">Hennessy 2026, PMID 41637062.</w:t>
      </w:r>
    </w:p>
  </w:footnote>
  <w:footnote w:id="2923">
    <w:p>
      <w:pPr>
        <w:pStyle w:val="FootnoteText"/>
      </w:pPr>
      <w:r>
        <w:rPr>
          <w:rStyle w:val="FootnoteReference"/>
        </w:rPr>
        <w:footnoteRef/>
      </w:r>
      <w:r>
        <w:t xml:space="preserve"> </w:t>
      </w:r>
      <w:r>
        <w:t xml:space="preserve">Scannell 2026, PMID 42640207.</w:t>
      </w:r>
    </w:p>
  </w:footnote>
  <w:footnote w:id="2926">
    <w:p>
      <w:pPr>
        <w:pStyle w:val="FootnoteText"/>
      </w:pPr>
      <w:r>
        <w:rPr>
          <w:rStyle w:val="FootnoteReference"/>
        </w:rPr>
        <w:footnoteRef/>
      </w:r>
      <w:r>
        <w:t xml:space="preserve"> </w:t>
      </w:r>
      <w:r>
        <w:t xml:space="preserve">Wilding 2022, PMID 35441470.</w:t>
      </w:r>
    </w:p>
  </w:footnote>
  <w:footnote w:id="2930">
    <w:p>
      <w:pPr>
        <w:pStyle w:val="FootnoteText"/>
      </w:pPr>
      <w:r>
        <w:rPr>
          <w:rStyle w:val="FootnoteReference"/>
        </w:rPr>
        <w:footnoteRef/>
      </w:r>
      <w:r>
        <w:t xml:space="preserve"> </w:t>
      </w:r>
      <w:r>
        <w:t xml:space="preserve">Cummings 2026, PMID 41865758.</w:t>
      </w:r>
    </w:p>
  </w:footnote>
  <w:footnote w:id="2931">
    <w:p>
      <w:pPr>
        <w:pStyle w:val="FootnoteText"/>
      </w:pPr>
      <w:r>
        <w:rPr>
          <w:rStyle w:val="FootnoteReference"/>
        </w:rPr>
        <w:footnoteRef/>
      </w:r>
      <w:r>
        <w:t xml:space="preserve"> </w:t>
      </w:r>
      <w:r>
        <w:t xml:space="preserve">Vijiaratnam 2025, PMID 39919773.</w:t>
      </w:r>
    </w:p>
  </w:footnote>
  <w:footnote w:id="2932">
    <w:p>
      <w:pPr>
        <w:pStyle w:val="FootnoteText"/>
      </w:pPr>
      <w:r>
        <w:rPr>
          <w:rStyle w:val="FootnoteReference"/>
        </w:rPr>
        <w:footnoteRef/>
      </w:r>
      <w:r>
        <w:t xml:space="preserve"> </w:t>
      </w:r>
      <w:r>
        <w:t xml:space="preserve">NCT05556512.</w:t>
      </w:r>
    </w:p>
  </w:footnote>
  <w:footnote w:id="2933">
    <w:p>
      <w:pPr>
        <w:pStyle w:val="FootnoteText"/>
      </w:pPr>
      <w:r>
        <w:rPr>
          <w:rStyle w:val="FootnoteReference"/>
        </w:rPr>
        <w:footnoteRef/>
      </w:r>
      <w:r>
        <w:t xml:space="preserve"> </w:t>
      </w:r>
      <w:r>
        <w:t xml:space="preserve">NCT05669755.</w:t>
      </w:r>
    </w:p>
  </w:footnote>
  <w:footnote w:id="2934">
    <w:p>
      <w:pPr>
        <w:pStyle w:val="FootnoteText"/>
      </w:pPr>
      <w:r>
        <w:rPr>
          <w:rStyle w:val="FootnoteReference"/>
        </w:rPr>
        <w:footnoteRef/>
      </w:r>
      <w:r>
        <w:t xml:space="preserve"> </w:t>
      </w:r>
      <w:r>
        <w:t xml:space="preserve">NCT06383390.</w:t>
      </w:r>
    </w:p>
  </w:footnote>
  <w:footnote w:id="2935">
    <w:p>
      <w:pPr>
        <w:pStyle w:val="FootnoteText"/>
      </w:pPr>
      <w:r>
        <w:rPr>
          <w:rStyle w:val="FootnoteReference"/>
        </w:rPr>
        <w:footnoteRef/>
      </w:r>
      <w:r>
        <w:t xml:space="preserve"> </w:t>
      </w:r>
      <w:r>
        <w:t xml:space="preserve">NCT06632457.</w:t>
      </w:r>
    </w:p>
  </w:footnote>
  <w:footnote w:id="2936">
    <w:p>
      <w:pPr>
        <w:pStyle w:val="FootnoteText"/>
      </w:pPr>
      <w:r>
        <w:rPr>
          <w:rStyle w:val="FootnoteReference"/>
        </w:rPr>
        <w:footnoteRef/>
      </w:r>
      <w:r>
        <w:t xml:space="preserve"> </w:t>
      </w:r>
      <w:r>
        <w:t xml:space="preserve">NCT07037433, NCT07037459.</w:t>
      </w:r>
    </w:p>
  </w:footnote>
  <w:footnote w:id="2937">
    <w:p>
      <w:pPr>
        <w:pStyle w:val="FootnoteText"/>
      </w:pPr>
      <w:r>
        <w:rPr>
          <w:rStyle w:val="FootnoteReference"/>
        </w:rPr>
        <w:footnoteRef/>
      </w:r>
      <w:r>
        <w:t xml:space="preserve"> </w:t>
      </w:r>
      <w:r>
        <w:t xml:space="preserve">NCT07861100.</w:t>
      </w:r>
    </w:p>
  </w:footnote>
  <w:footnote w:id="2938">
    <w:p>
      <w:pPr>
        <w:pStyle w:val="FootnoteText"/>
      </w:pPr>
      <w:r>
        <w:rPr>
          <w:rStyle w:val="FootnoteReference"/>
        </w:rPr>
        <w:footnoteRef/>
      </w:r>
      <w:r>
        <w:t xml:space="preserve"> </w:t>
      </w:r>
      <w:r>
        <w:t xml:space="preserve">NCT07241390.</w:t>
      </w:r>
    </w:p>
  </w:footnote>
  <w:footnote w:id="2939">
    <w:p>
      <w:pPr>
        <w:pStyle w:val="FootnoteText"/>
      </w:pPr>
      <w:r>
        <w:rPr>
          <w:rStyle w:val="FootnoteReference"/>
        </w:rPr>
        <w:footnoteRef/>
      </w:r>
      <w:r>
        <w:t xml:space="preserve"> </w:t>
      </w:r>
      <w:r>
        <w:t xml:space="preserve">NCT07165028.</w:t>
      </w:r>
    </w:p>
  </w:footnote>
  <w:footnote w:id="2940">
    <w:p>
      <w:pPr>
        <w:pStyle w:val="FootnoteText"/>
      </w:pPr>
      <w:r>
        <w:rPr>
          <w:rStyle w:val="FootnoteReference"/>
        </w:rPr>
        <w:footnoteRef/>
      </w:r>
      <w:r>
        <w:t xml:space="preserve"> </w:t>
      </w:r>
      <w:r>
        <w:t xml:space="preserve">Levi 2026, PMID 42437874.</w:t>
      </w:r>
    </w:p>
  </w:footnote>
  <w:footnote w:id="2942">
    <w:p>
      <w:pPr>
        <w:pStyle w:val="FootnoteText"/>
      </w:pPr>
      <w:r>
        <w:rPr>
          <w:rStyle w:val="FootnoteReference"/>
        </w:rPr>
        <w:footnoteRef/>
      </w:r>
      <w:r>
        <w:t xml:space="preserve"> </w:t>
      </w:r>
      <w:r>
        <w:t xml:space="preserve">NCT05086614.</w:t>
      </w:r>
    </w:p>
  </w:footnote>
  <w:footnote w:id="2943">
    <w:p>
      <w:pPr>
        <w:pStyle w:val="FootnoteText"/>
      </w:pPr>
      <w:r>
        <w:rPr>
          <w:rStyle w:val="FootnoteReference"/>
        </w:rPr>
        <w:footnoteRef/>
      </w:r>
      <w:r>
        <w:t xml:space="preserve"> </w:t>
      </w:r>
      <w:r>
        <w:t xml:space="preserve">NCT05555589.</w:t>
      </w:r>
    </w:p>
  </w:footnote>
  <w:footnote w:id="2945">
    <w:p>
      <w:pPr>
        <w:pStyle w:val="FootnoteText"/>
      </w:pPr>
      <w:r>
        <w:rPr>
          <w:rStyle w:val="FootnoteReference"/>
        </w:rPr>
        <w:footnoteRef/>
      </w:r>
      <w:r>
        <w:t xml:space="preserve"> </w:t>
      </w:r>
      <w:r>
        <w:t xml:space="preserve">NCT00903110.</w:t>
      </w:r>
    </w:p>
  </w:footnote>
  <w:footnote w:id="2947">
    <w:p>
      <w:pPr>
        <w:pStyle w:val="FootnoteText"/>
      </w:pPr>
      <w:r>
        <w:rPr>
          <w:rStyle w:val="FootnoteReference"/>
        </w:rPr>
        <w:footnoteRef/>
      </w:r>
      <w:r>
        <w:t xml:space="preserve"> </w:t>
      </w:r>
      <w:r>
        <w:t xml:space="preserve">NCT06373731.</w:t>
      </w:r>
    </w:p>
  </w:footnote>
  <w:footnote w:id="2948">
    <w:p>
      <w:pPr>
        <w:pStyle w:val="FootnoteText"/>
      </w:pPr>
      <w:r>
        <w:rPr>
          <w:rStyle w:val="FootnoteReference"/>
        </w:rPr>
        <w:footnoteRef/>
      </w:r>
      <w:r>
        <w:t xml:space="preserve"> </w:t>
      </w:r>
      <w:r>
        <w:t xml:space="preserve">NCT05755997.</w:t>
      </w:r>
    </w:p>
  </w:footnote>
  <w:footnote w:id="2949">
    <w:p>
      <w:pPr>
        <w:pStyle w:val="FootnoteText"/>
      </w:pPr>
      <w:r>
        <w:rPr>
          <w:rStyle w:val="FootnoteReference"/>
        </w:rPr>
        <w:footnoteRef/>
      </w:r>
      <w:r>
        <w:t xml:space="preserve"> </w:t>
      </w:r>
      <w:r>
        <w:t xml:space="preserve">NCT07888595.</w:t>
      </w:r>
    </w:p>
  </w:footnote>
  <w:footnote w:id="2951">
    <w:p>
      <w:pPr>
        <w:pStyle w:val="FootnoteText"/>
      </w:pPr>
      <w:r>
        <w:rPr>
          <w:rStyle w:val="FootnoteReference"/>
        </w:rPr>
        <w:footnoteRef/>
      </w:r>
      <w:r>
        <w:t xml:space="preserve"> </w:t>
      </w:r>
      <w:r>
        <w:t xml:space="preserve">NCT06109649.</w:t>
      </w:r>
    </w:p>
  </w:footnote>
  <w:footnote w:id="2954">
    <w:p>
      <w:pPr>
        <w:pStyle w:val="FootnoteText"/>
      </w:pPr>
      <w:r>
        <w:rPr>
          <w:rStyle w:val="FootnoteReference"/>
        </w:rPr>
        <w:footnoteRef/>
      </w:r>
      <w:r>
        <w:t xml:space="preserve"> </w:t>
      </w:r>
      <w:r>
        <w:t xml:space="preserve">Celletti 2026, PMID 41324410.</w:t>
      </w:r>
    </w:p>
  </w:footnote>
  <w:footnote w:id="2956">
    <w:p>
      <w:pPr>
        <w:pStyle w:val="FootnoteText"/>
      </w:pPr>
      <w:r>
        <w:rPr>
          <w:rStyle w:val="FootnoteReference"/>
        </w:rPr>
        <w:footnoteRef/>
      </w:r>
      <w:r>
        <w:t xml:space="preserve"> </w:t>
      </w:r>
      <w:r>
        <w:t xml:space="preserve">Wilding 2022, PMID 35441470.</w:t>
      </w:r>
    </w:p>
  </w:footnote>
  <w:footnote w:id="2957">
    <w:p>
      <w:pPr>
        <w:pStyle w:val="FootnoteText"/>
      </w:pPr>
      <w:r>
        <w:rPr>
          <w:rStyle w:val="FootnoteReference"/>
        </w:rPr>
        <w:footnoteRef/>
      </w:r>
      <w:r>
        <w:t xml:space="preserve"> </w:t>
      </w:r>
      <w:r>
        <w:t xml:space="preserve">Aronne 2024, PMID 38078870.</w:t>
      </w:r>
    </w:p>
  </w:footnote>
  <w:footnote w:id="2958">
    <w:p>
      <w:pPr>
        <w:pStyle w:val="FootnoteText"/>
      </w:pPr>
      <w:r>
        <w:rPr>
          <w:rStyle w:val="FootnoteReference"/>
        </w:rPr>
        <w:footnoteRef/>
      </w:r>
      <w:r>
        <w:t xml:space="preserve"> </w:t>
      </w:r>
      <w:r>
        <w:t xml:space="preserve">Aronne 2026, PMID 42120723.</w:t>
      </w:r>
    </w:p>
  </w:footnote>
  <w:footnote w:id="2959">
    <w:p>
      <w:pPr>
        <w:pStyle w:val="FootnoteText"/>
      </w:pPr>
      <w:r>
        <w:rPr>
          <w:rStyle w:val="FootnoteReference"/>
        </w:rPr>
        <w:footnoteRef/>
      </w:r>
      <w:r>
        <w:t xml:space="preserve"> </w:t>
      </w:r>
      <w:r>
        <w:t xml:space="preserve">Cengiz 2025, PMID 39950222.</w:t>
      </w:r>
    </w:p>
  </w:footnote>
  <w:footnote w:id="2961">
    <w:p>
      <w:pPr>
        <w:pStyle w:val="FootnoteText"/>
      </w:pPr>
      <w:r>
        <w:rPr>
          <w:rStyle w:val="FootnoteReference"/>
        </w:rPr>
        <w:footnoteRef/>
      </w:r>
      <w:r>
        <w:t xml:space="preserve"> </w:t>
      </w:r>
      <w:r>
        <w:t xml:space="preserve">Celletti 2026, PMID 41324410.</w:t>
      </w:r>
    </w:p>
  </w:footnote>
  <w:footnote w:id="2963">
    <w:p>
      <w:pPr>
        <w:pStyle w:val="FootnoteText"/>
      </w:pPr>
      <w:r>
        <w:rPr>
          <w:rStyle w:val="FootnoteReference"/>
        </w:rPr>
        <w:footnoteRef/>
      </w:r>
      <w:r>
        <w:t xml:space="preserve"> </w:t>
      </w:r>
      <w:r>
        <w:t xml:space="preserve">Rubin 2026, PMID 42853576.</w:t>
      </w:r>
    </w:p>
  </w:footnote>
  <w:footnote w:id="2964">
    <w:p>
      <w:pPr>
        <w:pStyle w:val="FootnoteText"/>
      </w:pPr>
      <w:r>
        <w:rPr>
          <w:rStyle w:val="FootnoteReference"/>
        </w:rPr>
        <w:footnoteRef/>
      </w:r>
      <w:r>
        <w:t xml:space="preserve"> </w:t>
      </w:r>
      <w:r>
        <w:t xml:space="preserve">Belcourt 2026, PMID 41689811.</w:t>
      </w:r>
    </w:p>
  </w:footnote>
  <w:footnote w:id="2965">
    <w:p>
      <w:pPr>
        <w:pStyle w:val="FootnoteText"/>
      </w:pPr>
      <w:r>
        <w:rPr>
          <w:rStyle w:val="FootnoteReference"/>
        </w:rPr>
        <w:footnoteRef/>
      </w:r>
      <w:r>
        <w:t xml:space="preserve"> </w:t>
      </w:r>
      <w:r>
        <w:t xml:space="preserve">Willis 2026, PMID 42752426.</w:t>
      </w:r>
    </w:p>
  </w:footnote>
  <w:footnote w:id="2967">
    <w:p>
      <w:pPr>
        <w:pStyle w:val="FootnoteText"/>
      </w:pPr>
      <w:r>
        <w:rPr>
          <w:rStyle w:val="FootnoteReference"/>
        </w:rPr>
        <w:footnoteRef/>
      </w:r>
      <w:r>
        <w:t xml:space="preserve"> </w:t>
      </w:r>
      <w:r>
        <w:t xml:space="preserve">Wei 2025, PMID 40787887.</w:t>
      </w:r>
    </w:p>
  </w:footnote>
  <w:footnote w:id="2968">
    <w:p>
      <w:pPr>
        <w:pStyle w:val="FootnoteText"/>
      </w:pPr>
      <w:r>
        <w:rPr>
          <w:rStyle w:val="FootnoteReference"/>
        </w:rPr>
        <w:footnoteRef/>
      </w:r>
      <w:r>
        <w:t xml:space="preserve"> </w:t>
      </w:r>
      <w:r>
        <w:t xml:space="preserve">Rettie 2025, PMID 40542165.</w:t>
      </w:r>
    </w:p>
  </w:footnote>
  <w:footnote w:id="2969">
    <w:p>
      <w:pPr>
        <w:pStyle w:val="FootnoteText"/>
      </w:pPr>
      <w:r>
        <w:rPr>
          <w:rStyle w:val="FootnoteReference"/>
        </w:rPr>
        <w:footnoteRef/>
      </w:r>
      <w:r>
        <w:t xml:space="preserve"> </w:t>
      </w:r>
      <w:r>
        <w:t xml:space="preserve">Wang 2025, PMID 39825096.</w:t>
      </w:r>
    </w:p>
  </w:footnote>
  <w:footnote w:id="2970">
    <w:p>
      <w:pPr>
        <w:pStyle w:val="FootnoteText"/>
      </w:pPr>
      <w:r>
        <w:rPr>
          <w:rStyle w:val="FootnoteReference"/>
        </w:rPr>
        <w:footnoteRef/>
      </w:r>
      <w:r>
        <w:t xml:space="preserve"> </w:t>
      </w:r>
      <w:r>
        <w:t xml:space="preserve">Johns 2023, PMID 37125593; NCT06008756.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58 peptides from semaglutide to BPC-157: what human studies really show, which risks are known, what the legal situation is and where research is heading.</dc:description>
  <dc:language>en-US</dc:language>
  <dc:subject/>
  <cp:keywords/>
  <dcterms:created xsi:type="dcterms:W3CDTF">2026-10-29T19:05:50Z</dcterms:created>
  <dcterms:modified xsi:type="dcterms:W3CDTF">2026-10-29T19:05:50Z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2026-11</vt:lpwstr>
  </property>
  <property fmtid="{D5CDD505-2E9C-101B-9397-08002B2CF9AE}" pid="4" name="rights">
    <vt:lpwstr>© 2026 Josef Gallab. All rights reserved.</vt:lpwstr>
  </property>
  <property fmtid="{D5CDD505-2E9C-101B-9397-08002B2CF9AE}" pid="5" name="toc-title">
    <vt:lpwstr>Contents</vt:lpwstr>
  </property>
</Properties>
</file>